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DAB75">
      <w:pPr>
        <w:spacing w:line="540" w:lineRule="exact"/>
        <w:ind w:firstLine="437"/>
        <w:rPr>
          <w:rFonts w:hint="eastAsia" w:ascii="仿宋_GB2312" w:eastAsia="仿宋_GB2312"/>
          <w:sz w:val="28"/>
          <w:szCs w:val="28"/>
        </w:rPr>
      </w:pPr>
    </w:p>
    <w:p w14:paraId="12079D65">
      <w:pPr>
        <w:spacing w:line="540" w:lineRule="exact"/>
        <w:ind w:firstLine="437"/>
        <w:rPr>
          <w:rFonts w:hint="eastAsia" w:ascii="仿宋_GB2312" w:eastAsia="仿宋_GB2312"/>
          <w:sz w:val="28"/>
          <w:szCs w:val="28"/>
        </w:rPr>
      </w:pPr>
    </w:p>
    <w:p w14:paraId="477462BC">
      <w:pPr>
        <w:spacing w:line="540" w:lineRule="exact"/>
        <w:ind w:firstLine="437"/>
        <w:rPr>
          <w:rFonts w:hint="eastAsia" w:ascii="仿宋_GB2312" w:eastAsia="仿宋_GB2312"/>
          <w:sz w:val="28"/>
          <w:szCs w:val="28"/>
        </w:rPr>
      </w:pPr>
    </w:p>
    <w:p w14:paraId="1B16EA16">
      <w:pPr>
        <w:spacing w:line="540" w:lineRule="exact"/>
        <w:ind w:firstLine="437"/>
        <w:rPr>
          <w:rFonts w:hint="eastAsia" w:ascii="仿宋_GB2312" w:eastAsia="仿宋_GB2312"/>
          <w:sz w:val="28"/>
          <w:szCs w:val="28"/>
        </w:rPr>
      </w:pPr>
    </w:p>
    <w:p w14:paraId="1278A2D6">
      <w:pPr>
        <w:spacing w:line="540" w:lineRule="exact"/>
        <w:ind w:firstLine="437"/>
        <w:rPr>
          <w:rFonts w:hint="eastAsia" w:ascii="仿宋_GB2312" w:eastAsia="仿宋_GB2312"/>
          <w:sz w:val="28"/>
          <w:szCs w:val="28"/>
        </w:rPr>
      </w:pPr>
    </w:p>
    <w:p w14:paraId="236945D4">
      <w:pPr>
        <w:spacing w:line="540" w:lineRule="exact"/>
        <w:ind w:firstLine="437"/>
        <w:rPr>
          <w:rFonts w:hint="eastAsia" w:ascii="宋体" w:hAnsi="宋体"/>
          <w:sz w:val="32"/>
          <w:szCs w:val="32"/>
        </w:rPr>
      </w:pPr>
      <w:r>
        <w:rPr>
          <w:rFonts w:hint="eastAsia" w:ascii="宋体" w:hAnsi="宋体"/>
          <w:sz w:val="32"/>
          <w:szCs w:val="32"/>
          <w:u w:val="single"/>
          <w:lang w:eastAsia="zh-CN"/>
        </w:rPr>
        <w:t>浪河镇美丽移民村及基础设施提升项目</w:t>
      </w:r>
      <w:r>
        <w:rPr>
          <w:rFonts w:hint="eastAsia" w:ascii="宋体" w:hAnsi="宋体"/>
          <w:sz w:val="32"/>
          <w:szCs w:val="32"/>
        </w:rPr>
        <w:t>（项目名称）</w:t>
      </w:r>
      <w:r>
        <w:rPr>
          <w:rFonts w:hint="eastAsia" w:ascii="宋体" w:hAnsi="宋体"/>
          <w:sz w:val="32"/>
          <w:szCs w:val="32"/>
          <w:u w:val="single"/>
          <w:lang w:eastAsia="zh-CN"/>
        </w:rPr>
        <w:t>浪河镇美丽移民村及基础设施提升项目</w:t>
      </w:r>
      <w:r>
        <w:rPr>
          <w:rFonts w:hint="eastAsia" w:ascii="宋体" w:hAnsi="宋体"/>
          <w:sz w:val="32"/>
          <w:szCs w:val="32"/>
        </w:rPr>
        <w:t>（标段名称）</w:t>
      </w:r>
      <w:r>
        <w:rPr>
          <w:rFonts w:hint="eastAsia" w:ascii="黑体" w:hAnsi="宋体" w:eastAsia="黑体"/>
          <w:sz w:val="32"/>
          <w:szCs w:val="32"/>
        </w:rPr>
        <w:t>施工招标</w:t>
      </w:r>
    </w:p>
    <w:p w14:paraId="00CA2456">
      <w:pPr>
        <w:spacing w:line="460" w:lineRule="exact"/>
        <w:ind w:firstLine="437"/>
        <w:rPr>
          <w:rFonts w:hint="eastAsia" w:ascii="宋体" w:hAnsi="宋体"/>
          <w:szCs w:val="21"/>
        </w:rPr>
      </w:pPr>
    </w:p>
    <w:p w14:paraId="7D3083B2">
      <w:pPr>
        <w:spacing w:line="540" w:lineRule="exact"/>
        <w:rPr>
          <w:rFonts w:hint="eastAsia" w:ascii="宋体" w:hAnsi="宋体"/>
          <w:szCs w:val="21"/>
        </w:rPr>
      </w:pPr>
    </w:p>
    <w:p w14:paraId="69B4F8EC">
      <w:pPr>
        <w:spacing w:line="540" w:lineRule="exact"/>
        <w:rPr>
          <w:rFonts w:hint="eastAsia" w:ascii="宋体" w:hAnsi="宋体"/>
          <w:szCs w:val="21"/>
        </w:rPr>
      </w:pPr>
    </w:p>
    <w:p w14:paraId="680D5056">
      <w:pPr>
        <w:jc w:val="center"/>
        <w:rPr>
          <w:rFonts w:hint="eastAsia" w:ascii="黑体" w:hAnsi="宋体" w:eastAsia="黑体"/>
          <w:sz w:val="72"/>
          <w:szCs w:val="72"/>
        </w:rPr>
      </w:pPr>
      <w:r>
        <w:rPr>
          <w:rFonts w:hint="eastAsia" w:ascii="黑体" w:hAnsi="宋体" w:eastAsia="黑体"/>
          <w:sz w:val="72"/>
          <w:szCs w:val="72"/>
        </w:rPr>
        <w:t>招 标 文 件</w:t>
      </w:r>
    </w:p>
    <w:p w14:paraId="71E68535">
      <w:pPr>
        <w:spacing w:line="540" w:lineRule="exact"/>
        <w:rPr>
          <w:rFonts w:hint="eastAsia" w:ascii="黑体" w:eastAsia="黑体"/>
          <w:sz w:val="28"/>
          <w:szCs w:val="28"/>
        </w:rPr>
      </w:pPr>
    </w:p>
    <w:p w14:paraId="1EDEF16C">
      <w:pPr>
        <w:spacing w:line="540" w:lineRule="exact"/>
        <w:ind w:firstLine="2660" w:firstLineChars="950"/>
        <w:rPr>
          <w:rFonts w:hint="eastAsia" w:ascii="宋体" w:hAnsi="宋体"/>
          <w:szCs w:val="21"/>
        </w:rPr>
      </w:pPr>
      <w:r>
        <w:rPr>
          <w:rFonts w:hint="eastAsia" w:ascii="黑体" w:eastAsia="黑体"/>
          <w:sz w:val="28"/>
          <w:szCs w:val="28"/>
        </w:rPr>
        <w:t>招标编号：</w:t>
      </w:r>
      <w:r>
        <w:rPr>
          <w:rFonts w:hint="eastAsia" w:ascii="黑体" w:eastAsia="黑体"/>
          <w:sz w:val="28"/>
          <w:szCs w:val="28"/>
          <w:u w:val="single"/>
        </w:rPr>
        <w:t xml:space="preserve">          </w:t>
      </w:r>
    </w:p>
    <w:p w14:paraId="66A5F3F4">
      <w:pPr>
        <w:spacing w:line="540" w:lineRule="exact"/>
        <w:ind w:firstLine="437"/>
        <w:rPr>
          <w:rFonts w:hint="eastAsia" w:ascii="宋体" w:hAnsi="宋体"/>
          <w:szCs w:val="21"/>
        </w:rPr>
      </w:pPr>
    </w:p>
    <w:p w14:paraId="24FEB99B">
      <w:pPr>
        <w:spacing w:line="540" w:lineRule="exact"/>
        <w:ind w:firstLine="437"/>
        <w:rPr>
          <w:rFonts w:hint="eastAsia" w:ascii="宋体" w:hAnsi="宋体"/>
          <w:szCs w:val="21"/>
        </w:rPr>
      </w:pPr>
    </w:p>
    <w:p w14:paraId="097AF9F9">
      <w:pPr>
        <w:spacing w:line="540" w:lineRule="exact"/>
        <w:ind w:firstLine="437"/>
        <w:rPr>
          <w:rFonts w:hint="eastAsia" w:ascii="宋体" w:hAnsi="宋体"/>
          <w:szCs w:val="21"/>
        </w:rPr>
      </w:pPr>
    </w:p>
    <w:p w14:paraId="3C833914">
      <w:pPr>
        <w:spacing w:line="540" w:lineRule="exact"/>
        <w:ind w:firstLine="437"/>
        <w:rPr>
          <w:rFonts w:hint="eastAsia" w:ascii="宋体" w:hAnsi="宋体"/>
          <w:szCs w:val="21"/>
        </w:rPr>
      </w:pPr>
    </w:p>
    <w:p w14:paraId="0064F431">
      <w:pPr>
        <w:spacing w:line="540" w:lineRule="exact"/>
        <w:ind w:firstLine="437"/>
        <w:rPr>
          <w:rFonts w:hint="eastAsia" w:ascii="宋体" w:hAnsi="宋体"/>
          <w:szCs w:val="21"/>
        </w:rPr>
      </w:pPr>
    </w:p>
    <w:p w14:paraId="6AEA1938">
      <w:pPr>
        <w:spacing w:line="540" w:lineRule="exact"/>
        <w:ind w:firstLine="437"/>
        <w:rPr>
          <w:rFonts w:hint="eastAsia" w:ascii="宋体" w:hAnsi="宋体"/>
          <w:szCs w:val="21"/>
        </w:rPr>
      </w:pPr>
    </w:p>
    <w:p w14:paraId="5579E72B">
      <w:pPr>
        <w:spacing w:line="540" w:lineRule="exact"/>
        <w:ind w:firstLine="437"/>
        <w:rPr>
          <w:rFonts w:hint="eastAsia" w:ascii="宋体" w:hAnsi="宋体"/>
          <w:szCs w:val="21"/>
        </w:rPr>
      </w:pPr>
    </w:p>
    <w:p w14:paraId="1B2EF3BF">
      <w:pPr>
        <w:spacing w:line="360" w:lineRule="auto"/>
        <w:rPr>
          <w:rFonts w:hint="eastAsia" w:ascii="宋体" w:hAnsi="宋体"/>
          <w:sz w:val="32"/>
          <w:szCs w:val="32"/>
          <w:u w:val="single"/>
        </w:rPr>
      </w:pPr>
      <w:r>
        <w:rPr>
          <w:rFonts w:hint="eastAsia" w:ascii="黑体" w:hAnsi="宋体" w:eastAsia="黑体"/>
          <w:sz w:val="32"/>
          <w:szCs w:val="32"/>
        </w:rPr>
        <w:t>招标人/招标代理机构：</w:t>
      </w:r>
      <w:r>
        <w:rPr>
          <w:rFonts w:hint="eastAsia" w:ascii="黑体" w:hAnsi="宋体" w:eastAsia="黑体"/>
          <w:sz w:val="32"/>
          <w:szCs w:val="32"/>
          <w:u w:val="single"/>
          <w:lang w:eastAsia="zh-CN"/>
        </w:rPr>
        <w:t>丹江口市浪河镇人民政府</w:t>
      </w:r>
      <w:r>
        <w:rPr>
          <w:rFonts w:hint="eastAsia" w:ascii="黑体" w:hAnsi="宋体" w:eastAsia="黑体"/>
          <w:sz w:val="32"/>
          <w:szCs w:val="32"/>
          <w:u w:val="single"/>
          <w:lang w:val="en-US" w:eastAsia="zh-CN"/>
        </w:rPr>
        <w:t>/中大嘉信项目管理有限公司</w:t>
      </w:r>
      <w:r>
        <w:rPr>
          <w:rFonts w:hint="eastAsia" w:ascii="黑体" w:hAnsi="宋体" w:eastAsia="黑体"/>
          <w:sz w:val="32"/>
          <w:szCs w:val="32"/>
        </w:rPr>
        <w:t>（盖章）</w:t>
      </w:r>
    </w:p>
    <w:p w14:paraId="644F5CE1">
      <w:pPr>
        <w:spacing w:line="540" w:lineRule="exact"/>
        <w:ind w:firstLine="437"/>
        <w:rPr>
          <w:rFonts w:ascii="宋体" w:hAnsi="宋体"/>
          <w:sz w:val="32"/>
          <w:szCs w:val="32"/>
        </w:rPr>
      </w:pPr>
      <w:r>
        <w:rPr>
          <w:rFonts w:hint="eastAsia" w:ascii="宋体" w:hAnsi="宋体"/>
          <w:sz w:val="32"/>
          <w:szCs w:val="32"/>
        </w:rPr>
        <w:t>日    期：</w:t>
      </w:r>
      <w:r>
        <w:rPr>
          <w:rFonts w:hint="eastAsia" w:ascii="黑体" w:hAnsi="宋体" w:eastAsia="黑体"/>
          <w:sz w:val="32"/>
          <w:szCs w:val="32"/>
          <w:u w:val="single"/>
        </w:rPr>
        <w:t xml:space="preserve">  </w:t>
      </w:r>
      <w:r>
        <w:rPr>
          <w:rFonts w:hint="eastAsia" w:ascii="黑体" w:hAnsi="宋体" w:eastAsia="黑体"/>
          <w:sz w:val="32"/>
          <w:szCs w:val="32"/>
          <w:u w:val="single"/>
          <w:lang w:val="en-US" w:eastAsia="zh-CN"/>
        </w:rPr>
        <w:t xml:space="preserve">   </w:t>
      </w:r>
      <w:r>
        <w:rPr>
          <w:rFonts w:hint="eastAsia" w:ascii="黑体" w:hAnsi="宋体" w:eastAsia="黑体"/>
          <w:sz w:val="32"/>
          <w:szCs w:val="32"/>
          <w:u w:val="single"/>
        </w:rPr>
        <w:t xml:space="preserve"> </w:t>
      </w:r>
      <w:r>
        <w:rPr>
          <w:rFonts w:hint="eastAsia" w:ascii="宋体" w:hAnsi="宋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u w:val="single"/>
          <w:lang w:val="en-US" w:eastAsia="zh-CN"/>
        </w:rPr>
        <w:t xml:space="preserve">   </w:t>
      </w:r>
      <w:r>
        <w:rPr>
          <w:rFonts w:hint="eastAsia" w:ascii="黑体" w:hAnsi="宋体" w:eastAsia="黑体"/>
          <w:sz w:val="32"/>
          <w:szCs w:val="32"/>
          <w:u w:val="single"/>
        </w:rPr>
        <w:t xml:space="preserve">  </w:t>
      </w:r>
      <w:r>
        <w:rPr>
          <w:rFonts w:hint="eastAsia" w:ascii="宋体" w:hAnsi="宋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u w:val="single"/>
          <w:lang w:val="en-US" w:eastAsia="zh-CN"/>
        </w:rPr>
        <w:t xml:space="preserve">  </w:t>
      </w:r>
      <w:r>
        <w:rPr>
          <w:rFonts w:hint="eastAsia" w:ascii="黑体" w:hAnsi="宋体" w:eastAsia="黑体"/>
          <w:sz w:val="32"/>
          <w:szCs w:val="32"/>
          <w:u w:val="single"/>
        </w:rPr>
        <w:t xml:space="preserve"> </w:t>
      </w:r>
      <w:r>
        <w:rPr>
          <w:rFonts w:hint="eastAsia" w:ascii="宋体" w:hAnsi="宋体"/>
          <w:sz w:val="32"/>
          <w:szCs w:val="32"/>
        </w:rPr>
        <w:t>日</w:t>
      </w:r>
    </w:p>
    <w:p w14:paraId="34730AED">
      <w:pPr>
        <w:spacing w:after="468" w:afterLines="150" w:line="540" w:lineRule="exact"/>
        <w:ind w:firstLine="437"/>
        <w:jc w:val="center"/>
        <w:rPr>
          <w:rFonts w:hint="eastAsia" w:ascii="宋体" w:hAnsi="宋体"/>
          <w:b/>
          <w:sz w:val="52"/>
          <w:szCs w:val="52"/>
        </w:rPr>
      </w:pPr>
    </w:p>
    <w:p w14:paraId="3E3A0FC1">
      <w:pPr>
        <w:spacing w:after="468" w:afterLines="150" w:line="540" w:lineRule="exact"/>
        <w:ind w:firstLine="437"/>
        <w:jc w:val="center"/>
        <w:rPr>
          <w:rFonts w:hint="eastAsia" w:ascii="宋体" w:hAnsi="宋体"/>
          <w:b/>
          <w:sz w:val="52"/>
          <w:szCs w:val="52"/>
        </w:rPr>
      </w:pPr>
    </w:p>
    <w:p w14:paraId="255C1478">
      <w:pPr>
        <w:spacing w:after="468" w:afterLines="150" w:line="540" w:lineRule="exact"/>
        <w:ind w:firstLine="437"/>
        <w:jc w:val="center"/>
        <w:rPr>
          <w:rFonts w:ascii="宋体" w:hAnsi="宋体"/>
          <w:b/>
          <w:sz w:val="52"/>
          <w:szCs w:val="52"/>
        </w:rPr>
        <w:sectPr>
          <w:footerReference r:id="rId3" w:type="default"/>
          <w:pgSz w:w="11906" w:h="16838"/>
          <w:pgMar w:top="1440" w:right="1800" w:bottom="1440" w:left="1800" w:header="851" w:footer="992" w:gutter="0"/>
          <w:pgNumType w:fmt="upperRoman" w:start="1"/>
          <w:cols w:space="720" w:num="1"/>
          <w:docGrid w:type="lines" w:linePitch="312" w:charSpace="0"/>
        </w:sectPr>
      </w:pPr>
    </w:p>
    <w:p w14:paraId="4022040B">
      <w:pPr>
        <w:spacing w:after="468" w:afterLines="150" w:line="540" w:lineRule="exact"/>
        <w:ind w:firstLine="437"/>
        <w:jc w:val="center"/>
        <w:rPr>
          <w:rFonts w:hint="eastAsia" w:ascii="宋体" w:hAnsi="宋体"/>
          <w:b/>
          <w:sz w:val="52"/>
          <w:szCs w:val="52"/>
        </w:rPr>
      </w:pPr>
      <w:r>
        <w:rPr>
          <w:rFonts w:hint="eastAsia" w:ascii="宋体" w:hAnsi="宋体"/>
          <w:b/>
          <w:sz w:val="52"/>
          <w:szCs w:val="52"/>
        </w:rPr>
        <w:t>目  录</w:t>
      </w:r>
    </w:p>
    <w:p w14:paraId="787E8B31">
      <w:pPr>
        <w:pStyle w:val="12"/>
        <w:rPr>
          <w:rFonts w:ascii="宋体" w:hAnsi="宋体" w:eastAsia="宋体"/>
          <w:b w:val="0"/>
          <w:sz w:val="21"/>
          <w:szCs w:val="21"/>
        </w:rPr>
      </w:pPr>
      <w:r>
        <w:rPr>
          <w:rFonts w:ascii="宋体" w:hAnsi="宋体" w:eastAsia="宋体"/>
          <w:b w:val="0"/>
          <w:sz w:val="21"/>
          <w:szCs w:val="21"/>
        </w:rPr>
        <w:fldChar w:fldCharType="begin"/>
      </w:r>
      <w:r>
        <w:rPr>
          <w:rFonts w:ascii="宋体" w:hAnsi="宋体" w:eastAsia="宋体"/>
          <w:b w:val="0"/>
          <w:sz w:val="21"/>
          <w:szCs w:val="21"/>
        </w:rPr>
        <w:instrText xml:space="preserve"> </w:instrText>
      </w:r>
      <w:r>
        <w:rPr>
          <w:rFonts w:hint="eastAsia" w:ascii="宋体" w:hAnsi="宋体" w:eastAsia="宋体"/>
          <w:b w:val="0"/>
          <w:sz w:val="21"/>
          <w:szCs w:val="21"/>
        </w:rPr>
        <w:instrText xml:space="preserve">TOC  \* MERGEFORMAT</w:instrText>
      </w:r>
      <w:r>
        <w:rPr>
          <w:rFonts w:ascii="宋体" w:hAnsi="宋体" w:eastAsia="宋体"/>
          <w:b w:val="0"/>
          <w:sz w:val="21"/>
          <w:szCs w:val="21"/>
        </w:rPr>
        <w:instrText xml:space="preserve"> </w:instrText>
      </w:r>
      <w:r>
        <w:rPr>
          <w:rFonts w:ascii="宋体" w:hAnsi="宋体" w:eastAsia="宋体"/>
          <w:b w:val="0"/>
          <w:sz w:val="21"/>
          <w:szCs w:val="21"/>
        </w:rPr>
        <w:fldChar w:fldCharType="separate"/>
      </w:r>
      <w:r>
        <w:rPr>
          <w:rFonts w:hint="eastAsia" w:ascii="宋体" w:hAnsi="宋体" w:eastAsia="宋体"/>
          <w:b w:val="0"/>
          <w:sz w:val="21"/>
          <w:szCs w:val="21"/>
        </w:rPr>
        <w:t>第一卷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_Toc108513473 \h </w:instrText>
      </w:r>
      <w:r>
        <w:rPr>
          <w:rFonts w:ascii="宋体" w:hAnsi="宋体" w:eastAsia="宋体"/>
          <w:b w:val="0"/>
          <w:sz w:val="21"/>
          <w:szCs w:val="21"/>
        </w:rPr>
        <w:fldChar w:fldCharType="separate"/>
      </w:r>
      <w:r>
        <w:rPr>
          <w:rFonts w:ascii="宋体" w:hAnsi="宋体" w:eastAsia="宋体"/>
          <w:b w:val="0"/>
          <w:sz w:val="21"/>
          <w:szCs w:val="21"/>
        </w:rPr>
        <w:t>1</w:t>
      </w:r>
      <w:r>
        <w:rPr>
          <w:rFonts w:ascii="宋体" w:hAnsi="宋体" w:eastAsia="宋体"/>
          <w:b w:val="0"/>
          <w:sz w:val="21"/>
          <w:szCs w:val="21"/>
        </w:rPr>
        <w:fldChar w:fldCharType="end"/>
      </w:r>
    </w:p>
    <w:p w14:paraId="1A0D80C3">
      <w:pPr>
        <w:pStyle w:val="12"/>
        <w:rPr>
          <w:rFonts w:ascii="宋体" w:hAnsi="宋体" w:eastAsia="宋体"/>
          <w:b w:val="0"/>
          <w:sz w:val="21"/>
          <w:szCs w:val="21"/>
        </w:rPr>
      </w:pPr>
      <w:r>
        <w:rPr>
          <w:rFonts w:hint="eastAsia" w:ascii="宋体" w:hAnsi="宋体" w:eastAsia="宋体"/>
          <w:b w:val="0"/>
          <w:sz w:val="21"/>
          <w:szCs w:val="21"/>
        </w:rPr>
        <w:t>第一章</w:t>
      </w:r>
      <w:r>
        <w:rPr>
          <w:rFonts w:ascii="宋体" w:hAnsi="宋体" w:eastAsia="宋体"/>
          <w:b w:val="0"/>
          <w:sz w:val="21"/>
          <w:szCs w:val="21"/>
        </w:rPr>
        <w:t xml:space="preserve">  </w:t>
      </w:r>
      <w:r>
        <w:rPr>
          <w:rFonts w:hint="eastAsia" w:ascii="宋体" w:hAnsi="宋体" w:eastAsia="宋体"/>
          <w:b w:val="0"/>
          <w:sz w:val="21"/>
          <w:szCs w:val="21"/>
        </w:rPr>
        <w:t>招标公告（适用于未进行资格预审）</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_Toc108513474 \h </w:instrText>
      </w:r>
      <w:r>
        <w:rPr>
          <w:rFonts w:ascii="宋体" w:hAnsi="宋体" w:eastAsia="宋体"/>
          <w:b w:val="0"/>
          <w:sz w:val="21"/>
          <w:szCs w:val="21"/>
        </w:rPr>
        <w:fldChar w:fldCharType="separate"/>
      </w:r>
      <w:r>
        <w:rPr>
          <w:rFonts w:ascii="宋体" w:hAnsi="宋体" w:eastAsia="宋体"/>
          <w:b w:val="0"/>
          <w:sz w:val="21"/>
          <w:szCs w:val="21"/>
        </w:rPr>
        <w:t>2</w:t>
      </w:r>
      <w:r>
        <w:rPr>
          <w:rFonts w:ascii="宋体" w:hAnsi="宋体" w:eastAsia="宋体"/>
          <w:b w:val="0"/>
          <w:sz w:val="21"/>
          <w:szCs w:val="21"/>
        </w:rPr>
        <w:fldChar w:fldCharType="end"/>
      </w:r>
    </w:p>
    <w:p w14:paraId="68A9FF78">
      <w:pPr>
        <w:pStyle w:val="13"/>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招标条件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_Toc108513475 \h </w:instrText>
      </w:r>
      <w:r>
        <w:rPr>
          <w:rFonts w:ascii="宋体" w:hAnsi="宋体" w:eastAsia="宋体"/>
          <w:sz w:val="21"/>
          <w:szCs w:val="21"/>
        </w:rPr>
        <w:fldChar w:fldCharType="separate"/>
      </w:r>
      <w:r>
        <w:rPr>
          <w:rFonts w:ascii="宋体" w:hAnsi="宋体" w:eastAsia="宋体"/>
          <w:sz w:val="21"/>
          <w:szCs w:val="21"/>
        </w:rPr>
        <w:t>2</w:t>
      </w:r>
      <w:r>
        <w:rPr>
          <w:rFonts w:ascii="宋体" w:hAnsi="宋体" w:eastAsia="宋体"/>
          <w:sz w:val="21"/>
          <w:szCs w:val="21"/>
        </w:rPr>
        <w:fldChar w:fldCharType="end"/>
      </w:r>
    </w:p>
    <w:p w14:paraId="701D305A">
      <w:pPr>
        <w:pStyle w:val="13"/>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项目概况与招标范围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_Toc108513476 \h </w:instrText>
      </w:r>
      <w:r>
        <w:rPr>
          <w:rFonts w:ascii="宋体" w:hAnsi="宋体" w:eastAsia="宋体"/>
          <w:sz w:val="21"/>
          <w:szCs w:val="21"/>
        </w:rPr>
        <w:fldChar w:fldCharType="separate"/>
      </w:r>
      <w:r>
        <w:rPr>
          <w:rFonts w:ascii="宋体" w:hAnsi="宋体" w:eastAsia="宋体"/>
          <w:sz w:val="21"/>
          <w:szCs w:val="21"/>
        </w:rPr>
        <w:t>2</w:t>
      </w:r>
      <w:r>
        <w:rPr>
          <w:rFonts w:ascii="宋体" w:hAnsi="宋体" w:eastAsia="宋体"/>
          <w:sz w:val="21"/>
          <w:szCs w:val="21"/>
        </w:rPr>
        <w:fldChar w:fldCharType="end"/>
      </w:r>
    </w:p>
    <w:p w14:paraId="3E38D1DF">
      <w:pPr>
        <w:pStyle w:val="13"/>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投标人资格要求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_Toc108513477 \h </w:instrText>
      </w:r>
      <w:r>
        <w:rPr>
          <w:rFonts w:ascii="宋体" w:hAnsi="宋体" w:eastAsia="宋体"/>
          <w:sz w:val="21"/>
          <w:szCs w:val="21"/>
        </w:rPr>
        <w:fldChar w:fldCharType="separate"/>
      </w:r>
      <w:r>
        <w:rPr>
          <w:rFonts w:ascii="宋体" w:hAnsi="宋体" w:eastAsia="宋体"/>
          <w:sz w:val="21"/>
          <w:szCs w:val="21"/>
        </w:rPr>
        <w:t>2</w:t>
      </w:r>
      <w:r>
        <w:rPr>
          <w:rFonts w:ascii="宋体" w:hAnsi="宋体" w:eastAsia="宋体"/>
          <w:sz w:val="21"/>
          <w:szCs w:val="21"/>
        </w:rPr>
        <w:fldChar w:fldCharType="end"/>
      </w:r>
    </w:p>
    <w:p w14:paraId="40A4593E">
      <w:pPr>
        <w:pStyle w:val="13"/>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招标文件的获取</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_Toc108513478 \h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p>
    <w:p w14:paraId="4E111E58">
      <w:pPr>
        <w:pStyle w:val="13"/>
        <w:tabs>
          <w:tab w:val="right" w:leader="dot" w:pos="8296"/>
        </w:tabs>
        <w:rPr>
          <w:rFonts w:ascii="宋体" w:hAnsi="宋体" w:eastAsia="宋体"/>
          <w:sz w:val="21"/>
          <w:szCs w:val="21"/>
        </w:rPr>
      </w:pPr>
      <w:r>
        <w:rPr>
          <w:rFonts w:ascii="宋体" w:hAnsi="宋体" w:eastAsia="宋体"/>
          <w:sz w:val="21"/>
          <w:szCs w:val="21"/>
        </w:rPr>
        <w:t>5.</w:t>
      </w:r>
      <w:r>
        <w:rPr>
          <w:rFonts w:hint="eastAsia" w:ascii="宋体" w:hAnsi="宋体" w:eastAsia="宋体"/>
          <w:sz w:val="21"/>
          <w:szCs w:val="21"/>
        </w:rPr>
        <w:t>投标文件的递交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_Toc108513479 \h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p>
    <w:p w14:paraId="045571B8">
      <w:pPr>
        <w:pStyle w:val="13"/>
        <w:tabs>
          <w:tab w:val="right" w:leader="dot" w:pos="8296"/>
        </w:tabs>
        <w:rPr>
          <w:rFonts w:ascii="宋体" w:hAnsi="宋体" w:eastAsia="宋体"/>
          <w:sz w:val="21"/>
          <w:szCs w:val="21"/>
        </w:rPr>
      </w:pPr>
      <w:r>
        <w:rPr>
          <w:rFonts w:ascii="宋体" w:hAnsi="宋体" w:eastAsia="宋体"/>
          <w:sz w:val="21"/>
          <w:szCs w:val="21"/>
        </w:rPr>
        <w:t>6.</w:t>
      </w:r>
      <w:r>
        <w:rPr>
          <w:rFonts w:hint="eastAsia" w:ascii="宋体" w:hAnsi="宋体" w:eastAsia="宋体"/>
          <w:sz w:val="21"/>
          <w:szCs w:val="21"/>
        </w:rPr>
        <w:t>投标相关事宜</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_Toc108513480 \h </w:instrText>
      </w:r>
      <w:r>
        <w:rPr>
          <w:rFonts w:ascii="宋体" w:hAnsi="宋体" w:eastAsia="宋体"/>
          <w:sz w:val="21"/>
          <w:szCs w:val="21"/>
        </w:rPr>
        <w:fldChar w:fldCharType="separate"/>
      </w:r>
      <w:r>
        <w:rPr>
          <w:rFonts w:ascii="宋体" w:hAnsi="宋体" w:eastAsia="宋体"/>
          <w:sz w:val="21"/>
          <w:szCs w:val="21"/>
        </w:rPr>
        <w:t>3</w:t>
      </w:r>
      <w:r>
        <w:rPr>
          <w:rFonts w:ascii="宋体" w:hAnsi="宋体" w:eastAsia="宋体"/>
          <w:sz w:val="21"/>
          <w:szCs w:val="21"/>
        </w:rPr>
        <w:fldChar w:fldCharType="end"/>
      </w:r>
    </w:p>
    <w:p w14:paraId="50F12467">
      <w:pPr>
        <w:pStyle w:val="13"/>
        <w:tabs>
          <w:tab w:val="right" w:leader="dot" w:pos="8296"/>
        </w:tabs>
        <w:rPr>
          <w:rFonts w:ascii="宋体" w:hAnsi="宋体" w:eastAsia="宋体"/>
          <w:sz w:val="21"/>
          <w:szCs w:val="21"/>
        </w:rPr>
      </w:pPr>
      <w:r>
        <w:rPr>
          <w:rFonts w:ascii="宋体" w:hAnsi="宋体" w:eastAsia="宋体"/>
          <w:sz w:val="21"/>
          <w:szCs w:val="21"/>
        </w:rPr>
        <w:t>7.</w:t>
      </w:r>
      <w:r>
        <w:rPr>
          <w:rFonts w:hint="eastAsia" w:ascii="宋体" w:hAnsi="宋体" w:eastAsia="宋体"/>
          <w:sz w:val="21"/>
          <w:szCs w:val="21"/>
        </w:rPr>
        <w:t>评标办法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_Toc108513481 \h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p>
    <w:p w14:paraId="2BD03650">
      <w:pPr>
        <w:pStyle w:val="13"/>
        <w:tabs>
          <w:tab w:val="right" w:leader="dot" w:pos="8296"/>
        </w:tabs>
        <w:rPr>
          <w:rFonts w:ascii="宋体" w:hAnsi="宋体" w:eastAsia="宋体"/>
          <w:sz w:val="21"/>
          <w:szCs w:val="21"/>
        </w:rPr>
      </w:pPr>
      <w:r>
        <w:rPr>
          <w:rFonts w:ascii="宋体" w:hAnsi="宋体" w:eastAsia="宋体"/>
          <w:sz w:val="21"/>
          <w:szCs w:val="21"/>
        </w:rPr>
        <w:t>8.</w:t>
      </w:r>
      <w:r>
        <w:rPr>
          <w:rFonts w:hint="eastAsia" w:ascii="宋体" w:hAnsi="宋体" w:eastAsia="宋体"/>
          <w:sz w:val="21"/>
          <w:szCs w:val="21"/>
        </w:rPr>
        <w:t>发布公告的媒介</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_Toc108513482 \h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p>
    <w:p w14:paraId="3007634E">
      <w:pPr>
        <w:pStyle w:val="13"/>
        <w:tabs>
          <w:tab w:val="right" w:leader="dot" w:pos="8296"/>
        </w:tabs>
        <w:rPr>
          <w:rFonts w:ascii="宋体" w:hAnsi="宋体" w:eastAsia="宋体"/>
          <w:sz w:val="21"/>
          <w:szCs w:val="21"/>
        </w:rPr>
      </w:pPr>
      <w:r>
        <w:rPr>
          <w:rFonts w:ascii="宋体" w:hAnsi="宋体" w:eastAsia="宋体"/>
          <w:sz w:val="21"/>
          <w:szCs w:val="21"/>
        </w:rPr>
        <w:t>9.</w:t>
      </w:r>
      <w:r>
        <w:rPr>
          <w:rFonts w:hint="eastAsia" w:ascii="宋体" w:hAnsi="宋体" w:eastAsia="宋体"/>
          <w:sz w:val="21"/>
          <w:szCs w:val="21"/>
        </w:rPr>
        <w:t>联系方式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_Toc108513483 \h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p>
    <w:p w14:paraId="7C84EB86">
      <w:pPr>
        <w:pStyle w:val="12"/>
        <w:rPr>
          <w:rFonts w:ascii="宋体" w:hAnsi="宋体" w:eastAsia="宋体"/>
          <w:b w:val="0"/>
          <w:sz w:val="21"/>
          <w:szCs w:val="21"/>
        </w:rPr>
      </w:pPr>
      <w:r>
        <w:rPr>
          <w:rFonts w:hint="eastAsia" w:ascii="宋体" w:hAnsi="宋体" w:eastAsia="宋体"/>
          <w:b w:val="0"/>
          <w:sz w:val="21"/>
          <w:szCs w:val="21"/>
        </w:rPr>
        <w:t>第二章</w:t>
      </w:r>
      <w:r>
        <w:rPr>
          <w:rFonts w:ascii="宋体" w:hAnsi="宋体" w:eastAsia="宋体"/>
          <w:b w:val="0"/>
          <w:sz w:val="21"/>
          <w:szCs w:val="21"/>
        </w:rPr>
        <w:t xml:space="preserve">  </w:t>
      </w:r>
      <w:r>
        <w:rPr>
          <w:rFonts w:hint="eastAsia" w:ascii="宋体" w:hAnsi="宋体" w:eastAsia="宋体"/>
          <w:b w:val="0"/>
          <w:sz w:val="21"/>
          <w:szCs w:val="21"/>
        </w:rPr>
        <w:t>投标人须知</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_Toc108513493 \h </w:instrText>
      </w:r>
      <w:r>
        <w:rPr>
          <w:rFonts w:ascii="宋体" w:hAnsi="宋体" w:eastAsia="宋体"/>
          <w:b w:val="0"/>
          <w:sz w:val="21"/>
          <w:szCs w:val="21"/>
        </w:rPr>
        <w:fldChar w:fldCharType="separate"/>
      </w:r>
      <w:r>
        <w:rPr>
          <w:rFonts w:ascii="宋体" w:hAnsi="宋体" w:eastAsia="宋体"/>
          <w:b w:val="0"/>
          <w:sz w:val="21"/>
          <w:szCs w:val="21"/>
        </w:rPr>
        <w:t>9</w:t>
      </w:r>
      <w:r>
        <w:rPr>
          <w:rFonts w:ascii="宋体" w:hAnsi="宋体" w:eastAsia="宋体"/>
          <w:b w:val="0"/>
          <w:sz w:val="21"/>
          <w:szCs w:val="21"/>
        </w:rPr>
        <w:fldChar w:fldCharType="end"/>
      </w:r>
    </w:p>
    <w:p w14:paraId="643FD17D">
      <w:pPr>
        <w:pStyle w:val="13"/>
        <w:tabs>
          <w:tab w:val="right" w:leader="dot" w:pos="8296"/>
        </w:tabs>
        <w:rPr>
          <w:rFonts w:ascii="宋体" w:hAnsi="宋体" w:eastAsia="宋体"/>
          <w:sz w:val="21"/>
          <w:szCs w:val="21"/>
        </w:rPr>
      </w:pPr>
      <w:r>
        <w:rPr>
          <w:rFonts w:hint="eastAsia" w:ascii="宋体" w:hAnsi="宋体" w:eastAsia="宋体"/>
          <w:sz w:val="21"/>
          <w:szCs w:val="21"/>
        </w:rPr>
        <w:t>投标人须知前附表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_Toc108513494 \h </w:instrText>
      </w:r>
      <w:r>
        <w:rPr>
          <w:rFonts w:ascii="宋体" w:hAnsi="宋体" w:eastAsia="宋体"/>
          <w:sz w:val="21"/>
          <w:szCs w:val="21"/>
        </w:rPr>
        <w:fldChar w:fldCharType="separate"/>
      </w:r>
      <w:r>
        <w:rPr>
          <w:rFonts w:ascii="宋体" w:hAnsi="宋体" w:eastAsia="宋体"/>
          <w:sz w:val="21"/>
          <w:szCs w:val="21"/>
        </w:rPr>
        <w:t>9</w:t>
      </w:r>
      <w:r>
        <w:rPr>
          <w:rFonts w:ascii="宋体" w:hAnsi="宋体" w:eastAsia="宋体"/>
          <w:sz w:val="21"/>
          <w:szCs w:val="21"/>
        </w:rPr>
        <w:fldChar w:fldCharType="end"/>
      </w:r>
    </w:p>
    <w:p w14:paraId="09ECC2A8">
      <w:pPr>
        <w:pStyle w:val="13"/>
        <w:tabs>
          <w:tab w:val="right" w:leader="dot" w:pos="8296"/>
        </w:tabs>
        <w:rPr>
          <w:rFonts w:ascii="宋体" w:hAnsi="宋体" w:eastAsia="宋体"/>
          <w:sz w:val="21"/>
          <w:szCs w:val="21"/>
        </w:rPr>
      </w:pPr>
      <w:r>
        <w:rPr>
          <w:rFonts w:hint="eastAsia" w:ascii="宋体" w:hAnsi="宋体" w:eastAsia="宋体"/>
          <w:sz w:val="21"/>
          <w:szCs w:val="21"/>
        </w:rPr>
        <w:t>投标人须知正文部分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_Toc108513495 \h </w:instrText>
      </w:r>
      <w:r>
        <w:rPr>
          <w:rFonts w:ascii="宋体" w:hAnsi="宋体" w:eastAsia="宋体"/>
          <w:sz w:val="21"/>
          <w:szCs w:val="21"/>
        </w:rPr>
        <w:fldChar w:fldCharType="separate"/>
      </w:r>
      <w:r>
        <w:rPr>
          <w:rFonts w:ascii="宋体" w:hAnsi="宋体" w:eastAsia="宋体"/>
          <w:sz w:val="21"/>
          <w:szCs w:val="21"/>
        </w:rPr>
        <w:t>16</w:t>
      </w:r>
      <w:r>
        <w:rPr>
          <w:rFonts w:ascii="宋体" w:hAnsi="宋体" w:eastAsia="宋体"/>
          <w:sz w:val="21"/>
          <w:szCs w:val="21"/>
        </w:rPr>
        <w:fldChar w:fldCharType="end"/>
      </w:r>
    </w:p>
    <w:p w14:paraId="189939C6">
      <w:pPr>
        <w:pStyle w:val="13"/>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总则</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_Toc108513496 \h </w:instrText>
      </w:r>
      <w:r>
        <w:rPr>
          <w:rFonts w:ascii="宋体" w:hAnsi="宋体" w:eastAsia="宋体"/>
          <w:sz w:val="21"/>
          <w:szCs w:val="21"/>
        </w:rPr>
        <w:fldChar w:fldCharType="separate"/>
      </w:r>
      <w:r>
        <w:rPr>
          <w:rFonts w:ascii="宋体" w:hAnsi="宋体" w:eastAsia="宋体"/>
          <w:sz w:val="21"/>
          <w:szCs w:val="21"/>
        </w:rPr>
        <w:t>16</w:t>
      </w:r>
      <w:r>
        <w:rPr>
          <w:rFonts w:ascii="宋体" w:hAnsi="宋体" w:eastAsia="宋体"/>
          <w:sz w:val="21"/>
          <w:szCs w:val="21"/>
        </w:rPr>
        <w:fldChar w:fldCharType="end"/>
      </w:r>
    </w:p>
    <w:p w14:paraId="19AD1EBD">
      <w:pPr>
        <w:pStyle w:val="8"/>
        <w:tabs>
          <w:tab w:val="right" w:leader="dot" w:pos="8296"/>
        </w:tabs>
        <w:rPr>
          <w:rFonts w:ascii="宋体" w:hAnsi="宋体"/>
          <w:szCs w:val="21"/>
        </w:rPr>
      </w:pPr>
      <w:r>
        <w:rPr>
          <w:rFonts w:ascii="宋体" w:hAnsi="宋体"/>
          <w:szCs w:val="21"/>
        </w:rPr>
        <w:t xml:space="preserve">1.1 </w:t>
      </w:r>
      <w:r>
        <w:rPr>
          <w:rFonts w:hint="eastAsia" w:ascii="宋体" w:hAnsi="宋体"/>
          <w:szCs w:val="21"/>
        </w:rPr>
        <w:t>项目概况</w:t>
      </w:r>
      <w:r>
        <w:rPr>
          <w:rFonts w:ascii="宋体" w:hAnsi="宋体"/>
          <w:szCs w:val="21"/>
        </w:rPr>
        <w:tab/>
      </w:r>
      <w:r>
        <w:rPr>
          <w:rFonts w:ascii="宋体" w:hAnsi="宋体"/>
          <w:szCs w:val="21"/>
        </w:rPr>
        <w:fldChar w:fldCharType="begin"/>
      </w:r>
      <w:r>
        <w:rPr>
          <w:rFonts w:ascii="宋体" w:hAnsi="宋体"/>
          <w:szCs w:val="21"/>
        </w:rPr>
        <w:instrText xml:space="preserve"> PAGEREF _Toc108513497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1E2607E1">
      <w:pPr>
        <w:pStyle w:val="8"/>
        <w:tabs>
          <w:tab w:val="right" w:leader="dot" w:pos="8296"/>
        </w:tabs>
        <w:rPr>
          <w:rFonts w:ascii="宋体" w:hAnsi="宋体"/>
          <w:szCs w:val="21"/>
        </w:rPr>
      </w:pPr>
      <w:r>
        <w:rPr>
          <w:rFonts w:ascii="宋体" w:hAnsi="宋体"/>
          <w:szCs w:val="21"/>
        </w:rPr>
        <w:t xml:space="preserve">1.2 </w:t>
      </w:r>
      <w:r>
        <w:rPr>
          <w:rFonts w:hint="eastAsia" w:ascii="宋体" w:hAnsi="宋体"/>
          <w:szCs w:val="21"/>
        </w:rPr>
        <w:t>资金来源和落实情况</w:t>
      </w:r>
      <w:r>
        <w:rPr>
          <w:rFonts w:ascii="宋体" w:hAnsi="宋体"/>
          <w:szCs w:val="21"/>
        </w:rPr>
        <w:tab/>
      </w:r>
      <w:r>
        <w:rPr>
          <w:rFonts w:ascii="宋体" w:hAnsi="宋体"/>
          <w:szCs w:val="21"/>
        </w:rPr>
        <w:fldChar w:fldCharType="begin"/>
      </w:r>
      <w:r>
        <w:rPr>
          <w:rFonts w:ascii="宋体" w:hAnsi="宋体"/>
          <w:szCs w:val="21"/>
        </w:rPr>
        <w:instrText xml:space="preserve"> PAGEREF _Toc108513498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4B6C8484">
      <w:pPr>
        <w:pStyle w:val="8"/>
        <w:tabs>
          <w:tab w:val="right" w:leader="dot" w:pos="8296"/>
        </w:tabs>
        <w:rPr>
          <w:rFonts w:ascii="宋体" w:hAnsi="宋体"/>
          <w:szCs w:val="21"/>
        </w:rPr>
      </w:pPr>
      <w:r>
        <w:rPr>
          <w:rFonts w:ascii="宋体" w:hAnsi="宋体"/>
          <w:szCs w:val="21"/>
        </w:rPr>
        <w:t xml:space="preserve">1.3 </w:t>
      </w:r>
      <w:r>
        <w:rPr>
          <w:rFonts w:hint="eastAsia" w:ascii="宋体" w:hAnsi="宋体"/>
          <w:szCs w:val="21"/>
        </w:rPr>
        <w:t>招标范围、计划工期和质量要求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_Toc108513499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2027E413">
      <w:pPr>
        <w:pStyle w:val="8"/>
        <w:tabs>
          <w:tab w:val="right" w:leader="dot" w:pos="8296"/>
        </w:tabs>
        <w:rPr>
          <w:rFonts w:ascii="宋体" w:hAnsi="宋体"/>
          <w:szCs w:val="21"/>
        </w:rPr>
      </w:pPr>
      <w:r>
        <w:rPr>
          <w:rFonts w:ascii="宋体" w:hAnsi="宋体"/>
          <w:szCs w:val="21"/>
        </w:rPr>
        <w:t xml:space="preserve">1.4 </w:t>
      </w:r>
      <w:r>
        <w:rPr>
          <w:rFonts w:hint="eastAsia" w:ascii="宋体" w:hAnsi="宋体"/>
          <w:szCs w:val="21"/>
        </w:rPr>
        <w:t>投标人资格要求（适用于未进行资格预审的）</w:t>
      </w:r>
      <w:r>
        <w:rPr>
          <w:rFonts w:ascii="宋体" w:hAnsi="宋体"/>
          <w:szCs w:val="21"/>
        </w:rPr>
        <w:tab/>
      </w:r>
      <w:r>
        <w:rPr>
          <w:rFonts w:ascii="宋体" w:hAnsi="宋体"/>
          <w:szCs w:val="21"/>
        </w:rPr>
        <w:fldChar w:fldCharType="begin"/>
      </w:r>
      <w:r>
        <w:rPr>
          <w:rFonts w:ascii="宋体" w:hAnsi="宋体"/>
          <w:szCs w:val="21"/>
        </w:rPr>
        <w:instrText xml:space="preserve"> PAGEREF _Toc108513500 \h </w:instrText>
      </w:r>
      <w:r>
        <w:rPr>
          <w:rFonts w:ascii="宋体" w:hAnsi="宋体"/>
          <w:szCs w:val="21"/>
        </w:rPr>
        <w:fldChar w:fldCharType="separate"/>
      </w:r>
      <w:r>
        <w:rPr>
          <w:rFonts w:ascii="宋体" w:hAnsi="宋体"/>
          <w:szCs w:val="21"/>
        </w:rPr>
        <w:t>16</w:t>
      </w:r>
      <w:r>
        <w:rPr>
          <w:rFonts w:ascii="宋体" w:hAnsi="宋体"/>
          <w:szCs w:val="21"/>
        </w:rPr>
        <w:fldChar w:fldCharType="end"/>
      </w:r>
    </w:p>
    <w:p w14:paraId="14D331F7">
      <w:pPr>
        <w:pStyle w:val="8"/>
        <w:tabs>
          <w:tab w:val="right" w:leader="dot" w:pos="8296"/>
        </w:tabs>
        <w:rPr>
          <w:rFonts w:ascii="宋体" w:hAnsi="宋体"/>
          <w:szCs w:val="21"/>
        </w:rPr>
      </w:pPr>
      <w:r>
        <w:rPr>
          <w:rFonts w:ascii="宋体" w:hAnsi="宋体"/>
          <w:szCs w:val="21"/>
        </w:rPr>
        <w:t xml:space="preserve">1.5 </w:t>
      </w:r>
      <w:r>
        <w:rPr>
          <w:rFonts w:hint="eastAsia" w:ascii="宋体" w:hAnsi="宋体"/>
          <w:szCs w:val="21"/>
        </w:rPr>
        <w:t>费用承担</w:t>
      </w:r>
      <w:r>
        <w:rPr>
          <w:rFonts w:ascii="宋体" w:hAnsi="宋体"/>
          <w:szCs w:val="21"/>
        </w:rPr>
        <w:tab/>
      </w:r>
      <w:r>
        <w:rPr>
          <w:rFonts w:ascii="宋体" w:hAnsi="宋体"/>
          <w:szCs w:val="21"/>
        </w:rPr>
        <w:fldChar w:fldCharType="begin"/>
      </w:r>
      <w:r>
        <w:rPr>
          <w:rFonts w:ascii="宋体" w:hAnsi="宋体"/>
          <w:szCs w:val="21"/>
        </w:rPr>
        <w:instrText xml:space="preserve"> PAGEREF _Toc108513501 \h </w:instrText>
      </w:r>
      <w:r>
        <w:rPr>
          <w:rFonts w:ascii="宋体" w:hAnsi="宋体"/>
          <w:szCs w:val="21"/>
        </w:rPr>
        <w:fldChar w:fldCharType="separate"/>
      </w:r>
      <w:r>
        <w:rPr>
          <w:rFonts w:ascii="宋体" w:hAnsi="宋体"/>
          <w:szCs w:val="21"/>
        </w:rPr>
        <w:t>17</w:t>
      </w:r>
      <w:r>
        <w:rPr>
          <w:rFonts w:ascii="宋体" w:hAnsi="宋体"/>
          <w:szCs w:val="21"/>
        </w:rPr>
        <w:fldChar w:fldCharType="end"/>
      </w:r>
    </w:p>
    <w:p w14:paraId="74B4FA9C">
      <w:pPr>
        <w:pStyle w:val="8"/>
        <w:tabs>
          <w:tab w:val="right" w:leader="dot" w:pos="8296"/>
        </w:tabs>
        <w:rPr>
          <w:rFonts w:ascii="宋体" w:hAnsi="宋体"/>
          <w:szCs w:val="21"/>
        </w:rPr>
      </w:pPr>
      <w:r>
        <w:rPr>
          <w:rFonts w:ascii="宋体" w:hAnsi="宋体"/>
          <w:szCs w:val="21"/>
        </w:rPr>
        <w:t xml:space="preserve">1.6 </w:t>
      </w:r>
      <w:r>
        <w:rPr>
          <w:rFonts w:hint="eastAsia" w:ascii="宋体" w:hAnsi="宋体"/>
          <w:szCs w:val="21"/>
        </w:rPr>
        <w:t>保密</w:t>
      </w:r>
      <w:r>
        <w:rPr>
          <w:rFonts w:ascii="宋体" w:hAnsi="宋体"/>
          <w:szCs w:val="21"/>
        </w:rPr>
        <w:tab/>
      </w:r>
      <w:r>
        <w:rPr>
          <w:rFonts w:ascii="宋体" w:hAnsi="宋体"/>
          <w:szCs w:val="21"/>
        </w:rPr>
        <w:fldChar w:fldCharType="begin"/>
      </w:r>
      <w:r>
        <w:rPr>
          <w:rFonts w:ascii="宋体" w:hAnsi="宋体"/>
          <w:szCs w:val="21"/>
        </w:rPr>
        <w:instrText xml:space="preserve"> PAGEREF _Toc108513502 \h </w:instrText>
      </w:r>
      <w:r>
        <w:rPr>
          <w:rFonts w:ascii="宋体" w:hAnsi="宋体"/>
          <w:szCs w:val="21"/>
        </w:rPr>
        <w:fldChar w:fldCharType="separate"/>
      </w:r>
      <w:r>
        <w:rPr>
          <w:rFonts w:ascii="宋体" w:hAnsi="宋体"/>
          <w:szCs w:val="21"/>
        </w:rPr>
        <w:t>17</w:t>
      </w:r>
      <w:r>
        <w:rPr>
          <w:rFonts w:ascii="宋体" w:hAnsi="宋体"/>
          <w:szCs w:val="21"/>
        </w:rPr>
        <w:fldChar w:fldCharType="end"/>
      </w:r>
    </w:p>
    <w:p w14:paraId="56896988">
      <w:pPr>
        <w:pStyle w:val="8"/>
        <w:tabs>
          <w:tab w:val="right" w:leader="dot" w:pos="8296"/>
        </w:tabs>
        <w:rPr>
          <w:rFonts w:ascii="宋体" w:hAnsi="宋体"/>
          <w:szCs w:val="21"/>
        </w:rPr>
      </w:pPr>
      <w:r>
        <w:rPr>
          <w:rFonts w:ascii="宋体" w:hAnsi="宋体"/>
          <w:szCs w:val="21"/>
        </w:rPr>
        <w:t xml:space="preserve">1.7 </w:t>
      </w:r>
      <w:r>
        <w:rPr>
          <w:rFonts w:hint="eastAsia" w:ascii="宋体" w:hAnsi="宋体"/>
          <w:szCs w:val="21"/>
        </w:rPr>
        <w:t>语言文字</w:t>
      </w:r>
      <w:r>
        <w:rPr>
          <w:rFonts w:ascii="宋体" w:hAnsi="宋体"/>
          <w:szCs w:val="21"/>
        </w:rPr>
        <w:tab/>
      </w:r>
      <w:r>
        <w:rPr>
          <w:rFonts w:ascii="宋体" w:hAnsi="宋体"/>
          <w:szCs w:val="21"/>
        </w:rPr>
        <w:fldChar w:fldCharType="begin"/>
      </w:r>
      <w:r>
        <w:rPr>
          <w:rFonts w:ascii="宋体" w:hAnsi="宋体"/>
          <w:szCs w:val="21"/>
        </w:rPr>
        <w:instrText xml:space="preserve"> PAGEREF _Toc108513503 \h </w:instrText>
      </w:r>
      <w:r>
        <w:rPr>
          <w:rFonts w:ascii="宋体" w:hAnsi="宋体"/>
          <w:szCs w:val="21"/>
        </w:rPr>
        <w:fldChar w:fldCharType="separate"/>
      </w:r>
      <w:r>
        <w:rPr>
          <w:rFonts w:ascii="宋体" w:hAnsi="宋体"/>
          <w:szCs w:val="21"/>
        </w:rPr>
        <w:t>17</w:t>
      </w:r>
      <w:r>
        <w:rPr>
          <w:rFonts w:ascii="宋体" w:hAnsi="宋体"/>
          <w:szCs w:val="21"/>
        </w:rPr>
        <w:fldChar w:fldCharType="end"/>
      </w:r>
    </w:p>
    <w:p w14:paraId="76575B9C">
      <w:pPr>
        <w:pStyle w:val="8"/>
        <w:tabs>
          <w:tab w:val="right" w:leader="dot" w:pos="8296"/>
        </w:tabs>
        <w:rPr>
          <w:rFonts w:ascii="宋体" w:hAnsi="宋体"/>
          <w:szCs w:val="21"/>
        </w:rPr>
      </w:pPr>
      <w:r>
        <w:rPr>
          <w:rFonts w:ascii="宋体" w:hAnsi="宋体"/>
          <w:szCs w:val="21"/>
        </w:rPr>
        <w:t xml:space="preserve">1.8 </w:t>
      </w:r>
      <w:r>
        <w:rPr>
          <w:rFonts w:hint="eastAsia" w:ascii="宋体" w:hAnsi="宋体"/>
          <w:szCs w:val="21"/>
        </w:rPr>
        <w:t>计量单位</w:t>
      </w:r>
      <w:r>
        <w:rPr>
          <w:rFonts w:ascii="宋体" w:hAnsi="宋体"/>
          <w:szCs w:val="21"/>
        </w:rPr>
        <w:tab/>
      </w:r>
      <w:r>
        <w:rPr>
          <w:rFonts w:ascii="宋体" w:hAnsi="宋体"/>
          <w:szCs w:val="21"/>
        </w:rPr>
        <w:fldChar w:fldCharType="begin"/>
      </w:r>
      <w:r>
        <w:rPr>
          <w:rFonts w:ascii="宋体" w:hAnsi="宋体"/>
          <w:szCs w:val="21"/>
        </w:rPr>
        <w:instrText xml:space="preserve"> PAGEREF _Toc108513504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31B4E471">
      <w:pPr>
        <w:pStyle w:val="8"/>
        <w:tabs>
          <w:tab w:val="right" w:leader="dot" w:pos="8296"/>
        </w:tabs>
        <w:rPr>
          <w:rFonts w:ascii="宋体" w:hAnsi="宋体"/>
          <w:szCs w:val="21"/>
        </w:rPr>
      </w:pPr>
      <w:r>
        <w:rPr>
          <w:rFonts w:ascii="宋体" w:hAnsi="宋体"/>
          <w:szCs w:val="21"/>
        </w:rPr>
        <w:t xml:space="preserve">1.9 </w:t>
      </w:r>
      <w:r>
        <w:rPr>
          <w:rFonts w:hint="eastAsia" w:ascii="宋体" w:hAnsi="宋体"/>
          <w:szCs w:val="21"/>
        </w:rPr>
        <w:t>踏勘现场</w:t>
      </w:r>
      <w:r>
        <w:rPr>
          <w:rFonts w:ascii="宋体" w:hAnsi="宋体"/>
          <w:szCs w:val="21"/>
        </w:rPr>
        <w:tab/>
      </w:r>
      <w:r>
        <w:rPr>
          <w:rFonts w:ascii="宋体" w:hAnsi="宋体"/>
          <w:szCs w:val="21"/>
        </w:rPr>
        <w:fldChar w:fldCharType="begin"/>
      </w:r>
      <w:r>
        <w:rPr>
          <w:rFonts w:ascii="宋体" w:hAnsi="宋体"/>
          <w:szCs w:val="21"/>
        </w:rPr>
        <w:instrText xml:space="preserve"> PAGEREF _Toc108513505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1236F872">
      <w:pPr>
        <w:pStyle w:val="8"/>
        <w:tabs>
          <w:tab w:val="right" w:leader="dot" w:pos="8296"/>
        </w:tabs>
        <w:rPr>
          <w:rFonts w:ascii="宋体" w:hAnsi="宋体"/>
          <w:szCs w:val="21"/>
        </w:rPr>
      </w:pPr>
      <w:r>
        <w:rPr>
          <w:rFonts w:ascii="宋体" w:hAnsi="宋体"/>
          <w:szCs w:val="21"/>
        </w:rPr>
        <w:t xml:space="preserve">1.10 </w:t>
      </w:r>
      <w:r>
        <w:rPr>
          <w:rFonts w:hint="eastAsia" w:ascii="宋体" w:hAnsi="宋体"/>
          <w:szCs w:val="21"/>
        </w:rPr>
        <w:t>投标预备会</w:t>
      </w:r>
      <w:r>
        <w:rPr>
          <w:rFonts w:ascii="宋体" w:hAnsi="宋体"/>
          <w:szCs w:val="21"/>
        </w:rPr>
        <w:tab/>
      </w:r>
      <w:r>
        <w:rPr>
          <w:rFonts w:ascii="宋体" w:hAnsi="宋体"/>
          <w:szCs w:val="21"/>
        </w:rPr>
        <w:fldChar w:fldCharType="begin"/>
      </w:r>
      <w:r>
        <w:rPr>
          <w:rFonts w:ascii="宋体" w:hAnsi="宋体"/>
          <w:szCs w:val="21"/>
        </w:rPr>
        <w:instrText xml:space="preserve"> PAGEREF _Toc108513506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4023E6E4">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_Toc108513507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4453A0D7">
      <w:pPr>
        <w:pStyle w:val="8"/>
        <w:tabs>
          <w:tab w:val="right" w:leader="dot" w:pos="8296"/>
        </w:tabs>
        <w:rPr>
          <w:rFonts w:ascii="宋体" w:hAnsi="宋体"/>
          <w:szCs w:val="21"/>
        </w:rPr>
      </w:pPr>
      <w:r>
        <w:rPr>
          <w:rFonts w:ascii="宋体" w:hAnsi="宋体"/>
          <w:szCs w:val="21"/>
        </w:rPr>
        <w:t xml:space="preserve">1.12 </w:t>
      </w:r>
      <w:r>
        <w:rPr>
          <w:rFonts w:hint="eastAsia" w:ascii="宋体" w:hAnsi="宋体"/>
          <w:szCs w:val="21"/>
        </w:rPr>
        <w:t>偏离</w:t>
      </w:r>
      <w:r>
        <w:rPr>
          <w:rFonts w:ascii="宋体" w:hAnsi="宋体"/>
          <w:szCs w:val="21"/>
        </w:rPr>
        <w:tab/>
      </w:r>
      <w:r>
        <w:rPr>
          <w:rFonts w:ascii="宋体" w:hAnsi="宋体"/>
          <w:szCs w:val="21"/>
        </w:rPr>
        <w:fldChar w:fldCharType="begin"/>
      </w:r>
      <w:r>
        <w:rPr>
          <w:rFonts w:ascii="宋体" w:hAnsi="宋体"/>
          <w:szCs w:val="21"/>
        </w:rPr>
        <w:instrText xml:space="preserve"> PAGEREF _Toc108513508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53D68AC8">
      <w:pPr>
        <w:pStyle w:val="13"/>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招标文件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_Toc108513509 \h </w:instrText>
      </w:r>
      <w:r>
        <w:rPr>
          <w:rFonts w:ascii="宋体" w:hAnsi="宋体" w:eastAsia="宋体"/>
          <w:sz w:val="21"/>
          <w:szCs w:val="21"/>
        </w:rPr>
        <w:fldChar w:fldCharType="separate"/>
      </w:r>
      <w:r>
        <w:rPr>
          <w:rFonts w:ascii="宋体" w:hAnsi="宋体" w:eastAsia="宋体"/>
          <w:sz w:val="21"/>
          <w:szCs w:val="21"/>
        </w:rPr>
        <w:t>18</w:t>
      </w:r>
      <w:r>
        <w:rPr>
          <w:rFonts w:ascii="宋体" w:hAnsi="宋体" w:eastAsia="宋体"/>
          <w:sz w:val="21"/>
          <w:szCs w:val="21"/>
        </w:rPr>
        <w:fldChar w:fldCharType="end"/>
      </w:r>
    </w:p>
    <w:p w14:paraId="05EF945E">
      <w:pPr>
        <w:pStyle w:val="8"/>
        <w:tabs>
          <w:tab w:val="right" w:leader="dot" w:pos="8296"/>
        </w:tabs>
        <w:rPr>
          <w:rFonts w:ascii="宋体" w:hAnsi="宋体"/>
          <w:szCs w:val="21"/>
        </w:rPr>
      </w:pPr>
      <w:r>
        <w:rPr>
          <w:rFonts w:ascii="宋体" w:hAnsi="宋体"/>
          <w:szCs w:val="21"/>
        </w:rPr>
        <w:t xml:space="preserve">2.1 </w:t>
      </w:r>
      <w:r>
        <w:rPr>
          <w:rFonts w:hint="eastAsia" w:ascii="宋体" w:hAnsi="宋体"/>
          <w:szCs w:val="21"/>
        </w:rPr>
        <w:t>招标文件的组成</w:t>
      </w:r>
      <w:r>
        <w:rPr>
          <w:rFonts w:ascii="宋体" w:hAnsi="宋体"/>
          <w:szCs w:val="21"/>
        </w:rPr>
        <w:tab/>
      </w:r>
      <w:r>
        <w:rPr>
          <w:rFonts w:ascii="宋体" w:hAnsi="宋体"/>
          <w:szCs w:val="21"/>
        </w:rPr>
        <w:fldChar w:fldCharType="begin"/>
      </w:r>
      <w:r>
        <w:rPr>
          <w:rFonts w:ascii="宋体" w:hAnsi="宋体"/>
          <w:szCs w:val="21"/>
        </w:rPr>
        <w:instrText xml:space="preserve"> PAGEREF _Toc108513510 \h </w:instrText>
      </w:r>
      <w:r>
        <w:rPr>
          <w:rFonts w:ascii="宋体" w:hAnsi="宋体"/>
          <w:szCs w:val="21"/>
        </w:rPr>
        <w:fldChar w:fldCharType="separate"/>
      </w:r>
      <w:r>
        <w:rPr>
          <w:rFonts w:ascii="宋体" w:hAnsi="宋体"/>
          <w:szCs w:val="21"/>
        </w:rPr>
        <w:t>18</w:t>
      </w:r>
      <w:r>
        <w:rPr>
          <w:rFonts w:ascii="宋体" w:hAnsi="宋体"/>
          <w:szCs w:val="21"/>
        </w:rPr>
        <w:fldChar w:fldCharType="end"/>
      </w:r>
    </w:p>
    <w:p w14:paraId="19DFD957">
      <w:pPr>
        <w:pStyle w:val="8"/>
        <w:tabs>
          <w:tab w:val="right" w:leader="dot" w:pos="8296"/>
        </w:tabs>
        <w:rPr>
          <w:rFonts w:ascii="宋体" w:hAnsi="宋体"/>
          <w:szCs w:val="21"/>
        </w:rPr>
      </w:pPr>
      <w:r>
        <w:rPr>
          <w:rFonts w:ascii="宋体" w:hAnsi="宋体"/>
          <w:szCs w:val="21"/>
        </w:rPr>
        <w:t xml:space="preserve">2.2 </w:t>
      </w:r>
      <w:r>
        <w:rPr>
          <w:rFonts w:hint="eastAsia" w:ascii="宋体" w:hAnsi="宋体"/>
          <w:szCs w:val="21"/>
        </w:rPr>
        <w:t>招标文件的澄清</w:t>
      </w:r>
      <w:r>
        <w:rPr>
          <w:rFonts w:ascii="宋体" w:hAnsi="宋体"/>
          <w:szCs w:val="21"/>
        </w:rPr>
        <w:tab/>
      </w:r>
      <w:r>
        <w:rPr>
          <w:rFonts w:ascii="宋体" w:hAnsi="宋体"/>
          <w:szCs w:val="21"/>
        </w:rPr>
        <w:fldChar w:fldCharType="begin"/>
      </w:r>
      <w:r>
        <w:rPr>
          <w:rFonts w:ascii="宋体" w:hAnsi="宋体"/>
          <w:szCs w:val="21"/>
        </w:rPr>
        <w:instrText xml:space="preserve"> PAGEREF _Toc108513511 \h </w:instrText>
      </w:r>
      <w:r>
        <w:rPr>
          <w:rFonts w:ascii="宋体" w:hAnsi="宋体"/>
          <w:szCs w:val="21"/>
        </w:rPr>
        <w:fldChar w:fldCharType="separate"/>
      </w:r>
      <w:r>
        <w:rPr>
          <w:rFonts w:ascii="宋体" w:hAnsi="宋体"/>
          <w:szCs w:val="21"/>
        </w:rPr>
        <w:t>19</w:t>
      </w:r>
      <w:r>
        <w:rPr>
          <w:rFonts w:ascii="宋体" w:hAnsi="宋体"/>
          <w:szCs w:val="21"/>
        </w:rPr>
        <w:fldChar w:fldCharType="end"/>
      </w:r>
    </w:p>
    <w:p w14:paraId="7EB0D8A9">
      <w:pPr>
        <w:pStyle w:val="8"/>
        <w:tabs>
          <w:tab w:val="right" w:leader="dot" w:pos="8296"/>
        </w:tabs>
        <w:rPr>
          <w:rFonts w:ascii="宋体" w:hAnsi="宋体"/>
          <w:szCs w:val="21"/>
        </w:rPr>
      </w:pPr>
      <w:r>
        <w:rPr>
          <w:rFonts w:ascii="宋体" w:hAnsi="宋体"/>
          <w:szCs w:val="21"/>
        </w:rPr>
        <w:t xml:space="preserve">2.3 </w:t>
      </w:r>
      <w:r>
        <w:rPr>
          <w:rFonts w:hint="eastAsia" w:ascii="宋体" w:hAnsi="宋体"/>
          <w:szCs w:val="21"/>
        </w:rPr>
        <w:t>招标文件的修改</w:t>
      </w:r>
      <w:r>
        <w:rPr>
          <w:rFonts w:ascii="宋体" w:hAnsi="宋体"/>
          <w:szCs w:val="21"/>
        </w:rPr>
        <w:tab/>
      </w:r>
      <w:r>
        <w:rPr>
          <w:rFonts w:ascii="宋体" w:hAnsi="宋体"/>
          <w:szCs w:val="21"/>
        </w:rPr>
        <w:fldChar w:fldCharType="begin"/>
      </w:r>
      <w:r>
        <w:rPr>
          <w:rFonts w:ascii="宋体" w:hAnsi="宋体"/>
          <w:szCs w:val="21"/>
        </w:rPr>
        <w:instrText xml:space="preserve"> PAGEREF _Toc108513512 \h </w:instrText>
      </w:r>
      <w:r>
        <w:rPr>
          <w:rFonts w:ascii="宋体" w:hAnsi="宋体"/>
          <w:szCs w:val="21"/>
        </w:rPr>
        <w:fldChar w:fldCharType="separate"/>
      </w:r>
      <w:r>
        <w:rPr>
          <w:rFonts w:ascii="宋体" w:hAnsi="宋体"/>
          <w:szCs w:val="21"/>
        </w:rPr>
        <w:t>19</w:t>
      </w:r>
      <w:r>
        <w:rPr>
          <w:rFonts w:ascii="宋体" w:hAnsi="宋体"/>
          <w:szCs w:val="21"/>
        </w:rPr>
        <w:fldChar w:fldCharType="end"/>
      </w:r>
    </w:p>
    <w:p w14:paraId="7A789F2C">
      <w:pPr>
        <w:pStyle w:val="8"/>
        <w:tabs>
          <w:tab w:val="right" w:leader="dot" w:pos="8296"/>
        </w:tabs>
        <w:rPr>
          <w:rFonts w:ascii="宋体" w:hAnsi="宋体"/>
          <w:szCs w:val="21"/>
        </w:rPr>
      </w:pPr>
      <w:r>
        <w:rPr>
          <w:rFonts w:ascii="宋体" w:hAnsi="宋体"/>
          <w:szCs w:val="21"/>
        </w:rPr>
        <w:t xml:space="preserve">2.4 </w:t>
      </w:r>
      <w:r>
        <w:rPr>
          <w:rFonts w:hint="eastAsia" w:ascii="宋体" w:hAnsi="宋体"/>
          <w:szCs w:val="21"/>
        </w:rPr>
        <w:t>招标文件的异议</w:t>
      </w:r>
      <w:r>
        <w:rPr>
          <w:rFonts w:ascii="宋体" w:hAnsi="宋体"/>
          <w:szCs w:val="21"/>
        </w:rPr>
        <w:tab/>
      </w:r>
      <w:r>
        <w:rPr>
          <w:rFonts w:ascii="宋体" w:hAnsi="宋体"/>
          <w:szCs w:val="21"/>
        </w:rPr>
        <w:fldChar w:fldCharType="begin"/>
      </w:r>
      <w:r>
        <w:rPr>
          <w:rFonts w:ascii="宋体" w:hAnsi="宋体"/>
          <w:szCs w:val="21"/>
        </w:rPr>
        <w:instrText xml:space="preserve"> PAGEREF _Toc108513513 \h </w:instrText>
      </w:r>
      <w:r>
        <w:rPr>
          <w:rFonts w:ascii="宋体" w:hAnsi="宋体"/>
          <w:szCs w:val="21"/>
        </w:rPr>
        <w:fldChar w:fldCharType="separate"/>
      </w:r>
      <w:r>
        <w:rPr>
          <w:rFonts w:ascii="宋体" w:hAnsi="宋体"/>
          <w:szCs w:val="21"/>
        </w:rPr>
        <w:t>19</w:t>
      </w:r>
      <w:r>
        <w:rPr>
          <w:rFonts w:ascii="宋体" w:hAnsi="宋体"/>
          <w:szCs w:val="21"/>
        </w:rPr>
        <w:fldChar w:fldCharType="end"/>
      </w:r>
    </w:p>
    <w:p w14:paraId="3EC953FE">
      <w:pPr>
        <w:pStyle w:val="13"/>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投标文件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_Toc108513514 \h </w:instrText>
      </w:r>
      <w:r>
        <w:rPr>
          <w:rFonts w:ascii="宋体" w:hAnsi="宋体" w:eastAsia="宋体"/>
          <w:sz w:val="21"/>
          <w:szCs w:val="21"/>
        </w:rPr>
        <w:fldChar w:fldCharType="separate"/>
      </w:r>
      <w:r>
        <w:rPr>
          <w:rFonts w:ascii="宋体" w:hAnsi="宋体" w:eastAsia="宋体"/>
          <w:sz w:val="21"/>
          <w:szCs w:val="21"/>
        </w:rPr>
        <w:t>20</w:t>
      </w:r>
      <w:r>
        <w:rPr>
          <w:rFonts w:ascii="宋体" w:hAnsi="宋体" w:eastAsia="宋体"/>
          <w:sz w:val="21"/>
          <w:szCs w:val="21"/>
        </w:rPr>
        <w:fldChar w:fldCharType="end"/>
      </w:r>
    </w:p>
    <w:p w14:paraId="093B7F78">
      <w:pPr>
        <w:pStyle w:val="8"/>
        <w:tabs>
          <w:tab w:val="right" w:leader="dot" w:pos="8296"/>
        </w:tabs>
        <w:rPr>
          <w:rFonts w:ascii="宋体" w:hAnsi="宋体"/>
          <w:szCs w:val="21"/>
        </w:rPr>
      </w:pPr>
      <w:r>
        <w:rPr>
          <w:rFonts w:ascii="宋体" w:hAnsi="宋体"/>
          <w:szCs w:val="21"/>
        </w:rPr>
        <w:t xml:space="preserve">3.1 </w:t>
      </w:r>
      <w:r>
        <w:rPr>
          <w:rFonts w:hint="eastAsia" w:ascii="宋体" w:hAnsi="宋体"/>
          <w:szCs w:val="21"/>
        </w:rPr>
        <w:t>投标文件的组成</w:t>
      </w:r>
      <w:r>
        <w:rPr>
          <w:rFonts w:ascii="宋体" w:hAnsi="宋体"/>
          <w:szCs w:val="21"/>
        </w:rPr>
        <w:tab/>
      </w:r>
      <w:r>
        <w:rPr>
          <w:rFonts w:ascii="宋体" w:hAnsi="宋体"/>
          <w:szCs w:val="21"/>
        </w:rPr>
        <w:fldChar w:fldCharType="begin"/>
      </w:r>
      <w:r>
        <w:rPr>
          <w:rFonts w:ascii="宋体" w:hAnsi="宋体"/>
          <w:szCs w:val="21"/>
        </w:rPr>
        <w:instrText xml:space="preserve"> PAGEREF _Toc108513515 \h </w:instrText>
      </w:r>
      <w:r>
        <w:rPr>
          <w:rFonts w:ascii="宋体" w:hAnsi="宋体"/>
          <w:szCs w:val="21"/>
        </w:rPr>
        <w:fldChar w:fldCharType="separate"/>
      </w:r>
      <w:r>
        <w:rPr>
          <w:rFonts w:ascii="宋体" w:hAnsi="宋体"/>
          <w:szCs w:val="21"/>
        </w:rPr>
        <w:t>20</w:t>
      </w:r>
      <w:r>
        <w:rPr>
          <w:rFonts w:ascii="宋体" w:hAnsi="宋体"/>
          <w:szCs w:val="21"/>
        </w:rPr>
        <w:fldChar w:fldCharType="end"/>
      </w:r>
    </w:p>
    <w:p w14:paraId="61FC791A">
      <w:pPr>
        <w:pStyle w:val="8"/>
        <w:tabs>
          <w:tab w:val="right" w:leader="dot" w:pos="8296"/>
        </w:tabs>
        <w:rPr>
          <w:rFonts w:ascii="宋体" w:hAnsi="宋体"/>
          <w:szCs w:val="21"/>
        </w:rPr>
      </w:pPr>
      <w:r>
        <w:rPr>
          <w:rFonts w:ascii="宋体" w:hAnsi="宋体"/>
          <w:szCs w:val="21"/>
        </w:rPr>
        <w:t xml:space="preserve">3.2 </w:t>
      </w:r>
      <w:r>
        <w:rPr>
          <w:rFonts w:hint="eastAsia" w:ascii="宋体" w:hAnsi="宋体"/>
          <w:szCs w:val="21"/>
        </w:rPr>
        <w:t>投标报价</w:t>
      </w:r>
      <w:r>
        <w:rPr>
          <w:rFonts w:ascii="宋体" w:hAnsi="宋体"/>
          <w:szCs w:val="21"/>
        </w:rPr>
        <w:tab/>
      </w:r>
      <w:r>
        <w:rPr>
          <w:rFonts w:ascii="宋体" w:hAnsi="宋体"/>
          <w:szCs w:val="21"/>
        </w:rPr>
        <w:fldChar w:fldCharType="begin"/>
      </w:r>
      <w:r>
        <w:rPr>
          <w:rFonts w:ascii="宋体" w:hAnsi="宋体"/>
          <w:szCs w:val="21"/>
        </w:rPr>
        <w:instrText xml:space="preserve"> PAGEREF _Toc108513516 \h </w:instrText>
      </w:r>
      <w:r>
        <w:rPr>
          <w:rFonts w:ascii="宋体" w:hAnsi="宋体"/>
          <w:szCs w:val="21"/>
        </w:rPr>
        <w:fldChar w:fldCharType="separate"/>
      </w:r>
      <w:r>
        <w:rPr>
          <w:rFonts w:ascii="宋体" w:hAnsi="宋体"/>
          <w:szCs w:val="21"/>
        </w:rPr>
        <w:t>20</w:t>
      </w:r>
      <w:r>
        <w:rPr>
          <w:rFonts w:ascii="宋体" w:hAnsi="宋体"/>
          <w:szCs w:val="21"/>
        </w:rPr>
        <w:fldChar w:fldCharType="end"/>
      </w:r>
    </w:p>
    <w:p w14:paraId="4E23BDBF">
      <w:pPr>
        <w:pStyle w:val="8"/>
        <w:tabs>
          <w:tab w:val="right" w:leader="dot" w:pos="8296"/>
        </w:tabs>
        <w:rPr>
          <w:rFonts w:ascii="宋体" w:hAnsi="宋体"/>
          <w:szCs w:val="21"/>
        </w:rPr>
      </w:pPr>
      <w:r>
        <w:rPr>
          <w:rFonts w:ascii="宋体" w:hAnsi="宋体"/>
          <w:szCs w:val="21"/>
        </w:rPr>
        <w:t xml:space="preserve">3.3 </w:t>
      </w:r>
      <w:r>
        <w:rPr>
          <w:rFonts w:hint="eastAsia" w:ascii="宋体" w:hAnsi="宋体"/>
          <w:szCs w:val="21"/>
        </w:rPr>
        <w:t>投标有效期</w:t>
      </w:r>
      <w:r>
        <w:rPr>
          <w:rFonts w:ascii="宋体" w:hAnsi="宋体"/>
          <w:szCs w:val="21"/>
        </w:rPr>
        <w:tab/>
      </w:r>
      <w:r>
        <w:rPr>
          <w:rFonts w:ascii="宋体" w:hAnsi="宋体"/>
          <w:szCs w:val="21"/>
        </w:rPr>
        <w:fldChar w:fldCharType="begin"/>
      </w:r>
      <w:r>
        <w:rPr>
          <w:rFonts w:ascii="宋体" w:hAnsi="宋体"/>
          <w:szCs w:val="21"/>
        </w:rPr>
        <w:instrText xml:space="preserve"> PAGEREF _Toc108513517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1AE48A5A">
      <w:pPr>
        <w:pStyle w:val="8"/>
        <w:tabs>
          <w:tab w:val="right" w:leader="dot" w:pos="8296"/>
        </w:tabs>
        <w:rPr>
          <w:rFonts w:ascii="宋体" w:hAnsi="宋体"/>
          <w:szCs w:val="21"/>
        </w:rPr>
      </w:pPr>
      <w:r>
        <w:rPr>
          <w:rFonts w:ascii="宋体" w:hAnsi="宋体"/>
          <w:szCs w:val="21"/>
        </w:rPr>
        <w:t xml:space="preserve">3.4 </w:t>
      </w:r>
      <w:r>
        <w:rPr>
          <w:rFonts w:hint="eastAsia" w:ascii="宋体" w:hAnsi="宋体"/>
          <w:szCs w:val="21"/>
        </w:rPr>
        <w:t>投标保证金</w:t>
      </w:r>
      <w:r>
        <w:rPr>
          <w:rFonts w:ascii="宋体" w:hAnsi="宋体"/>
          <w:szCs w:val="21"/>
        </w:rPr>
        <w:tab/>
      </w:r>
      <w:r>
        <w:rPr>
          <w:rFonts w:ascii="宋体" w:hAnsi="宋体"/>
          <w:szCs w:val="21"/>
        </w:rPr>
        <w:fldChar w:fldCharType="begin"/>
      </w:r>
      <w:r>
        <w:rPr>
          <w:rFonts w:ascii="宋体" w:hAnsi="宋体"/>
          <w:szCs w:val="21"/>
        </w:rPr>
        <w:instrText xml:space="preserve"> PAGEREF _Toc108513518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75E901F7">
      <w:pPr>
        <w:pStyle w:val="8"/>
        <w:tabs>
          <w:tab w:val="right" w:leader="dot" w:pos="8296"/>
        </w:tabs>
        <w:rPr>
          <w:rFonts w:ascii="宋体" w:hAnsi="宋体"/>
          <w:szCs w:val="21"/>
        </w:rPr>
      </w:pPr>
      <w:r>
        <w:rPr>
          <w:rFonts w:ascii="宋体" w:hAnsi="宋体"/>
          <w:szCs w:val="21"/>
        </w:rPr>
        <w:t xml:space="preserve">3.5 </w:t>
      </w:r>
      <w:r>
        <w:rPr>
          <w:rFonts w:hint="eastAsia" w:ascii="宋体" w:hAnsi="宋体"/>
          <w:szCs w:val="21"/>
        </w:rPr>
        <w:t>资格审查资料（适用于未进行资格预审的）</w:t>
      </w:r>
      <w:r>
        <w:rPr>
          <w:rFonts w:ascii="宋体" w:hAnsi="宋体"/>
          <w:szCs w:val="21"/>
        </w:rPr>
        <w:tab/>
      </w:r>
      <w:r>
        <w:rPr>
          <w:rFonts w:ascii="宋体" w:hAnsi="宋体"/>
          <w:szCs w:val="21"/>
        </w:rPr>
        <w:fldChar w:fldCharType="begin"/>
      </w:r>
      <w:r>
        <w:rPr>
          <w:rFonts w:ascii="宋体" w:hAnsi="宋体"/>
          <w:szCs w:val="21"/>
        </w:rPr>
        <w:instrText xml:space="preserve"> PAGEREF _Toc108513519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104D2B3F">
      <w:pPr>
        <w:pStyle w:val="8"/>
        <w:tabs>
          <w:tab w:val="right" w:leader="dot" w:pos="8296"/>
        </w:tabs>
        <w:rPr>
          <w:rFonts w:ascii="宋体" w:hAnsi="宋体"/>
          <w:szCs w:val="21"/>
        </w:rPr>
      </w:pPr>
      <w:r>
        <w:rPr>
          <w:rFonts w:ascii="宋体" w:hAnsi="宋体"/>
          <w:szCs w:val="21"/>
        </w:rPr>
        <w:t xml:space="preserve">3.6 </w:t>
      </w:r>
      <w:r>
        <w:rPr>
          <w:rFonts w:hint="eastAsia" w:ascii="宋体" w:hAnsi="宋体"/>
          <w:szCs w:val="21"/>
        </w:rPr>
        <w:t>备选投标方案</w:t>
      </w:r>
      <w:r>
        <w:rPr>
          <w:rFonts w:ascii="宋体" w:hAnsi="宋体"/>
          <w:szCs w:val="21"/>
        </w:rPr>
        <w:tab/>
      </w:r>
      <w:r>
        <w:rPr>
          <w:rFonts w:ascii="宋体" w:hAnsi="宋体"/>
          <w:szCs w:val="21"/>
        </w:rPr>
        <w:fldChar w:fldCharType="begin"/>
      </w:r>
      <w:r>
        <w:rPr>
          <w:rFonts w:ascii="宋体" w:hAnsi="宋体"/>
          <w:szCs w:val="21"/>
        </w:rPr>
        <w:instrText xml:space="preserve"> PAGEREF _Toc108513520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081C2FDD">
      <w:pPr>
        <w:pStyle w:val="8"/>
        <w:tabs>
          <w:tab w:val="right" w:leader="dot" w:pos="8296"/>
        </w:tabs>
        <w:rPr>
          <w:rFonts w:ascii="宋体" w:hAnsi="宋体"/>
          <w:szCs w:val="21"/>
        </w:rPr>
      </w:pPr>
      <w:r>
        <w:rPr>
          <w:rFonts w:ascii="宋体" w:hAnsi="宋体"/>
          <w:szCs w:val="21"/>
        </w:rPr>
        <w:t xml:space="preserve">3.7 </w:t>
      </w:r>
      <w:r>
        <w:rPr>
          <w:rFonts w:hint="eastAsia" w:ascii="宋体" w:hAnsi="宋体"/>
          <w:szCs w:val="21"/>
        </w:rPr>
        <w:t>投标文件的编制</w:t>
      </w:r>
      <w:r>
        <w:rPr>
          <w:rFonts w:ascii="宋体" w:hAnsi="宋体"/>
          <w:szCs w:val="21"/>
        </w:rPr>
        <w:tab/>
      </w:r>
      <w:r>
        <w:rPr>
          <w:rFonts w:ascii="宋体" w:hAnsi="宋体"/>
          <w:szCs w:val="21"/>
        </w:rPr>
        <w:fldChar w:fldCharType="begin"/>
      </w:r>
      <w:r>
        <w:rPr>
          <w:rFonts w:ascii="宋体" w:hAnsi="宋体"/>
          <w:szCs w:val="21"/>
        </w:rPr>
        <w:instrText xml:space="preserve"> PAGEREF _Toc108513521 \h </w:instrText>
      </w:r>
      <w:r>
        <w:rPr>
          <w:rFonts w:ascii="宋体" w:hAnsi="宋体"/>
          <w:szCs w:val="21"/>
        </w:rPr>
        <w:fldChar w:fldCharType="separate"/>
      </w:r>
      <w:r>
        <w:rPr>
          <w:rFonts w:ascii="宋体" w:hAnsi="宋体"/>
          <w:szCs w:val="21"/>
        </w:rPr>
        <w:t>21</w:t>
      </w:r>
      <w:r>
        <w:rPr>
          <w:rFonts w:ascii="宋体" w:hAnsi="宋体"/>
          <w:szCs w:val="21"/>
        </w:rPr>
        <w:fldChar w:fldCharType="end"/>
      </w:r>
    </w:p>
    <w:p w14:paraId="2AF62C40">
      <w:pPr>
        <w:pStyle w:val="13"/>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投标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_Toc108513522 \h </w:instrText>
      </w:r>
      <w:r>
        <w:rPr>
          <w:rFonts w:ascii="宋体" w:hAnsi="宋体" w:eastAsia="宋体"/>
          <w:sz w:val="21"/>
          <w:szCs w:val="21"/>
        </w:rPr>
        <w:fldChar w:fldCharType="separate"/>
      </w:r>
      <w:r>
        <w:rPr>
          <w:rFonts w:ascii="宋体" w:hAnsi="宋体" w:eastAsia="宋体"/>
          <w:sz w:val="21"/>
          <w:szCs w:val="21"/>
        </w:rPr>
        <w:t>23</w:t>
      </w:r>
      <w:r>
        <w:rPr>
          <w:rFonts w:ascii="宋体" w:hAnsi="宋体" w:eastAsia="宋体"/>
          <w:sz w:val="21"/>
          <w:szCs w:val="21"/>
        </w:rPr>
        <w:fldChar w:fldCharType="end"/>
      </w:r>
    </w:p>
    <w:p w14:paraId="7F78CF5B">
      <w:pPr>
        <w:pStyle w:val="8"/>
        <w:tabs>
          <w:tab w:val="right" w:leader="dot" w:pos="8296"/>
        </w:tabs>
        <w:rPr>
          <w:rFonts w:ascii="宋体" w:hAnsi="宋体"/>
          <w:szCs w:val="21"/>
        </w:rPr>
      </w:pPr>
      <w:r>
        <w:rPr>
          <w:rFonts w:ascii="宋体" w:hAnsi="宋体"/>
          <w:szCs w:val="21"/>
        </w:rPr>
        <w:t xml:space="preserve">4.1 </w:t>
      </w:r>
      <w:r>
        <w:rPr>
          <w:rFonts w:hint="eastAsia" w:ascii="宋体" w:hAnsi="宋体"/>
          <w:szCs w:val="21"/>
        </w:rPr>
        <w:t>投标文件的加密</w:t>
      </w:r>
      <w:r>
        <w:rPr>
          <w:rFonts w:ascii="宋体" w:hAnsi="宋体"/>
          <w:szCs w:val="21"/>
        </w:rPr>
        <w:tab/>
      </w:r>
      <w:r>
        <w:rPr>
          <w:rFonts w:ascii="宋体" w:hAnsi="宋体"/>
          <w:szCs w:val="21"/>
        </w:rPr>
        <w:fldChar w:fldCharType="begin"/>
      </w:r>
      <w:r>
        <w:rPr>
          <w:rFonts w:ascii="宋体" w:hAnsi="宋体"/>
          <w:szCs w:val="21"/>
        </w:rPr>
        <w:instrText xml:space="preserve"> PAGEREF _Toc108513523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3FD76EF8">
      <w:pPr>
        <w:pStyle w:val="8"/>
        <w:tabs>
          <w:tab w:val="right" w:leader="dot" w:pos="8296"/>
        </w:tabs>
        <w:rPr>
          <w:rFonts w:ascii="宋体" w:hAnsi="宋体"/>
          <w:szCs w:val="21"/>
        </w:rPr>
      </w:pPr>
      <w:r>
        <w:rPr>
          <w:rFonts w:ascii="宋体" w:hAnsi="宋体"/>
          <w:szCs w:val="21"/>
        </w:rPr>
        <w:t xml:space="preserve">4.2 </w:t>
      </w:r>
      <w:r>
        <w:rPr>
          <w:rFonts w:hint="eastAsia" w:ascii="宋体" w:hAnsi="宋体"/>
          <w:szCs w:val="21"/>
        </w:rPr>
        <w:t>投标文件的递交</w:t>
      </w:r>
      <w:r>
        <w:rPr>
          <w:rFonts w:ascii="宋体" w:hAnsi="宋体"/>
          <w:szCs w:val="21"/>
        </w:rPr>
        <w:tab/>
      </w:r>
      <w:r>
        <w:rPr>
          <w:rFonts w:ascii="宋体" w:hAnsi="宋体"/>
          <w:szCs w:val="21"/>
        </w:rPr>
        <w:fldChar w:fldCharType="begin"/>
      </w:r>
      <w:r>
        <w:rPr>
          <w:rFonts w:ascii="宋体" w:hAnsi="宋体"/>
          <w:szCs w:val="21"/>
        </w:rPr>
        <w:instrText xml:space="preserve"> PAGEREF _Toc108513524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7E931C26">
      <w:pPr>
        <w:pStyle w:val="8"/>
        <w:tabs>
          <w:tab w:val="right" w:leader="dot" w:pos="8296"/>
        </w:tabs>
        <w:rPr>
          <w:rFonts w:ascii="宋体" w:hAnsi="宋体"/>
          <w:szCs w:val="21"/>
        </w:rPr>
      </w:pPr>
      <w:r>
        <w:rPr>
          <w:rFonts w:ascii="宋体" w:hAnsi="宋体"/>
          <w:szCs w:val="21"/>
        </w:rPr>
        <w:t xml:space="preserve">4.3 </w:t>
      </w:r>
      <w:r>
        <w:rPr>
          <w:rFonts w:hint="eastAsia" w:ascii="宋体" w:hAnsi="宋体"/>
          <w:szCs w:val="21"/>
        </w:rPr>
        <w:t>投标文件的修改与撤回</w:t>
      </w:r>
      <w:r>
        <w:rPr>
          <w:rFonts w:ascii="宋体" w:hAnsi="宋体"/>
          <w:szCs w:val="21"/>
        </w:rPr>
        <w:tab/>
      </w:r>
      <w:r>
        <w:rPr>
          <w:rFonts w:ascii="宋体" w:hAnsi="宋体"/>
          <w:szCs w:val="21"/>
        </w:rPr>
        <w:fldChar w:fldCharType="begin"/>
      </w:r>
      <w:r>
        <w:rPr>
          <w:rFonts w:ascii="宋体" w:hAnsi="宋体"/>
          <w:szCs w:val="21"/>
        </w:rPr>
        <w:instrText xml:space="preserve"> PAGEREF _Toc108513525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185FB0BB">
      <w:pPr>
        <w:pStyle w:val="13"/>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开标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_Toc108513526 \h </w:instrText>
      </w:r>
      <w:r>
        <w:rPr>
          <w:rFonts w:ascii="宋体" w:hAnsi="宋体" w:eastAsia="宋体"/>
          <w:sz w:val="21"/>
          <w:szCs w:val="21"/>
        </w:rPr>
        <w:fldChar w:fldCharType="separate"/>
      </w:r>
      <w:r>
        <w:rPr>
          <w:rFonts w:ascii="宋体" w:hAnsi="宋体" w:eastAsia="宋体"/>
          <w:sz w:val="21"/>
          <w:szCs w:val="21"/>
        </w:rPr>
        <w:t>23</w:t>
      </w:r>
      <w:r>
        <w:rPr>
          <w:rFonts w:ascii="宋体" w:hAnsi="宋体" w:eastAsia="宋体"/>
          <w:sz w:val="21"/>
          <w:szCs w:val="21"/>
        </w:rPr>
        <w:fldChar w:fldCharType="end"/>
      </w:r>
    </w:p>
    <w:p w14:paraId="5327DB85">
      <w:pPr>
        <w:pStyle w:val="8"/>
        <w:tabs>
          <w:tab w:val="right" w:leader="dot" w:pos="8296"/>
        </w:tabs>
        <w:rPr>
          <w:rFonts w:ascii="宋体" w:hAnsi="宋体"/>
          <w:szCs w:val="21"/>
        </w:rPr>
      </w:pPr>
      <w:r>
        <w:rPr>
          <w:rFonts w:ascii="宋体" w:hAnsi="宋体"/>
          <w:szCs w:val="21"/>
        </w:rPr>
        <w:t xml:space="preserve">5.1 </w:t>
      </w:r>
      <w:r>
        <w:rPr>
          <w:rFonts w:hint="eastAsia" w:ascii="宋体" w:hAnsi="宋体"/>
          <w:szCs w:val="21"/>
        </w:rPr>
        <w:t>开标时间和地点</w:t>
      </w:r>
      <w:r>
        <w:rPr>
          <w:rFonts w:ascii="宋体" w:hAnsi="宋体"/>
          <w:szCs w:val="21"/>
        </w:rPr>
        <w:tab/>
      </w:r>
      <w:r>
        <w:rPr>
          <w:rFonts w:ascii="宋体" w:hAnsi="宋体"/>
          <w:szCs w:val="21"/>
        </w:rPr>
        <w:fldChar w:fldCharType="begin"/>
      </w:r>
      <w:r>
        <w:rPr>
          <w:rFonts w:ascii="宋体" w:hAnsi="宋体"/>
          <w:szCs w:val="21"/>
        </w:rPr>
        <w:instrText xml:space="preserve"> PAGEREF _Toc108513527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307CC801">
      <w:pPr>
        <w:pStyle w:val="8"/>
        <w:tabs>
          <w:tab w:val="right" w:leader="dot" w:pos="8296"/>
        </w:tabs>
        <w:rPr>
          <w:rFonts w:ascii="宋体" w:hAnsi="宋体"/>
          <w:szCs w:val="21"/>
        </w:rPr>
      </w:pPr>
      <w:r>
        <w:rPr>
          <w:rFonts w:ascii="宋体" w:hAnsi="宋体"/>
          <w:szCs w:val="21"/>
        </w:rPr>
        <w:t xml:space="preserve">5.2 </w:t>
      </w:r>
      <w:r>
        <w:rPr>
          <w:rFonts w:hint="eastAsia" w:ascii="宋体" w:hAnsi="宋体"/>
          <w:szCs w:val="21"/>
        </w:rPr>
        <w:t>开标程序</w:t>
      </w:r>
      <w:r>
        <w:rPr>
          <w:rFonts w:ascii="宋体" w:hAnsi="宋体"/>
          <w:szCs w:val="21"/>
        </w:rPr>
        <w:tab/>
      </w:r>
      <w:r>
        <w:rPr>
          <w:rFonts w:ascii="宋体" w:hAnsi="宋体"/>
          <w:szCs w:val="21"/>
        </w:rPr>
        <w:fldChar w:fldCharType="begin"/>
      </w:r>
      <w:r>
        <w:rPr>
          <w:rFonts w:ascii="宋体" w:hAnsi="宋体"/>
          <w:szCs w:val="21"/>
        </w:rPr>
        <w:instrText xml:space="preserve"> PAGEREF _Toc108513528 \h </w:instrText>
      </w:r>
      <w:r>
        <w:rPr>
          <w:rFonts w:ascii="宋体" w:hAnsi="宋体"/>
          <w:szCs w:val="21"/>
        </w:rPr>
        <w:fldChar w:fldCharType="separate"/>
      </w:r>
      <w:r>
        <w:rPr>
          <w:rFonts w:ascii="宋体" w:hAnsi="宋体"/>
          <w:szCs w:val="21"/>
        </w:rPr>
        <w:t>23</w:t>
      </w:r>
      <w:r>
        <w:rPr>
          <w:rFonts w:ascii="宋体" w:hAnsi="宋体"/>
          <w:szCs w:val="21"/>
        </w:rPr>
        <w:fldChar w:fldCharType="end"/>
      </w:r>
    </w:p>
    <w:p w14:paraId="3509EBE1">
      <w:pPr>
        <w:pStyle w:val="8"/>
        <w:tabs>
          <w:tab w:val="right" w:leader="dot" w:pos="8296"/>
        </w:tabs>
        <w:rPr>
          <w:rFonts w:ascii="宋体" w:hAnsi="宋体"/>
          <w:szCs w:val="21"/>
        </w:rPr>
      </w:pPr>
      <w:r>
        <w:rPr>
          <w:rFonts w:ascii="宋体" w:hAnsi="宋体"/>
          <w:szCs w:val="21"/>
        </w:rPr>
        <w:t xml:space="preserve">5.3 </w:t>
      </w:r>
      <w:r>
        <w:rPr>
          <w:rFonts w:hint="eastAsia" w:ascii="宋体" w:hAnsi="宋体"/>
          <w:szCs w:val="21"/>
        </w:rPr>
        <w:t>开标异议</w:t>
      </w:r>
      <w:r>
        <w:rPr>
          <w:rFonts w:ascii="宋体" w:hAnsi="宋体"/>
          <w:szCs w:val="21"/>
        </w:rPr>
        <w:tab/>
      </w:r>
      <w:r>
        <w:rPr>
          <w:rFonts w:ascii="宋体" w:hAnsi="宋体"/>
          <w:szCs w:val="21"/>
        </w:rPr>
        <w:fldChar w:fldCharType="begin"/>
      </w:r>
      <w:r>
        <w:rPr>
          <w:rFonts w:ascii="宋体" w:hAnsi="宋体"/>
          <w:szCs w:val="21"/>
        </w:rPr>
        <w:instrText xml:space="preserve"> PAGEREF _Toc108513529 \h </w:instrText>
      </w:r>
      <w:r>
        <w:rPr>
          <w:rFonts w:ascii="宋体" w:hAnsi="宋体"/>
          <w:szCs w:val="21"/>
        </w:rPr>
        <w:fldChar w:fldCharType="separate"/>
      </w:r>
      <w:r>
        <w:rPr>
          <w:rFonts w:ascii="宋体" w:hAnsi="宋体"/>
          <w:szCs w:val="21"/>
        </w:rPr>
        <w:t>24</w:t>
      </w:r>
      <w:r>
        <w:rPr>
          <w:rFonts w:ascii="宋体" w:hAnsi="宋体"/>
          <w:szCs w:val="21"/>
        </w:rPr>
        <w:fldChar w:fldCharType="end"/>
      </w:r>
    </w:p>
    <w:p w14:paraId="2091214A">
      <w:pPr>
        <w:pStyle w:val="8"/>
        <w:tabs>
          <w:tab w:val="right" w:leader="dot" w:pos="8296"/>
        </w:tabs>
        <w:rPr>
          <w:rFonts w:ascii="宋体" w:hAnsi="宋体"/>
          <w:szCs w:val="21"/>
        </w:rPr>
      </w:pPr>
      <w:r>
        <w:rPr>
          <w:rFonts w:ascii="宋体" w:hAnsi="宋体"/>
          <w:szCs w:val="21"/>
        </w:rPr>
        <w:t xml:space="preserve">5.4 </w:t>
      </w:r>
      <w:r>
        <w:rPr>
          <w:rFonts w:hint="eastAsia" w:ascii="宋体" w:hAnsi="宋体"/>
          <w:szCs w:val="21"/>
        </w:rPr>
        <w:t>特殊情况的处置</w:t>
      </w:r>
      <w:r>
        <w:rPr>
          <w:rFonts w:ascii="宋体" w:hAnsi="宋体"/>
          <w:szCs w:val="21"/>
        </w:rPr>
        <w:tab/>
      </w:r>
      <w:r>
        <w:rPr>
          <w:rFonts w:ascii="宋体" w:hAnsi="宋体"/>
          <w:szCs w:val="21"/>
        </w:rPr>
        <w:fldChar w:fldCharType="begin"/>
      </w:r>
      <w:r>
        <w:rPr>
          <w:rFonts w:ascii="宋体" w:hAnsi="宋体"/>
          <w:szCs w:val="21"/>
        </w:rPr>
        <w:instrText xml:space="preserve"> PAGEREF _Toc108513530 \h </w:instrText>
      </w:r>
      <w:r>
        <w:rPr>
          <w:rFonts w:ascii="宋体" w:hAnsi="宋体"/>
          <w:szCs w:val="21"/>
        </w:rPr>
        <w:fldChar w:fldCharType="separate"/>
      </w:r>
      <w:r>
        <w:rPr>
          <w:rFonts w:ascii="宋体" w:hAnsi="宋体"/>
          <w:szCs w:val="21"/>
        </w:rPr>
        <w:t>24</w:t>
      </w:r>
      <w:r>
        <w:rPr>
          <w:rFonts w:ascii="宋体" w:hAnsi="宋体"/>
          <w:szCs w:val="21"/>
        </w:rPr>
        <w:fldChar w:fldCharType="end"/>
      </w:r>
    </w:p>
    <w:p w14:paraId="065841C9">
      <w:pPr>
        <w:pStyle w:val="13"/>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评标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_Toc108513531 \h </w:instrText>
      </w:r>
      <w:r>
        <w:rPr>
          <w:rFonts w:ascii="宋体" w:hAnsi="宋体" w:eastAsia="宋体"/>
          <w:sz w:val="21"/>
          <w:szCs w:val="21"/>
        </w:rPr>
        <w:fldChar w:fldCharType="separate"/>
      </w:r>
      <w:r>
        <w:rPr>
          <w:rFonts w:ascii="宋体" w:hAnsi="宋体" w:eastAsia="宋体"/>
          <w:sz w:val="21"/>
          <w:szCs w:val="21"/>
        </w:rPr>
        <w:t>24</w:t>
      </w:r>
      <w:r>
        <w:rPr>
          <w:rFonts w:ascii="宋体" w:hAnsi="宋体" w:eastAsia="宋体"/>
          <w:sz w:val="21"/>
          <w:szCs w:val="21"/>
        </w:rPr>
        <w:fldChar w:fldCharType="end"/>
      </w:r>
    </w:p>
    <w:p w14:paraId="3A576431">
      <w:pPr>
        <w:pStyle w:val="8"/>
        <w:tabs>
          <w:tab w:val="right" w:leader="dot" w:pos="8296"/>
        </w:tabs>
        <w:rPr>
          <w:rFonts w:ascii="宋体" w:hAnsi="宋体"/>
          <w:szCs w:val="21"/>
        </w:rPr>
      </w:pPr>
      <w:r>
        <w:rPr>
          <w:rFonts w:ascii="宋体" w:hAnsi="宋体"/>
          <w:szCs w:val="21"/>
        </w:rPr>
        <w:t xml:space="preserve">6.1 </w:t>
      </w:r>
      <w:r>
        <w:rPr>
          <w:rFonts w:hint="eastAsia" w:ascii="宋体" w:hAnsi="宋体"/>
          <w:szCs w:val="21"/>
        </w:rPr>
        <w:t>评标委员会</w:t>
      </w:r>
      <w:r>
        <w:rPr>
          <w:rFonts w:ascii="宋体" w:hAnsi="宋体"/>
          <w:szCs w:val="21"/>
        </w:rPr>
        <w:tab/>
      </w:r>
      <w:r>
        <w:rPr>
          <w:rFonts w:ascii="宋体" w:hAnsi="宋体"/>
          <w:szCs w:val="21"/>
        </w:rPr>
        <w:fldChar w:fldCharType="begin"/>
      </w:r>
      <w:r>
        <w:rPr>
          <w:rFonts w:ascii="宋体" w:hAnsi="宋体"/>
          <w:szCs w:val="21"/>
        </w:rPr>
        <w:instrText xml:space="preserve"> PAGEREF _Toc108513532 \h </w:instrText>
      </w:r>
      <w:r>
        <w:rPr>
          <w:rFonts w:ascii="宋体" w:hAnsi="宋体"/>
          <w:szCs w:val="21"/>
        </w:rPr>
        <w:fldChar w:fldCharType="separate"/>
      </w:r>
      <w:r>
        <w:rPr>
          <w:rFonts w:ascii="宋体" w:hAnsi="宋体"/>
          <w:szCs w:val="21"/>
        </w:rPr>
        <w:t>24</w:t>
      </w:r>
      <w:r>
        <w:rPr>
          <w:rFonts w:ascii="宋体" w:hAnsi="宋体"/>
          <w:szCs w:val="21"/>
        </w:rPr>
        <w:fldChar w:fldCharType="end"/>
      </w:r>
    </w:p>
    <w:p w14:paraId="5847AB11">
      <w:pPr>
        <w:pStyle w:val="8"/>
        <w:tabs>
          <w:tab w:val="right" w:leader="dot" w:pos="8296"/>
        </w:tabs>
        <w:rPr>
          <w:rFonts w:ascii="宋体" w:hAnsi="宋体"/>
          <w:szCs w:val="21"/>
        </w:rPr>
      </w:pPr>
      <w:r>
        <w:rPr>
          <w:rFonts w:ascii="宋体" w:hAnsi="宋体"/>
          <w:szCs w:val="21"/>
        </w:rPr>
        <w:t xml:space="preserve">6.2 </w:t>
      </w:r>
      <w:r>
        <w:rPr>
          <w:rFonts w:hint="eastAsia" w:ascii="宋体" w:hAnsi="宋体"/>
          <w:szCs w:val="21"/>
        </w:rPr>
        <w:t>评标原则</w:t>
      </w:r>
      <w:r>
        <w:rPr>
          <w:rFonts w:ascii="宋体" w:hAnsi="宋体"/>
          <w:szCs w:val="21"/>
        </w:rPr>
        <w:tab/>
      </w:r>
      <w:r>
        <w:rPr>
          <w:rFonts w:ascii="宋体" w:hAnsi="宋体"/>
          <w:szCs w:val="21"/>
        </w:rPr>
        <w:fldChar w:fldCharType="begin"/>
      </w:r>
      <w:r>
        <w:rPr>
          <w:rFonts w:ascii="宋体" w:hAnsi="宋体"/>
          <w:szCs w:val="21"/>
        </w:rPr>
        <w:instrText xml:space="preserve"> PAGEREF _Toc108513533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47F54C44">
      <w:pPr>
        <w:pStyle w:val="8"/>
        <w:tabs>
          <w:tab w:val="right" w:leader="dot" w:pos="8296"/>
        </w:tabs>
        <w:rPr>
          <w:rFonts w:ascii="宋体" w:hAnsi="宋体"/>
          <w:szCs w:val="21"/>
        </w:rPr>
      </w:pPr>
      <w:r>
        <w:rPr>
          <w:rFonts w:ascii="宋体" w:hAnsi="宋体"/>
          <w:szCs w:val="21"/>
        </w:rPr>
        <w:t xml:space="preserve">6.3 </w:t>
      </w:r>
      <w:r>
        <w:rPr>
          <w:rFonts w:hint="eastAsia" w:ascii="宋体" w:hAnsi="宋体"/>
          <w:szCs w:val="21"/>
        </w:rPr>
        <w:t>评标</w:t>
      </w:r>
      <w:r>
        <w:rPr>
          <w:rFonts w:ascii="宋体" w:hAnsi="宋体"/>
          <w:szCs w:val="21"/>
        </w:rPr>
        <w:tab/>
      </w:r>
      <w:r>
        <w:rPr>
          <w:rFonts w:ascii="宋体" w:hAnsi="宋体"/>
          <w:szCs w:val="21"/>
        </w:rPr>
        <w:fldChar w:fldCharType="begin"/>
      </w:r>
      <w:r>
        <w:rPr>
          <w:rFonts w:ascii="宋体" w:hAnsi="宋体"/>
          <w:szCs w:val="21"/>
        </w:rPr>
        <w:instrText xml:space="preserve"> PAGEREF _Toc108513534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767054DE">
      <w:pPr>
        <w:pStyle w:val="8"/>
        <w:tabs>
          <w:tab w:val="right" w:leader="dot" w:pos="8296"/>
        </w:tabs>
        <w:rPr>
          <w:rFonts w:ascii="宋体" w:hAnsi="宋体"/>
          <w:szCs w:val="21"/>
        </w:rPr>
      </w:pPr>
      <w:r>
        <w:rPr>
          <w:rFonts w:ascii="宋体" w:hAnsi="宋体"/>
          <w:szCs w:val="21"/>
        </w:rPr>
        <w:t xml:space="preserve">6.4 </w:t>
      </w:r>
      <w:r>
        <w:rPr>
          <w:rFonts w:hint="eastAsia" w:ascii="宋体" w:hAnsi="宋体"/>
          <w:szCs w:val="21"/>
        </w:rPr>
        <w:t>评标结果公示</w:t>
      </w:r>
      <w:r>
        <w:rPr>
          <w:rFonts w:ascii="宋体" w:hAnsi="宋体"/>
          <w:szCs w:val="21"/>
        </w:rPr>
        <w:tab/>
      </w:r>
      <w:r>
        <w:rPr>
          <w:rFonts w:ascii="宋体" w:hAnsi="宋体"/>
          <w:szCs w:val="21"/>
        </w:rPr>
        <w:fldChar w:fldCharType="begin"/>
      </w:r>
      <w:r>
        <w:rPr>
          <w:rFonts w:ascii="宋体" w:hAnsi="宋体"/>
          <w:szCs w:val="21"/>
        </w:rPr>
        <w:instrText xml:space="preserve"> PAGEREF _Toc108513535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720D8307">
      <w:pPr>
        <w:pStyle w:val="8"/>
        <w:tabs>
          <w:tab w:val="right" w:leader="dot" w:pos="8296"/>
        </w:tabs>
        <w:rPr>
          <w:rFonts w:ascii="宋体" w:hAnsi="宋体"/>
          <w:szCs w:val="21"/>
        </w:rPr>
      </w:pPr>
      <w:r>
        <w:rPr>
          <w:rFonts w:ascii="宋体" w:hAnsi="宋体"/>
          <w:szCs w:val="21"/>
        </w:rPr>
        <w:t xml:space="preserve">6.5 </w:t>
      </w:r>
      <w:r>
        <w:rPr>
          <w:rFonts w:hint="eastAsia" w:ascii="宋体" w:hAnsi="宋体"/>
          <w:szCs w:val="21"/>
        </w:rPr>
        <w:t>履约能力的审查（如有）</w:t>
      </w:r>
      <w:r>
        <w:rPr>
          <w:rFonts w:ascii="宋体" w:hAnsi="宋体"/>
          <w:szCs w:val="21"/>
        </w:rPr>
        <w:tab/>
      </w:r>
      <w:r>
        <w:rPr>
          <w:rFonts w:ascii="宋体" w:hAnsi="宋体"/>
          <w:szCs w:val="21"/>
        </w:rPr>
        <w:fldChar w:fldCharType="begin"/>
      </w:r>
      <w:r>
        <w:rPr>
          <w:rFonts w:ascii="宋体" w:hAnsi="宋体"/>
          <w:szCs w:val="21"/>
        </w:rPr>
        <w:instrText xml:space="preserve"> PAGEREF _Toc108513536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1EF770D7">
      <w:pPr>
        <w:pStyle w:val="13"/>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合同授予</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_Toc108513537 \h </w:instrText>
      </w:r>
      <w:r>
        <w:rPr>
          <w:rFonts w:ascii="宋体" w:hAnsi="宋体" w:eastAsia="宋体"/>
          <w:sz w:val="21"/>
          <w:szCs w:val="21"/>
        </w:rPr>
        <w:fldChar w:fldCharType="separate"/>
      </w:r>
      <w:r>
        <w:rPr>
          <w:rFonts w:ascii="宋体" w:hAnsi="宋体" w:eastAsia="宋体"/>
          <w:sz w:val="21"/>
          <w:szCs w:val="21"/>
        </w:rPr>
        <w:t>25</w:t>
      </w:r>
      <w:r>
        <w:rPr>
          <w:rFonts w:ascii="宋体" w:hAnsi="宋体" w:eastAsia="宋体"/>
          <w:sz w:val="21"/>
          <w:szCs w:val="21"/>
        </w:rPr>
        <w:fldChar w:fldCharType="end"/>
      </w:r>
    </w:p>
    <w:p w14:paraId="5DD4A071">
      <w:pPr>
        <w:pStyle w:val="8"/>
        <w:tabs>
          <w:tab w:val="right" w:leader="dot" w:pos="8296"/>
        </w:tabs>
        <w:rPr>
          <w:rFonts w:ascii="宋体" w:hAnsi="宋体"/>
          <w:szCs w:val="21"/>
        </w:rPr>
      </w:pPr>
      <w:r>
        <w:rPr>
          <w:rFonts w:ascii="宋体" w:hAnsi="宋体"/>
          <w:szCs w:val="21"/>
        </w:rPr>
        <w:t xml:space="preserve">7.1 </w:t>
      </w:r>
      <w:r>
        <w:rPr>
          <w:rFonts w:hint="eastAsia" w:ascii="宋体" w:hAnsi="宋体"/>
          <w:szCs w:val="21"/>
        </w:rPr>
        <w:t>定标方式</w:t>
      </w:r>
      <w:r>
        <w:rPr>
          <w:rFonts w:ascii="宋体" w:hAnsi="宋体"/>
          <w:szCs w:val="21"/>
        </w:rPr>
        <w:tab/>
      </w:r>
      <w:r>
        <w:rPr>
          <w:rFonts w:ascii="宋体" w:hAnsi="宋体"/>
          <w:szCs w:val="21"/>
        </w:rPr>
        <w:fldChar w:fldCharType="begin"/>
      </w:r>
      <w:r>
        <w:rPr>
          <w:rFonts w:ascii="宋体" w:hAnsi="宋体"/>
          <w:szCs w:val="21"/>
        </w:rPr>
        <w:instrText xml:space="preserve"> PAGEREF _Toc108513538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6AA437F5">
      <w:pPr>
        <w:pStyle w:val="8"/>
        <w:tabs>
          <w:tab w:val="right" w:leader="dot" w:pos="8296"/>
        </w:tabs>
        <w:rPr>
          <w:rFonts w:ascii="宋体" w:hAnsi="宋体"/>
          <w:szCs w:val="21"/>
        </w:rPr>
      </w:pPr>
      <w:r>
        <w:rPr>
          <w:rFonts w:ascii="宋体" w:hAnsi="宋体"/>
          <w:szCs w:val="21"/>
        </w:rPr>
        <w:t xml:space="preserve">7.2 </w:t>
      </w:r>
      <w:r>
        <w:rPr>
          <w:rFonts w:hint="eastAsia" w:ascii="宋体" w:hAnsi="宋体"/>
          <w:szCs w:val="21"/>
        </w:rPr>
        <w:t>中标通知</w:t>
      </w:r>
      <w:r>
        <w:rPr>
          <w:rFonts w:ascii="宋体" w:hAnsi="宋体"/>
          <w:szCs w:val="21"/>
        </w:rPr>
        <w:tab/>
      </w:r>
      <w:r>
        <w:rPr>
          <w:rFonts w:ascii="宋体" w:hAnsi="宋体"/>
          <w:szCs w:val="21"/>
        </w:rPr>
        <w:fldChar w:fldCharType="begin"/>
      </w:r>
      <w:r>
        <w:rPr>
          <w:rFonts w:ascii="宋体" w:hAnsi="宋体"/>
          <w:szCs w:val="21"/>
        </w:rPr>
        <w:instrText xml:space="preserve"> PAGEREF _Toc108513539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3F854D38">
      <w:pPr>
        <w:pStyle w:val="8"/>
        <w:tabs>
          <w:tab w:val="right" w:leader="dot" w:pos="8296"/>
        </w:tabs>
        <w:rPr>
          <w:rFonts w:ascii="宋体" w:hAnsi="宋体"/>
          <w:szCs w:val="21"/>
        </w:rPr>
      </w:pPr>
      <w:r>
        <w:rPr>
          <w:rFonts w:ascii="宋体" w:hAnsi="宋体"/>
          <w:szCs w:val="21"/>
        </w:rPr>
        <w:t xml:space="preserve">7.3 </w:t>
      </w:r>
      <w:r>
        <w:rPr>
          <w:rFonts w:hint="eastAsia" w:ascii="宋体" w:hAnsi="宋体"/>
          <w:szCs w:val="21"/>
        </w:rPr>
        <w:t>履约保证金</w:t>
      </w:r>
      <w:r>
        <w:rPr>
          <w:rFonts w:ascii="宋体" w:hAnsi="宋体"/>
          <w:szCs w:val="21"/>
        </w:rPr>
        <w:tab/>
      </w:r>
      <w:r>
        <w:rPr>
          <w:rFonts w:ascii="宋体" w:hAnsi="宋体"/>
          <w:szCs w:val="21"/>
        </w:rPr>
        <w:fldChar w:fldCharType="begin"/>
      </w:r>
      <w:r>
        <w:rPr>
          <w:rFonts w:ascii="宋体" w:hAnsi="宋体"/>
          <w:szCs w:val="21"/>
        </w:rPr>
        <w:instrText xml:space="preserve"> PAGEREF _Toc108513540 \h </w:instrText>
      </w:r>
      <w:r>
        <w:rPr>
          <w:rFonts w:ascii="宋体" w:hAnsi="宋体"/>
          <w:szCs w:val="21"/>
        </w:rPr>
        <w:fldChar w:fldCharType="separate"/>
      </w:r>
      <w:r>
        <w:rPr>
          <w:rFonts w:ascii="宋体" w:hAnsi="宋体"/>
          <w:szCs w:val="21"/>
        </w:rPr>
        <w:t>25</w:t>
      </w:r>
      <w:r>
        <w:rPr>
          <w:rFonts w:ascii="宋体" w:hAnsi="宋体"/>
          <w:szCs w:val="21"/>
        </w:rPr>
        <w:fldChar w:fldCharType="end"/>
      </w:r>
    </w:p>
    <w:p w14:paraId="6BFA3101">
      <w:pPr>
        <w:pStyle w:val="8"/>
        <w:tabs>
          <w:tab w:val="right" w:leader="dot" w:pos="8296"/>
        </w:tabs>
        <w:rPr>
          <w:rFonts w:ascii="宋体" w:hAnsi="宋体"/>
          <w:szCs w:val="21"/>
        </w:rPr>
      </w:pPr>
      <w:r>
        <w:rPr>
          <w:rFonts w:ascii="宋体" w:hAnsi="宋体"/>
          <w:szCs w:val="21"/>
        </w:rPr>
        <w:t xml:space="preserve">7.4 </w:t>
      </w:r>
      <w:r>
        <w:rPr>
          <w:rFonts w:hint="eastAsia" w:ascii="宋体" w:hAnsi="宋体"/>
          <w:szCs w:val="21"/>
        </w:rPr>
        <w:t>签订合同</w:t>
      </w:r>
      <w:r>
        <w:rPr>
          <w:rFonts w:ascii="宋体" w:hAnsi="宋体"/>
          <w:szCs w:val="21"/>
        </w:rPr>
        <w:tab/>
      </w:r>
      <w:r>
        <w:rPr>
          <w:rFonts w:ascii="宋体" w:hAnsi="宋体"/>
          <w:szCs w:val="21"/>
        </w:rPr>
        <w:fldChar w:fldCharType="begin"/>
      </w:r>
      <w:r>
        <w:rPr>
          <w:rFonts w:ascii="宋体" w:hAnsi="宋体"/>
          <w:szCs w:val="21"/>
        </w:rPr>
        <w:instrText xml:space="preserve"> PAGEREF _Toc108513541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0A6BE3C9">
      <w:pPr>
        <w:pStyle w:val="13"/>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重新招标、不再招标和终止招标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_Toc108513542 \h </w:instrText>
      </w:r>
      <w:r>
        <w:rPr>
          <w:rFonts w:ascii="宋体" w:hAnsi="宋体" w:eastAsia="宋体"/>
          <w:sz w:val="21"/>
          <w:szCs w:val="21"/>
        </w:rPr>
        <w:fldChar w:fldCharType="separate"/>
      </w:r>
      <w:r>
        <w:rPr>
          <w:rFonts w:ascii="宋体" w:hAnsi="宋体" w:eastAsia="宋体"/>
          <w:sz w:val="21"/>
          <w:szCs w:val="21"/>
        </w:rPr>
        <w:t>26</w:t>
      </w:r>
      <w:r>
        <w:rPr>
          <w:rFonts w:ascii="宋体" w:hAnsi="宋体" w:eastAsia="宋体"/>
          <w:sz w:val="21"/>
          <w:szCs w:val="21"/>
        </w:rPr>
        <w:fldChar w:fldCharType="end"/>
      </w:r>
    </w:p>
    <w:p w14:paraId="31D0485C">
      <w:pPr>
        <w:pStyle w:val="8"/>
        <w:tabs>
          <w:tab w:val="right" w:leader="dot" w:pos="8296"/>
        </w:tabs>
        <w:rPr>
          <w:rFonts w:ascii="宋体" w:hAnsi="宋体"/>
          <w:szCs w:val="21"/>
        </w:rPr>
      </w:pPr>
      <w:r>
        <w:rPr>
          <w:rFonts w:ascii="宋体" w:hAnsi="宋体"/>
          <w:szCs w:val="21"/>
        </w:rPr>
        <w:t xml:space="preserve">8.1 </w:t>
      </w:r>
      <w:r>
        <w:rPr>
          <w:rFonts w:hint="eastAsia" w:ascii="宋体" w:hAnsi="宋体"/>
          <w:szCs w:val="21"/>
        </w:rPr>
        <w:t>重新招标</w:t>
      </w:r>
      <w:r>
        <w:rPr>
          <w:rFonts w:ascii="宋体" w:hAnsi="宋体"/>
          <w:szCs w:val="21"/>
        </w:rPr>
        <w:tab/>
      </w:r>
      <w:r>
        <w:rPr>
          <w:rFonts w:ascii="宋体" w:hAnsi="宋体"/>
          <w:szCs w:val="21"/>
        </w:rPr>
        <w:fldChar w:fldCharType="begin"/>
      </w:r>
      <w:r>
        <w:rPr>
          <w:rFonts w:ascii="宋体" w:hAnsi="宋体"/>
          <w:szCs w:val="21"/>
        </w:rPr>
        <w:instrText xml:space="preserve"> PAGEREF _Toc108513543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3CA533B1">
      <w:pPr>
        <w:pStyle w:val="8"/>
        <w:tabs>
          <w:tab w:val="right" w:leader="dot" w:pos="8296"/>
        </w:tabs>
        <w:rPr>
          <w:rFonts w:ascii="宋体" w:hAnsi="宋体"/>
          <w:szCs w:val="21"/>
        </w:rPr>
      </w:pPr>
      <w:r>
        <w:rPr>
          <w:rFonts w:ascii="宋体" w:hAnsi="宋体"/>
          <w:szCs w:val="21"/>
        </w:rPr>
        <w:t xml:space="preserve">8.2 </w:t>
      </w:r>
      <w:r>
        <w:rPr>
          <w:rFonts w:hint="eastAsia" w:ascii="宋体" w:hAnsi="宋体"/>
          <w:szCs w:val="21"/>
        </w:rPr>
        <w:t>不再招标</w:t>
      </w:r>
      <w:r>
        <w:rPr>
          <w:rFonts w:ascii="宋体" w:hAnsi="宋体"/>
          <w:szCs w:val="21"/>
        </w:rPr>
        <w:tab/>
      </w:r>
      <w:r>
        <w:rPr>
          <w:rFonts w:ascii="宋体" w:hAnsi="宋体"/>
          <w:szCs w:val="21"/>
        </w:rPr>
        <w:fldChar w:fldCharType="begin"/>
      </w:r>
      <w:r>
        <w:rPr>
          <w:rFonts w:ascii="宋体" w:hAnsi="宋体"/>
          <w:szCs w:val="21"/>
        </w:rPr>
        <w:instrText xml:space="preserve"> PAGEREF _Toc108513544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77DEB9E6">
      <w:pPr>
        <w:pStyle w:val="8"/>
        <w:tabs>
          <w:tab w:val="right" w:leader="dot" w:pos="8296"/>
        </w:tabs>
        <w:rPr>
          <w:rFonts w:ascii="宋体" w:hAnsi="宋体"/>
          <w:szCs w:val="21"/>
        </w:rPr>
      </w:pPr>
      <w:r>
        <w:rPr>
          <w:rFonts w:ascii="宋体" w:hAnsi="宋体"/>
          <w:szCs w:val="21"/>
        </w:rPr>
        <w:t xml:space="preserve">8.3 </w:t>
      </w:r>
      <w:r>
        <w:rPr>
          <w:rFonts w:hint="eastAsia" w:ascii="宋体" w:hAnsi="宋体"/>
          <w:szCs w:val="21"/>
        </w:rPr>
        <w:t>终止招标</w:t>
      </w:r>
      <w:r>
        <w:rPr>
          <w:rFonts w:ascii="宋体" w:hAnsi="宋体"/>
          <w:szCs w:val="21"/>
        </w:rPr>
        <w:tab/>
      </w:r>
      <w:r>
        <w:rPr>
          <w:rFonts w:ascii="宋体" w:hAnsi="宋体"/>
          <w:szCs w:val="21"/>
        </w:rPr>
        <w:fldChar w:fldCharType="begin"/>
      </w:r>
      <w:r>
        <w:rPr>
          <w:rFonts w:ascii="宋体" w:hAnsi="宋体"/>
          <w:szCs w:val="21"/>
        </w:rPr>
        <w:instrText xml:space="preserve"> PAGEREF _Toc108513545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1EB52402">
      <w:pPr>
        <w:pStyle w:val="13"/>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纪律和监督</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_Toc108513546 \h </w:instrText>
      </w:r>
      <w:r>
        <w:rPr>
          <w:rFonts w:ascii="宋体" w:hAnsi="宋体" w:eastAsia="宋体"/>
          <w:sz w:val="21"/>
          <w:szCs w:val="21"/>
        </w:rPr>
        <w:fldChar w:fldCharType="separate"/>
      </w:r>
      <w:r>
        <w:rPr>
          <w:rFonts w:ascii="宋体" w:hAnsi="宋体" w:eastAsia="宋体"/>
          <w:sz w:val="21"/>
          <w:szCs w:val="21"/>
        </w:rPr>
        <w:t>26</w:t>
      </w:r>
      <w:r>
        <w:rPr>
          <w:rFonts w:ascii="宋体" w:hAnsi="宋体" w:eastAsia="宋体"/>
          <w:sz w:val="21"/>
          <w:szCs w:val="21"/>
        </w:rPr>
        <w:fldChar w:fldCharType="end"/>
      </w:r>
    </w:p>
    <w:p w14:paraId="6CEC1247">
      <w:pPr>
        <w:pStyle w:val="8"/>
        <w:tabs>
          <w:tab w:val="right" w:leader="dot" w:pos="8296"/>
        </w:tabs>
        <w:rPr>
          <w:rFonts w:ascii="宋体" w:hAnsi="宋体"/>
          <w:szCs w:val="21"/>
        </w:rPr>
      </w:pPr>
      <w:r>
        <w:rPr>
          <w:rFonts w:ascii="宋体" w:hAnsi="宋体"/>
          <w:szCs w:val="21"/>
        </w:rPr>
        <w:t xml:space="preserve">9.1 </w:t>
      </w:r>
      <w:r>
        <w:rPr>
          <w:rFonts w:hint="eastAsia" w:ascii="宋体" w:hAnsi="宋体"/>
          <w:szCs w:val="21"/>
        </w:rPr>
        <w:t>对招标人的纪律要求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_Toc108513547 \h </w:instrText>
      </w:r>
      <w:r>
        <w:rPr>
          <w:rFonts w:ascii="宋体" w:hAnsi="宋体"/>
          <w:szCs w:val="21"/>
        </w:rPr>
        <w:fldChar w:fldCharType="separate"/>
      </w:r>
      <w:r>
        <w:rPr>
          <w:rFonts w:ascii="宋体" w:hAnsi="宋体"/>
          <w:szCs w:val="21"/>
        </w:rPr>
        <w:t>26</w:t>
      </w:r>
      <w:r>
        <w:rPr>
          <w:rFonts w:ascii="宋体" w:hAnsi="宋体"/>
          <w:szCs w:val="21"/>
        </w:rPr>
        <w:fldChar w:fldCharType="end"/>
      </w:r>
    </w:p>
    <w:p w14:paraId="53ED0AA8">
      <w:pPr>
        <w:pStyle w:val="8"/>
        <w:tabs>
          <w:tab w:val="right" w:leader="dot" w:pos="8296"/>
        </w:tabs>
        <w:rPr>
          <w:rFonts w:ascii="宋体" w:hAnsi="宋体"/>
          <w:szCs w:val="21"/>
        </w:rPr>
      </w:pPr>
      <w:r>
        <w:rPr>
          <w:rFonts w:ascii="宋体" w:hAnsi="宋体"/>
          <w:szCs w:val="21"/>
        </w:rPr>
        <w:t xml:space="preserve">9.2 </w:t>
      </w:r>
      <w:r>
        <w:rPr>
          <w:rFonts w:hint="eastAsia" w:ascii="宋体" w:hAnsi="宋体"/>
          <w:szCs w:val="21"/>
        </w:rPr>
        <w:t>对投标人的纪律要求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_Toc108513548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7C256449">
      <w:pPr>
        <w:pStyle w:val="8"/>
        <w:tabs>
          <w:tab w:val="right" w:leader="dot" w:pos="8296"/>
        </w:tabs>
        <w:rPr>
          <w:rFonts w:ascii="宋体" w:hAnsi="宋体"/>
          <w:szCs w:val="21"/>
        </w:rPr>
      </w:pPr>
      <w:r>
        <w:rPr>
          <w:rFonts w:ascii="宋体" w:hAnsi="宋体"/>
          <w:szCs w:val="21"/>
        </w:rPr>
        <w:t xml:space="preserve">9.3 </w:t>
      </w:r>
      <w:r>
        <w:rPr>
          <w:rFonts w:hint="eastAsia" w:ascii="宋体" w:hAnsi="宋体"/>
          <w:szCs w:val="21"/>
        </w:rPr>
        <w:t>对评标委员会成员的纪律要求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_Toc108513549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05650DEF">
      <w:pPr>
        <w:pStyle w:val="8"/>
        <w:tabs>
          <w:tab w:val="right" w:leader="dot" w:pos="8296"/>
        </w:tabs>
        <w:rPr>
          <w:rFonts w:ascii="宋体" w:hAnsi="宋体"/>
          <w:szCs w:val="21"/>
        </w:rPr>
      </w:pPr>
      <w:r>
        <w:rPr>
          <w:rFonts w:ascii="宋体" w:hAnsi="宋体"/>
          <w:szCs w:val="21"/>
        </w:rPr>
        <w:t xml:space="preserve">9.4 </w:t>
      </w:r>
      <w:r>
        <w:rPr>
          <w:rFonts w:hint="eastAsia" w:ascii="宋体" w:hAnsi="宋体"/>
          <w:szCs w:val="21"/>
        </w:rPr>
        <w:t>对与评标活动有关的工作人员的纪律要求</w:t>
      </w:r>
      <w:r>
        <w:rPr>
          <w:rFonts w:ascii="宋体" w:hAnsi="宋体"/>
          <w:szCs w:val="21"/>
        </w:rPr>
        <w:tab/>
      </w:r>
      <w:r>
        <w:rPr>
          <w:rFonts w:ascii="宋体" w:hAnsi="宋体"/>
          <w:szCs w:val="21"/>
        </w:rPr>
        <w:fldChar w:fldCharType="begin"/>
      </w:r>
      <w:r>
        <w:rPr>
          <w:rFonts w:ascii="宋体" w:hAnsi="宋体"/>
          <w:szCs w:val="21"/>
        </w:rPr>
        <w:instrText xml:space="preserve"> PAGEREF _Toc108513550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7864A395">
      <w:pPr>
        <w:pStyle w:val="8"/>
        <w:tabs>
          <w:tab w:val="right" w:leader="dot" w:pos="8296"/>
        </w:tabs>
        <w:rPr>
          <w:rFonts w:ascii="宋体" w:hAnsi="宋体"/>
          <w:szCs w:val="21"/>
        </w:rPr>
      </w:pPr>
      <w:r>
        <w:rPr>
          <w:rFonts w:ascii="宋体" w:hAnsi="宋体"/>
          <w:szCs w:val="21"/>
        </w:rPr>
        <w:t xml:space="preserve">9.5 </w:t>
      </w:r>
      <w:r>
        <w:rPr>
          <w:rFonts w:hint="eastAsia" w:ascii="宋体" w:hAnsi="宋体"/>
          <w:szCs w:val="21"/>
        </w:rPr>
        <w:t>投诉</w:t>
      </w:r>
      <w:r>
        <w:rPr>
          <w:rFonts w:ascii="宋体" w:hAnsi="宋体"/>
          <w:szCs w:val="21"/>
        </w:rPr>
        <w:tab/>
      </w:r>
      <w:r>
        <w:rPr>
          <w:rFonts w:ascii="宋体" w:hAnsi="宋体"/>
          <w:szCs w:val="21"/>
        </w:rPr>
        <w:fldChar w:fldCharType="begin"/>
      </w:r>
      <w:r>
        <w:rPr>
          <w:rFonts w:ascii="宋体" w:hAnsi="宋体"/>
          <w:szCs w:val="21"/>
        </w:rPr>
        <w:instrText xml:space="preserve"> PAGEREF _Toc108513551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7572408E">
      <w:pPr>
        <w:pStyle w:val="13"/>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需要补充的其他内容</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_Toc108513552 \h </w:instrText>
      </w:r>
      <w:r>
        <w:rPr>
          <w:rFonts w:ascii="宋体" w:hAnsi="宋体" w:eastAsia="宋体"/>
          <w:sz w:val="21"/>
          <w:szCs w:val="21"/>
        </w:rPr>
        <w:fldChar w:fldCharType="separate"/>
      </w:r>
      <w:r>
        <w:rPr>
          <w:rFonts w:ascii="宋体" w:hAnsi="宋体" w:eastAsia="宋体"/>
          <w:sz w:val="21"/>
          <w:szCs w:val="21"/>
        </w:rPr>
        <w:t>27</w:t>
      </w:r>
      <w:r>
        <w:rPr>
          <w:rFonts w:ascii="宋体" w:hAnsi="宋体" w:eastAsia="宋体"/>
          <w:sz w:val="21"/>
          <w:szCs w:val="21"/>
        </w:rPr>
        <w:fldChar w:fldCharType="end"/>
      </w:r>
    </w:p>
    <w:p w14:paraId="2BDA2611">
      <w:pPr>
        <w:pStyle w:val="8"/>
        <w:tabs>
          <w:tab w:val="right" w:leader="dot" w:pos="8296"/>
        </w:tabs>
        <w:rPr>
          <w:rFonts w:ascii="宋体" w:hAnsi="宋体"/>
          <w:szCs w:val="21"/>
        </w:rPr>
      </w:pPr>
      <w:r>
        <w:rPr>
          <w:rFonts w:ascii="宋体" w:hAnsi="宋体"/>
          <w:szCs w:val="21"/>
        </w:rPr>
        <w:t xml:space="preserve">10.1 </w:t>
      </w:r>
      <w:r>
        <w:rPr>
          <w:rFonts w:hint="eastAsia" w:ascii="宋体" w:hAnsi="宋体"/>
          <w:szCs w:val="21"/>
        </w:rPr>
        <w:t>多标段投标</w:t>
      </w:r>
      <w:r>
        <w:rPr>
          <w:rFonts w:ascii="宋体" w:hAnsi="宋体"/>
          <w:szCs w:val="21"/>
        </w:rPr>
        <w:tab/>
      </w:r>
      <w:r>
        <w:rPr>
          <w:rFonts w:ascii="宋体" w:hAnsi="宋体"/>
          <w:szCs w:val="21"/>
        </w:rPr>
        <w:fldChar w:fldCharType="begin"/>
      </w:r>
      <w:r>
        <w:rPr>
          <w:rFonts w:ascii="宋体" w:hAnsi="宋体"/>
          <w:szCs w:val="21"/>
        </w:rPr>
        <w:instrText xml:space="preserve"> PAGEREF _Toc108513553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0C46C07F">
      <w:pPr>
        <w:pStyle w:val="8"/>
        <w:tabs>
          <w:tab w:val="right" w:leader="dot" w:pos="8296"/>
        </w:tabs>
        <w:rPr>
          <w:rFonts w:ascii="宋体" w:hAnsi="宋体"/>
          <w:szCs w:val="21"/>
        </w:rPr>
      </w:pPr>
      <w:r>
        <w:rPr>
          <w:rFonts w:ascii="宋体" w:hAnsi="宋体"/>
          <w:szCs w:val="21"/>
        </w:rPr>
        <w:t xml:space="preserve">10.2 </w:t>
      </w:r>
      <w:r>
        <w:rPr>
          <w:rFonts w:hint="eastAsia" w:ascii="宋体" w:hAnsi="宋体"/>
          <w:szCs w:val="21"/>
        </w:rPr>
        <w:t>评标办法中的有关系数的取值和评分因素设置</w:t>
      </w:r>
      <w:r>
        <w:rPr>
          <w:rFonts w:ascii="宋体" w:hAnsi="宋体"/>
          <w:szCs w:val="21"/>
        </w:rPr>
        <w:tab/>
      </w:r>
      <w:r>
        <w:rPr>
          <w:rFonts w:ascii="宋体" w:hAnsi="宋体"/>
          <w:szCs w:val="21"/>
        </w:rPr>
        <w:fldChar w:fldCharType="begin"/>
      </w:r>
      <w:r>
        <w:rPr>
          <w:rFonts w:ascii="宋体" w:hAnsi="宋体"/>
          <w:szCs w:val="21"/>
        </w:rPr>
        <w:instrText xml:space="preserve"> PAGEREF _Toc108513554 \h </w:instrText>
      </w:r>
      <w:r>
        <w:rPr>
          <w:rFonts w:ascii="宋体" w:hAnsi="宋体"/>
          <w:szCs w:val="21"/>
        </w:rPr>
        <w:fldChar w:fldCharType="separate"/>
      </w:r>
      <w:r>
        <w:rPr>
          <w:rFonts w:ascii="宋体" w:hAnsi="宋体"/>
          <w:szCs w:val="21"/>
        </w:rPr>
        <w:t>27</w:t>
      </w:r>
      <w:r>
        <w:rPr>
          <w:rFonts w:ascii="宋体" w:hAnsi="宋体"/>
          <w:szCs w:val="21"/>
        </w:rPr>
        <w:fldChar w:fldCharType="end"/>
      </w:r>
    </w:p>
    <w:p w14:paraId="6CEBF873">
      <w:pPr>
        <w:pStyle w:val="8"/>
        <w:tabs>
          <w:tab w:val="right" w:leader="dot" w:pos="8296"/>
        </w:tabs>
        <w:rPr>
          <w:rFonts w:ascii="宋体" w:hAnsi="宋体"/>
          <w:szCs w:val="21"/>
        </w:rPr>
      </w:pPr>
      <w:r>
        <w:rPr>
          <w:rFonts w:ascii="宋体" w:hAnsi="宋体"/>
          <w:szCs w:val="21"/>
        </w:rPr>
        <w:t xml:space="preserve">10.3 </w:t>
      </w:r>
      <w:r>
        <w:rPr>
          <w:rFonts w:hint="eastAsia" w:ascii="宋体" w:hAnsi="宋体"/>
          <w:szCs w:val="21"/>
        </w:rPr>
        <w:t>中标人的投标文件</w:t>
      </w:r>
      <w:r>
        <w:rPr>
          <w:rFonts w:ascii="宋体" w:hAnsi="宋体"/>
          <w:szCs w:val="21"/>
        </w:rPr>
        <w:tab/>
      </w:r>
      <w:r>
        <w:rPr>
          <w:rFonts w:ascii="宋体" w:hAnsi="宋体"/>
          <w:szCs w:val="21"/>
        </w:rPr>
        <w:fldChar w:fldCharType="begin"/>
      </w:r>
      <w:r>
        <w:rPr>
          <w:rFonts w:ascii="宋体" w:hAnsi="宋体"/>
          <w:szCs w:val="21"/>
        </w:rPr>
        <w:instrText xml:space="preserve"> PAGEREF _Toc108513555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6AB456D8">
      <w:pPr>
        <w:pStyle w:val="8"/>
        <w:tabs>
          <w:tab w:val="right" w:leader="dot" w:pos="8296"/>
        </w:tabs>
        <w:rPr>
          <w:rFonts w:ascii="宋体" w:hAnsi="宋体"/>
          <w:szCs w:val="21"/>
        </w:rPr>
      </w:pPr>
      <w:r>
        <w:rPr>
          <w:rFonts w:ascii="宋体" w:hAnsi="宋体"/>
          <w:szCs w:val="21"/>
        </w:rPr>
        <w:t xml:space="preserve">10.4 </w:t>
      </w:r>
      <w:r>
        <w:rPr>
          <w:rFonts w:hint="eastAsia" w:ascii="宋体" w:hAnsi="宋体"/>
          <w:szCs w:val="21"/>
        </w:rPr>
        <w:t>知识产权</w:t>
      </w:r>
      <w:r>
        <w:rPr>
          <w:rFonts w:ascii="宋体" w:hAnsi="宋体"/>
          <w:szCs w:val="21"/>
        </w:rPr>
        <w:tab/>
      </w:r>
      <w:r>
        <w:rPr>
          <w:rFonts w:ascii="宋体" w:hAnsi="宋体"/>
          <w:szCs w:val="21"/>
        </w:rPr>
        <w:fldChar w:fldCharType="begin"/>
      </w:r>
      <w:r>
        <w:rPr>
          <w:rFonts w:ascii="宋体" w:hAnsi="宋体"/>
          <w:szCs w:val="21"/>
        </w:rPr>
        <w:instrText xml:space="preserve"> PAGEREF _Toc108513556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11DAB726">
      <w:pPr>
        <w:pStyle w:val="8"/>
        <w:tabs>
          <w:tab w:val="right" w:leader="dot" w:pos="8296"/>
        </w:tabs>
        <w:rPr>
          <w:rFonts w:ascii="宋体" w:hAnsi="宋体"/>
          <w:szCs w:val="21"/>
        </w:rPr>
      </w:pPr>
      <w:r>
        <w:rPr>
          <w:rFonts w:ascii="宋体" w:hAnsi="宋体"/>
          <w:szCs w:val="21"/>
        </w:rPr>
        <w:t xml:space="preserve">10.5 </w:t>
      </w:r>
      <w:r>
        <w:rPr>
          <w:rFonts w:hint="eastAsia" w:ascii="宋体" w:hAnsi="宋体"/>
          <w:szCs w:val="21"/>
        </w:rPr>
        <w:t>同义词语</w:t>
      </w:r>
      <w:r>
        <w:rPr>
          <w:rFonts w:ascii="宋体" w:hAnsi="宋体"/>
          <w:szCs w:val="21"/>
        </w:rPr>
        <w:tab/>
      </w:r>
      <w:r>
        <w:rPr>
          <w:rFonts w:ascii="宋体" w:hAnsi="宋体"/>
          <w:szCs w:val="21"/>
        </w:rPr>
        <w:fldChar w:fldCharType="begin"/>
      </w:r>
      <w:r>
        <w:rPr>
          <w:rFonts w:ascii="宋体" w:hAnsi="宋体"/>
          <w:szCs w:val="21"/>
        </w:rPr>
        <w:instrText xml:space="preserve"> PAGEREF _Toc108513557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1B9FF3A8">
      <w:pPr>
        <w:pStyle w:val="8"/>
        <w:tabs>
          <w:tab w:val="right" w:leader="dot" w:pos="8296"/>
        </w:tabs>
        <w:rPr>
          <w:rFonts w:ascii="宋体" w:hAnsi="宋体"/>
          <w:szCs w:val="21"/>
        </w:rPr>
      </w:pPr>
      <w:r>
        <w:rPr>
          <w:rFonts w:ascii="宋体" w:hAnsi="宋体"/>
          <w:szCs w:val="21"/>
        </w:rPr>
        <w:t xml:space="preserve">10.6 </w:t>
      </w:r>
      <w:r>
        <w:rPr>
          <w:rFonts w:hint="eastAsia" w:ascii="宋体" w:hAnsi="宋体"/>
          <w:szCs w:val="21"/>
        </w:rPr>
        <w:t>解释权</w:t>
      </w:r>
      <w:r>
        <w:rPr>
          <w:rFonts w:ascii="宋体" w:hAnsi="宋体"/>
          <w:szCs w:val="21"/>
        </w:rPr>
        <w:tab/>
      </w:r>
      <w:r>
        <w:rPr>
          <w:rFonts w:ascii="宋体" w:hAnsi="宋体"/>
          <w:szCs w:val="21"/>
        </w:rPr>
        <w:fldChar w:fldCharType="begin"/>
      </w:r>
      <w:r>
        <w:rPr>
          <w:rFonts w:ascii="宋体" w:hAnsi="宋体"/>
          <w:szCs w:val="21"/>
        </w:rPr>
        <w:instrText xml:space="preserve"> PAGEREF _Toc108513558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17B1414D">
      <w:pPr>
        <w:pStyle w:val="8"/>
        <w:tabs>
          <w:tab w:val="right" w:leader="dot" w:pos="8296"/>
        </w:tabs>
        <w:rPr>
          <w:rFonts w:ascii="宋体" w:hAnsi="宋体"/>
          <w:szCs w:val="21"/>
        </w:rPr>
      </w:pPr>
      <w:r>
        <w:rPr>
          <w:rFonts w:ascii="宋体" w:hAnsi="宋体"/>
          <w:szCs w:val="21"/>
        </w:rPr>
        <w:t xml:space="preserve">10.7 </w:t>
      </w:r>
      <w:r>
        <w:rPr>
          <w:rFonts w:hint="eastAsia" w:ascii="宋体" w:hAnsi="宋体"/>
          <w:szCs w:val="21"/>
        </w:rPr>
        <w:t>交易平台信息服务费</w:t>
      </w:r>
      <w:r>
        <w:rPr>
          <w:rFonts w:ascii="宋体" w:hAnsi="宋体"/>
          <w:szCs w:val="21"/>
        </w:rPr>
        <w:tab/>
      </w:r>
      <w:r>
        <w:rPr>
          <w:rFonts w:ascii="宋体" w:hAnsi="宋体"/>
          <w:szCs w:val="21"/>
        </w:rPr>
        <w:fldChar w:fldCharType="begin"/>
      </w:r>
      <w:r>
        <w:rPr>
          <w:rFonts w:ascii="宋体" w:hAnsi="宋体"/>
          <w:szCs w:val="21"/>
        </w:rPr>
        <w:instrText xml:space="preserve"> PAGEREF _Toc108513559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121D110F">
      <w:pPr>
        <w:pStyle w:val="8"/>
        <w:tabs>
          <w:tab w:val="right" w:leader="dot" w:pos="8296"/>
        </w:tabs>
        <w:rPr>
          <w:rFonts w:ascii="宋体" w:hAnsi="宋体"/>
          <w:szCs w:val="21"/>
        </w:rPr>
      </w:pPr>
      <w:r>
        <w:rPr>
          <w:rFonts w:ascii="宋体" w:hAnsi="宋体"/>
          <w:szCs w:val="21"/>
        </w:rPr>
        <w:t xml:space="preserve">10.8 </w:t>
      </w:r>
      <w:r>
        <w:rPr>
          <w:rFonts w:hint="eastAsia" w:ascii="宋体" w:hAnsi="宋体"/>
          <w:szCs w:val="21"/>
        </w:rPr>
        <w:t>招标代理服务费</w:t>
      </w:r>
      <w:r>
        <w:rPr>
          <w:rFonts w:ascii="宋体" w:hAnsi="宋体"/>
          <w:szCs w:val="21"/>
        </w:rPr>
        <w:tab/>
      </w:r>
      <w:r>
        <w:rPr>
          <w:rFonts w:ascii="宋体" w:hAnsi="宋体"/>
          <w:szCs w:val="21"/>
        </w:rPr>
        <w:fldChar w:fldCharType="begin"/>
      </w:r>
      <w:r>
        <w:rPr>
          <w:rFonts w:ascii="宋体" w:hAnsi="宋体"/>
          <w:szCs w:val="21"/>
        </w:rPr>
        <w:instrText xml:space="preserve"> PAGEREF _Toc108513560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702DC818">
      <w:pPr>
        <w:pStyle w:val="8"/>
        <w:tabs>
          <w:tab w:val="right" w:leader="dot" w:pos="8296"/>
        </w:tabs>
        <w:rPr>
          <w:rFonts w:ascii="宋体" w:hAnsi="宋体"/>
          <w:szCs w:val="21"/>
        </w:rPr>
      </w:pPr>
      <w:r>
        <w:rPr>
          <w:rFonts w:ascii="宋体" w:hAnsi="宋体"/>
          <w:szCs w:val="21"/>
        </w:rPr>
        <w:t xml:space="preserve">10.9 </w:t>
      </w:r>
      <w:r>
        <w:rPr>
          <w:rFonts w:hint="eastAsia" w:ascii="宋体" w:hAnsi="宋体"/>
          <w:szCs w:val="21"/>
        </w:rPr>
        <w:t>政府采购合同融资政策</w:t>
      </w:r>
      <w:r>
        <w:rPr>
          <w:rFonts w:ascii="宋体" w:hAnsi="宋体"/>
          <w:szCs w:val="21"/>
        </w:rPr>
        <w:tab/>
      </w:r>
      <w:r>
        <w:rPr>
          <w:rFonts w:ascii="宋体" w:hAnsi="宋体"/>
          <w:szCs w:val="21"/>
        </w:rPr>
        <w:fldChar w:fldCharType="begin"/>
      </w:r>
      <w:r>
        <w:rPr>
          <w:rFonts w:ascii="宋体" w:hAnsi="宋体"/>
          <w:szCs w:val="21"/>
        </w:rPr>
        <w:instrText xml:space="preserve"> PAGEREF _Toc108513561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643F1B61">
      <w:pPr>
        <w:pStyle w:val="8"/>
        <w:tabs>
          <w:tab w:val="right" w:leader="dot" w:pos="8296"/>
        </w:tabs>
        <w:rPr>
          <w:rFonts w:ascii="宋体" w:hAnsi="宋体"/>
          <w:szCs w:val="21"/>
        </w:rPr>
      </w:pPr>
      <w:r>
        <w:rPr>
          <w:rFonts w:ascii="宋体" w:hAnsi="宋体"/>
          <w:szCs w:val="21"/>
        </w:rPr>
        <w:t xml:space="preserve">10.10 </w:t>
      </w:r>
      <w:r>
        <w:rPr>
          <w:rFonts w:hint="eastAsia" w:ascii="宋体" w:hAnsi="宋体"/>
          <w:szCs w:val="21"/>
        </w:rPr>
        <w:t>招标人补充的其他内容</w:t>
      </w:r>
      <w:r>
        <w:rPr>
          <w:rFonts w:ascii="宋体" w:hAnsi="宋体"/>
          <w:szCs w:val="21"/>
        </w:rPr>
        <w:tab/>
      </w:r>
      <w:r>
        <w:rPr>
          <w:rFonts w:ascii="宋体" w:hAnsi="宋体"/>
          <w:szCs w:val="21"/>
        </w:rPr>
        <w:fldChar w:fldCharType="begin"/>
      </w:r>
      <w:r>
        <w:rPr>
          <w:rFonts w:ascii="宋体" w:hAnsi="宋体"/>
          <w:szCs w:val="21"/>
        </w:rPr>
        <w:instrText xml:space="preserve"> PAGEREF _Toc108513562 \h </w:instrText>
      </w:r>
      <w:r>
        <w:rPr>
          <w:rFonts w:ascii="宋体" w:hAnsi="宋体"/>
          <w:szCs w:val="21"/>
        </w:rPr>
        <w:fldChar w:fldCharType="separate"/>
      </w:r>
      <w:r>
        <w:rPr>
          <w:rFonts w:ascii="宋体" w:hAnsi="宋体"/>
          <w:szCs w:val="21"/>
        </w:rPr>
        <w:t>28</w:t>
      </w:r>
      <w:r>
        <w:rPr>
          <w:rFonts w:ascii="宋体" w:hAnsi="宋体"/>
          <w:szCs w:val="21"/>
        </w:rPr>
        <w:fldChar w:fldCharType="end"/>
      </w:r>
    </w:p>
    <w:p w14:paraId="0C30A7BA">
      <w:pPr>
        <w:pStyle w:val="8"/>
        <w:tabs>
          <w:tab w:val="right" w:leader="dot" w:pos="8296"/>
        </w:tabs>
        <w:rPr>
          <w:rFonts w:ascii="宋体" w:hAnsi="宋体"/>
          <w:szCs w:val="21"/>
        </w:rPr>
      </w:pPr>
      <w:r>
        <w:rPr>
          <w:rFonts w:hint="eastAsia" w:ascii="宋体" w:hAnsi="宋体"/>
          <w:szCs w:val="21"/>
        </w:rPr>
        <w:t>附录一：投标人资质条件、能力和信誉</w:t>
      </w:r>
      <w:r>
        <w:rPr>
          <w:rFonts w:ascii="宋体" w:hAnsi="宋体"/>
          <w:szCs w:val="21"/>
        </w:rPr>
        <w:tab/>
      </w:r>
      <w:r>
        <w:rPr>
          <w:rFonts w:ascii="宋体" w:hAnsi="宋体"/>
          <w:szCs w:val="21"/>
        </w:rPr>
        <w:fldChar w:fldCharType="begin"/>
      </w:r>
      <w:r>
        <w:rPr>
          <w:rFonts w:ascii="宋体" w:hAnsi="宋体"/>
          <w:szCs w:val="21"/>
        </w:rPr>
        <w:instrText xml:space="preserve"> PAGEREF _Toc108513563 \h </w:instrText>
      </w:r>
      <w:r>
        <w:rPr>
          <w:rFonts w:ascii="宋体" w:hAnsi="宋体"/>
          <w:szCs w:val="21"/>
        </w:rPr>
        <w:fldChar w:fldCharType="separate"/>
      </w:r>
      <w:r>
        <w:rPr>
          <w:rFonts w:ascii="宋体" w:hAnsi="宋体"/>
          <w:szCs w:val="21"/>
        </w:rPr>
        <w:t>29</w:t>
      </w:r>
      <w:r>
        <w:rPr>
          <w:rFonts w:ascii="宋体" w:hAnsi="宋体"/>
          <w:szCs w:val="21"/>
        </w:rPr>
        <w:fldChar w:fldCharType="end"/>
      </w:r>
    </w:p>
    <w:p w14:paraId="5392C516">
      <w:pPr>
        <w:pStyle w:val="8"/>
        <w:tabs>
          <w:tab w:val="right" w:leader="dot" w:pos="8296"/>
        </w:tabs>
        <w:rPr>
          <w:rFonts w:ascii="宋体" w:hAnsi="宋体"/>
          <w:szCs w:val="21"/>
        </w:rPr>
      </w:pPr>
      <w:r>
        <w:rPr>
          <w:rFonts w:hint="eastAsia" w:ascii="宋体" w:hAnsi="宋体"/>
          <w:szCs w:val="21"/>
        </w:rPr>
        <w:t>附录二：政府采购工程预留工作及金额</w:t>
      </w:r>
      <w:r>
        <w:rPr>
          <w:rFonts w:ascii="宋体" w:hAnsi="宋体"/>
          <w:szCs w:val="21"/>
        </w:rPr>
        <w:tab/>
      </w:r>
      <w:r>
        <w:rPr>
          <w:rFonts w:ascii="宋体" w:hAnsi="宋体"/>
          <w:szCs w:val="21"/>
        </w:rPr>
        <w:fldChar w:fldCharType="begin"/>
      </w:r>
      <w:r>
        <w:rPr>
          <w:rFonts w:ascii="宋体" w:hAnsi="宋体"/>
          <w:szCs w:val="21"/>
        </w:rPr>
        <w:instrText xml:space="preserve"> PAGEREF _Toc108513564 \h </w:instrText>
      </w:r>
      <w:r>
        <w:rPr>
          <w:rFonts w:ascii="宋体" w:hAnsi="宋体"/>
          <w:szCs w:val="21"/>
        </w:rPr>
        <w:fldChar w:fldCharType="separate"/>
      </w:r>
      <w:r>
        <w:rPr>
          <w:rFonts w:ascii="宋体" w:hAnsi="宋体"/>
          <w:szCs w:val="21"/>
        </w:rPr>
        <w:t>32</w:t>
      </w:r>
      <w:r>
        <w:rPr>
          <w:rFonts w:ascii="宋体" w:hAnsi="宋体"/>
          <w:szCs w:val="21"/>
        </w:rPr>
        <w:fldChar w:fldCharType="end"/>
      </w:r>
    </w:p>
    <w:p w14:paraId="107705E9">
      <w:pPr>
        <w:pStyle w:val="8"/>
        <w:tabs>
          <w:tab w:val="right" w:leader="dot" w:pos="8296"/>
        </w:tabs>
        <w:rPr>
          <w:rFonts w:ascii="宋体" w:hAnsi="宋体"/>
          <w:szCs w:val="21"/>
        </w:rPr>
      </w:pPr>
      <w:r>
        <w:rPr>
          <w:rFonts w:hint="eastAsia" w:ascii="宋体" w:hAnsi="宋体"/>
          <w:szCs w:val="21"/>
        </w:rPr>
        <w:t>附录三：政府采购工程适合小微企业承担的工作及金额</w:t>
      </w:r>
      <w:r>
        <w:rPr>
          <w:rFonts w:ascii="宋体" w:hAnsi="宋体"/>
          <w:szCs w:val="21"/>
        </w:rPr>
        <w:tab/>
      </w:r>
      <w:r>
        <w:rPr>
          <w:rFonts w:ascii="宋体" w:hAnsi="宋体"/>
          <w:szCs w:val="21"/>
        </w:rPr>
        <w:fldChar w:fldCharType="begin"/>
      </w:r>
      <w:r>
        <w:rPr>
          <w:rFonts w:ascii="宋体" w:hAnsi="宋体"/>
          <w:szCs w:val="21"/>
        </w:rPr>
        <w:instrText xml:space="preserve"> PAGEREF _Toc108513565 \h </w:instrText>
      </w:r>
      <w:r>
        <w:rPr>
          <w:rFonts w:ascii="宋体" w:hAnsi="宋体"/>
          <w:szCs w:val="21"/>
        </w:rPr>
        <w:fldChar w:fldCharType="separate"/>
      </w:r>
      <w:r>
        <w:rPr>
          <w:rFonts w:ascii="宋体" w:hAnsi="宋体"/>
          <w:szCs w:val="21"/>
        </w:rPr>
        <w:t>33</w:t>
      </w:r>
      <w:r>
        <w:rPr>
          <w:rFonts w:ascii="宋体" w:hAnsi="宋体"/>
          <w:szCs w:val="21"/>
        </w:rPr>
        <w:fldChar w:fldCharType="end"/>
      </w:r>
    </w:p>
    <w:p w14:paraId="067E10F7">
      <w:pPr>
        <w:pStyle w:val="13"/>
        <w:tabs>
          <w:tab w:val="right" w:leader="dot" w:pos="8296"/>
        </w:tabs>
        <w:rPr>
          <w:rFonts w:ascii="宋体" w:hAnsi="宋体" w:eastAsia="宋体"/>
          <w:sz w:val="21"/>
          <w:szCs w:val="21"/>
        </w:rPr>
      </w:pPr>
      <w:r>
        <w:rPr>
          <w:rFonts w:hint="eastAsia" w:ascii="宋体" w:hAnsi="宋体" w:eastAsia="宋体"/>
          <w:sz w:val="21"/>
          <w:szCs w:val="21"/>
        </w:rPr>
        <w:t>附表一：招标文件澄清申请函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_Toc108513566 \h </w:instrText>
      </w:r>
      <w:r>
        <w:rPr>
          <w:rFonts w:ascii="宋体" w:hAnsi="宋体" w:eastAsia="宋体"/>
          <w:sz w:val="21"/>
          <w:szCs w:val="21"/>
        </w:rPr>
        <w:fldChar w:fldCharType="separate"/>
      </w:r>
      <w:r>
        <w:rPr>
          <w:rFonts w:ascii="宋体" w:hAnsi="宋体" w:eastAsia="宋体"/>
          <w:sz w:val="21"/>
          <w:szCs w:val="21"/>
        </w:rPr>
        <w:t>34</w:t>
      </w:r>
      <w:r>
        <w:rPr>
          <w:rFonts w:ascii="宋体" w:hAnsi="宋体" w:eastAsia="宋体"/>
          <w:sz w:val="21"/>
          <w:szCs w:val="21"/>
        </w:rPr>
        <w:fldChar w:fldCharType="end"/>
      </w:r>
    </w:p>
    <w:p w14:paraId="3F7608DF">
      <w:pPr>
        <w:pStyle w:val="13"/>
        <w:tabs>
          <w:tab w:val="right" w:leader="dot" w:pos="8296"/>
        </w:tabs>
        <w:rPr>
          <w:rFonts w:ascii="宋体" w:hAnsi="宋体" w:eastAsia="宋体"/>
          <w:sz w:val="21"/>
          <w:szCs w:val="21"/>
        </w:rPr>
      </w:pPr>
      <w:r>
        <w:rPr>
          <w:rFonts w:hint="eastAsia" w:ascii="宋体" w:hAnsi="宋体" w:eastAsia="宋体"/>
          <w:sz w:val="21"/>
          <w:szCs w:val="21"/>
        </w:rPr>
        <w:t>附表二：招标文件文件澄清通知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_Toc108513567 \h </w:instrText>
      </w:r>
      <w:r>
        <w:rPr>
          <w:rFonts w:ascii="宋体" w:hAnsi="宋体" w:eastAsia="宋体"/>
          <w:sz w:val="21"/>
          <w:szCs w:val="21"/>
        </w:rPr>
        <w:fldChar w:fldCharType="separate"/>
      </w:r>
      <w:r>
        <w:rPr>
          <w:rFonts w:ascii="宋体" w:hAnsi="宋体" w:eastAsia="宋体"/>
          <w:sz w:val="21"/>
          <w:szCs w:val="21"/>
        </w:rPr>
        <w:t>35</w:t>
      </w:r>
      <w:r>
        <w:rPr>
          <w:rFonts w:ascii="宋体" w:hAnsi="宋体" w:eastAsia="宋体"/>
          <w:sz w:val="21"/>
          <w:szCs w:val="21"/>
        </w:rPr>
        <w:fldChar w:fldCharType="end"/>
      </w:r>
    </w:p>
    <w:p w14:paraId="13B60A61">
      <w:pPr>
        <w:pStyle w:val="13"/>
        <w:tabs>
          <w:tab w:val="right" w:leader="dot" w:pos="8296"/>
        </w:tabs>
        <w:rPr>
          <w:rFonts w:ascii="宋体" w:hAnsi="宋体" w:eastAsia="宋体"/>
          <w:sz w:val="21"/>
          <w:szCs w:val="21"/>
        </w:rPr>
      </w:pPr>
      <w:r>
        <w:rPr>
          <w:rFonts w:hint="eastAsia" w:ascii="宋体" w:hAnsi="宋体" w:eastAsia="宋体"/>
          <w:sz w:val="21"/>
          <w:szCs w:val="21"/>
        </w:rPr>
        <w:t>附表三：招标文件文件修改通知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_Toc108513568 \h </w:instrText>
      </w:r>
      <w:r>
        <w:rPr>
          <w:rFonts w:ascii="宋体" w:hAnsi="宋体" w:eastAsia="宋体"/>
          <w:sz w:val="21"/>
          <w:szCs w:val="21"/>
        </w:rPr>
        <w:fldChar w:fldCharType="separate"/>
      </w:r>
      <w:r>
        <w:rPr>
          <w:rFonts w:ascii="宋体" w:hAnsi="宋体" w:eastAsia="宋体"/>
          <w:sz w:val="21"/>
          <w:szCs w:val="21"/>
        </w:rPr>
        <w:t>36</w:t>
      </w:r>
      <w:r>
        <w:rPr>
          <w:rFonts w:ascii="宋体" w:hAnsi="宋体" w:eastAsia="宋体"/>
          <w:sz w:val="21"/>
          <w:szCs w:val="21"/>
        </w:rPr>
        <w:fldChar w:fldCharType="end"/>
      </w:r>
    </w:p>
    <w:p w14:paraId="7E26727D">
      <w:pPr>
        <w:pStyle w:val="13"/>
        <w:tabs>
          <w:tab w:val="right" w:leader="dot" w:pos="8296"/>
        </w:tabs>
        <w:rPr>
          <w:rFonts w:ascii="宋体" w:hAnsi="宋体" w:eastAsia="宋体"/>
          <w:sz w:val="21"/>
          <w:szCs w:val="21"/>
        </w:rPr>
      </w:pPr>
      <w:r>
        <w:rPr>
          <w:rFonts w:hint="eastAsia" w:ascii="宋体" w:hAnsi="宋体" w:eastAsia="宋体"/>
          <w:sz w:val="21"/>
          <w:szCs w:val="21"/>
        </w:rPr>
        <w:t>附表四：投标文件递交签收凭证</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_Toc108513569 \h </w:instrText>
      </w:r>
      <w:r>
        <w:rPr>
          <w:rFonts w:ascii="宋体" w:hAnsi="宋体" w:eastAsia="宋体"/>
          <w:sz w:val="21"/>
          <w:szCs w:val="21"/>
        </w:rPr>
        <w:fldChar w:fldCharType="separate"/>
      </w:r>
      <w:r>
        <w:rPr>
          <w:rFonts w:ascii="宋体" w:hAnsi="宋体" w:eastAsia="宋体"/>
          <w:sz w:val="21"/>
          <w:szCs w:val="21"/>
        </w:rPr>
        <w:t>37</w:t>
      </w:r>
      <w:r>
        <w:rPr>
          <w:rFonts w:ascii="宋体" w:hAnsi="宋体" w:eastAsia="宋体"/>
          <w:sz w:val="21"/>
          <w:szCs w:val="21"/>
        </w:rPr>
        <w:fldChar w:fldCharType="end"/>
      </w:r>
    </w:p>
    <w:p w14:paraId="196F719C">
      <w:pPr>
        <w:pStyle w:val="13"/>
        <w:tabs>
          <w:tab w:val="right" w:leader="dot" w:pos="8296"/>
        </w:tabs>
        <w:rPr>
          <w:rFonts w:ascii="宋体" w:hAnsi="宋体" w:eastAsia="宋体"/>
          <w:sz w:val="21"/>
          <w:szCs w:val="21"/>
        </w:rPr>
      </w:pPr>
      <w:r>
        <w:rPr>
          <w:rFonts w:hint="eastAsia" w:ascii="宋体" w:hAnsi="宋体" w:eastAsia="宋体"/>
          <w:sz w:val="21"/>
          <w:szCs w:val="21"/>
        </w:rPr>
        <w:t>附表五：开标记录表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_Toc108513570 \h </w:instrText>
      </w:r>
      <w:r>
        <w:rPr>
          <w:rFonts w:ascii="宋体" w:hAnsi="宋体" w:eastAsia="宋体"/>
          <w:sz w:val="21"/>
          <w:szCs w:val="21"/>
        </w:rPr>
        <w:fldChar w:fldCharType="separate"/>
      </w:r>
      <w:r>
        <w:rPr>
          <w:rFonts w:ascii="宋体" w:hAnsi="宋体" w:eastAsia="宋体"/>
          <w:sz w:val="21"/>
          <w:szCs w:val="21"/>
        </w:rPr>
        <w:t>38</w:t>
      </w:r>
      <w:r>
        <w:rPr>
          <w:rFonts w:ascii="宋体" w:hAnsi="宋体" w:eastAsia="宋体"/>
          <w:sz w:val="21"/>
          <w:szCs w:val="21"/>
        </w:rPr>
        <w:fldChar w:fldCharType="end"/>
      </w:r>
    </w:p>
    <w:p w14:paraId="25FA4BD3">
      <w:pPr>
        <w:pStyle w:val="13"/>
        <w:tabs>
          <w:tab w:val="right" w:leader="dot" w:pos="8296"/>
        </w:tabs>
        <w:rPr>
          <w:rFonts w:ascii="宋体" w:hAnsi="宋体" w:eastAsia="宋体"/>
          <w:sz w:val="21"/>
          <w:szCs w:val="21"/>
        </w:rPr>
      </w:pPr>
      <w:r>
        <w:rPr>
          <w:rFonts w:hint="eastAsia" w:ascii="宋体" w:hAnsi="宋体" w:eastAsia="宋体"/>
          <w:sz w:val="21"/>
          <w:szCs w:val="21"/>
        </w:rPr>
        <w:t>附表六：投标文件问题澄清通知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_Toc108513571 \h </w:instrText>
      </w:r>
      <w:r>
        <w:rPr>
          <w:rFonts w:ascii="宋体" w:hAnsi="宋体" w:eastAsia="宋体"/>
          <w:sz w:val="21"/>
          <w:szCs w:val="21"/>
        </w:rPr>
        <w:fldChar w:fldCharType="separate"/>
      </w:r>
      <w:r>
        <w:rPr>
          <w:rFonts w:ascii="宋体" w:hAnsi="宋体" w:eastAsia="宋体"/>
          <w:sz w:val="21"/>
          <w:szCs w:val="21"/>
        </w:rPr>
        <w:t>39</w:t>
      </w:r>
      <w:r>
        <w:rPr>
          <w:rFonts w:ascii="宋体" w:hAnsi="宋体" w:eastAsia="宋体"/>
          <w:sz w:val="21"/>
          <w:szCs w:val="21"/>
        </w:rPr>
        <w:fldChar w:fldCharType="end"/>
      </w:r>
    </w:p>
    <w:p w14:paraId="7B1BA935">
      <w:pPr>
        <w:pStyle w:val="13"/>
        <w:tabs>
          <w:tab w:val="right" w:leader="dot" w:pos="8296"/>
        </w:tabs>
        <w:rPr>
          <w:rFonts w:ascii="宋体" w:hAnsi="宋体" w:eastAsia="宋体"/>
          <w:sz w:val="21"/>
          <w:szCs w:val="21"/>
        </w:rPr>
      </w:pPr>
      <w:r>
        <w:rPr>
          <w:rFonts w:hint="eastAsia" w:ascii="宋体" w:hAnsi="宋体" w:eastAsia="宋体"/>
          <w:sz w:val="21"/>
          <w:szCs w:val="21"/>
        </w:rPr>
        <w:t>附表七：投标文件问题的澄清</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_Toc108513572 \h </w:instrText>
      </w:r>
      <w:r>
        <w:rPr>
          <w:rFonts w:ascii="宋体" w:hAnsi="宋体" w:eastAsia="宋体"/>
          <w:sz w:val="21"/>
          <w:szCs w:val="21"/>
        </w:rPr>
        <w:fldChar w:fldCharType="separate"/>
      </w:r>
      <w:r>
        <w:rPr>
          <w:rFonts w:ascii="宋体" w:hAnsi="宋体" w:eastAsia="宋体"/>
          <w:sz w:val="21"/>
          <w:szCs w:val="21"/>
        </w:rPr>
        <w:t>40</w:t>
      </w:r>
      <w:r>
        <w:rPr>
          <w:rFonts w:ascii="宋体" w:hAnsi="宋体" w:eastAsia="宋体"/>
          <w:sz w:val="21"/>
          <w:szCs w:val="21"/>
        </w:rPr>
        <w:fldChar w:fldCharType="end"/>
      </w:r>
    </w:p>
    <w:p w14:paraId="41AF70FE">
      <w:pPr>
        <w:pStyle w:val="13"/>
        <w:tabs>
          <w:tab w:val="right" w:leader="dot" w:pos="8296"/>
        </w:tabs>
        <w:rPr>
          <w:rFonts w:ascii="宋体" w:hAnsi="宋体" w:eastAsia="宋体"/>
          <w:sz w:val="21"/>
          <w:szCs w:val="21"/>
        </w:rPr>
      </w:pPr>
      <w:r>
        <w:rPr>
          <w:rFonts w:hint="eastAsia" w:ascii="宋体" w:hAnsi="宋体" w:eastAsia="宋体"/>
          <w:sz w:val="21"/>
          <w:szCs w:val="21"/>
        </w:rPr>
        <w:t>附表八：中标通知书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_Toc108513573 \h </w:instrText>
      </w:r>
      <w:r>
        <w:rPr>
          <w:rFonts w:ascii="宋体" w:hAnsi="宋体" w:eastAsia="宋体"/>
          <w:sz w:val="21"/>
          <w:szCs w:val="21"/>
        </w:rPr>
        <w:fldChar w:fldCharType="separate"/>
      </w:r>
      <w:r>
        <w:rPr>
          <w:rFonts w:ascii="宋体" w:hAnsi="宋体" w:eastAsia="宋体"/>
          <w:sz w:val="21"/>
          <w:szCs w:val="21"/>
        </w:rPr>
        <w:t>41</w:t>
      </w:r>
      <w:r>
        <w:rPr>
          <w:rFonts w:ascii="宋体" w:hAnsi="宋体" w:eastAsia="宋体"/>
          <w:sz w:val="21"/>
          <w:szCs w:val="21"/>
        </w:rPr>
        <w:fldChar w:fldCharType="end"/>
      </w:r>
    </w:p>
    <w:p w14:paraId="25EFC7C5">
      <w:pPr>
        <w:pStyle w:val="13"/>
        <w:tabs>
          <w:tab w:val="right" w:leader="dot" w:pos="8296"/>
        </w:tabs>
        <w:rPr>
          <w:rFonts w:ascii="宋体" w:hAnsi="宋体" w:eastAsia="宋体"/>
          <w:sz w:val="21"/>
          <w:szCs w:val="21"/>
        </w:rPr>
      </w:pPr>
      <w:r>
        <w:rPr>
          <w:rFonts w:hint="eastAsia" w:ascii="宋体" w:hAnsi="宋体" w:eastAsia="宋体"/>
          <w:sz w:val="21"/>
          <w:szCs w:val="21"/>
        </w:rPr>
        <w:t>附表九：中标结果通知书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_Toc108513574 \h </w:instrText>
      </w:r>
      <w:r>
        <w:rPr>
          <w:rFonts w:ascii="宋体" w:hAnsi="宋体" w:eastAsia="宋体"/>
          <w:sz w:val="21"/>
          <w:szCs w:val="21"/>
        </w:rPr>
        <w:fldChar w:fldCharType="separate"/>
      </w:r>
      <w:r>
        <w:rPr>
          <w:rFonts w:ascii="宋体" w:hAnsi="宋体" w:eastAsia="宋体"/>
          <w:sz w:val="21"/>
          <w:szCs w:val="21"/>
        </w:rPr>
        <w:t>42</w:t>
      </w:r>
      <w:r>
        <w:rPr>
          <w:rFonts w:ascii="宋体" w:hAnsi="宋体" w:eastAsia="宋体"/>
          <w:sz w:val="21"/>
          <w:szCs w:val="21"/>
        </w:rPr>
        <w:fldChar w:fldCharType="end"/>
      </w:r>
    </w:p>
    <w:p w14:paraId="6B66FC84">
      <w:pPr>
        <w:pStyle w:val="13"/>
        <w:tabs>
          <w:tab w:val="right" w:leader="dot" w:pos="8296"/>
        </w:tabs>
        <w:rPr>
          <w:rFonts w:ascii="宋体" w:hAnsi="宋体" w:eastAsia="宋体"/>
          <w:sz w:val="21"/>
          <w:szCs w:val="21"/>
        </w:rPr>
      </w:pPr>
      <w:r>
        <w:rPr>
          <w:rFonts w:hint="eastAsia" w:ascii="宋体" w:hAnsi="宋体" w:eastAsia="宋体"/>
          <w:sz w:val="21"/>
          <w:szCs w:val="21"/>
        </w:rPr>
        <w:t>附表十：异议函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_Toc108513575 \h </w:instrText>
      </w:r>
      <w:r>
        <w:rPr>
          <w:rFonts w:ascii="宋体" w:hAnsi="宋体" w:eastAsia="宋体"/>
          <w:sz w:val="21"/>
          <w:szCs w:val="21"/>
        </w:rPr>
        <w:fldChar w:fldCharType="separate"/>
      </w:r>
      <w:r>
        <w:rPr>
          <w:rFonts w:ascii="宋体" w:hAnsi="宋体" w:eastAsia="宋体"/>
          <w:sz w:val="21"/>
          <w:szCs w:val="21"/>
        </w:rPr>
        <w:t>43</w:t>
      </w:r>
      <w:r>
        <w:rPr>
          <w:rFonts w:ascii="宋体" w:hAnsi="宋体" w:eastAsia="宋体"/>
          <w:sz w:val="21"/>
          <w:szCs w:val="21"/>
        </w:rPr>
        <w:fldChar w:fldCharType="end"/>
      </w:r>
    </w:p>
    <w:p w14:paraId="0FA4355F">
      <w:pPr>
        <w:pStyle w:val="13"/>
        <w:tabs>
          <w:tab w:val="right" w:leader="dot" w:pos="8296"/>
        </w:tabs>
        <w:rPr>
          <w:rFonts w:ascii="宋体" w:hAnsi="宋体" w:eastAsia="宋体"/>
          <w:sz w:val="21"/>
          <w:szCs w:val="21"/>
        </w:rPr>
      </w:pPr>
      <w:r>
        <w:rPr>
          <w:rFonts w:hint="eastAsia" w:ascii="宋体" w:hAnsi="宋体" w:eastAsia="宋体"/>
          <w:sz w:val="21"/>
          <w:szCs w:val="21"/>
        </w:rPr>
        <w:t>附表十一：异议答复函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_Toc108513576 \h </w:instrText>
      </w:r>
      <w:r>
        <w:rPr>
          <w:rFonts w:ascii="宋体" w:hAnsi="宋体" w:eastAsia="宋体"/>
          <w:sz w:val="21"/>
          <w:szCs w:val="21"/>
        </w:rPr>
        <w:fldChar w:fldCharType="separate"/>
      </w:r>
      <w:r>
        <w:rPr>
          <w:rFonts w:ascii="宋体" w:hAnsi="宋体" w:eastAsia="宋体"/>
          <w:sz w:val="21"/>
          <w:szCs w:val="21"/>
        </w:rPr>
        <w:t>44</w:t>
      </w:r>
      <w:r>
        <w:rPr>
          <w:rFonts w:ascii="宋体" w:hAnsi="宋体" w:eastAsia="宋体"/>
          <w:sz w:val="21"/>
          <w:szCs w:val="21"/>
        </w:rPr>
        <w:fldChar w:fldCharType="end"/>
      </w:r>
    </w:p>
    <w:p w14:paraId="719FFB1F">
      <w:pPr>
        <w:pStyle w:val="13"/>
        <w:tabs>
          <w:tab w:val="right" w:leader="dot" w:pos="8296"/>
        </w:tabs>
        <w:rPr>
          <w:rFonts w:ascii="宋体" w:hAnsi="宋体" w:eastAsia="宋体"/>
          <w:sz w:val="21"/>
          <w:szCs w:val="21"/>
        </w:rPr>
      </w:pPr>
      <w:r>
        <w:rPr>
          <w:rFonts w:hint="eastAsia" w:ascii="宋体" w:hAnsi="宋体" w:eastAsia="宋体"/>
          <w:sz w:val="21"/>
          <w:szCs w:val="21"/>
        </w:rPr>
        <w:t>附表十二：招标控制价明细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_Toc108513577 \h </w:instrText>
      </w:r>
      <w:r>
        <w:rPr>
          <w:rFonts w:ascii="宋体" w:hAnsi="宋体" w:eastAsia="宋体"/>
          <w:sz w:val="21"/>
          <w:szCs w:val="21"/>
        </w:rPr>
        <w:fldChar w:fldCharType="separate"/>
      </w:r>
      <w:r>
        <w:rPr>
          <w:rFonts w:ascii="宋体" w:hAnsi="宋体" w:eastAsia="宋体"/>
          <w:sz w:val="21"/>
          <w:szCs w:val="21"/>
        </w:rPr>
        <w:t>45</w:t>
      </w:r>
      <w:r>
        <w:rPr>
          <w:rFonts w:ascii="宋体" w:hAnsi="宋体" w:eastAsia="宋体"/>
          <w:sz w:val="21"/>
          <w:szCs w:val="21"/>
        </w:rPr>
        <w:fldChar w:fldCharType="end"/>
      </w:r>
    </w:p>
    <w:p w14:paraId="37B17062">
      <w:pPr>
        <w:pStyle w:val="13"/>
        <w:tabs>
          <w:tab w:val="right" w:leader="dot" w:pos="8296"/>
        </w:tabs>
        <w:rPr>
          <w:rFonts w:ascii="宋体" w:hAnsi="宋体" w:eastAsia="宋体"/>
          <w:sz w:val="21"/>
          <w:szCs w:val="21"/>
        </w:rPr>
      </w:pPr>
      <w:r>
        <w:rPr>
          <w:rFonts w:hint="eastAsia" w:ascii="宋体" w:hAnsi="宋体" w:eastAsia="宋体"/>
          <w:sz w:val="21"/>
          <w:szCs w:val="21"/>
        </w:rPr>
        <w:t>附表十三：授权委托书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_Toc108513578 \h </w:instrText>
      </w:r>
      <w:r>
        <w:rPr>
          <w:rFonts w:ascii="宋体" w:hAnsi="宋体" w:eastAsia="宋体"/>
          <w:sz w:val="21"/>
          <w:szCs w:val="21"/>
        </w:rPr>
        <w:fldChar w:fldCharType="separate"/>
      </w:r>
      <w:r>
        <w:rPr>
          <w:rFonts w:ascii="宋体" w:hAnsi="宋体" w:eastAsia="宋体"/>
          <w:sz w:val="21"/>
          <w:szCs w:val="21"/>
        </w:rPr>
        <w:t>46</w:t>
      </w:r>
      <w:r>
        <w:rPr>
          <w:rFonts w:ascii="宋体" w:hAnsi="宋体" w:eastAsia="宋体"/>
          <w:sz w:val="21"/>
          <w:szCs w:val="21"/>
        </w:rPr>
        <w:fldChar w:fldCharType="end"/>
      </w:r>
    </w:p>
    <w:p w14:paraId="09869648">
      <w:pPr>
        <w:pStyle w:val="12"/>
        <w:rPr>
          <w:rFonts w:ascii="宋体" w:hAnsi="宋体" w:eastAsia="宋体"/>
          <w:b w:val="0"/>
          <w:sz w:val="21"/>
          <w:szCs w:val="21"/>
        </w:rPr>
      </w:pPr>
      <w:r>
        <w:rPr>
          <w:rFonts w:hint="eastAsia" w:ascii="宋体" w:hAnsi="宋体" w:eastAsia="宋体"/>
          <w:b w:val="0"/>
          <w:sz w:val="21"/>
          <w:szCs w:val="21"/>
        </w:rPr>
        <w:t>第三章</w:t>
      </w:r>
      <w:r>
        <w:rPr>
          <w:rFonts w:ascii="宋体" w:hAnsi="宋体" w:eastAsia="宋体"/>
          <w:b w:val="0"/>
          <w:sz w:val="21"/>
          <w:szCs w:val="21"/>
        </w:rPr>
        <w:t xml:space="preserve">  </w:t>
      </w:r>
      <w:r>
        <w:rPr>
          <w:rFonts w:hint="eastAsia" w:ascii="宋体" w:hAnsi="宋体" w:eastAsia="宋体"/>
          <w:b w:val="0"/>
          <w:sz w:val="21"/>
          <w:szCs w:val="21"/>
        </w:rPr>
        <w:t>评标办法</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_Toc108513579 \h </w:instrText>
      </w:r>
      <w:r>
        <w:rPr>
          <w:rFonts w:ascii="宋体" w:hAnsi="宋体" w:eastAsia="宋体"/>
          <w:b w:val="0"/>
          <w:sz w:val="21"/>
          <w:szCs w:val="21"/>
        </w:rPr>
        <w:fldChar w:fldCharType="separate"/>
      </w:r>
      <w:r>
        <w:rPr>
          <w:rFonts w:ascii="宋体" w:hAnsi="宋体" w:eastAsia="宋体"/>
          <w:b w:val="0"/>
          <w:sz w:val="21"/>
          <w:szCs w:val="21"/>
        </w:rPr>
        <w:t>48</w:t>
      </w:r>
      <w:r>
        <w:rPr>
          <w:rFonts w:ascii="宋体" w:hAnsi="宋体" w:eastAsia="宋体"/>
          <w:b w:val="0"/>
          <w:sz w:val="21"/>
          <w:szCs w:val="21"/>
        </w:rPr>
        <w:fldChar w:fldCharType="end"/>
      </w:r>
    </w:p>
    <w:p w14:paraId="7479670C">
      <w:pPr>
        <w:pStyle w:val="13"/>
        <w:tabs>
          <w:tab w:val="right" w:leader="dot" w:pos="8296"/>
        </w:tabs>
        <w:rPr>
          <w:rFonts w:ascii="宋体" w:hAnsi="宋体" w:eastAsia="宋体"/>
          <w:sz w:val="21"/>
          <w:szCs w:val="21"/>
        </w:rPr>
      </w:pPr>
      <w:r>
        <w:rPr>
          <w:rFonts w:hint="eastAsia" w:ascii="宋体" w:hAnsi="宋体" w:eastAsia="宋体"/>
          <w:sz w:val="21"/>
          <w:szCs w:val="21"/>
        </w:rPr>
        <w:t>评标办法前附表（综合评估法）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_Toc108513582 \h </w:instrText>
      </w:r>
      <w:r>
        <w:rPr>
          <w:rFonts w:ascii="宋体" w:hAnsi="宋体" w:eastAsia="宋体"/>
          <w:sz w:val="21"/>
          <w:szCs w:val="21"/>
        </w:rPr>
        <w:fldChar w:fldCharType="separate"/>
      </w:r>
      <w:r>
        <w:rPr>
          <w:rFonts w:ascii="宋体" w:hAnsi="宋体" w:eastAsia="宋体"/>
          <w:sz w:val="21"/>
          <w:szCs w:val="21"/>
        </w:rPr>
        <w:t>61</w:t>
      </w:r>
      <w:r>
        <w:rPr>
          <w:rFonts w:ascii="宋体" w:hAnsi="宋体" w:eastAsia="宋体"/>
          <w:sz w:val="21"/>
          <w:szCs w:val="21"/>
        </w:rPr>
        <w:fldChar w:fldCharType="end"/>
      </w:r>
    </w:p>
    <w:p w14:paraId="76ECFDE0">
      <w:pPr>
        <w:pStyle w:val="13"/>
        <w:tabs>
          <w:tab w:val="right" w:leader="dot" w:pos="8296"/>
        </w:tabs>
        <w:rPr>
          <w:rFonts w:ascii="宋体" w:hAnsi="宋体" w:eastAsia="宋体"/>
          <w:sz w:val="21"/>
          <w:szCs w:val="21"/>
        </w:rPr>
      </w:pPr>
      <w:r>
        <w:rPr>
          <w:rFonts w:hint="eastAsia" w:ascii="宋体" w:hAnsi="宋体" w:eastAsia="宋体"/>
          <w:sz w:val="21"/>
          <w:szCs w:val="21"/>
        </w:rPr>
        <w:t>评标办法正文部分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_Toc108513588 \h </w:instrText>
      </w:r>
      <w:r>
        <w:rPr>
          <w:rFonts w:ascii="宋体" w:hAnsi="宋体" w:eastAsia="宋体"/>
          <w:sz w:val="21"/>
          <w:szCs w:val="21"/>
        </w:rPr>
        <w:fldChar w:fldCharType="separate"/>
      </w:r>
      <w:r>
        <w:rPr>
          <w:rFonts w:ascii="宋体" w:hAnsi="宋体" w:eastAsia="宋体"/>
          <w:sz w:val="21"/>
          <w:szCs w:val="21"/>
        </w:rPr>
        <w:t>91</w:t>
      </w:r>
      <w:r>
        <w:rPr>
          <w:rFonts w:ascii="宋体" w:hAnsi="宋体" w:eastAsia="宋体"/>
          <w:sz w:val="21"/>
          <w:szCs w:val="21"/>
        </w:rPr>
        <w:fldChar w:fldCharType="end"/>
      </w:r>
    </w:p>
    <w:p w14:paraId="1C7A2600">
      <w:pPr>
        <w:pStyle w:val="13"/>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评标方法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_Toc108513589 \h </w:instrText>
      </w:r>
      <w:r>
        <w:rPr>
          <w:rFonts w:ascii="宋体" w:hAnsi="宋体" w:eastAsia="宋体"/>
          <w:sz w:val="21"/>
          <w:szCs w:val="21"/>
        </w:rPr>
        <w:fldChar w:fldCharType="separate"/>
      </w:r>
      <w:r>
        <w:rPr>
          <w:rFonts w:ascii="宋体" w:hAnsi="宋体" w:eastAsia="宋体"/>
          <w:sz w:val="21"/>
          <w:szCs w:val="21"/>
        </w:rPr>
        <w:t>91</w:t>
      </w:r>
      <w:r>
        <w:rPr>
          <w:rFonts w:ascii="宋体" w:hAnsi="宋体" w:eastAsia="宋体"/>
          <w:sz w:val="21"/>
          <w:szCs w:val="21"/>
        </w:rPr>
        <w:fldChar w:fldCharType="end"/>
      </w:r>
    </w:p>
    <w:p w14:paraId="1D37B5E6">
      <w:pPr>
        <w:pStyle w:val="13"/>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评审标准</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_Toc108513590 \h </w:instrText>
      </w:r>
      <w:r>
        <w:rPr>
          <w:rFonts w:ascii="宋体" w:hAnsi="宋体" w:eastAsia="宋体"/>
          <w:sz w:val="21"/>
          <w:szCs w:val="21"/>
        </w:rPr>
        <w:fldChar w:fldCharType="separate"/>
      </w:r>
      <w:r>
        <w:rPr>
          <w:rFonts w:ascii="宋体" w:hAnsi="宋体" w:eastAsia="宋体"/>
          <w:sz w:val="21"/>
          <w:szCs w:val="21"/>
        </w:rPr>
        <w:t>91</w:t>
      </w:r>
      <w:r>
        <w:rPr>
          <w:rFonts w:ascii="宋体" w:hAnsi="宋体" w:eastAsia="宋体"/>
          <w:sz w:val="21"/>
          <w:szCs w:val="21"/>
        </w:rPr>
        <w:fldChar w:fldCharType="end"/>
      </w:r>
    </w:p>
    <w:p w14:paraId="7026CE34">
      <w:pPr>
        <w:pStyle w:val="8"/>
        <w:tabs>
          <w:tab w:val="right" w:leader="dot" w:pos="8296"/>
        </w:tabs>
        <w:rPr>
          <w:rFonts w:ascii="宋体" w:hAnsi="宋体"/>
          <w:szCs w:val="21"/>
        </w:rPr>
      </w:pPr>
      <w:r>
        <w:rPr>
          <w:rFonts w:ascii="宋体" w:hAnsi="宋体"/>
          <w:szCs w:val="21"/>
        </w:rPr>
        <w:t xml:space="preserve">2.1 </w:t>
      </w:r>
      <w:r>
        <w:rPr>
          <w:rFonts w:hint="eastAsia" w:ascii="宋体" w:hAnsi="宋体"/>
          <w:szCs w:val="21"/>
        </w:rPr>
        <w:t>初步评审标准</w:t>
      </w:r>
      <w:r>
        <w:rPr>
          <w:rFonts w:ascii="宋体" w:hAnsi="宋体"/>
          <w:szCs w:val="21"/>
        </w:rPr>
        <w:tab/>
      </w:r>
      <w:r>
        <w:rPr>
          <w:rFonts w:ascii="宋体" w:hAnsi="宋体"/>
          <w:szCs w:val="21"/>
        </w:rPr>
        <w:fldChar w:fldCharType="begin"/>
      </w:r>
      <w:r>
        <w:rPr>
          <w:rFonts w:ascii="宋体" w:hAnsi="宋体"/>
          <w:szCs w:val="21"/>
        </w:rPr>
        <w:instrText xml:space="preserve"> PAGEREF _Toc108513591 \h </w:instrText>
      </w:r>
      <w:r>
        <w:rPr>
          <w:rFonts w:ascii="宋体" w:hAnsi="宋体"/>
          <w:szCs w:val="21"/>
        </w:rPr>
        <w:fldChar w:fldCharType="separate"/>
      </w:r>
      <w:r>
        <w:rPr>
          <w:rFonts w:ascii="宋体" w:hAnsi="宋体"/>
          <w:szCs w:val="21"/>
        </w:rPr>
        <w:t>91</w:t>
      </w:r>
      <w:r>
        <w:rPr>
          <w:rFonts w:ascii="宋体" w:hAnsi="宋体"/>
          <w:szCs w:val="21"/>
        </w:rPr>
        <w:fldChar w:fldCharType="end"/>
      </w:r>
    </w:p>
    <w:p w14:paraId="2D2813E6">
      <w:pPr>
        <w:pStyle w:val="8"/>
        <w:tabs>
          <w:tab w:val="right" w:leader="dot" w:pos="8296"/>
        </w:tabs>
        <w:rPr>
          <w:rFonts w:ascii="宋体" w:hAnsi="宋体"/>
          <w:szCs w:val="21"/>
        </w:rPr>
      </w:pPr>
      <w:r>
        <w:rPr>
          <w:rFonts w:ascii="宋体" w:hAnsi="宋体"/>
          <w:szCs w:val="21"/>
        </w:rPr>
        <w:t xml:space="preserve">2.2 </w:t>
      </w:r>
      <w:r>
        <w:rPr>
          <w:rFonts w:hint="eastAsia" w:ascii="宋体" w:hAnsi="宋体"/>
          <w:szCs w:val="21"/>
        </w:rPr>
        <w:t>分值构成与评分标准</w:t>
      </w:r>
      <w:r>
        <w:rPr>
          <w:rFonts w:ascii="宋体" w:hAnsi="宋体"/>
          <w:szCs w:val="21"/>
        </w:rPr>
        <w:tab/>
      </w:r>
      <w:r>
        <w:rPr>
          <w:rFonts w:ascii="宋体" w:hAnsi="宋体"/>
          <w:szCs w:val="21"/>
        </w:rPr>
        <w:fldChar w:fldCharType="begin"/>
      </w:r>
      <w:r>
        <w:rPr>
          <w:rFonts w:ascii="宋体" w:hAnsi="宋体"/>
          <w:szCs w:val="21"/>
        </w:rPr>
        <w:instrText xml:space="preserve"> PAGEREF _Toc108513592 \h </w:instrText>
      </w:r>
      <w:r>
        <w:rPr>
          <w:rFonts w:ascii="宋体" w:hAnsi="宋体"/>
          <w:szCs w:val="21"/>
        </w:rPr>
        <w:fldChar w:fldCharType="separate"/>
      </w:r>
      <w:r>
        <w:rPr>
          <w:rFonts w:ascii="宋体" w:hAnsi="宋体"/>
          <w:szCs w:val="21"/>
        </w:rPr>
        <w:t>91</w:t>
      </w:r>
      <w:r>
        <w:rPr>
          <w:rFonts w:ascii="宋体" w:hAnsi="宋体"/>
          <w:szCs w:val="21"/>
        </w:rPr>
        <w:fldChar w:fldCharType="end"/>
      </w:r>
    </w:p>
    <w:p w14:paraId="2EEBE6A7">
      <w:pPr>
        <w:pStyle w:val="13"/>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评标程序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_Toc108513593 \h </w:instrText>
      </w:r>
      <w:r>
        <w:rPr>
          <w:rFonts w:ascii="宋体" w:hAnsi="宋体" w:eastAsia="宋体"/>
          <w:sz w:val="21"/>
          <w:szCs w:val="21"/>
        </w:rPr>
        <w:fldChar w:fldCharType="separate"/>
      </w:r>
      <w:r>
        <w:rPr>
          <w:rFonts w:ascii="宋体" w:hAnsi="宋体" w:eastAsia="宋体"/>
          <w:sz w:val="21"/>
          <w:szCs w:val="21"/>
        </w:rPr>
        <w:t>92</w:t>
      </w:r>
      <w:r>
        <w:rPr>
          <w:rFonts w:ascii="宋体" w:hAnsi="宋体" w:eastAsia="宋体"/>
          <w:sz w:val="21"/>
          <w:szCs w:val="21"/>
        </w:rPr>
        <w:fldChar w:fldCharType="end"/>
      </w:r>
    </w:p>
    <w:p w14:paraId="0B629675">
      <w:pPr>
        <w:pStyle w:val="8"/>
        <w:tabs>
          <w:tab w:val="right" w:leader="dot" w:pos="8296"/>
        </w:tabs>
        <w:rPr>
          <w:rFonts w:ascii="宋体" w:hAnsi="宋体"/>
          <w:szCs w:val="21"/>
        </w:rPr>
      </w:pPr>
      <w:r>
        <w:rPr>
          <w:rFonts w:ascii="宋体" w:hAnsi="宋体"/>
          <w:szCs w:val="21"/>
        </w:rPr>
        <w:t xml:space="preserve">3.1 </w:t>
      </w:r>
      <w:r>
        <w:rPr>
          <w:rFonts w:hint="eastAsia" w:ascii="宋体" w:hAnsi="宋体"/>
          <w:szCs w:val="21"/>
        </w:rPr>
        <w:t>初步评审</w:t>
      </w:r>
      <w:r>
        <w:rPr>
          <w:rFonts w:ascii="宋体" w:hAnsi="宋体"/>
          <w:szCs w:val="21"/>
        </w:rPr>
        <w:tab/>
      </w:r>
      <w:r>
        <w:rPr>
          <w:rFonts w:ascii="宋体" w:hAnsi="宋体"/>
          <w:szCs w:val="21"/>
        </w:rPr>
        <w:fldChar w:fldCharType="begin"/>
      </w:r>
      <w:r>
        <w:rPr>
          <w:rFonts w:ascii="宋体" w:hAnsi="宋体"/>
          <w:szCs w:val="21"/>
        </w:rPr>
        <w:instrText xml:space="preserve"> PAGEREF _Toc108513594 \h </w:instrText>
      </w:r>
      <w:r>
        <w:rPr>
          <w:rFonts w:ascii="宋体" w:hAnsi="宋体"/>
          <w:szCs w:val="21"/>
        </w:rPr>
        <w:fldChar w:fldCharType="separate"/>
      </w:r>
      <w:r>
        <w:rPr>
          <w:rFonts w:ascii="宋体" w:hAnsi="宋体"/>
          <w:szCs w:val="21"/>
        </w:rPr>
        <w:t>92</w:t>
      </w:r>
      <w:r>
        <w:rPr>
          <w:rFonts w:ascii="宋体" w:hAnsi="宋体"/>
          <w:szCs w:val="21"/>
        </w:rPr>
        <w:fldChar w:fldCharType="end"/>
      </w:r>
    </w:p>
    <w:p w14:paraId="1684A513">
      <w:pPr>
        <w:pStyle w:val="8"/>
        <w:tabs>
          <w:tab w:val="right" w:leader="dot" w:pos="8296"/>
        </w:tabs>
        <w:rPr>
          <w:rFonts w:ascii="宋体" w:hAnsi="宋体"/>
          <w:szCs w:val="21"/>
        </w:rPr>
      </w:pPr>
      <w:r>
        <w:rPr>
          <w:rFonts w:ascii="宋体" w:hAnsi="宋体"/>
          <w:szCs w:val="21"/>
        </w:rPr>
        <w:t xml:space="preserve">3.2 </w:t>
      </w:r>
      <w:r>
        <w:rPr>
          <w:rFonts w:hint="eastAsia" w:ascii="宋体" w:hAnsi="宋体"/>
          <w:szCs w:val="21"/>
        </w:rPr>
        <w:t>详细评审</w:t>
      </w:r>
      <w:r>
        <w:rPr>
          <w:rFonts w:ascii="宋体" w:hAnsi="宋体"/>
          <w:szCs w:val="21"/>
        </w:rPr>
        <w:tab/>
      </w:r>
      <w:r>
        <w:rPr>
          <w:rFonts w:ascii="宋体" w:hAnsi="宋体"/>
          <w:szCs w:val="21"/>
        </w:rPr>
        <w:fldChar w:fldCharType="begin"/>
      </w:r>
      <w:r>
        <w:rPr>
          <w:rFonts w:ascii="宋体" w:hAnsi="宋体"/>
          <w:szCs w:val="21"/>
        </w:rPr>
        <w:instrText xml:space="preserve"> PAGEREF _Toc108513595 \h </w:instrText>
      </w:r>
      <w:r>
        <w:rPr>
          <w:rFonts w:ascii="宋体" w:hAnsi="宋体"/>
          <w:szCs w:val="21"/>
        </w:rPr>
        <w:fldChar w:fldCharType="separate"/>
      </w:r>
      <w:r>
        <w:rPr>
          <w:rFonts w:ascii="宋体" w:hAnsi="宋体"/>
          <w:szCs w:val="21"/>
        </w:rPr>
        <w:t>93</w:t>
      </w:r>
      <w:r>
        <w:rPr>
          <w:rFonts w:ascii="宋体" w:hAnsi="宋体"/>
          <w:szCs w:val="21"/>
        </w:rPr>
        <w:fldChar w:fldCharType="end"/>
      </w:r>
    </w:p>
    <w:p w14:paraId="50D8A1F8">
      <w:pPr>
        <w:pStyle w:val="8"/>
        <w:tabs>
          <w:tab w:val="right" w:leader="dot" w:pos="8296"/>
        </w:tabs>
        <w:rPr>
          <w:rFonts w:ascii="宋体" w:hAnsi="宋体"/>
          <w:szCs w:val="21"/>
        </w:rPr>
      </w:pPr>
      <w:r>
        <w:rPr>
          <w:rFonts w:ascii="宋体" w:hAnsi="宋体"/>
          <w:szCs w:val="21"/>
        </w:rPr>
        <w:t xml:space="preserve">3.3 </w:t>
      </w:r>
      <w:r>
        <w:rPr>
          <w:rFonts w:hint="eastAsia" w:ascii="宋体" w:hAnsi="宋体"/>
          <w:szCs w:val="21"/>
        </w:rPr>
        <w:t>投标文件的澄清和补正</w:t>
      </w:r>
      <w:r>
        <w:rPr>
          <w:rFonts w:ascii="宋体" w:hAnsi="宋体"/>
          <w:szCs w:val="21"/>
        </w:rPr>
        <w:tab/>
      </w:r>
      <w:r>
        <w:rPr>
          <w:rFonts w:ascii="宋体" w:hAnsi="宋体"/>
          <w:szCs w:val="21"/>
        </w:rPr>
        <w:fldChar w:fldCharType="begin"/>
      </w:r>
      <w:r>
        <w:rPr>
          <w:rFonts w:ascii="宋体" w:hAnsi="宋体"/>
          <w:szCs w:val="21"/>
        </w:rPr>
        <w:instrText xml:space="preserve"> PAGEREF _Toc108513596 \h </w:instrText>
      </w:r>
      <w:r>
        <w:rPr>
          <w:rFonts w:ascii="宋体" w:hAnsi="宋体"/>
          <w:szCs w:val="21"/>
        </w:rPr>
        <w:fldChar w:fldCharType="separate"/>
      </w:r>
      <w:r>
        <w:rPr>
          <w:rFonts w:ascii="宋体" w:hAnsi="宋体"/>
          <w:szCs w:val="21"/>
        </w:rPr>
        <w:t>93</w:t>
      </w:r>
      <w:r>
        <w:rPr>
          <w:rFonts w:ascii="宋体" w:hAnsi="宋体"/>
          <w:szCs w:val="21"/>
        </w:rPr>
        <w:fldChar w:fldCharType="end"/>
      </w:r>
    </w:p>
    <w:p w14:paraId="366C6BB8">
      <w:pPr>
        <w:pStyle w:val="8"/>
        <w:tabs>
          <w:tab w:val="right" w:leader="dot" w:pos="8296"/>
        </w:tabs>
        <w:rPr>
          <w:rFonts w:ascii="宋体" w:hAnsi="宋体"/>
          <w:szCs w:val="21"/>
        </w:rPr>
      </w:pPr>
      <w:r>
        <w:rPr>
          <w:rFonts w:ascii="宋体" w:hAnsi="宋体"/>
          <w:szCs w:val="21"/>
        </w:rPr>
        <w:t xml:space="preserve">3.4 </w:t>
      </w:r>
      <w:r>
        <w:rPr>
          <w:rFonts w:hint="eastAsia" w:ascii="宋体" w:hAnsi="宋体"/>
          <w:szCs w:val="21"/>
        </w:rPr>
        <w:t>评标结果</w:t>
      </w:r>
      <w:r>
        <w:rPr>
          <w:rFonts w:ascii="宋体" w:hAnsi="宋体"/>
          <w:szCs w:val="21"/>
        </w:rPr>
        <w:tab/>
      </w:r>
      <w:r>
        <w:rPr>
          <w:rFonts w:ascii="宋体" w:hAnsi="宋体"/>
          <w:szCs w:val="21"/>
        </w:rPr>
        <w:fldChar w:fldCharType="begin"/>
      </w:r>
      <w:r>
        <w:rPr>
          <w:rFonts w:ascii="宋体" w:hAnsi="宋体"/>
          <w:szCs w:val="21"/>
        </w:rPr>
        <w:instrText xml:space="preserve"> PAGEREF _Toc108513597 \h </w:instrText>
      </w:r>
      <w:r>
        <w:rPr>
          <w:rFonts w:ascii="宋体" w:hAnsi="宋体"/>
          <w:szCs w:val="21"/>
        </w:rPr>
        <w:fldChar w:fldCharType="separate"/>
      </w:r>
      <w:r>
        <w:rPr>
          <w:rFonts w:ascii="宋体" w:hAnsi="宋体"/>
          <w:szCs w:val="21"/>
        </w:rPr>
        <w:t>93</w:t>
      </w:r>
      <w:r>
        <w:rPr>
          <w:rFonts w:ascii="宋体" w:hAnsi="宋体"/>
          <w:szCs w:val="21"/>
        </w:rPr>
        <w:fldChar w:fldCharType="end"/>
      </w:r>
    </w:p>
    <w:p w14:paraId="3CB19F8D">
      <w:pPr>
        <w:pStyle w:val="13"/>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A:</w:t>
      </w:r>
      <w:r>
        <w:rPr>
          <w:rFonts w:hint="eastAsia" w:ascii="宋体" w:hAnsi="宋体" w:eastAsia="宋体"/>
          <w:sz w:val="21"/>
          <w:szCs w:val="21"/>
        </w:rPr>
        <w:t>评标详细程序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_Toc108513598 \h </w:instrText>
      </w:r>
      <w:r>
        <w:rPr>
          <w:rFonts w:ascii="宋体" w:hAnsi="宋体" w:eastAsia="宋体"/>
          <w:sz w:val="21"/>
          <w:szCs w:val="21"/>
        </w:rPr>
        <w:fldChar w:fldCharType="separate"/>
      </w:r>
      <w:r>
        <w:rPr>
          <w:rFonts w:ascii="宋体" w:hAnsi="宋体" w:eastAsia="宋体"/>
          <w:sz w:val="21"/>
          <w:szCs w:val="21"/>
        </w:rPr>
        <w:t>94</w:t>
      </w:r>
      <w:r>
        <w:rPr>
          <w:rFonts w:ascii="宋体" w:hAnsi="宋体" w:eastAsia="宋体"/>
          <w:sz w:val="21"/>
          <w:szCs w:val="21"/>
        </w:rPr>
        <w:fldChar w:fldCharType="end"/>
      </w:r>
    </w:p>
    <w:p w14:paraId="52BB3AA3">
      <w:pPr>
        <w:pStyle w:val="8"/>
        <w:tabs>
          <w:tab w:val="right" w:leader="dot" w:pos="8296"/>
        </w:tabs>
        <w:rPr>
          <w:rFonts w:ascii="宋体" w:hAnsi="宋体"/>
          <w:szCs w:val="21"/>
        </w:rPr>
      </w:pPr>
      <w:r>
        <w:rPr>
          <w:rFonts w:ascii="宋体" w:hAnsi="宋体"/>
          <w:szCs w:val="21"/>
        </w:rPr>
        <w:t>A0.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_Toc108513599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2CDE8F4B">
      <w:pPr>
        <w:pStyle w:val="8"/>
        <w:tabs>
          <w:tab w:val="right" w:leader="dot" w:pos="8296"/>
        </w:tabs>
        <w:rPr>
          <w:rFonts w:ascii="宋体" w:hAnsi="宋体"/>
          <w:szCs w:val="21"/>
        </w:rPr>
      </w:pPr>
      <w:r>
        <w:rPr>
          <w:rFonts w:ascii="宋体" w:hAnsi="宋体"/>
          <w:szCs w:val="21"/>
        </w:rPr>
        <w:t>A1.</w:t>
      </w:r>
      <w:r>
        <w:rPr>
          <w:rFonts w:hint="eastAsia" w:ascii="宋体" w:hAnsi="宋体"/>
          <w:szCs w:val="21"/>
        </w:rPr>
        <w:t>基本程序</w:t>
      </w:r>
      <w:r>
        <w:rPr>
          <w:rFonts w:ascii="宋体" w:hAnsi="宋体"/>
          <w:szCs w:val="21"/>
        </w:rPr>
        <w:tab/>
      </w:r>
      <w:r>
        <w:rPr>
          <w:rFonts w:ascii="宋体" w:hAnsi="宋体"/>
          <w:szCs w:val="21"/>
        </w:rPr>
        <w:fldChar w:fldCharType="begin"/>
      </w:r>
      <w:r>
        <w:rPr>
          <w:rFonts w:ascii="宋体" w:hAnsi="宋体"/>
          <w:szCs w:val="21"/>
        </w:rPr>
        <w:instrText xml:space="preserve"> PAGEREF _Toc108513600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3AC50446">
      <w:pPr>
        <w:pStyle w:val="8"/>
        <w:tabs>
          <w:tab w:val="right" w:leader="dot" w:pos="8296"/>
        </w:tabs>
        <w:rPr>
          <w:rFonts w:ascii="宋体" w:hAnsi="宋体"/>
          <w:szCs w:val="21"/>
        </w:rPr>
      </w:pPr>
      <w:r>
        <w:rPr>
          <w:rFonts w:ascii="宋体" w:hAnsi="宋体"/>
          <w:szCs w:val="21"/>
        </w:rPr>
        <w:t>A2.</w:t>
      </w:r>
      <w:r>
        <w:rPr>
          <w:rFonts w:hint="eastAsia" w:ascii="宋体" w:hAnsi="宋体"/>
          <w:szCs w:val="21"/>
        </w:rPr>
        <w:t>评标准备</w:t>
      </w:r>
      <w:r>
        <w:rPr>
          <w:rFonts w:ascii="宋体" w:hAnsi="宋体"/>
          <w:szCs w:val="21"/>
        </w:rPr>
        <w:tab/>
      </w:r>
      <w:r>
        <w:rPr>
          <w:rFonts w:ascii="宋体" w:hAnsi="宋体"/>
          <w:szCs w:val="21"/>
        </w:rPr>
        <w:fldChar w:fldCharType="begin"/>
      </w:r>
      <w:r>
        <w:rPr>
          <w:rFonts w:ascii="宋体" w:hAnsi="宋体"/>
          <w:szCs w:val="21"/>
        </w:rPr>
        <w:instrText xml:space="preserve"> PAGEREF _Toc108513601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2AC91ECC">
      <w:pPr>
        <w:pStyle w:val="8"/>
        <w:tabs>
          <w:tab w:val="right" w:leader="dot" w:pos="8296"/>
        </w:tabs>
        <w:rPr>
          <w:rFonts w:ascii="宋体" w:hAnsi="宋体"/>
          <w:szCs w:val="21"/>
        </w:rPr>
      </w:pPr>
      <w:r>
        <w:rPr>
          <w:rFonts w:ascii="宋体" w:hAnsi="宋体"/>
          <w:szCs w:val="21"/>
        </w:rPr>
        <w:t>A2.1</w:t>
      </w:r>
      <w:r>
        <w:rPr>
          <w:rFonts w:hint="eastAsia" w:ascii="宋体" w:hAnsi="宋体"/>
          <w:szCs w:val="21"/>
        </w:rPr>
        <w:t>评标委员会成员签到</w:t>
      </w:r>
      <w:r>
        <w:rPr>
          <w:rFonts w:ascii="宋体" w:hAnsi="宋体"/>
          <w:szCs w:val="21"/>
        </w:rPr>
        <w:tab/>
      </w:r>
      <w:r>
        <w:rPr>
          <w:rFonts w:ascii="宋体" w:hAnsi="宋体"/>
          <w:szCs w:val="21"/>
        </w:rPr>
        <w:fldChar w:fldCharType="begin"/>
      </w:r>
      <w:r>
        <w:rPr>
          <w:rFonts w:ascii="宋体" w:hAnsi="宋体"/>
          <w:szCs w:val="21"/>
        </w:rPr>
        <w:instrText xml:space="preserve"> PAGEREF _Toc108513602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72838E24">
      <w:pPr>
        <w:pStyle w:val="8"/>
        <w:tabs>
          <w:tab w:val="right" w:leader="dot" w:pos="8296"/>
        </w:tabs>
        <w:rPr>
          <w:rFonts w:ascii="宋体" w:hAnsi="宋体"/>
          <w:szCs w:val="21"/>
        </w:rPr>
      </w:pPr>
      <w:r>
        <w:rPr>
          <w:rFonts w:ascii="宋体" w:hAnsi="宋体"/>
          <w:szCs w:val="21"/>
        </w:rPr>
        <w:t>A2.2</w:t>
      </w:r>
      <w:r>
        <w:rPr>
          <w:rFonts w:hint="eastAsia" w:ascii="宋体" w:hAnsi="宋体"/>
          <w:szCs w:val="21"/>
        </w:rPr>
        <w:t>评标委员会的分工</w:t>
      </w:r>
      <w:r>
        <w:rPr>
          <w:rFonts w:ascii="宋体" w:hAnsi="宋体"/>
          <w:szCs w:val="21"/>
        </w:rPr>
        <w:tab/>
      </w:r>
      <w:r>
        <w:rPr>
          <w:rFonts w:ascii="宋体" w:hAnsi="宋体"/>
          <w:szCs w:val="21"/>
        </w:rPr>
        <w:fldChar w:fldCharType="begin"/>
      </w:r>
      <w:r>
        <w:rPr>
          <w:rFonts w:ascii="宋体" w:hAnsi="宋体"/>
          <w:szCs w:val="21"/>
        </w:rPr>
        <w:instrText xml:space="preserve"> PAGEREF _Toc108513603 \h </w:instrText>
      </w:r>
      <w:r>
        <w:rPr>
          <w:rFonts w:ascii="宋体" w:hAnsi="宋体"/>
          <w:szCs w:val="21"/>
        </w:rPr>
        <w:fldChar w:fldCharType="separate"/>
      </w:r>
      <w:r>
        <w:rPr>
          <w:rFonts w:ascii="宋体" w:hAnsi="宋体"/>
          <w:szCs w:val="21"/>
        </w:rPr>
        <w:t>94</w:t>
      </w:r>
      <w:r>
        <w:rPr>
          <w:rFonts w:ascii="宋体" w:hAnsi="宋体"/>
          <w:szCs w:val="21"/>
        </w:rPr>
        <w:fldChar w:fldCharType="end"/>
      </w:r>
    </w:p>
    <w:p w14:paraId="1E0B183D">
      <w:pPr>
        <w:pStyle w:val="8"/>
        <w:tabs>
          <w:tab w:val="right" w:leader="dot" w:pos="8296"/>
        </w:tabs>
        <w:rPr>
          <w:rFonts w:ascii="宋体" w:hAnsi="宋体"/>
          <w:szCs w:val="21"/>
        </w:rPr>
      </w:pPr>
      <w:r>
        <w:rPr>
          <w:rFonts w:ascii="宋体" w:hAnsi="宋体"/>
          <w:szCs w:val="21"/>
        </w:rPr>
        <w:t>A2.3</w:t>
      </w:r>
      <w:r>
        <w:rPr>
          <w:rFonts w:hint="eastAsia" w:ascii="宋体" w:hAnsi="宋体"/>
          <w:szCs w:val="21"/>
        </w:rPr>
        <w:t>熟悉文件资料</w:t>
      </w:r>
      <w:r>
        <w:rPr>
          <w:rFonts w:ascii="宋体" w:hAnsi="宋体"/>
          <w:szCs w:val="21"/>
        </w:rPr>
        <w:tab/>
      </w:r>
      <w:r>
        <w:rPr>
          <w:rFonts w:ascii="宋体" w:hAnsi="宋体"/>
          <w:szCs w:val="21"/>
        </w:rPr>
        <w:fldChar w:fldCharType="begin"/>
      </w:r>
      <w:r>
        <w:rPr>
          <w:rFonts w:ascii="宋体" w:hAnsi="宋体"/>
          <w:szCs w:val="21"/>
        </w:rPr>
        <w:instrText xml:space="preserve"> PAGEREF _Toc108513604 \h </w:instrText>
      </w:r>
      <w:r>
        <w:rPr>
          <w:rFonts w:ascii="宋体" w:hAnsi="宋体"/>
          <w:szCs w:val="21"/>
        </w:rPr>
        <w:fldChar w:fldCharType="separate"/>
      </w:r>
      <w:r>
        <w:rPr>
          <w:rFonts w:ascii="宋体" w:hAnsi="宋体"/>
          <w:szCs w:val="21"/>
        </w:rPr>
        <w:t>95</w:t>
      </w:r>
      <w:r>
        <w:rPr>
          <w:rFonts w:ascii="宋体" w:hAnsi="宋体"/>
          <w:szCs w:val="21"/>
        </w:rPr>
        <w:fldChar w:fldCharType="end"/>
      </w:r>
    </w:p>
    <w:p w14:paraId="66AC940E">
      <w:pPr>
        <w:pStyle w:val="8"/>
        <w:tabs>
          <w:tab w:val="right" w:leader="dot" w:pos="8296"/>
        </w:tabs>
        <w:rPr>
          <w:rFonts w:ascii="宋体" w:hAnsi="宋体"/>
          <w:szCs w:val="21"/>
        </w:rPr>
      </w:pPr>
      <w:r>
        <w:rPr>
          <w:rFonts w:ascii="宋体" w:hAnsi="宋体"/>
          <w:szCs w:val="21"/>
        </w:rPr>
        <w:t>A2.4</w:t>
      </w:r>
      <w:r>
        <w:rPr>
          <w:rFonts w:hint="eastAsia" w:ascii="宋体" w:hAnsi="宋体"/>
          <w:szCs w:val="21"/>
        </w:rPr>
        <w:t>暗标编号</w:t>
      </w:r>
      <w:r>
        <w:rPr>
          <w:rFonts w:ascii="宋体" w:hAnsi="宋体"/>
          <w:szCs w:val="21"/>
        </w:rPr>
        <w:t>(</w:t>
      </w:r>
      <w:r>
        <w:rPr>
          <w:rFonts w:hint="eastAsia" w:ascii="宋体" w:hAnsi="宋体"/>
          <w:szCs w:val="21"/>
        </w:rPr>
        <w:t>适用于对施工组织设计进行暗标评审的</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_Toc108513605 \h </w:instrText>
      </w:r>
      <w:r>
        <w:rPr>
          <w:rFonts w:ascii="宋体" w:hAnsi="宋体"/>
          <w:szCs w:val="21"/>
        </w:rPr>
        <w:fldChar w:fldCharType="separate"/>
      </w:r>
      <w:r>
        <w:rPr>
          <w:rFonts w:ascii="宋体" w:hAnsi="宋体"/>
          <w:szCs w:val="21"/>
        </w:rPr>
        <w:t>95</w:t>
      </w:r>
      <w:r>
        <w:rPr>
          <w:rFonts w:ascii="宋体" w:hAnsi="宋体"/>
          <w:szCs w:val="21"/>
        </w:rPr>
        <w:fldChar w:fldCharType="end"/>
      </w:r>
    </w:p>
    <w:p w14:paraId="13397A37">
      <w:pPr>
        <w:pStyle w:val="8"/>
        <w:tabs>
          <w:tab w:val="right" w:leader="dot" w:pos="8296"/>
        </w:tabs>
        <w:rPr>
          <w:rFonts w:ascii="宋体" w:hAnsi="宋体"/>
          <w:szCs w:val="21"/>
        </w:rPr>
      </w:pPr>
      <w:r>
        <w:rPr>
          <w:rFonts w:ascii="宋体" w:hAnsi="宋体"/>
          <w:szCs w:val="21"/>
        </w:rPr>
        <w:t>A2.5</w:t>
      </w:r>
      <w:r>
        <w:rPr>
          <w:rFonts w:hint="eastAsia" w:ascii="宋体" w:hAnsi="宋体"/>
          <w:szCs w:val="21"/>
        </w:rPr>
        <w:t>对投标文件进行基础性数据分析和整理工作</w:t>
      </w:r>
      <w:r>
        <w:rPr>
          <w:rFonts w:ascii="宋体" w:hAnsi="宋体"/>
          <w:szCs w:val="21"/>
        </w:rPr>
        <w:t>(</w:t>
      </w:r>
      <w:r>
        <w:rPr>
          <w:rFonts w:hint="eastAsia" w:ascii="宋体" w:hAnsi="宋体"/>
          <w:szCs w:val="21"/>
        </w:rPr>
        <w:t>清标</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_Toc108513606 \h </w:instrText>
      </w:r>
      <w:r>
        <w:rPr>
          <w:rFonts w:ascii="宋体" w:hAnsi="宋体"/>
          <w:szCs w:val="21"/>
        </w:rPr>
        <w:fldChar w:fldCharType="separate"/>
      </w:r>
      <w:r>
        <w:rPr>
          <w:rFonts w:ascii="宋体" w:hAnsi="宋体"/>
          <w:szCs w:val="21"/>
        </w:rPr>
        <w:t>95</w:t>
      </w:r>
      <w:r>
        <w:rPr>
          <w:rFonts w:ascii="宋体" w:hAnsi="宋体"/>
          <w:szCs w:val="21"/>
        </w:rPr>
        <w:fldChar w:fldCharType="end"/>
      </w:r>
    </w:p>
    <w:p w14:paraId="720AE6D4">
      <w:pPr>
        <w:pStyle w:val="8"/>
        <w:tabs>
          <w:tab w:val="right" w:leader="dot" w:pos="8296"/>
        </w:tabs>
        <w:rPr>
          <w:rFonts w:ascii="宋体" w:hAnsi="宋体"/>
          <w:szCs w:val="21"/>
        </w:rPr>
      </w:pPr>
      <w:r>
        <w:rPr>
          <w:rFonts w:ascii="宋体" w:hAnsi="宋体"/>
          <w:szCs w:val="21"/>
        </w:rPr>
        <w:t>A3</w:t>
      </w:r>
      <w:r>
        <w:rPr>
          <w:rFonts w:hint="eastAsia" w:ascii="宋体" w:hAnsi="宋体"/>
          <w:szCs w:val="21"/>
        </w:rPr>
        <w:t>初步评审</w:t>
      </w:r>
      <w:r>
        <w:rPr>
          <w:rFonts w:ascii="宋体" w:hAnsi="宋体"/>
          <w:szCs w:val="21"/>
        </w:rPr>
        <w:tab/>
      </w:r>
      <w:r>
        <w:rPr>
          <w:rFonts w:ascii="宋体" w:hAnsi="宋体"/>
          <w:szCs w:val="21"/>
        </w:rPr>
        <w:fldChar w:fldCharType="begin"/>
      </w:r>
      <w:r>
        <w:rPr>
          <w:rFonts w:ascii="宋体" w:hAnsi="宋体"/>
          <w:szCs w:val="21"/>
        </w:rPr>
        <w:instrText xml:space="preserve"> PAGEREF _Toc108513607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0E1E0422">
      <w:pPr>
        <w:pStyle w:val="8"/>
        <w:tabs>
          <w:tab w:val="right" w:leader="dot" w:pos="8296"/>
        </w:tabs>
        <w:rPr>
          <w:rFonts w:ascii="宋体" w:hAnsi="宋体"/>
          <w:szCs w:val="21"/>
        </w:rPr>
      </w:pPr>
      <w:r>
        <w:rPr>
          <w:rFonts w:ascii="宋体" w:hAnsi="宋体"/>
          <w:szCs w:val="21"/>
        </w:rPr>
        <w:t>A3.1</w:t>
      </w:r>
      <w:r>
        <w:rPr>
          <w:rFonts w:hint="eastAsia" w:ascii="宋体" w:hAnsi="宋体"/>
          <w:szCs w:val="21"/>
        </w:rPr>
        <w:t>形式评审</w:t>
      </w:r>
      <w:r>
        <w:rPr>
          <w:rFonts w:ascii="宋体" w:hAnsi="宋体"/>
          <w:szCs w:val="21"/>
        </w:rPr>
        <w:tab/>
      </w:r>
      <w:r>
        <w:rPr>
          <w:rFonts w:ascii="宋体" w:hAnsi="宋体"/>
          <w:szCs w:val="21"/>
        </w:rPr>
        <w:fldChar w:fldCharType="begin"/>
      </w:r>
      <w:r>
        <w:rPr>
          <w:rFonts w:ascii="宋体" w:hAnsi="宋体"/>
          <w:szCs w:val="21"/>
        </w:rPr>
        <w:instrText xml:space="preserve"> PAGEREF _Toc108513608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76D92447">
      <w:pPr>
        <w:pStyle w:val="8"/>
        <w:tabs>
          <w:tab w:val="right" w:leader="dot" w:pos="8296"/>
        </w:tabs>
        <w:rPr>
          <w:rFonts w:ascii="宋体" w:hAnsi="宋体"/>
          <w:szCs w:val="21"/>
        </w:rPr>
      </w:pPr>
      <w:r>
        <w:rPr>
          <w:rFonts w:ascii="宋体" w:hAnsi="宋体"/>
          <w:szCs w:val="21"/>
        </w:rPr>
        <w:t>A3.2</w:t>
      </w:r>
      <w:r>
        <w:rPr>
          <w:rFonts w:hint="eastAsia" w:ascii="宋体" w:hAnsi="宋体"/>
          <w:szCs w:val="21"/>
        </w:rPr>
        <w:t>资格评审</w:t>
      </w:r>
      <w:r>
        <w:rPr>
          <w:rFonts w:ascii="宋体" w:hAnsi="宋体"/>
          <w:szCs w:val="21"/>
        </w:rPr>
        <w:tab/>
      </w:r>
      <w:r>
        <w:rPr>
          <w:rFonts w:ascii="宋体" w:hAnsi="宋体"/>
          <w:szCs w:val="21"/>
        </w:rPr>
        <w:fldChar w:fldCharType="begin"/>
      </w:r>
      <w:r>
        <w:rPr>
          <w:rFonts w:ascii="宋体" w:hAnsi="宋体"/>
          <w:szCs w:val="21"/>
        </w:rPr>
        <w:instrText xml:space="preserve"> PAGEREF _Toc108513609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787328BA">
      <w:pPr>
        <w:pStyle w:val="8"/>
        <w:tabs>
          <w:tab w:val="right" w:leader="dot" w:pos="8296"/>
        </w:tabs>
        <w:rPr>
          <w:rFonts w:ascii="宋体" w:hAnsi="宋体"/>
          <w:szCs w:val="21"/>
        </w:rPr>
      </w:pPr>
      <w:r>
        <w:rPr>
          <w:rFonts w:ascii="宋体" w:hAnsi="宋体"/>
          <w:szCs w:val="21"/>
        </w:rPr>
        <w:t>A3.3</w:t>
      </w:r>
      <w:r>
        <w:rPr>
          <w:rFonts w:hint="eastAsia" w:ascii="宋体" w:hAnsi="宋体"/>
          <w:szCs w:val="21"/>
        </w:rPr>
        <w:t>响应性评审</w:t>
      </w:r>
      <w:r>
        <w:rPr>
          <w:rFonts w:ascii="宋体" w:hAnsi="宋体"/>
          <w:szCs w:val="21"/>
        </w:rPr>
        <w:tab/>
      </w:r>
      <w:r>
        <w:rPr>
          <w:rFonts w:ascii="宋体" w:hAnsi="宋体"/>
          <w:szCs w:val="21"/>
        </w:rPr>
        <w:fldChar w:fldCharType="begin"/>
      </w:r>
      <w:r>
        <w:rPr>
          <w:rFonts w:ascii="宋体" w:hAnsi="宋体"/>
          <w:szCs w:val="21"/>
        </w:rPr>
        <w:instrText xml:space="preserve"> PAGEREF _Toc108513610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76E39C0D">
      <w:pPr>
        <w:pStyle w:val="8"/>
        <w:tabs>
          <w:tab w:val="right" w:leader="dot" w:pos="8296"/>
        </w:tabs>
        <w:rPr>
          <w:rFonts w:ascii="宋体" w:hAnsi="宋体"/>
          <w:szCs w:val="21"/>
        </w:rPr>
      </w:pPr>
      <w:r>
        <w:rPr>
          <w:rFonts w:ascii="宋体" w:hAnsi="宋体"/>
          <w:szCs w:val="21"/>
        </w:rPr>
        <w:t>A3.4</w:t>
      </w:r>
      <w:r>
        <w:rPr>
          <w:rFonts w:hint="eastAsia" w:ascii="宋体" w:hAnsi="宋体"/>
          <w:szCs w:val="21"/>
        </w:rPr>
        <w:t>施工组织设计评审</w:t>
      </w:r>
      <w:r>
        <w:rPr>
          <w:rFonts w:ascii="宋体" w:hAnsi="宋体"/>
          <w:szCs w:val="21"/>
        </w:rPr>
        <w:tab/>
      </w:r>
      <w:r>
        <w:rPr>
          <w:rFonts w:ascii="宋体" w:hAnsi="宋体"/>
          <w:szCs w:val="21"/>
        </w:rPr>
        <w:fldChar w:fldCharType="begin"/>
      </w:r>
      <w:r>
        <w:rPr>
          <w:rFonts w:ascii="宋体" w:hAnsi="宋体"/>
          <w:szCs w:val="21"/>
        </w:rPr>
        <w:instrText xml:space="preserve"> PAGEREF _Toc108513611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40A7E722">
      <w:pPr>
        <w:pStyle w:val="8"/>
        <w:tabs>
          <w:tab w:val="right" w:leader="dot" w:pos="8296"/>
        </w:tabs>
        <w:rPr>
          <w:rFonts w:ascii="宋体" w:hAnsi="宋体"/>
          <w:szCs w:val="21"/>
        </w:rPr>
      </w:pPr>
      <w:r>
        <w:rPr>
          <w:rFonts w:ascii="宋体" w:hAnsi="宋体"/>
          <w:szCs w:val="21"/>
        </w:rPr>
        <w:t>A3.5</w:t>
      </w:r>
      <w:r>
        <w:rPr>
          <w:rFonts w:hint="eastAsia" w:ascii="宋体" w:hAnsi="宋体"/>
          <w:szCs w:val="21"/>
        </w:rPr>
        <w:t>算术错误修正</w:t>
      </w:r>
      <w:r>
        <w:rPr>
          <w:rFonts w:ascii="宋体" w:hAnsi="宋体"/>
          <w:szCs w:val="21"/>
        </w:rPr>
        <w:tab/>
      </w:r>
      <w:r>
        <w:rPr>
          <w:rFonts w:ascii="宋体" w:hAnsi="宋体"/>
          <w:szCs w:val="21"/>
        </w:rPr>
        <w:fldChar w:fldCharType="begin"/>
      </w:r>
      <w:r>
        <w:rPr>
          <w:rFonts w:ascii="宋体" w:hAnsi="宋体"/>
          <w:szCs w:val="21"/>
        </w:rPr>
        <w:instrText xml:space="preserve"> PAGEREF _Toc108513612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2B621E1F">
      <w:pPr>
        <w:pStyle w:val="8"/>
        <w:tabs>
          <w:tab w:val="right" w:leader="dot" w:pos="8296"/>
        </w:tabs>
        <w:rPr>
          <w:rFonts w:ascii="宋体" w:hAnsi="宋体"/>
          <w:szCs w:val="21"/>
        </w:rPr>
      </w:pPr>
      <w:r>
        <w:rPr>
          <w:rFonts w:ascii="宋体" w:hAnsi="宋体"/>
          <w:szCs w:val="21"/>
        </w:rPr>
        <w:t xml:space="preserve">A3.6 </w:t>
      </w:r>
      <w:r>
        <w:rPr>
          <w:rFonts w:hint="eastAsia" w:ascii="宋体" w:hAnsi="宋体"/>
          <w:szCs w:val="21"/>
        </w:rPr>
        <w:t>判断投标报价是否低于成本</w:t>
      </w:r>
      <w:r>
        <w:rPr>
          <w:rFonts w:ascii="宋体" w:hAnsi="宋体"/>
          <w:szCs w:val="21"/>
        </w:rPr>
        <w:tab/>
      </w:r>
      <w:r>
        <w:rPr>
          <w:rFonts w:ascii="宋体" w:hAnsi="宋体"/>
          <w:szCs w:val="21"/>
        </w:rPr>
        <w:fldChar w:fldCharType="begin"/>
      </w:r>
      <w:r>
        <w:rPr>
          <w:rFonts w:ascii="宋体" w:hAnsi="宋体"/>
          <w:szCs w:val="21"/>
        </w:rPr>
        <w:instrText xml:space="preserve"> PAGEREF _Toc108513613 \h </w:instrText>
      </w:r>
      <w:r>
        <w:rPr>
          <w:rFonts w:ascii="宋体" w:hAnsi="宋体"/>
          <w:szCs w:val="21"/>
        </w:rPr>
        <w:fldChar w:fldCharType="separate"/>
      </w:r>
      <w:r>
        <w:rPr>
          <w:rFonts w:ascii="宋体" w:hAnsi="宋体"/>
          <w:szCs w:val="21"/>
        </w:rPr>
        <w:t>96</w:t>
      </w:r>
      <w:r>
        <w:rPr>
          <w:rFonts w:ascii="宋体" w:hAnsi="宋体"/>
          <w:szCs w:val="21"/>
        </w:rPr>
        <w:fldChar w:fldCharType="end"/>
      </w:r>
    </w:p>
    <w:p w14:paraId="7FB0B54E">
      <w:pPr>
        <w:pStyle w:val="8"/>
        <w:tabs>
          <w:tab w:val="right" w:leader="dot" w:pos="8296"/>
        </w:tabs>
        <w:rPr>
          <w:rFonts w:ascii="宋体" w:hAnsi="宋体"/>
          <w:szCs w:val="21"/>
        </w:rPr>
      </w:pPr>
      <w:r>
        <w:rPr>
          <w:rFonts w:ascii="宋体" w:hAnsi="宋体"/>
          <w:szCs w:val="21"/>
        </w:rPr>
        <w:t>A3.7</w:t>
      </w:r>
      <w:r>
        <w:rPr>
          <w:rFonts w:hint="eastAsia" w:ascii="宋体" w:hAnsi="宋体"/>
          <w:szCs w:val="21"/>
        </w:rPr>
        <w:t>判断投标是否为应当被否决</w:t>
      </w:r>
      <w:r>
        <w:rPr>
          <w:rFonts w:ascii="宋体" w:hAnsi="宋体"/>
          <w:szCs w:val="21"/>
        </w:rPr>
        <w:tab/>
      </w:r>
      <w:r>
        <w:rPr>
          <w:rFonts w:ascii="宋体" w:hAnsi="宋体"/>
          <w:szCs w:val="21"/>
        </w:rPr>
        <w:fldChar w:fldCharType="begin"/>
      </w:r>
      <w:r>
        <w:rPr>
          <w:rFonts w:ascii="宋体" w:hAnsi="宋体"/>
          <w:szCs w:val="21"/>
        </w:rPr>
        <w:instrText xml:space="preserve"> PAGEREF _Toc108513614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32BC9181">
      <w:pPr>
        <w:pStyle w:val="8"/>
        <w:tabs>
          <w:tab w:val="right" w:leader="dot" w:pos="8296"/>
        </w:tabs>
        <w:rPr>
          <w:rFonts w:ascii="宋体" w:hAnsi="宋体"/>
          <w:szCs w:val="21"/>
        </w:rPr>
      </w:pPr>
      <w:r>
        <w:rPr>
          <w:rFonts w:ascii="宋体" w:hAnsi="宋体"/>
          <w:szCs w:val="21"/>
        </w:rPr>
        <w:t>A3.8</w:t>
      </w:r>
      <w:r>
        <w:rPr>
          <w:rFonts w:hint="eastAsia" w:ascii="宋体" w:hAnsi="宋体"/>
          <w:szCs w:val="21"/>
        </w:rPr>
        <w:t>澄清、说明或补正</w:t>
      </w:r>
      <w:r>
        <w:rPr>
          <w:rFonts w:ascii="宋体" w:hAnsi="宋体"/>
          <w:szCs w:val="21"/>
        </w:rPr>
        <w:tab/>
      </w:r>
      <w:r>
        <w:rPr>
          <w:rFonts w:ascii="宋体" w:hAnsi="宋体"/>
          <w:szCs w:val="21"/>
        </w:rPr>
        <w:fldChar w:fldCharType="begin"/>
      </w:r>
      <w:r>
        <w:rPr>
          <w:rFonts w:ascii="宋体" w:hAnsi="宋体"/>
          <w:szCs w:val="21"/>
        </w:rPr>
        <w:instrText xml:space="preserve"> PAGEREF _Toc108513615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062C6021">
      <w:pPr>
        <w:pStyle w:val="8"/>
        <w:tabs>
          <w:tab w:val="right" w:leader="dot" w:pos="8296"/>
        </w:tabs>
        <w:rPr>
          <w:rFonts w:ascii="宋体" w:hAnsi="宋体"/>
          <w:szCs w:val="21"/>
        </w:rPr>
      </w:pPr>
      <w:r>
        <w:rPr>
          <w:rFonts w:ascii="宋体" w:hAnsi="宋体"/>
          <w:szCs w:val="21"/>
        </w:rPr>
        <w:t>A4</w:t>
      </w:r>
      <w:r>
        <w:rPr>
          <w:rFonts w:hint="eastAsia" w:ascii="宋体" w:hAnsi="宋体"/>
          <w:szCs w:val="21"/>
        </w:rPr>
        <w:t>．详细评审</w:t>
      </w:r>
      <w:r>
        <w:rPr>
          <w:rFonts w:ascii="宋体" w:hAnsi="宋体"/>
          <w:szCs w:val="21"/>
        </w:rPr>
        <w:tab/>
      </w:r>
      <w:r>
        <w:rPr>
          <w:rFonts w:ascii="宋体" w:hAnsi="宋体"/>
          <w:szCs w:val="21"/>
        </w:rPr>
        <w:fldChar w:fldCharType="begin"/>
      </w:r>
      <w:r>
        <w:rPr>
          <w:rFonts w:ascii="宋体" w:hAnsi="宋体"/>
          <w:szCs w:val="21"/>
        </w:rPr>
        <w:instrText xml:space="preserve"> PAGEREF _Toc108513616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6F7F39E5">
      <w:pPr>
        <w:pStyle w:val="8"/>
        <w:tabs>
          <w:tab w:val="right" w:leader="dot" w:pos="8296"/>
        </w:tabs>
        <w:rPr>
          <w:rFonts w:ascii="宋体" w:hAnsi="宋体"/>
          <w:szCs w:val="21"/>
        </w:rPr>
      </w:pPr>
      <w:r>
        <w:rPr>
          <w:rFonts w:ascii="宋体" w:hAnsi="宋体"/>
          <w:szCs w:val="21"/>
        </w:rPr>
        <w:t>A4.1</w:t>
      </w:r>
      <w:r>
        <w:rPr>
          <w:rFonts w:hint="eastAsia" w:ascii="宋体" w:hAnsi="宋体"/>
          <w:szCs w:val="21"/>
        </w:rPr>
        <w:t>详细评审的程序</w:t>
      </w:r>
      <w:r>
        <w:rPr>
          <w:rFonts w:ascii="宋体" w:hAnsi="宋体"/>
          <w:szCs w:val="21"/>
        </w:rPr>
        <w:tab/>
      </w:r>
      <w:r>
        <w:rPr>
          <w:rFonts w:ascii="宋体" w:hAnsi="宋体"/>
          <w:szCs w:val="21"/>
        </w:rPr>
        <w:fldChar w:fldCharType="begin"/>
      </w:r>
      <w:r>
        <w:rPr>
          <w:rFonts w:ascii="宋体" w:hAnsi="宋体"/>
          <w:szCs w:val="21"/>
        </w:rPr>
        <w:instrText xml:space="preserve"> PAGEREF _Toc108513617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27ED21B3">
      <w:pPr>
        <w:pStyle w:val="8"/>
        <w:tabs>
          <w:tab w:val="right" w:leader="dot" w:pos="8296"/>
        </w:tabs>
        <w:rPr>
          <w:rFonts w:ascii="宋体" w:hAnsi="宋体"/>
          <w:szCs w:val="21"/>
        </w:rPr>
      </w:pPr>
      <w:r>
        <w:rPr>
          <w:rFonts w:ascii="宋体" w:hAnsi="宋体"/>
          <w:szCs w:val="21"/>
        </w:rPr>
        <w:t>A4.2</w:t>
      </w:r>
      <w:r>
        <w:rPr>
          <w:rFonts w:hint="eastAsia" w:ascii="宋体" w:hAnsi="宋体"/>
          <w:szCs w:val="21"/>
        </w:rPr>
        <w:t>投标报价评审和评分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_Toc108513618 \h </w:instrText>
      </w:r>
      <w:r>
        <w:rPr>
          <w:rFonts w:ascii="宋体" w:hAnsi="宋体"/>
          <w:szCs w:val="21"/>
        </w:rPr>
        <w:fldChar w:fldCharType="separate"/>
      </w:r>
      <w:r>
        <w:rPr>
          <w:rFonts w:ascii="宋体" w:hAnsi="宋体"/>
          <w:szCs w:val="21"/>
        </w:rPr>
        <w:t>97</w:t>
      </w:r>
      <w:r>
        <w:rPr>
          <w:rFonts w:ascii="宋体" w:hAnsi="宋体"/>
          <w:szCs w:val="21"/>
        </w:rPr>
        <w:fldChar w:fldCharType="end"/>
      </w:r>
    </w:p>
    <w:p w14:paraId="5BA6BBCA">
      <w:pPr>
        <w:pStyle w:val="8"/>
        <w:tabs>
          <w:tab w:val="right" w:leader="dot" w:pos="8296"/>
        </w:tabs>
        <w:rPr>
          <w:rFonts w:ascii="宋体" w:hAnsi="宋体"/>
          <w:szCs w:val="21"/>
        </w:rPr>
      </w:pPr>
      <w:r>
        <w:rPr>
          <w:rFonts w:ascii="宋体" w:hAnsi="宋体"/>
          <w:szCs w:val="21"/>
        </w:rPr>
        <w:t xml:space="preserve">A4.3 </w:t>
      </w:r>
      <w:r>
        <w:rPr>
          <w:rFonts w:hint="eastAsia" w:ascii="宋体" w:hAnsi="宋体"/>
          <w:szCs w:val="21"/>
        </w:rPr>
        <w:t>施工组织设计评审和评分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_Toc108513619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407125CC">
      <w:pPr>
        <w:pStyle w:val="8"/>
        <w:tabs>
          <w:tab w:val="right" w:leader="dot" w:pos="8296"/>
        </w:tabs>
        <w:rPr>
          <w:rFonts w:ascii="宋体" w:hAnsi="宋体"/>
          <w:szCs w:val="21"/>
        </w:rPr>
      </w:pPr>
      <w:r>
        <w:rPr>
          <w:rFonts w:ascii="宋体" w:hAnsi="宋体"/>
          <w:szCs w:val="21"/>
        </w:rPr>
        <w:t>A4.4</w:t>
      </w:r>
      <w:r>
        <w:rPr>
          <w:rFonts w:hint="eastAsia" w:ascii="宋体" w:hAnsi="宋体"/>
          <w:szCs w:val="21"/>
        </w:rPr>
        <w:t>项目管理机构评审和评分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_Toc108513620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31F5723C">
      <w:pPr>
        <w:pStyle w:val="8"/>
        <w:tabs>
          <w:tab w:val="right" w:leader="dot" w:pos="8296"/>
        </w:tabs>
        <w:rPr>
          <w:rFonts w:ascii="宋体" w:hAnsi="宋体"/>
          <w:szCs w:val="21"/>
        </w:rPr>
      </w:pPr>
      <w:r>
        <w:rPr>
          <w:rFonts w:ascii="宋体" w:hAnsi="宋体"/>
          <w:szCs w:val="21"/>
        </w:rPr>
        <w:t xml:space="preserve">A4.5 </w:t>
      </w:r>
      <w:r>
        <w:rPr>
          <w:rFonts w:hint="eastAsia" w:ascii="宋体" w:hAnsi="宋体"/>
          <w:szCs w:val="21"/>
        </w:rPr>
        <w:t>其他因素的评审和评分</w:t>
      </w:r>
      <w:r>
        <w:rPr>
          <w:rFonts w:ascii="宋体" w:hAnsi="宋体"/>
          <w:szCs w:val="21"/>
        </w:rPr>
        <w:tab/>
      </w:r>
      <w:r>
        <w:rPr>
          <w:rFonts w:ascii="宋体" w:hAnsi="宋体"/>
          <w:szCs w:val="21"/>
        </w:rPr>
        <w:fldChar w:fldCharType="begin"/>
      </w:r>
      <w:r>
        <w:rPr>
          <w:rFonts w:ascii="宋体" w:hAnsi="宋体"/>
          <w:szCs w:val="21"/>
        </w:rPr>
        <w:instrText xml:space="preserve"> PAGEREF _Toc108513621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46DC4F98">
      <w:pPr>
        <w:pStyle w:val="8"/>
        <w:tabs>
          <w:tab w:val="right" w:leader="dot" w:pos="8296"/>
        </w:tabs>
        <w:rPr>
          <w:rFonts w:ascii="宋体" w:hAnsi="宋体"/>
          <w:szCs w:val="21"/>
        </w:rPr>
      </w:pPr>
      <w:r>
        <w:rPr>
          <w:rFonts w:ascii="宋体" w:hAnsi="宋体"/>
          <w:szCs w:val="21"/>
        </w:rPr>
        <w:t xml:space="preserve">A4.6 </w:t>
      </w:r>
      <w:r>
        <w:rPr>
          <w:rFonts w:hint="eastAsia" w:ascii="宋体" w:hAnsi="宋体"/>
          <w:szCs w:val="21"/>
        </w:rPr>
        <w:t>澄清、说明或补正</w:t>
      </w:r>
      <w:r>
        <w:rPr>
          <w:rFonts w:ascii="宋体" w:hAnsi="宋体"/>
          <w:szCs w:val="21"/>
        </w:rPr>
        <w:tab/>
      </w:r>
      <w:r>
        <w:rPr>
          <w:rFonts w:ascii="宋体" w:hAnsi="宋体"/>
          <w:szCs w:val="21"/>
        </w:rPr>
        <w:fldChar w:fldCharType="begin"/>
      </w:r>
      <w:r>
        <w:rPr>
          <w:rFonts w:ascii="宋体" w:hAnsi="宋体"/>
          <w:szCs w:val="21"/>
        </w:rPr>
        <w:instrText xml:space="preserve"> PAGEREF _Toc108513622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77DFE78D">
      <w:pPr>
        <w:pStyle w:val="8"/>
        <w:tabs>
          <w:tab w:val="right" w:leader="dot" w:pos="8296"/>
        </w:tabs>
        <w:rPr>
          <w:rFonts w:ascii="宋体" w:hAnsi="宋体"/>
          <w:szCs w:val="21"/>
        </w:rPr>
      </w:pPr>
      <w:r>
        <w:rPr>
          <w:rFonts w:ascii="宋体" w:hAnsi="宋体"/>
          <w:szCs w:val="21"/>
        </w:rPr>
        <w:t>A4.7</w:t>
      </w:r>
      <w:r>
        <w:rPr>
          <w:rFonts w:hint="eastAsia" w:ascii="宋体" w:hAnsi="宋体"/>
          <w:szCs w:val="21"/>
        </w:rPr>
        <w:t>汇总评分（评审）结果</w:t>
      </w:r>
      <w:r>
        <w:rPr>
          <w:rFonts w:ascii="宋体" w:hAnsi="宋体"/>
          <w:szCs w:val="21"/>
        </w:rPr>
        <w:tab/>
      </w:r>
      <w:r>
        <w:rPr>
          <w:rFonts w:ascii="宋体" w:hAnsi="宋体"/>
          <w:szCs w:val="21"/>
        </w:rPr>
        <w:fldChar w:fldCharType="begin"/>
      </w:r>
      <w:r>
        <w:rPr>
          <w:rFonts w:ascii="宋体" w:hAnsi="宋体"/>
          <w:szCs w:val="21"/>
        </w:rPr>
        <w:instrText xml:space="preserve"> PAGEREF _Toc108513623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18501F7F">
      <w:pPr>
        <w:pStyle w:val="8"/>
        <w:tabs>
          <w:tab w:val="right" w:leader="dot" w:pos="8296"/>
        </w:tabs>
        <w:rPr>
          <w:rFonts w:ascii="宋体" w:hAnsi="宋体"/>
          <w:szCs w:val="21"/>
        </w:rPr>
      </w:pPr>
      <w:r>
        <w:rPr>
          <w:rFonts w:ascii="宋体" w:hAnsi="宋体"/>
          <w:szCs w:val="21"/>
        </w:rPr>
        <w:t>A5.</w:t>
      </w:r>
      <w:r>
        <w:rPr>
          <w:rFonts w:hint="eastAsia" w:ascii="宋体" w:hAnsi="宋体"/>
          <w:szCs w:val="21"/>
        </w:rPr>
        <w:t>推荐中标候选人或者直接确定中标人</w:t>
      </w:r>
      <w:r>
        <w:rPr>
          <w:rFonts w:ascii="宋体" w:hAnsi="宋体"/>
          <w:szCs w:val="21"/>
        </w:rPr>
        <w:tab/>
      </w:r>
      <w:r>
        <w:rPr>
          <w:rFonts w:ascii="宋体" w:hAnsi="宋体"/>
          <w:szCs w:val="21"/>
        </w:rPr>
        <w:fldChar w:fldCharType="begin"/>
      </w:r>
      <w:r>
        <w:rPr>
          <w:rFonts w:ascii="宋体" w:hAnsi="宋体"/>
          <w:szCs w:val="21"/>
        </w:rPr>
        <w:instrText xml:space="preserve"> PAGEREF _Toc108513624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19406FBD">
      <w:pPr>
        <w:pStyle w:val="8"/>
        <w:tabs>
          <w:tab w:val="right" w:leader="dot" w:pos="8296"/>
        </w:tabs>
        <w:rPr>
          <w:rFonts w:ascii="宋体" w:hAnsi="宋体"/>
          <w:szCs w:val="21"/>
        </w:rPr>
      </w:pPr>
      <w:r>
        <w:rPr>
          <w:rFonts w:ascii="宋体" w:hAnsi="宋体"/>
          <w:szCs w:val="21"/>
        </w:rPr>
        <w:t>A5.1</w:t>
      </w:r>
      <w:r>
        <w:rPr>
          <w:rFonts w:hint="eastAsia" w:ascii="宋体" w:hAnsi="宋体"/>
          <w:szCs w:val="21"/>
        </w:rPr>
        <w:t>推荐中标候选人</w:t>
      </w:r>
      <w:r>
        <w:rPr>
          <w:rFonts w:ascii="宋体" w:hAnsi="宋体"/>
          <w:szCs w:val="21"/>
        </w:rPr>
        <w:tab/>
      </w:r>
      <w:r>
        <w:rPr>
          <w:rFonts w:ascii="宋体" w:hAnsi="宋体"/>
          <w:szCs w:val="21"/>
        </w:rPr>
        <w:fldChar w:fldCharType="begin"/>
      </w:r>
      <w:r>
        <w:rPr>
          <w:rFonts w:ascii="宋体" w:hAnsi="宋体"/>
          <w:szCs w:val="21"/>
        </w:rPr>
        <w:instrText xml:space="preserve"> PAGEREF _Toc108513625 \h </w:instrText>
      </w:r>
      <w:r>
        <w:rPr>
          <w:rFonts w:ascii="宋体" w:hAnsi="宋体"/>
          <w:szCs w:val="21"/>
        </w:rPr>
        <w:fldChar w:fldCharType="separate"/>
      </w:r>
      <w:r>
        <w:rPr>
          <w:rFonts w:ascii="宋体" w:hAnsi="宋体"/>
          <w:szCs w:val="21"/>
        </w:rPr>
        <w:t>98</w:t>
      </w:r>
      <w:r>
        <w:rPr>
          <w:rFonts w:ascii="宋体" w:hAnsi="宋体"/>
          <w:szCs w:val="21"/>
        </w:rPr>
        <w:fldChar w:fldCharType="end"/>
      </w:r>
    </w:p>
    <w:p w14:paraId="2FC11459">
      <w:pPr>
        <w:pStyle w:val="8"/>
        <w:tabs>
          <w:tab w:val="right" w:leader="dot" w:pos="8296"/>
        </w:tabs>
        <w:rPr>
          <w:rFonts w:ascii="宋体" w:hAnsi="宋体"/>
          <w:szCs w:val="21"/>
        </w:rPr>
      </w:pPr>
      <w:r>
        <w:rPr>
          <w:rFonts w:ascii="宋体" w:hAnsi="宋体"/>
          <w:szCs w:val="21"/>
        </w:rPr>
        <w:t>A5.2</w:t>
      </w:r>
      <w:r>
        <w:rPr>
          <w:rFonts w:hint="eastAsia" w:ascii="宋体" w:hAnsi="宋体"/>
          <w:szCs w:val="21"/>
        </w:rPr>
        <w:t>直接确定中标人</w:t>
      </w:r>
      <w:r>
        <w:rPr>
          <w:rFonts w:ascii="宋体" w:hAnsi="宋体"/>
          <w:szCs w:val="21"/>
        </w:rPr>
        <w:tab/>
      </w:r>
      <w:r>
        <w:rPr>
          <w:rFonts w:ascii="宋体" w:hAnsi="宋体"/>
          <w:szCs w:val="21"/>
        </w:rPr>
        <w:fldChar w:fldCharType="begin"/>
      </w:r>
      <w:r>
        <w:rPr>
          <w:rFonts w:ascii="宋体" w:hAnsi="宋体"/>
          <w:szCs w:val="21"/>
        </w:rPr>
        <w:instrText xml:space="preserve"> PAGEREF _Toc108513626 \h </w:instrText>
      </w:r>
      <w:r>
        <w:rPr>
          <w:rFonts w:ascii="宋体" w:hAnsi="宋体"/>
          <w:szCs w:val="21"/>
        </w:rPr>
        <w:fldChar w:fldCharType="separate"/>
      </w:r>
      <w:r>
        <w:rPr>
          <w:rFonts w:ascii="宋体" w:hAnsi="宋体"/>
          <w:szCs w:val="21"/>
        </w:rPr>
        <w:t>99</w:t>
      </w:r>
      <w:r>
        <w:rPr>
          <w:rFonts w:ascii="宋体" w:hAnsi="宋体"/>
          <w:szCs w:val="21"/>
        </w:rPr>
        <w:fldChar w:fldCharType="end"/>
      </w:r>
    </w:p>
    <w:p w14:paraId="2FD1B8FB">
      <w:pPr>
        <w:pStyle w:val="8"/>
        <w:tabs>
          <w:tab w:val="right" w:leader="dot" w:pos="8296"/>
        </w:tabs>
        <w:rPr>
          <w:rFonts w:ascii="宋体" w:hAnsi="宋体"/>
          <w:szCs w:val="21"/>
        </w:rPr>
      </w:pPr>
      <w:r>
        <w:rPr>
          <w:rFonts w:ascii="宋体" w:hAnsi="宋体"/>
          <w:szCs w:val="21"/>
        </w:rPr>
        <w:t>A5.3</w:t>
      </w:r>
      <w:r>
        <w:rPr>
          <w:rFonts w:hint="eastAsia" w:ascii="宋体" w:hAnsi="宋体"/>
          <w:szCs w:val="21"/>
        </w:rPr>
        <w:t>编制评标报告</w:t>
      </w:r>
      <w:r>
        <w:rPr>
          <w:rFonts w:ascii="宋体" w:hAnsi="宋体"/>
          <w:szCs w:val="21"/>
        </w:rPr>
        <w:tab/>
      </w:r>
      <w:r>
        <w:rPr>
          <w:rFonts w:ascii="宋体" w:hAnsi="宋体"/>
          <w:szCs w:val="21"/>
        </w:rPr>
        <w:fldChar w:fldCharType="begin"/>
      </w:r>
      <w:r>
        <w:rPr>
          <w:rFonts w:ascii="宋体" w:hAnsi="宋体"/>
          <w:szCs w:val="21"/>
        </w:rPr>
        <w:instrText xml:space="preserve"> PAGEREF _Toc108513627 \h </w:instrText>
      </w:r>
      <w:r>
        <w:rPr>
          <w:rFonts w:ascii="宋体" w:hAnsi="宋体"/>
          <w:szCs w:val="21"/>
        </w:rPr>
        <w:fldChar w:fldCharType="separate"/>
      </w:r>
      <w:r>
        <w:rPr>
          <w:rFonts w:ascii="宋体" w:hAnsi="宋体"/>
          <w:szCs w:val="21"/>
        </w:rPr>
        <w:t>99</w:t>
      </w:r>
      <w:r>
        <w:rPr>
          <w:rFonts w:ascii="宋体" w:hAnsi="宋体"/>
          <w:szCs w:val="21"/>
        </w:rPr>
        <w:fldChar w:fldCharType="end"/>
      </w:r>
    </w:p>
    <w:p w14:paraId="28E55C0A">
      <w:pPr>
        <w:pStyle w:val="8"/>
        <w:tabs>
          <w:tab w:val="right" w:leader="dot" w:pos="8296"/>
        </w:tabs>
        <w:rPr>
          <w:rFonts w:ascii="宋体" w:hAnsi="宋体"/>
          <w:szCs w:val="21"/>
        </w:rPr>
      </w:pPr>
      <w:r>
        <w:rPr>
          <w:rFonts w:ascii="宋体" w:hAnsi="宋体"/>
          <w:szCs w:val="21"/>
        </w:rPr>
        <w:t>A6</w:t>
      </w:r>
      <w:r>
        <w:rPr>
          <w:rFonts w:hint="eastAsia" w:ascii="宋体" w:hAnsi="宋体"/>
          <w:szCs w:val="21"/>
        </w:rPr>
        <w:t>．特殊情况的处置程序</w:t>
      </w:r>
      <w:r>
        <w:rPr>
          <w:rFonts w:ascii="宋体" w:hAnsi="宋体"/>
          <w:szCs w:val="21"/>
        </w:rPr>
        <w:tab/>
      </w:r>
      <w:r>
        <w:rPr>
          <w:rFonts w:ascii="宋体" w:hAnsi="宋体"/>
          <w:szCs w:val="21"/>
        </w:rPr>
        <w:fldChar w:fldCharType="begin"/>
      </w:r>
      <w:r>
        <w:rPr>
          <w:rFonts w:ascii="宋体" w:hAnsi="宋体"/>
          <w:szCs w:val="21"/>
        </w:rPr>
        <w:instrText xml:space="preserve"> PAGEREF _Toc108513628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00470D8F">
      <w:pPr>
        <w:pStyle w:val="8"/>
        <w:tabs>
          <w:tab w:val="right" w:leader="dot" w:pos="8296"/>
        </w:tabs>
        <w:rPr>
          <w:rFonts w:ascii="宋体" w:hAnsi="宋体"/>
          <w:szCs w:val="21"/>
        </w:rPr>
      </w:pPr>
      <w:r>
        <w:rPr>
          <w:rFonts w:ascii="宋体" w:hAnsi="宋体"/>
          <w:szCs w:val="21"/>
        </w:rPr>
        <w:t>A6.1</w:t>
      </w:r>
      <w:r>
        <w:rPr>
          <w:rFonts w:hint="eastAsia" w:ascii="宋体" w:hAnsi="宋体"/>
          <w:szCs w:val="21"/>
        </w:rPr>
        <w:t>暗标评审的评审程序规定</w:t>
      </w:r>
      <w:r>
        <w:rPr>
          <w:rFonts w:ascii="宋体" w:hAnsi="宋体"/>
          <w:szCs w:val="21"/>
        </w:rPr>
        <w:t>(</w:t>
      </w:r>
      <w:r>
        <w:rPr>
          <w:rFonts w:hint="eastAsia" w:ascii="宋体" w:hAnsi="宋体"/>
          <w:szCs w:val="21"/>
        </w:rPr>
        <w:t>适用于对施工组织设计进行暗标评审的</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_Toc108513629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28450D1C">
      <w:pPr>
        <w:pStyle w:val="8"/>
        <w:tabs>
          <w:tab w:val="right" w:leader="dot" w:pos="8296"/>
        </w:tabs>
        <w:rPr>
          <w:rFonts w:ascii="宋体" w:hAnsi="宋体"/>
          <w:szCs w:val="21"/>
        </w:rPr>
      </w:pPr>
      <w:r>
        <w:rPr>
          <w:rFonts w:ascii="宋体" w:hAnsi="宋体"/>
          <w:szCs w:val="21"/>
        </w:rPr>
        <w:t>A6.2</w:t>
      </w:r>
      <w:r>
        <w:rPr>
          <w:rFonts w:hint="eastAsia" w:ascii="宋体" w:hAnsi="宋体"/>
          <w:szCs w:val="21"/>
        </w:rPr>
        <w:t>关于评标活动暂停</w:t>
      </w:r>
      <w:r>
        <w:rPr>
          <w:rFonts w:ascii="宋体" w:hAnsi="宋体"/>
          <w:szCs w:val="21"/>
        </w:rPr>
        <w:tab/>
      </w:r>
      <w:r>
        <w:rPr>
          <w:rFonts w:ascii="宋体" w:hAnsi="宋体"/>
          <w:szCs w:val="21"/>
        </w:rPr>
        <w:fldChar w:fldCharType="begin"/>
      </w:r>
      <w:r>
        <w:rPr>
          <w:rFonts w:ascii="宋体" w:hAnsi="宋体"/>
          <w:szCs w:val="21"/>
        </w:rPr>
        <w:instrText xml:space="preserve"> PAGEREF _Toc108513630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22BB2BD1">
      <w:pPr>
        <w:pStyle w:val="8"/>
        <w:tabs>
          <w:tab w:val="right" w:leader="dot" w:pos="8296"/>
        </w:tabs>
        <w:rPr>
          <w:rFonts w:ascii="宋体" w:hAnsi="宋体"/>
          <w:szCs w:val="21"/>
        </w:rPr>
      </w:pPr>
      <w:r>
        <w:rPr>
          <w:rFonts w:ascii="宋体" w:hAnsi="宋体"/>
          <w:szCs w:val="21"/>
        </w:rPr>
        <w:t>A6.3</w:t>
      </w:r>
      <w:r>
        <w:rPr>
          <w:rFonts w:hint="eastAsia" w:ascii="宋体" w:hAnsi="宋体"/>
          <w:szCs w:val="21"/>
        </w:rPr>
        <w:t>关于评标中途更换评标委员会成员</w:t>
      </w:r>
      <w:r>
        <w:rPr>
          <w:rFonts w:ascii="宋体" w:hAnsi="宋体"/>
          <w:szCs w:val="21"/>
        </w:rPr>
        <w:tab/>
      </w:r>
      <w:r>
        <w:rPr>
          <w:rFonts w:ascii="宋体" w:hAnsi="宋体"/>
          <w:szCs w:val="21"/>
        </w:rPr>
        <w:fldChar w:fldCharType="begin"/>
      </w:r>
      <w:r>
        <w:rPr>
          <w:rFonts w:ascii="宋体" w:hAnsi="宋体"/>
          <w:szCs w:val="21"/>
        </w:rPr>
        <w:instrText xml:space="preserve"> PAGEREF _Toc108513631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30C0BCAE">
      <w:pPr>
        <w:pStyle w:val="8"/>
        <w:tabs>
          <w:tab w:val="right" w:leader="dot" w:pos="8296"/>
        </w:tabs>
        <w:rPr>
          <w:rFonts w:ascii="宋体" w:hAnsi="宋体"/>
          <w:szCs w:val="21"/>
        </w:rPr>
      </w:pPr>
      <w:r>
        <w:rPr>
          <w:rFonts w:ascii="宋体" w:hAnsi="宋体"/>
          <w:szCs w:val="21"/>
        </w:rPr>
        <w:t>A6.4</w:t>
      </w:r>
      <w:r>
        <w:rPr>
          <w:rFonts w:hint="eastAsia" w:ascii="宋体" w:hAnsi="宋体"/>
          <w:szCs w:val="21"/>
        </w:rPr>
        <w:t>评标争议处理</w:t>
      </w:r>
      <w:r>
        <w:rPr>
          <w:rFonts w:ascii="宋体" w:hAnsi="宋体"/>
          <w:szCs w:val="21"/>
        </w:rPr>
        <w:tab/>
      </w:r>
      <w:r>
        <w:rPr>
          <w:rFonts w:ascii="宋体" w:hAnsi="宋体"/>
          <w:szCs w:val="21"/>
        </w:rPr>
        <w:fldChar w:fldCharType="begin"/>
      </w:r>
      <w:r>
        <w:rPr>
          <w:rFonts w:ascii="宋体" w:hAnsi="宋体"/>
          <w:szCs w:val="21"/>
        </w:rPr>
        <w:instrText xml:space="preserve"> PAGEREF _Toc108513632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3439662F">
      <w:pPr>
        <w:pStyle w:val="8"/>
        <w:tabs>
          <w:tab w:val="right" w:leader="dot" w:pos="8296"/>
        </w:tabs>
        <w:rPr>
          <w:rFonts w:ascii="宋体" w:hAnsi="宋体"/>
          <w:szCs w:val="21"/>
        </w:rPr>
      </w:pPr>
      <w:r>
        <w:rPr>
          <w:rFonts w:ascii="宋体" w:hAnsi="宋体"/>
          <w:szCs w:val="21"/>
        </w:rPr>
        <w:t>A7.</w:t>
      </w:r>
      <w:r>
        <w:rPr>
          <w:rFonts w:hint="eastAsia" w:ascii="宋体" w:hAnsi="宋体"/>
          <w:szCs w:val="21"/>
        </w:rPr>
        <w:t>补充条款</w:t>
      </w:r>
      <w:r>
        <w:rPr>
          <w:rFonts w:ascii="宋体" w:hAnsi="宋体"/>
          <w:szCs w:val="21"/>
        </w:rPr>
        <w:tab/>
      </w:r>
      <w:r>
        <w:rPr>
          <w:rFonts w:ascii="宋体" w:hAnsi="宋体"/>
          <w:szCs w:val="21"/>
        </w:rPr>
        <w:fldChar w:fldCharType="begin"/>
      </w:r>
      <w:r>
        <w:rPr>
          <w:rFonts w:ascii="宋体" w:hAnsi="宋体"/>
          <w:szCs w:val="21"/>
        </w:rPr>
        <w:instrText xml:space="preserve"> PAGEREF _Toc108513633 \h </w:instrText>
      </w:r>
      <w:r>
        <w:rPr>
          <w:rFonts w:ascii="宋体" w:hAnsi="宋体"/>
          <w:szCs w:val="21"/>
        </w:rPr>
        <w:fldChar w:fldCharType="separate"/>
      </w:r>
      <w:r>
        <w:rPr>
          <w:rFonts w:ascii="宋体" w:hAnsi="宋体"/>
          <w:szCs w:val="21"/>
        </w:rPr>
        <w:t>100</w:t>
      </w:r>
      <w:r>
        <w:rPr>
          <w:rFonts w:ascii="宋体" w:hAnsi="宋体"/>
          <w:szCs w:val="21"/>
        </w:rPr>
        <w:fldChar w:fldCharType="end"/>
      </w:r>
    </w:p>
    <w:p w14:paraId="79D6C80A">
      <w:pPr>
        <w:pStyle w:val="13"/>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B</w:t>
      </w:r>
      <w:r>
        <w:rPr>
          <w:rFonts w:hint="eastAsia" w:ascii="宋体" w:hAnsi="宋体" w:eastAsia="宋体"/>
          <w:sz w:val="21"/>
          <w:szCs w:val="21"/>
        </w:rPr>
        <w:t>：否决投标的条件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_Toc108513634 \h </w:instrText>
      </w:r>
      <w:r>
        <w:rPr>
          <w:rFonts w:ascii="宋体" w:hAnsi="宋体" w:eastAsia="宋体"/>
          <w:sz w:val="21"/>
          <w:szCs w:val="21"/>
        </w:rPr>
        <w:fldChar w:fldCharType="separate"/>
      </w:r>
      <w:r>
        <w:rPr>
          <w:rFonts w:ascii="宋体" w:hAnsi="宋体" w:eastAsia="宋体"/>
          <w:sz w:val="21"/>
          <w:szCs w:val="21"/>
        </w:rPr>
        <w:t>101</w:t>
      </w:r>
      <w:r>
        <w:rPr>
          <w:rFonts w:ascii="宋体" w:hAnsi="宋体" w:eastAsia="宋体"/>
          <w:sz w:val="21"/>
          <w:szCs w:val="21"/>
        </w:rPr>
        <w:fldChar w:fldCharType="end"/>
      </w:r>
    </w:p>
    <w:p w14:paraId="6A52456B">
      <w:pPr>
        <w:pStyle w:val="8"/>
        <w:tabs>
          <w:tab w:val="right" w:leader="dot" w:pos="8296"/>
        </w:tabs>
        <w:rPr>
          <w:rFonts w:ascii="宋体" w:hAnsi="宋体"/>
          <w:szCs w:val="21"/>
        </w:rPr>
      </w:pPr>
      <w:r>
        <w:rPr>
          <w:rFonts w:ascii="宋体" w:hAnsi="宋体"/>
          <w:szCs w:val="21"/>
        </w:rPr>
        <w:t>B0.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_Toc108513635 \h </w:instrText>
      </w:r>
      <w:r>
        <w:rPr>
          <w:rFonts w:ascii="宋体" w:hAnsi="宋体"/>
          <w:szCs w:val="21"/>
        </w:rPr>
        <w:fldChar w:fldCharType="separate"/>
      </w:r>
      <w:r>
        <w:rPr>
          <w:rFonts w:ascii="宋体" w:hAnsi="宋体"/>
          <w:szCs w:val="21"/>
        </w:rPr>
        <w:t>101</w:t>
      </w:r>
      <w:r>
        <w:rPr>
          <w:rFonts w:ascii="宋体" w:hAnsi="宋体"/>
          <w:szCs w:val="21"/>
        </w:rPr>
        <w:fldChar w:fldCharType="end"/>
      </w:r>
    </w:p>
    <w:p w14:paraId="397B20FE">
      <w:pPr>
        <w:pStyle w:val="8"/>
        <w:tabs>
          <w:tab w:val="right" w:leader="dot" w:pos="8296"/>
        </w:tabs>
        <w:rPr>
          <w:rFonts w:ascii="宋体" w:hAnsi="宋体"/>
          <w:szCs w:val="21"/>
        </w:rPr>
      </w:pPr>
      <w:r>
        <w:rPr>
          <w:rFonts w:ascii="宋体" w:hAnsi="宋体"/>
          <w:szCs w:val="21"/>
        </w:rPr>
        <w:t>B1.</w:t>
      </w:r>
      <w:r>
        <w:rPr>
          <w:rFonts w:hint="eastAsia" w:ascii="宋体" w:hAnsi="宋体"/>
          <w:szCs w:val="21"/>
        </w:rPr>
        <w:t>否决投标的条件</w:t>
      </w:r>
      <w:r>
        <w:rPr>
          <w:rFonts w:ascii="宋体" w:hAnsi="宋体"/>
          <w:szCs w:val="21"/>
        </w:rPr>
        <w:tab/>
      </w:r>
      <w:r>
        <w:rPr>
          <w:rFonts w:ascii="宋体" w:hAnsi="宋体"/>
          <w:szCs w:val="21"/>
        </w:rPr>
        <w:fldChar w:fldCharType="begin"/>
      </w:r>
      <w:r>
        <w:rPr>
          <w:rFonts w:ascii="宋体" w:hAnsi="宋体"/>
          <w:szCs w:val="21"/>
        </w:rPr>
        <w:instrText xml:space="preserve"> PAGEREF _Toc108513636 \h </w:instrText>
      </w:r>
      <w:r>
        <w:rPr>
          <w:rFonts w:ascii="宋体" w:hAnsi="宋体"/>
          <w:szCs w:val="21"/>
        </w:rPr>
        <w:fldChar w:fldCharType="separate"/>
      </w:r>
      <w:r>
        <w:rPr>
          <w:rFonts w:ascii="宋体" w:hAnsi="宋体"/>
          <w:szCs w:val="21"/>
        </w:rPr>
        <w:t>101</w:t>
      </w:r>
      <w:r>
        <w:rPr>
          <w:rFonts w:ascii="宋体" w:hAnsi="宋体"/>
          <w:szCs w:val="21"/>
        </w:rPr>
        <w:fldChar w:fldCharType="end"/>
      </w:r>
    </w:p>
    <w:p w14:paraId="2DD3BDF5">
      <w:pPr>
        <w:pStyle w:val="13"/>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C</w:t>
      </w:r>
      <w:r>
        <w:rPr>
          <w:rFonts w:hint="eastAsia" w:ascii="宋体" w:hAnsi="宋体" w:eastAsia="宋体"/>
          <w:sz w:val="21"/>
          <w:szCs w:val="21"/>
        </w:rPr>
        <w:t>：清标报告</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_Toc108513637 \h </w:instrText>
      </w:r>
      <w:r>
        <w:rPr>
          <w:rFonts w:ascii="宋体" w:hAnsi="宋体" w:eastAsia="宋体"/>
          <w:sz w:val="21"/>
          <w:szCs w:val="21"/>
        </w:rPr>
        <w:fldChar w:fldCharType="separate"/>
      </w:r>
      <w:r>
        <w:rPr>
          <w:rFonts w:ascii="宋体" w:hAnsi="宋体" w:eastAsia="宋体"/>
          <w:sz w:val="21"/>
          <w:szCs w:val="21"/>
        </w:rPr>
        <w:t>102</w:t>
      </w:r>
      <w:r>
        <w:rPr>
          <w:rFonts w:ascii="宋体" w:hAnsi="宋体" w:eastAsia="宋体"/>
          <w:sz w:val="21"/>
          <w:szCs w:val="21"/>
        </w:rPr>
        <w:fldChar w:fldCharType="end"/>
      </w:r>
    </w:p>
    <w:p w14:paraId="04A3F277">
      <w:pPr>
        <w:pStyle w:val="8"/>
        <w:tabs>
          <w:tab w:val="right" w:leader="dot" w:pos="8296"/>
        </w:tabs>
        <w:rPr>
          <w:rFonts w:ascii="宋体" w:hAnsi="宋体"/>
          <w:szCs w:val="21"/>
        </w:rPr>
      </w:pPr>
      <w:r>
        <w:rPr>
          <w:rFonts w:ascii="宋体" w:hAnsi="宋体"/>
          <w:szCs w:val="21"/>
        </w:rPr>
        <w:t>C0.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_Toc108513638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5F3CBB21">
      <w:pPr>
        <w:pStyle w:val="8"/>
        <w:tabs>
          <w:tab w:val="right" w:leader="dot" w:pos="8296"/>
        </w:tabs>
        <w:rPr>
          <w:rFonts w:ascii="宋体" w:hAnsi="宋体"/>
          <w:szCs w:val="21"/>
        </w:rPr>
      </w:pPr>
      <w:r>
        <w:rPr>
          <w:rFonts w:ascii="宋体" w:hAnsi="宋体"/>
          <w:szCs w:val="21"/>
        </w:rPr>
        <w:t>C1.</w:t>
      </w:r>
      <w:r>
        <w:rPr>
          <w:rFonts w:hint="eastAsia" w:ascii="宋体" w:hAnsi="宋体"/>
          <w:szCs w:val="21"/>
        </w:rPr>
        <w:t>清标程序</w:t>
      </w:r>
      <w:r>
        <w:rPr>
          <w:rFonts w:ascii="宋体" w:hAnsi="宋体"/>
          <w:szCs w:val="21"/>
        </w:rPr>
        <w:tab/>
      </w:r>
      <w:r>
        <w:rPr>
          <w:rFonts w:ascii="宋体" w:hAnsi="宋体"/>
          <w:szCs w:val="21"/>
        </w:rPr>
        <w:fldChar w:fldCharType="begin"/>
      </w:r>
      <w:r>
        <w:rPr>
          <w:rFonts w:ascii="宋体" w:hAnsi="宋体"/>
          <w:szCs w:val="21"/>
        </w:rPr>
        <w:instrText xml:space="preserve"> PAGEREF _Toc108513639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5B359D4B">
      <w:pPr>
        <w:pStyle w:val="8"/>
        <w:tabs>
          <w:tab w:val="right" w:leader="dot" w:pos="8296"/>
        </w:tabs>
        <w:rPr>
          <w:rFonts w:ascii="宋体" w:hAnsi="宋体"/>
          <w:szCs w:val="21"/>
        </w:rPr>
      </w:pPr>
      <w:r>
        <w:rPr>
          <w:rFonts w:ascii="宋体" w:hAnsi="宋体"/>
          <w:szCs w:val="21"/>
        </w:rPr>
        <w:t>C2.</w:t>
      </w:r>
      <w:r>
        <w:rPr>
          <w:rFonts w:hint="eastAsia" w:ascii="宋体" w:hAnsi="宋体"/>
          <w:szCs w:val="21"/>
        </w:rPr>
        <w:t>清标内容</w:t>
      </w:r>
      <w:r>
        <w:rPr>
          <w:rFonts w:ascii="宋体" w:hAnsi="宋体"/>
          <w:szCs w:val="21"/>
        </w:rPr>
        <w:tab/>
      </w:r>
      <w:r>
        <w:rPr>
          <w:rFonts w:ascii="宋体" w:hAnsi="宋体"/>
          <w:szCs w:val="21"/>
        </w:rPr>
        <w:fldChar w:fldCharType="begin"/>
      </w:r>
      <w:r>
        <w:rPr>
          <w:rFonts w:ascii="宋体" w:hAnsi="宋体"/>
          <w:szCs w:val="21"/>
        </w:rPr>
        <w:instrText xml:space="preserve"> PAGEREF _Toc108513640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6862B11A">
      <w:pPr>
        <w:pStyle w:val="8"/>
        <w:tabs>
          <w:tab w:val="right" w:leader="dot" w:pos="8296"/>
        </w:tabs>
        <w:rPr>
          <w:rFonts w:ascii="宋体" w:hAnsi="宋体"/>
          <w:szCs w:val="21"/>
        </w:rPr>
      </w:pPr>
      <w:r>
        <w:rPr>
          <w:rFonts w:ascii="宋体" w:hAnsi="宋体"/>
          <w:szCs w:val="21"/>
        </w:rPr>
        <w:t>C2.1</w:t>
      </w:r>
      <w:r>
        <w:rPr>
          <w:rFonts w:hint="eastAsia" w:ascii="宋体" w:hAnsi="宋体"/>
          <w:szCs w:val="21"/>
        </w:rPr>
        <w:t>已标价工程量清单符合性检查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_Toc108513641 \h </w:instrText>
      </w:r>
      <w:r>
        <w:rPr>
          <w:rFonts w:ascii="宋体" w:hAnsi="宋体"/>
          <w:szCs w:val="21"/>
        </w:rPr>
        <w:fldChar w:fldCharType="separate"/>
      </w:r>
      <w:r>
        <w:rPr>
          <w:rFonts w:ascii="宋体" w:hAnsi="宋体"/>
          <w:szCs w:val="21"/>
        </w:rPr>
        <w:t>102</w:t>
      </w:r>
      <w:r>
        <w:rPr>
          <w:rFonts w:ascii="宋体" w:hAnsi="宋体"/>
          <w:szCs w:val="21"/>
        </w:rPr>
        <w:fldChar w:fldCharType="end"/>
      </w:r>
    </w:p>
    <w:p w14:paraId="3AF2E486">
      <w:pPr>
        <w:pStyle w:val="8"/>
        <w:tabs>
          <w:tab w:val="right" w:leader="dot" w:pos="8296"/>
        </w:tabs>
        <w:rPr>
          <w:rFonts w:ascii="宋体" w:hAnsi="宋体"/>
          <w:szCs w:val="21"/>
        </w:rPr>
      </w:pPr>
      <w:r>
        <w:rPr>
          <w:rFonts w:ascii="宋体" w:hAnsi="宋体"/>
          <w:szCs w:val="21"/>
        </w:rPr>
        <w:t>C2.2</w:t>
      </w:r>
      <w:r>
        <w:rPr>
          <w:rFonts w:hint="eastAsia" w:ascii="宋体" w:hAnsi="宋体"/>
          <w:szCs w:val="21"/>
        </w:rPr>
        <w:t>已标价工程量清单算术错误修正</w:t>
      </w:r>
      <w:r>
        <w:rPr>
          <w:rFonts w:ascii="宋体" w:hAnsi="宋体"/>
          <w:szCs w:val="21"/>
        </w:rPr>
        <w:tab/>
      </w:r>
      <w:r>
        <w:rPr>
          <w:rFonts w:ascii="宋体" w:hAnsi="宋体"/>
          <w:szCs w:val="21"/>
        </w:rPr>
        <w:fldChar w:fldCharType="begin"/>
      </w:r>
      <w:r>
        <w:rPr>
          <w:rFonts w:ascii="宋体" w:hAnsi="宋体"/>
          <w:szCs w:val="21"/>
        </w:rPr>
        <w:instrText xml:space="preserve"> PAGEREF _Toc108513642 \h </w:instrText>
      </w:r>
      <w:r>
        <w:rPr>
          <w:rFonts w:ascii="宋体" w:hAnsi="宋体"/>
          <w:szCs w:val="21"/>
        </w:rPr>
        <w:fldChar w:fldCharType="separate"/>
      </w:r>
      <w:r>
        <w:rPr>
          <w:rFonts w:ascii="宋体" w:hAnsi="宋体"/>
          <w:szCs w:val="21"/>
        </w:rPr>
        <w:t>103</w:t>
      </w:r>
      <w:r>
        <w:rPr>
          <w:rFonts w:ascii="宋体" w:hAnsi="宋体"/>
          <w:szCs w:val="21"/>
        </w:rPr>
        <w:fldChar w:fldCharType="end"/>
      </w:r>
    </w:p>
    <w:p w14:paraId="3A49B43A">
      <w:pPr>
        <w:pStyle w:val="8"/>
        <w:tabs>
          <w:tab w:val="right" w:leader="dot" w:pos="8296"/>
        </w:tabs>
        <w:rPr>
          <w:rFonts w:ascii="宋体" w:hAnsi="宋体"/>
          <w:szCs w:val="21"/>
        </w:rPr>
      </w:pPr>
      <w:r>
        <w:rPr>
          <w:rFonts w:ascii="宋体" w:hAnsi="宋体"/>
          <w:szCs w:val="21"/>
        </w:rPr>
        <w:t>C2.3</w:t>
      </w:r>
      <w:r>
        <w:rPr>
          <w:rFonts w:hint="eastAsia" w:ascii="宋体" w:hAnsi="宋体"/>
          <w:szCs w:val="21"/>
        </w:rPr>
        <w:t>已标价工程量清单偏差分析</w:t>
      </w:r>
      <w:r>
        <w:rPr>
          <w:rFonts w:ascii="宋体" w:hAnsi="宋体"/>
          <w:szCs w:val="21"/>
        </w:rPr>
        <w:tab/>
      </w:r>
      <w:r>
        <w:rPr>
          <w:rFonts w:ascii="宋体" w:hAnsi="宋体"/>
          <w:szCs w:val="21"/>
        </w:rPr>
        <w:fldChar w:fldCharType="begin"/>
      </w:r>
      <w:r>
        <w:rPr>
          <w:rFonts w:ascii="宋体" w:hAnsi="宋体"/>
          <w:szCs w:val="21"/>
        </w:rPr>
        <w:instrText xml:space="preserve"> PAGEREF _Toc108513643 \h </w:instrText>
      </w:r>
      <w:r>
        <w:rPr>
          <w:rFonts w:ascii="宋体" w:hAnsi="宋体"/>
          <w:szCs w:val="21"/>
        </w:rPr>
        <w:fldChar w:fldCharType="separate"/>
      </w:r>
      <w:r>
        <w:rPr>
          <w:rFonts w:ascii="宋体" w:hAnsi="宋体"/>
          <w:szCs w:val="21"/>
        </w:rPr>
        <w:t>103</w:t>
      </w:r>
      <w:r>
        <w:rPr>
          <w:rFonts w:ascii="宋体" w:hAnsi="宋体"/>
          <w:szCs w:val="21"/>
        </w:rPr>
        <w:fldChar w:fldCharType="end"/>
      </w:r>
    </w:p>
    <w:p w14:paraId="0017DC8F">
      <w:pPr>
        <w:pStyle w:val="8"/>
        <w:tabs>
          <w:tab w:val="right" w:leader="dot" w:pos="8296"/>
        </w:tabs>
        <w:rPr>
          <w:rFonts w:ascii="宋体" w:hAnsi="宋体"/>
          <w:szCs w:val="21"/>
        </w:rPr>
      </w:pPr>
      <w:r>
        <w:rPr>
          <w:rFonts w:ascii="宋体" w:hAnsi="宋体"/>
          <w:szCs w:val="21"/>
        </w:rPr>
        <w:t>C3.</w:t>
      </w:r>
      <w:r>
        <w:rPr>
          <w:rFonts w:hint="eastAsia" w:ascii="宋体" w:hAnsi="宋体"/>
          <w:szCs w:val="21"/>
        </w:rPr>
        <w:t>清标报告</w:t>
      </w:r>
      <w:r>
        <w:rPr>
          <w:rFonts w:ascii="宋体" w:hAnsi="宋体"/>
          <w:szCs w:val="21"/>
        </w:rPr>
        <w:tab/>
      </w:r>
      <w:r>
        <w:rPr>
          <w:rFonts w:ascii="宋体" w:hAnsi="宋体"/>
          <w:szCs w:val="21"/>
        </w:rPr>
        <w:fldChar w:fldCharType="begin"/>
      </w:r>
      <w:r>
        <w:rPr>
          <w:rFonts w:ascii="宋体" w:hAnsi="宋体"/>
          <w:szCs w:val="21"/>
        </w:rPr>
        <w:instrText xml:space="preserve"> PAGEREF _Toc108513644 \h </w:instrText>
      </w:r>
      <w:r>
        <w:rPr>
          <w:rFonts w:ascii="宋体" w:hAnsi="宋体"/>
          <w:szCs w:val="21"/>
        </w:rPr>
        <w:fldChar w:fldCharType="separate"/>
      </w:r>
      <w:r>
        <w:rPr>
          <w:rFonts w:ascii="宋体" w:hAnsi="宋体"/>
          <w:szCs w:val="21"/>
        </w:rPr>
        <w:t>104</w:t>
      </w:r>
      <w:r>
        <w:rPr>
          <w:rFonts w:ascii="宋体" w:hAnsi="宋体"/>
          <w:szCs w:val="21"/>
        </w:rPr>
        <w:fldChar w:fldCharType="end"/>
      </w:r>
    </w:p>
    <w:p w14:paraId="05A43EB0">
      <w:pPr>
        <w:pStyle w:val="13"/>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D</w:t>
      </w:r>
      <w:r>
        <w:rPr>
          <w:rFonts w:hint="eastAsia" w:ascii="宋体" w:hAnsi="宋体" w:eastAsia="宋体"/>
          <w:sz w:val="21"/>
          <w:szCs w:val="21"/>
        </w:rPr>
        <w:t>：投标人成本评审办法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_Toc108513645 \h </w:instrText>
      </w:r>
      <w:r>
        <w:rPr>
          <w:rFonts w:ascii="宋体" w:hAnsi="宋体" w:eastAsia="宋体"/>
          <w:sz w:val="21"/>
          <w:szCs w:val="21"/>
        </w:rPr>
        <w:fldChar w:fldCharType="separate"/>
      </w:r>
      <w:r>
        <w:rPr>
          <w:rFonts w:ascii="宋体" w:hAnsi="宋体" w:eastAsia="宋体"/>
          <w:sz w:val="21"/>
          <w:szCs w:val="21"/>
        </w:rPr>
        <w:t>105</w:t>
      </w:r>
      <w:r>
        <w:rPr>
          <w:rFonts w:ascii="宋体" w:hAnsi="宋体" w:eastAsia="宋体"/>
          <w:sz w:val="21"/>
          <w:szCs w:val="21"/>
        </w:rPr>
        <w:fldChar w:fldCharType="end"/>
      </w:r>
    </w:p>
    <w:p w14:paraId="5E4B75FE">
      <w:pPr>
        <w:pStyle w:val="8"/>
        <w:tabs>
          <w:tab w:val="right" w:leader="dot" w:pos="8296"/>
        </w:tabs>
        <w:rPr>
          <w:rFonts w:ascii="宋体" w:hAnsi="宋体"/>
          <w:szCs w:val="21"/>
        </w:rPr>
      </w:pPr>
      <w:r>
        <w:rPr>
          <w:rFonts w:ascii="宋体" w:hAnsi="宋体"/>
          <w:szCs w:val="21"/>
        </w:rPr>
        <w:t>D0.</w:t>
      </w:r>
      <w:r>
        <w:rPr>
          <w:rFonts w:hint="eastAsia" w:ascii="宋体" w:hAnsi="宋体"/>
          <w:szCs w:val="21"/>
        </w:rPr>
        <w:t>总</w:t>
      </w:r>
      <w:r>
        <w:rPr>
          <w:rFonts w:ascii="宋体" w:hAnsi="宋体"/>
          <w:szCs w:val="21"/>
        </w:rPr>
        <w:t xml:space="preserve">  </w:t>
      </w:r>
      <w:r>
        <w:rPr>
          <w:rFonts w:hint="eastAsia" w:ascii="宋体" w:hAnsi="宋体"/>
          <w:szCs w:val="21"/>
        </w:rPr>
        <w:t>则</w:t>
      </w:r>
      <w:r>
        <w:rPr>
          <w:rFonts w:ascii="宋体" w:hAnsi="宋体"/>
          <w:szCs w:val="21"/>
        </w:rPr>
        <w:tab/>
      </w:r>
      <w:r>
        <w:rPr>
          <w:rFonts w:ascii="宋体" w:hAnsi="宋体"/>
          <w:szCs w:val="21"/>
        </w:rPr>
        <w:fldChar w:fldCharType="begin"/>
      </w:r>
      <w:r>
        <w:rPr>
          <w:rFonts w:ascii="宋体" w:hAnsi="宋体"/>
          <w:szCs w:val="21"/>
        </w:rPr>
        <w:instrText xml:space="preserve"> PAGEREF _Toc108513646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0306E25D">
      <w:pPr>
        <w:pStyle w:val="8"/>
        <w:tabs>
          <w:tab w:val="right" w:leader="dot" w:pos="8296"/>
        </w:tabs>
        <w:rPr>
          <w:rFonts w:ascii="宋体" w:hAnsi="宋体"/>
          <w:szCs w:val="21"/>
        </w:rPr>
      </w:pPr>
      <w:r>
        <w:rPr>
          <w:rFonts w:ascii="宋体" w:hAnsi="宋体"/>
          <w:szCs w:val="21"/>
        </w:rPr>
        <w:t>D1.</w:t>
      </w:r>
      <w:r>
        <w:rPr>
          <w:rFonts w:hint="eastAsia" w:ascii="宋体" w:hAnsi="宋体"/>
          <w:szCs w:val="21"/>
        </w:rPr>
        <w:t>启动成本评审工作的前提条件</w:t>
      </w:r>
      <w:r>
        <w:rPr>
          <w:rFonts w:ascii="宋体" w:hAnsi="宋体"/>
          <w:szCs w:val="21"/>
        </w:rPr>
        <w:tab/>
      </w:r>
      <w:r>
        <w:rPr>
          <w:rFonts w:ascii="宋体" w:hAnsi="宋体"/>
          <w:szCs w:val="21"/>
        </w:rPr>
        <w:fldChar w:fldCharType="begin"/>
      </w:r>
      <w:r>
        <w:rPr>
          <w:rFonts w:ascii="宋体" w:hAnsi="宋体"/>
          <w:szCs w:val="21"/>
        </w:rPr>
        <w:instrText xml:space="preserve"> PAGEREF _Toc108513647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42AF4B69">
      <w:pPr>
        <w:pStyle w:val="8"/>
        <w:tabs>
          <w:tab w:val="right" w:leader="dot" w:pos="8296"/>
        </w:tabs>
        <w:rPr>
          <w:rFonts w:ascii="宋体" w:hAnsi="宋体"/>
          <w:szCs w:val="21"/>
        </w:rPr>
      </w:pPr>
      <w:r>
        <w:rPr>
          <w:rFonts w:ascii="宋体" w:hAnsi="宋体"/>
          <w:szCs w:val="21"/>
        </w:rPr>
        <w:t>D2.</w:t>
      </w:r>
      <w:r>
        <w:rPr>
          <w:rFonts w:hint="eastAsia" w:ascii="宋体" w:hAnsi="宋体"/>
          <w:szCs w:val="21"/>
        </w:rPr>
        <w:t>评审的依据</w:t>
      </w:r>
      <w:r>
        <w:rPr>
          <w:rFonts w:ascii="宋体" w:hAnsi="宋体"/>
          <w:szCs w:val="21"/>
        </w:rPr>
        <w:tab/>
      </w:r>
      <w:r>
        <w:rPr>
          <w:rFonts w:ascii="宋体" w:hAnsi="宋体"/>
          <w:szCs w:val="21"/>
        </w:rPr>
        <w:fldChar w:fldCharType="begin"/>
      </w:r>
      <w:r>
        <w:rPr>
          <w:rFonts w:ascii="宋体" w:hAnsi="宋体"/>
          <w:szCs w:val="21"/>
        </w:rPr>
        <w:instrText xml:space="preserve"> PAGEREF _Toc108513648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45D88679">
      <w:pPr>
        <w:pStyle w:val="8"/>
        <w:tabs>
          <w:tab w:val="right" w:leader="dot" w:pos="8296"/>
        </w:tabs>
        <w:rPr>
          <w:rFonts w:ascii="宋体" w:hAnsi="宋体"/>
          <w:szCs w:val="21"/>
        </w:rPr>
      </w:pPr>
      <w:r>
        <w:rPr>
          <w:rFonts w:ascii="宋体" w:hAnsi="宋体"/>
          <w:szCs w:val="21"/>
        </w:rPr>
        <w:t>D3.</w:t>
      </w:r>
      <w:r>
        <w:rPr>
          <w:rFonts w:hint="eastAsia" w:ascii="宋体" w:hAnsi="宋体"/>
          <w:szCs w:val="21"/>
        </w:rPr>
        <w:t>对投标价格的合理性进行评审</w:t>
      </w:r>
      <w:r>
        <w:rPr>
          <w:rFonts w:ascii="宋体" w:hAnsi="宋体"/>
          <w:szCs w:val="21"/>
        </w:rPr>
        <w:tab/>
      </w:r>
      <w:r>
        <w:rPr>
          <w:rFonts w:ascii="宋体" w:hAnsi="宋体"/>
          <w:szCs w:val="21"/>
        </w:rPr>
        <w:fldChar w:fldCharType="begin"/>
      </w:r>
      <w:r>
        <w:rPr>
          <w:rFonts w:ascii="宋体" w:hAnsi="宋体"/>
          <w:szCs w:val="21"/>
        </w:rPr>
        <w:instrText xml:space="preserve"> PAGEREF _Toc108513649 \h </w:instrText>
      </w:r>
      <w:r>
        <w:rPr>
          <w:rFonts w:ascii="宋体" w:hAnsi="宋体"/>
          <w:szCs w:val="21"/>
        </w:rPr>
        <w:fldChar w:fldCharType="separate"/>
      </w:r>
      <w:r>
        <w:rPr>
          <w:rFonts w:ascii="宋体" w:hAnsi="宋体"/>
          <w:szCs w:val="21"/>
        </w:rPr>
        <w:t>105</w:t>
      </w:r>
      <w:r>
        <w:rPr>
          <w:rFonts w:ascii="宋体" w:hAnsi="宋体"/>
          <w:szCs w:val="21"/>
        </w:rPr>
        <w:fldChar w:fldCharType="end"/>
      </w:r>
    </w:p>
    <w:p w14:paraId="360161E1">
      <w:pPr>
        <w:pStyle w:val="8"/>
        <w:tabs>
          <w:tab w:val="right" w:leader="dot" w:pos="8296"/>
        </w:tabs>
        <w:rPr>
          <w:rFonts w:ascii="宋体" w:hAnsi="宋体"/>
          <w:szCs w:val="21"/>
        </w:rPr>
      </w:pPr>
      <w:r>
        <w:rPr>
          <w:rFonts w:ascii="宋体" w:hAnsi="宋体"/>
          <w:szCs w:val="21"/>
        </w:rPr>
        <w:t>D4.</w:t>
      </w:r>
      <w:r>
        <w:rPr>
          <w:rFonts w:hint="eastAsia" w:ascii="宋体" w:hAnsi="宋体"/>
          <w:szCs w:val="21"/>
        </w:rPr>
        <w:t>澄清、说明或补正</w:t>
      </w:r>
      <w:r>
        <w:rPr>
          <w:rFonts w:ascii="宋体" w:hAnsi="宋体"/>
          <w:szCs w:val="21"/>
        </w:rPr>
        <w:tab/>
      </w:r>
      <w:r>
        <w:rPr>
          <w:rFonts w:ascii="宋体" w:hAnsi="宋体"/>
          <w:szCs w:val="21"/>
        </w:rPr>
        <w:fldChar w:fldCharType="begin"/>
      </w:r>
      <w:r>
        <w:rPr>
          <w:rFonts w:ascii="宋体" w:hAnsi="宋体"/>
          <w:szCs w:val="21"/>
        </w:rPr>
        <w:instrText xml:space="preserve"> PAGEREF _Toc108513650 \h </w:instrText>
      </w:r>
      <w:r>
        <w:rPr>
          <w:rFonts w:ascii="宋体" w:hAnsi="宋体"/>
          <w:szCs w:val="21"/>
        </w:rPr>
        <w:fldChar w:fldCharType="separate"/>
      </w:r>
      <w:r>
        <w:rPr>
          <w:rFonts w:ascii="宋体" w:hAnsi="宋体"/>
          <w:szCs w:val="21"/>
        </w:rPr>
        <w:t>106</w:t>
      </w:r>
      <w:r>
        <w:rPr>
          <w:rFonts w:ascii="宋体" w:hAnsi="宋体"/>
          <w:szCs w:val="21"/>
        </w:rPr>
        <w:fldChar w:fldCharType="end"/>
      </w:r>
    </w:p>
    <w:p w14:paraId="0A1C74B8">
      <w:pPr>
        <w:pStyle w:val="8"/>
        <w:tabs>
          <w:tab w:val="right" w:leader="dot" w:pos="8296"/>
        </w:tabs>
        <w:rPr>
          <w:rFonts w:ascii="宋体" w:hAnsi="宋体"/>
          <w:szCs w:val="21"/>
        </w:rPr>
      </w:pPr>
      <w:r>
        <w:rPr>
          <w:rFonts w:ascii="宋体" w:hAnsi="宋体"/>
          <w:szCs w:val="21"/>
        </w:rPr>
        <w:t>D5.</w:t>
      </w:r>
      <w:r>
        <w:rPr>
          <w:rFonts w:hint="eastAsia" w:ascii="宋体" w:hAnsi="宋体"/>
          <w:szCs w:val="21"/>
        </w:rPr>
        <w:t>判断投标报价是否低于其成本</w:t>
      </w:r>
      <w:r>
        <w:rPr>
          <w:rFonts w:ascii="宋体" w:hAnsi="宋体"/>
          <w:szCs w:val="21"/>
        </w:rPr>
        <w:tab/>
      </w:r>
      <w:r>
        <w:rPr>
          <w:rFonts w:ascii="宋体" w:hAnsi="宋体"/>
          <w:szCs w:val="21"/>
        </w:rPr>
        <w:fldChar w:fldCharType="begin"/>
      </w:r>
      <w:r>
        <w:rPr>
          <w:rFonts w:ascii="宋体" w:hAnsi="宋体"/>
          <w:szCs w:val="21"/>
        </w:rPr>
        <w:instrText xml:space="preserve"> PAGEREF _Toc108513651 \h </w:instrText>
      </w:r>
      <w:r>
        <w:rPr>
          <w:rFonts w:ascii="宋体" w:hAnsi="宋体"/>
          <w:szCs w:val="21"/>
        </w:rPr>
        <w:fldChar w:fldCharType="separate"/>
      </w:r>
      <w:r>
        <w:rPr>
          <w:rFonts w:ascii="宋体" w:hAnsi="宋体"/>
          <w:szCs w:val="21"/>
        </w:rPr>
        <w:t>106</w:t>
      </w:r>
      <w:r>
        <w:rPr>
          <w:rFonts w:ascii="宋体" w:hAnsi="宋体"/>
          <w:szCs w:val="21"/>
        </w:rPr>
        <w:fldChar w:fldCharType="end"/>
      </w:r>
    </w:p>
    <w:p w14:paraId="0B48E1EA">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w:t>
      </w:r>
      <w:r>
        <w:rPr>
          <w:rFonts w:hint="eastAsia" w:ascii="宋体" w:hAnsi="宋体"/>
          <w:szCs w:val="21"/>
        </w:rPr>
        <w:t>：评标委员会签到表</w:t>
      </w:r>
      <w:r>
        <w:rPr>
          <w:rFonts w:ascii="宋体" w:hAnsi="宋体"/>
          <w:szCs w:val="21"/>
        </w:rPr>
        <w:tab/>
      </w:r>
      <w:r>
        <w:rPr>
          <w:rFonts w:ascii="宋体" w:hAnsi="宋体"/>
          <w:szCs w:val="21"/>
        </w:rPr>
        <w:fldChar w:fldCharType="begin"/>
      </w:r>
      <w:r>
        <w:rPr>
          <w:rFonts w:ascii="宋体" w:hAnsi="宋体"/>
          <w:szCs w:val="21"/>
        </w:rPr>
        <w:instrText xml:space="preserve"> PAGEREF _Toc108513652 \h </w:instrText>
      </w:r>
      <w:r>
        <w:rPr>
          <w:rFonts w:ascii="宋体" w:hAnsi="宋体"/>
          <w:szCs w:val="21"/>
        </w:rPr>
        <w:fldChar w:fldCharType="separate"/>
      </w:r>
      <w:r>
        <w:rPr>
          <w:rFonts w:ascii="宋体" w:hAnsi="宋体"/>
          <w:szCs w:val="21"/>
        </w:rPr>
        <w:t>108</w:t>
      </w:r>
      <w:r>
        <w:rPr>
          <w:rFonts w:ascii="宋体" w:hAnsi="宋体"/>
          <w:szCs w:val="21"/>
        </w:rPr>
        <w:fldChar w:fldCharType="end"/>
      </w:r>
    </w:p>
    <w:p w14:paraId="38397822">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A-2</w:t>
      </w:r>
      <w:r>
        <w:rPr>
          <w:rFonts w:hint="eastAsia" w:ascii="宋体" w:hAnsi="宋体"/>
          <w:szCs w:val="21"/>
        </w:rPr>
        <w:t>：评标专家声明书</w:t>
      </w:r>
      <w:r>
        <w:rPr>
          <w:rFonts w:ascii="宋体" w:hAnsi="宋体"/>
          <w:szCs w:val="21"/>
        </w:rPr>
        <w:tab/>
      </w:r>
      <w:r>
        <w:rPr>
          <w:rFonts w:ascii="宋体" w:hAnsi="宋体"/>
          <w:szCs w:val="21"/>
        </w:rPr>
        <w:fldChar w:fldCharType="begin"/>
      </w:r>
      <w:r>
        <w:rPr>
          <w:rFonts w:ascii="宋体" w:hAnsi="宋体"/>
          <w:szCs w:val="21"/>
        </w:rPr>
        <w:instrText xml:space="preserve"> PAGEREF _Toc108513653 \h </w:instrText>
      </w:r>
      <w:r>
        <w:rPr>
          <w:rFonts w:ascii="宋体" w:hAnsi="宋体"/>
          <w:szCs w:val="21"/>
        </w:rPr>
        <w:fldChar w:fldCharType="separate"/>
      </w:r>
      <w:r>
        <w:rPr>
          <w:rFonts w:ascii="宋体" w:hAnsi="宋体"/>
          <w:szCs w:val="21"/>
        </w:rPr>
        <w:t>109</w:t>
      </w:r>
      <w:r>
        <w:rPr>
          <w:rFonts w:ascii="宋体" w:hAnsi="宋体"/>
          <w:szCs w:val="21"/>
        </w:rPr>
        <w:fldChar w:fldCharType="end"/>
      </w:r>
    </w:p>
    <w:p w14:paraId="4B537A44">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A-3</w:t>
      </w:r>
      <w:r>
        <w:rPr>
          <w:rFonts w:hint="eastAsia" w:ascii="宋体" w:hAnsi="宋体"/>
          <w:szCs w:val="21"/>
        </w:rPr>
        <w:t>：技术暗标编号确认表（适用于非计算机辅助评标）</w:t>
      </w:r>
      <w:r>
        <w:rPr>
          <w:rFonts w:ascii="宋体" w:hAnsi="宋体"/>
          <w:szCs w:val="21"/>
        </w:rPr>
        <w:tab/>
      </w:r>
      <w:r>
        <w:rPr>
          <w:rFonts w:ascii="宋体" w:hAnsi="宋体"/>
          <w:szCs w:val="21"/>
        </w:rPr>
        <w:fldChar w:fldCharType="begin"/>
      </w:r>
      <w:r>
        <w:rPr>
          <w:rFonts w:ascii="宋体" w:hAnsi="宋体"/>
          <w:szCs w:val="21"/>
        </w:rPr>
        <w:instrText xml:space="preserve"> PAGEREF _Toc108513654 \h </w:instrText>
      </w:r>
      <w:r>
        <w:rPr>
          <w:rFonts w:ascii="宋体" w:hAnsi="宋体"/>
          <w:szCs w:val="21"/>
        </w:rPr>
        <w:fldChar w:fldCharType="separate"/>
      </w:r>
      <w:r>
        <w:rPr>
          <w:rFonts w:ascii="宋体" w:hAnsi="宋体"/>
          <w:szCs w:val="21"/>
        </w:rPr>
        <w:t>110</w:t>
      </w:r>
      <w:r>
        <w:rPr>
          <w:rFonts w:ascii="宋体" w:hAnsi="宋体"/>
          <w:szCs w:val="21"/>
        </w:rPr>
        <w:fldChar w:fldCharType="end"/>
      </w:r>
    </w:p>
    <w:p w14:paraId="192B45D7">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A-3</w:t>
      </w:r>
      <w:r>
        <w:rPr>
          <w:rFonts w:hint="eastAsia" w:ascii="宋体" w:hAnsi="宋体"/>
          <w:szCs w:val="21"/>
        </w:rPr>
        <w:t>：技术暗标编号确认表（适用于计算机辅助评标）</w:t>
      </w:r>
      <w:r>
        <w:rPr>
          <w:rFonts w:ascii="宋体" w:hAnsi="宋体"/>
          <w:szCs w:val="21"/>
        </w:rPr>
        <w:tab/>
      </w:r>
      <w:r>
        <w:rPr>
          <w:rFonts w:ascii="宋体" w:hAnsi="宋体"/>
          <w:szCs w:val="21"/>
        </w:rPr>
        <w:fldChar w:fldCharType="begin"/>
      </w:r>
      <w:r>
        <w:rPr>
          <w:rFonts w:ascii="宋体" w:hAnsi="宋体"/>
          <w:szCs w:val="21"/>
        </w:rPr>
        <w:instrText xml:space="preserve"> PAGEREF _Toc108513655 \h </w:instrText>
      </w:r>
      <w:r>
        <w:rPr>
          <w:rFonts w:ascii="宋体" w:hAnsi="宋体"/>
          <w:szCs w:val="21"/>
        </w:rPr>
        <w:fldChar w:fldCharType="separate"/>
      </w:r>
      <w:r>
        <w:rPr>
          <w:rFonts w:ascii="宋体" w:hAnsi="宋体"/>
          <w:szCs w:val="21"/>
        </w:rPr>
        <w:t>111</w:t>
      </w:r>
      <w:r>
        <w:rPr>
          <w:rFonts w:ascii="宋体" w:hAnsi="宋体"/>
          <w:szCs w:val="21"/>
        </w:rPr>
        <w:fldChar w:fldCharType="end"/>
      </w:r>
    </w:p>
    <w:p w14:paraId="36049D98">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A-4</w:t>
      </w:r>
      <w:r>
        <w:rPr>
          <w:rFonts w:hint="eastAsia" w:ascii="宋体" w:hAnsi="宋体"/>
          <w:szCs w:val="21"/>
        </w:rPr>
        <w:t>：形式评审记录表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_Toc108513656 \h </w:instrText>
      </w:r>
      <w:r>
        <w:rPr>
          <w:rFonts w:ascii="宋体" w:hAnsi="宋体"/>
          <w:szCs w:val="21"/>
        </w:rPr>
        <w:fldChar w:fldCharType="separate"/>
      </w:r>
      <w:r>
        <w:rPr>
          <w:rFonts w:ascii="宋体" w:hAnsi="宋体"/>
          <w:szCs w:val="21"/>
        </w:rPr>
        <w:t>112</w:t>
      </w:r>
      <w:r>
        <w:rPr>
          <w:rFonts w:ascii="宋体" w:hAnsi="宋体"/>
          <w:szCs w:val="21"/>
        </w:rPr>
        <w:fldChar w:fldCharType="end"/>
      </w:r>
    </w:p>
    <w:p w14:paraId="09FF412E">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A-5</w:t>
      </w:r>
      <w:r>
        <w:rPr>
          <w:rFonts w:hint="eastAsia" w:ascii="宋体" w:hAnsi="宋体"/>
          <w:szCs w:val="21"/>
        </w:rPr>
        <w:t>：资格评审记录表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_Toc108513657 \h </w:instrText>
      </w:r>
      <w:r>
        <w:rPr>
          <w:rFonts w:ascii="宋体" w:hAnsi="宋体"/>
          <w:szCs w:val="21"/>
        </w:rPr>
        <w:fldChar w:fldCharType="separate"/>
      </w:r>
      <w:r>
        <w:rPr>
          <w:rFonts w:ascii="宋体" w:hAnsi="宋体"/>
          <w:szCs w:val="21"/>
        </w:rPr>
        <w:t>114</w:t>
      </w:r>
      <w:r>
        <w:rPr>
          <w:rFonts w:ascii="宋体" w:hAnsi="宋体"/>
          <w:szCs w:val="21"/>
        </w:rPr>
        <w:fldChar w:fldCharType="end"/>
      </w:r>
    </w:p>
    <w:p w14:paraId="24664587">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A-6</w:t>
      </w:r>
      <w:r>
        <w:rPr>
          <w:rFonts w:hint="eastAsia" w:ascii="宋体" w:hAnsi="宋体"/>
          <w:szCs w:val="21"/>
        </w:rPr>
        <w:t>：响应性评审记录表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_Toc108513658 \h </w:instrText>
      </w:r>
      <w:r>
        <w:rPr>
          <w:rFonts w:ascii="宋体" w:hAnsi="宋体"/>
          <w:szCs w:val="21"/>
        </w:rPr>
        <w:fldChar w:fldCharType="separate"/>
      </w:r>
      <w:r>
        <w:rPr>
          <w:rFonts w:ascii="宋体" w:hAnsi="宋体"/>
          <w:szCs w:val="21"/>
        </w:rPr>
        <w:t>117</w:t>
      </w:r>
      <w:r>
        <w:rPr>
          <w:rFonts w:ascii="宋体" w:hAnsi="宋体"/>
          <w:szCs w:val="21"/>
        </w:rPr>
        <w:fldChar w:fldCharType="end"/>
      </w:r>
    </w:p>
    <w:p w14:paraId="765E8BA7">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A-7</w:t>
      </w:r>
      <w:r>
        <w:rPr>
          <w:rFonts w:hint="eastAsia" w:ascii="宋体" w:hAnsi="宋体"/>
          <w:szCs w:val="21"/>
        </w:rPr>
        <w:t>：施工组织设计评审记录表（合格性）</w:t>
      </w:r>
      <w:r>
        <w:rPr>
          <w:rFonts w:ascii="宋体" w:hAnsi="宋体"/>
          <w:szCs w:val="21"/>
        </w:rPr>
        <w:tab/>
      </w:r>
      <w:r>
        <w:rPr>
          <w:rFonts w:ascii="宋体" w:hAnsi="宋体"/>
          <w:szCs w:val="21"/>
        </w:rPr>
        <w:fldChar w:fldCharType="begin"/>
      </w:r>
      <w:r>
        <w:rPr>
          <w:rFonts w:ascii="宋体" w:hAnsi="宋体"/>
          <w:szCs w:val="21"/>
        </w:rPr>
        <w:instrText xml:space="preserve"> PAGEREF _Toc108513659 \h </w:instrText>
      </w:r>
      <w:r>
        <w:rPr>
          <w:rFonts w:ascii="宋体" w:hAnsi="宋体"/>
          <w:szCs w:val="21"/>
        </w:rPr>
        <w:fldChar w:fldCharType="separate"/>
      </w:r>
      <w:r>
        <w:rPr>
          <w:rFonts w:ascii="宋体" w:hAnsi="宋体"/>
          <w:szCs w:val="21"/>
        </w:rPr>
        <w:t>120</w:t>
      </w:r>
      <w:r>
        <w:rPr>
          <w:rFonts w:ascii="宋体" w:hAnsi="宋体"/>
          <w:szCs w:val="21"/>
        </w:rPr>
        <w:fldChar w:fldCharType="end"/>
      </w:r>
    </w:p>
    <w:p w14:paraId="0B8F725D">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A-8</w:t>
      </w:r>
      <w:r>
        <w:rPr>
          <w:rFonts w:hint="eastAsia" w:ascii="宋体" w:hAnsi="宋体"/>
          <w:szCs w:val="21"/>
        </w:rPr>
        <w:t>：投标报价评分记录表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_Toc108513660 \h </w:instrText>
      </w:r>
      <w:r>
        <w:rPr>
          <w:rFonts w:ascii="宋体" w:hAnsi="宋体"/>
          <w:szCs w:val="21"/>
        </w:rPr>
        <w:fldChar w:fldCharType="separate"/>
      </w:r>
      <w:r>
        <w:rPr>
          <w:rFonts w:ascii="宋体" w:hAnsi="宋体"/>
          <w:szCs w:val="21"/>
        </w:rPr>
        <w:t>122</w:t>
      </w:r>
      <w:r>
        <w:rPr>
          <w:rFonts w:ascii="宋体" w:hAnsi="宋体"/>
          <w:szCs w:val="21"/>
        </w:rPr>
        <w:fldChar w:fldCharType="end"/>
      </w:r>
    </w:p>
    <w:p w14:paraId="654AE473">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A-9</w:t>
      </w:r>
      <w:r>
        <w:rPr>
          <w:rFonts w:hint="eastAsia" w:ascii="宋体" w:hAnsi="宋体"/>
          <w:szCs w:val="21"/>
        </w:rPr>
        <w:t>：施工组织设计评审记录表（评分）</w:t>
      </w:r>
      <w:r>
        <w:rPr>
          <w:rFonts w:ascii="宋体" w:hAnsi="宋体"/>
          <w:szCs w:val="21"/>
        </w:rPr>
        <w:tab/>
      </w:r>
      <w:r>
        <w:rPr>
          <w:rFonts w:ascii="宋体" w:hAnsi="宋体"/>
          <w:szCs w:val="21"/>
        </w:rPr>
        <w:fldChar w:fldCharType="begin"/>
      </w:r>
      <w:r>
        <w:rPr>
          <w:rFonts w:ascii="宋体" w:hAnsi="宋体"/>
          <w:szCs w:val="21"/>
        </w:rPr>
        <w:instrText xml:space="preserve"> PAGEREF _Toc108513661 \h </w:instrText>
      </w:r>
      <w:r>
        <w:rPr>
          <w:rFonts w:ascii="宋体" w:hAnsi="宋体"/>
          <w:szCs w:val="21"/>
        </w:rPr>
        <w:fldChar w:fldCharType="separate"/>
      </w:r>
      <w:r>
        <w:rPr>
          <w:rFonts w:ascii="宋体" w:hAnsi="宋体"/>
          <w:szCs w:val="21"/>
        </w:rPr>
        <w:t>123</w:t>
      </w:r>
      <w:r>
        <w:rPr>
          <w:rFonts w:ascii="宋体" w:hAnsi="宋体"/>
          <w:szCs w:val="21"/>
        </w:rPr>
        <w:fldChar w:fldCharType="end"/>
      </w:r>
    </w:p>
    <w:p w14:paraId="4F5E09E7">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A-10</w:t>
      </w:r>
      <w:r>
        <w:rPr>
          <w:rFonts w:hint="eastAsia" w:ascii="宋体" w:hAnsi="宋体"/>
          <w:szCs w:val="21"/>
        </w:rPr>
        <w:t>：项目管理机构评审记录表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_Toc108513662 \h </w:instrText>
      </w:r>
      <w:r>
        <w:rPr>
          <w:rFonts w:ascii="宋体" w:hAnsi="宋体"/>
          <w:szCs w:val="21"/>
        </w:rPr>
        <w:fldChar w:fldCharType="separate"/>
      </w:r>
      <w:r>
        <w:rPr>
          <w:rFonts w:ascii="宋体" w:hAnsi="宋体"/>
          <w:szCs w:val="21"/>
        </w:rPr>
        <w:t>125</w:t>
      </w:r>
      <w:r>
        <w:rPr>
          <w:rFonts w:ascii="宋体" w:hAnsi="宋体"/>
          <w:szCs w:val="21"/>
        </w:rPr>
        <w:fldChar w:fldCharType="end"/>
      </w:r>
    </w:p>
    <w:p w14:paraId="76744A88">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A-11</w:t>
      </w:r>
      <w:r>
        <w:rPr>
          <w:rFonts w:hint="eastAsia" w:ascii="宋体" w:hAnsi="宋体"/>
          <w:szCs w:val="21"/>
        </w:rPr>
        <w:t>：其他因素评审记录表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_Toc108513663 \h </w:instrText>
      </w:r>
      <w:r>
        <w:rPr>
          <w:rFonts w:ascii="宋体" w:hAnsi="宋体"/>
          <w:szCs w:val="21"/>
        </w:rPr>
        <w:fldChar w:fldCharType="separate"/>
      </w:r>
      <w:r>
        <w:rPr>
          <w:rFonts w:ascii="宋体" w:hAnsi="宋体"/>
          <w:szCs w:val="21"/>
        </w:rPr>
        <w:t>126</w:t>
      </w:r>
      <w:r>
        <w:rPr>
          <w:rFonts w:ascii="宋体" w:hAnsi="宋体"/>
          <w:szCs w:val="21"/>
        </w:rPr>
        <w:fldChar w:fldCharType="end"/>
      </w:r>
    </w:p>
    <w:p w14:paraId="23E16B05">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A-12</w:t>
      </w:r>
      <w:r>
        <w:rPr>
          <w:rFonts w:hint="eastAsia" w:ascii="宋体" w:hAnsi="宋体"/>
          <w:szCs w:val="21"/>
        </w:rPr>
        <w:t>：详细评审评分汇总表</w:t>
      </w:r>
      <w:r>
        <w:rPr>
          <w:rFonts w:ascii="宋体" w:hAnsi="宋体"/>
          <w:szCs w:val="21"/>
        </w:rPr>
        <w:tab/>
      </w:r>
      <w:r>
        <w:rPr>
          <w:rFonts w:ascii="宋体" w:hAnsi="宋体"/>
          <w:szCs w:val="21"/>
        </w:rPr>
        <w:fldChar w:fldCharType="begin"/>
      </w:r>
      <w:r>
        <w:rPr>
          <w:rFonts w:ascii="宋体" w:hAnsi="宋体"/>
          <w:szCs w:val="21"/>
        </w:rPr>
        <w:instrText xml:space="preserve"> PAGEREF _Toc108513664 \h </w:instrText>
      </w:r>
      <w:r>
        <w:rPr>
          <w:rFonts w:ascii="宋体" w:hAnsi="宋体"/>
          <w:szCs w:val="21"/>
        </w:rPr>
        <w:fldChar w:fldCharType="separate"/>
      </w:r>
      <w:r>
        <w:rPr>
          <w:rFonts w:ascii="宋体" w:hAnsi="宋体"/>
          <w:szCs w:val="21"/>
        </w:rPr>
        <w:t>127</w:t>
      </w:r>
      <w:r>
        <w:rPr>
          <w:rFonts w:ascii="宋体" w:hAnsi="宋体"/>
          <w:szCs w:val="21"/>
        </w:rPr>
        <w:fldChar w:fldCharType="end"/>
      </w:r>
    </w:p>
    <w:p w14:paraId="15AFC456">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A-13</w:t>
      </w:r>
      <w:r>
        <w:rPr>
          <w:rFonts w:hint="eastAsia" w:ascii="宋体" w:hAnsi="宋体"/>
          <w:szCs w:val="21"/>
        </w:rPr>
        <w:t>：评标结果汇总表</w:t>
      </w:r>
      <w:r>
        <w:rPr>
          <w:rFonts w:ascii="宋体" w:hAnsi="宋体"/>
          <w:szCs w:val="21"/>
        </w:rPr>
        <w:tab/>
      </w:r>
      <w:r>
        <w:rPr>
          <w:rFonts w:ascii="宋体" w:hAnsi="宋体"/>
          <w:szCs w:val="21"/>
        </w:rPr>
        <w:fldChar w:fldCharType="begin"/>
      </w:r>
      <w:r>
        <w:rPr>
          <w:rFonts w:ascii="宋体" w:hAnsi="宋体"/>
          <w:szCs w:val="21"/>
        </w:rPr>
        <w:instrText xml:space="preserve"> PAGEREF _Toc108513665 \h </w:instrText>
      </w:r>
      <w:r>
        <w:rPr>
          <w:rFonts w:ascii="宋体" w:hAnsi="宋体"/>
          <w:szCs w:val="21"/>
        </w:rPr>
        <w:fldChar w:fldCharType="separate"/>
      </w:r>
      <w:r>
        <w:rPr>
          <w:rFonts w:ascii="宋体" w:hAnsi="宋体"/>
          <w:szCs w:val="21"/>
        </w:rPr>
        <w:t>128</w:t>
      </w:r>
      <w:r>
        <w:rPr>
          <w:rFonts w:ascii="宋体" w:hAnsi="宋体"/>
          <w:szCs w:val="21"/>
        </w:rPr>
        <w:fldChar w:fldCharType="end"/>
      </w:r>
    </w:p>
    <w:p w14:paraId="78970243">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A-13</w:t>
      </w:r>
      <w:r>
        <w:rPr>
          <w:rFonts w:hint="eastAsia" w:ascii="宋体" w:hAnsi="宋体"/>
          <w:szCs w:val="21"/>
        </w:rPr>
        <w:t>：评标结果汇总表</w:t>
      </w:r>
      <w:r>
        <w:rPr>
          <w:rFonts w:ascii="宋体" w:hAnsi="宋体"/>
          <w:szCs w:val="21"/>
        </w:rPr>
        <w:tab/>
      </w:r>
      <w:r>
        <w:rPr>
          <w:rFonts w:ascii="宋体" w:hAnsi="宋体"/>
          <w:szCs w:val="21"/>
        </w:rPr>
        <w:fldChar w:fldCharType="begin"/>
      </w:r>
      <w:r>
        <w:rPr>
          <w:rFonts w:ascii="宋体" w:hAnsi="宋体"/>
          <w:szCs w:val="21"/>
        </w:rPr>
        <w:instrText xml:space="preserve"> PAGEREF _Toc108513666 \h </w:instrText>
      </w:r>
      <w:r>
        <w:rPr>
          <w:rFonts w:ascii="宋体" w:hAnsi="宋体"/>
          <w:szCs w:val="21"/>
        </w:rPr>
        <w:fldChar w:fldCharType="separate"/>
      </w:r>
      <w:r>
        <w:rPr>
          <w:rFonts w:ascii="宋体" w:hAnsi="宋体"/>
          <w:szCs w:val="21"/>
        </w:rPr>
        <w:t>129</w:t>
      </w:r>
      <w:r>
        <w:rPr>
          <w:rFonts w:ascii="宋体" w:hAnsi="宋体"/>
          <w:szCs w:val="21"/>
        </w:rPr>
        <w:fldChar w:fldCharType="end"/>
      </w:r>
    </w:p>
    <w:p w14:paraId="4C378CC3">
      <w:pPr>
        <w:pStyle w:val="8"/>
        <w:tabs>
          <w:tab w:val="right" w:leader="dot" w:pos="8296"/>
        </w:tabs>
        <w:rPr>
          <w:rFonts w:ascii="宋体" w:hAnsi="宋体"/>
          <w:szCs w:val="21"/>
        </w:rPr>
      </w:pPr>
      <w:r>
        <w:rPr>
          <w:rFonts w:hint="eastAsia" w:ascii="宋体" w:hAnsi="宋体"/>
          <w:szCs w:val="21"/>
        </w:rPr>
        <w:t>附表</w:t>
      </w:r>
      <w:r>
        <w:rPr>
          <w:rFonts w:ascii="宋体" w:hAnsi="宋体"/>
          <w:szCs w:val="21"/>
        </w:rPr>
        <w:t>A-14</w:t>
      </w:r>
      <w:r>
        <w:rPr>
          <w:rFonts w:hint="eastAsia" w:ascii="宋体" w:hAnsi="宋体"/>
          <w:szCs w:val="21"/>
        </w:rPr>
        <w:t>：否决投标的情况说明表</w:t>
      </w:r>
      <w:r>
        <w:rPr>
          <w:rFonts w:ascii="宋体" w:hAnsi="宋体"/>
          <w:szCs w:val="21"/>
        </w:rPr>
        <w:tab/>
      </w:r>
      <w:r>
        <w:rPr>
          <w:rFonts w:ascii="宋体" w:hAnsi="宋体"/>
          <w:szCs w:val="21"/>
        </w:rPr>
        <w:fldChar w:fldCharType="begin"/>
      </w:r>
      <w:r>
        <w:rPr>
          <w:rFonts w:ascii="宋体" w:hAnsi="宋体"/>
          <w:szCs w:val="21"/>
        </w:rPr>
        <w:instrText xml:space="preserve"> PAGEREF _Toc108513667 \h </w:instrText>
      </w:r>
      <w:r>
        <w:rPr>
          <w:rFonts w:ascii="宋体" w:hAnsi="宋体"/>
          <w:szCs w:val="21"/>
        </w:rPr>
        <w:fldChar w:fldCharType="separate"/>
      </w:r>
      <w:r>
        <w:rPr>
          <w:rFonts w:ascii="宋体" w:hAnsi="宋体"/>
          <w:szCs w:val="21"/>
        </w:rPr>
        <w:t>130</w:t>
      </w:r>
      <w:r>
        <w:rPr>
          <w:rFonts w:ascii="宋体" w:hAnsi="宋体"/>
          <w:szCs w:val="21"/>
        </w:rPr>
        <w:fldChar w:fldCharType="end"/>
      </w:r>
    </w:p>
    <w:p w14:paraId="11CDABC2">
      <w:pPr>
        <w:pStyle w:val="8"/>
        <w:tabs>
          <w:tab w:val="right" w:leader="dot" w:pos="8296"/>
        </w:tabs>
        <w:rPr>
          <w:rFonts w:ascii="宋体" w:hAnsi="宋体"/>
          <w:szCs w:val="21"/>
        </w:rPr>
      </w:pPr>
      <w:r>
        <w:rPr>
          <w:rFonts w:hint="eastAsia" w:ascii="宋体" w:hAnsi="宋体"/>
          <w:szCs w:val="21"/>
        </w:rPr>
        <w:t>附表</w:t>
      </w:r>
      <w:r>
        <w:rPr>
          <w:rFonts w:ascii="宋体" w:hAnsi="宋体"/>
          <w:szCs w:val="21"/>
        </w:rPr>
        <w:t>D-1</w:t>
      </w:r>
      <w:r>
        <w:rPr>
          <w:rFonts w:hint="eastAsia" w:ascii="宋体" w:hAnsi="宋体"/>
          <w:szCs w:val="21"/>
        </w:rPr>
        <w:t>：成本评审结论记录表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_Toc108513668 \h </w:instrText>
      </w:r>
      <w:r>
        <w:rPr>
          <w:rFonts w:ascii="宋体" w:hAnsi="宋体"/>
          <w:szCs w:val="21"/>
        </w:rPr>
        <w:fldChar w:fldCharType="separate"/>
      </w:r>
      <w:r>
        <w:rPr>
          <w:rFonts w:ascii="宋体" w:hAnsi="宋体"/>
          <w:szCs w:val="21"/>
        </w:rPr>
        <w:t>131</w:t>
      </w:r>
      <w:r>
        <w:rPr>
          <w:rFonts w:ascii="宋体" w:hAnsi="宋体"/>
          <w:szCs w:val="21"/>
        </w:rPr>
        <w:fldChar w:fldCharType="end"/>
      </w:r>
    </w:p>
    <w:p w14:paraId="1972A931">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C-1</w:t>
      </w:r>
      <w:r>
        <w:rPr>
          <w:rFonts w:hint="eastAsia" w:ascii="宋体" w:hAnsi="宋体"/>
          <w:szCs w:val="21"/>
        </w:rPr>
        <w:t>：清标报告</w:t>
      </w:r>
      <w:r>
        <w:rPr>
          <w:rFonts w:ascii="宋体" w:hAnsi="宋体"/>
          <w:szCs w:val="21"/>
        </w:rPr>
        <w:t>-</w:t>
      </w:r>
      <w:r>
        <w:rPr>
          <w:rFonts w:hint="eastAsia" w:ascii="宋体" w:hAnsi="宋体"/>
          <w:szCs w:val="21"/>
        </w:rPr>
        <w:t>分部分项工程和单价措施项目符合性检查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_Toc108513669 \h </w:instrText>
      </w:r>
      <w:r>
        <w:rPr>
          <w:rFonts w:ascii="宋体" w:hAnsi="宋体"/>
          <w:szCs w:val="21"/>
        </w:rPr>
        <w:fldChar w:fldCharType="separate"/>
      </w:r>
      <w:r>
        <w:rPr>
          <w:rFonts w:ascii="宋体" w:hAnsi="宋体"/>
          <w:szCs w:val="21"/>
        </w:rPr>
        <w:t>132</w:t>
      </w:r>
      <w:r>
        <w:rPr>
          <w:rFonts w:ascii="宋体" w:hAnsi="宋体"/>
          <w:szCs w:val="21"/>
        </w:rPr>
        <w:fldChar w:fldCharType="end"/>
      </w:r>
    </w:p>
    <w:p w14:paraId="011A0715">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C-2</w:t>
      </w:r>
      <w:r>
        <w:rPr>
          <w:rFonts w:hint="eastAsia" w:ascii="宋体" w:hAnsi="宋体"/>
          <w:szCs w:val="21"/>
        </w:rPr>
        <w:t>：清标报告</w:t>
      </w:r>
      <w:r>
        <w:rPr>
          <w:rFonts w:ascii="宋体" w:hAnsi="宋体"/>
          <w:szCs w:val="21"/>
        </w:rPr>
        <w:t>-</w:t>
      </w:r>
      <w:r>
        <w:rPr>
          <w:rFonts w:hint="eastAsia" w:ascii="宋体" w:hAnsi="宋体"/>
          <w:szCs w:val="21"/>
        </w:rPr>
        <w:t>总价措施项目符合性检查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_Toc108513670 \h </w:instrText>
      </w:r>
      <w:r>
        <w:rPr>
          <w:rFonts w:ascii="宋体" w:hAnsi="宋体"/>
          <w:szCs w:val="21"/>
        </w:rPr>
        <w:fldChar w:fldCharType="separate"/>
      </w:r>
      <w:r>
        <w:rPr>
          <w:rFonts w:ascii="宋体" w:hAnsi="宋体"/>
          <w:szCs w:val="21"/>
        </w:rPr>
        <w:t>133</w:t>
      </w:r>
      <w:r>
        <w:rPr>
          <w:rFonts w:ascii="宋体" w:hAnsi="宋体"/>
          <w:szCs w:val="21"/>
        </w:rPr>
        <w:fldChar w:fldCharType="end"/>
      </w:r>
    </w:p>
    <w:p w14:paraId="5CA68B29">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C-3</w:t>
      </w:r>
      <w:r>
        <w:rPr>
          <w:rFonts w:hint="eastAsia" w:ascii="宋体" w:hAnsi="宋体"/>
          <w:szCs w:val="21"/>
        </w:rPr>
        <w:t>：清标报告</w:t>
      </w:r>
      <w:r>
        <w:rPr>
          <w:rFonts w:ascii="宋体" w:hAnsi="宋体"/>
          <w:szCs w:val="21"/>
        </w:rPr>
        <w:t>-</w:t>
      </w:r>
      <w:r>
        <w:rPr>
          <w:rFonts w:hint="eastAsia" w:ascii="宋体" w:hAnsi="宋体"/>
          <w:szCs w:val="21"/>
        </w:rPr>
        <w:t>其他项目符合性检查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_Toc108513671 \h </w:instrText>
      </w:r>
      <w:r>
        <w:rPr>
          <w:rFonts w:ascii="宋体" w:hAnsi="宋体"/>
          <w:szCs w:val="21"/>
        </w:rPr>
        <w:fldChar w:fldCharType="separate"/>
      </w:r>
      <w:r>
        <w:rPr>
          <w:rFonts w:ascii="宋体" w:hAnsi="宋体"/>
          <w:szCs w:val="21"/>
        </w:rPr>
        <w:t>134</w:t>
      </w:r>
      <w:r>
        <w:rPr>
          <w:rFonts w:ascii="宋体" w:hAnsi="宋体"/>
          <w:szCs w:val="21"/>
        </w:rPr>
        <w:fldChar w:fldCharType="end"/>
      </w:r>
    </w:p>
    <w:p w14:paraId="675D06FB">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C-4</w:t>
      </w:r>
      <w:r>
        <w:rPr>
          <w:rFonts w:hint="eastAsia" w:ascii="宋体" w:hAnsi="宋体"/>
          <w:szCs w:val="21"/>
        </w:rPr>
        <w:t>：清标报告</w:t>
      </w:r>
      <w:r>
        <w:rPr>
          <w:rFonts w:ascii="宋体" w:hAnsi="宋体"/>
          <w:szCs w:val="21"/>
        </w:rPr>
        <w:t>-</w:t>
      </w:r>
      <w:r>
        <w:rPr>
          <w:rFonts w:hint="eastAsia" w:ascii="宋体" w:hAnsi="宋体"/>
          <w:szCs w:val="21"/>
        </w:rPr>
        <w:t>规费、税金项目符合性检查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_Toc108513672 \h </w:instrText>
      </w:r>
      <w:r>
        <w:rPr>
          <w:rFonts w:ascii="宋体" w:hAnsi="宋体"/>
          <w:szCs w:val="21"/>
        </w:rPr>
        <w:fldChar w:fldCharType="separate"/>
      </w:r>
      <w:r>
        <w:rPr>
          <w:rFonts w:ascii="宋体" w:hAnsi="宋体"/>
          <w:szCs w:val="21"/>
        </w:rPr>
        <w:t>135</w:t>
      </w:r>
      <w:r>
        <w:rPr>
          <w:rFonts w:ascii="宋体" w:hAnsi="宋体"/>
          <w:szCs w:val="21"/>
        </w:rPr>
        <w:fldChar w:fldCharType="end"/>
      </w:r>
    </w:p>
    <w:p w14:paraId="0DD87B0F">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C-5</w:t>
      </w:r>
      <w:r>
        <w:rPr>
          <w:rFonts w:hint="eastAsia" w:ascii="宋体" w:hAnsi="宋体"/>
          <w:szCs w:val="21"/>
        </w:rPr>
        <w:t>：清标报告</w:t>
      </w:r>
      <w:r>
        <w:rPr>
          <w:rFonts w:ascii="宋体" w:hAnsi="宋体"/>
          <w:szCs w:val="21"/>
        </w:rPr>
        <w:t>-</w:t>
      </w:r>
      <w:r>
        <w:rPr>
          <w:rFonts w:hint="eastAsia" w:ascii="宋体" w:hAnsi="宋体"/>
          <w:szCs w:val="21"/>
        </w:rPr>
        <w:t>发包人提供材料和工程设备符合性检查</w:t>
      </w:r>
      <w:r>
        <w:rPr>
          <w:rFonts w:ascii="宋体" w:hAnsi="宋体"/>
          <w:szCs w:val="21"/>
        </w:rPr>
        <w:tab/>
      </w:r>
      <w:r>
        <w:rPr>
          <w:rFonts w:ascii="宋体" w:hAnsi="宋体"/>
          <w:szCs w:val="21"/>
        </w:rPr>
        <w:fldChar w:fldCharType="begin"/>
      </w:r>
      <w:r>
        <w:rPr>
          <w:rFonts w:ascii="宋体" w:hAnsi="宋体"/>
          <w:szCs w:val="21"/>
        </w:rPr>
        <w:instrText xml:space="preserve"> PAGEREF _Toc108513673 \h </w:instrText>
      </w:r>
      <w:r>
        <w:rPr>
          <w:rFonts w:ascii="宋体" w:hAnsi="宋体"/>
          <w:szCs w:val="21"/>
        </w:rPr>
        <w:fldChar w:fldCharType="separate"/>
      </w:r>
      <w:r>
        <w:rPr>
          <w:rFonts w:ascii="宋体" w:hAnsi="宋体"/>
          <w:szCs w:val="21"/>
        </w:rPr>
        <w:t>136</w:t>
      </w:r>
      <w:r>
        <w:rPr>
          <w:rFonts w:ascii="宋体" w:hAnsi="宋体"/>
          <w:szCs w:val="21"/>
        </w:rPr>
        <w:fldChar w:fldCharType="end"/>
      </w:r>
    </w:p>
    <w:p w14:paraId="3AD46DD3">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C-6</w:t>
      </w:r>
      <w:r>
        <w:rPr>
          <w:rFonts w:hint="eastAsia" w:ascii="宋体" w:hAnsi="宋体"/>
          <w:szCs w:val="21"/>
        </w:rPr>
        <w:t>：清标报告</w:t>
      </w:r>
      <w:r>
        <w:rPr>
          <w:rFonts w:ascii="宋体" w:hAnsi="宋体"/>
          <w:szCs w:val="21"/>
        </w:rPr>
        <w:t>-</w:t>
      </w:r>
      <w:r>
        <w:rPr>
          <w:rFonts w:hint="eastAsia" w:ascii="宋体" w:hAnsi="宋体"/>
          <w:szCs w:val="21"/>
        </w:rPr>
        <w:t>算术错误检查</w:t>
      </w:r>
      <w:r>
        <w:rPr>
          <w:rFonts w:ascii="宋体" w:hAnsi="宋体"/>
          <w:szCs w:val="21"/>
        </w:rPr>
        <w:tab/>
      </w:r>
      <w:r>
        <w:rPr>
          <w:rFonts w:ascii="宋体" w:hAnsi="宋体"/>
          <w:szCs w:val="21"/>
        </w:rPr>
        <w:fldChar w:fldCharType="begin"/>
      </w:r>
      <w:r>
        <w:rPr>
          <w:rFonts w:ascii="宋体" w:hAnsi="宋体"/>
          <w:szCs w:val="21"/>
        </w:rPr>
        <w:instrText xml:space="preserve"> PAGEREF _Toc108513674 \h </w:instrText>
      </w:r>
      <w:r>
        <w:rPr>
          <w:rFonts w:ascii="宋体" w:hAnsi="宋体"/>
          <w:szCs w:val="21"/>
        </w:rPr>
        <w:fldChar w:fldCharType="separate"/>
      </w:r>
      <w:r>
        <w:rPr>
          <w:rFonts w:ascii="宋体" w:hAnsi="宋体"/>
          <w:szCs w:val="21"/>
        </w:rPr>
        <w:t>137</w:t>
      </w:r>
      <w:r>
        <w:rPr>
          <w:rFonts w:ascii="宋体" w:hAnsi="宋体"/>
          <w:szCs w:val="21"/>
        </w:rPr>
        <w:fldChar w:fldCharType="end"/>
      </w:r>
    </w:p>
    <w:p w14:paraId="259A1B93">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C-7</w:t>
      </w:r>
      <w:r>
        <w:rPr>
          <w:rFonts w:hint="eastAsia" w:ascii="宋体" w:hAnsi="宋体"/>
          <w:szCs w:val="21"/>
        </w:rPr>
        <w:t>：清标报告</w:t>
      </w:r>
      <w:r>
        <w:rPr>
          <w:rFonts w:ascii="宋体" w:hAnsi="宋体"/>
          <w:szCs w:val="21"/>
        </w:rPr>
        <w:t>-</w:t>
      </w:r>
      <w:r>
        <w:rPr>
          <w:rFonts w:hint="eastAsia" w:ascii="宋体" w:hAnsi="宋体"/>
          <w:szCs w:val="21"/>
        </w:rPr>
        <w:t>算术错误分析及修正记录表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_Toc108513675 \h </w:instrText>
      </w:r>
      <w:r>
        <w:rPr>
          <w:rFonts w:ascii="宋体" w:hAnsi="宋体"/>
          <w:szCs w:val="21"/>
        </w:rPr>
        <w:fldChar w:fldCharType="separate"/>
      </w:r>
      <w:r>
        <w:rPr>
          <w:rFonts w:ascii="宋体" w:hAnsi="宋体"/>
          <w:szCs w:val="21"/>
        </w:rPr>
        <w:t>138</w:t>
      </w:r>
      <w:r>
        <w:rPr>
          <w:rFonts w:ascii="宋体" w:hAnsi="宋体"/>
          <w:szCs w:val="21"/>
        </w:rPr>
        <w:fldChar w:fldCharType="end"/>
      </w:r>
    </w:p>
    <w:p w14:paraId="76BF6750">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C-8</w:t>
      </w:r>
      <w:r>
        <w:rPr>
          <w:rFonts w:hint="eastAsia" w:ascii="宋体" w:hAnsi="宋体"/>
          <w:szCs w:val="21"/>
        </w:rPr>
        <w:t>：清标报告</w:t>
      </w:r>
      <w:r>
        <w:rPr>
          <w:rFonts w:ascii="宋体" w:hAnsi="宋体"/>
          <w:szCs w:val="21"/>
        </w:rPr>
        <w:t>-</w:t>
      </w:r>
      <w:r>
        <w:rPr>
          <w:rFonts w:hint="eastAsia" w:ascii="宋体" w:hAnsi="宋体"/>
          <w:szCs w:val="21"/>
        </w:rPr>
        <w:t>算术错误修正后的已标价工程量清单</w:t>
      </w:r>
      <w:r>
        <w:rPr>
          <w:rFonts w:ascii="宋体" w:hAnsi="宋体"/>
          <w:szCs w:val="21"/>
        </w:rPr>
        <w:tab/>
      </w:r>
      <w:r>
        <w:rPr>
          <w:rFonts w:ascii="宋体" w:hAnsi="宋体"/>
          <w:szCs w:val="21"/>
        </w:rPr>
        <w:fldChar w:fldCharType="begin"/>
      </w:r>
      <w:r>
        <w:rPr>
          <w:rFonts w:ascii="宋体" w:hAnsi="宋体"/>
          <w:szCs w:val="21"/>
        </w:rPr>
        <w:instrText xml:space="preserve"> PAGEREF _Toc108513676 \h </w:instrText>
      </w:r>
      <w:r>
        <w:rPr>
          <w:rFonts w:ascii="宋体" w:hAnsi="宋体"/>
          <w:szCs w:val="21"/>
        </w:rPr>
        <w:fldChar w:fldCharType="separate"/>
      </w:r>
      <w:r>
        <w:rPr>
          <w:rFonts w:ascii="宋体" w:hAnsi="宋体"/>
          <w:szCs w:val="21"/>
        </w:rPr>
        <w:t>139</w:t>
      </w:r>
      <w:r>
        <w:rPr>
          <w:rFonts w:ascii="宋体" w:hAnsi="宋体"/>
          <w:szCs w:val="21"/>
        </w:rPr>
        <w:fldChar w:fldCharType="end"/>
      </w:r>
    </w:p>
    <w:p w14:paraId="53D5BB4B">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C-9</w:t>
      </w:r>
      <w:r>
        <w:rPr>
          <w:rFonts w:hint="eastAsia" w:ascii="宋体" w:hAnsi="宋体"/>
          <w:szCs w:val="21"/>
        </w:rPr>
        <w:t>：清标报告</w:t>
      </w:r>
      <w:r>
        <w:rPr>
          <w:rFonts w:ascii="宋体" w:hAnsi="宋体"/>
          <w:szCs w:val="21"/>
        </w:rPr>
        <w:t>-</w:t>
      </w:r>
      <w:r>
        <w:rPr>
          <w:rFonts w:hint="eastAsia" w:ascii="宋体" w:hAnsi="宋体"/>
          <w:szCs w:val="21"/>
        </w:rPr>
        <w:t>分部分项工程和单价措施项目清单综合单价分析记录表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_Toc108513677 \h </w:instrText>
      </w:r>
      <w:r>
        <w:rPr>
          <w:rFonts w:ascii="宋体" w:hAnsi="宋体"/>
          <w:szCs w:val="21"/>
        </w:rPr>
        <w:fldChar w:fldCharType="separate"/>
      </w:r>
      <w:r>
        <w:rPr>
          <w:rFonts w:ascii="宋体" w:hAnsi="宋体"/>
          <w:szCs w:val="21"/>
        </w:rPr>
        <w:t>140</w:t>
      </w:r>
      <w:r>
        <w:rPr>
          <w:rFonts w:ascii="宋体" w:hAnsi="宋体"/>
          <w:szCs w:val="21"/>
        </w:rPr>
        <w:fldChar w:fldCharType="end"/>
      </w:r>
    </w:p>
    <w:p w14:paraId="168EEF20">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C-10</w:t>
      </w:r>
      <w:r>
        <w:rPr>
          <w:rFonts w:hint="eastAsia" w:ascii="宋体" w:hAnsi="宋体"/>
          <w:szCs w:val="21"/>
        </w:rPr>
        <w:t>：清标报告</w:t>
      </w:r>
      <w:r>
        <w:rPr>
          <w:rFonts w:ascii="宋体" w:hAnsi="宋体"/>
          <w:szCs w:val="21"/>
        </w:rPr>
        <w:t>-</w:t>
      </w:r>
      <w:r>
        <w:rPr>
          <w:rFonts w:hint="eastAsia" w:ascii="宋体" w:hAnsi="宋体"/>
          <w:szCs w:val="21"/>
        </w:rPr>
        <w:t>总价措施项目清单价格分析记录表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_Toc108513678 \h </w:instrText>
      </w:r>
      <w:r>
        <w:rPr>
          <w:rFonts w:ascii="宋体" w:hAnsi="宋体"/>
          <w:szCs w:val="21"/>
        </w:rPr>
        <w:fldChar w:fldCharType="separate"/>
      </w:r>
      <w:r>
        <w:rPr>
          <w:rFonts w:ascii="宋体" w:hAnsi="宋体"/>
          <w:szCs w:val="21"/>
        </w:rPr>
        <w:t>141</w:t>
      </w:r>
      <w:r>
        <w:rPr>
          <w:rFonts w:ascii="宋体" w:hAnsi="宋体"/>
          <w:szCs w:val="21"/>
        </w:rPr>
        <w:fldChar w:fldCharType="end"/>
      </w:r>
    </w:p>
    <w:p w14:paraId="55B18265">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C-11</w:t>
      </w:r>
      <w:r>
        <w:rPr>
          <w:rFonts w:hint="eastAsia" w:ascii="宋体" w:hAnsi="宋体"/>
          <w:szCs w:val="21"/>
        </w:rPr>
        <w:t>：清标报告</w:t>
      </w:r>
      <w:r>
        <w:rPr>
          <w:rFonts w:ascii="宋体" w:hAnsi="宋体"/>
          <w:szCs w:val="21"/>
        </w:rPr>
        <w:t>-</w:t>
      </w:r>
      <w:r>
        <w:rPr>
          <w:rFonts w:hint="eastAsia" w:ascii="宋体" w:hAnsi="宋体"/>
          <w:szCs w:val="21"/>
        </w:rPr>
        <w:t>其他项目清单价格分析记录表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_Toc108513679 \h </w:instrText>
      </w:r>
      <w:r>
        <w:rPr>
          <w:rFonts w:ascii="宋体" w:hAnsi="宋体"/>
          <w:szCs w:val="21"/>
        </w:rPr>
        <w:fldChar w:fldCharType="separate"/>
      </w:r>
      <w:r>
        <w:rPr>
          <w:rFonts w:ascii="宋体" w:hAnsi="宋体"/>
          <w:szCs w:val="21"/>
        </w:rPr>
        <w:t>142</w:t>
      </w:r>
      <w:r>
        <w:rPr>
          <w:rFonts w:ascii="宋体" w:hAnsi="宋体"/>
          <w:szCs w:val="21"/>
        </w:rPr>
        <w:fldChar w:fldCharType="end"/>
      </w:r>
    </w:p>
    <w:p w14:paraId="76659042">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C-12</w:t>
      </w:r>
      <w:r>
        <w:rPr>
          <w:rFonts w:hint="eastAsia" w:ascii="宋体" w:hAnsi="宋体"/>
          <w:szCs w:val="21"/>
        </w:rPr>
        <w:t>：清标报告</w:t>
      </w:r>
      <w:r>
        <w:rPr>
          <w:rFonts w:ascii="宋体" w:hAnsi="宋体"/>
          <w:szCs w:val="21"/>
        </w:rPr>
        <w:t>-</w:t>
      </w:r>
      <w:r>
        <w:rPr>
          <w:rFonts w:hint="eastAsia" w:ascii="宋体" w:hAnsi="宋体"/>
          <w:szCs w:val="21"/>
        </w:rPr>
        <w:t>建设项目总人工费分析记录表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_Toc108513680 \h </w:instrText>
      </w:r>
      <w:r>
        <w:rPr>
          <w:rFonts w:ascii="宋体" w:hAnsi="宋体"/>
          <w:szCs w:val="21"/>
        </w:rPr>
        <w:fldChar w:fldCharType="separate"/>
      </w:r>
      <w:r>
        <w:rPr>
          <w:rFonts w:ascii="宋体" w:hAnsi="宋体"/>
          <w:szCs w:val="21"/>
        </w:rPr>
        <w:t>143</w:t>
      </w:r>
      <w:r>
        <w:rPr>
          <w:rFonts w:ascii="宋体" w:hAnsi="宋体"/>
          <w:szCs w:val="21"/>
        </w:rPr>
        <w:fldChar w:fldCharType="end"/>
      </w:r>
    </w:p>
    <w:p w14:paraId="7B49ECFE">
      <w:pPr>
        <w:pStyle w:val="8"/>
        <w:tabs>
          <w:tab w:val="right" w:leader="dot" w:pos="8296"/>
        </w:tabs>
        <w:rPr>
          <w:rFonts w:ascii="宋体" w:hAnsi="宋体"/>
          <w:szCs w:val="21"/>
        </w:rPr>
      </w:pPr>
      <w:r>
        <w:rPr>
          <w:rFonts w:hint="eastAsia" w:ascii="宋体" w:hAnsi="宋体"/>
          <w:szCs w:val="21"/>
        </w:rPr>
        <w:t>附表</w:t>
      </w:r>
      <w:r>
        <w:rPr>
          <w:rFonts w:ascii="宋体" w:hAnsi="宋体"/>
          <w:szCs w:val="21"/>
        </w:rPr>
        <w:t>C-13</w:t>
      </w:r>
      <w:r>
        <w:rPr>
          <w:rFonts w:hint="eastAsia" w:ascii="宋体" w:hAnsi="宋体"/>
          <w:szCs w:val="21"/>
        </w:rPr>
        <w:t>：清标报告</w:t>
      </w:r>
      <w:r>
        <w:rPr>
          <w:rFonts w:ascii="宋体" w:hAnsi="宋体"/>
          <w:szCs w:val="21"/>
        </w:rPr>
        <w:t>-</w:t>
      </w:r>
      <w:r>
        <w:rPr>
          <w:rFonts w:hint="eastAsia" w:ascii="宋体" w:hAnsi="宋体"/>
          <w:szCs w:val="21"/>
        </w:rPr>
        <w:t>单位工程投标报价分析记录表</w:t>
      </w:r>
      <w:r>
        <w:rPr>
          <w:rFonts w:ascii="宋体" w:hAnsi="宋体"/>
          <w:szCs w:val="21"/>
        </w:rPr>
        <w:tab/>
      </w:r>
      <w:r>
        <w:rPr>
          <w:rFonts w:ascii="宋体" w:hAnsi="宋体"/>
          <w:szCs w:val="21"/>
        </w:rPr>
        <w:fldChar w:fldCharType="begin"/>
      </w:r>
      <w:r>
        <w:rPr>
          <w:rFonts w:ascii="宋体" w:hAnsi="宋体"/>
          <w:szCs w:val="21"/>
        </w:rPr>
        <w:instrText xml:space="preserve"> PAGEREF _Toc108513681 \h </w:instrText>
      </w:r>
      <w:r>
        <w:rPr>
          <w:rFonts w:ascii="宋体" w:hAnsi="宋体"/>
          <w:szCs w:val="21"/>
        </w:rPr>
        <w:fldChar w:fldCharType="separate"/>
      </w:r>
      <w:r>
        <w:rPr>
          <w:rFonts w:ascii="宋体" w:hAnsi="宋体"/>
          <w:szCs w:val="21"/>
        </w:rPr>
        <w:t>144</w:t>
      </w:r>
      <w:r>
        <w:rPr>
          <w:rFonts w:ascii="宋体" w:hAnsi="宋体"/>
          <w:szCs w:val="21"/>
        </w:rPr>
        <w:fldChar w:fldCharType="end"/>
      </w:r>
    </w:p>
    <w:p w14:paraId="40B92B81">
      <w:pPr>
        <w:pStyle w:val="12"/>
        <w:rPr>
          <w:rFonts w:ascii="宋体" w:hAnsi="宋体" w:eastAsia="宋体"/>
          <w:b w:val="0"/>
          <w:sz w:val="21"/>
          <w:szCs w:val="21"/>
        </w:rPr>
      </w:pPr>
      <w:r>
        <w:rPr>
          <w:rFonts w:hint="eastAsia" w:ascii="宋体" w:hAnsi="宋体" w:eastAsia="宋体"/>
          <w:b w:val="0"/>
          <w:sz w:val="21"/>
          <w:szCs w:val="21"/>
        </w:rPr>
        <w:t>第四章</w:t>
      </w:r>
      <w:r>
        <w:rPr>
          <w:rFonts w:ascii="宋体" w:hAnsi="宋体" w:eastAsia="宋体"/>
          <w:b w:val="0"/>
          <w:sz w:val="21"/>
          <w:szCs w:val="21"/>
        </w:rPr>
        <w:t xml:space="preserve">  </w:t>
      </w:r>
      <w:r>
        <w:rPr>
          <w:rFonts w:hint="eastAsia" w:ascii="宋体" w:hAnsi="宋体" w:eastAsia="宋体"/>
          <w:b w:val="0"/>
          <w:sz w:val="21"/>
          <w:szCs w:val="21"/>
        </w:rPr>
        <w:t>合同条款及格式</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_Toc108513682 \h </w:instrText>
      </w:r>
      <w:r>
        <w:rPr>
          <w:rFonts w:ascii="宋体" w:hAnsi="宋体" w:eastAsia="宋体"/>
          <w:b w:val="0"/>
          <w:sz w:val="21"/>
          <w:szCs w:val="21"/>
        </w:rPr>
        <w:fldChar w:fldCharType="separate"/>
      </w:r>
      <w:r>
        <w:rPr>
          <w:rFonts w:ascii="宋体" w:hAnsi="宋体" w:eastAsia="宋体"/>
          <w:b w:val="0"/>
          <w:sz w:val="21"/>
          <w:szCs w:val="21"/>
        </w:rPr>
        <w:t>145</w:t>
      </w:r>
      <w:r>
        <w:rPr>
          <w:rFonts w:ascii="宋体" w:hAnsi="宋体" w:eastAsia="宋体"/>
          <w:b w:val="0"/>
          <w:sz w:val="21"/>
          <w:szCs w:val="21"/>
        </w:rPr>
        <w:fldChar w:fldCharType="end"/>
      </w:r>
    </w:p>
    <w:p w14:paraId="2CE1457B">
      <w:pPr>
        <w:pStyle w:val="13"/>
        <w:tabs>
          <w:tab w:val="right" w:leader="dot" w:pos="8296"/>
        </w:tabs>
        <w:rPr>
          <w:rFonts w:ascii="宋体" w:hAnsi="宋体" w:eastAsia="宋体"/>
          <w:sz w:val="21"/>
          <w:szCs w:val="21"/>
        </w:rPr>
      </w:pPr>
      <w:r>
        <w:rPr>
          <w:rFonts w:hint="eastAsia" w:ascii="宋体" w:hAnsi="宋体" w:eastAsia="宋体"/>
          <w:sz w:val="21"/>
          <w:szCs w:val="21"/>
        </w:rPr>
        <w:t>第一节</w:t>
      </w:r>
      <w:r>
        <w:rPr>
          <w:rFonts w:ascii="宋体" w:hAnsi="宋体" w:eastAsia="宋体"/>
          <w:sz w:val="21"/>
          <w:szCs w:val="21"/>
        </w:rPr>
        <w:t xml:space="preserve">  </w:t>
      </w:r>
      <w:r>
        <w:rPr>
          <w:rFonts w:hint="eastAsia" w:ascii="宋体" w:hAnsi="宋体" w:eastAsia="宋体"/>
          <w:sz w:val="21"/>
          <w:szCs w:val="21"/>
        </w:rPr>
        <w:t>通用合同条款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_Toc108513683 \h </w:instrText>
      </w:r>
      <w:r>
        <w:rPr>
          <w:rFonts w:ascii="宋体" w:hAnsi="宋体" w:eastAsia="宋体"/>
          <w:sz w:val="21"/>
          <w:szCs w:val="21"/>
        </w:rPr>
        <w:fldChar w:fldCharType="separate"/>
      </w:r>
      <w:r>
        <w:rPr>
          <w:rFonts w:ascii="宋体" w:hAnsi="宋体" w:eastAsia="宋体"/>
          <w:sz w:val="21"/>
          <w:szCs w:val="21"/>
        </w:rPr>
        <w:t>146</w:t>
      </w:r>
      <w:r>
        <w:rPr>
          <w:rFonts w:ascii="宋体" w:hAnsi="宋体" w:eastAsia="宋体"/>
          <w:sz w:val="21"/>
          <w:szCs w:val="21"/>
        </w:rPr>
        <w:fldChar w:fldCharType="end"/>
      </w:r>
    </w:p>
    <w:p w14:paraId="6977159B">
      <w:pPr>
        <w:pStyle w:val="13"/>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_Toc108513684 \h </w:instrText>
      </w:r>
      <w:r>
        <w:rPr>
          <w:rFonts w:ascii="宋体" w:hAnsi="宋体" w:eastAsia="宋体"/>
          <w:sz w:val="21"/>
          <w:szCs w:val="21"/>
        </w:rPr>
        <w:fldChar w:fldCharType="separate"/>
      </w:r>
      <w:r>
        <w:rPr>
          <w:rFonts w:ascii="宋体" w:hAnsi="宋体" w:eastAsia="宋体"/>
          <w:sz w:val="21"/>
          <w:szCs w:val="21"/>
        </w:rPr>
        <w:t>147</w:t>
      </w:r>
      <w:r>
        <w:rPr>
          <w:rFonts w:ascii="宋体" w:hAnsi="宋体" w:eastAsia="宋体"/>
          <w:sz w:val="21"/>
          <w:szCs w:val="21"/>
        </w:rPr>
        <w:fldChar w:fldCharType="end"/>
      </w:r>
    </w:p>
    <w:p w14:paraId="127E3CC1">
      <w:pPr>
        <w:pStyle w:val="8"/>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w:t>
      </w:r>
      <w:r>
        <w:rPr>
          <w:rFonts w:ascii="宋体" w:hAnsi="宋体"/>
          <w:szCs w:val="21"/>
        </w:rPr>
        <w:tab/>
      </w:r>
      <w:r>
        <w:rPr>
          <w:rFonts w:ascii="宋体" w:hAnsi="宋体"/>
          <w:szCs w:val="21"/>
        </w:rPr>
        <w:fldChar w:fldCharType="begin"/>
      </w:r>
      <w:r>
        <w:rPr>
          <w:rFonts w:ascii="宋体" w:hAnsi="宋体"/>
          <w:szCs w:val="21"/>
        </w:rPr>
        <w:instrText xml:space="preserve"> PAGEREF _Toc108513685 \h </w:instrText>
      </w:r>
      <w:r>
        <w:rPr>
          <w:rFonts w:ascii="宋体" w:hAnsi="宋体"/>
          <w:szCs w:val="21"/>
        </w:rPr>
        <w:fldChar w:fldCharType="separate"/>
      </w:r>
      <w:r>
        <w:rPr>
          <w:rFonts w:ascii="宋体" w:hAnsi="宋体"/>
          <w:szCs w:val="21"/>
        </w:rPr>
        <w:t>147</w:t>
      </w:r>
      <w:r>
        <w:rPr>
          <w:rFonts w:ascii="宋体" w:hAnsi="宋体"/>
          <w:szCs w:val="21"/>
        </w:rPr>
        <w:fldChar w:fldCharType="end"/>
      </w:r>
    </w:p>
    <w:p w14:paraId="6505779E">
      <w:pPr>
        <w:pStyle w:val="8"/>
        <w:tabs>
          <w:tab w:val="right" w:leader="dot" w:pos="8296"/>
        </w:tabs>
        <w:rPr>
          <w:rFonts w:ascii="宋体" w:hAnsi="宋体"/>
          <w:szCs w:val="21"/>
        </w:rPr>
      </w:pPr>
      <w:r>
        <w:rPr>
          <w:rFonts w:ascii="宋体" w:hAnsi="宋体"/>
          <w:szCs w:val="21"/>
        </w:rPr>
        <w:t xml:space="preserve">1.2 </w:t>
      </w:r>
      <w:r>
        <w:rPr>
          <w:rFonts w:hint="eastAsia" w:ascii="宋体" w:hAnsi="宋体"/>
          <w:szCs w:val="21"/>
        </w:rPr>
        <w:t>语言文字</w:t>
      </w:r>
      <w:r>
        <w:rPr>
          <w:rFonts w:ascii="宋体" w:hAnsi="宋体"/>
          <w:szCs w:val="21"/>
        </w:rPr>
        <w:tab/>
      </w:r>
      <w:r>
        <w:rPr>
          <w:rFonts w:ascii="宋体" w:hAnsi="宋体"/>
          <w:szCs w:val="21"/>
        </w:rPr>
        <w:fldChar w:fldCharType="begin"/>
      </w:r>
      <w:r>
        <w:rPr>
          <w:rFonts w:ascii="宋体" w:hAnsi="宋体"/>
          <w:szCs w:val="21"/>
        </w:rPr>
        <w:instrText xml:space="preserve"> PAGEREF _Toc108513686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1722F64D">
      <w:pPr>
        <w:pStyle w:val="8"/>
        <w:tabs>
          <w:tab w:val="right" w:leader="dot" w:pos="8296"/>
        </w:tabs>
        <w:rPr>
          <w:rFonts w:ascii="宋体" w:hAnsi="宋体"/>
          <w:szCs w:val="21"/>
        </w:rPr>
      </w:pPr>
      <w:r>
        <w:rPr>
          <w:rFonts w:ascii="宋体" w:hAnsi="宋体"/>
          <w:szCs w:val="21"/>
        </w:rPr>
        <w:t xml:space="preserve">1.3 </w:t>
      </w:r>
      <w:r>
        <w:rPr>
          <w:rFonts w:hint="eastAsia" w:ascii="宋体" w:hAnsi="宋体"/>
          <w:szCs w:val="21"/>
        </w:rPr>
        <w:t>法律</w:t>
      </w:r>
      <w:r>
        <w:rPr>
          <w:rFonts w:ascii="宋体" w:hAnsi="宋体"/>
          <w:szCs w:val="21"/>
        </w:rPr>
        <w:tab/>
      </w:r>
      <w:r>
        <w:rPr>
          <w:rFonts w:ascii="宋体" w:hAnsi="宋体"/>
          <w:szCs w:val="21"/>
        </w:rPr>
        <w:fldChar w:fldCharType="begin"/>
      </w:r>
      <w:r>
        <w:rPr>
          <w:rFonts w:ascii="宋体" w:hAnsi="宋体"/>
          <w:szCs w:val="21"/>
        </w:rPr>
        <w:instrText xml:space="preserve"> PAGEREF _Toc108513687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4ECAA0B7">
      <w:pPr>
        <w:pStyle w:val="8"/>
        <w:tabs>
          <w:tab w:val="right" w:leader="dot" w:pos="8296"/>
        </w:tabs>
        <w:rPr>
          <w:rFonts w:ascii="宋体" w:hAnsi="宋体"/>
          <w:szCs w:val="21"/>
        </w:rPr>
      </w:pPr>
      <w:r>
        <w:rPr>
          <w:rFonts w:ascii="宋体" w:hAnsi="宋体"/>
          <w:szCs w:val="21"/>
        </w:rPr>
        <w:t xml:space="preserve">1.4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_Toc108513688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378BCA83">
      <w:pPr>
        <w:pStyle w:val="8"/>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合同协议书</w:t>
      </w:r>
      <w:r>
        <w:rPr>
          <w:rFonts w:ascii="宋体" w:hAnsi="宋体"/>
          <w:szCs w:val="21"/>
        </w:rPr>
        <w:tab/>
      </w:r>
      <w:r>
        <w:rPr>
          <w:rFonts w:ascii="宋体" w:hAnsi="宋体"/>
          <w:szCs w:val="21"/>
        </w:rPr>
        <w:fldChar w:fldCharType="begin"/>
      </w:r>
      <w:r>
        <w:rPr>
          <w:rFonts w:ascii="宋体" w:hAnsi="宋体"/>
          <w:szCs w:val="21"/>
        </w:rPr>
        <w:instrText xml:space="preserve"> PAGEREF _Toc108513689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56EB2386">
      <w:pPr>
        <w:pStyle w:val="8"/>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_Toc108513690 \h </w:instrText>
      </w:r>
      <w:r>
        <w:rPr>
          <w:rFonts w:ascii="宋体" w:hAnsi="宋体"/>
          <w:szCs w:val="21"/>
        </w:rPr>
        <w:fldChar w:fldCharType="separate"/>
      </w:r>
      <w:r>
        <w:rPr>
          <w:rFonts w:ascii="宋体" w:hAnsi="宋体"/>
          <w:szCs w:val="21"/>
        </w:rPr>
        <w:t>149</w:t>
      </w:r>
      <w:r>
        <w:rPr>
          <w:rFonts w:ascii="宋体" w:hAnsi="宋体"/>
          <w:szCs w:val="21"/>
        </w:rPr>
        <w:fldChar w:fldCharType="end"/>
      </w:r>
    </w:p>
    <w:p w14:paraId="5EBCFB67">
      <w:pPr>
        <w:pStyle w:val="8"/>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_Toc108513691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0B6EB77B">
      <w:pPr>
        <w:pStyle w:val="8"/>
        <w:tabs>
          <w:tab w:val="right" w:leader="dot" w:pos="8296"/>
        </w:tabs>
        <w:rPr>
          <w:rFonts w:ascii="宋体" w:hAnsi="宋体"/>
          <w:szCs w:val="21"/>
        </w:rPr>
      </w:pPr>
      <w:r>
        <w:rPr>
          <w:rFonts w:ascii="宋体" w:hAnsi="宋体"/>
          <w:szCs w:val="21"/>
        </w:rPr>
        <w:t xml:space="preserve">1.8 </w:t>
      </w:r>
      <w:r>
        <w:rPr>
          <w:rFonts w:hint="eastAsia" w:ascii="宋体" w:hAnsi="宋体"/>
          <w:szCs w:val="21"/>
        </w:rPr>
        <w:t>转让</w:t>
      </w:r>
      <w:r>
        <w:rPr>
          <w:rFonts w:ascii="宋体" w:hAnsi="宋体"/>
          <w:szCs w:val="21"/>
        </w:rPr>
        <w:tab/>
      </w:r>
      <w:r>
        <w:rPr>
          <w:rFonts w:ascii="宋体" w:hAnsi="宋体"/>
          <w:szCs w:val="21"/>
        </w:rPr>
        <w:fldChar w:fldCharType="begin"/>
      </w:r>
      <w:r>
        <w:rPr>
          <w:rFonts w:ascii="宋体" w:hAnsi="宋体"/>
          <w:szCs w:val="21"/>
        </w:rPr>
        <w:instrText xml:space="preserve"> PAGEREF _Toc108513692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06A89C24">
      <w:pPr>
        <w:pStyle w:val="8"/>
        <w:tabs>
          <w:tab w:val="right" w:leader="dot" w:pos="8296"/>
        </w:tabs>
        <w:rPr>
          <w:rFonts w:ascii="宋体" w:hAnsi="宋体"/>
          <w:szCs w:val="21"/>
        </w:rPr>
      </w:pPr>
      <w:r>
        <w:rPr>
          <w:rFonts w:ascii="宋体" w:hAnsi="宋体"/>
          <w:szCs w:val="21"/>
        </w:rPr>
        <w:t xml:space="preserve">1.9 </w:t>
      </w:r>
      <w:r>
        <w:rPr>
          <w:rFonts w:hint="eastAsia" w:ascii="宋体" w:hAnsi="宋体"/>
          <w:szCs w:val="21"/>
        </w:rPr>
        <w:t>严禁贿赂</w:t>
      </w:r>
      <w:r>
        <w:rPr>
          <w:rFonts w:ascii="宋体" w:hAnsi="宋体"/>
          <w:szCs w:val="21"/>
        </w:rPr>
        <w:tab/>
      </w:r>
      <w:r>
        <w:rPr>
          <w:rFonts w:ascii="宋体" w:hAnsi="宋体"/>
          <w:szCs w:val="21"/>
        </w:rPr>
        <w:fldChar w:fldCharType="begin"/>
      </w:r>
      <w:r>
        <w:rPr>
          <w:rFonts w:ascii="宋体" w:hAnsi="宋体"/>
          <w:szCs w:val="21"/>
        </w:rPr>
        <w:instrText xml:space="preserve"> PAGEREF _Toc108513693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5EBDE197">
      <w:pPr>
        <w:pStyle w:val="8"/>
        <w:tabs>
          <w:tab w:val="right" w:leader="dot" w:pos="8296"/>
        </w:tabs>
        <w:rPr>
          <w:rFonts w:ascii="宋体" w:hAnsi="宋体"/>
          <w:szCs w:val="21"/>
        </w:rPr>
      </w:pPr>
      <w:r>
        <w:rPr>
          <w:rFonts w:ascii="宋体" w:hAnsi="宋体"/>
          <w:szCs w:val="21"/>
        </w:rPr>
        <w:t xml:space="preserve">1.10 </w:t>
      </w:r>
      <w:r>
        <w:rPr>
          <w:rFonts w:hint="eastAsia" w:ascii="宋体" w:hAnsi="宋体"/>
          <w:szCs w:val="21"/>
        </w:rPr>
        <w:t>化石、文物</w:t>
      </w:r>
      <w:r>
        <w:rPr>
          <w:rFonts w:ascii="宋体" w:hAnsi="宋体"/>
          <w:szCs w:val="21"/>
        </w:rPr>
        <w:tab/>
      </w:r>
      <w:r>
        <w:rPr>
          <w:rFonts w:ascii="宋体" w:hAnsi="宋体"/>
          <w:szCs w:val="21"/>
        </w:rPr>
        <w:fldChar w:fldCharType="begin"/>
      </w:r>
      <w:r>
        <w:rPr>
          <w:rFonts w:ascii="宋体" w:hAnsi="宋体"/>
          <w:szCs w:val="21"/>
        </w:rPr>
        <w:instrText xml:space="preserve"> PAGEREF _Toc108513694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2360CDB1">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专利技术</w:t>
      </w:r>
      <w:r>
        <w:rPr>
          <w:rFonts w:ascii="宋体" w:hAnsi="宋体"/>
          <w:szCs w:val="21"/>
        </w:rPr>
        <w:tab/>
      </w:r>
      <w:r>
        <w:rPr>
          <w:rFonts w:ascii="宋体" w:hAnsi="宋体"/>
          <w:szCs w:val="21"/>
        </w:rPr>
        <w:fldChar w:fldCharType="begin"/>
      </w:r>
      <w:r>
        <w:rPr>
          <w:rFonts w:ascii="宋体" w:hAnsi="宋体"/>
          <w:szCs w:val="21"/>
        </w:rPr>
        <w:instrText xml:space="preserve"> PAGEREF _Toc108513695 \h </w:instrText>
      </w:r>
      <w:r>
        <w:rPr>
          <w:rFonts w:ascii="宋体" w:hAnsi="宋体"/>
          <w:szCs w:val="21"/>
        </w:rPr>
        <w:fldChar w:fldCharType="separate"/>
      </w:r>
      <w:r>
        <w:rPr>
          <w:rFonts w:ascii="宋体" w:hAnsi="宋体"/>
          <w:szCs w:val="21"/>
        </w:rPr>
        <w:t>150</w:t>
      </w:r>
      <w:r>
        <w:rPr>
          <w:rFonts w:ascii="宋体" w:hAnsi="宋体"/>
          <w:szCs w:val="21"/>
        </w:rPr>
        <w:fldChar w:fldCharType="end"/>
      </w:r>
    </w:p>
    <w:p w14:paraId="590EC2ED">
      <w:pPr>
        <w:pStyle w:val="8"/>
        <w:tabs>
          <w:tab w:val="right" w:leader="dot" w:pos="8296"/>
        </w:tabs>
        <w:rPr>
          <w:rFonts w:ascii="宋体" w:hAnsi="宋体"/>
          <w:szCs w:val="21"/>
        </w:rPr>
      </w:pPr>
      <w:r>
        <w:rPr>
          <w:rFonts w:ascii="宋体" w:hAnsi="宋体"/>
          <w:szCs w:val="21"/>
        </w:rPr>
        <w:t xml:space="preserve">1.12 </w:t>
      </w:r>
      <w:r>
        <w:rPr>
          <w:rFonts w:hint="eastAsia" w:ascii="宋体" w:hAnsi="宋体"/>
          <w:szCs w:val="21"/>
        </w:rPr>
        <w:t>图纸和文件的保密</w:t>
      </w:r>
      <w:r>
        <w:rPr>
          <w:rFonts w:ascii="宋体" w:hAnsi="宋体"/>
          <w:szCs w:val="21"/>
        </w:rPr>
        <w:tab/>
      </w:r>
      <w:r>
        <w:rPr>
          <w:rFonts w:ascii="宋体" w:hAnsi="宋体"/>
          <w:szCs w:val="21"/>
        </w:rPr>
        <w:fldChar w:fldCharType="begin"/>
      </w:r>
      <w:r>
        <w:rPr>
          <w:rFonts w:ascii="宋体" w:hAnsi="宋体"/>
          <w:szCs w:val="21"/>
        </w:rPr>
        <w:instrText xml:space="preserve"> PAGEREF _Toc108513696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36F791A5">
      <w:pPr>
        <w:pStyle w:val="13"/>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发包人义务</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_Toc108513697 \h </w:instrText>
      </w:r>
      <w:r>
        <w:rPr>
          <w:rFonts w:ascii="宋体" w:hAnsi="宋体" w:eastAsia="宋体"/>
          <w:sz w:val="21"/>
          <w:szCs w:val="21"/>
        </w:rPr>
        <w:fldChar w:fldCharType="separate"/>
      </w:r>
      <w:r>
        <w:rPr>
          <w:rFonts w:ascii="宋体" w:hAnsi="宋体" w:eastAsia="宋体"/>
          <w:sz w:val="21"/>
          <w:szCs w:val="21"/>
        </w:rPr>
        <w:t>151</w:t>
      </w:r>
      <w:r>
        <w:rPr>
          <w:rFonts w:ascii="宋体" w:hAnsi="宋体" w:eastAsia="宋体"/>
          <w:sz w:val="21"/>
          <w:szCs w:val="21"/>
        </w:rPr>
        <w:fldChar w:fldCharType="end"/>
      </w:r>
    </w:p>
    <w:p w14:paraId="245CC172">
      <w:pPr>
        <w:pStyle w:val="8"/>
        <w:tabs>
          <w:tab w:val="right" w:leader="dot" w:pos="8296"/>
        </w:tabs>
        <w:rPr>
          <w:rFonts w:ascii="宋体" w:hAnsi="宋体"/>
          <w:szCs w:val="21"/>
        </w:rPr>
      </w:pPr>
      <w:r>
        <w:rPr>
          <w:rFonts w:ascii="宋体" w:hAnsi="宋体"/>
          <w:szCs w:val="21"/>
        </w:rPr>
        <w:t xml:space="preserve">2.1 </w:t>
      </w:r>
      <w:r>
        <w:rPr>
          <w:rFonts w:hint="eastAsia" w:ascii="宋体" w:hAnsi="宋体"/>
          <w:szCs w:val="21"/>
        </w:rPr>
        <w:t>遵守法律</w:t>
      </w:r>
      <w:r>
        <w:rPr>
          <w:rFonts w:ascii="宋体" w:hAnsi="宋体"/>
          <w:szCs w:val="21"/>
        </w:rPr>
        <w:tab/>
      </w:r>
      <w:r>
        <w:rPr>
          <w:rFonts w:ascii="宋体" w:hAnsi="宋体"/>
          <w:szCs w:val="21"/>
        </w:rPr>
        <w:fldChar w:fldCharType="begin"/>
      </w:r>
      <w:r>
        <w:rPr>
          <w:rFonts w:ascii="宋体" w:hAnsi="宋体"/>
          <w:szCs w:val="21"/>
        </w:rPr>
        <w:instrText xml:space="preserve"> PAGEREF _Toc108513698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0865171E">
      <w:pPr>
        <w:pStyle w:val="8"/>
        <w:tabs>
          <w:tab w:val="right" w:leader="dot" w:pos="8296"/>
        </w:tabs>
        <w:rPr>
          <w:rFonts w:ascii="宋体" w:hAnsi="宋体"/>
          <w:szCs w:val="21"/>
        </w:rPr>
      </w:pPr>
      <w:r>
        <w:rPr>
          <w:rFonts w:ascii="宋体" w:hAnsi="宋体"/>
          <w:szCs w:val="21"/>
        </w:rPr>
        <w:t xml:space="preserve">2.2 </w:t>
      </w:r>
      <w:r>
        <w:rPr>
          <w:rFonts w:hint="eastAsia" w:ascii="宋体" w:hAnsi="宋体"/>
          <w:szCs w:val="21"/>
        </w:rPr>
        <w:t>发出开工通知</w:t>
      </w:r>
      <w:r>
        <w:rPr>
          <w:rFonts w:ascii="宋体" w:hAnsi="宋体"/>
          <w:szCs w:val="21"/>
        </w:rPr>
        <w:tab/>
      </w:r>
      <w:r>
        <w:rPr>
          <w:rFonts w:ascii="宋体" w:hAnsi="宋体"/>
          <w:szCs w:val="21"/>
        </w:rPr>
        <w:fldChar w:fldCharType="begin"/>
      </w:r>
      <w:r>
        <w:rPr>
          <w:rFonts w:ascii="宋体" w:hAnsi="宋体"/>
          <w:szCs w:val="21"/>
        </w:rPr>
        <w:instrText xml:space="preserve"> PAGEREF _Toc108513699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069AEEA9">
      <w:pPr>
        <w:pStyle w:val="8"/>
        <w:tabs>
          <w:tab w:val="right" w:leader="dot" w:pos="8296"/>
        </w:tabs>
        <w:rPr>
          <w:rFonts w:ascii="宋体" w:hAnsi="宋体"/>
          <w:szCs w:val="21"/>
        </w:rPr>
      </w:pPr>
      <w:r>
        <w:rPr>
          <w:rFonts w:ascii="宋体" w:hAnsi="宋体"/>
          <w:szCs w:val="21"/>
        </w:rPr>
        <w:t xml:space="preserve">2.3 </w:t>
      </w:r>
      <w:r>
        <w:rPr>
          <w:rFonts w:hint="eastAsia" w:ascii="宋体" w:hAnsi="宋体"/>
          <w:szCs w:val="21"/>
        </w:rPr>
        <w:t>提供施工场地</w:t>
      </w:r>
      <w:r>
        <w:rPr>
          <w:rFonts w:ascii="宋体" w:hAnsi="宋体"/>
          <w:szCs w:val="21"/>
        </w:rPr>
        <w:tab/>
      </w:r>
      <w:r>
        <w:rPr>
          <w:rFonts w:ascii="宋体" w:hAnsi="宋体"/>
          <w:szCs w:val="21"/>
        </w:rPr>
        <w:fldChar w:fldCharType="begin"/>
      </w:r>
      <w:r>
        <w:rPr>
          <w:rFonts w:ascii="宋体" w:hAnsi="宋体"/>
          <w:szCs w:val="21"/>
        </w:rPr>
        <w:instrText xml:space="preserve"> PAGEREF _Toc108513700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26F4099F">
      <w:pPr>
        <w:pStyle w:val="8"/>
        <w:tabs>
          <w:tab w:val="right" w:leader="dot" w:pos="8296"/>
        </w:tabs>
        <w:rPr>
          <w:rFonts w:ascii="宋体" w:hAnsi="宋体"/>
          <w:szCs w:val="21"/>
        </w:rPr>
      </w:pPr>
      <w:r>
        <w:rPr>
          <w:rFonts w:ascii="宋体" w:hAnsi="宋体"/>
          <w:szCs w:val="21"/>
        </w:rPr>
        <w:t xml:space="preserve">2.4 </w:t>
      </w:r>
      <w:r>
        <w:rPr>
          <w:rFonts w:hint="eastAsia" w:ascii="宋体" w:hAnsi="宋体"/>
          <w:szCs w:val="21"/>
        </w:rPr>
        <w:t>协助承包人办理证件和批件</w:t>
      </w:r>
      <w:r>
        <w:rPr>
          <w:rFonts w:ascii="宋体" w:hAnsi="宋体"/>
          <w:szCs w:val="21"/>
        </w:rPr>
        <w:tab/>
      </w:r>
      <w:r>
        <w:rPr>
          <w:rFonts w:ascii="宋体" w:hAnsi="宋体"/>
          <w:szCs w:val="21"/>
        </w:rPr>
        <w:fldChar w:fldCharType="begin"/>
      </w:r>
      <w:r>
        <w:rPr>
          <w:rFonts w:ascii="宋体" w:hAnsi="宋体"/>
          <w:szCs w:val="21"/>
        </w:rPr>
        <w:instrText xml:space="preserve"> PAGEREF _Toc108513701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5AF321EB">
      <w:pPr>
        <w:pStyle w:val="8"/>
        <w:tabs>
          <w:tab w:val="right" w:leader="dot" w:pos="8296"/>
        </w:tabs>
        <w:rPr>
          <w:rFonts w:ascii="宋体" w:hAnsi="宋体"/>
          <w:szCs w:val="21"/>
        </w:rPr>
      </w:pPr>
      <w:r>
        <w:rPr>
          <w:rFonts w:ascii="宋体" w:hAnsi="宋体"/>
          <w:szCs w:val="21"/>
        </w:rPr>
        <w:t xml:space="preserve">2.5 </w:t>
      </w:r>
      <w:r>
        <w:rPr>
          <w:rFonts w:hint="eastAsia" w:ascii="宋体" w:hAnsi="宋体"/>
          <w:szCs w:val="21"/>
        </w:rPr>
        <w:t>组织设计交底</w:t>
      </w:r>
      <w:r>
        <w:rPr>
          <w:rFonts w:ascii="宋体" w:hAnsi="宋体"/>
          <w:szCs w:val="21"/>
        </w:rPr>
        <w:tab/>
      </w:r>
      <w:r>
        <w:rPr>
          <w:rFonts w:ascii="宋体" w:hAnsi="宋体"/>
          <w:szCs w:val="21"/>
        </w:rPr>
        <w:fldChar w:fldCharType="begin"/>
      </w:r>
      <w:r>
        <w:rPr>
          <w:rFonts w:ascii="宋体" w:hAnsi="宋体"/>
          <w:szCs w:val="21"/>
        </w:rPr>
        <w:instrText xml:space="preserve"> PAGEREF _Toc108513702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2556A1F8">
      <w:pPr>
        <w:pStyle w:val="8"/>
        <w:tabs>
          <w:tab w:val="right" w:leader="dot" w:pos="8296"/>
        </w:tabs>
        <w:rPr>
          <w:rFonts w:ascii="宋体" w:hAnsi="宋体"/>
          <w:szCs w:val="21"/>
        </w:rPr>
      </w:pPr>
      <w:r>
        <w:rPr>
          <w:rFonts w:ascii="宋体" w:hAnsi="宋体"/>
          <w:szCs w:val="21"/>
        </w:rPr>
        <w:t xml:space="preserve">2.6 </w:t>
      </w:r>
      <w:r>
        <w:rPr>
          <w:rFonts w:hint="eastAsia" w:ascii="宋体" w:hAnsi="宋体"/>
          <w:szCs w:val="21"/>
        </w:rPr>
        <w:t>支付合同价款</w:t>
      </w:r>
      <w:r>
        <w:rPr>
          <w:rFonts w:ascii="宋体" w:hAnsi="宋体"/>
          <w:szCs w:val="21"/>
        </w:rPr>
        <w:tab/>
      </w:r>
      <w:r>
        <w:rPr>
          <w:rFonts w:ascii="宋体" w:hAnsi="宋体"/>
          <w:szCs w:val="21"/>
        </w:rPr>
        <w:fldChar w:fldCharType="begin"/>
      </w:r>
      <w:r>
        <w:rPr>
          <w:rFonts w:ascii="宋体" w:hAnsi="宋体"/>
          <w:szCs w:val="21"/>
        </w:rPr>
        <w:instrText xml:space="preserve"> PAGEREF _Toc108513703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05898888">
      <w:pPr>
        <w:pStyle w:val="8"/>
        <w:tabs>
          <w:tab w:val="right" w:leader="dot" w:pos="8296"/>
        </w:tabs>
        <w:rPr>
          <w:rFonts w:ascii="宋体" w:hAnsi="宋体"/>
          <w:szCs w:val="21"/>
        </w:rPr>
      </w:pPr>
      <w:r>
        <w:rPr>
          <w:rFonts w:ascii="宋体" w:hAnsi="宋体"/>
          <w:szCs w:val="21"/>
        </w:rPr>
        <w:t xml:space="preserve">2.7 </w:t>
      </w:r>
      <w:r>
        <w:rPr>
          <w:rFonts w:hint="eastAsia" w:ascii="宋体" w:hAnsi="宋体"/>
          <w:szCs w:val="21"/>
        </w:rPr>
        <w:t>组织竣工验收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_Toc108513704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5CB8FF9C">
      <w:pPr>
        <w:pStyle w:val="8"/>
        <w:tabs>
          <w:tab w:val="right" w:leader="dot" w:pos="8296"/>
        </w:tabs>
        <w:rPr>
          <w:rFonts w:ascii="宋体" w:hAnsi="宋体"/>
          <w:szCs w:val="21"/>
        </w:rPr>
      </w:pPr>
      <w:r>
        <w:rPr>
          <w:rFonts w:ascii="宋体" w:hAnsi="宋体"/>
          <w:szCs w:val="21"/>
        </w:rPr>
        <w:t xml:space="preserve">2.8 </w:t>
      </w:r>
      <w:r>
        <w:rPr>
          <w:rFonts w:hint="eastAsia" w:ascii="宋体" w:hAnsi="宋体"/>
          <w:szCs w:val="21"/>
        </w:rPr>
        <w:t>其他义务</w:t>
      </w:r>
      <w:r>
        <w:rPr>
          <w:rFonts w:ascii="宋体" w:hAnsi="宋体"/>
          <w:szCs w:val="21"/>
        </w:rPr>
        <w:tab/>
      </w:r>
      <w:r>
        <w:rPr>
          <w:rFonts w:ascii="宋体" w:hAnsi="宋体"/>
          <w:szCs w:val="21"/>
        </w:rPr>
        <w:fldChar w:fldCharType="begin"/>
      </w:r>
      <w:r>
        <w:rPr>
          <w:rFonts w:ascii="宋体" w:hAnsi="宋体"/>
          <w:szCs w:val="21"/>
        </w:rPr>
        <w:instrText xml:space="preserve"> PAGEREF _Toc108513705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63C1DF85">
      <w:pPr>
        <w:pStyle w:val="13"/>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_Toc108513706 \h </w:instrText>
      </w:r>
      <w:r>
        <w:rPr>
          <w:rFonts w:ascii="宋体" w:hAnsi="宋体" w:eastAsia="宋体"/>
          <w:sz w:val="21"/>
          <w:szCs w:val="21"/>
        </w:rPr>
        <w:fldChar w:fldCharType="separate"/>
      </w:r>
      <w:r>
        <w:rPr>
          <w:rFonts w:ascii="宋体" w:hAnsi="宋体" w:eastAsia="宋体"/>
          <w:sz w:val="21"/>
          <w:szCs w:val="21"/>
        </w:rPr>
        <w:t>151</w:t>
      </w:r>
      <w:r>
        <w:rPr>
          <w:rFonts w:ascii="宋体" w:hAnsi="宋体" w:eastAsia="宋体"/>
          <w:sz w:val="21"/>
          <w:szCs w:val="21"/>
        </w:rPr>
        <w:fldChar w:fldCharType="end"/>
      </w:r>
    </w:p>
    <w:p w14:paraId="6463B6B8">
      <w:pPr>
        <w:pStyle w:val="8"/>
        <w:tabs>
          <w:tab w:val="right" w:leader="dot" w:pos="8296"/>
        </w:tabs>
        <w:rPr>
          <w:rFonts w:ascii="宋体" w:hAnsi="宋体"/>
          <w:szCs w:val="21"/>
        </w:rPr>
      </w:pPr>
      <w:r>
        <w:rPr>
          <w:rFonts w:ascii="宋体" w:hAnsi="宋体"/>
          <w:szCs w:val="21"/>
        </w:rPr>
        <w:t xml:space="preserve">3.1 </w:t>
      </w:r>
      <w:r>
        <w:rPr>
          <w:rFonts w:hint="eastAsia" w:ascii="宋体" w:hAnsi="宋体"/>
          <w:szCs w:val="21"/>
        </w:rPr>
        <w:t>监理人的职责和权力</w:t>
      </w:r>
      <w:r>
        <w:rPr>
          <w:rFonts w:ascii="宋体" w:hAnsi="宋体"/>
          <w:szCs w:val="21"/>
        </w:rPr>
        <w:tab/>
      </w:r>
      <w:r>
        <w:rPr>
          <w:rFonts w:ascii="宋体" w:hAnsi="宋体"/>
          <w:szCs w:val="21"/>
        </w:rPr>
        <w:fldChar w:fldCharType="begin"/>
      </w:r>
      <w:r>
        <w:rPr>
          <w:rFonts w:ascii="宋体" w:hAnsi="宋体"/>
          <w:szCs w:val="21"/>
        </w:rPr>
        <w:instrText xml:space="preserve"> PAGEREF _Toc108513707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5A51CBA3">
      <w:pPr>
        <w:pStyle w:val="8"/>
        <w:tabs>
          <w:tab w:val="right" w:leader="dot" w:pos="8296"/>
        </w:tabs>
        <w:rPr>
          <w:rFonts w:ascii="宋体" w:hAnsi="宋体"/>
          <w:szCs w:val="21"/>
        </w:rPr>
      </w:pPr>
      <w:r>
        <w:rPr>
          <w:rFonts w:ascii="宋体" w:hAnsi="宋体"/>
          <w:szCs w:val="21"/>
        </w:rPr>
        <w:t xml:space="preserve">3.2 </w:t>
      </w:r>
      <w:r>
        <w:rPr>
          <w:rFonts w:hint="eastAsia" w:ascii="宋体" w:hAnsi="宋体"/>
          <w:szCs w:val="21"/>
        </w:rPr>
        <w:t>总监理工程师</w:t>
      </w:r>
      <w:r>
        <w:rPr>
          <w:rFonts w:ascii="宋体" w:hAnsi="宋体"/>
          <w:szCs w:val="21"/>
        </w:rPr>
        <w:tab/>
      </w:r>
      <w:r>
        <w:rPr>
          <w:rFonts w:ascii="宋体" w:hAnsi="宋体"/>
          <w:szCs w:val="21"/>
        </w:rPr>
        <w:fldChar w:fldCharType="begin"/>
      </w:r>
      <w:r>
        <w:rPr>
          <w:rFonts w:ascii="宋体" w:hAnsi="宋体"/>
          <w:szCs w:val="21"/>
        </w:rPr>
        <w:instrText xml:space="preserve"> PAGEREF _Toc108513708 \h </w:instrText>
      </w:r>
      <w:r>
        <w:rPr>
          <w:rFonts w:ascii="宋体" w:hAnsi="宋体"/>
          <w:szCs w:val="21"/>
        </w:rPr>
        <w:fldChar w:fldCharType="separate"/>
      </w:r>
      <w:r>
        <w:rPr>
          <w:rFonts w:ascii="宋体" w:hAnsi="宋体"/>
          <w:szCs w:val="21"/>
        </w:rPr>
        <w:t>151</w:t>
      </w:r>
      <w:r>
        <w:rPr>
          <w:rFonts w:ascii="宋体" w:hAnsi="宋体"/>
          <w:szCs w:val="21"/>
        </w:rPr>
        <w:fldChar w:fldCharType="end"/>
      </w:r>
    </w:p>
    <w:p w14:paraId="77535E4A">
      <w:pPr>
        <w:pStyle w:val="8"/>
        <w:tabs>
          <w:tab w:val="right" w:leader="dot" w:pos="8296"/>
        </w:tabs>
        <w:rPr>
          <w:rFonts w:ascii="宋体" w:hAnsi="宋体"/>
          <w:szCs w:val="21"/>
        </w:rPr>
      </w:pPr>
      <w:r>
        <w:rPr>
          <w:rFonts w:ascii="宋体" w:hAnsi="宋体"/>
          <w:szCs w:val="21"/>
        </w:rPr>
        <w:t xml:space="preserve">3.3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_Toc108513709 \h </w:instrText>
      </w:r>
      <w:r>
        <w:rPr>
          <w:rFonts w:ascii="宋体" w:hAnsi="宋体"/>
          <w:szCs w:val="21"/>
        </w:rPr>
        <w:fldChar w:fldCharType="separate"/>
      </w:r>
      <w:r>
        <w:rPr>
          <w:rFonts w:ascii="宋体" w:hAnsi="宋体"/>
          <w:szCs w:val="21"/>
        </w:rPr>
        <w:t>152</w:t>
      </w:r>
      <w:r>
        <w:rPr>
          <w:rFonts w:ascii="宋体" w:hAnsi="宋体"/>
          <w:szCs w:val="21"/>
        </w:rPr>
        <w:fldChar w:fldCharType="end"/>
      </w:r>
    </w:p>
    <w:p w14:paraId="2A04643C">
      <w:pPr>
        <w:pStyle w:val="8"/>
        <w:tabs>
          <w:tab w:val="right" w:leader="dot" w:pos="8296"/>
        </w:tabs>
        <w:rPr>
          <w:rFonts w:ascii="宋体" w:hAnsi="宋体"/>
          <w:szCs w:val="21"/>
        </w:rPr>
      </w:pPr>
      <w:r>
        <w:rPr>
          <w:rFonts w:ascii="宋体" w:hAnsi="宋体"/>
          <w:szCs w:val="21"/>
        </w:rPr>
        <w:t xml:space="preserve">3.4 </w:t>
      </w:r>
      <w:r>
        <w:rPr>
          <w:rFonts w:hint="eastAsia" w:ascii="宋体" w:hAnsi="宋体"/>
          <w:szCs w:val="21"/>
        </w:rPr>
        <w:t>监理人的指示</w:t>
      </w:r>
      <w:r>
        <w:rPr>
          <w:rFonts w:ascii="宋体" w:hAnsi="宋体"/>
          <w:szCs w:val="21"/>
        </w:rPr>
        <w:tab/>
      </w:r>
      <w:r>
        <w:rPr>
          <w:rFonts w:ascii="宋体" w:hAnsi="宋体"/>
          <w:szCs w:val="21"/>
        </w:rPr>
        <w:fldChar w:fldCharType="begin"/>
      </w:r>
      <w:r>
        <w:rPr>
          <w:rFonts w:ascii="宋体" w:hAnsi="宋体"/>
          <w:szCs w:val="21"/>
        </w:rPr>
        <w:instrText xml:space="preserve"> PAGEREF _Toc108513710 \h </w:instrText>
      </w:r>
      <w:r>
        <w:rPr>
          <w:rFonts w:ascii="宋体" w:hAnsi="宋体"/>
          <w:szCs w:val="21"/>
        </w:rPr>
        <w:fldChar w:fldCharType="separate"/>
      </w:r>
      <w:r>
        <w:rPr>
          <w:rFonts w:ascii="宋体" w:hAnsi="宋体"/>
          <w:szCs w:val="21"/>
        </w:rPr>
        <w:t>152</w:t>
      </w:r>
      <w:r>
        <w:rPr>
          <w:rFonts w:ascii="宋体" w:hAnsi="宋体"/>
          <w:szCs w:val="21"/>
        </w:rPr>
        <w:fldChar w:fldCharType="end"/>
      </w:r>
    </w:p>
    <w:p w14:paraId="2AEBA4DD">
      <w:pPr>
        <w:pStyle w:val="8"/>
        <w:tabs>
          <w:tab w:val="right" w:leader="dot" w:pos="8296"/>
        </w:tabs>
        <w:rPr>
          <w:rFonts w:ascii="宋体" w:hAnsi="宋体"/>
          <w:szCs w:val="21"/>
        </w:rPr>
      </w:pPr>
      <w:r>
        <w:rPr>
          <w:rFonts w:ascii="宋体" w:hAnsi="宋体"/>
          <w:szCs w:val="21"/>
        </w:rPr>
        <w:t xml:space="preserve">3.5 </w:t>
      </w:r>
      <w:r>
        <w:rPr>
          <w:rFonts w:hint="eastAsia" w:ascii="宋体" w:hAnsi="宋体"/>
          <w:szCs w:val="21"/>
        </w:rPr>
        <w:t>商定或确定</w:t>
      </w:r>
      <w:r>
        <w:rPr>
          <w:rFonts w:ascii="宋体" w:hAnsi="宋体"/>
          <w:szCs w:val="21"/>
        </w:rPr>
        <w:tab/>
      </w:r>
      <w:r>
        <w:rPr>
          <w:rFonts w:ascii="宋体" w:hAnsi="宋体"/>
          <w:szCs w:val="21"/>
        </w:rPr>
        <w:fldChar w:fldCharType="begin"/>
      </w:r>
      <w:r>
        <w:rPr>
          <w:rFonts w:ascii="宋体" w:hAnsi="宋体"/>
          <w:szCs w:val="21"/>
        </w:rPr>
        <w:instrText xml:space="preserve"> PAGEREF _Toc108513711 \h </w:instrText>
      </w:r>
      <w:r>
        <w:rPr>
          <w:rFonts w:ascii="宋体" w:hAnsi="宋体"/>
          <w:szCs w:val="21"/>
        </w:rPr>
        <w:fldChar w:fldCharType="separate"/>
      </w:r>
      <w:r>
        <w:rPr>
          <w:rFonts w:ascii="宋体" w:hAnsi="宋体"/>
          <w:szCs w:val="21"/>
        </w:rPr>
        <w:t>152</w:t>
      </w:r>
      <w:r>
        <w:rPr>
          <w:rFonts w:ascii="宋体" w:hAnsi="宋体"/>
          <w:szCs w:val="21"/>
        </w:rPr>
        <w:fldChar w:fldCharType="end"/>
      </w:r>
    </w:p>
    <w:p w14:paraId="7DFDD07C">
      <w:pPr>
        <w:pStyle w:val="13"/>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_Toc108513712 \h </w:instrText>
      </w:r>
      <w:r>
        <w:rPr>
          <w:rFonts w:ascii="宋体" w:hAnsi="宋体" w:eastAsia="宋体"/>
          <w:sz w:val="21"/>
          <w:szCs w:val="21"/>
        </w:rPr>
        <w:fldChar w:fldCharType="separate"/>
      </w:r>
      <w:r>
        <w:rPr>
          <w:rFonts w:ascii="宋体" w:hAnsi="宋体" w:eastAsia="宋体"/>
          <w:sz w:val="21"/>
          <w:szCs w:val="21"/>
        </w:rPr>
        <w:t>153</w:t>
      </w:r>
      <w:r>
        <w:rPr>
          <w:rFonts w:ascii="宋体" w:hAnsi="宋体" w:eastAsia="宋体"/>
          <w:sz w:val="21"/>
          <w:szCs w:val="21"/>
        </w:rPr>
        <w:fldChar w:fldCharType="end"/>
      </w:r>
    </w:p>
    <w:p w14:paraId="340DA159">
      <w:pPr>
        <w:pStyle w:val="8"/>
        <w:tabs>
          <w:tab w:val="right" w:leader="dot" w:pos="8296"/>
        </w:tabs>
        <w:rPr>
          <w:rFonts w:ascii="宋体" w:hAnsi="宋体"/>
          <w:szCs w:val="21"/>
        </w:rPr>
      </w:pPr>
      <w:r>
        <w:rPr>
          <w:rFonts w:ascii="宋体" w:hAnsi="宋体"/>
          <w:szCs w:val="21"/>
        </w:rPr>
        <w:t xml:space="preserve">4.1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_Toc108513713 \h </w:instrText>
      </w:r>
      <w:r>
        <w:rPr>
          <w:rFonts w:ascii="宋体" w:hAnsi="宋体"/>
          <w:szCs w:val="21"/>
        </w:rPr>
        <w:fldChar w:fldCharType="separate"/>
      </w:r>
      <w:r>
        <w:rPr>
          <w:rFonts w:ascii="宋体" w:hAnsi="宋体"/>
          <w:szCs w:val="21"/>
        </w:rPr>
        <w:t>153</w:t>
      </w:r>
      <w:r>
        <w:rPr>
          <w:rFonts w:ascii="宋体" w:hAnsi="宋体"/>
          <w:szCs w:val="21"/>
        </w:rPr>
        <w:fldChar w:fldCharType="end"/>
      </w:r>
    </w:p>
    <w:p w14:paraId="488F4E06">
      <w:pPr>
        <w:pStyle w:val="8"/>
        <w:tabs>
          <w:tab w:val="right" w:leader="dot" w:pos="8296"/>
        </w:tabs>
        <w:rPr>
          <w:rFonts w:ascii="宋体" w:hAnsi="宋体"/>
          <w:szCs w:val="21"/>
        </w:rPr>
      </w:pPr>
      <w:r>
        <w:rPr>
          <w:rFonts w:ascii="宋体" w:hAnsi="宋体"/>
          <w:szCs w:val="21"/>
        </w:rPr>
        <w:t xml:space="preserve">4.2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_Toc108513714 \h </w:instrText>
      </w:r>
      <w:r>
        <w:rPr>
          <w:rFonts w:ascii="宋体" w:hAnsi="宋体"/>
          <w:szCs w:val="21"/>
        </w:rPr>
        <w:fldChar w:fldCharType="separate"/>
      </w:r>
      <w:r>
        <w:rPr>
          <w:rFonts w:ascii="宋体" w:hAnsi="宋体"/>
          <w:szCs w:val="21"/>
        </w:rPr>
        <w:t>153</w:t>
      </w:r>
      <w:r>
        <w:rPr>
          <w:rFonts w:ascii="宋体" w:hAnsi="宋体"/>
          <w:szCs w:val="21"/>
        </w:rPr>
        <w:fldChar w:fldCharType="end"/>
      </w:r>
    </w:p>
    <w:p w14:paraId="2D09F2CB">
      <w:pPr>
        <w:pStyle w:val="8"/>
        <w:tabs>
          <w:tab w:val="right" w:leader="dot" w:pos="8296"/>
        </w:tabs>
        <w:rPr>
          <w:rFonts w:ascii="宋体" w:hAnsi="宋体"/>
          <w:szCs w:val="21"/>
        </w:rPr>
      </w:pPr>
      <w:r>
        <w:rPr>
          <w:rFonts w:ascii="宋体" w:hAnsi="宋体"/>
          <w:szCs w:val="21"/>
        </w:rPr>
        <w:t xml:space="preserve">4.3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_Toc108513715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0A4CF545">
      <w:pPr>
        <w:pStyle w:val="8"/>
        <w:tabs>
          <w:tab w:val="right" w:leader="dot" w:pos="8296"/>
        </w:tabs>
        <w:rPr>
          <w:rFonts w:ascii="宋体" w:hAnsi="宋体"/>
          <w:szCs w:val="21"/>
        </w:rPr>
      </w:pPr>
      <w:r>
        <w:rPr>
          <w:rFonts w:ascii="宋体" w:hAnsi="宋体"/>
          <w:szCs w:val="21"/>
        </w:rPr>
        <w:t xml:space="preserve">4.4 </w:t>
      </w:r>
      <w:r>
        <w:rPr>
          <w:rFonts w:hint="eastAsia" w:ascii="宋体" w:hAnsi="宋体"/>
          <w:szCs w:val="21"/>
        </w:rPr>
        <w:t>联合体</w:t>
      </w:r>
      <w:r>
        <w:rPr>
          <w:rFonts w:ascii="宋体" w:hAnsi="宋体"/>
          <w:szCs w:val="21"/>
        </w:rPr>
        <w:tab/>
      </w:r>
      <w:r>
        <w:rPr>
          <w:rFonts w:ascii="宋体" w:hAnsi="宋体"/>
          <w:szCs w:val="21"/>
        </w:rPr>
        <w:fldChar w:fldCharType="begin"/>
      </w:r>
      <w:r>
        <w:rPr>
          <w:rFonts w:ascii="宋体" w:hAnsi="宋体"/>
          <w:szCs w:val="21"/>
        </w:rPr>
        <w:instrText xml:space="preserve"> PAGEREF _Toc108513716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54056BAB">
      <w:pPr>
        <w:pStyle w:val="8"/>
        <w:tabs>
          <w:tab w:val="right" w:leader="dot" w:pos="8296"/>
        </w:tabs>
        <w:rPr>
          <w:rFonts w:ascii="宋体" w:hAnsi="宋体"/>
          <w:szCs w:val="21"/>
        </w:rPr>
      </w:pPr>
      <w:r>
        <w:rPr>
          <w:rFonts w:ascii="宋体" w:hAnsi="宋体"/>
          <w:szCs w:val="21"/>
        </w:rPr>
        <w:t xml:space="preserve">4.5 </w:t>
      </w:r>
      <w:r>
        <w:rPr>
          <w:rFonts w:hint="eastAsia" w:ascii="宋体" w:hAnsi="宋体"/>
          <w:szCs w:val="21"/>
        </w:rPr>
        <w:t>承包人项目经理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_Toc108513717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29DA3923">
      <w:pPr>
        <w:pStyle w:val="8"/>
        <w:tabs>
          <w:tab w:val="right" w:leader="dot" w:pos="8296"/>
        </w:tabs>
        <w:rPr>
          <w:rFonts w:ascii="宋体" w:hAnsi="宋体"/>
          <w:szCs w:val="21"/>
        </w:rPr>
      </w:pPr>
      <w:r>
        <w:rPr>
          <w:rFonts w:ascii="宋体" w:hAnsi="宋体"/>
          <w:szCs w:val="21"/>
        </w:rPr>
        <w:t xml:space="preserve">4.6 </w:t>
      </w:r>
      <w:r>
        <w:rPr>
          <w:rFonts w:hint="eastAsia" w:ascii="宋体" w:hAnsi="宋体"/>
          <w:szCs w:val="21"/>
        </w:rPr>
        <w:t>承包人人员的管理</w:t>
      </w:r>
      <w:r>
        <w:rPr>
          <w:rFonts w:ascii="宋体" w:hAnsi="宋体"/>
          <w:szCs w:val="21"/>
        </w:rPr>
        <w:tab/>
      </w:r>
      <w:r>
        <w:rPr>
          <w:rFonts w:ascii="宋体" w:hAnsi="宋体"/>
          <w:szCs w:val="21"/>
        </w:rPr>
        <w:fldChar w:fldCharType="begin"/>
      </w:r>
      <w:r>
        <w:rPr>
          <w:rFonts w:ascii="宋体" w:hAnsi="宋体"/>
          <w:szCs w:val="21"/>
        </w:rPr>
        <w:instrText xml:space="preserve"> PAGEREF _Toc108513718 \h </w:instrText>
      </w:r>
      <w:r>
        <w:rPr>
          <w:rFonts w:ascii="宋体" w:hAnsi="宋体"/>
          <w:szCs w:val="21"/>
        </w:rPr>
        <w:fldChar w:fldCharType="separate"/>
      </w:r>
      <w:r>
        <w:rPr>
          <w:rFonts w:ascii="宋体" w:hAnsi="宋体"/>
          <w:szCs w:val="21"/>
        </w:rPr>
        <w:t>154</w:t>
      </w:r>
      <w:r>
        <w:rPr>
          <w:rFonts w:ascii="宋体" w:hAnsi="宋体"/>
          <w:szCs w:val="21"/>
        </w:rPr>
        <w:fldChar w:fldCharType="end"/>
      </w:r>
    </w:p>
    <w:p w14:paraId="20181699">
      <w:pPr>
        <w:pStyle w:val="8"/>
        <w:tabs>
          <w:tab w:val="right" w:leader="dot" w:pos="8296"/>
        </w:tabs>
        <w:rPr>
          <w:rFonts w:ascii="宋体" w:hAnsi="宋体"/>
          <w:szCs w:val="21"/>
        </w:rPr>
      </w:pPr>
      <w:r>
        <w:rPr>
          <w:rFonts w:ascii="宋体" w:hAnsi="宋体"/>
          <w:szCs w:val="21"/>
        </w:rPr>
        <w:t xml:space="preserve">4.7 </w:t>
      </w:r>
      <w:r>
        <w:rPr>
          <w:rFonts w:hint="eastAsia" w:ascii="宋体" w:hAnsi="宋体"/>
          <w:szCs w:val="21"/>
        </w:rPr>
        <w:t>撤换承包人项目经理和其他人员</w:t>
      </w:r>
      <w:r>
        <w:rPr>
          <w:rFonts w:ascii="宋体" w:hAnsi="宋体"/>
          <w:szCs w:val="21"/>
        </w:rPr>
        <w:tab/>
      </w:r>
      <w:r>
        <w:rPr>
          <w:rFonts w:ascii="宋体" w:hAnsi="宋体"/>
          <w:szCs w:val="21"/>
        </w:rPr>
        <w:fldChar w:fldCharType="begin"/>
      </w:r>
      <w:r>
        <w:rPr>
          <w:rFonts w:ascii="宋体" w:hAnsi="宋体"/>
          <w:szCs w:val="21"/>
        </w:rPr>
        <w:instrText xml:space="preserve"> PAGEREF _Toc108513719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396B66A3">
      <w:pPr>
        <w:pStyle w:val="8"/>
        <w:tabs>
          <w:tab w:val="right" w:leader="dot" w:pos="8296"/>
        </w:tabs>
        <w:rPr>
          <w:rFonts w:ascii="宋体" w:hAnsi="宋体"/>
          <w:szCs w:val="21"/>
        </w:rPr>
      </w:pPr>
      <w:r>
        <w:rPr>
          <w:rFonts w:ascii="宋体" w:hAnsi="宋体"/>
          <w:szCs w:val="21"/>
        </w:rPr>
        <w:t xml:space="preserve">4.8 </w:t>
      </w:r>
      <w:r>
        <w:rPr>
          <w:rFonts w:hint="eastAsia" w:ascii="宋体" w:hAnsi="宋体"/>
          <w:szCs w:val="21"/>
        </w:rPr>
        <w:t>保障承包人人员的合法权益</w:t>
      </w:r>
      <w:r>
        <w:rPr>
          <w:rFonts w:ascii="宋体" w:hAnsi="宋体"/>
          <w:szCs w:val="21"/>
        </w:rPr>
        <w:tab/>
      </w:r>
      <w:r>
        <w:rPr>
          <w:rFonts w:ascii="宋体" w:hAnsi="宋体"/>
          <w:szCs w:val="21"/>
        </w:rPr>
        <w:fldChar w:fldCharType="begin"/>
      </w:r>
      <w:r>
        <w:rPr>
          <w:rFonts w:ascii="宋体" w:hAnsi="宋体"/>
          <w:szCs w:val="21"/>
        </w:rPr>
        <w:instrText xml:space="preserve"> PAGEREF _Toc108513720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5C293EBF">
      <w:pPr>
        <w:pStyle w:val="8"/>
        <w:tabs>
          <w:tab w:val="right" w:leader="dot" w:pos="8296"/>
        </w:tabs>
        <w:rPr>
          <w:rFonts w:ascii="宋体" w:hAnsi="宋体"/>
          <w:szCs w:val="21"/>
        </w:rPr>
      </w:pPr>
      <w:r>
        <w:rPr>
          <w:rFonts w:ascii="宋体" w:hAnsi="宋体"/>
          <w:szCs w:val="21"/>
        </w:rPr>
        <w:t xml:space="preserve">4.9 </w:t>
      </w:r>
      <w:r>
        <w:rPr>
          <w:rFonts w:hint="eastAsia" w:ascii="宋体" w:hAnsi="宋体"/>
          <w:szCs w:val="21"/>
        </w:rPr>
        <w:t>工程价款应专款专用</w:t>
      </w:r>
      <w:r>
        <w:rPr>
          <w:rFonts w:ascii="宋体" w:hAnsi="宋体"/>
          <w:szCs w:val="21"/>
        </w:rPr>
        <w:tab/>
      </w:r>
      <w:r>
        <w:rPr>
          <w:rFonts w:ascii="宋体" w:hAnsi="宋体"/>
          <w:szCs w:val="21"/>
        </w:rPr>
        <w:fldChar w:fldCharType="begin"/>
      </w:r>
      <w:r>
        <w:rPr>
          <w:rFonts w:ascii="宋体" w:hAnsi="宋体"/>
          <w:szCs w:val="21"/>
        </w:rPr>
        <w:instrText xml:space="preserve"> PAGEREF _Toc108513721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6DFA571C">
      <w:pPr>
        <w:pStyle w:val="8"/>
        <w:tabs>
          <w:tab w:val="right" w:leader="dot" w:pos="8296"/>
        </w:tabs>
        <w:rPr>
          <w:rFonts w:ascii="宋体" w:hAnsi="宋体"/>
          <w:szCs w:val="21"/>
        </w:rPr>
      </w:pPr>
      <w:r>
        <w:rPr>
          <w:rFonts w:ascii="宋体" w:hAnsi="宋体"/>
          <w:szCs w:val="21"/>
        </w:rPr>
        <w:t xml:space="preserve">4.10 </w:t>
      </w:r>
      <w:r>
        <w:rPr>
          <w:rFonts w:hint="eastAsia" w:ascii="宋体" w:hAnsi="宋体"/>
          <w:szCs w:val="21"/>
        </w:rPr>
        <w:t>承包人现场查勘</w:t>
      </w:r>
      <w:r>
        <w:rPr>
          <w:rFonts w:ascii="宋体" w:hAnsi="宋体"/>
          <w:szCs w:val="21"/>
        </w:rPr>
        <w:tab/>
      </w:r>
      <w:r>
        <w:rPr>
          <w:rFonts w:ascii="宋体" w:hAnsi="宋体"/>
          <w:szCs w:val="21"/>
        </w:rPr>
        <w:fldChar w:fldCharType="begin"/>
      </w:r>
      <w:r>
        <w:rPr>
          <w:rFonts w:ascii="宋体" w:hAnsi="宋体"/>
          <w:szCs w:val="21"/>
        </w:rPr>
        <w:instrText xml:space="preserve"> PAGEREF _Toc108513722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6D4AF61C">
      <w:pPr>
        <w:pStyle w:val="8"/>
        <w:tabs>
          <w:tab w:val="right" w:leader="dot" w:pos="8296"/>
        </w:tabs>
        <w:rPr>
          <w:rFonts w:ascii="宋体" w:hAnsi="宋体"/>
          <w:szCs w:val="21"/>
        </w:rPr>
      </w:pPr>
      <w:r>
        <w:rPr>
          <w:rFonts w:ascii="宋体" w:hAnsi="宋体"/>
          <w:szCs w:val="21"/>
        </w:rPr>
        <w:t xml:space="preserve">4.11 </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_Toc108513723 \h </w:instrText>
      </w:r>
      <w:r>
        <w:rPr>
          <w:rFonts w:ascii="宋体" w:hAnsi="宋体"/>
          <w:szCs w:val="21"/>
        </w:rPr>
        <w:fldChar w:fldCharType="separate"/>
      </w:r>
      <w:r>
        <w:rPr>
          <w:rFonts w:ascii="宋体" w:hAnsi="宋体"/>
          <w:szCs w:val="21"/>
        </w:rPr>
        <w:t>155</w:t>
      </w:r>
      <w:r>
        <w:rPr>
          <w:rFonts w:ascii="宋体" w:hAnsi="宋体"/>
          <w:szCs w:val="21"/>
        </w:rPr>
        <w:fldChar w:fldCharType="end"/>
      </w:r>
    </w:p>
    <w:p w14:paraId="2D333A5B">
      <w:pPr>
        <w:pStyle w:val="13"/>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材料和工程设备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_Toc108513724 \h </w:instrText>
      </w:r>
      <w:r>
        <w:rPr>
          <w:rFonts w:ascii="宋体" w:hAnsi="宋体" w:eastAsia="宋体"/>
          <w:sz w:val="21"/>
          <w:szCs w:val="21"/>
        </w:rPr>
        <w:fldChar w:fldCharType="separate"/>
      </w:r>
      <w:r>
        <w:rPr>
          <w:rFonts w:ascii="宋体" w:hAnsi="宋体" w:eastAsia="宋体"/>
          <w:sz w:val="21"/>
          <w:szCs w:val="21"/>
        </w:rPr>
        <w:t>156</w:t>
      </w:r>
      <w:r>
        <w:rPr>
          <w:rFonts w:ascii="宋体" w:hAnsi="宋体" w:eastAsia="宋体"/>
          <w:sz w:val="21"/>
          <w:szCs w:val="21"/>
        </w:rPr>
        <w:fldChar w:fldCharType="end"/>
      </w:r>
    </w:p>
    <w:p w14:paraId="68948CC1">
      <w:pPr>
        <w:pStyle w:val="8"/>
        <w:tabs>
          <w:tab w:val="right" w:leader="dot" w:pos="8296"/>
        </w:tabs>
        <w:rPr>
          <w:rFonts w:ascii="宋体" w:hAnsi="宋体"/>
          <w:szCs w:val="21"/>
        </w:rPr>
      </w:pPr>
      <w:r>
        <w:rPr>
          <w:rFonts w:ascii="宋体" w:hAnsi="宋体"/>
          <w:szCs w:val="21"/>
        </w:rPr>
        <w:t xml:space="preserve">5.1 </w:t>
      </w:r>
      <w:r>
        <w:rPr>
          <w:rFonts w:hint="eastAsia" w:ascii="宋体" w:hAnsi="宋体"/>
          <w:szCs w:val="21"/>
        </w:rPr>
        <w:t>承包人提供的材料和工程设备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_Toc108513725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637199F8">
      <w:pPr>
        <w:pStyle w:val="8"/>
        <w:tabs>
          <w:tab w:val="right" w:leader="dot" w:pos="8296"/>
        </w:tabs>
        <w:rPr>
          <w:rFonts w:ascii="宋体" w:hAnsi="宋体"/>
          <w:szCs w:val="21"/>
        </w:rPr>
      </w:pPr>
      <w:r>
        <w:rPr>
          <w:rFonts w:ascii="宋体" w:hAnsi="宋体"/>
          <w:szCs w:val="21"/>
        </w:rPr>
        <w:t xml:space="preserve">5.2 </w:t>
      </w:r>
      <w:r>
        <w:rPr>
          <w:rFonts w:hint="eastAsia" w:ascii="宋体" w:hAnsi="宋体"/>
          <w:szCs w:val="21"/>
        </w:rPr>
        <w:t>发包人提供的材料和工程设备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_Toc108513726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47C096EE">
      <w:pPr>
        <w:pStyle w:val="8"/>
        <w:tabs>
          <w:tab w:val="right" w:leader="dot" w:pos="8296"/>
        </w:tabs>
        <w:rPr>
          <w:rFonts w:ascii="宋体" w:hAnsi="宋体"/>
          <w:szCs w:val="21"/>
        </w:rPr>
      </w:pPr>
      <w:r>
        <w:rPr>
          <w:rFonts w:ascii="宋体" w:hAnsi="宋体"/>
          <w:szCs w:val="21"/>
        </w:rPr>
        <w:t xml:space="preserve">5.3 </w:t>
      </w:r>
      <w:r>
        <w:rPr>
          <w:rFonts w:hint="eastAsia" w:ascii="宋体" w:hAnsi="宋体"/>
          <w:szCs w:val="21"/>
        </w:rPr>
        <w:t>材料和工程设备专用于合同工程</w:t>
      </w:r>
      <w:r>
        <w:rPr>
          <w:rFonts w:ascii="宋体" w:hAnsi="宋体"/>
          <w:szCs w:val="21"/>
        </w:rPr>
        <w:tab/>
      </w:r>
      <w:r>
        <w:rPr>
          <w:rFonts w:ascii="宋体" w:hAnsi="宋体"/>
          <w:szCs w:val="21"/>
        </w:rPr>
        <w:fldChar w:fldCharType="begin"/>
      </w:r>
      <w:r>
        <w:rPr>
          <w:rFonts w:ascii="宋体" w:hAnsi="宋体"/>
          <w:szCs w:val="21"/>
        </w:rPr>
        <w:instrText xml:space="preserve"> PAGEREF _Toc108513727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61A58A84">
      <w:pPr>
        <w:pStyle w:val="8"/>
        <w:tabs>
          <w:tab w:val="right" w:leader="dot" w:pos="8296"/>
        </w:tabs>
        <w:rPr>
          <w:rFonts w:ascii="宋体" w:hAnsi="宋体"/>
          <w:szCs w:val="21"/>
        </w:rPr>
      </w:pPr>
      <w:r>
        <w:rPr>
          <w:rFonts w:ascii="宋体" w:hAnsi="宋体"/>
          <w:szCs w:val="21"/>
        </w:rPr>
        <w:t xml:space="preserve">5.4 </w:t>
      </w:r>
      <w:r>
        <w:rPr>
          <w:rFonts w:hint="eastAsia" w:ascii="宋体" w:hAnsi="宋体"/>
          <w:szCs w:val="21"/>
        </w:rPr>
        <w:t>禁止使用不合格的材料和工程设备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_Toc108513728 \h </w:instrText>
      </w:r>
      <w:r>
        <w:rPr>
          <w:rFonts w:ascii="宋体" w:hAnsi="宋体"/>
          <w:szCs w:val="21"/>
        </w:rPr>
        <w:fldChar w:fldCharType="separate"/>
      </w:r>
      <w:r>
        <w:rPr>
          <w:rFonts w:ascii="宋体" w:hAnsi="宋体"/>
          <w:szCs w:val="21"/>
        </w:rPr>
        <w:t>156</w:t>
      </w:r>
      <w:r>
        <w:rPr>
          <w:rFonts w:ascii="宋体" w:hAnsi="宋体"/>
          <w:szCs w:val="21"/>
        </w:rPr>
        <w:fldChar w:fldCharType="end"/>
      </w:r>
    </w:p>
    <w:p w14:paraId="5E007FB7">
      <w:pPr>
        <w:pStyle w:val="13"/>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施工设备和临时设施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_Toc108513729 \h </w:instrText>
      </w:r>
      <w:r>
        <w:rPr>
          <w:rFonts w:ascii="宋体" w:hAnsi="宋体" w:eastAsia="宋体"/>
          <w:sz w:val="21"/>
          <w:szCs w:val="21"/>
        </w:rPr>
        <w:fldChar w:fldCharType="separate"/>
      </w:r>
      <w:r>
        <w:rPr>
          <w:rFonts w:ascii="宋体" w:hAnsi="宋体" w:eastAsia="宋体"/>
          <w:sz w:val="21"/>
          <w:szCs w:val="21"/>
        </w:rPr>
        <w:t>157</w:t>
      </w:r>
      <w:r>
        <w:rPr>
          <w:rFonts w:ascii="宋体" w:hAnsi="宋体" w:eastAsia="宋体"/>
          <w:sz w:val="21"/>
          <w:szCs w:val="21"/>
        </w:rPr>
        <w:fldChar w:fldCharType="end"/>
      </w:r>
    </w:p>
    <w:p w14:paraId="0708EC4D">
      <w:pPr>
        <w:pStyle w:val="8"/>
        <w:tabs>
          <w:tab w:val="right" w:leader="dot" w:pos="8296"/>
        </w:tabs>
        <w:rPr>
          <w:rFonts w:ascii="宋体" w:hAnsi="宋体"/>
          <w:szCs w:val="21"/>
        </w:rPr>
      </w:pPr>
      <w:r>
        <w:rPr>
          <w:rFonts w:ascii="宋体" w:hAnsi="宋体"/>
          <w:szCs w:val="21"/>
        </w:rPr>
        <w:t xml:space="preserve">6.1 </w:t>
      </w:r>
      <w:r>
        <w:rPr>
          <w:rFonts w:hint="eastAsia" w:ascii="宋体" w:hAnsi="宋体"/>
          <w:szCs w:val="21"/>
        </w:rPr>
        <w:t>承包人提供的施工设备和临时设施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_Toc108513730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5AB93FF1">
      <w:pPr>
        <w:pStyle w:val="8"/>
        <w:tabs>
          <w:tab w:val="right" w:leader="dot" w:pos="8296"/>
        </w:tabs>
        <w:rPr>
          <w:rFonts w:ascii="宋体" w:hAnsi="宋体"/>
          <w:szCs w:val="21"/>
        </w:rPr>
      </w:pPr>
      <w:r>
        <w:rPr>
          <w:rFonts w:ascii="宋体" w:hAnsi="宋体"/>
          <w:szCs w:val="21"/>
        </w:rPr>
        <w:t xml:space="preserve">6.2 </w:t>
      </w:r>
      <w:r>
        <w:rPr>
          <w:rFonts w:hint="eastAsia" w:ascii="宋体" w:hAnsi="宋体"/>
          <w:szCs w:val="21"/>
        </w:rPr>
        <w:t>发包人提供的施工设备和临时设施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_Toc108513731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512964E1">
      <w:pPr>
        <w:pStyle w:val="8"/>
        <w:tabs>
          <w:tab w:val="right" w:leader="dot" w:pos="8296"/>
        </w:tabs>
        <w:rPr>
          <w:rFonts w:ascii="宋体" w:hAnsi="宋体"/>
          <w:szCs w:val="21"/>
        </w:rPr>
      </w:pPr>
      <w:r>
        <w:rPr>
          <w:rFonts w:ascii="宋体" w:hAnsi="宋体"/>
          <w:szCs w:val="21"/>
        </w:rPr>
        <w:t xml:space="preserve">6.3 </w:t>
      </w:r>
      <w:r>
        <w:rPr>
          <w:rFonts w:hint="eastAsia" w:ascii="宋体" w:hAnsi="宋体"/>
          <w:szCs w:val="21"/>
        </w:rPr>
        <w:t>要求承包人增加或更换施工设备</w:t>
      </w:r>
      <w:r>
        <w:rPr>
          <w:rFonts w:ascii="宋体" w:hAnsi="宋体"/>
          <w:szCs w:val="21"/>
        </w:rPr>
        <w:tab/>
      </w:r>
      <w:r>
        <w:rPr>
          <w:rFonts w:ascii="宋体" w:hAnsi="宋体"/>
          <w:szCs w:val="21"/>
        </w:rPr>
        <w:fldChar w:fldCharType="begin"/>
      </w:r>
      <w:r>
        <w:rPr>
          <w:rFonts w:ascii="宋体" w:hAnsi="宋体"/>
          <w:szCs w:val="21"/>
        </w:rPr>
        <w:instrText xml:space="preserve"> PAGEREF _Toc108513732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635ECD89">
      <w:pPr>
        <w:pStyle w:val="8"/>
        <w:tabs>
          <w:tab w:val="right" w:leader="dot" w:pos="8296"/>
        </w:tabs>
        <w:rPr>
          <w:rFonts w:ascii="宋体" w:hAnsi="宋体"/>
          <w:szCs w:val="21"/>
        </w:rPr>
      </w:pPr>
      <w:r>
        <w:rPr>
          <w:rFonts w:ascii="宋体" w:hAnsi="宋体"/>
          <w:szCs w:val="21"/>
        </w:rPr>
        <w:t xml:space="preserve">6.4 </w:t>
      </w:r>
      <w:r>
        <w:rPr>
          <w:rFonts w:hint="eastAsia" w:ascii="宋体" w:hAnsi="宋体"/>
          <w:szCs w:val="21"/>
        </w:rPr>
        <w:t>施工设备和临时设施专用于合同工程</w:t>
      </w:r>
      <w:r>
        <w:rPr>
          <w:rFonts w:ascii="宋体" w:hAnsi="宋体"/>
          <w:szCs w:val="21"/>
        </w:rPr>
        <w:tab/>
      </w:r>
      <w:r>
        <w:rPr>
          <w:rFonts w:ascii="宋体" w:hAnsi="宋体"/>
          <w:szCs w:val="21"/>
        </w:rPr>
        <w:fldChar w:fldCharType="begin"/>
      </w:r>
      <w:r>
        <w:rPr>
          <w:rFonts w:ascii="宋体" w:hAnsi="宋体"/>
          <w:szCs w:val="21"/>
        </w:rPr>
        <w:instrText xml:space="preserve"> PAGEREF _Toc108513733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16573C16">
      <w:pPr>
        <w:pStyle w:val="13"/>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交通运输</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_Toc108513734 \h </w:instrText>
      </w:r>
      <w:r>
        <w:rPr>
          <w:rFonts w:ascii="宋体" w:hAnsi="宋体" w:eastAsia="宋体"/>
          <w:sz w:val="21"/>
          <w:szCs w:val="21"/>
        </w:rPr>
        <w:fldChar w:fldCharType="separate"/>
      </w:r>
      <w:r>
        <w:rPr>
          <w:rFonts w:ascii="宋体" w:hAnsi="宋体" w:eastAsia="宋体"/>
          <w:sz w:val="21"/>
          <w:szCs w:val="21"/>
        </w:rPr>
        <w:t>157</w:t>
      </w:r>
      <w:r>
        <w:rPr>
          <w:rFonts w:ascii="宋体" w:hAnsi="宋体" w:eastAsia="宋体"/>
          <w:sz w:val="21"/>
          <w:szCs w:val="21"/>
        </w:rPr>
        <w:fldChar w:fldCharType="end"/>
      </w:r>
    </w:p>
    <w:p w14:paraId="00DF4379">
      <w:pPr>
        <w:pStyle w:val="8"/>
        <w:tabs>
          <w:tab w:val="right" w:leader="dot" w:pos="8296"/>
        </w:tabs>
        <w:rPr>
          <w:rFonts w:ascii="宋体" w:hAnsi="宋体"/>
          <w:szCs w:val="21"/>
        </w:rPr>
      </w:pPr>
      <w:r>
        <w:rPr>
          <w:rFonts w:ascii="宋体" w:hAnsi="宋体"/>
          <w:szCs w:val="21"/>
        </w:rPr>
        <w:t xml:space="preserve">7.1 </w:t>
      </w:r>
      <w:r>
        <w:rPr>
          <w:rFonts w:hint="eastAsia" w:ascii="宋体" w:hAnsi="宋体"/>
          <w:szCs w:val="21"/>
        </w:rPr>
        <w:t>道路通行权和场外设施</w:t>
      </w:r>
      <w:r>
        <w:rPr>
          <w:rFonts w:ascii="宋体" w:hAnsi="宋体"/>
          <w:szCs w:val="21"/>
        </w:rPr>
        <w:tab/>
      </w:r>
      <w:r>
        <w:rPr>
          <w:rFonts w:ascii="宋体" w:hAnsi="宋体"/>
          <w:szCs w:val="21"/>
        </w:rPr>
        <w:fldChar w:fldCharType="begin"/>
      </w:r>
      <w:r>
        <w:rPr>
          <w:rFonts w:ascii="宋体" w:hAnsi="宋体"/>
          <w:szCs w:val="21"/>
        </w:rPr>
        <w:instrText xml:space="preserve"> PAGEREF _Toc108513735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112FD114">
      <w:pPr>
        <w:pStyle w:val="8"/>
        <w:tabs>
          <w:tab w:val="right" w:leader="dot" w:pos="8296"/>
        </w:tabs>
        <w:rPr>
          <w:rFonts w:ascii="宋体" w:hAnsi="宋体"/>
          <w:szCs w:val="21"/>
        </w:rPr>
      </w:pPr>
      <w:r>
        <w:rPr>
          <w:rFonts w:ascii="宋体" w:hAnsi="宋体"/>
          <w:szCs w:val="21"/>
        </w:rPr>
        <w:t xml:space="preserve">7.2 </w:t>
      </w:r>
      <w:r>
        <w:rPr>
          <w:rFonts w:hint="eastAsia" w:ascii="宋体" w:hAnsi="宋体"/>
          <w:szCs w:val="21"/>
        </w:rPr>
        <w:t>场内施工道路</w:t>
      </w:r>
      <w:r>
        <w:rPr>
          <w:rFonts w:ascii="宋体" w:hAnsi="宋体"/>
          <w:szCs w:val="21"/>
        </w:rPr>
        <w:tab/>
      </w:r>
      <w:r>
        <w:rPr>
          <w:rFonts w:ascii="宋体" w:hAnsi="宋体"/>
          <w:szCs w:val="21"/>
        </w:rPr>
        <w:fldChar w:fldCharType="begin"/>
      </w:r>
      <w:r>
        <w:rPr>
          <w:rFonts w:ascii="宋体" w:hAnsi="宋体"/>
          <w:szCs w:val="21"/>
        </w:rPr>
        <w:instrText xml:space="preserve"> PAGEREF _Toc108513736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2D330661">
      <w:pPr>
        <w:pStyle w:val="8"/>
        <w:tabs>
          <w:tab w:val="right" w:leader="dot" w:pos="8296"/>
        </w:tabs>
        <w:rPr>
          <w:rFonts w:ascii="宋体" w:hAnsi="宋体"/>
          <w:szCs w:val="21"/>
        </w:rPr>
      </w:pPr>
      <w:r>
        <w:rPr>
          <w:rFonts w:ascii="宋体" w:hAnsi="宋体"/>
          <w:szCs w:val="21"/>
        </w:rPr>
        <w:t xml:space="preserve">7.3 </w:t>
      </w:r>
      <w:r>
        <w:rPr>
          <w:rFonts w:hint="eastAsia" w:ascii="宋体" w:hAnsi="宋体"/>
          <w:szCs w:val="21"/>
        </w:rPr>
        <w:t>场外交通</w:t>
      </w:r>
      <w:r>
        <w:rPr>
          <w:rFonts w:ascii="宋体" w:hAnsi="宋体"/>
          <w:szCs w:val="21"/>
        </w:rPr>
        <w:tab/>
      </w:r>
      <w:r>
        <w:rPr>
          <w:rFonts w:ascii="宋体" w:hAnsi="宋体"/>
          <w:szCs w:val="21"/>
        </w:rPr>
        <w:fldChar w:fldCharType="begin"/>
      </w:r>
      <w:r>
        <w:rPr>
          <w:rFonts w:ascii="宋体" w:hAnsi="宋体"/>
          <w:szCs w:val="21"/>
        </w:rPr>
        <w:instrText xml:space="preserve"> PAGEREF _Toc108513737 \h </w:instrText>
      </w:r>
      <w:r>
        <w:rPr>
          <w:rFonts w:ascii="宋体" w:hAnsi="宋体"/>
          <w:szCs w:val="21"/>
        </w:rPr>
        <w:fldChar w:fldCharType="separate"/>
      </w:r>
      <w:r>
        <w:rPr>
          <w:rFonts w:ascii="宋体" w:hAnsi="宋体"/>
          <w:szCs w:val="21"/>
        </w:rPr>
        <w:t>157</w:t>
      </w:r>
      <w:r>
        <w:rPr>
          <w:rFonts w:ascii="宋体" w:hAnsi="宋体"/>
          <w:szCs w:val="21"/>
        </w:rPr>
        <w:fldChar w:fldCharType="end"/>
      </w:r>
    </w:p>
    <w:p w14:paraId="0B42E7F6">
      <w:pPr>
        <w:pStyle w:val="8"/>
        <w:tabs>
          <w:tab w:val="right" w:leader="dot" w:pos="8296"/>
        </w:tabs>
        <w:rPr>
          <w:rFonts w:ascii="宋体" w:hAnsi="宋体"/>
          <w:szCs w:val="21"/>
        </w:rPr>
      </w:pPr>
      <w:r>
        <w:rPr>
          <w:rFonts w:ascii="宋体" w:hAnsi="宋体"/>
          <w:szCs w:val="21"/>
        </w:rPr>
        <w:t xml:space="preserve">7.4 </w:t>
      </w:r>
      <w:r>
        <w:rPr>
          <w:rFonts w:hint="eastAsia" w:ascii="宋体" w:hAnsi="宋体"/>
          <w:szCs w:val="21"/>
        </w:rPr>
        <w:t>超大件和超重件的运输</w:t>
      </w:r>
      <w:r>
        <w:rPr>
          <w:rFonts w:ascii="宋体" w:hAnsi="宋体"/>
          <w:szCs w:val="21"/>
        </w:rPr>
        <w:tab/>
      </w:r>
      <w:r>
        <w:rPr>
          <w:rFonts w:ascii="宋体" w:hAnsi="宋体"/>
          <w:szCs w:val="21"/>
        </w:rPr>
        <w:fldChar w:fldCharType="begin"/>
      </w:r>
      <w:r>
        <w:rPr>
          <w:rFonts w:ascii="宋体" w:hAnsi="宋体"/>
          <w:szCs w:val="21"/>
        </w:rPr>
        <w:instrText xml:space="preserve"> PAGEREF _Toc108513738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6F5CC155">
      <w:pPr>
        <w:pStyle w:val="8"/>
        <w:tabs>
          <w:tab w:val="right" w:leader="dot" w:pos="8296"/>
        </w:tabs>
        <w:rPr>
          <w:rFonts w:ascii="宋体" w:hAnsi="宋体"/>
          <w:szCs w:val="21"/>
        </w:rPr>
      </w:pPr>
      <w:r>
        <w:rPr>
          <w:rFonts w:ascii="宋体" w:hAnsi="宋体"/>
          <w:szCs w:val="21"/>
        </w:rPr>
        <w:t xml:space="preserve">7.5 </w:t>
      </w:r>
      <w:r>
        <w:rPr>
          <w:rFonts w:hint="eastAsia" w:ascii="宋体" w:hAnsi="宋体"/>
          <w:szCs w:val="21"/>
        </w:rPr>
        <w:t>道路和桥梁的损坏责任</w:t>
      </w:r>
      <w:r>
        <w:rPr>
          <w:rFonts w:ascii="宋体" w:hAnsi="宋体"/>
          <w:szCs w:val="21"/>
        </w:rPr>
        <w:tab/>
      </w:r>
      <w:r>
        <w:rPr>
          <w:rFonts w:ascii="宋体" w:hAnsi="宋体"/>
          <w:szCs w:val="21"/>
        </w:rPr>
        <w:fldChar w:fldCharType="begin"/>
      </w:r>
      <w:r>
        <w:rPr>
          <w:rFonts w:ascii="宋体" w:hAnsi="宋体"/>
          <w:szCs w:val="21"/>
        </w:rPr>
        <w:instrText xml:space="preserve"> PAGEREF _Toc108513739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46FE74CA">
      <w:pPr>
        <w:pStyle w:val="8"/>
        <w:tabs>
          <w:tab w:val="right" w:leader="dot" w:pos="8296"/>
        </w:tabs>
        <w:rPr>
          <w:rFonts w:ascii="宋体" w:hAnsi="宋体"/>
          <w:szCs w:val="21"/>
        </w:rPr>
      </w:pPr>
      <w:r>
        <w:rPr>
          <w:rFonts w:ascii="宋体" w:hAnsi="宋体"/>
          <w:szCs w:val="21"/>
        </w:rPr>
        <w:t xml:space="preserve">7.6 </w:t>
      </w:r>
      <w:r>
        <w:rPr>
          <w:rFonts w:hint="eastAsia" w:ascii="宋体" w:hAnsi="宋体"/>
          <w:szCs w:val="21"/>
        </w:rPr>
        <w:t>水路和航空运输</w:t>
      </w:r>
      <w:r>
        <w:rPr>
          <w:rFonts w:ascii="宋体" w:hAnsi="宋体"/>
          <w:szCs w:val="21"/>
        </w:rPr>
        <w:tab/>
      </w:r>
      <w:r>
        <w:rPr>
          <w:rFonts w:ascii="宋体" w:hAnsi="宋体"/>
          <w:szCs w:val="21"/>
        </w:rPr>
        <w:fldChar w:fldCharType="begin"/>
      </w:r>
      <w:r>
        <w:rPr>
          <w:rFonts w:ascii="宋体" w:hAnsi="宋体"/>
          <w:szCs w:val="21"/>
        </w:rPr>
        <w:instrText xml:space="preserve"> PAGEREF _Toc108513740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2840BE49">
      <w:pPr>
        <w:pStyle w:val="13"/>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测量放线</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_Toc108513741 \h </w:instrText>
      </w:r>
      <w:r>
        <w:rPr>
          <w:rFonts w:ascii="宋体" w:hAnsi="宋体" w:eastAsia="宋体"/>
          <w:sz w:val="21"/>
          <w:szCs w:val="21"/>
        </w:rPr>
        <w:fldChar w:fldCharType="separate"/>
      </w:r>
      <w:r>
        <w:rPr>
          <w:rFonts w:ascii="宋体" w:hAnsi="宋体" w:eastAsia="宋体"/>
          <w:sz w:val="21"/>
          <w:szCs w:val="21"/>
        </w:rPr>
        <w:t>158</w:t>
      </w:r>
      <w:r>
        <w:rPr>
          <w:rFonts w:ascii="宋体" w:hAnsi="宋体" w:eastAsia="宋体"/>
          <w:sz w:val="21"/>
          <w:szCs w:val="21"/>
        </w:rPr>
        <w:fldChar w:fldCharType="end"/>
      </w:r>
    </w:p>
    <w:p w14:paraId="4E8D63B1">
      <w:pPr>
        <w:pStyle w:val="8"/>
        <w:tabs>
          <w:tab w:val="right" w:leader="dot" w:pos="8296"/>
        </w:tabs>
        <w:rPr>
          <w:rFonts w:ascii="宋体" w:hAnsi="宋体"/>
          <w:szCs w:val="21"/>
        </w:rPr>
      </w:pPr>
      <w:r>
        <w:rPr>
          <w:rFonts w:ascii="宋体" w:hAnsi="宋体"/>
          <w:szCs w:val="21"/>
        </w:rPr>
        <w:t xml:space="preserve">8.1 </w:t>
      </w:r>
      <w:r>
        <w:rPr>
          <w:rFonts w:hint="eastAsia" w:ascii="宋体" w:hAnsi="宋体"/>
          <w:szCs w:val="21"/>
        </w:rPr>
        <w:t>施工控制网</w:t>
      </w:r>
      <w:r>
        <w:rPr>
          <w:rFonts w:ascii="宋体" w:hAnsi="宋体"/>
          <w:szCs w:val="21"/>
        </w:rPr>
        <w:tab/>
      </w:r>
      <w:r>
        <w:rPr>
          <w:rFonts w:ascii="宋体" w:hAnsi="宋体"/>
          <w:szCs w:val="21"/>
        </w:rPr>
        <w:fldChar w:fldCharType="begin"/>
      </w:r>
      <w:r>
        <w:rPr>
          <w:rFonts w:ascii="宋体" w:hAnsi="宋体"/>
          <w:szCs w:val="21"/>
        </w:rPr>
        <w:instrText xml:space="preserve"> PAGEREF _Toc108513742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31A4C55B">
      <w:pPr>
        <w:pStyle w:val="8"/>
        <w:tabs>
          <w:tab w:val="right" w:leader="dot" w:pos="8296"/>
        </w:tabs>
        <w:rPr>
          <w:rFonts w:ascii="宋体" w:hAnsi="宋体"/>
          <w:szCs w:val="21"/>
        </w:rPr>
      </w:pPr>
      <w:r>
        <w:rPr>
          <w:rFonts w:ascii="宋体" w:hAnsi="宋体"/>
          <w:szCs w:val="21"/>
        </w:rPr>
        <w:t xml:space="preserve">8.2 </w:t>
      </w:r>
      <w:r>
        <w:rPr>
          <w:rFonts w:hint="eastAsia" w:ascii="宋体" w:hAnsi="宋体"/>
          <w:szCs w:val="21"/>
        </w:rPr>
        <w:t>施工测量</w:t>
      </w:r>
      <w:r>
        <w:rPr>
          <w:rFonts w:ascii="宋体" w:hAnsi="宋体"/>
          <w:szCs w:val="21"/>
        </w:rPr>
        <w:tab/>
      </w:r>
      <w:r>
        <w:rPr>
          <w:rFonts w:ascii="宋体" w:hAnsi="宋体"/>
          <w:szCs w:val="21"/>
        </w:rPr>
        <w:fldChar w:fldCharType="begin"/>
      </w:r>
      <w:r>
        <w:rPr>
          <w:rFonts w:ascii="宋体" w:hAnsi="宋体"/>
          <w:szCs w:val="21"/>
        </w:rPr>
        <w:instrText xml:space="preserve"> PAGEREF _Toc108513743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6CC92ED5">
      <w:pPr>
        <w:pStyle w:val="8"/>
        <w:tabs>
          <w:tab w:val="right" w:leader="dot" w:pos="8296"/>
        </w:tabs>
        <w:rPr>
          <w:rFonts w:ascii="宋体" w:hAnsi="宋体"/>
          <w:szCs w:val="21"/>
        </w:rPr>
      </w:pPr>
      <w:r>
        <w:rPr>
          <w:rFonts w:ascii="宋体" w:hAnsi="宋体"/>
          <w:szCs w:val="21"/>
        </w:rPr>
        <w:t xml:space="preserve">8.3 </w:t>
      </w:r>
      <w:r>
        <w:rPr>
          <w:rFonts w:hint="eastAsia" w:ascii="宋体" w:hAnsi="宋体"/>
          <w:szCs w:val="21"/>
        </w:rPr>
        <w:t>基准资料错误的责任</w:t>
      </w:r>
      <w:r>
        <w:rPr>
          <w:rFonts w:ascii="宋体" w:hAnsi="宋体"/>
          <w:szCs w:val="21"/>
        </w:rPr>
        <w:tab/>
      </w:r>
      <w:r>
        <w:rPr>
          <w:rFonts w:ascii="宋体" w:hAnsi="宋体"/>
          <w:szCs w:val="21"/>
        </w:rPr>
        <w:fldChar w:fldCharType="begin"/>
      </w:r>
      <w:r>
        <w:rPr>
          <w:rFonts w:ascii="宋体" w:hAnsi="宋体"/>
          <w:szCs w:val="21"/>
        </w:rPr>
        <w:instrText xml:space="preserve"> PAGEREF _Toc108513744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108623D7">
      <w:pPr>
        <w:pStyle w:val="8"/>
        <w:tabs>
          <w:tab w:val="right" w:leader="dot" w:pos="8296"/>
        </w:tabs>
        <w:rPr>
          <w:rFonts w:ascii="宋体" w:hAnsi="宋体"/>
          <w:szCs w:val="21"/>
        </w:rPr>
      </w:pPr>
      <w:r>
        <w:rPr>
          <w:rFonts w:ascii="宋体" w:hAnsi="宋体"/>
          <w:szCs w:val="21"/>
        </w:rPr>
        <w:t xml:space="preserve">8.4 </w:t>
      </w:r>
      <w:r>
        <w:rPr>
          <w:rFonts w:hint="eastAsia" w:ascii="宋体" w:hAnsi="宋体"/>
          <w:szCs w:val="21"/>
        </w:rPr>
        <w:t>监理人使用施工控制网</w:t>
      </w:r>
      <w:r>
        <w:rPr>
          <w:rFonts w:ascii="宋体" w:hAnsi="宋体"/>
          <w:szCs w:val="21"/>
        </w:rPr>
        <w:tab/>
      </w:r>
      <w:r>
        <w:rPr>
          <w:rFonts w:ascii="宋体" w:hAnsi="宋体"/>
          <w:szCs w:val="21"/>
        </w:rPr>
        <w:fldChar w:fldCharType="begin"/>
      </w:r>
      <w:r>
        <w:rPr>
          <w:rFonts w:ascii="宋体" w:hAnsi="宋体"/>
          <w:szCs w:val="21"/>
        </w:rPr>
        <w:instrText xml:space="preserve"> PAGEREF _Toc108513745 \h </w:instrText>
      </w:r>
      <w:r>
        <w:rPr>
          <w:rFonts w:ascii="宋体" w:hAnsi="宋体"/>
          <w:szCs w:val="21"/>
        </w:rPr>
        <w:fldChar w:fldCharType="separate"/>
      </w:r>
      <w:r>
        <w:rPr>
          <w:rFonts w:ascii="宋体" w:hAnsi="宋体"/>
          <w:szCs w:val="21"/>
        </w:rPr>
        <w:t>158</w:t>
      </w:r>
      <w:r>
        <w:rPr>
          <w:rFonts w:ascii="宋体" w:hAnsi="宋体"/>
          <w:szCs w:val="21"/>
        </w:rPr>
        <w:fldChar w:fldCharType="end"/>
      </w:r>
    </w:p>
    <w:p w14:paraId="4F44B6FC">
      <w:pPr>
        <w:pStyle w:val="13"/>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施工安全、治安保卫和环境保护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_Toc108513746 \h </w:instrText>
      </w:r>
      <w:r>
        <w:rPr>
          <w:rFonts w:ascii="宋体" w:hAnsi="宋体" w:eastAsia="宋体"/>
          <w:sz w:val="21"/>
          <w:szCs w:val="21"/>
        </w:rPr>
        <w:fldChar w:fldCharType="separate"/>
      </w:r>
      <w:r>
        <w:rPr>
          <w:rFonts w:ascii="宋体" w:hAnsi="宋体" w:eastAsia="宋体"/>
          <w:sz w:val="21"/>
          <w:szCs w:val="21"/>
        </w:rPr>
        <w:t>159</w:t>
      </w:r>
      <w:r>
        <w:rPr>
          <w:rFonts w:ascii="宋体" w:hAnsi="宋体" w:eastAsia="宋体"/>
          <w:sz w:val="21"/>
          <w:szCs w:val="21"/>
        </w:rPr>
        <w:fldChar w:fldCharType="end"/>
      </w:r>
    </w:p>
    <w:p w14:paraId="4E976202">
      <w:pPr>
        <w:pStyle w:val="8"/>
        <w:tabs>
          <w:tab w:val="right" w:leader="dot" w:pos="8296"/>
        </w:tabs>
        <w:rPr>
          <w:rFonts w:ascii="宋体" w:hAnsi="宋体"/>
          <w:szCs w:val="21"/>
        </w:rPr>
      </w:pPr>
      <w:r>
        <w:rPr>
          <w:rFonts w:ascii="宋体" w:hAnsi="宋体"/>
          <w:szCs w:val="21"/>
        </w:rPr>
        <w:t xml:space="preserve">9.1 </w:t>
      </w:r>
      <w:r>
        <w:rPr>
          <w:rFonts w:hint="eastAsia" w:ascii="宋体" w:hAnsi="宋体"/>
          <w:szCs w:val="21"/>
        </w:rPr>
        <w:t>发包人的施工安全责任</w:t>
      </w:r>
      <w:r>
        <w:rPr>
          <w:rFonts w:ascii="宋体" w:hAnsi="宋体"/>
          <w:szCs w:val="21"/>
        </w:rPr>
        <w:tab/>
      </w:r>
      <w:r>
        <w:rPr>
          <w:rFonts w:ascii="宋体" w:hAnsi="宋体"/>
          <w:szCs w:val="21"/>
        </w:rPr>
        <w:fldChar w:fldCharType="begin"/>
      </w:r>
      <w:r>
        <w:rPr>
          <w:rFonts w:ascii="宋体" w:hAnsi="宋体"/>
          <w:szCs w:val="21"/>
        </w:rPr>
        <w:instrText xml:space="preserve"> PAGEREF _Toc108513747 \h </w:instrText>
      </w:r>
      <w:r>
        <w:rPr>
          <w:rFonts w:ascii="宋体" w:hAnsi="宋体"/>
          <w:szCs w:val="21"/>
        </w:rPr>
        <w:fldChar w:fldCharType="separate"/>
      </w:r>
      <w:r>
        <w:rPr>
          <w:rFonts w:ascii="宋体" w:hAnsi="宋体"/>
          <w:szCs w:val="21"/>
        </w:rPr>
        <w:t>159</w:t>
      </w:r>
      <w:r>
        <w:rPr>
          <w:rFonts w:ascii="宋体" w:hAnsi="宋体"/>
          <w:szCs w:val="21"/>
        </w:rPr>
        <w:fldChar w:fldCharType="end"/>
      </w:r>
    </w:p>
    <w:p w14:paraId="3A731864">
      <w:pPr>
        <w:pStyle w:val="8"/>
        <w:tabs>
          <w:tab w:val="right" w:leader="dot" w:pos="8296"/>
        </w:tabs>
        <w:rPr>
          <w:rFonts w:ascii="宋体" w:hAnsi="宋体"/>
          <w:szCs w:val="21"/>
        </w:rPr>
      </w:pPr>
      <w:r>
        <w:rPr>
          <w:rFonts w:ascii="宋体" w:hAnsi="宋体"/>
          <w:szCs w:val="21"/>
        </w:rPr>
        <w:t xml:space="preserve">9.2 </w:t>
      </w:r>
      <w:r>
        <w:rPr>
          <w:rFonts w:hint="eastAsia" w:ascii="宋体" w:hAnsi="宋体"/>
          <w:szCs w:val="21"/>
        </w:rPr>
        <w:t>承包人的施工安全责任</w:t>
      </w:r>
      <w:r>
        <w:rPr>
          <w:rFonts w:ascii="宋体" w:hAnsi="宋体"/>
          <w:szCs w:val="21"/>
        </w:rPr>
        <w:tab/>
      </w:r>
      <w:r>
        <w:rPr>
          <w:rFonts w:ascii="宋体" w:hAnsi="宋体"/>
          <w:szCs w:val="21"/>
        </w:rPr>
        <w:fldChar w:fldCharType="begin"/>
      </w:r>
      <w:r>
        <w:rPr>
          <w:rFonts w:ascii="宋体" w:hAnsi="宋体"/>
          <w:szCs w:val="21"/>
        </w:rPr>
        <w:instrText xml:space="preserve"> PAGEREF _Toc108513748 \h </w:instrText>
      </w:r>
      <w:r>
        <w:rPr>
          <w:rFonts w:ascii="宋体" w:hAnsi="宋体"/>
          <w:szCs w:val="21"/>
        </w:rPr>
        <w:fldChar w:fldCharType="separate"/>
      </w:r>
      <w:r>
        <w:rPr>
          <w:rFonts w:ascii="宋体" w:hAnsi="宋体"/>
          <w:szCs w:val="21"/>
        </w:rPr>
        <w:t>159</w:t>
      </w:r>
      <w:r>
        <w:rPr>
          <w:rFonts w:ascii="宋体" w:hAnsi="宋体"/>
          <w:szCs w:val="21"/>
        </w:rPr>
        <w:fldChar w:fldCharType="end"/>
      </w:r>
    </w:p>
    <w:p w14:paraId="601C7A39">
      <w:pPr>
        <w:pStyle w:val="8"/>
        <w:tabs>
          <w:tab w:val="right" w:leader="dot" w:pos="8296"/>
        </w:tabs>
        <w:rPr>
          <w:rFonts w:ascii="宋体" w:hAnsi="宋体"/>
          <w:szCs w:val="21"/>
        </w:rPr>
      </w:pPr>
      <w:r>
        <w:rPr>
          <w:rFonts w:ascii="宋体" w:hAnsi="宋体"/>
          <w:szCs w:val="21"/>
        </w:rPr>
        <w:t xml:space="preserve">9.3 </w:t>
      </w:r>
      <w:r>
        <w:rPr>
          <w:rFonts w:hint="eastAsia" w:ascii="宋体" w:hAnsi="宋体"/>
          <w:szCs w:val="21"/>
        </w:rPr>
        <w:t>治安保卫</w:t>
      </w:r>
      <w:r>
        <w:rPr>
          <w:rFonts w:ascii="宋体" w:hAnsi="宋体"/>
          <w:szCs w:val="21"/>
        </w:rPr>
        <w:tab/>
      </w:r>
      <w:r>
        <w:rPr>
          <w:rFonts w:ascii="宋体" w:hAnsi="宋体"/>
          <w:szCs w:val="21"/>
        </w:rPr>
        <w:fldChar w:fldCharType="begin"/>
      </w:r>
      <w:r>
        <w:rPr>
          <w:rFonts w:ascii="宋体" w:hAnsi="宋体"/>
          <w:szCs w:val="21"/>
        </w:rPr>
        <w:instrText xml:space="preserve"> PAGEREF _Toc108513749 \h </w:instrText>
      </w:r>
      <w:r>
        <w:rPr>
          <w:rFonts w:ascii="宋体" w:hAnsi="宋体"/>
          <w:szCs w:val="21"/>
        </w:rPr>
        <w:fldChar w:fldCharType="separate"/>
      </w:r>
      <w:r>
        <w:rPr>
          <w:rFonts w:ascii="宋体" w:hAnsi="宋体"/>
          <w:szCs w:val="21"/>
        </w:rPr>
        <w:t>159</w:t>
      </w:r>
      <w:r>
        <w:rPr>
          <w:rFonts w:ascii="宋体" w:hAnsi="宋体"/>
          <w:szCs w:val="21"/>
        </w:rPr>
        <w:fldChar w:fldCharType="end"/>
      </w:r>
    </w:p>
    <w:p w14:paraId="5FF005F5">
      <w:pPr>
        <w:pStyle w:val="8"/>
        <w:tabs>
          <w:tab w:val="right" w:leader="dot" w:pos="8296"/>
        </w:tabs>
        <w:rPr>
          <w:rFonts w:ascii="宋体" w:hAnsi="宋体"/>
          <w:szCs w:val="21"/>
        </w:rPr>
      </w:pPr>
      <w:r>
        <w:rPr>
          <w:rFonts w:ascii="宋体" w:hAnsi="宋体"/>
          <w:szCs w:val="21"/>
        </w:rPr>
        <w:t xml:space="preserve">9.4 </w:t>
      </w:r>
      <w:r>
        <w:rPr>
          <w:rFonts w:hint="eastAsia" w:ascii="宋体" w:hAnsi="宋体"/>
          <w:szCs w:val="21"/>
        </w:rPr>
        <w:t>环境保护</w:t>
      </w:r>
      <w:r>
        <w:rPr>
          <w:rFonts w:ascii="宋体" w:hAnsi="宋体"/>
          <w:szCs w:val="21"/>
        </w:rPr>
        <w:tab/>
      </w:r>
      <w:r>
        <w:rPr>
          <w:rFonts w:ascii="宋体" w:hAnsi="宋体"/>
          <w:szCs w:val="21"/>
        </w:rPr>
        <w:fldChar w:fldCharType="begin"/>
      </w:r>
      <w:r>
        <w:rPr>
          <w:rFonts w:ascii="宋体" w:hAnsi="宋体"/>
          <w:szCs w:val="21"/>
        </w:rPr>
        <w:instrText xml:space="preserve"> PAGEREF _Toc108513750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2262E265">
      <w:pPr>
        <w:pStyle w:val="8"/>
        <w:tabs>
          <w:tab w:val="right" w:leader="dot" w:pos="8296"/>
        </w:tabs>
        <w:rPr>
          <w:rFonts w:ascii="宋体" w:hAnsi="宋体"/>
          <w:szCs w:val="21"/>
        </w:rPr>
      </w:pPr>
      <w:r>
        <w:rPr>
          <w:rFonts w:ascii="宋体" w:hAnsi="宋体"/>
          <w:szCs w:val="21"/>
        </w:rPr>
        <w:t xml:space="preserve">9.5 </w:t>
      </w:r>
      <w:r>
        <w:rPr>
          <w:rFonts w:hint="eastAsia" w:ascii="宋体" w:hAnsi="宋体"/>
          <w:szCs w:val="21"/>
        </w:rPr>
        <w:t>事故处理</w:t>
      </w:r>
      <w:r>
        <w:rPr>
          <w:rFonts w:ascii="宋体" w:hAnsi="宋体"/>
          <w:szCs w:val="21"/>
        </w:rPr>
        <w:tab/>
      </w:r>
      <w:r>
        <w:rPr>
          <w:rFonts w:ascii="宋体" w:hAnsi="宋体"/>
          <w:szCs w:val="21"/>
        </w:rPr>
        <w:fldChar w:fldCharType="begin"/>
      </w:r>
      <w:r>
        <w:rPr>
          <w:rFonts w:ascii="宋体" w:hAnsi="宋体"/>
          <w:szCs w:val="21"/>
        </w:rPr>
        <w:instrText xml:space="preserve"> PAGEREF _Toc108513751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485F674F">
      <w:pPr>
        <w:pStyle w:val="13"/>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进度计划</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_Toc108513752 \h </w:instrText>
      </w:r>
      <w:r>
        <w:rPr>
          <w:rFonts w:ascii="宋体" w:hAnsi="宋体" w:eastAsia="宋体"/>
          <w:sz w:val="21"/>
          <w:szCs w:val="21"/>
        </w:rPr>
        <w:fldChar w:fldCharType="separate"/>
      </w:r>
      <w:r>
        <w:rPr>
          <w:rFonts w:ascii="宋体" w:hAnsi="宋体" w:eastAsia="宋体"/>
          <w:sz w:val="21"/>
          <w:szCs w:val="21"/>
        </w:rPr>
        <w:t>160</w:t>
      </w:r>
      <w:r>
        <w:rPr>
          <w:rFonts w:ascii="宋体" w:hAnsi="宋体" w:eastAsia="宋体"/>
          <w:sz w:val="21"/>
          <w:szCs w:val="21"/>
        </w:rPr>
        <w:fldChar w:fldCharType="end"/>
      </w:r>
    </w:p>
    <w:p w14:paraId="626D43BA">
      <w:pPr>
        <w:pStyle w:val="8"/>
        <w:tabs>
          <w:tab w:val="right" w:leader="dot" w:pos="8296"/>
        </w:tabs>
        <w:rPr>
          <w:rFonts w:ascii="宋体" w:hAnsi="宋体"/>
          <w:szCs w:val="21"/>
        </w:rPr>
      </w:pPr>
      <w:r>
        <w:rPr>
          <w:rFonts w:ascii="宋体" w:hAnsi="宋体"/>
          <w:szCs w:val="21"/>
        </w:rPr>
        <w:t xml:space="preserve">10.1 </w:t>
      </w:r>
      <w:r>
        <w:rPr>
          <w:rFonts w:hint="eastAsia" w:ascii="宋体" w:hAnsi="宋体"/>
          <w:szCs w:val="21"/>
        </w:rPr>
        <w:t>合同进度计划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_Toc108513753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399B75CA">
      <w:pPr>
        <w:pStyle w:val="8"/>
        <w:tabs>
          <w:tab w:val="right" w:leader="dot" w:pos="8296"/>
        </w:tabs>
        <w:rPr>
          <w:rFonts w:ascii="宋体" w:hAnsi="宋体"/>
          <w:szCs w:val="21"/>
        </w:rPr>
      </w:pPr>
      <w:r>
        <w:rPr>
          <w:rFonts w:ascii="宋体" w:hAnsi="宋体"/>
          <w:szCs w:val="21"/>
        </w:rPr>
        <w:t xml:space="preserve">10.2 </w:t>
      </w:r>
      <w:r>
        <w:rPr>
          <w:rFonts w:hint="eastAsia" w:ascii="宋体" w:hAnsi="宋体"/>
          <w:szCs w:val="21"/>
        </w:rPr>
        <w:t>合同进度计划的修订</w:t>
      </w:r>
      <w:r>
        <w:rPr>
          <w:rFonts w:ascii="宋体" w:hAnsi="宋体"/>
          <w:szCs w:val="21"/>
        </w:rPr>
        <w:tab/>
      </w:r>
      <w:r>
        <w:rPr>
          <w:rFonts w:ascii="宋体" w:hAnsi="宋体"/>
          <w:szCs w:val="21"/>
        </w:rPr>
        <w:fldChar w:fldCharType="begin"/>
      </w:r>
      <w:r>
        <w:rPr>
          <w:rFonts w:ascii="宋体" w:hAnsi="宋体"/>
          <w:szCs w:val="21"/>
        </w:rPr>
        <w:instrText xml:space="preserve"> PAGEREF _Toc108513754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409EFFC4">
      <w:pPr>
        <w:pStyle w:val="13"/>
        <w:tabs>
          <w:tab w:val="right" w:leader="dot" w:pos="8296"/>
        </w:tabs>
        <w:rPr>
          <w:rFonts w:ascii="宋体" w:hAnsi="宋体" w:eastAsia="宋体"/>
          <w:sz w:val="21"/>
          <w:szCs w:val="21"/>
        </w:rPr>
      </w:pPr>
      <w:r>
        <w:rPr>
          <w:rFonts w:ascii="宋体" w:hAnsi="宋体" w:eastAsia="宋体"/>
          <w:sz w:val="21"/>
          <w:szCs w:val="21"/>
        </w:rPr>
        <w:t xml:space="preserve">11. </w:t>
      </w:r>
      <w:r>
        <w:rPr>
          <w:rFonts w:hint="eastAsia" w:ascii="宋体" w:hAnsi="宋体" w:eastAsia="宋体"/>
          <w:sz w:val="21"/>
          <w:szCs w:val="21"/>
        </w:rPr>
        <w:t>开工和竣工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_Toc108513755 \h </w:instrText>
      </w:r>
      <w:r>
        <w:rPr>
          <w:rFonts w:ascii="宋体" w:hAnsi="宋体" w:eastAsia="宋体"/>
          <w:sz w:val="21"/>
          <w:szCs w:val="21"/>
        </w:rPr>
        <w:fldChar w:fldCharType="separate"/>
      </w:r>
      <w:r>
        <w:rPr>
          <w:rFonts w:ascii="宋体" w:hAnsi="宋体" w:eastAsia="宋体"/>
          <w:sz w:val="21"/>
          <w:szCs w:val="21"/>
        </w:rPr>
        <w:t>160</w:t>
      </w:r>
      <w:r>
        <w:rPr>
          <w:rFonts w:ascii="宋体" w:hAnsi="宋体" w:eastAsia="宋体"/>
          <w:sz w:val="21"/>
          <w:szCs w:val="21"/>
        </w:rPr>
        <w:fldChar w:fldCharType="end"/>
      </w:r>
    </w:p>
    <w:p w14:paraId="2BC223C0">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开工</w:t>
      </w:r>
      <w:r>
        <w:rPr>
          <w:rFonts w:ascii="宋体" w:hAnsi="宋体"/>
          <w:szCs w:val="21"/>
        </w:rPr>
        <w:tab/>
      </w:r>
      <w:r>
        <w:rPr>
          <w:rFonts w:ascii="宋体" w:hAnsi="宋体"/>
          <w:szCs w:val="21"/>
        </w:rPr>
        <w:fldChar w:fldCharType="begin"/>
      </w:r>
      <w:r>
        <w:rPr>
          <w:rFonts w:ascii="宋体" w:hAnsi="宋体"/>
          <w:szCs w:val="21"/>
        </w:rPr>
        <w:instrText xml:space="preserve"> PAGEREF _Toc108513756 \h </w:instrText>
      </w:r>
      <w:r>
        <w:rPr>
          <w:rFonts w:ascii="宋体" w:hAnsi="宋体"/>
          <w:szCs w:val="21"/>
        </w:rPr>
        <w:fldChar w:fldCharType="separate"/>
      </w:r>
      <w:r>
        <w:rPr>
          <w:rFonts w:ascii="宋体" w:hAnsi="宋体"/>
          <w:szCs w:val="21"/>
        </w:rPr>
        <w:t>160</w:t>
      </w:r>
      <w:r>
        <w:rPr>
          <w:rFonts w:ascii="宋体" w:hAnsi="宋体"/>
          <w:szCs w:val="21"/>
        </w:rPr>
        <w:fldChar w:fldCharType="end"/>
      </w:r>
    </w:p>
    <w:p w14:paraId="6D9ADB97">
      <w:pPr>
        <w:pStyle w:val="8"/>
        <w:tabs>
          <w:tab w:val="right" w:leader="dot" w:pos="8296"/>
        </w:tabs>
        <w:rPr>
          <w:rFonts w:ascii="宋体" w:hAnsi="宋体"/>
          <w:szCs w:val="21"/>
        </w:rPr>
      </w:pPr>
      <w:r>
        <w:rPr>
          <w:rFonts w:ascii="宋体" w:hAnsi="宋体"/>
          <w:szCs w:val="21"/>
        </w:rPr>
        <w:t xml:space="preserve">11.2 </w:t>
      </w:r>
      <w:r>
        <w:rPr>
          <w:rFonts w:hint="eastAsia" w:ascii="宋体" w:hAnsi="宋体"/>
          <w:szCs w:val="21"/>
        </w:rPr>
        <w:t>竣工</w:t>
      </w:r>
      <w:r>
        <w:rPr>
          <w:rFonts w:ascii="宋体" w:hAnsi="宋体"/>
          <w:szCs w:val="21"/>
        </w:rPr>
        <w:tab/>
      </w:r>
      <w:r>
        <w:rPr>
          <w:rFonts w:ascii="宋体" w:hAnsi="宋体"/>
          <w:szCs w:val="21"/>
        </w:rPr>
        <w:fldChar w:fldCharType="begin"/>
      </w:r>
      <w:r>
        <w:rPr>
          <w:rFonts w:ascii="宋体" w:hAnsi="宋体"/>
          <w:szCs w:val="21"/>
        </w:rPr>
        <w:instrText xml:space="preserve"> PAGEREF _Toc108513757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1DA16F0E">
      <w:pPr>
        <w:pStyle w:val="8"/>
        <w:tabs>
          <w:tab w:val="right" w:leader="dot" w:pos="8296"/>
        </w:tabs>
        <w:rPr>
          <w:rFonts w:ascii="宋体" w:hAnsi="宋体"/>
          <w:szCs w:val="21"/>
        </w:rPr>
      </w:pPr>
      <w:r>
        <w:rPr>
          <w:rFonts w:ascii="宋体" w:hAnsi="宋体"/>
          <w:szCs w:val="21"/>
        </w:rPr>
        <w:t xml:space="preserve">11.3 </w:t>
      </w:r>
      <w:r>
        <w:rPr>
          <w:rFonts w:hint="eastAsia" w:ascii="宋体" w:hAnsi="宋体"/>
          <w:szCs w:val="21"/>
        </w:rPr>
        <w:t>发包人的工期延误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_Toc108513758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08E7E5C2">
      <w:pPr>
        <w:pStyle w:val="8"/>
        <w:tabs>
          <w:tab w:val="right" w:leader="dot" w:pos="8296"/>
        </w:tabs>
        <w:rPr>
          <w:rFonts w:ascii="宋体" w:hAnsi="宋体"/>
          <w:szCs w:val="21"/>
        </w:rPr>
      </w:pPr>
      <w:r>
        <w:rPr>
          <w:rFonts w:ascii="宋体" w:hAnsi="宋体"/>
          <w:szCs w:val="21"/>
        </w:rPr>
        <w:t xml:space="preserve">11.4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_Toc108513759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33322B89">
      <w:pPr>
        <w:pStyle w:val="8"/>
        <w:tabs>
          <w:tab w:val="right" w:leader="dot" w:pos="8296"/>
        </w:tabs>
        <w:rPr>
          <w:rFonts w:ascii="宋体" w:hAnsi="宋体"/>
          <w:szCs w:val="21"/>
        </w:rPr>
      </w:pPr>
      <w:r>
        <w:rPr>
          <w:rFonts w:ascii="宋体" w:hAnsi="宋体"/>
          <w:szCs w:val="21"/>
        </w:rPr>
        <w:t xml:space="preserve">11.5 </w:t>
      </w:r>
      <w:r>
        <w:rPr>
          <w:rFonts w:hint="eastAsia" w:ascii="宋体" w:hAnsi="宋体"/>
          <w:szCs w:val="21"/>
        </w:rPr>
        <w:t>承包人的工期延误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_Toc108513760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679AF03A">
      <w:pPr>
        <w:pStyle w:val="8"/>
        <w:tabs>
          <w:tab w:val="right" w:leader="dot" w:pos="8296"/>
        </w:tabs>
        <w:rPr>
          <w:rFonts w:ascii="宋体" w:hAnsi="宋体"/>
          <w:szCs w:val="21"/>
        </w:rPr>
      </w:pPr>
      <w:r>
        <w:rPr>
          <w:rFonts w:ascii="宋体" w:hAnsi="宋体"/>
          <w:szCs w:val="21"/>
        </w:rPr>
        <w:t xml:space="preserve">11.6 </w:t>
      </w:r>
      <w:r>
        <w:rPr>
          <w:rFonts w:hint="eastAsia" w:ascii="宋体" w:hAnsi="宋体"/>
          <w:szCs w:val="21"/>
        </w:rPr>
        <w:t>工期提前</w:t>
      </w:r>
      <w:r>
        <w:rPr>
          <w:rFonts w:ascii="宋体" w:hAnsi="宋体"/>
          <w:szCs w:val="21"/>
        </w:rPr>
        <w:tab/>
      </w:r>
      <w:r>
        <w:rPr>
          <w:rFonts w:ascii="宋体" w:hAnsi="宋体"/>
          <w:szCs w:val="21"/>
        </w:rPr>
        <w:fldChar w:fldCharType="begin"/>
      </w:r>
      <w:r>
        <w:rPr>
          <w:rFonts w:ascii="宋体" w:hAnsi="宋体"/>
          <w:szCs w:val="21"/>
        </w:rPr>
        <w:instrText xml:space="preserve"> PAGEREF _Toc108513761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1C09E065">
      <w:pPr>
        <w:pStyle w:val="13"/>
        <w:tabs>
          <w:tab w:val="right" w:leader="dot" w:pos="8296"/>
        </w:tabs>
        <w:rPr>
          <w:rFonts w:ascii="宋体" w:hAnsi="宋体" w:eastAsia="宋体"/>
          <w:sz w:val="21"/>
          <w:szCs w:val="21"/>
        </w:rPr>
      </w:pPr>
      <w:r>
        <w:rPr>
          <w:rFonts w:ascii="宋体" w:hAnsi="宋体" w:eastAsia="宋体"/>
          <w:sz w:val="21"/>
          <w:szCs w:val="21"/>
        </w:rPr>
        <w:t xml:space="preserve">12. </w:t>
      </w:r>
      <w:r>
        <w:rPr>
          <w:rFonts w:hint="eastAsia" w:ascii="宋体" w:hAnsi="宋体" w:eastAsia="宋体"/>
          <w:sz w:val="21"/>
          <w:szCs w:val="21"/>
        </w:rPr>
        <w:t>暂停施工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_Toc108513762 \h </w:instrText>
      </w:r>
      <w:r>
        <w:rPr>
          <w:rFonts w:ascii="宋体" w:hAnsi="宋体" w:eastAsia="宋体"/>
          <w:sz w:val="21"/>
          <w:szCs w:val="21"/>
        </w:rPr>
        <w:fldChar w:fldCharType="separate"/>
      </w:r>
      <w:r>
        <w:rPr>
          <w:rFonts w:ascii="宋体" w:hAnsi="宋体" w:eastAsia="宋体"/>
          <w:sz w:val="21"/>
          <w:szCs w:val="21"/>
        </w:rPr>
        <w:t>161</w:t>
      </w:r>
      <w:r>
        <w:rPr>
          <w:rFonts w:ascii="宋体" w:hAnsi="宋体" w:eastAsia="宋体"/>
          <w:sz w:val="21"/>
          <w:szCs w:val="21"/>
        </w:rPr>
        <w:fldChar w:fldCharType="end"/>
      </w:r>
    </w:p>
    <w:p w14:paraId="0A7284F5">
      <w:pPr>
        <w:pStyle w:val="8"/>
        <w:tabs>
          <w:tab w:val="right" w:leader="dot" w:pos="8296"/>
        </w:tabs>
        <w:rPr>
          <w:rFonts w:ascii="宋体" w:hAnsi="宋体"/>
          <w:szCs w:val="21"/>
        </w:rPr>
      </w:pPr>
      <w:r>
        <w:rPr>
          <w:rFonts w:ascii="宋体" w:hAnsi="宋体"/>
          <w:szCs w:val="21"/>
        </w:rPr>
        <w:t xml:space="preserve">12.1 </w:t>
      </w:r>
      <w:r>
        <w:rPr>
          <w:rFonts w:hint="eastAsia" w:ascii="宋体" w:hAnsi="宋体"/>
          <w:szCs w:val="21"/>
        </w:rPr>
        <w:t>承包人暂停施工的责任</w:t>
      </w:r>
      <w:r>
        <w:rPr>
          <w:rFonts w:ascii="宋体" w:hAnsi="宋体"/>
          <w:szCs w:val="21"/>
        </w:rPr>
        <w:tab/>
      </w:r>
      <w:r>
        <w:rPr>
          <w:rFonts w:ascii="宋体" w:hAnsi="宋体"/>
          <w:szCs w:val="21"/>
        </w:rPr>
        <w:fldChar w:fldCharType="begin"/>
      </w:r>
      <w:r>
        <w:rPr>
          <w:rFonts w:ascii="宋体" w:hAnsi="宋体"/>
          <w:szCs w:val="21"/>
        </w:rPr>
        <w:instrText xml:space="preserve"> PAGEREF _Toc108513763 \h </w:instrText>
      </w:r>
      <w:r>
        <w:rPr>
          <w:rFonts w:ascii="宋体" w:hAnsi="宋体"/>
          <w:szCs w:val="21"/>
        </w:rPr>
        <w:fldChar w:fldCharType="separate"/>
      </w:r>
      <w:r>
        <w:rPr>
          <w:rFonts w:ascii="宋体" w:hAnsi="宋体"/>
          <w:szCs w:val="21"/>
        </w:rPr>
        <w:t>161</w:t>
      </w:r>
      <w:r>
        <w:rPr>
          <w:rFonts w:ascii="宋体" w:hAnsi="宋体"/>
          <w:szCs w:val="21"/>
        </w:rPr>
        <w:fldChar w:fldCharType="end"/>
      </w:r>
    </w:p>
    <w:p w14:paraId="47436459">
      <w:pPr>
        <w:pStyle w:val="8"/>
        <w:tabs>
          <w:tab w:val="right" w:leader="dot" w:pos="8296"/>
        </w:tabs>
        <w:rPr>
          <w:rFonts w:ascii="宋体" w:hAnsi="宋体"/>
          <w:szCs w:val="21"/>
        </w:rPr>
      </w:pPr>
      <w:r>
        <w:rPr>
          <w:rFonts w:ascii="宋体" w:hAnsi="宋体"/>
          <w:szCs w:val="21"/>
        </w:rPr>
        <w:t xml:space="preserve">12.2 </w:t>
      </w:r>
      <w:r>
        <w:rPr>
          <w:rFonts w:hint="eastAsia" w:ascii="宋体" w:hAnsi="宋体"/>
          <w:szCs w:val="21"/>
        </w:rPr>
        <w:t>发包人暂停施工的责任</w:t>
      </w:r>
      <w:r>
        <w:rPr>
          <w:rFonts w:ascii="宋体" w:hAnsi="宋体"/>
          <w:szCs w:val="21"/>
        </w:rPr>
        <w:tab/>
      </w:r>
      <w:r>
        <w:rPr>
          <w:rFonts w:ascii="宋体" w:hAnsi="宋体"/>
          <w:szCs w:val="21"/>
        </w:rPr>
        <w:fldChar w:fldCharType="begin"/>
      </w:r>
      <w:r>
        <w:rPr>
          <w:rFonts w:ascii="宋体" w:hAnsi="宋体"/>
          <w:szCs w:val="21"/>
        </w:rPr>
        <w:instrText xml:space="preserve"> PAGEREF _Toc108513764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2D4C7EE8">
      <w:pPr>
        <w:pStyle w:val="8"/>
        <w:tabs>
          <w:tab w:val="right" w:leader="dot" w:pos="8296"/>
        </w:tabs>
        <w:rPr>
          <w:rFonts w:ascii="宋体" w:hAnsi="宋体"/>
          <w:szCs w:val="21"/>
        </w:rPr>
      </w:pPr>
      <w:r>
        <w:rPr>
          <w:rFonts w:ascii="宋体" w:hAnsi="宋体"/>
          <w:szCs w:val="21"/>
        </w:rPr>
        <w:t xml:space="preserve">12.3 </w:t>
      </w:r>
      <w:r>
        <w:rPr>
          <w:rFonts w:hint="eastAsia" w:ascii="宋体" w:hAnsi="宋体"/>
          <w:szCs w:val="21"/>
        </w:rPr>
        <w:t>监理人暂停施工指示</w:t>
      </w:r>
      <w:r>
        <w:rPr>
          <w:rFonts w:ascii="宋体" w:hAnsi="宋体"/>
          <w:szCs w:val="21"/>
        </w:rPr>
        <w:tab/>
      </w:r>
      <w:r>
        <w:rPr>
          <w:rFonts w:ascii="宋体" w:hAnsi="宋体"/>
          <w:szCs w:val="21"/>
        </w:rPr>
        <w:fldChar w:fldCharType="begin"/>
      </w:r>
      <w:r>
        <w:rPr>
          <w:rFonts w:ascii="宋体" w:hAnsi="宋体"/>
          <w:szCs w:val="21"/>
        </w:rPr>
        <w:instrText xml:space="preserve"> PAGEREF _Toc108513765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129FB504">
      <w:pPr>
        <w:pStyle w:val="8"/>
        <w:tabs>
          <w:tab w:val="right" w:leader="dot" w:pos="8296"/>
        </w:tabs>
        <w:rPr>
          <w:rFonts w:ascii="宋体" w:hAnsi="宋体"/>
          <w:szCs w:val="21"/>
        </w:rPr>
      </w:pPr>
      <w:r>
        <w:rPr>
          <w:rFonts w:ascii="宋体" w:hAnsi="宋体"/>
          <w:szCs w:val="21"/>
        </w:rPr>
        <w:t xml:space="preserve">12.4 </w:t>
      </w:r>
      <w:r>
        <w:rPr>
          <w:rFonts w:hint="eastAsia" w:ascii="宋体" w:hAnsi="宋体"/>
          <w:szCs w:val="21"/>
        </w:rPr>
        <w:t>暂停施工后的复工</w:t>
      </w:r>
      <w:r>
        <w:rPr>
          <w:rFonts w:ascii="宋体" w:hAnsi="宋体"/>
          <w:szCs w:val="21"/>
        </w:rPr>
        <w:tab/>
      </w:r>
      <w:r>
        <w:rPr>
          <w:rFonts w:ascii="宋体" w:hAnsi="宋体"/>
          <w:szCs w:val="21"/>
        </w:rPr>
        <w:fldChar w:fldCharType="begin"/>
      </w:r>
      <w:r>
        <w:rPr>
          <w:rFonts w:ascii="宋体" w:hAnsi="宋体"/>
          <w:szCs w:val="21"/>
        </w:rPr>
        <w:instrText xml:space="preserve"> PAGEREF _Toc108513766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195C97F4">
      <w:pPr>
        <w:pStyle w:val="8"/>
        <w:tabs>
          <w:tab w:val="right" w:leader="dot" w:pos="8296"/>
        </w:tabs>
        <w:rPr>
          <w:rFonts w:ascii="宋体" w:hAnsi="宋体"/>
          <w:szCs w:val="21"/>
        </w:rPr>
      </w:pPr>
      <w:r>
        <w:rPr>
          <w:rFonts w:ascii="宋体" w:hAnsi="宋体"/>
          <w:szCs w:val="21"/>
        </w:rPr>
        <w:t xml:space="preserve">12.5 </w:t>
      </w:r>
      <w:r>
        <w:rPr>
          <w:rFonts w:hint="eastAsia" w:ascii="宋体" w:hAnsi="宋体"/>
          <w:szCs w:val="21"/>
        </w:rPr>
        <w:t>暂停施工持续</w:t>
      </w:r>
      <w:r>
        <w:rPr>
          <w:rFonts w:ascii="宋体" w:hAnsi="宋体"/>
          <w:szCs w:val="21"/>
        </w:rPr>
        <w:t>56</w:t>
      </w:r>
      <w:r>
        <w:rPr>
          <w:rFonts w:hint="eastAsia" w:ascii="宋体" w:hAnsi="宋体"/>
          <w:szCs w:val="21"/>
        </w:rPr>
        <w:t>天以上</w:t>
      </w:r>
      <w:r>
        <w:rPr>
          <w:rFonts w:ascii="宋体" w:hAnsi="宋体"/>
          <w:szCs w:val="21"/>
        </w:rPr>
        <w:tab/>
      </w:r>
      <w:r>
        <w:rPr>
          <w:rFonts w:ascii="宋体" w:hAnsi="宋体"/>
          <w:szCs w:val="21"/>
        </w:rPr>
        <w:fldChar w:fldCharType="begin"/>
      </w:r>
      <w:r>
        <w:rPr>
          <w:rFonts w:ascii="宋体" w:hAnsi="宋体"/>
          <w:szCs w:val="21"/>
        </w:rPr>
        <w:instrText xml:space="preserve"> PAGEREF _Toc108513767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7E1FD03C">
      <w:pPr>
        <w:pStyle w:val="13"/>
        <w:tabs>
          <w:tab w:val="right" w:leader="dot" w:pos="8296"/>
        </w:tabs>
        <w:rPr>
          <w:rFonts w:ascii="宋体" w:hAnsi="宋体" w:eastAsia="宋体"/>
          <w:sz w:val="21"/>
          <w:szCs w:val="21"/>
        </w:rPr>
      </w:pPr>
      <w:r>
        <w:rPr>
          <w:rFonts w:ascii="宋体" w:hAnsi="宋体" w:eastAsia="宋体"/>
          <w:sz w:val="21"/>
          <w:szCs w:val="21"/>
        </w:rPr>
        <w:t xml:space="preserve">13. </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_Toc108513768 \h </w:instrText>
      </w:r>
      <w:r>
        <w:rPr>
          <w:rFonts w:ascii="宋体" w:hAnsi="宋体" w:eastAsia="宋体"/>
          <w:sz w:val="21"/>
          <w:szCs w:val="21"/>
        </w:rPr>
        <w:fldChar w:fldCharType="separate"/>
      </w:r>
      <w:r>
        <w:rPr>
          <w:rFonts w:ascii="宋体" w:hAnsi="宋体" w:eastAsia="宋体"/>
          <w:sz w:val="21"/>
          <w:szCs w:val="21"/>
        </w:rPr>
        <w:t>162</w:t>
      </w:r>
      <w:r>
        <w:rPr>
          <w:rFonts w:ascii="宋体" w:hAnsi="宋体" w:eastAsia="宋体"/>
          <w:sz w:val="21"/>
          <w:szCs w:val="21"/>
        </w:rPr>
        <w:fldChar w:fldCharType="end"/>
      </w:r>
    </w:p>
    <w:p w14:paraId="3956F440">
      <w:pPr>
        <w:pStyle w:val="8"/>
        <w:tabs>
          <w:tab w:val="right" w:leader="dot" w:pos="8296"/>
        </w:tabs>
        <w:rPr>
          <w:rFonts w:ascii="宋体" w:hAnsi="宋体"/>
          <w:szCs w:val="21"/>
        </w:rPr>
      </w:pPr>
      <w:r>
        <w:rPr>
          <w:rFonts w:ascii="宋体" w:hAnsi="宋体"/>
          <w:szCs w:val="21"/>
        </w:rPr>
        <w:t xml:space="preserve">13.1 </w:t>
      </w:r>
      <w:r>
        <w:rPr>
          <w:rFonts w:hint="eastAsia" w:ascii="宋体" w:hAnsi="宋体"/>
          <w:szCs w:val="21"/>
        </w:rPr>
        <w:t>工程质量要求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_Toc108513769 \h </w:instrText>
      </w:r>
      <w:r>
        <w:rPr>
          <w:rFonts w:ascii="宋体" w:hAnsi="宋体"/>
          <w:szCs w:val="21"/>
        </w:rPr>
        <w:fldChar w:fldCharType="separate"/>
      </w:r>
      <w:r>
        <w:rPr>
          <w:rFonts w:ascii="宋体" w:hAnsi="宋体"/>
          <w:szCs w:val="21"/>
        </w:rPr>
        <w:t>162</w:t>
      </w:r>
      <w:r>
        <w:rPr>
          <w:rFonts w:ascii="宋体" w:hAnsi="宋体"/>
          <w:szCs w:val="21"/>
        </w:rPr>
        <w:fldChar w:fldCharType="end"/>
      </w:r>
    </w:p>
    <w:p w14:paraId="6B293CC3">
      <w:pPr>
        <w:pStyle w:val="8"/>
        <w:tabs>
          <w:tab w:val="right" w:leader="dot" w:pos="8296"/>
        </w:tabs>
        <w:rPr>
          <w:rFonts w:ascii="宋体" w:hAnsi="宋体"/>
          <w:szCs w:val="21"/>
        </w:rPr>
      </w:pPr>
      <w:r>
        <w:rPr>
          <w:rFonts w:ascii="宋体" w:hAnsi="宋体"/>
          <w:szCs w:val="21"/>
        </w:rPr>
        <w:t xml:space="preserve">13.2 </w:t>
      </w:r>
      <w:r>
        <w:rPr>
          <w:rFonts w:hint="eastAsia" w:ascii="宋体" w:hAnsi="宋体"/>
          <w:szCs w:val="21"/>
        </w:rPr>
        <w:t>承包人的质量管理</w:t>
      </w:r>
      <w:r>
        <w:rPr>
          <w:rFonts w:ascii="宋体" w:hAnsi="宋体"/>
          <w:szCs w:val="21"/>
        </w:rPr>
        <w:tab/>
      </w:r>
      <w:r>
        <w:rPr>
          <w:rFonts w:ascii="宋体" w:hAnsi="宋体"/>
          <w:szCs w:val="21"/>
        </w:rPr>
        <w:fldChar w:fldCharType="begin"/>
      </w:r>
      <w:r>
        <w:rPr>
          <w:rFonts w:ascii="宋体" w:hAnsi="宋体"/>
          <w:szCs w:val="21"/>
        </w:rPr>
        <w:instrText xml:space="preserve"> PAGEREF _Toc108513770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293317C6">
      <w:pPr>
        <w:pStyle w:val="8"/>
        <w:tabs>
          <w:tab w:val="right" w:leader="dot" w:pos="8296"/>
        </w:tabs>
        <w:rPr>
          <w:rFonts w:ascii="宋体" w:hAnsi="宋体"/>
          <w:szCs w:val="21"/>
        </w:rPr>
      </w:pPr>
      <w:r>
        <w:rPr>
          <w:rFonts w:ascii="宋体" w:hAnsi="宋体"/>
          <w:szCs w:val="21"/>
        </w:rPr>
        <w:t xml:space="preserve">13.3 </w:t>
      </w:r>
      <w:r>
        <w:rPr>
          <w:rFonts w:hint="eastAsia" w:ascii="宋体" w:hAnsi="宋体"/>
          <w:szCs w:val="21"/>
        </w:rPr>
        <w:t>承包人的质量检查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_Toc108513771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3E5B71E5">
      <w:pPr>
        <w:pStyle w:val="8"/>
        <w:tabs>
          <w:tab w:val="right" w:leader="dot" w:pos="8296"/>
        </w:tabs>
        <w:rPr>
          <w:rFonts w:ascii="宋体" w:hAnsi="宋体"/>
          <w:szCs w:val="21"/>
        </w:rPr>
      </w:pPr>
      <w:r>
        <w:rPr>
          <w:rFonts w:ascii="宋体" w:hAnsi="宋体"/>
          <w:szCs w:val="21"/>
        </w:rPr>
        <w:t xml:space="preserve">13.4 </w:t>
      </w:r>
      <w:r>
        <w:rPr>
          <w:rFonts w:hint="eastAsia" w:ascii="宋体" w:hAnsi="宋体"/>
          <w:szCs w:val="21"/>
        </w:rPr>
        <w:t>监理人的质量检查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_Toc108513772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4C1E353C">
      <w:pPr>
        <w:pStyle w:val="8"/>
        <w:tabs>
          <w:tab w:val="right" w:leader="dot" w:pos="8296"/>
        </w:tabs>
        <w:rPr>
          <w:rFonts w:ascii="宋体" w:hAnsi="宋体"/>
          <w:szCs w:val="21"/>
        </w:rPr>
      </w:pPr>
      <w:r>
        <w:rPr>
          <w:rFonts w:ascii="宋体" w:hAnsi="宋体"/>
          <w:szCs w:val="21"/>
        </w:rPr>
        <w:t xml:space="preserve">13.5 </w:t>
      </w:r>
      <w:r>
        <w:rPr>
          <w:rFonts w:hint="eastAsia" w:ascii="宋体" w:hAnsi="宋体"/>
          <w:szCs w:val="21"/>
        </w:rPr>
        <w:t>工程隐蔽部位覆盖前的检查</w:t>
      </w:r>
      <w:r>
        <w:rPr>
          <w:rFonts w:ascii="宋体" w:hAnsi="宋体"/>
          <w:szCs w:val="21"/>
        </w:rPr>
        <w:tab/>
      </w:r>
      <w:r>
        <w:rPr>
          <w:rFonts w:ascii="宋体" w:hAnsi="宋体"/>
          <w:szCs w:val="21"/>
        </w:rPr>
        <w:fldChar w:fldCharType="begin"/>
      </w:r>
      <w:r>
        <w:rPr>
          <w:rFonts w:ascii="宋体" w:hAnsi="宋体"/>
          <w:szCs w:val="21"/>
        </w:rPr>
        <w:instrText xml:space="preserve"> PAGEREF _Toc108513773 \h </w:instrText>
      </w:r>
      <w:r>
        <w:rPr>
          <w:rFonts w:ascii="宋体" w:hAnsi="宋体"/>
          <w:szCs w:val="21"/>
        </w:rPr>
        <w:fldChar w:fldCharType="separate"/>
      </w:r>
      <w:r>
        <w:rPr>
          <w:rFonts w:ascii="宋体" w:hAnsi="宋体"/>
          <w:szCs w:val="21"/>
        </w:rPr>
        <w:t>163</w:t>
      </w:r>
      <w:r>
        <w:rPr>
          <w:rFonts w:ascii="宋体" w:hAnsi="宋体"/>
          <w:szCs w:val="21"/>
        </w:rPr>
        <w:fldChar w:fldCharType="end"/>
      </w:r>
    </w:p>
    <w:p w14:paraId="20A2EDEE">
      <w:pPr>
        <w:pStyle w:val="8"/>
        <w:tabs>
          <w:tab w:val="right" w:leader="dot" w:pos="8296"/>
        </w:tabs>
        <w:rPr>
          <w:rFonts w:ascii="宋体" w:hAnsi="宋体"/>
          <w:szCs w:val="21"/>
        </w:rPr>
      </w:pPr>
      <w:r>
        <w:rPr>
          <w:rFonts w:ascii="宋体" w:hAnsi="宋体"/>
          <w:szCs w:val="21"/>
        </w:rPr>
        <w:t xml:space="preserve">13.6 </w:t>
      </w:r>
      <w:r>
        <w:rPr>
          <w:rFonts w:hint="eastAsia" w:ascii="宋体" w:hAnsi="宋体"/>
          <w:szCs w:val="21"/>
        </w:rPr>
        <w:t>清除不合格工程</w:t>
      </w:r>
      <w:r>
        <w:rPr>
          <w:rFonts w:ascii="宋体" w:hAnsi="宋体"/>
          <w:szCs w:val="21"/>
        </w:rPr>
        <w:tab/>
      </w:r>
      <w:r>
        <w:rPr>
          <w:rFonts w:ascii="宋体" w:hAnsi="宋体"/>
          <w:szCs w:val="21"/>
        </w:rPr>
        <w:fldChar w:fldCharType="begin"/>
      </w:r>
      <w:r>
        <w:rPr>
          <w:rFonts w:ascii="宋体" w:hAnsi="宋体"/>
          <w:szCs w:val="21"/>
        </w:rPr>
        <w:instrText xml:space="preserve"> PAGEREF _Toc108513774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1DBF2CBB">
      <w:pPr>
        <w:pStyle w:val="13"/>
        <w:tabs>
          <w:tab w:val="right" w:leader="dot" w:pos="8296"/>
        </w:tabs>
        <w:rPr>
          <w:rFonts w:ascii="宋体" w:hAnsi="宋体" w:eastAsia="宋体"/>
          <w:sz w:val="21"/>
          <w:szCs w:val="21"/>
        </w:rPr>
      </w:pPr>
      <w:r>
        <w:rPr>
          <w:rFonts w:ascii="宋体" w:hAnsi="宋体" w:eastAsia="宋体"/>
          <w:sz w:val="21"/>
          <w:szCs w:val="21"/>
        </w:rPr>
        <w:t xml:space="preserve">14. </w:t>
      </w:r>
      <w:r>
        <w:rPr>
          <w:rFonts w:hint="eastAsia" w:ascii="宋体" w:hAnsi="宋体" w:eastAsia="宋体"/>
          <w:sz w:val="21"/>
          <w:szCs w:val="21"/>
        </w:rPr>
        <w:t>试验和检验</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_Toc108513775 \h </w:instrText>
      </w:r>
      <w:r>
        <w:rPr>
          <w:rFonts w:ascii="宋体" w:hAnsi="宋体" w:eastAsia="宋体"/>
          <w:sz w:val="21"/>
          <w:szCs w:val="21"/>
        </w:rPr>
        <w:fldChar w:fldCharType="separate"/>
      </w:r>
      <w:r>
        <w:rPr>
          <w:rFonts w:ascii="宋体" w:hAnsi="宋体" w:eastAsia="宋体"/>
          <w:sz w:val="21"/>
          <w:szCs w:val="21"/>
        </w:rPr>
        <w:t>164</w:t>
      </w:r>
      <w:r>
        <w:rPr>
          <w:rFonts w:ascii="宋体" w:hAnsi="宋体" w:eastAsia="宋体"/>
          <w:sz w:val="21"/>
          <w:szCs w:val="21"/>
        </w:rPr>
        <w:fldChar w:fldCharType="end"/>
      </w:r>
    </w:p>
    <w:p w14:paraId="275D9DE2">
      <w:pPr>
        <w:pStyle w:val="8"/>
        <w:tabs>
          <w:tab w:val="right" w:leader="dot" w:pos="8296"/>
        </w:tabs>
        <w:rPr>
          <w:rFonts w:ascii="宋体" w:hAnsi="宋体"/>
          <w:szCs w:val="21"/>
        </w:rPr>
      </w:pPr>
      <w:r>
        <w:rPr>
          <w:rFonts w:ascii="宋体" w:hAnsi="宋体"/>
          <w:szCs w:val="21"/>
        </w:rPr>
        <w:t xml:space="preserve">14.1 </w:t>
      </w:r>
      <w:r>
        <w:rPr>
          <w:rFonts w:hint="eastAsia" w:ascii="宋体" w:hAnsi="宋体"/>
          <w:szCs w:val="21"/>
        </w:rPr>
        <w:t>材料、工程设备和工程的试验和检验</w:t>
      </w:r>
      <w:r>
        <w:rPr>
          <w:rFonts w:ascii="宋体" w:hAnsi="宋体"/>
          <w:szCs w:val="21"/>
        </w:rPr>
        <w:tab/>
      </w:r>
      <w:r>
        <w:rPr>
          <w:rFonts w:ascii="宋体" w:hAnsi="宋体"/>
          <w:szCs w:val="21"/>
        </w:rPr>
        <w:fldChar w:fldCharType="begin"/>
      </w:r>
      <w:r>
        <w:rPr>
          <w:rFonts w:ascii="宋体" w:hAnsi="宋体"/>
          <w:szCs w:val="21"/>
        </w:rPr>
        <w:instrText xml:space="preserve"> PAGEREF _Toc108513776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3B734894">
      <w:pPr>
        <w:pStyle w:val="8"/>
        <w:tabs>
          <w:tab w:val="right" w:leader="dot" w:pos="8296"/>
        </w:tabs>
        <w:rPr>
          <w:rFonts w:ascii="宋体" w:hAnsi="宋体"/>
          <w:szCs w:val="21"/>
        </w:rPr>
      </w:pPr>
      <w:r>
        <w:rPr>
          <w:rFonts w:ascii="宋体" w:hAnsi="宋体"/>
          <w:szCs w:val="21"/>
        </w:rPr>
        <w:t xml:space="preserve">14.2 </w:t>
      </w:r>
      <w:r>
        <w:rPr>
          <w:rFonts w:hint="eastAsia" w:ascii="宋体" w:hAnsi="宋体"/>
          <w:szCs w:val="21"/>
        </w:rPr>
        <w:t>现场材料试验</w:t>
      </w:r>
      <w:r>
        <w:rPr>
          <w:rFonts w:ascii="宋体" w:hAnsi="宋体"/>
          <w:szCs w:val="21"/>
        </w:rPr>
        <w:tab/>
      </w:r>
      <w:r>
        <w:rPr>
          <w:rFonts w:ascii="宋体" w:hAnsi="宋体"/>
          <w:szCs w:val="21"/>
        </w:rPr>
        <w:fldChar w:fldCharType="begin"/>
      </w:r>
      <w:r>
        <w:rPr>
          <w:rFonts w:ascii="宋体" w:hAnsi="宋体"/>
          <w:szCs w:val="21"/>
        </w:rPr>
        <w:instrText xml:space="preserve"> PAGEREF _Toc108513777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17ABFD71">
      <w:pPr>
        <w:pStyle w:val="8"/>
        <w:tabs>
          <w:tab w:val="right" w:leader="dot" w:pos="8296"/>
        </w:tabs>
        <w:rPr>
          <w:rFonts w:ascii="宋体" w:hAnsi="宋体"/>
          <w:szCs w:val="21"/>
        </w:rPr>
      </w:pPr>
      <w:r>
        <w:rPr>
          <w:rFonts w:ascii="宋体" w:hAnsi="宋体"/>
          <w:szCs w:val="21"/>
        </w:rPr>
        <w:t xml:space="preserve">14.3 </w:t>
      </w:r>
      <w:r>
        <w:rPr>
          <w:rFonts w:hint="eastAsia" w:ascii="宋体" w:hAnsi="宋体"/>
          <w:szCs w:val="21"/>
        </w:rPr>
        <w:t>现场工艺试验</w:t>
      </w:r>
      <w:r>
        <w:rPr>
          <w:rFonts w:ascii="宋体" w:hAnsi="宋体"/>
          <w:szCs w:val="21"/>
        </w:rPr>
        <w:tab/>
      </w:r>
      <w:r>
        <w:rPr>
          <w:rFonts w:ascii="宋体" w:hAnsi="宋体"/>
          <w:szCs w:val="21"/>
        </w:rPr>
        <w:fldChar w:fldCharType="begin"/>
      </w:r>
      <w:r>
        <w:rPr>
          <w:rFonts w:ascii="宋体" w:hAnsi="宋体"/>
          <w:szCs w:val="21"/>
        </w:rPr>
        <w:instrText xml:space="preserve"> PAGEREF _Toc108513778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0287E3B7">
      <w:pPr>
        <w:pStyle w:val="13"/>
        <w:tabs>
          <w:tab w:val="right" w:leader="dot" w:pos="8296"/>
        </w:tabs>
        <w:rPr>
          <w:rFonts w:ascii="宋体" w:hAnsi="宋体" w:eastAsia="宋体"/>
          <w:sz w:val="21"/>
          <w:szCs w:val="21"/>
        </w:rPr>
      </w:pPr>
      <w:r>
        <w:rPr>
          <w:rFonts w:ascii="宋体" w:hAnsi="宋体" w:eastAsia="宋体"/>
          <w:sz w:val="21"/>
          <w:szCs w:val="21"/>
        </w:rPr>
        <w:t xml:space="preserve">15. </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_Toc108513779 \h </w:instrText>
      </w:r>
      <w:r>
        <w:rPr>
          <w:rFonts w:ascii="宋体" w:hAnsi="宋体" w:eastAsia="宋体"/>
          <w:sz w:val="21"/>
          <w:szCs w:val="21"/>
        </w:rPr>
        <w:fldChar w:fldCharType="separate"/>
      </w:r>
      <w:r>
        <w:rPr>
          <w:rFonts w:ascii="宋体" w:hAnsi="宋体" w:eastAsia="宋体"/>
          <w:sz w:val="21"/>
          <w:szCs w:val="21"/>
        </w:rPr>
        <w:t>164</w:t>
      </w:r>
      <w:r>
        <w:rPr>
          <w:rFonts w:ascii="宋体" w:hAnsi="宋体" w:eastAsia="宋体"/>
          <w:sz w:val="21"/>
          <w:szCs w:val="21"/>
        </w:rPr>
        <w:fldChar w:fldCharType="end"/>
      </w:r>
    </w:p>
    <w:p w14:paraId="28ACC823">
      <w:pPr>
        <w:pStyle w:val="8"/>
        <w:tabs>
          <w:tab w:val="right" w:leader="dot" w:pos="8296"/>
        </w:tabs>
        <w:rPr>
          <w:rFonts w:ascii="宋体" w:hAnsi="宋体"/>
          <w:szCs w:val="21"/>
        </w:rPr>
      </w:pPr>
      <w:r>
        <w:rPr>
          <w:rFonts w:ascii="宋体" w:hAnsi="宋体"/>
          <w:szCs w:val="21"/>
        </w:rPr>
        <w:t xml:space="preserve">15.1 </w:t>
      </w:r>
      <w:r>
        <w:rPr>
          <w:rFonts w:hint="eastAsia" w:ascii="宋体" w:hAnsi="宋体"/>
          <w:szCs w:val="21"/>
        </w:rPr>
        <w:t>变更的范围和内容</w:t>
      </w:r>
      <w:r>
        <w:rPr>
          <w:rFonts w:ascii="宋体" w:hAnsi="宋体"/>
          <w:szCs w:val="21"/>
        </w:rPr>
        <w:tab/>
      </w:r>
      <w:r>
        <w:rPr>
          <w:rFonts w:ascii="宋体" w:hAnsi="宋体"/>
          <w:szCs w:val="21"/>
        </w:rPr>
        <w:fldChar w:fldCharType="begin"/>
      </w:r>
      <w:r>
        <w:rPr>
          <w:rFonts w:ascii="宋体" w:hAnsi="宋体"/>
          <w:szCs w:val="21"/>
        </w:rPr>
        <w:instrText xml:space="preserve"> PAGEREF _Toc108513780 \h </w:instrText>
      </w:r>
      <w:r>
        <w:rPr>
          <w:rFonts w:ascii="宋体" w:hAnsi="宋体"/>
          <w:szCs w:val="21"/>
        </w:rPr>
        <w:fldChar w:fldCharType="separate"/>
      </w:r>
      <w:r>
        <w:rPr>
          <w:rFonts w:ascii="宋体" w:hAnsi="宋体"/>
          <w:szCs w:val="21"/>
        </w:rPr>
        <w:t>164</w:t>
      </w:r>
      <w:r>
        <w:rPr>
          <w:rFonts w:ascii="宋体" w:hAnsi="宋体"/>
          <w:szCs w:val="21"/>
        </w:rPr>
        <w:fldChar w:fldCharType="end"/>
      </w:r>
    </w:p>
    <w:p w14:paraId="4BA63164">
      <w:pPr>
        <w:pStyle w:val="8"/>
        <w:tabs>
          <w:tab w:val="right" w:leader="dot" w:pos="8296"/>
        </w:tabs>
        <w:rPr>
          <w:rFonts w:ascii="宋体" w:hAnsi="宋体"/>
          <w:szCs w:val="21"/>
        </w:rPr>
      </w:pPr>
      <w:r>
        <w:rPr>
          <w:rFonts w:ascii="宋体" w:hAnsi="宋体"/>
          <w:szCs w:val="21"/>
        </w:rPr>
        <w:t xml:space="preserve">15.2 </w:t>
      </w:r>
      <w:r>
        <w:rPr>
          <w:rFonts w:hint="eastAsia" w:ascii="宋体" w:hAnsi="宋体"/>
          <w:szCs w:val="21"/>
        </w:rPr>
        <w:t>变更权</w:t>
      </w:r>
      <w:r>
        <w:rPr>
          <w:rFonts w:ascii="宋体" w:hAnsi="宋体"/>
          <w:szCs w:val="21"/>
        </w:rPr>
        <w:tab/>
      </w:r>
      <w:r>
        <w:rPr>
          <w:rFonts w:ascii="宋体" w:hAnsi="宋体"/>
          <w:szCs w:val="21"/>
        </w:rPr>
        <w:fldChar w:fldCharType="begin"/>
      </w:r>
      <w:r>
        <w:rPr>
          <w:rFonts w:ascii="宋体" w:hAnsi="宋体"/>
          <w:szCs w:val="21"/>
        </w:rPr>
        <w:instrText xml:space="preserve"> PAGEREF _Toc108513781 \h </w:instrText>
      </w:r>
      <w:r>
        <w:rPr>
          <w:rFonts w:ascii="宋体" w:hAnsi="宋体"/>
          <w:szCs w:val="21"/>
        </w:rPr>
        <w:fldChar w:fldCharType="separate"/>
      </w:r>
      <w:r>
        <w:rPr>
          <w:rFonts w:ascii="宋体" w:hAnsi="宋体"/>
          <w:szCs w:val="21"/>
        </w:rPr>
        <w:t>165</w:t>
      </w:r>
      <w:r>
        <w:rPr>
          <w:rFonts w:ascii="宋体" w:hAnsi="宋体"/>
          <w:szCs w:val="21"/>
        </w:rPr>
        <w:fldChar w:fldCharType="end"/>
      </w:r>
    </w:p>
    <w:p w14:paraId="7CF5502E">
      <w:pPr>
        <w:pStyle w:val="8"/>
        <w:tabs>
          <w:tab w:val="right" w:leader="dot" w:pos="8296"/>
        </w:tabs>
        <w:rPr>
          <w:rFonts w:ascii="宋体" w:hAnsi="宋体"/>
          <w:szCs w:val="21"/>
        </w:rPr>
      </w:pPr>
      <w:r>
        <w:rPr>
          <w:rFonts w:ascii="宋体" w:hAnsi="宋体"/>
          <w:szCs w:val="21"/>
        </w:rPr>
        <w:t xml:space="preserve">15.3 </w:t>
      </w:r>
      <w:r>
        <w:rPr>
          <w:rFonts w:hint="eastAsia" w:ascii="宋体" w:hAnsi="宋体"/>
          <w:szCs w:val="21"/>
        </w:rPr>
        <w:t>变更程序</w:t>
      </w:r>
      <w:r>
        <w:rPr>
          <w:rFonts w:ascii="宋体" w:hAnsi="宋体"/>
          <w:szCs w:val="21"/>
        </w:rPr>
        <w:tab/>
      </w:r>
      <w:r>
        <w:rPr>
          <w:rFonts w:ascii="宋体" w:hAnsi="宋体"/>
          <w:szCs w:val="21"/>
        </w:rPr>
        <w:fldChar w:fldCharType="begin"/>
      </w:r>
      <w:r>
        <w:rPr>
          <w:rFonts w:ascii="宋体" w:hAnsi="宋体"/>
          <w:szCs w:val="21"/>
        </w:rPr>
        <w:instrText xml:space="preserve"> PAGEREF _Toc108513782 \h </w:instrText>
      </w:r>
      <w:r>
        <w:rPr>
          <w:rFonts w:ascii="宋体" w:hAnsi="宋体"/>
          <w:szCs w:val="21"/>
        </w:rPr>
        <w:fldChar w:fldCharType="separate"/>
      </w:r>
      <w:r>
        <w:rPr>
          <w:rFonts w:ascii="宋体" w:hAnsi="宋体"/>
          <w:szCs w:val="21"/>
        </w:rPr>
        <w:t>165</w:t>
      </w:r>
      <w:r>
        <w:rPr>
          <w:rFonts w:ascii="宋体" w:hAnsi="宋体"/>
          <w:szCs w:val="21"/>
        </w:rPr>
        <w:fldChar w:fldCharType="end"/>
      </w:r>
    </w:p>
    <w:p w14:paraId="56C44BCA">
      <w:pPr>
        <w:pStyle w:val="8"/>
        <w:tabs>
          <w:tab w:val="right" w:leader="dot" w:pos="8296"/>
        </w:tabs>
        <w:rPr>
          <w:rFonts w:ascii="宋体" w:hAnsi="宋体"/>
          <w:szCs w:val="21"/>
        </w:rPr>
      </w:pPr>
      <w:r>
        <w:rPr>
          <w:rFonts w:ascii="宋体" w:hAnsi="宋体"/>
          <w:szCs w:val="21"/>
        </w:rPr>
        <w:t xml:space="preserve">15.4 </w:t>
      </w:r>
      <w:r>
        <w:rPr>
          <w:rFonts w:hint="eastAsia" w:ascii="宋体" w:hAnsi="宋体"/>
          <w:szCs w:val="21"/>
        </w:rPr>
        <w:t>变更的估价原则</w:t>
      </w:r>
      <w:r>
        <w:rPr>
          <w:rFonts w:ascii="宋体" w:hAnsi="宋体"/>
          <w:szCs w:val="21"/>
        </w:rPr>
        <w:tab/>
      </w:r>
      <w:r>
        <w:rPr>
          <w:rFonts w:ascii="宋体" w:hAnsi="宋体"/>
          <w:szCs w:val="21"/>
        </w:rPr>
        <w:fldChar w:fldCharType="begin"/>
      </w:r>
      <w:r>
        <w:rPr>
          <w:rFonts w:ascii="宋体" w:hAnsi="宋体"/>
          <w:szCs w:val="21"/>
        </w:rPr>
        <w:instrText xml:space="preserve"> PAGEREF _Toc108513783 \h </w:instrText>
      </w:r>
      <w:r>
        <w:rPr>
          <w:rFonts w:ascii="宋体" w:hAnsi="宋体"/>
          <w:szCs w:val="21"/>
        </w:rPr>
        <w:fldChar w:fldCharType="separate"/>
      </w:r>
      <w:r>
        <w:rPr>
          <w:rFonts w:ascii="宋体" w:hAnsi="宋体"/>
          <w:szCs w:val="21"/>
        </w:rPr>
        <w:t>165</w:t>
      </w:r>
      <w:r>
        <w:rPr>
          <w:rFonts w:ascii="宋体" w:hAnsi="宋体"/>
          <w:szCs w:val="21"/>
        </w:rPr>
        <w:fldChar w:fldCharType="end"/>
      </w:r>
    </w:p>
    <w:p w14:paraId="07F29176">
      <w:pPr>
        <w:pStyle w:val="8"/>
        <w:tabs>
          <w:tab w:val="right" w:leader="dot" w:pos="8296"/>
        </w:tabs>
        <w:rPr>
          <w:rFonts w:ascii="宋体" w:hAnsi="宋体"/>
          <w:szCs w:val="21"/>
        </w:rPr>
      </w:pPr>
      <w:r>
        <w:rPr>
          <w:rFonts w:ascii="宋体" w:hAnsi="宋体"/>
          <w:szCs w:val="21"/>
        </w:rPr>
        <w:t xml:space="preserve">15.5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_Toc108513784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11A03F2C">
      <w:pPr>
        <w:pStyle w:val="8"/>
        <w:tabs>
          <w:tab w:val="right" w:leader="dot" w:pos="8296"/>
        </w:tabs>
        <w:rPr>
          <w:rFonts w:ascii="宋体" w:hAnsi="宋体"/>
          <w:szCs w:val="21"/>
        </w:rPr>
      </w:pPr>
      <w:r>
        <w:rPr>
          <w:rFonts w:ascii="宋体" w:hAnsi="宋体"/>
          <w:szCs w:val="21"/>
        </w:rPr>
        <w:t xml:space="preserve">15.6 </w:t>
      </w:r>
      <w:r>
        <w:rPr>
          <w:rFonts w:hint="eastAsia" w:ascii="宋体" w:hAnsi="宋体"/>
          <w:szCs w:val="21"/>
        </w:rPr>
        <w:t>暂列金额</w:t>
      </w:r>
      <w:r>
        <w:rPr>
          <w:rFonts w:ascii="宋体" w:hAnsi="宋体"/>
          <w:szCs w:val="21"/>
        </w:rPr>
        <w:tab/>
      </w:r>
      <w:r>
        <w:rPr>
          <w:rFonts w:ascii="宋体" w:hAnsi="宋体"/>
          <w:szCs w:val="21"/>
        </w:rPr>
        <w:fldChar w:fldCharType="begin"/>
      </w:r>
      <w:r>
        <w:rPr>
          <w:rFonts w:ascii="宋体" w:hAnsi="宋体"/>
          <w:szCs w:val="21"/>
        </w:rPr>
        <w:instrText xml:space="preserve"> PAGEREF _Toc108513785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16267836">
      <w:pPr>
        <w:pStyle w:val="8"/>
        <w:tabs>
          <w:tab w:val="right" w:leader="dot" w:pos="8296"/>
        </w:tabs>
        <w:rPr>
          <w:rFonts w:ascii="宋体" w:hAnsi="宋体"/>
          <w:szCs w:val="21"/>
        </w:rPr>
      </w:pPr>
      <w:r>
        <w:rPr>
          <w:rFonts w:ascii="宋体" w:hAnsi="宋体"/>
          <w:szCs w:val="21"/>
        </w:rPr>
        <w:t xml:space="preserve">15.7 </w:t>
      </w:r>
      <w:r>
        <w:rPr>
          <w:rFonts w:hint="eastAsia" w:ascii="宋体" w:hAnsi="宋体"/>
          <w:szCs w:val="21"/>
        </w:rPr>
        <w:t>计日工</w:t>
      </w:r>
      <w:r>
        <w:rPr>
          <w:rFonts w:ascii="宋体" w:hAnsi="宋体"/>
          <w:szCs w:val="21"/>
        </w:rPr>
        <w:tab/>
      </w:r>
      <w:r>
        <w:rPr>
          <w:rFonts w:ascii="宋体" w:hAnsi="宋体"/>
          <w:szCs w:val="21"/>
        </w:rPr>
        <w:fldChar w:fldCharType="begin"/>
      </w:r>
      <w:r>
        <w:rPr>
          <w:rFonts w:ascii="宋体" w:hAnsi="宋体"/>
          <w:szCs w:val="21"/>
        </w:rPr>
        <w:instrText xml:space="preserve"> PAGEREF _Toc108513786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6E6A3E41">
      <w:pPr>
        <w:pStyle w:val="8"/>
        <w:tabs>
          <w:tab w:val="right" w:leader="dot" w:pos="8296"/>
        </w:tabs>
        <w:rPr>
          <w:rFonts w:ascii="宋体" w:hAnsi="宋体"/>
          <w:szCs w:val="21"/>
        </w:rPr>
      </w:pPr>
      <w:r>
        <w:rPr>
          <w:rFonts w:ascii="宋体" w:hAnsi="宋体"/>
          <w:szCs w:val="21"/>
        </w:rPr>
        <w:t xml:space="preserve">15.8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_Toc108513787 \h </w:instrText>
      </w:r>
      <w:r>
        <w:rPr>
          <w:rFonts w:ascii="宋体" w:hAnsi="宋体"/>
          <w:szCs w:val="21"/>
        </w:rPr>
        <w:fldChar w:fldCharType="separate"/>
      </w:r>
      <w:r>
        <w:rPr>
          <w:rFonts w:ascii="宋体" w:hAnsi="宋体"/>
          <w:szCs w:val="21"/>
        </w:rPr>
        <w:t>166</w:t>
      </w:r>
      <w:r>
        <w:rPr>
          <w:rFonts w:ascii="宋体" w:hAnsi="宋体"/>
          <w:szCs w:val="21"/>
        </w:rPr>
        <w:fldChar w:fldCharType="end"/>
      </w:r>
    </w:p>
    <w:p w14:paraId="36660F5D">
      <w:pPr>
        <w:pStyle w:val="13"/>
        <w:tabs>
          <w:tab w:val="right" w:leader="dot" w:pos="8296"/>
        </w:tabs>
        <w:rPr>
          <w:rFonts w:ascii="宋体" w:hAnsi="宋体" w:eastAsia="宋体"/>
          <w:sz w:val="21"/>
          <w:szCs w:val="21"/>
        </w:rPr>
      </w:pPr>
      <w:r>
        <w:rPr>
          <w:rFonts w:ascii="宋体" w:hAnsi="宋体" w:eastAsia="宋体"/>
          <w:sz w:val="21"/>
          <w:szCs w:val="21"/>
        </w:rPr>
        <w:t xml:space="preserve">16. </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_Toc108513788 \h </w:instrText>
      </w:r>
      <w:r>
        <w:rPr>
          <w:rFonts w:ascii="宋体" w:hAnsi="宋体" w:eastAsia="宋体"/>
          <w:sz w:val="21"/>
          <w:szCs w:val="21"/>
        </w:rPr>
        <w:fldChar w:fldCharType="separate"/>
      </w:r>
      <w:r>
        <w:rPr>
          <w:rFonts w:ascii="宋体" w:hAnsi="宋体" w:eastAsia="宋体"/>
          <w:sz w:val="21"/>
          <w:szCs w:val="21"/>
        </w:rPr>
        <w:t>167</w:t>
      </w:r>
      <w:r>
        <w:rPr>
          <w:rFonts w:ascii="宋体" w:hAnsi="宋体" w:eastAsia="宋体"/>
          <w:sz w:val="21"/>
          <w:szCs w:val="21"/>
        </w:rPr>
        <w:fldChar w:fldCharType="end"/>
      </w:r>
    </w:p>
    <w:p w14:paraId="5FE3E996">
      <w:pPr>
        <w:pStyle w:val="8"/>
        <w:tabs>
          <w:tab w:val="right" w:leader="dot" w:pos="8296"/>
        </w:tabs>
        <w:rPr>
          <w:rFonts w:ascii="宋体" w:hAnsi="宋体"/>
          <w:szCs w:val="21"/>
        </w:rPr>
      </w:pPr>
      <w:r>
        <w:rPr>
          <w:rFonts w:ascii="宋体" w:hAnsi="宋体"/>
          <w:szCs w:val="21"/>
        </w:rPr>
        <w:t xml:space="preserve">16.1 </w:t>
      </w:r>
      <w:r>
        <w:rPr>
          <w:rFonts w:hint="eastAsia" w:ascii="宋体" w:hAnsi="宋体"/>
          <w:szCs w:val="21"/>
        </w:rPr>
        <w:t>物价波动引起的价格调整</w:t>
      </w:r>
      <w:r>
        <w:rPr>
          <w:rFonts w:ascii="宋体" w:hAnsi="宋体"/>
          <w:szCs w:val="21"/>
        </w:rPr>
        <w:tab/>
      </w:r>
      <w:r>
        <w:rPr>
          <w:rFonts w:ascii="宋体" w:hAnsi="宋体"/>
          <w:szCs w:val="21"/>
        </w:rPr>
        <w:fldChar w:fldCharType="begin"/>
      </w:r>
      <w:r>
        <w:rPr>
          <w:rFonts w:ascii="宋体" w:hAnsi="宋体"/>
          <w:szCs w:val="21"/>
        </w:rPr>
        <w:instrText xml:space="preserve"> PAGEREF _Toc108513789 \h </w:instrText>
      </w:r>
      <w:r>
        <w:rPr>
          <w:rFonts w:ascii="宋体" w:hAnsi="宋体"/>
          <w:szCs w:val="21"/>
        </w:rPr>
        <w:fldChar w:fldCharType="separate"/>
      </w:r>
      <w:r>
        <w:rPr>
          <w:rFonts w:ascii="宋体" w:hAnsi="宋体"/>
          <w:szCs w:val="21"/>
        </w:rPr>
        <w:t>167</w:t>
      </w:r>
      <w:r>
        <w:rPr>
          <w:rFonts w:ascii="宋体" w:hAnsi="宋体"/>
          <w:szCs w:val="21"/>
        </w:rPr>
        <w:fldChar w:fldCharType="end"/>
      </w:r>
    </w:p>
    <w:p w14:paraId="4DE9A1D9">
      <w:pPr>
        <w:pStyle w:val="8"/>
        <w:tabs>
          <w:tab w:val="right" w:leader="dot" w:pos="8296"/>
        </w:tabs>
        <w:rPr>
          <w:rFonts w:ascii="宋体" w:hAnsi="宋体"/>
          <w:szCs w:val="21"/>
        </w:rPr>
      </w:pPr>
      <w:r>
        <w:rPr>
          <w:rFonts w:ascii="宋体" w:hAnsi="宋体"/>
          <w:szCs w:val="21"/>
        </w:rPr>
        <w:t xml:space="preserve">16.2 </w:t>
      </w:r>
      <w:r>
        <w:rPr>
          <w:rFonts w:hint="eastAsia" w:ascii="宋体" w:hAnsi="宋体"/>
          <w:szCs w:val="21"/>
        </w:rPr>
        <w:t>法律变化引起的价格调整</w:t>
      </w:r>
      <w:r>
        <w:rPr>
          <w:rFonts w:ascii="宋体" w:hAnsi="宋体"/>
          <w:szCs w:val="21"/>
        </w:rPr>
        <w:tab/>
      </w:r>
      <w:r>
        <w:rPr>
          <w:rFonts w:ascii="宋体" w:hAnsi="宋体"/>
          <w:szCs w:val="21"/>
        </w:rPr>
        <w:fldChar w:fldCharType="begin"/>
      </w:r>
      <w:r>
        <w:rPr>
          <w:rFonts w:ascii="宋体" w:hAnsi="宋体"/>
          <w:szCs w:val="21"/>
        </w:rPr>
        <w:instrText xml:space="preserve"> PAGEREF _Toc108513790 \h </w:instrText>
      </w:r>
      <w:r>
        <w:rPr>
          <w:rFonts w:ascii="宋体" w:hAnsi="宋体"/>
          <w:szCs w:val="21"/>
        </w:rPr>
        <w:fldChar w:fldCharType="separate"/>
      </w:r>
      <w:r>
        <w:rPr>
          <w:rFonts w:ascii="宋体" w:hAnsi="宋体"/>
          <w:szCs w:val="21"/>
        </w:rPr>
        <w:t>168</w:t>
      </w:r>
      <w:r>
        <w:rPr>
          <w:rFonts w:ascii="宋体" w:hAnsi="宋体"/>
          <w:szCs w:val="21"/>
        </w:rPr>
        <w:fldChar w:fldCharType="end"/>
      </w:r>
    </w:p>
    <w:p w14:paraId="496A1CE9">
      <w:pPr>
        <w:pStyle w:val="13"/>
        <w:tabs>
          <w:tab w:val="right" w:leader="dot" w:pos="8296"/>
        </w:tabs>
        <w:rPr>
          <w:rFonts w:ascii="宋体" w:hAnsi="宋体" w:eastAsia="宋体"/>
          <w:sz w:val="21"/>
          <w:szCs w:val="21"/>
        </w:rPr>
      </w:pPr>
      <w:r>
        <w:rPr>
          <w:rFonts w:ascii="宋体" w:hAnsi="宋体" w:eastAsia="宋体"/>
          <w:sz w:val="21"/>
          <w:szCs w:val="21"/>
        </w:rPr>
        <w:t xml:space="preserve">17. </w:t>
      </w:r>
      <w:r>
        <w:rPr>
          <w:rFonts w:hint="eastAsia" w:ascii="宋体" w:hAnsi="宋体" w:eastAsia="宋体"/>
          <w:sz w:val="21"/>
          <w:szCs w:val="21"/>
        </w:rPr>
        <w:t>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_Toc108513791 \h </w:instrText>
      </w:r>
      <w:r>
        <w:rPr>
          <w:rFonts w:ascii="宋体" w:hAnsi="宋体" w:eastAsia="宋体"/>
          <w:sz w:val="21"/>
          <w:szCs w:val="21"/>
        </w:rPr>
        <w:fldChar w:fldCharType="separate"/>
      </w:r>
      <w:r>
        <w:rPr>
          <w:rFonts w:ascii="宋体" w:hAnsi="宋体" w:eastAsia="宋体"/>
          <w:sz w:val="21"/>
          <w:szCs w:val="21"/>
        </w:rPr>
        <w:t>168</w:t>
      </w:r>
      <w:r>
        <w:rPr>
          <w:rFonts w:ascii="宋体" w:hAnsi="宋体" w:eastAsia="宋体"/>
          <w:sz w:val="21"/>
          <w:szCs w:val="21"/>
        </w:rPr>
        <w:fldChar w:fldCharType="end"/>
      </w:r>
    </w:p>
    <w:p w14:paraId="4F6E0834">
      <w:pPr>
        <w:pStyle w:val="8"/>
        <w:tabs>
          <w:tab w:val="right" w:leader="dot" w:pos="8296"/>
        </w:tabs>
        <w:rPr>
          <w:rFonts w:ascii="宋体" w:hAnsi="宋体"/>
          <w:szCs w:val="21"/>
        </w:rPr>
      </w:pPr>
      <w:r>
        <w:rPr>
          <w:rFonts w:ascii="宋体" w:hAnsi="宋体"/>
          <w:szCs w:val="21"/>
        </w:rPr>
        <w:t xml:space="preserve">17.1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_Toc108513792 \h </w:instrText>
      </w:r>
      <w:r>
        <w:rPr>
          <w:rFonts w:ascii="宋体" w:hAnsi="宋体"/>
          <w:szCs w:val="21"/>
        </w:rPr>
        <w:fldChar w:fldCharType="separate"/>
      </w:r>
      <w:r>
        <w:rPr>
          <w:rFonts w:ascii="宋体" w:hAnsi="宋体"/>
          <w:szCs w:val="21"/>
        </w:rPr>
        <w:t>168</w:t>
      </w:r>
      <w:r>
        <w:rPr>
          <w:rFonts w:ascii="宋体" w:hAnsi="宋体"/>
          <w:szCs w:val="21"/>
        </w:rPr>
        <w:fldChar w:fldCharType="end"/>
      </w:r>
    </w:p>
    <w:p w14:paraId="0205DC7C">
      <w:pPr>
        <w:pStyle w:val="8"/>
        <w:tabs>
          <w:tab w:val="right" w:leader="dot" w:pos="8296"/>
        </w:tabs>
        <w:rPr>
          <w:rFonts w:ascii="宋体" w:hAnsi="宋体"/>
          <w:szCs w:val="21"/>
        </w:rPr>
      </w:pPr>
      <w:r>
        <w:rPr>
          <w:rFonts w:ascii="宋体" w:hAnsi="宋体"/>
          <w:szCs w:val="21"/>
        </w:rPr>
        <w:t xml:space="preserve">17.2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_Toc108513793 \h </w:instrText>
      </w:r>
      <w:r>
        <w:rPr>
          <w:rFonts w:ascii="宋体" w:hAnsi="宋体"/>
          <w:szCs w:val="21"/>
        </w:rPr>
        <w:fldChar w:fldCharType="separate"/>
      </w:r>
      <w:r>
        <w:rPr>
          <w:rFonts w:ascii="宋体" w:hAnsi="宋体"/>
          <w:szCs w:val="21"/>
        </w:rPr>
        <w:t>169</w:t>
      </w:r>
      <w:r>
        <w:rPr>
          <w:rFonts w:ascii="宋体" w:hAnsi="宋体"/>
          <w:szCs w:val="21"/>
        </w:rPr>
        <w:fldChar w:fldCharType="end"/>
      </w:r>
    </w:p>
    <w:p w14:paraId="2A84D08A">
      <w:pPr>
        <w:pStyle w:val="8"/>
        <w:tabs>
          <w:tab w:val="right" w:leader="dot" w:pos="8296"/>
        </w:tabs>
        <w:rPr>
          <w:rFonts w:ascii="宋体" w:hAnsi="宋体"/>
          <w:szCs w:val="21"/>
        </w:rPr>
      </w:pPr>
      <w:r>
        <w:rPr>
          <w:rFonts w:ascii="宋体" w:hAnsi="宋体"/>
          <w:szCs w:val="21"/>
        </w:rPr>
        <w:t xml:space="preserve">17.3 </w:t>
      </w:r>
      <w:r>
        <w:rPr>
          <w:rFonts w:hint="eastAsia" w:ascii="宋体" w:hAnsi="宋体"/>
          <w:szCs w:val="21"/>
        </w:rPr>
        <w:t>工程进度付款</w:t>
      </w:r>
      <w:r>
        <w:rPr>
          <w:rFonts w:ascii="宋体" w:hAnsi="宋体"/>
          <w:szCs w:val="21"/>
        </w:rPr>
        <w:tab/>
      </w:r>
      <w:r>
        <w:rPr>
          <w:rFonts w:ascii="宋体" w:hAnsi="宋体"/>
          <w:szCs w:val="21"/>
        </w:rPr>
        <w:fldChar w:fldCharType="begin"/>
      </w:r>
      <w:r>
        <w:rPr>
          <w:rFonts w:ascii="宋体" w:hAnsi="宋体"/>
          <w:szCs w:val="21"/>
        </w:rPr>
        <w:instrText xml:space="preserve"> PAGEREF _Toc108513794 \h </w:instrText>
      </w:r>
      <w:r>
        <w:rPr>
          <w:rFonts w:ascii="宋体" w:hAnsi="宋体"/>
          <w:szCs w:val="21"/>
        </w:rPr>
        <w:fldChar w:fldCharType="separate"/>
      </w:r>
      <w:r>
        <w:rPr>
          <w:rFonts w:ascii="宋体" w:hAnsi="宋体"/>
          <w:szCs w:val="21"/>
        </w:rPr>
        <w:t>169</w:t>
      </w:r>
      <w:r>
        <w:rPr>
          <w:rFonts w:ascii="宋体" w:hAnsi="宋体"/>
          <w:szCs w:val="21"/>
        </w:rPr>
        <w:fldChar w:fldCharType="end"/>
      </w:r>
    </w:p>
    <w:p w14:paraId="3FB749CB">
      <w:pPr>
        <w:pStyle w:val="8"/>
        <w:tabs>
          <w:tab w:val="right" w:leader="dot" w:pos="8296"/>
        </w:tabs>
        <w:rPr>
          <w:rFonts w:ascii="宋体" w:hAnsi="宋体"/>
          <w:szCs w:val="21"/>
        </w:rPr>
      </w:pPr>
      <w:r>
        <w:rPr>
          <w:rFonts w:ascii="宋体" w:hAnsi="宋体"/>
          <w:szCs w:val="21"/>
        </w:rPr>
        <w:t xml:space="preserve">17.4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_Toc108513795 \h </w:instrText>
      </w:r>
      <w:r>
        <w:rPr>
          <w:rFonts w:ascii="宋体" w:hAnsi="宋体"/>
          <w:szCs w:val="21"/>
        </w:rPr>
        <w:fldChar w:fldCharType="separate"/>
      </w:r>
      <w:r>
        <w:rPr>
          <w:rFonts w:ascii="宋体" w:hAnsi="宋体"/>
          <w:szCs w:val="21"/>
        </w:rPr>
        <w:t>170</w:t>
      </w:r>
      <w:r>
        <w:rPr>
          <w:rFonts w:ascii="宋体" w:hAnsi="宋体"/>
          <w:szCs w:val="21"/>
        </w:rPr>
        <w:fldChar w:fldCharType="end"/>
      </w:r>
    </w:p>
    <w:p w14:paraId="38DF8439">
      <w:pPr>
        <w:pStyle w:val="8"/>
        <w:tabs>
          <w:tab w:val="right" w:leader="dot" w:pos="8296"/>
        </w:tabs>
        <w:rPr>
          <w:rFonts w:ascii="宋体" w:hAnsi="宋体"/>
          <w:szCs w:val="21"/>
        </w:rPr>
      </w:pPr>
      <w:r>
        <w:rPr>
          <w:rFonts w:ascii="宋体" w:hAnsi="宋体"/>
          <w:szCs w:val="21"/>
        </w:rPr>
        <w:t xml:space="preserve">17.5 </w:t>
      </w:r>
      <w:r>
        <w:rPr>
          <w:rFonts w:hint="eastAsia" w:ascii="宋体" w:hAnsi="宋体"/>
          <w:szCs w:val="21"/>
        </w:rPr>
        <w:t>竣工结算</w:t>
      </w:r>
      <w:r>
        <w:rPr>
          <w:rFonts w:ascii="宋体" w:hAnsi="宋体"/>
          <w:szCs w:val="21"/>
        </w:rPr>
        <w:tab/>
      </w:r>
      <w:r>
        <w:rPr>
          <w:rFonts w:ascii="宋体" w:hAnsi="宋体"/>
          <w:szCs w:val="21"/>
        </w:rPr>
        <w:fldChar w:fldCharType="begin"/>
      </w:r>
      <w:r>
        <w:rPr>
          <w:rFonts w:ascii="宋体" w:hAnsi="宋体"/>
          <w:szCs w:val="21"/>
        </w:rPr>
        <w:instrText xml:space="preserve"> PAGEREF _Toc108513796 \h </w:instrText>
      </w:r>
      <w:r>
        <w:rPr>
          <w:rFonts w:ascii="宋体" w:hAnsi="宋体"/>
          <w:szCs w:val="21"/>
        </w:rPr>
        <w:fldChar w:fldCharType="separate"/>
      </w:r>
      <w:r>
        <w:rPr>
          <w:rFonts w:ascii="宋体" w:hAnsi="宋体"/>
          <w:szCs w:val="21"/>
        </w:rPr>
        <w:t>170</w:t>
      </w:r>
      <w:r>
        <w:rPr>
          <w:rFonts w:ascii="宋体" w:hAnsi="宋体"/>
          <w:szCs w:val="21"/>
        </w:rPr>
        <w:fldChar w:fldCharType="end"/>
      </w:r>
    </w:p>
    <w:p w14:paraId="55435243">
      <w:pPr>
        <w:pStyle w:val="8"/>
        <w:tabs>
          <w:tab w:val="right" w:leader="dot" w:pos="8296"/>
        </w:tabs>
        <w:rPr>
          <w:rFonts w:ascii="宋体" w:hAnsi="宋体"/>
          <w:szCs w:val="21"/>
        </w:rPr>
      </w:pPr>
      <w:r>
        <w:rPr>
          <w:rFonts w:ascii="宋体" w:hAnsi="宋体"/>
          <w:szCs w:val="21"/>
        </w:rPr>
        <w:t xml:space="preserve">17.6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_Toc108513797 \h </w:instrText>
      </w:r>
      <w:r>
        <w:rPr>
          <w:rFonts w:ascii="宋体" w:hAnsi="宋体"/>
          <w:szCs w:val="21"/>
        </w:rPr>
        <w:fldChar w:fldCharType="separate"/>
      </w:r>
      <w:r>
        <w:rPr>
          <w:rFonts w:ascii="宋体" w:hAnsi="宋体"/>
          <w:szCs w:val="21"/>
        </w:rPr>
        <w:t>171</w:t>
      </w:r>
      <w:r>
        <w:rPr>
          <w:rFonts w:ascii="宋体" w:hAnsi="宋体"/>
          <w:szCs w:val="21"/>
        </w:rPr>
        <w:fldChar w:fldCharType="end"/>
      </w:r>
    </w:p>
    <w:p w14:paraId="2A85BA9A">
      <w:pPr>
        <w:pStyle w:val="13"/>
        <w:tabs>
          <w:tab w:val="right" w:leader="dot" w:pos="8296"/>
        </w:tabs>
        <w:rPr>
          <w:rFonts w:ascii="宋体" w:hAnsi="宋体" w:eastAsia="宋体"/>
          <w:sz w:val="21"/>
          <w:szCs w:val="21"/>
        </w:rPr>
      </w:pPr>
      <w:r>
        <w:rPr>
          <w:rFonts w:ascii="宋体" w:hAnsi="宋体" w:eastAsia="宋体"/>
          <w:sz w:val="21"/>
          <w:szCs w:val="21"/>
        </w:rPr>
        <w:t xml:space="preserve">18. </w:t>
      </w:r>
      <w:r>
        <w:rPr>
          <w:rFonts w:hint="eastAsia" w:ascii="宋体" w:hAnsi="宋体" w:eastAsia="宋体"/>
          <w:sz w:val="21"/>
          <w:szCs w:val="21"/>
        </w:rPr>
        <w:t>竣工验收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_Toc108513798 \h </w:instrText>
      </w:r>
      <w:r>
        <w:rPr>
          <w:rFonts w:ascii="宋体" w:hAnsi="宋体" w:eastAsia="宋体"/>
          <w:sz w:val="21"/>
          <w:szCs w:val="21"/>
        </w:rPr>
        <w:fldChar w:fldCharType="separate"/>
      </w:r>
      <w:r>
        <w:rPr>
          <w:rFonts w:ascii="宋体" w:hAnsi="宋体" w:eastAsia="宋体"/>
          <w:sz w:val="21"/>
          <w:szCs w:val="21"/>
        </w:rPr>
        <w:t>171</w:t>
      </w:r>
      <w:r>
        <w:rPr>
          <w:rFonts w:ascii="宋体" w:hAnsi="宋体" w:eastAsia="宋体"/>
          <w:sz w:val="21"/>
          <w:szCs w:val="21"/>
        </w:rPr>
        <w:fldChar w:fldCharType="end"/>
      </w:r>
    </w:p>
    <w:p w14:paraId="1CA3178A">
      <w:pPr>
        <w:pStyle w:val="8"/>
        <w:tabs>
          <w:tab w:val="right" w:leader="dot" w:pos="8296"/>
        </w:tabs>
        <w:rPr>
          <w:rFonts w:ascii="宋体" w:hAnsi="宋体"/>
          <w:szCs w:val="21"/>
        </w:rPr>
      </w:pPr>
      <w:r>
        <w:rPr>
          <w:rFonts w:ascii="宋体" w:hAnsi="宋体"/>
          <w:szCs w:val="21"/>
        </w:rPr>
        <w:t xml:space="preserve">18.1 </w:t>
      </w:r>
      <w:r>
        <w:rPr>
          <w:rFonts w:hint="eastAsia" w:ascii="宋体" w:hAnsi="宋体"/>
          <w:szCs w:val="21"/>
        </w:rPr>
        <w:t>竣工验收的含义</w:t>
      </w:r>
      <w:r>
        <w:rPr>
          <w:rFonts w:ascii="宋体" w:hAnsi="宋体"/>
          <w:szCs w:val="21"/>
        </w:rPr>
        <w:tab/>
      </w:r>
      <w:r>
        <w:rPr>
          <w:rFonts w:ascii="宋体" w:hAnsi="宋体"/>
          <w:szCs w:val="21"/>
        </w:rPr>
        <w:fldChar w:fldCharType="begin"/>
      </w:r>
      <w:r>
        <w:rPr>
          <w:rFonts w:ascii="宋体" w:hAnsi="宋体"/>
          <w:szCs w:val="21"/>
        </w:rPr>
        <w:instrText xml:space="preserve"> PAGEREF _Toc108513799 \h </w:instrText>
      </w:r>
      <w:r>
        <w:rPr>
          <w:rFonts w:ascii="宋体" w:hAnsi="宋体"/>
          <w:szCs w:val="21"/>
        </w:rPr>
        <w:fldChar w:fldCharType="separate"/>
      </w:r>
      <w:r>
        <w:rPr>
          <w:rFonts w:ascii="宋体" w:hAnsi="宋体"/>
          <w:szCs w:val="21"/>
        </w:rPr>
        <w:t>171</w:t>
      </w:r>
      <w:r>
        <w:rPr>
          <w:rFonts w:ascii="宋体" w:hAnsi="宋体"/>
          <w:szCs w:val="21"/>
        </w:rPr>
        <w:fldChar w:fldCharType="end"/>
      </w:r>
    </w:p>
    <w:p w14:paraId="5CF5290C">
      <w:pPr>
        <w:pStyle w:val="8"/>
        <w:tabs>
          <w:tab w:val="right" w:leader="dot" w:pos="8296"/>
        </w:tabs>
        <w:rPr>
          <w:rFonts w:ascii="宋体" w:hAnsi="宋体"/>
          <w:szCs w:val="21"/>
        </w:rPr>
      </w:pPr>
      <w:r>
        <w:rPr>
          <w:rFonts w:ascii="宋体" w:hAnsi="宋体"/>
          <w:szCs w:val="21"/>
        </w:rPr>
        <w:t xml:space="preserve">18.2 </w:t>
      </w:r>
      <w:r>
        <w:rPr>
          <w:rFonts w:hint="eastAsia" w:ascii="宋体" w:hAnsi="宋体"/>
          <w:szCs w:val="21"/>
        </w:rPr>
        <w:t>竣工验收申请报告</w:t>
      </w:r>
      <w:r>
        <w:rPr>
          <w:rFonts w:ascii="宋体" w:hAnsi="宋体"/>
          <w:szCs w:val="21"/>
        </w:rPr>
        <w:tab/>
      </w:r>
      <w:r>
        <w:rPr>
          <w:rFonts w:ascii="宋体" w:hAnsi="宋体"/>
          <w:szCs w:val="21"/>
        </w:rPr>
        <w:fldChar w:fldCharType="begin"/>
      </w:r>
      <w:r>
        <w:rPr>
          <w:rFonts w:ascii="宋体" w:hAnsi="宋体"/>
          <w:szCs w:val="21"/>
        </w:rPr>
        <w:instrText xml:space="preserve"> PAGEREF _Toc108513800 \h </w:instrText>
      </w:r>
      <w:r>
        <w:rPr>
          <w:rFonts w:ascii="宋体" w:hAnsi="宋体"/>
          <w:szCs w:val="21"/>
        </w:rPr>
        <w:fldChar w:fldCharType="separate"/>
      </w:r>
      <w:r>
        <w:rPr>
          <w:rFonts w:ascii="宋体" w:hAnsi="宋体"/>
          <w:szCs w:val="21"/>
        </w:rPr>
        <w:t>172</w:t>
      </w:r>
      <w:r>
        <w:rPr>
          <w:rFonts w:ascii="宋体" w:hAnsi="宋体"/>
          <w:szCs w:val="21"/>
        </w:rPr>
        <w:fldChar w:fldCharType="end"/>
      </w:r>
    </w:p>
    <w:p w14:paraId="64FD0DA1">
      <w:pPr>
        <w:pStyle w:val="8"/>
        <w:tabs>
          <w:tab w:val="right" w:leader="dot" w:pos="8296"/>
        </w:tabs>
        <w:rPr>
          <w:rFonts w:ascii="宋体" w:hAnsi="宋体"/>
          <w:szCs w:val="21"/>
        </w:rPr>
      </w:pPr>
      <w:r>
        <w:rPr>
          <w:rFonts w:ascii="宋体" w:hAnsi="宋体"/>
          <w:szCs w:val="21"/>
        </w:rPr>
        <w:t xml:space="preserve">18.3 </w:t>
      </w:r>
      <w:r>
        <w:rPr>
          <w:rFonts w:hint="eastAsia" w:ascii="宋体" w:hAnsi="宋体"/>
          <w:szCs w:val="21"/>
        </w:rPr>
        <w:t>验收</w:t>
      </w:r>
      <w:r>
        <w:rPr>
          <w:rFonts w:ascii="宋体" w:hAnsi="宋体"/>
          <w:szCs w:val="21"/>
        </w:rPr>
        <w:tab/>
      </w:r>
      <w:r>
        <w:rPr>
          <w:rFonts w:ascii="宋体" w:hAnsi="宋体"/>
          <w:szCs w:val="21"/>
        </w:rPr>
        <w:fldChar w:fldCharType="begin"/>
      </w:r>
      <w:r>
        <w:rPr>
          <w:rFonts w:ascii="宋体" w:hAnsi="宋体"/>
          <w:szCs w:val="21"/>
        </w:rPr>
        <w:instrText xml:space="preserve"> PAGEREF _Toc108513801 \h </w:instrText>
      </w:r>
      <w:r>
        <w:rPr>
          <w:rFonts w:ascii="宋体" w:hAnsi="宋体"/>
          <w:szCs w:val="21"/>
        </w:rPr>
        <w:fldChar w:fldCharType="separate"/>
      </w:r>
      <w:r>
        <w:rPr>
          <w:rFonts w:ascii="宋体" w:hAnsi="宋体"/>
          <w:szCs w:val="21"/>
        </w:rPr>
        <w:t>172</w:t>
      </w:r>
      <w:r>
        <w:rPr>
          <w:rFonts w:ascii="宋体" w:hAnsi="宋体"/>
          <w:szCs w:val="21"/>
        </w:rPr>
        <w:fldChar w:fldCharType="end"/>
      </w:r>
    </w:p>
    <w:p w14:paraId="6442AB9B">
      <w:pPr>
        <w:pStyle w:val="8"/>
        <w:tabs>
          <w:tab w:val="right" w:leader="dot" w:pos="8296"/>
        </w:tabs>
        <w:rPr>
          <w:rFonts w:ascii="宋体" w:hAnsi="宋体"/>
          <w:szCs w:val="21"/>
        </w:rPr>
      </w:pPr>
      <w:r>
        <w:rPr>
          <w:rFonts w:ascii="宋体" w:hAnsi="宋体"/>
          <w:szCs w:val="21"/>
        </w:rPr>
        <w:t xml:space="preserve">18.4 </w:t>
      </w:r>
      <w:r>
        <w:rPr>
          <w:rFonts w:hint="eastAsia" w:ascii="宋体" w:hAnsi="宋体"/>
          <w:szCs w:val="21"/>
        </w:rPr>
        <w:t>单位工程验收</w:t>
      </w:r>
      <w:r>
        <w:rPr>
          <w:rFonts w:ascii="宋体" w:hAnsi="宋体"/>
          <w:szCs w:val="21"/>
        </w:rPr>
        <w:tab/>
      </w:r>
      <w:r>
        <w:rPr>
          <w:rFonts w:ascii="宋体" w:hAnsi="宋体"/>
          <w:szCs w:val="21"/>
        </w:rPr>
        <w:fldChar w:fldCharType="begin"/>
      </w:r>
      <w:r>
        <w:rPr>
          <w:rFonts w:ascii="宋体" w:hAnsi="宋体"/>
          <w:szCs w:val="21"/>
        </w:rPr>
        <w:instrText xml:space="preserve"> PAGEREF _Toc108513802 \h </w:instrText>
      </w:r>
      <w:r>
        <w:rPr>
          <w:rFonts w:ascii="宋体" w:hAnsi="宋体"/>
          <w:szCs w:val="21"/>
        </w:rPr>
        <w:fldChar w:fldCharType="separate"/>
      </w:r>
      <w:r>
        <w:rPr>
          <w:rFonts w:ascii="宋体" w:hAnsi="宋体"/>
          <w:szCs w:val="21"/>
        </w:rPr>
        <w:t>172</w:t>
      </w:r>
      <w:r>
        <w:rPr>
          <w:rFonts w:ascii="宋体" w:hAnsi="宋体"/>
          <w:szCs w:val="21"/>
        </w:rPr>
        <w:fldChar w:fldCharType="end"/>
      </w:r>
    </w:p>
    <w:p w14:paraId="732143DA">
      <w:pPr>
        <w:pStyle w:val="8"/>
        <w:tabs>
          <w:tab w:val="right" w:leader="dot" w:pos="8296"/>
        </w:tabs>
        <w:rPr>
          <w:rFonts w:ascii="宋体" w:hAnsi="宋体"/>
          <w:szCs w:val="21"/>
        </w:rPr>
      </w:pPr>
      <w:r>
        <w:rPr>
          <w:rFonts w:ascii="宋体" w:hAnsi="宋体"/>
          <w:szCs w:val="21"/>
        </w:rPr>
        <w:t xml:space="preserve">18.5 </w:t>
      </w:r>
      <w:r>
        <w:rPr>
          <w:rFonts w:hint="eastAsia" w:ascii="宋体" w:hAnsi="宋体"/>
          <w:szCs w:val="21"/>
        </w:rPr>
        <w:t>施工期运行</w:t>
      </w:r>
      <w:r>
        <w:rPr>
          <w:rFonts w:ascii="宋体" w:hAnsi="宋体"/>
          <w:szCs w:val="21"/>
        </w:rPr>
        <w:tab/>
      </w:r>
      <w:r>
        <w:rPr>
          <w:rFonts w:ascii="宋体" w:hAnsi="宋体"/>
          <w:szCs w:val="21"/>
        </w:rPr>
        <w:fldChar w:fldCharType="begin"/>
      </w:r>
      <w:r>
        <w:rPr>
          <w:rFonts w:ascii="宋体" w:hAnsi="宋体"/>
          <w:szCs w:val="21"/>
        </w:rPr>
        <w:instrText xml:space="preserve"> PAGEREF _Toc108513803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5CFA95E7">
      <w:pPr>
        <w:pStyle w:val="8"/>
        <w:tabs>
          <w:tab w:val="right" w:leader="dot" w:pos="8296"/>
        </w:tabs>
        <w:rPr>
          <w:rFonts w:ascii="宋体" w:hAnsi="宋体"/>
          <w:szCs w:val="21"/>
        </w:rPr>
      </w:pPr>
      <w:r>
        <w:rPr>
          <w:rFonts w:ascii="宋体" w:hAnsi="宋体"/>
          <w:szCs w:val="21"/>
        </w:rPr>
        <w:t xml:space="preserve">18.6 </w:t>
      </w:r>
      <w:r>
        <w:rPr>
          <w:rFonts w:hint="eastAsia" w:ascii="宋体" w:hAnsi="宋体"/>
          <w:szCs w:val="21"/>
        </w:rPr>
        <w:t>试运行</w:t>
      </w:r>
      <w:r>
        <w:rPr>
          <w:rFonts w:ascii="宋体" w:hAnsi="宋体"/>
          <w:szCs w:val="21"/>
        </w:rPr>
        <w:tab/>
      </w:r>
      <w:r>
        <w:rPr>
          <w:rFonts w:ascii="宋体" w:hAnsi="宋体"/>
          <w:szCs w:val="21"/>
        </w:rPr>
        <w:fldChar w:fldCharType="begin"/>
      </w:r>
      <w:r>
        <w:rPr>
          <w:rFonts w:ascii="宋体" w:hAnsi="宋体"/>
          <w:szCs w:val="21"/>
        </w:rPr>
        <w:instrText xml:space="preserve"> PAGEREF _Toc108513804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247FC766">
      <w:pPr>
        <w:pStyle w:val="8"/>
        <w:tabs>
          <w:tab w:val="right" w:leader="dot" w:pos="8296"/>
        </w:tabs>
        <w:rPr>
          <w:rFonts w:ascii="宋体" w:hAnsi="宋体"/>
          <w:szCs w:val="21"/>
        </w:rPr>
      </w:pPr>
      <w:r>
        <w:rPr>
          <w:rFonts w:ascii="宋体" w:hAnsi="宋体"/>
          <w:szCs w:val="21"/>
        </w:rPr>
        <w:t xml:space="preserve">18.7 </w:t>
      </w:r>
      <w:r>
        <w:rPr>
          <w:rFonts w:hint="eastAsia" w:ascii="宋体" w:hAnsi="宋体"/>
          <w:szCs w:val="21"/>
        </w:rPr>
        <w:t>竣工清场</w:t>
      </w:r>
      <w:r>
        <w:rPr>
          <w:rFonts w:ascii="宋体" w:hAnsi="宋体"/>
          <w:szCs w:val="21"/>
        </w:rPr>
        <w:tab/>
      </w:r>
      <w:r>
        <w:rPr>
          <w:rFonts w:ascii="宋体" w:hAnsi="宋体"/>
          <w:szCs w:val="21"/>
        </w:rPr>
        <w:fldChar w:fldCharType="begin"/>
      </w:r>
      <w:r>
        <w:rPr>
          <w:rFonts w:ascii="宋体" w:hAnsi="宋体"/>
          <w:szCs w:val="21"/>
        </w:rPr>
        <w:instrText xml:space="preserve"> PAGEREF _Toc108513805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1EBAD326">
      <w:pPr>
        <w:pStyle w:val="8"/>
        <w:tabs>
          <w:tab w:val="right" w:leader="dot" w:pos="8296"/>
        </w:tabs>
        <w:rPr>
          <w:rFonts w:ascii="宋体" w:hAnsi="宋体"/>
          <w:szCs w:val="21"/>
        </w:rPr>
      </w:pPr>
      <w:r>
        <w:rPr>
          <w:rFonts w:ascii="宋体" w:hAnsi="宋体"/>
          <w:szCs w:val="21"/>
        </w:rPr>
        <w:t xml:space="preserve">18.8 </w:t>
      </w:r>
      <w:r>
        <w:rPr>
          <w:rFonts w:hint="eastAsia" w:ascii="宋体" w:hAnsi="宋体"/>
          <w:szCs w:val="21"/>
        </w:rPr>
        <w:t>施工队伍的撤离</w:t>
      </w:r>
      <w:r>
        <w:rPr>
          <w:rFonts w:ascii="宋体" w:hAnsi="宋体"/>
          <w:szCs w:val="21"/>
        </w:rPr>
        <w:tab/>
      </w:r>
      <w:r>
        <w:rPr>
          <w:rFonts w:ascii="宋体" w:hAnsi="宋体"/>
          <w:szCs w:val="21"/>
        </w:rPr>
        <w:fldChar w:fldCharType="begin"/>
      </w:r>
      <w:r>
        <w:rPr>
          <w:rFonts w:ascii="宋体" w:hAnsi="宋体"/>
          <w:szCs w:val="21"/>
        </w:rPr>
        <w:instrText xml:space="preserve"> PAGEREF _Toc108513806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399FD641">
      <w:pPr>
        <w:pStyle w:val="13"/>
        <w:tabs>
          <w:tab w:val="right" w:leader="dot" w:pos="8296"/>
        </w:tabs>
        <w:rPr>
          <w:rFonts w:ascii="宋体" w:hAnsi="宋体" w:eastAsia="宋体"/>
          <w:sz w:val="21"/>
          <w:szCs w:val="21"/>
        </w:rPr>
      </w:pPr>
      <w:r>
        <w:rPr>
          <w:rFonts w:ascii="宋体" w:hAnsi="宋体" w:eastAsia="宋体"/>
          <w:sz w:val="21"/>
          <w:szCs w:val="21"/>
        </w:rPr>
        <w:t xml:space="preserve">19. </w:t>
      </w:r>
      <w:r>
        <w:rPr>
          <w:rFonts w:hint="eastAsia" w:ascii="宋体" w:hAnsi="宋体" w:eastAsia="宋体"/>
          <w:sz w:val="21"/>
          <w:szCs w:val="21"/>
        </w:rPr>
        <w:t>缺陷责任与保修责任</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_Toc108513807 \h </w:instrText>
      </w:r>
      <w:r>
        <w:rPr>
          <w:rFonts w:ascii="宋体" w:hAnsi="宋体" w:eastAsia="宋体"/>
          <w:sz w:val="21"/>
          <w:szCs w:val="21"/>
        </w:rPr>
        <w:fldChar w:fldCharType="separate"/>
      </w:r>
      <w:r>
        <w:rPr>
          <w:rFonts w:ascii="宋体" w:hAnsi="宋体" w:eastAsia="宋体"/>
          <w:sz w:val="21"/>
          <w:szCs w:val="21"/>
        </w:rPr>
        <w:t>173</w:t>
      </w:r>
      <w:r>
        <w:rPr>
          <w:rFonts w:ascii="宋体" w:hAnsi="宋体" w:eastAsia="宋体"/>
          <w:sz w:val="21"/>
          <w:szCs w:val="21"/>
        </w:rPr>
        <w:fldChar w:fldCharType="end"/>
      </w:r>
    </w:p>
    <w:p w14:paraId="1D3774D4">
      <w:pPr>
        <w:pStyle w:val="8"/>
        <w:tabs>
          <w:tab w:val="right" w:leader="dot" w:pos="8296"/>
        </w:tabs>
        <w:rPr>
          <w:rFonts w:ascii="宋体" w:hAnsi="宋体"/>
          <w:szCs w:val="21"/>
        </w:rPr>
      </w:pPr>
      <w:r>
        <w:rPr>
          <w:rFonts w:ascii="宋体" w:hAnsi="宋体"/>
          <w:szCs w:val="21"/>
        </w:rPr>
        <w:t xml:space="preserve">19.1 </w:t>
      </w:r>
      <w:r>
        <w:rPr>
          <w:rFonts w:hint="eastAsia" w:ascii="宋体" w:hAnsi="宋体"/>
          <w:szCs w:val="21"/>
        </w:rPr>
        <w:t>缺陷责任期的起算时间</w:t>
      </w:r>
      <w:r>
        <w:rPr>
          <w:rFonts w:ascii="宋体" w:hAnsi="宋体"/>
          <w:szCs w:val="21"/>
        </w:rPr>
        <w:tab/>
      </w:r>
      <w:r>
        <w:rPr>
          <w:rFonts w:ascii="宋体" w:hAnsi="宋体"/>
          <w:szCs w:val="21"/>
        </w:rPr>
        <w:fldChar w:fldCharType="begin"/>
      </w:r>
      <w:r>
        <w:rPr>
          <w:rFonts w:ascii="宋体" w:hAnsi="宋体"/>
          <w:szCs w:val="21"/>
        </w:rPr>
        <w:instrText xml:space="preserve"> PAGEREF _Toc108513808 \h </w:instrText>
      </w:r>
      <w:r>
        <w:rPr>
          <w:rFonts w:ascii="宋体" w:hAnsi="宋体"/>
          <w:szCs w:val="21"/>
        </w:rPr>
        <w:fldChar w:fldCharType="separate"/>
      </w:r>
      <w:r>
        <w:rPr>
          <w:rFonts w:ascii="宋体" w:hAnsi="宋体"/>
          <w:szCs w:val="21"/>
        </w:rPr>
        <w:t>173</w:t>
      </w:r>
      <w:r>
        <w:rPr>
          <w:rFonts w:ascii="宋体" w:hAnsi="宋体"/>
          <w:szCs w:val="21"/>
        </w:rPr>
        <w:fldChar w:fldCharType="end"/>
      </w:r>
    </w:p>
    <w:p w14:paraId="78682AF0">
      <w:pPr>
        <w:pStyle w:val="8"/>
        <w:tabs>
          <w:tab w:val="right" w:leader="dot" w:pos="8296"/>
        </w:tabs>
        <w:rPr>
          <w:rFonts w:ascii="宋体" w:hAnsi="宋体"/>
          <w:szCs w:val="21"/>
        </w:rPr>
      </w:pPr>
      <w:r>
        <w:rPr>
          <w:rFonts w:ascii="宋体" w:hAnsi="宋体"/>
          <w:szCs w:val="21"/>
        </w:rPr>
        <w:t xml:space="preserve">19.2 </w:t>
      </w:r>
      <w:r>
        <w:rPr>
          <w:rFonts w:hint="eastAsia" w:ascii="宋体" w:hAnsi="宋体"/>
          <w:szCs w:val="21"/>
        </w:rPr>
        <w:t>缺陷责任</w:t>
      </w:r>
      <w:r>
        <w:rPr>
          <w:rFonts w:ascii="宋体" w:hAnsi="宋体"/>
          <w:szCs w:val="21"/>
        </w:rPr>
        <w:tab/>
      </w:r>
      <w:r>
        <w:rPr>
          <w:rFonts w:ascii="宋体" w:hAnsi="宋体"/>
          <w:szCs w:val="21"/>
        </w:rPr>
        <w:fldChar w:fldCharType="begin"/>
      </w:r>
      <w:r>
        <w:rPr>
          <w:rFonts w:ascii="宋体" w:hAnsi="宋体"/>
          <w:szCs w:val="21"/>
        </w:rPr>
        <w:instrText xml:space="preserve"> PAGEREF _Toc108513809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530FB4C9">
      <w:pPr>
        <w:pStyle w:val="8"/>
        <w:tabs>
          <w:tab w:val="right" w:leader="dot" w:pos="8296"/>
        </w:tabs>
        <w:rPr>
          <w:rFonts w:ascii="宋体" w:hAnsi="宋体"/>
          <w:szCs w:val="21"/>
        </w:rPr>
      </w:pPr>
      <w:r>
        <w:rPr>
          <w:rFonts w:ascii="宋体" w:hAnsi="宋体"/>
          <w:szCs w:val="21"/>
        </w:rPr>
        <w:t xml:space="preserve">19.3 </w:t>
      </w:r>
      <w:r>
        <w:rPr>
          <w:rFonts w:hint="eastAsia" w:ascii="宋体" w:hAnsi="宋体"/>
          <w:szCs w:val="21"/>
        </w:rPr>
        <w:t>缺陷责任期的延长</w:t>
      </w:r>
      <w:r>
        <w:rPr>
          <w:rFonts w:ascii="宋体" w:hAnsi="宋体"/>
          <w:szCs w:val="21"/>
        </w:rPr>
        <w:tab/>
      </w:r>
      <w:r>
        <w:rPr>
          <w:rFonts w:ascii="宋体" w:hAnsi="宋体"/>
          <w:szCs w:val="21"/>
        </w:rPr>
        <w:fldChar w:fldCharType="begin"/>
      </w:r>
      <w:r>
        <w:rPr>
          <w:rFonts w:ascii="宋体" w:hAnsi="宋体"/>
          <w:szCs w:val="21"/>
        </w:rPr>
        <w:instrText xml:space="preserve"> PAGEREF _Toc108513810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062C401F">
      <w:pPr>
        <w:pStyle w:val="8"/>
        <w:tabs>
          <w:tab w:val="right" w:leader="dot" w:pos="8296"/>
        </w:tabs>
        <w:rPr>
          <w:rFonts w:ascii="宋体" w:hAnsi="宋体"/>
          <w:szCs w:val="21"/>
        </w:rPr>
      </w:pPr>
      <w:r>
        <w:rPr>
          <w:rFonts w:ascii="宋体" w:hAnsi="宋体"/>
          <w:szCs w:val="21"/>
        </w:rPr>
        <w:t xml:space="preserve">19.4 </w:t>
      </w:r>
      <w:r>
        <w:rPr>
          <w:rFonts w:hint="eastAsia" w:ascii="宋体" w:hAnsi="宋体"/>
          <w:szCs w:val="21"/>
        </w:rPr>
        <w:t>进一步试验和试运行</w:t>
      </w:r>
      <w:r>
        <w:rPr>
          <w:rFonts w:ascii="宋体" w:hAnsi="宋体"/>
          <w:szCs w:val="21"/>
        </w:rPr>
        <w:tab/>
      </w:r>
      <w:r>
        <w:rPr>
          <w:rFonts w:ascii="宋体" w:hAnsi="宋体"/>
          <w:szCs w:val="21"/>
        </w:rPr>
        <w:fldChar w:fldCharType="begin"/>
      </w:r>
      <w:r>
        <w:rPr>
          <w:rFonts w:ascii="宋体" w:hAnsi="宋体"/>
          <w:szCs w:val="21"/>
        </w:rPr>
        <w:instrText xml:space="preserve"> PAGEREF _Toc108513811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0EAE85B9">
      <w:pPr>
        <w:pStyle w:val="8"/>
        <w:tabs>
          <w:tab w:val="right" w:leader="dot" w:pos="8296"/>
        </w:tabs>
        <w:rPr>
          <w:rFonts w:ascii="宋体" w:hAnsi="宋体"/>
          <w:szCs w:val="21"/>
        </w:rPr>
      </w:pPr>
      <w:r>
        <w:rPr>
          <w:rFonts w:ascii="宋体" w:hAnsi="宋体"/>
          <w:szCs w:val="21"/>
        </w:rPr>
        <w:t xml:space="preserve">19.5 </w:t>
      </w:r>
      <w:r>
        <w:rPr>
          <w:rFonts w:hint="eastAsia" w:ascii="宋体" w:hAnsi="宋体"/>
          <w:szCs w:val="21"/>
        </w:rPr>
        <w:t>承包人的进入权</w:t>
      </w:r>
      <w:r>
        <w:rPr>
          <w:rFonts w:ascii="宋体" w:hAnsi="宋体"/>
          <w:szCs w:val="21"/>
        </w:rPr>
        <w:tab/>
      </w:r>
      <w:r>
        <w:rPr>
          <w:rFonts w:ascii="宋体" w:hAnsi="宋体"/>
          <w:szCs w:val="21"/>
        </w:rPr>
        <w:fldChar w:fldCharType="begin"/>
      </w:r>
      <w:r>
        <w:rPr>
          <w:rFonts w:ascii="宋体" w:hAnsi="宋体"/>
          <w:szCs w:val="21"/>
        </w:rPr>
        <w:instrText xml:space="preserve"> PAGEREF _Toc108513812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45C4B554">
      <w:pPr>
        <w:pStyle w:val="8"/>
        <w:tabs>
          <w:tab w:val="right" w:leader="dot" w:pos="8296"/>
        </w:tabs>
        <w:rPr>
          <w:rFonts w:ascii="宋体" w:hAnsi="宋体"/>
          <w:szCs w:val="21"/>
        </w:rPr>
      </w:pPr>
      <w:r>
        <w:rPr>
          <w:rFonts w:ascii="宋体" w:hAnsi="宋体"/>
          <w:szCs w:val="21"/>
        </w:rPr>
        <w:t xml:space="preserve">19.6 </w:t>
      </w:r>
      <w:r>
        <w:rPr>
          <w:rFonts w:hint="eastAsia" w:ascii="宋体" w:hAnsi="宋体"/>
          <w:szCs w:val="21"/>
        </w:rPr>
        <w:t>缺陷责任期终止证书</w:t>
      </w:r>
      <w:r>
        <w:rPr>
          <w:rFonts w:ascii="宋体" w:hAnsi="宋体"/>
          <w:szCs w:val="21"/>
        </w:rPr>
        <w:tab/>
      </w:r>
      <w:r>
        <w:rPr>
          <w:rFonts w:ascii="宋体" w:hAnsi="宋体"/>
          <w:szCs w:val="21"/>
        </w:rPr>
        <w:fldChar w:fldCharType="begin"/>
      </w:r>
      <w:r>
        <w:rPr>
          <w:rFonts w:ascii="宋体" w:hAnsi="宋体"/>
          <w:szCs w:val="21"/>
        </w:rPr>
        <w:instrText xml:space="preserve"> PAGEREF _Toc108513813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29B57B29">
      <w:pPr>
        <w:pStyle w:val="8"/>
        <w:tabs>
          <w:tab w:val="right" w:leader="dot" w:pos="8296"/>
        </w:tabs>
        <w:rPr>
          <w:rFonts w:ascii="宋体" w:hAnsi="宋体"/>
          <w:szCs w:val="21"/>
        </w:rPr>
      </w:pPr>
      <w:r>
        <w:rPr>
          <w:rFonts w:ascii="宋体" w:hAnsi="宋体"/>
          <w:szCs w:val="21"/>
        </w:rPr>
        <w:t xml:space="preserve">19.7 </w:t>
      </w:r>
      <w:r>
        <w:rPr>
          <w:rFonts w:hint="eastAsia" w:ascii="宋体" w:hAnsi="宋体"/>
          <w:szCs w:val="21"/>
        </w:rPr>
        <w:t>保修责任</w:t>
      </w:r>
      <w:r>
        <w:rPr>
          <w:rFonts w:ascii="宋体" w:hAnsi="宋体"/>
          <w:szCs w:val="21"/>
        </w:rPr>
        <w:tab/>
      </w:r>
      <w:r>
        <w:rPr>
          <w:rFonts w:ascii="宋体" w:hAnsi="宋体"/>
          <w:szCs w:val="21"/>
        </w:rPr>
        <w:fldChar w:fldCharType="begin"/>
      </w:r>
      <w:r>
        <w:rPr>
          <w:rFonts w:ascii="宋体" w:hAnsi="宋体"/>
          <w:szCs w:val="21"/>
        </w:rPr>
        <w:instrText xml:space="preserve"> PAGEREF _Toc108513814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0DF2284D">
      <w:pPr>
        <w:pStyle w:val="13"/>
        <w:tabs>
          <w:tab w:val="right" w:leader="dot" w:pos="8296"/>
        </w:tabs>
        <w:rPr>
          <w:rFonts w:ascii="宋体" w:hAnsi="宋体" w:eastAsia="宋体"/>
          <w:sz w:val="21"/>
          <w:szCs w:val="21"/>
        </w:rPr>
      </w:pPr>
      <w:r>
        <w:rPr>
          <w:rFonts w:ascii="宋体" w:hAnsi="宋体" w:eastAsia="宋体"/>
          <w:sz w:val="21"/>
          <w:szCs w:val="21"/>
        </w:rPr>
        <w:t xml:space="preserve">20. </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_Toc108513815 \h </w:instrText>
      </w:r>
      <w:r>
        <w:rPr>
          <w:rFonts w:ascii="宋体" w:hAnsi="宋体" w:eastAsia="宋体"/>
          <w:sz w:val="21"/>
          <w:szCs w:val="21"/>
        </w:rPr>
        <w:fldChar w:fldCharType="separate"/>
      </w:r>
      <w:r>
        <w:rPr>
          <w:rFonts w:ascii="宋体" w:hAnsi="宋体" w:eastAsia="宋体"/>
          <w:sz w:val="21"/>
          <w:szCs w:val="21"/>
        </w:rPr>
        <w:t>174</w:t>
      </w:r>
      <w:r>
        <w:rPr>
          <w:rFonts w:ascii="宋体" w:hAnsi="宋体" w:eastAsia="宋体"/>
          <w:sz w:val="21"/>
          <w:szCs w:val="21"/>
        </w:rPr>
        <w:fldChar w:fldCharType="end"/>
      </w:r>
    </w:p>
    <w:p w14:paraId="2C103649">
      <w:pPr>
        <w:pStyle w:val="8"/>
        <w:tabs>
          <w:tab w:val="right" w:leader="dot" w:pos="8296"/>
        </w:tabs>
        <w:rPr>
          <w:rFonts w:ascii="宋体" w:hAnsi="宋体"/>
          <w:szCs w:val="21"/>
        </w:rPr>
      </w:pPr>
      <w:r>
        <w:rPr>
          <w:rFonts w:ascii="宋体" w:hAnsi="宋体"/>
          <w:szCs w:val="21"/>
        </w:rPr>
        <w:t xml:space="preserve">20.1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_Toc108513816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17812B1A">
      <w:pPr>
        <w:pStyle w:val="8"/>
        <w:tabs>
          <w:tab w:val="right" w:leader="dot" w:pos="8296"/>
        </w:tabs>
        <w:rPr>
          <w:rFonts w:ascii="宋体" w:hAnsi="宋体"/>
          <w:szCs w:val="21"/>
        </w:rPr>
      </w:pPr>
      <w:r>
        <w:rPr>
          <w:rFonts w:ascii="宋体" w:hAnsi="宋体"/>
          <w:szCs w:val="21"/>
        </w:rPr>
        <w:t xml:space="preserve">20.2 </w:t>
      </w:r>
      <w:r>
        <w:rPr>
          <w:rFonts w:hint="eastAsia" w:ascii="宋体" w:hAnsi="宋体"/>
          <w:szCs w:val="21"/>
        </w:rPr>
        <w:t>人员工伤事故的保险</w:t>
      </w:r>
      <w:r>
        <w:rPr>
          <w:rFonts w:ascii="宋体" w:hAnsi="宋体"/>
          <w:szCs w:val="21"/>
        </w:rPr>
        <w:tab/>
      </w:r>
      <w:r>
        <w:rPr>
          <w:rFonts w:ascii="宋体" w:hAnsi="宋体"/>
          <w:szCs w:val="21"/>
        </w:rPr>
        <w:fldChar w:fldCharType="begin"/>
      </w:r>
      <w:r>
        <w:rPr>
          <w:rFonts w:ascii="宋体" w:hAnsi="宋体"/>
          <w:szCs w:val="21"/>
        </w:rPr>
        <w:instrText xml:space="preserve"> PAGEREF _Toc108513817 \h </w:instrText>
      </w:r>
      <w:r>
        <w:rPr>
          <w:rFonts w:ascii="宋体" w:hAnsi="宋体"/>
          <w:szCs w:val="21"/>
        </w:rPr>
        <w:fldChar w:fldCharType="separate"/>
      </w:r>
      <w:r>
        <w:rPr>
          <w:rFonts w:ascii="宋体" w:hAnsi="宋体"/>
          <w:szCs w:val="21"/>
        </w:rPr>
        <w:t>174</w:t>
      </w:r>
      <w:r>
        <w:rPr>
          <w:rFonts w:ascii="宋体" w:hAnsi="宋体"/>
          <w:szCs w:val="21"/>
        </w:rPr>
        <w:fldChar w:fldCharType="end"/>
      </w:r>
    </w:p>
    <w:p w14:paraId="3A999256">
      <w:pPr>
        <w:pStyle w:val="8"/>
        <w:tabs>
          <w:tab w:val="right" w:leader="dot" w:pos="8296"/>
        </w:tabs>
        <w:rPr>
          <w:rFonts w:ascii="宋体" w:hAnsi="宋体"/>
          <w:szCs w:val="21"/>
        </w:rPr>
      </w:pPr>
      <w:r>
        <w:rPr>
          <w:rFonts w:ascii="宋体" w:hAnsi="宋体"/>
          <w:szCs w:val="21"/>
        </w:rPr>
        <w:t xml:space="preserve">20.3 </w:t>
      </w:r>
      <w:r>
        <w:rPr>
          <w:rFonts w:hint="eastAsia" w:ascii="宋体" w:hAnsi="宋体"/>
          <w:szCs w:val="21"/>
        </w:rPr>
        <w:t>人身意外伤害险</w:t>
      </w:r>
      <w:r>
        <w:rPr>
          <w:rFonts w:ascii="宋体" w:hAnsi="宋体"/>
          <w:szCs w:val="21"/>
        </w:rPr>
        <w:tab/>
      </w:r>
      <w:r>
        <w:rPr>
          <w:rFonts w:ascii="宋体" w:hAnsi="宋体"/>
          <w:szCs w:val="21"/>
        </w:rPr>
        <w:fldChar w:fldCharType="begin"/>
      </w:r>
      <w:r>
        <w:rPr>
          <w:rFonts w:ascii="宋体" w:hAnsi="宋体"/>
          <w:szCs w:val="21"/>
        </w:rPr>
        <w:instrText xml:space="preserve"> PAGEREF _Toc108513818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44E21BBA">
      <w:pPr>
        <w:pStyle w:val="8"/>
        <w:tabs>
          <w:tab w:val="right" w:leader="dot" w:pos="8296"/>
        </w:tabs>
        <w:rPr>
          <w:rFonts w:ascii="宋体" w:hAnsi="宋体"/>
          <w:szCs w:val="21"/>
        </w:rPr>
      </w:pPr>
      <w:r>
        <w:rPr>
          <w:rFonts w:ascii="宋体" w:hAnsi="宋体"/>
          <w:szCs w:val="21"/>
        </w:rPr>
        <w:t xml:space="preserve">20.4 </w:t>
      </w:r>
      <w:r>
        <w:rPr>
          <w:rFonts w:hint="eastAsia" w:ascii="宋体" w:hAnsi="宋体"/>
          <w:szCs w:val="21"/>
        </w:rPr>
        <w:t>第三者责任险</w:t>
      </w:r>
      <w:r>
        <w:rPr>
          <w:rFonts w:ascii="宋体" w:hAnsi="宋体"/>
          <w:szCs w:val="21"/>
        </w:rPr>
        <w:tab/>
      </w:r>
      <w:r>
        <w:rPr>
          <w:rFonts w:ascii="宋体" w:hAnsi="宋体"/>
          <w:szCs w:val="21"/>
        </w:rPr>
        <w:fldChar w:fldCharType="begin"/>
      </w:r>
      <w:r>
        <w:rPr>
          <w:rFonts w:ascii="宋体" w:hAnsi="宋体"/>
          <w:szCs w:val="21"/>
        </w:rPr>
        <w:instrText xml:space="preserve"> PAGEREF _Toc108513819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01E7D488">
      <w:pPr>
        <w:pStyle w:val="8"/>
        <w:tabs>
          <w:tab w:val="right" w:leader="dot" w:pos="8296"/>
        </w:tabs>
        <w:rPr>
          <w:rFonts w:ascii="宋体" w:hAnsi="宋体"/>
          <w:szCs w:val="21"/>
        </w:rPr>
      </w:pPr>
      <w:r>
        <w:rPr>
          <w:rFonts w:ascii="宋体" w:hAnsi="宋体"/>
          <w:szCs w:val="21"/>
        </w:rPr>
        <w:t xml:space="preserve">20.5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_Toc108513820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427C0392">
      <w:pPr>
        <w:pStyle w:val="8"/>
        <w:tabs>
          <w:tab w:val="right" w:leader="dot" w:pos="8296"/>
        </w:tabs>
        <w:rPr>
          <w:rFonts w:ascii="宋体" w:hAnsi="宋体"/>
          <w:szCs w:val="21"/>
        </w:rPr>
      </w:pPr>
      <w:r>
        <w:rPr>
          <w:rFonts w:ascii="宋体" w:hAnsi="宋体"/>
          <w:szCs w:val="21"/>
        </w:rPr>
        <w:t xml:space="preserve">20.6 </w:t>
      </w:r>
      <w:r>
        <w:rPr>
          <w:rFonts w:hint="eastAsia" w:ascii="宋体" w:hAnsi="宋体"/>
          <w:szCs w:val="21"/>
        </w:rPr>
        <w:t>对各项保险的一般要求</w:t>
      </w:r>
      <w:r>
        <w:rPr>
          <w:rFonts w:ascii="宋体" w:hAnsi="宋体"/>
          <w:szCs w:val="21"/>
        </w:rPr>
        <w:tab/>
      </w:r>
      <w:r>
        <w:rPr>
          <w:rFonts w:ascii="宋体" w:hAnsi="宋体"/>
          <w:szCs w:val="21"/>
        </w:rPr>
        <w:fldChar w:fldCharType="begin"/>
      </w:r>
      <w:r>
        <w:rPr>
          <w:rFonts w:ascii="宋体" w:hAnsi="宋体"/>
          <w:szCs w:val="21"/>
        </w:rPr>
        <w:instrText xml:space="preserve"> PAGEREF _Toc108513821 \h </w:instrText>
      </w:r>
      <w:r>
        <w:rPr>
          <w:rFonts w:ascii="宋体" w:hAnsi="宋体"/>
          <w:szCs w:val="21"/>
        </w:rPr>
        <w:fldChar w:fldCharType="separate"/>
      </w:r>
      <w:r>
        <w:rPr>
          <w:rFonts w:ascii="宋体" w:hAnsi="宋体"/>
          <w:szCs w:val="21"/>
        </w:rPr>
        <w:t>175</w:t>
      </w:r>
      <w:r>
        <w:rPr>
          <w:rFonts w:ascii="宋体" w:hAnsi="宋体"/>
          <w:szCs w:val="21"/>
        </w:rPr>
        <w:fldChar w:fldCharType="end"/>
      </w:r>
    </w:p>
    <w:p w14:paraId="4840638F">
      <w:pPr>
        <w:pStyle w:val="13"/>
        <w:tabs>
          <w:tab w:val="right" w:leader="dot" w:pos="8296"/>
        </w:tabs>
        <w:rPr>
          <w:rFonts w:ascii="宋体" w:hAnsi="宋体" w:eastAsia="宋体"/>
          <w:sz w:val="21"/>
          <w:szCs w:val="21"/>
        </w:rPr>
      </w:pPr>
      <w:r>
        <w:rPr>
          <w:rFonts w:ascii="宋体" w:hAnsi="宋体" w:eastAsia="宋体"/>
          <w:sz w:val="21"/>
          <w:szCs w:val="21"/>
        </w:rPr>
        <w:t xml:space="preserve">21. </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_Toc108513822 \h </w:instrText>
      </w:r>
      <w:r>
        <w:rPr>
          <w:rFonts w:ascii="宋体" w:hAnsi="宋体" w:eastAsia="宋体"/>
          <w:sz w:val="21"/>
          <w:szCs w:val="21"/>
        </w:rPr>
        <w:fldChar w:fldCharType="separate"/>
      </w:r>
      <w:r>
        <w:rPr>
          <w:rFonts w:ascii="宋体" w:hAnsi="宋体" w:eastAsia="宋体"/>
          <w:sz w:val="21"/>
          <w:szCs w:val="21"/>
        </w:rPr>
        <w:t>176</w:t>
      </w:r>
      <w:r>
        <w:rPr>
          <w:rFonts w:ascii="宋体" w:hAnsi="宋体" w:eastAsia="宋体"/>
          <w:sz w:val="21"/>
          <w:szCs w:val="21"/>
        </w:rPr>
        <w:fldChar w:fldCharType="end"/>
      </w:r>
    </w:p>
    <w:p w14:paraId="59CE5D3F">
      <w:pPr>
        <w:pStyle w:val="8"/>
        <w:tabs>
          <w:tab w:val="right" w:leader="dot" w:pos="8296"/>
        </w:tabs>
        <w:rPr>
          <w:rFonts w:ascii="宋体" w:hAnsi="宋体"/>
          <w:szCs w:val="21"/>
        </w:rPr>
      </w:pPr>
      <w:r>
        <w:rPr>
          <w:rFonts w:ascii="宋体" w:hAnsi="宋体"/>
          <w:szCs w:val="21"/>
        </w:rPr>
        <w:t xml:space="preserve">21.1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_Toc108513823 \h </w:instrText>
      </w:r>
      <w:r>
        <w:rPr>
          <w:rFonts w:ascii="宋体" w:hAnsi="宋体"/>
          <w:szCs w:val="21"/>
        </w:rPr>
        <w:fldChar w:fldCharType="separate"/>
      </w:r>
      <w:r>
        <w:rPr>
          <w:rFonts w:ascii="宋体" w:hAnsi="宋体"/>
          <w:szCs w:val="21"/>
        </w:rPr>
        <w:t>176</w:t>
      </w:r>
      <w:r>
        <w:rPr>
          <w:rFonts w:ascii="宋体" w:hAnsi="宋体"/>
          <w:szCs w:val="21"/>
        </w:rPr>
        <w:fldChar w:fldCharType="end"/>
      </w:r>
    </w:p>
    <w:p w14:paraId="50BDDE55">
      <w:pPr>
        <w:pStyle w:val="8"/>
        <w:tabs>
          <w:tab w:val="right" w:leader="dot" w:pos="8296"/>
        </w:tabs>
        <w:rPr>
          <w:rFonts w:ascii="宋体" w:hAnsi="宋体"/>
          <w:szCs w:val="21"/>
        </w:rPr>
      </w:pPr>
      <w:r>
        <w:rPr>
          <w:rFonts w:ascii="宋体" w:hAnsi="宋体"/>
          <w:szCs w:val="21"/>
        </w:rPr>
        <w:t xml:space="preserve">21.2 </w:t>
      </w:r>
      <w:r>
        <w:rPr>
          <w:rFonts w:hint="eastAsia" w:ascii="宋体" w:hAnsi="宋体"/>
          <w:szCs w:val="21"/>
        </w:rPr>
        <w:t>不可抗力的通知</w:t>
      </w:r>
      <w:r>
        <w:rPr>
          <w:rFonts w:ascii="宋体" w:hAnsi="宋体"/>
          <w:szCs w:val="21"/>
        </w:rPr>
        <w:tab/>
      </w:r>
      <w:r>
        <w:rPr>
          <w:rFonts w:ascii="宋体" w:hAnsi="宋体"/>
          <w:szCs w:val="21"/>
        </w:rPr>
        <w:fldChar w:fldCharType="begin"/>
      </w:r>
      <w:r>
        <w:rPr>
          <w:rFonts w:ascii="宋体" w:hAnsi="宋体"/>
          <w:szCs w:val="21"/>
        </w:rPr>
        <w:instrText xml:space="preserve"> PAGEREF _Toc108513824 \h </w:instrText>
      </w:r>
      <w:r>
        <w:rPr>
          <w:rFonts w:ascii="宋体" w:hAnsi="宋体"/>
          <w:szCs w:val="21"/>
        </w:rPr>
        <w:fldChar w:fldCharType="separate"/>
      </w:r>
      <w:r>
        <w:rPr>
          <w:rFonts w:ascii="宋体" w:hAnsi="宋体"/>
          <w:szCs w:val="21"/>
        </w:rPr>
        <w:t>176</w:t>
      </w:r>
      <w:r>
        <w:rPr>
          <w:rFonts w:ascii="宋体" w:hAnsi="宋体"/>
          <w:szCs w:val="21"/>
        </w:rPr>
        <w:fldChar w:fldCharType="end"/>
      </w:r>
    </w:p>
    <w:p w14:paraId="27A1ACF4">
      <w:pPr>
        <w:pStyle w:val="8"/>
        <w:tabs>
          <w:tab w:val="right" w:leader="dot" w:pos="8296"/>
        </w:tabs>
        <w:rPr>
          <w:rFonts w:ascii="宋体" w:hAnsi="宋体"/>
          <w:szCs w:val="21"/>
        </w:rPr>
      </w:pPr>
      <w:r>
        <w:rPr>
          <w:rFonts w:ascii="宋体" w:hAnsi="宋体"/>
          <w:szCs w:val="21"/>
        </w:rPr>
        <w:t xml:space="preserve">21.3 </w:t>
      </w:r>
      <w:r>
        <w:rPr>
          <w:rFonts w:hint="eastAsia" w:ascii="宋体" w:hAnsi="宋体"/>
          <w:szCs w:val="21"/>
        </w:rPr>
        <w:t>不可抗力后果及其处理</w:t>
      </w:r>
      <w:r>
        <w:rPr>
          <w:rFonts w:ascii="宋体" w:hAnsi="宋体"/>
          <w:szCs w:val="21"/>
        </w:rPr>
        <w:tab/>
      </w:r>
      <w:r>
        <w:rPr>
          <w:rFonts w:ascii="宋体" w:hAnsi="宋体"/>
          <w:szCs w:val="21"/>
        </w:rPr>
        <w:fldChar w:fldCharType="begin"/>
      </w:r>
      <w:r>
        <w:rPr>
          <w:rFonts w:ascii="宋体" w:hAnsi="宋体"/>
          <w:szCs w:val="21"/>
        </w:rPr>
        <w:instrText xml:space="preserve"> PAGEREF _Toc108513825 \h </w:instrText>
      </w:r>
      <w:r>
        <w:rPr>
          <w:rFonts w:ascii="宋体" w:hAnsi="宋体"/>
          <w:szCs w:val="21"/>
        </w:rPr>
        <w:fldChar w:fldCharType="separate"/>
      </w:r>
      <w:r>
        <w:rPr>
          <w:rFonts w:ascii="宋体" w:hAnsi="宋体"/>
          <w:szCs w:val="21"/>
        </w:rPr>
        <w:t>176</w:t>
      </w:r>
      <w:r>
        <w:rPr>
          <w:rFonts w:ascii="宋体" w:hAnsi="宋体"/>
          <w:szCs w:val="21"/>
        </w:rPr>
        <w:fldChar w:fldCharType="end"/>
      </w:r>
    </w:p>
    <w:p w14:paraId="6DAF2144">
      <w:pPr>
        <w:pStyle w:val="13"/>
        <w:tabs>
          <w:tab w:val="right" w:leader="dot" w:pos="8296"/>
        </w:tabs>
        <w:rPr>
          <w:rFonts w:ascii="宋体" w:hAnsi="宋体" w:eastAsia="宋体"/>
          <w:sz w:val="21"/>
          <w:szCs w:val="21"/>
        </w:rPr>
      </w:pPr>
      <w:r>
        <w:rPr>
          <w:rFonts w:ascii="宋体" w:hAnsi="宋体" w:eastAsia="宋体"/>
          <w:sz w:val="21"/>
          <w:szCs w:val="21"/>
        </w:rPr>
        <w:t xml:space="preserve">22. </w:t>
      </w:r>
      <w:r>
        <w:rPr>
          <w:rFonts w:hint="eastAsia" w:ascii="宋体" w:hAnsi="宋体" w:eastAsia="宋体"/>
          <w:sz w:val="21"/>
          <w:szCs w:val="21"/>
        </w:rPr>
        <w:t>违约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_Toc108513826 \h </w:instrText>
      </w:r>
      <w:r>
        <w:rPr>
          <w:rFonts w:ascii="宋体" w:hAnsi="宋体" w:eastAsia="宋体"/>
          <w:sz w:val="21"/>
          <w:szCs w:val="21"/>
        </w:rPr>
        <w:fldChar w:fldCharType="separate"/>
      </w:r>
      <w:r>
        <w:rPr>
          <w:rFonts w:ascii="宋体" w:hAnsi="宋体" w:eastAsia="宋体"/>
          <w:sz w:val="21"/>
          <w:szCs w:val="21"/>
        </w:rPr>
        <w:t>177</w:t>
      </w:r>
      <w:r>
        <w:rPr>
          <w:rFonts w:ascii="宋体" w:hAnsi="宋体" w:eastAsia="宋体"/>
          <w:sz w:val="21"/>
          <w:szCs w:val="21"/>
        </w:rPr>
        <w:fldChar w:fldCharType="end"/>
      </w:r>
    </w:p>
    <w:p w14:paraId="71624623">
      <w:pPr>
        <w:pStyle w:val="8"/>
        <w:tabs>
          <w:tab w:val="right" w:leader="dot" w:pos="8296"/>
        </w:tabs>
        <w:rPr>
          <w:rFonts w:ascii="宋体" w:hAnsi="宋体"/>
          <w:szCs w:val="21"/>
        </w:rPr>
      </w:pPr>
      <w:r>
        <w:rPr>
          <w:rFonts w:ascii="宋体" w:hAnsi="宋体"/>
          <w:szCs w:val="21"/>
        </w:rPr>
        <w:t xml:space="preserve">22.1 </w:t>
      </w:r>
      <w:r>
        <w:rPr>
          <w:rFonts w:hint="eastAsia" w:ascii="宋体" w:hAnsi="宋体"/>
          <w:szCs w:val="21"/>
        </w:rPr>
        <w:t>承包人违约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_Toc108513827 \h </w:instrText>
      </w:r>
      <w:r>
        <w:rPr>
          <w:rFonts w:ascii="宋体" w:hAnsi="宋体"/>
          <w:szCs w:val="21"/>
        </w:rPr>
        <w:fldChar w:fldCharType="separate"/>
      </w:r>
      <w:r>
        <w:rPr>
          <w:rFonts w:ascii="宋体" w:hAnsi="宋体"/>
          <w:szCs w:val="21"/>
        </w:rPr>
        <w:t>177</w:t>
      </w:r>
      <w:r>
        <w:rPr>
          <w:rFonts w:ascii="宋体" w:hAnsi="宋体"/>
          <w:szCs w:val="21"/>
        </w:rPr>
        <w:fldChar w:fldCharType="end"/>
      </w:r>
    </w:p>
    <w:p w14:paraId="3B388F06">
      <w:pPr>
        <w:pStyle w:val="8"/>
        <w:tabs>
          <w:tab w:val="right" w:leader="dot" w:pos="8296"/>
        </w:tabs>
        <w:rPr>
          <w:rFonts w:ascii="宋体" w:hAnsi="宋体"/>
          <w:szCs w:val="21"/>
        </w:rPr>
      </w:pPr>
      <w:r>
        <w:rPr>
          <w:rFonts w:ascii="宋体" w:hAnsi="宋体"/>
          <w:szCs w:val="21"/>
        </w:rPr>
        <w:t xml:space="preserve">22.2 </w:t>
      </w:r>
      <w:r>
        <w:rPr>
          <w:rFonts w:hint="eastAsia" w:ascii="宋体" w:hAnsi="宋体"/>
          <w:szCs w:val="21"/>
        </w:rPr>
        <w:t>发包人违约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_Toc108513828 \h </w:instrText>
      </w:r>
      <w:r>
        <w:rPr>
          <w:rFonts w:ascii="宋体" w:hAnsi="宋体"/>
          <w:szCs w:val="21"/>
        </w:rPr>
        <w:fldChar w:fldCharType="separate"/>
      </w:r>
      <w:r>
        <w:rPr>
          <w:rFonts w:ascii="宋体" w:hAnsi="宋体"/>
          <w:szCs w:val="21"/>
        </w:rPr>
        <w:t>178</w:t>
      </w:r>
      <w:r>
        <w:rPr>
          <w:rFonts w:ascii="宋体" w:hAnsi="宋体"/>
          <w:szCs w:val="21"/>
        </w:rPr>
        <w:fldChar w:fldCharType="end"/>
      </w:r>
    </w:p>
    <w:p w14:paraId="0CC2E516">
      <w:pPr>
        <w:pStyle w:val="8"/>
        <w:tabs>
          <w:tab w:val="right" w:leader="dot" w:pos="8296"/>
        </w:tabs>
        <w:rPr>
          <w:rFonts w:ascii="宋体" w:hAnsi="宋体"/>
          <w:szCs w:val="21"/>
        </w:rPr>
      </w:pPr>
      <w:r>
        <w:rPr>
          <w:rFonts w:ascii="宋体" w:hAnsi="宋体"/>
          <w:szCs w:val="21"/>
        </w:rPr>
        <w:t xml:space="preserve">22.3 </w:t>
      </w:r>
      <w:r>
        <w:rPr>
          <w:rFonts w:hint="eastAsia" w:ascii="宋体" w:hAnsi="宋体"/>
          <w:szCs w:val="21"/>
        </w:rPr>
        <w:t>第三人造成的违约</w:t>
      </w:r>
      <w:r>
        <w:rPr>
          <w:rFonts w:ascii="宋体" w:hAnsi="宋体"/>
          <w:szCs w:val="21"/>
        </w:rPr>
        <w:tab/>
      </w:r>
      <w:r>
        <w:rPr>
          <w:rFonts w:ascii="宋体" w:hAnsi="宋体"/>
          <w:szCs w:val="21"/>
        </w:rPr>
        <w:fldChar w:fldCharType="begin"/>
      </w:r>
      <w:r>
        <w:rPr>
          <w:rFonts w:ascii="宋体" w:hAnsi="宋体"/>
          <w:szCs w:val="21"/>
        </w:rPr>
        <w:instrText xml:space="preserve"> PAGEREF _Toc108513829 \h </w:instrText>
      </w:r>
      <w:r>
        <w:rPr>
          <w:rFonts w:ascii="宋体" w:hAnsi="宋体"/>
          <w:szCs w:val="21"/>
        </w:rPr>
        <w:fldChar w:fldCharType="separate"/>
      </w:r>
      <w:r>
        <w:rPr>
          <w:rFonts w:ascii="宋体" w:hAnsi="宋体"/>
          <w:szCs w:val="21"/>
        </w:rPr>
        <w:t>179</w:t>
      </w:r>
      <w:r>
        <w:rPr>
          <w:rFonts w:ascii="宋体" w:hAnsi="宋体"/>
          <w:szCs w:val="21"/>
        </w:rPr>
        <w:fldChar w:fldCharType="end"/>
      </w:r>
    </w:p>
    <w:p w14:paraId="7DAF52C8">
      <w:pPr>
        <w:pStyle w:val="13"/>
        <w:tabs>
          <w:tab w:val="right" w:leader="dot" w:pos="8296"/>
        </w:tabs>
        <w:rPr>
          <w:rFonts w:ascii="宋体" w:hAnsi="宋体" w:eastAsia="宋体"/>
          <w:sz w:val="21"/>
          <w:szCs w:val="21"/>
        </w:rPr>
      </w:pPr>
      <w:r>
        <w:rPr>
          <w:rFonts w:ascii="宋体" w:hAnsi="宋体" w:eastAsia="宋体"/>
          <w:sz w:val="21"/>
          <w:szCs w:val="21"/>
        </w:rPr>
        <w:t xml:space="preserve">23. </w:t>
      </w:r>
      <w:r>
        <w:rPr>
          <w:rFonts w:hint="eastAsia" w:ascii="宋体" w:hAnsi="宋体" w:eastAsia="宋体"/>
          <w:sz w:val="21"/>
          <w:szCs w:val="21"/>
        </w:rPr>
        <w:t>索赔</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_Toc108513830 \h </w:instrText>
      </w:r>
      <w:r>
        <w:rPr>
          <w:rFonts w:ascii="宋体" w:hAnsi="宋体" w:eastAsia="宋体"/>
          <w:sz w:val="21"/>
          <w:szCs w:val="21"/>
        </w:rPr>
        <w:fldChar w:fldCharType="separate"/>
      </w:r>
      <w:r>
        <w:rPr>
          <w:rFonts w:ascii="宋体" w:hAnsi="宋体" w:eastAsia="宋体"/>
          <w:sz w:val="21"/>
          <w:szCs w:val="21"/>
        </w:rPr>
        <w:t>179</w:t>
      </w:r>
      <w:r>
        <w:rPr>
          <w:rFonts w:ascii="宋体" w:hAnsi="宋体" w:eastAsia="宋体"/>
          <w:sz w:val="21"/>
          <w:szCs w:val="21"/>
        </w:rPr>
        <w:fldChar w:fldCharType="end"/>
      </w:r>
    </w:p>
    <w:p w14:paraId="608A8261">
      <w:pPr>
        <w:pStyle w:val="8"/>
        <w:tabs>
          <w:tab w:val="right" w:leader="dot" w:pos="8296"/>
        </w:tabs>
        <w:rPr>
          <w:rFonts w:ascii="宋体" w:hAnsi="宋体"/>
          <w:szCs w:val="21"/>
        </w:rPr>
      </w:pPr>
      <w:r>
        <w:rPr>
          <w:rFonts w:ascii="宋体" w:hAnsi="宋体"/>
          <w:szCs w:val="21"/>
        </w:rPr>
        <w:t xml:space="preserve">23.1 </w:t>
      </w:r>
      <w:r>
        <w:rPr>
          <w:rFonts w:hint="eastAsia" w:ascii="宋体" w:hAnsi="宋体"/>
          <w:szCs w:val="21"/>
        </w:rPr>
        <w:t>承包人索赔的提出</w:t>
      </w:r>
      <w:r>
        <w:rPr>
          <w:rFonts w:ascii="宋体" w:hAnsi="宋体"/>
          <w:szCs w:val="21"/>
        </w:rPr>
        <w:tab/>
      </w:r>
      <w:r>
        <w:rPr>
          <w:rFonts w:ascii="宋体" w:hAnsi="宋体"/>
          <w:szCs w:val="21"/>
        </w:rPr>
        <w:fldChar w:fldCharType="begin"/>
      </w:r>
      <w:r>
        <w:rPr>
          <w:rFonts w:ascii="宋体" w:hAnsi="宋体"/>
          <w:szCs w:val="21"/>
        </w:rPr>
        <w:instrText xml:space="preserve"> PAGEREF _Toc108513831 \h </w:instrText>
      </w:r>
      <w:r>
        <w:rPr>
          <w:rFonts w:ascii="宋体" w:hAnsi="宋体"/>
          <w:szCs w:val="21"/>
        </w:rPr>
        <w:fldChar w:fldCharType="separate"/>
      </w:r>
      <w:r>
        <w:rPr>
          <w:rFonts w:ascii="宋体" w:hAnsi="宋体"/>
          <w:szCs w:val="21"/>
        </w:rPr>
        <w:t>179</w:t>
      </w:r>
      <w:r>
        <w:rPr>
          <w:rFonts w:ascii="宋体" w:hAnsi="宋体"/>
          <w:szCs w:val="21"/>
        </w:rPr>
        <w:fldChar w:fldCharType="end"/>
      </w:r>
    </w:p>
    <w:p w14:paraId="21D7926D">
      <w:pPr>
        <w:pStyle w:val="8"/>
        <w:tabs>
          <w:tab w:val="right" w:leader="dot" w:pos="8296"/>
        </w:tabs>
        <w:rPr>
          <w:rFonts w:ascii="宋体" w:hAnsi="宋体"/>
          <w:szCs w:val="21"/>
        </w:rPr>
      </w:pPr>
      <w:r>
        <w:rPr>
          <w:rFonts w:ascii="宋体" w:hAnsi="宋体"/>
          <w:szCs w:val="21"/>
        </w:rPr>
        <w:t xml:space="preserve">23.2 </w:t>
      </w:r>
      <w:r>
        <w:rPr>
          <w:rFonts w:hint="eastAsia" w:ascii="宋体" w:hAnsi="宋体"/>
          <w:szCs w:val="21"/>
        </w:rPr>
        <w:t>承包人索赔处理程序</w:t>
      </w:r>
      <w:r>
        <w:rPr>
          <w:rFonts w:ascii="宋体" w:hAnsi="宋体"/>
          <w:szCs w:val="21"/>
        </w:rPr>
        <w:tab/>
      </w:r>
      <w:r>
        <w:rPr>
          <w:rFonts w:ascii="宋体" w:hAnsi="宋体"/>
          <w:szCs w:val="21"/>
        </w:rPr>
        <w:fldChar w:fldCharType="begin"/>
      </w:r>
      <w:r>
        <w:rPr>
          <w:rFonts w:ascii="宋体" w:hAnsi="宋体"/>
          <w:szCs w:val="21"/>
        </w:rPr>
        <w:instrText xml:space="preserve"> PAGEREF _Toc108513832 \h </w:instrText>
      </w:r>
      <w:r>
        <w:rPr>
          <w:rFonts w:ascii="宋体" w:hAnsi="宋体"/>
          <w:szCs w:val="21"/>
        </w:rPr>
        <w:fldChar w:fldCharType="separate"/>
      </w:r>
      <w:r>
        <w:rPr>
          <w:rFonts w:ascii="宋体" w:hAnsi="宋体"/>
          <w:szCs w:val="21"/>
        </w:rPr>
        <w:t>179</w:t>
      </w:r>
      <w:r>
        <w:rPr>
          <w:rFonts w:ascii="宋体" w:hAnsi="宋体"/>
          <w:szCs w:val="21"/>
        </w:rPr>
        <w:fldChar w:fldCharType="end"/>
      </w:r>
    </w:p>
    <w:p w14:paraId="71276BDE">
      <w:pPr>
        <w:pStyle w:val="8"/>
        <w:tabs>
          <w:tab w:val="right" w:leader="dot" w:pos="8296"/>
        </w:tabs>
        <w:rPr>
          <w:rFonts w:ascii="宋体" w:hAnsi="宋体"/>
          <w:szCs w:val="21"/>
        </w:rPr>
      </w:pPr>
      <w:r>
        <w:rPr>
          <w:rFonts w:ascii="宋体" w:hAnsi="宋体"/>
          <w:szCs w:val="21"/>
        </w:rPr>
        <w:t xml:space="preserve">23.3 </w:t>
      </w:r>
      <w:r>
        <w:rPr>
          <w:rFonts w:hint="eastAsia" w:ascii="宋体" w:hAnsi="宋体"/>
          <w:szCs w:val="21"/>
        </w:rPr>
        <w:t>承包人提出索赔的期限</w:t>
      </w:r>
      <w:r>
        <w:rPr>
          <w:rFonts w:ascii="宋体" w:hAnsi="宋体"/>
          <w:szCs w:val="21"/>
        </w:rPr>
        <w:tab/>
      </w:r>
      <w:r>
        <w:rPr>
          <w:rFonts w:ascii="宋体" w:hAnsi="宋体"/>
          <w:szCs w:val="21"/>
        </w:rPr>
        <w:fldChar w:fldCharType="begin"/>
      </w:r>
      <w:r>
        <w:rPr>
          <w:rFonts w:ascii="宋体" w:hAnsi="宋体"/>
          <w:szCs w:val="21"/>
        </w:rPr>
        <w:instrText xml:space="preserve"> PAGEREF _Toc108513833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0029DB51">
      <w:pPr>
        <w:pStyle w:val="8"/>
        <w:tabs>
          <w:tab w:val="right" w:leader="dot" w:pos="8296"/>
        </w:tabs>
        <w:rPr>
          <w:rFonts w:ascii="宋体" w:hAnsi="宋体"/>
          <w:szCs w:val="21"/>
        </w:rPr>
      </w:pPr>
      <w:r>
        <w:rPr>
          <w:rFonts w:ascii="宋体" w:hAnsi="宋体"/>
          <w:szCs w:val="21"/>
        </w:rPr>
        <w:t xml:space="preserve">23.4 </w:t>
      </w:r>
      <w:r>
        <w:rPr>
          <w:rFonts w:hint="eastAsia" w:ascii="宋体" w:hAnsi="宋体"/>
          <w:szCs w:val="21"/>
        </w:rPr>
        <w:t>发包人的索赔</w:t>
      </w:r>
      <w:r>
        <w:rPr>
          <w:rFonts w:ascii="宋体" w:hAnsi="宋体"/>
          <w:szCs w:val="21"/>
        </w:rPr>
        <w:tab/>
      </w:r>
      <w:r>
        <w:rPr>
          <w:rFonts w:ascii="宋体" w:hAnsi="宋体"/>
          <w:szCs w:val="21"/>
        </w:rPr>
        <w:fldChar w:fldCharType="begin"/>
      </w:r>
      <w:r>
        <w:rPr>
          <w:rFonts w:ascii="宋体" w:hAnsi="宋体"/>
          <w:szCs w:val="21"/>
        </w:rPr>
        <w:instrText xml:space="preserve"> PAGEREF _Toc108513834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6F0A189B">
      <w:pPr>
        <w:pStyle w:val="13"/>
        <w:tabs>
          <w:tab w:val="right" w:leader="dot" w:pos="8296"/>
        </w:tabs>
        <w:rPr>
          <w:rFonts w:ascii="宋体" w:hAnsi="宋体" w:eastAsia="宋体"/>
          <w:sz w:val="21"/>
          <w:szCs w:val="21"/>
        </w:rPr>
      </w:pPr>
      <w:r>
        <w:rPr>
          <w:rFonts w:ascii="宋体" w:hAnsi="宋体" w:eastAsia="宋体"/>
          <w:sz w:val="21"/>
          <w:szCs w:val="21"/>
        </w:rPr>
        <w:t xml:space="preserve">24. </w:t>
      </w:r>
      <w:r>
        <w:rPr>
          <w:rFonts w:hint="eastAsia" w:ascii="宋体" w:hAnsi="宋体" w:eastAsia="宋体"/>
          <w:sz w:val="21"/>
          <w:szCs w:val="21"/>
        </w:rPr>
        <w:t>争议的解决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_Toc108513835 \h </w:instrText>
      </w:r>
      <w:r>
        <w:rPr>
          <w:rFonts w:ascii="宋体" w:hAnsi="宋体" w:eastAsia="宋体"/>
          <w:sz w:val="21"/>
          <w:szCs w:val="21"/>
        </w:rPr>
        <w:fldChar w:fldCharType="separate"/>
      </w:r>
      <w:r>
        <w:rPr>
          <w:rFonts w:ascii="宋体" w:hAnsi="宋体" w:eastAsia="宋体"/>
          <w:sz w:val="21"/>
          <w:szCs w:val="21"/>
        </w:rPr>
        <w:t>180</w:t>
      </w:r>
      <w:r>
        <w:rPr>
          <w:rFonts w:ascii="宋体" w:hAnsi="宋体" w:eastAsia="宋体"/>
          <w:sz w:val="21"/>
          <w:szCs w:val="21"/>
        </w:rPr>
        <w:fldChar w:fldCharType="end"/>
      </w:r>
    </w:p>
    <w:p w14:paraId="68F9CA78">
      <w:pPr>
        <w:pStyle w:val="8"/>
        <w:tabs>
          <w:tab w:val="right" w:leader="dot" w:pos="8296"/>
        </w:tabs>
        <w:rPr>
          <w:rFonts w:ascii="宋体" w:hAnsi="宋体"/>
          <w:szCs w:val="21"/>
        </w:rPr>
      </w:pPr>
      <w:r>
        <w:rPr>
          <w:rFonts w:ascii="宋体" w:hAnsi="宋体"/>
          <w:szCs w:val="21"/>
        </w:rPr>
        <w:t xml:space="preserve">24.1 </w:t>
      </w:r>
      <w:r>
        <w:rPr>
          <w:rFonts w:hint="eastAsia" w:ascii="宋体" w:hAnsi="宋体"/>
          <w:szCs w:val="21"/>
        </w:rPr>
        <w:t>争议的解决方式</w:t>
      </w:r>
      <w:r>
        <w:rPr>
          <w:rFonts w:ascii="宋体" w:hAnsi="宋体"/>
          <w:szCs w:val="21"/>
        </w:rPr>
        <w:tab/>
      </w:r>
      <w:r>
        <w:rPr>
          <w:rFonts w:ascii="宋体" w:hAnsi="宋体"/>
          <w:szCs w:val="21"/>
        </w:rPr>
        <w:fldChar w:fldCharType="begin"/>
      </w:r>
      <w:r>
        <w:rPr>
          <w:rFonts w:ascii="宋体" w:hAnsi="宋体"/>
          <w:szCs w:val="21"/>
        </w:rPr>
        <w:instrText xml:space="preserve"> PAGEREF _Toc108513836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26EEF621">
      <w:pPr>
        <w:pStyle w:val="8"/>
        <w:tabs>
          <w:tab w:val="right" w:leader="dot" w:pos="8296"/>
        </w:tabs>
        <w:rPr>
          <w:rFonts w:ascii="宋体" w:hAnsi="宋体"/>
          <w:szCs w:val="21"/>
        </w:rPr>
      </w:pPr>
      <w:r>
        <w:rPr>
          <w:rFonts w:ascii="宋体" w:hAnsi="宋体"/>
          <w:szCs w:val="21"/>
        </w:rPr>
        <w:t xml:space="preserve">24.2 </w:t>
      </w:r>
      <w:r>
        <w:rPr>
          <w:rFonts w:hint="eastAsia" w:ascii="宋体" w:hAnsi="宋体"/>
          <w:szCs w:val="21"/>
        </w:rPr>
        <w:t>友好解决</w:t>
      </w:r>
      <w:r>
        <w:rPr>
          <w:rFonts w:ascii="宋体" w:hAnsi="宋体"/>
          <w:szCs w:val="21"/>
        </w:rPr>
        <w:tab/>
      </w:r>
      <w:r>
        <w:rPr>
          <w:rFonts w:ascii="宋体" w:hAnsi="宋体"/>
          <w:szCs w:val="21"/>
        </w:rPr>
        <w:fldChar w:fldCharType="begin"/>
      </w:r>
      <w:r>
        <w:rPr>
          <w:rFonts w:ascii="宋体" w:hAnsi="宋体"/>
          <w:szCs w:val="21"/>
        </w:rPr>
        <w:instrText xml:space="preserve"> PAGEREF _Toc108513837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1DBBDEA2">
      <w:pPr>
        <w:pStyle w:val="8"/>
        <w:tabs>
          <w:tab w:val="right" w:leader="dot" w:pos="8296"/>
        </w:tabs>
        <w:rPr>
          <w:rFonts w:ascii="宋体" w:hAnsi="宋体"/>
          <w:szCs w:val="21"/>
        </w:rPr>
      </w:pPr>
      <w:r>
        <w:rPr>
          <w:rFonts w:ascii="宋体" w:hAnsi="宋体"/>
          <w:szCs w:val="21"/>
        </w:rPr>
        <w:t xml:space="preserve">24.3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_Toc108513838 \h </w:instrText>
      </w:r>
      <w:r>
        <w:rPr>
          <w:rFonts w:ascii="宋体" w:hAnsi="宋体"/>
          <w:szCs w:val="21"/>
        </w:rPr>
        <w:fldChar w:fldCharType="separate"/>
      </w:r>
      <w:r>
        <w:rPr>
          <w:rFonts w:ascii="宋体" w:hAnsi="宋体"/>
          <w:szCs w:val="21"/>
        </w:rPr>
        <w:t>180</w:t>
      </w:r>
      <w:r>
        <w:rPr>
          <w:rFonts w:ascii="宋体" w:hAnsi="宋体"/>
          <w:szCs w:val="21"/>
        </w:rPr>
        <w:fldChar w:fldCharType="end"/>
      </w:r>
    </w:p>
    <w:p w14:paraId="573B7A63">
      <w:pPr>
        <w:pStyle w:val="13"/>
        <w:tabs>
          <w:tab w:val="right" w:leader="dot" w:pos="8296"/>
        </w:tabs>
        <w:rPr>
          <w:rFonts w:ascii="宋体" w:hAnsi="宋体" w:eastAsia="宋体"/>
          <w:sz w:val="21"/>
          <w:szCs w:val="21"/>
        </w:rPr>
      </w:pPr>
      <w:r>
        <w:rPr>
          <w:rFonts w:hint="eastAsia" w:ascii="宋体" w:hAnsi="宋体" w:eastAsia="宋体"/>
          <w:sz w:val="21"/>
          <w:szCs w:val="21"/>
        </w:rPr>
        <w:t>第二节</w:t>
      </w:r>
      <w:r>
        <w:rPr>
          <w:rFonts w:ascii="宋体" w:hAnsi="宋体" w:eastAsia="宋体"/>
          <w:sz w:val="21"/>
          <w:szCs w:val="21"/>
        </w:rPr>
        <w:t xml:space="preserve">  </w:t>
      </w:r>
      <w:r>
        <w:rPr>
          <w:rFonts w:hint="eastAsia" w:ascii="宋体" w:hAnsi="宋体" w:eastAsia="宋体"/>
          <w:sz w:val="21"/>
          <w:szCs w:val="21"/>
        </w:rPr>
        <w:t>专用合同条款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_Toc108513839 \h </w:instrText>
      </w:r>
      <w:r>
        <w:rPr>
          <w:rFonts w:ascii="宋体" w:hAnsi="宋体" w:eastAsia="宋体"/>
          <w:sz w:val="21"/>
          <w:szCs w:val="21"/>
        </w:rPr>
        <w:fldChar w:fldCharType="separate"/>
      </w:r>
      <w:r>
        <w:rPr>
          <w:rFonts w:ascii="宋体" w:hAnsi="宋体" w:eastAsia="宋体"/>
          <w:sz w:val="21"/>
          <w:szCs w:val="21"/>
        </w:rPr>
        <w:t>182</w:t>
      </w:r>
      <w:r>
        <w:rPr>
          <w:rFonts w:ascii="宋体" w:hAnsi="宋体" w:eastAsia="宋体"/>
          <w:sz w:val="21"/>
          <w:szCs w:val="21"/>
        </w:rPr>
        <w:fldChar w:fldCharType="end"/>
      </w:r>
    </w:p>
    <w:p w14:paraId="2EBA9A83">
      <w:pPr>
        <w:pStyle w:val="13"/>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_Toc108513840 \h </w:instrText>
      </w:r>
      <w:r>
        <w:rPr>
          <w:rFonts w:ascii="宋体" w:hAnsi="宋体" w:eastAsia="宋体"/>
          <w:sz w:val="21"/>
          <w:szCs w:val="21"/>
        </w:rPr>
        <w:fldChar w:fldCharType="separate"/>
      </w:r>
      <w:r>
        <w:rPr>
          <w:rFonts w:ascii="宋体" w:hAnsi="宋体" w:eastAsia="宋体"/>
          <w:sz w:val="21"/>
          <w:szCs w:val="21"/>
        </w:rPr>
        <w:t>183</w:t>
      </w:r>
      <w:r>
        <w:rPr>
          <w:rFonts w:ascii="宋体" w:hAnsi="宋体" w:eastAsia="宋体"/>
          <w:sz w:val="21"/>
          <w:szCs w:val="21"/>
        </w:rPr>
        <w:fldChar w:fldCharType="end"/>
      </w:r>
    </w:p>
    <w:p w14:paraId="5CDEA996">
      <w:pPr>
        <w:pStyle w:val="8"/>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w:t>
      </w:r>
      <w:r>
        <w:rPr>
          <w:rFonts w:ascii="宋体" w:hAnsi="宋体"/>
          <w:szCs w:val="21"/>
        </w:rPr>
        <w:tab/>
      </w:r>
      <w:r>
        <w:rPr>
          <w:rFonts w:ascii="宋体" w:hAnsi="宋体"/>
          <w:szCs w:val="21"/>
        </w:rPr>
        <w:fldChar w:fldCharType="begin"/>
      </w:r>
      <w:r>
        <w:rPr>
          <w:rFonts w:ascii="宋体" w:hAnsi="宋体"/>
          <w:szCs w:val="21"/>
        </w:rPr>
        <w:instrText xml:space="preserve"> PAGEREF _Toc108513841 \h </w:instrText>
      </w:r>
      <w:r>
        <w:rPr>
          <w:rFonts w:ascii="宋体" w:hAnsi="宋体"/>
          <w:szCs w:val="21"/>
        </w:rPr>
        <w:fldChar w:fldCharType="separate"/>
      </w:r>
      <w:r>
        <w:rPr>
          <w:rFonts w:ascii="宋体" w:hAnsi="宋体"/>
          <w:szCs w:val="21"/>
        </w:rPr>
        <w:t>183</w:t>
      </w:r>
      <w:r>
        <w:rPr>
          <w:rFonts w:ascii="宋体" w:hAnsi="宋体"/>
          <w:szCs w:val="21"/>
        </w:rPr>
        <w:fldChar w:fldCharType="end"/>
      </w:r>
    </w:p>
    <w:p w14:paraId="72BE8BD5">
      <w:pPr>
        <w:pStyle w:val="8"/>
        <w:tabs>
          <w:tab w:val="right" w:leader="dot" w:pos="8296"/>
        </w:tabs>
        <w:rPr>
          <w:rFonts w:ascii="宋体" w:hAnsi="宋体"/>
          <w:szCs w:val="21"/>
        </w:rPr>
      </w:pPr>
      <w:r>
        <w:rPr>
          <w:rFonts w:ascii="宋体" w:hAnsi="宋体"/>
          <w:szCs w:val="21"/>
        </w:rPr>
        <w:t xml:space="preserve">1.4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_Toc108513842 \h </w:instrText>
      </w:r>
      <w:r>
        <w:rPr>
          <w:rFonts w:ascii="宋体" w:hAnsi="宋体"/>
          <w:szCs w:val="21"/>
        </w:rPr>
        <w:fldChar w:fldCharType="separate"/>
      </w:r>
      <w:r>
        <w:rPr>
          <w:rFonts w:ascii="宋体" w:hAnsi="宋体"/>
          <w:szCs w:val="21"/>
        </w:rPr>
        <w:t>184</w:t>
      </w:r>
      <w:r>
        <w:rPr>
          <w:rFonts w:ascii="宋体" w:hAnsi="宋体"/>
          <w:szCs w:val="21"/>
        </w:rPr>
        <w:fldChar w:fldCharType="end"/>
      </w:r>
    </w:p>
    <w:p w14:paraId="7FEF32AF">
      <w:pPr>
        <w:pStyle w:val="8"/>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合同协议书</w:t>
      </w:r>
      <w:r>
        <w:rPr>
          <w:rFonts w:ascii="宋体" w:hAnsi="宋体"/>
          <w:szCs w:val="21"/>
        </w:rPr>
        <w:tab/>
      </w:r>
      <w:r>
        <w:rPr>
          <w:rFonts w:ascii="宋体" w:hAnsi="宋体"/>
          <w:szCs w:val="21"/>
        </w:rPr>
        <w:fldChar w:fldCharType="begin"/>
      </w:r>
      <w:r>
        <w:rPr>
          <w:rFonts w:ascii="宋体" w:hAnsi="宋体"/>
          <w:szCs w:val="21"/>
        </w:rPr>
        <w:instrText xml:space="preserve"> PAGEREF _Toc108513843 \h </w:instrText>
      </w:r>
      <w:r>
        <w:rPr>
          <w:rFonts w:ascii="宋体" w:hAnsi="宋体"/>
          <w:szCs w:val="21"/>
        </w:rPr>
        <w:fldChar w:fldCharType="separate"/>
      </w:r>
      <w:r>
        <w:rPr>
          <w:rFonts w:ascii="宋体" w:hAnsi="宋体"/>
          <w:szCs w:val="21"/>
        </w:rPr>
        <w:t>184</w:t>
      </w:r>
      <w:r>
        <w:rPr>
          <w:rFonts w:ascii="宋体" w:hAnsi="宋体"/>
          <w:szCs w:val="21"/>
        </w:rPr>
        <w:fldChar w:fldCharType="end"/>
      </w:r>
    </w:p>
    <w:p w14:paraId="0769677D">
      <w:pPr>
        <w:pStyle w:val="8"/>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_Toc108513844 \h </w:instrText>
      </w:r>
      <w:r>
        <w:rPr>
          <w:rFonts w:ascii="宋体" w:hAnsi="宋体"/>
          <w:szCs w:val="21"/>
        </w:rPr>
        <w:fldChar w:fldCharType="separate"/>
      </w:r>
      <w:r>
        <w:rPr>
          <w:rFonts w:ascii="宋体" w:hAnsi="宋体"/>
          <w:szCs w:val="21"/>
        </w:rPr>
        <w:t>184</w:t>
      </w:r>
      <w:r>
        <w:rPr>
          <w:rFonts w:ascii="宋体" w:hAnsi="宋体"/>
          <w:szCs w:val="21"/>
        </w:rPr>
        <w:fldChar w:fldCharType="end"/>
      </w:r>
    </w:p>
    <w:p w14:paraId="44B2F445">
      <w:pPr>
        <w:pStyle w:val="8"/>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_Toc108513845 \h </w:instrText>
      </w:r>
      <w:r>
        <w:rPr>
          <w:rFonts w:ascii="宋体" w:hAnsi="宋体"/>
          <w:szCs w:val="21"/>
        </w:rPr>
        <w:fldChar w:fldCharType="separate"/>
      </w:r>
      <w:r>
        <w:rPr>
          <w:rFonts w:ascii="宋体" w:hAnsi="宋体"/>
          <w:szCs w:val="21"/>
        </w:rPr>
        <w:t>185</w:t>
      </w:r>
      <w:r>
        <w:rPr>
          <w:rFonts w:ascii="宋体" w:hAnsi="宋体"/>
          <w:szCs w:val="21"/>
        </w:rPr>
        <w:fldChar w:fldCharType="end"/>
      </w:r>
    </w:p>
    <w:p w14:paraId="2E5ED974">
      <w:pPr>
        <w:pStyle w:val="13"/>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发包人义务</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_Toc108513846 \h </w:instrText>
      </w:r>
      <w:r>
        <w:rPr>
          <w:rFonts w:ascii="宋体" w:hAnsi="宋体" w:eastAsia="宋体"/>
          <w:sz w:val="21"/>
          <w:szCs w:val="21"/>
        </w:rPr>
        <w:fldChar w:fldCharType="separate"/>
      </w:r>
      <w:r>
        <w:rPr>
          <w:rFonts w:ascii="宋体" w:hAnsi="宋体" w:eastAsia="宋体"/>
          <w:sz w:val="21"/>
          <w:szCs w:val="21"/>
        </w:rPr>
        <w:t>186</w:t>
      </w:r>
      <w:r>
        <w:rPr>
          <w:rFonts w:ascii="宋体" w:hAnsi="宋体" w:eastAsia="宋体"/>
          <w:sz w:val="21"/>
          <w:szCs w:val="21"/>
        </w:rPr>
        <w:fldChar w:fldCharType="end"/>
      </w:r>
    </w:p>
    <w:p w14:paraId="23FF8EB4">
      <w:pPr>
        <w:pStyle w:val="8"/>
        <w:tabs>
          <w:tab w:val="right" w:leader="dot" w:pos="8296"/>
        </w:tabs>
        <w:rPr>
          <w:rFonts w:ascii="宋体" w:hAnsi="宋体"/>
          <w:szCs w:val="21"/>
        </w:rPr>
      </w:pPr>
      <w:r>
        <w:rPr>
          <w:rFonts w:ascii="宋体" w:hAnsi="宋体"/>
          <w:szCs w:val="21"/>
        </w:rPr>
        <w:t xml:space="preserve">2.3 </w:t>
      </w:r>
      <w:r>
        <w:rPr>
          <w:rFonts w:hint="eastAsia" w:ascii="宋体" w:hAnsi="宋体"/>
          <w:szCs w:val="21"/>
        </w:rPr>
        <w:t>提供施工场地</w:t>
      </w:r>
      <w:r>
        <w:rPr>
          <w:rFonts w:ascii="宋体" w:hAnsi="宋体"/>
          <w:szCs w:val="21"/>
        </w:rPr>
        <w:tab/>
      </w:r>
      <w:r>
        <w:rPr>
          <w:rFonts w:ascii="宋体" w:hAnsi="宋体"/>
          <w:szCs w:val="21"/>
        </w:rPr>
        <w:fldChar w:fldCharType="begin"/>
      </w:r>
      <w:r>
        <w:rPr>
          <w:rFonts w:ascii="宋体" w:hAnsi="宋体"/>
          <w:szCs w:val="21"/>
        </w:rPr>
        <w:instrText xml:space="preserve"> PAGEREF _Toc108513847 \h </w:instrText>
      </w:r>
      <w:r>
        <w:rPr>
          <w:rFonts w:ascii="宋体" w:hAnsi="宋体"/>
          <w:szCs w:val="21"/>
        </w:rPr>
        <w:fldChar w:fldCharType="separate"/>
      </w:r>
      <w:r>
        <w:rPr>
          <w:rFonts w:ascii="宋体" w:hAnsi="宋体"/>
          <w:szCs w:val="21"/>
        </w:rPr>
        <w:t>186</w:t>
      </w:r>
      <w:r>
        <w:rPr>
          <w:rFonts w:ascii="宋体" w:hAnsi="宋体"/>
          <w:szCs w:val="21"/>
        </w:rPr>
        <w:fldChar w:fldCharType="end"/>
      </w:r>
    </w:p>
    <w:p w14:paraId="3BAFF7CE">
      <w:pPr>
        <w:pStyle w:val="8"/>
        <w:tabs>
          <w:tab w:val="right" w:leader="dot" w:pos="8296"/>
        </w:tabs>
        <w:rPr>
          <w:rFonts w:ascii="宋体" w:hAnsi="宋体"/>
          <w:szCs w:val="21"/>
        </w:rPr>
      </w:pPr>
      <w:r>
        <w:rPr>
          <w:rFonts w:ascii="宋体" w:hAnsi="宋体"/>
          <w:szCs w:val="21"/>
        </w:rPr>
        <w:t xml:space="preserve">2.5 </w:t>
      </w:r>
      <w:r>
        <w:rPr>
          <w:rFonts w:hint="eastAsia" w:ascii="宋体" w:hAnsi="宋体"/>
          <w:szCs w:val="21"/>
        </w:rPr>
        <w:t>组织设计交底</w:t>
      </w:r>
      <w:r>
        <w:rPr>
          <w:rFonts w:ascii="宋体" w:hAnsi="宋体"/>
          <w:szCs w:val="21"/>
        </w:rPr>
        <w:tab/>
      </w:r>
      <w:r>
        <w:rPr>
          <w:rFonts w:ascii="宋体" w:hAnsi="宋体"/>
          <w:szCs w:val="21"/>
        </w:rPr>
        <w:fldChar w:fldCharType="begin"/>
      </w:r>
      <w:r>
        <w:rPr>
          <w:rFonts w:ascii="宋体" w:hAnsi="宋体"/>
          <w:szCs w:val="21"/>
        </w:rPr>
        <w:instrText xml:space="preserve"> PAGEREF _Toc108513848 \h </w:instrText>
      </w:r>
      <w:r>
        <w:rPr>
          <w:rFonts w:ascii="宋体" w:hAnsi="宋体"/>
          <w:szCs w:val="21"/>
        </w:rPr>
        <w:fldChar w:fldCharType="separate"/>
      </w:r>
      <w:r>
        <w:rPr>
          <w:rFonts w:ascii="宋体" w:hAnsi="宋体"/>
          <w:szCs w:val="21"/>
        </w:rPr>
        <w:t>186</w:t>
      </w:r>
      <w:r>
        <w:rPr>
          <w:rFonts w:ascii="宋体" w:hAnsi="宋体"/>
          <w:szCs w:val="21"/>
        </w:rPr>
        <w:fldChar w:fldCharType="end"/>
      </w:r>
    </w:p>
    <w:p w14:paraId="223BE476">
      <w:pPr>
        <w:pStyle w:val="8"/>
        <w:tabs>
          <w:tab w:val="right" w:leader="dot" w:pos="8296"/>
        </w:tabs>
        <w:rPr>
          <w:rFonts w:ascii="宋体" w:hAnsi="宋体"/>
          <w:szCs w:val="21"/>
        </w:rPr>
      </w:pPr>
      <w:r>
        <w:rPr>
          <w:rFonts w:ascii="宋体" w:hAnsi="宋体"/>
          <w:szCs w:val="21"/>
        </w:rPr>
        <w:t xml:space="preserve">2.8 </w:t>
      </w:r>
      <w:r>
        <w:rPr>
          <w:rFonts w:hint="eastAsia" w:ascii="宋体" w:hAnsi="宋体"/>
          <w:szCs w:val="21"/>
        </w:rPr>
        <w:t>其他义务</w:t>
      </w:r>
      <w:r>
        <w:rPr>
          <w:rFonts w:ascii="宋体" w:hAnsi="宋体"/>
          <w:szCs w:val="21"/>
        </w:rPr>
        <w:tab/>
      </w:r>
      <w:r>
        <w:rPr>
          <w:rFonts w:ascii="宋体" w:hAnsi="宋体"/>
          <w:szCs w:val="21"/>
        </w:rPr>
        <w:fldChar w:fldCharType="begin"/>
      </w:r>
      <w:r>
        <w:rPr>
          <w:rFonts w:ascii="宋体" w:hAnsi="宋体"/>
          <w:szCs w:val="21"/>
        </w:rPr>
        <w:instrText xml:space="preserve"> PAGEREF _Toc108513849 \h </w:instrText>
      </w:r>
      <w:r>
        <w:rPr>
          <w:rFonts w:ascii="宋体" w:hAnsi="宋体"/>
          <w:szCs w:val="21"/>
        </w:rPr>
        <w:fldChar w:fldCharType="separate"/>
      </w:r>
      <w:r>
        <w:rPr>
          <w:rFonts w:ascii="宋体" w:hAnsi="宋体"/>
          <w:szCs w:val="21"/>
        </w:rPr>
        <w:t>186</w:t>
      </w:r>
      <w:r>
        <w:rPr>
          <w:rFonts w:ascii="宋体" w:hAnsi="宋体"/>
          <w:szCs w:val="21"/>
        </w:rPr>
        <w:fldChar w:fldCharType="end"/>
      </w:r>
    </w:p>
    <w:p w14:paraId="06C536F7">
      <w:pPr>
        <w:pStyle w:val="13"/>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_Toc108513850 \h </w:instrText>
      </w:r>
      <w:r>
        <w:rPr>
          <w:rFonts w:ascii="宋体" w:hAnsi="宋体" w:eastAsia="宋体"/>
          <w:sz w:val="21"/>
          <w:szCs w:val="21"/>
        </w:rPr>
        <w:fldChar w:fldCharType="separate"/>
      </w:r>
      <w:r>
        <w:rPr>
          <w:rFonts w:ascii="宋体" w:hAnsi="宋体" w:eastAsia="宋体"/>
          <w:sz w:val="21"/>
          <w:szCs w:val="21"/>
        </w:rPr>
        <w:t>187</w:t>
      </w:r>
      <w:r>
        <w:rPr>
          <w:rFonts w:ascii="宋体" w:hAnsi="宋体" w:eastAsia="宋体"/>
          <w:sz w:val="21"/>
          <w:szCs w:val="21"/>
        </w:rPr>
        <w:fldChar w:fldCharType="end"/>
      </w:r>
    </w:p>
    <w:p w14:paraId="1799582C">
      <w:pPr>
        <w:pStyle w:val="8"/>
        <w:tabs>
          <w:tab w:val="right" w:leader="dot" w:pos="8296"/>
        </w:tabs>
        <w:rPr>
          <w:rFonts w:ascii="宋体" w:hAnsi="宋体"/>
          <w:szCs w:val="21"/>
        </w:rPr>
      </w:pPr>
      <w:r>
        <w:rPr>
          <w:rFonts w:ascii="宋体" w:hAnsi="宋体"/>
          <w:szCs w:val="21"/>
        </w:rPr>
        <w:t xml:space="preserve">3.1 </w:t>
      </w:r>
      <w:r>
        <w:rPr>
          <w:rFonts w:hint="eastAsia" w:ascii="宋体" w:hAnsi="宋体"/>
          <w:szCs w:val="21"/>
        </w:rPr>
        <w:t>监理人的职责和权力</w:t>
      </w:r>
      <w:r>
        <w:rPr>
          <w:rFonts w:ascii="宋体" w:hAnsi="宋体"/>
          <w:szCs w:val="21"/>
        </w:rPr>
        <w:tab/>
      </w:r>
      <w:r>
        <w:rPr>
          <w:rFonts w:ascii="宋体" w:hAnsi="宋体"/>
          <w:szCs w:val="21"/>
        </w:rPr>
        <w:fldChar w:fldCharType="begin"/>
      </w:r>
      <w:r>
        <w:rPr>
          <w:rFonts w:ascii="宋体" w:hAnsi="宋体"/>
          <w:szCs w:val="21"/>
        </w:rPr>
        <w:instrText xml:space="preserve"> PAGEREF _Toc108513851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19C968C5">
      <w:pPr>
        <w:pStyle w:val="8"/>
        <w:tabs>
          <w:tab w:val="right" w:leader="dot" w:pos="8296"/>
        </w:tabs>
        <w:rPr>
          <w:rFonts w:ascii="宋体" w:hAnsi="宋体"/>
          <w:szCs w:val="21"/>
        </w:rPr>
      </w:pPr>
      <w:r>
        <w:rPr>
          <w:rFonts w:ascii="宋体" w:hAnsi="宋体"/>
          <w:szCs w:val="21"/>
        </w:rPr>
        <w:t xml:space="preserve">3.3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_Toc108513852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2B1FFE75">
      <w:pPr>
        <w:pStyle w:val="8"/>
        <w:tabs>
          <w:tab w:val="right" w:leader="dot" w:pos="8296"/>
        </w:tabs>
        <w:rPr>
          <w:rFonts w:ascii="宋体" w:hAnsi="宋体"/>
          <w:szCs w:val="21"/>
        </w:rPr>
      </w:pPr>
      <w:r>
        <w:rPr>
          <w:rFonts w:ascii="宋体" w:hAnsi="宋体"/>
          <w:szCs w:val="21"/>
        </w:rPr>
        <w:t xml:space="preserve">3.4 </w:t>
      </w:r>
      <w:r>
        <w:rPr>
          <w:rFonts w:hint="eastAsia" w:ascii="宋体" w:hAnsi="宋体"/>
          <w:szCs w:val="21"/>
        </w:rPr>
        <w:t>监理人的指示</w:t>
      </w:r>
      <w:r>
        <w:rPr>
          <w:rFonts w:ascii="宋体" w:hAnsi="宋体"/>
          <w:szCs w:val="21"/>
        </w:rPr>
        <w:tab/>
      </w:r>
      <w:r>
        <w:rPr>
          <w:rFonts w:ascii="宋体" w:hAnsi="宋体"/>
          <w:szCs w:val="21"/>
        </w:rPr>
        <w:fldChar w:fldCharType="begin"/>
      </w:r>
      <w:r>
        <w:rPr>
          <w:rFonts w:ascii="宋体" w:hAnsi="宋体"/>
          <w:szCs w:val="21"/>
        </w:rPr>
        <w:instrText xml:space="preserve"> PAGEREF _Toc108513853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1B2124D5">
      <w:pPr>
        <w:pStyle w:val="8"/>
        <w:tabs>
          <w:tab w:val="right" w:leader="dot" w:pos="8296"/>
        </w:tabs>
        <w:rPr>
          <w:rFonts w:ascii="宋体" w:hAnsi="宋体"/>
          <w:szCs w:val="21"/>
        </w:rPr>
      </w:pPr>
      <w:r>
        <w:rPr>
          <w:rFonts w:ascii="宋体" w:hAnsi="宋体"/>
          <w:szCs w:val="21"/>
        </w:rPr>
        <w:t xml:space="preserve">3.6 </w:t>
      </w:r>
      <w:r>
        <w:rPr>
          <w:rFonts w:hint="eastAsia" w:ascii="宋体" w:hAnsi="宋体"/>
          <w:szCs w:val="21"/>
        </w:rPr>
        <w:t>监理人的宽恕</w:t>
      </w:r>
      <w:r>
        <w:rPr>
          <w:rFonts w:ascii="宋体" w:hAnsi="宋体"/>
          <w:szCs w:val="21"/>
        </w:rPr>
        <w:tab/>
      </w:r>
      <w:r>
        <w:rPr>
          <w:rFonts w:ascii="宋体" w:hAnsi="宋体"/>
          <w:szCs w:val="21"/>
        </w:rPr>
        <w:fldChar w:fldCharType="begin"/>
      </w:r>
      <w:r>
        <w:rPr>
          <w:rFonts w:ascii="宋体" w:hAnsi="宋体"/>
          <w:szCs w:val="21"/>
        </w:rPr>
        <w:instrText xml:space="preserve"> PAGEREF _Toc108513854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5F6CC770">
      <w:pPr>
        <w:pStyle w:val="13"/>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_Toc108513855 \h </w:instrText>
      </w:r>
      <w:r>
        <w:rPr>
          <w:rFonts w:ascii="宋体" w:hAnsi="宋体" w:eastAsia="宋体"/>
          <w:sz w:val="21"/>
          <w:szCs w:val="21"/>
        </w:rPr>
        <w:fldChar w:fldCharType="separate"/>
      </w:r>
      <w:r>
        <w:rPr>
          <w:rFonts w:ascii="宋体" w:hAnsi="宋体" w:eastAsia="宋体"/>
          <w:sz w:val="21"/>
          <w:szCs w:val="21"/>
        </w:rPr>
        <w:t>187</w:t>
      </w:r>
      <w:r>
        <w:rPr>
          <w:rFonts w:ascii="宋体" w:hAnsi="宋体" w:eastAsia="宋体"/>
          <w:sz w:val="21"/>
          <w:szCs w:val="21"/>
        </w:rPr>
        <w:fldChar w:fldCharType="end"/>
      </w:r>
    </w:p>
    <w:p w14:paraId="04F69E01">
      <w:pPr>
        <w:pStyle w:val="8"/>
        <w:tabs>
          <w:tab w:val="right" w:leader="dot" w:pos="8296"/>
        </w:tabs>
        <w:rPr>
          <w:rFonts w:ascii="宋体" w:hAnsi="宋体"/>
          <w:szCs w:val="21"/>
        </w:rPr>
      </w:pPr>
      <w:r>
        <w:rPr>
          <w:rFonts w:ascii="宋体" w:hAnsi="宋体"/>
          <w:szCs w:val="21"/>
        </w:rPr>
        <w:t xml:space="preserve">4.1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_Toc108513856 \h </w:instrText>
      </w:r>
      <w:r>
        <w:rPr>
          <w:rFonts w:ascii="宋体" w:hAnsi="宋体"/>
          <w:szCs w:val="21"/>
        </w:rPr>
        <w:fldChar w:fldCharType="separate"/>
      </w:r>
      <w:r>
        <w:rPr>
          <w:rFonts w:ascii="宋体" w:hAnsi="宋体"/>
          <w:szCs w:val="21"/>
        </w:rPr>
        <w:t>187</w:t>
      </w:r>
      <w:r>
        <w:rPr>
          <w:rFonts w:ascii="宋体" w:hAnsi="宋体"/>
          <w:szCs w:val="21"/>
        </w:rPr>
        <w:fldChar w:fldCharType="end"/>
      </w:r>
    </w:p>
    <w:p w14:paraId="6DD6A55F">
      <w:pPr>
        <w:pStyle w:val="8"/>
        <w:tabs>
          <w:tab w:val="right" w:leader="dot" w:pos="8296"/>
        </w:tabs>
        <w:rPr>
          <w:rFonts w:ascii="宋体" w:hAnsi="宋体"/>
          <w:szCs w:val="21"/>
        </w:rPr>
      </w:pPr>
      <w:r>
        <w:rPr>
          <w:rFonts w:ascii="宋体" w:hAnsi="宋体"/>
          <w:szCs w:val="21"/>
        </w:rPr>
        <w:t xml:space="preserve">4.2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_Toc108513857 \h </w:instrText>
      </w:r>
      <w:r>
        <w:rPr>
          <w:rFonts w:ascii="宋体" w:hAnsi="宋体"/>
          <w:szCs w:val="21"/>
        </w:rPr>
        <w:fldChar w:fldCharType="separate"/>
      </w:r>
      <w:r>
        <w:rPr>
          <w:rFonts w:ascii="宋体" w:hAnsi="宋体"/>
          <w:szCs w:val="21"/>
        </w:rPr>
        <w:t>188</w:t>
      </w:r>
      <w:r>
        <w:rPr>
          <w:rFonts w:ascii="宋体" w:hAnsi="宋体"/>
          <w:szCs w:val="21"/>
        </w:rPr>
        <w:fldChar w:fldCharType="end"/>
      </w:r>
    </w:p>
    <w:p w14:paraId="26FAFEB4">
      <w:pPr>
        <w:pStyle w:val="8"/>
        <w:tabs>
          <w:tab w:val="right" w:leader="dot" w:pos="8296"/>
        </w:tabs>
        <w:rPr>
          <w:rFonts w:ascii="宋体" w:hAnsi="宋体"/>
          <w:szCs w:val="21"/>
        </w:rPr>
      </w:pPr>
      <w:r>
        <w:rPr>
          <w:rFonts w:ascii="宋体" w:hAnsi="宋体"/>
          <w:szCs w:val="21"/>
        </w:rPr>
        <w:t xml:space="preserve">4.3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_Toc108513858 \h </w:instrText>
      </w:r>
      <w:r>
        <w:rPr>
          <w:rFonts w:ascii="宋体" w:hAnsi="宋体"/>
          <w:szCs w:val="21"/>
        </w:rPr>
        <w:fldChar w:fldCharType="separate"/>
      </w:r>
      <w:r>
        <w:rPr>
          <w:rFonts w:ascii="宋体" w:hAnsi="宋体"/>
          <w:szCs w:val="21"/>
        </w:rPr>
        <w:t>188</w:t>
      </w:r>
      <w:r>
        <w:rPr>
          <w:rFonts w:ascii="宋体" w:hAnsi="宋体"/>
          <w:szCs w:val="21"/>
        </w:rPr>
        <w:fldChar w:fldCharType="end"/>
      </w:r>
    </w:p>
    <w:p w14:paraId="624662CF">
      <w:pPr>
        <w:pStyle w:val="8"/>
        <w:tabs>
          <w:tab w:val="right" w:leader="dot" w:pos="8296"/>
        </w:tabs>
        <w:rPr>
          <w:rFonts w:ascii="宋体" w:hAnsi="宋体"/>
          <w:szCs w:val="21"/>
        </w:rPr>
      </w:pPr>
      <w:r>
        <w:rPr>
          <w:rFonts w:ascii="宋体" w:hAnsi="宋体"/>
          <w:szCs w:val="21"/>
        </w:rPr>
        <w:t xml:space="preserve">4.5 </w:t>
      </w:r>
      <w:r>
        <w:rPr>
          <w:rFonts w:hint="eastAsia" w:ascii="宋体" w:hAnsi="宋体"/>
          <w:szCs w:val="21"/>
        </w:rPr>
        <w:t>承包人项目经理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_Toc108513859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5606FA96">
      <w:pPr>
        <w:pStyle w:val="8"/>
        <w:tabs>
          <w:tab w:val="right" w:leader="dot" w:pos="8296"/>
        </w:tabs>
        <w:rPr>
          <w:rFonts w:ascii="宋体" w:hAnsi="宋体"/>
          <w:szCs w:val="21"/>
        </w:rPr>
      </w:pPr>
      <w:r>
        <w:rPr>
          <w:rFonts w:ascii="宋体" w:hAnsi="宋体"/>
          <w:szCs w:val="21"/>
        </w:rPr>
        <w:t>4.11</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_Toc108513860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62CB1312">
      <w:pPr>
        <w:pStyle w:val="13"/>
        <w:tabs>
          <w:tab w:val="right" w:leader="dot" w:pos="8296"/>
        </w:tabs>
        <w:rPr>
          <w:rFonts w:ascii="宋体" w:hAnsi="宋体" w:eastAsia="宋体"/>
          <w:sz w:val="21"/>
          <w:szCs w:val="21"/>
        </w:rPr>
      </w:pPr>
      <w:r>
        <w:rPr>
          <w:rFonts w:ascii="宋体" w:hAnsi="宋体" w:eastAsia="宋体"/>
          <w:sz w:val="21"/>
          <w:szCs w:val="21"/>
        </w:rPr>
        <w:t>5.</w:t>
      </w:r>
      <w:r>
        <w:rPr>
          <w:rFonts w:hint="eastAsia" w:ascii="宋体" w:hAnsi="宋体" w:eastAsia="宋体"/>
          <w:sz w:val="21"/>
          <w:szCs w:val="21"/>
        </w:rPr>
        <w:t>材料和工程设备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_Toc108513861 \h </w:instrText>
      </w:r>
      <w:r>
        <w:rPr>
          <w:rFonts w:ascii="宋体" w:hAnsi="宋体" w:eastAsia="宋体"/>
          <w:sz w:val="21"/>
          <w:szCs w:val="21"/>
        </w:rPr>
        <w:fldChar w:fldCharType="separate"/>
      </w:r>
      <w:r>
        <w:rPr>
          <w:rFonts w:ascii="宋体" w:hAnsi="宋体" w:eastAsia="宋体"/>
          <w:sz w:val="21"/>
          <w:szCs w:val="21"/>
        </w:rPr>
        <w:t>189</w:t>
      </w:r>
      <w:r>
        <w:rPr>
          <w:rFonts w:ascii="宋体" w:hAnsi="宋体" w:eastAsia="宋体"/>
          <w:sz w:val="21"/>
          <w:szCs w:val="21"/>
        </w:rPr>
        <w:fldChar w:fldCharType="end"/>
      </w:r>
    </w:p>
    <w:p w14:paraId="3D908BF5">
      <w:pPr>
        <w:pStyle w:val="8"/>
        <w:tabs>
          <w:tab w:val="right" w:leader="dot" w:pos="8296"/>
        </w:tabs>
        <w:rPr>
          <w:rFonts w:ascii="宋体" w:hAnsi="宋体"/>
          <w:szCs w:val="21"/>
        </w:rPr>
      </w:pPr>
      <w:r>
        <w:rPr>
          <w:rFonts w:ascii="宋体" w:hAnsi="宋体"/>
          <w:szCs w:val="21"/>
        </w:rPr>
        <w:t xml:space="preserve">5.1 </w:t>
      </w:r>
      <w:r>
        <w:rPr>
          <w:rFonts w:hint="eastAsia" w:ascii="宋体" w:hAnsi="宋体"/>
          <w:szCs w:val="21"/>
        </w:rPr>
        <w:t>承包人提供的材料和工程设备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_Toc108513862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6940D21F">
      <w:pPr>
        <w:pStyle w:val="8"/>
        <w:tabs>
          <w:tab w:val="right" w:leader="dot" w:pos="8296"/>
        </w:tabs>
        <w:rPr>
          <w:rFonts w:ascii="宋体" w:hAnsi="宋体"/>
          <w:szCs w:val="21"/>
        </w:rPr>
      </w:pPr>
      <w:r>
        <w:rPr>
          <w:rFonts w:ascii="宋体" w:hAnsi="宋体"/>
          <w:szCs w:val="21"/>
        </w:rPr>
        <w:t xml:space="preserve">5.2 </w:t>
      </w:r>
      <w:r>
        <w:rPr>
          <w:rFonts w:hint="eastAsia" w:ascii="宋体" w:hAnsi="宋体"/>
          <w:szCs w:val="21"/>
        </w:rPr>
        <w:t>发包人提供的材料和工程设备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_Toc108513863 \h </w:instrText>
      </w:r>
      <w:r>
        <w:rPr>
          <w:rFonts w:ascii="宋体" w:hAnsi="宋体"/>
          <w:szCs w:val="21"/>
        </w:rPr>
        <w:fldChar w:fldCharType="separate"/>
      </w:r>
      <w:r>
        <w:rPr>
          <w:rFonts w:ascii="宋体" w:hAnsi="宋体"/>
          <w:szCs w:val="21"/>
        </w:rPr>
        <w:t>189</w:t>
      </w:r>
      <w:r>
        <w:rPr>
          <w:rFonts w:ascii="宋体" w:hAnsi="宋体"/>
          <w:szCs w:val="21"/>
        </w:rPr>
        <w:fldChar w:fldCharType="end"/>
      </w:r>
    </w:p>
    <w:p w14:paraId="2857465B">
      <w:pPr>
        <w:pStyle w:val="13"/>
        <w:tabs>
          <w:tab w:val="right" w:leader="dot" w:pos="8296"/>
        </w:tabs>
        <w:rPr>
          <w:rFonts w:ascii="宋体" w:hAnsi="宋体" w:eastAsia="宋体"/>
          <w:sz w:val="21"/>
          <w:szCs w:val="21"/>
        </w:rPr>
      </w:pPr>
      <w:r>
        <w:rPr>
          <w:rFonts w:ascii="宋体" w:hAnsi="宋体" w:eastAsia="宋体"/>
          <w:sz w:val="21"/>
          <w:szCs w:val="21"/>
        </w:rPr>
        <w:t>6.</w:t>
      </w:r>
      <w:r>
        <w:rPr>
          <w:rFonts w:hint="eastAsia" w:ascii="宋体" w:hAnsi="宋体" w:eastAsia="宋体"/>
          <w:sz w:val="21"/>
          <w:szCs w:val="21"/>
        </w:rPr>
        <w:t>施工设备和临时设施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_Toc108513864 \h </w:instrText>
      </w:r>
      <w:r>
        <w:rPr>
          <w:rFonts w:ascii="宋体" w:hAnsi="宋体" w:eastAsia="宋体"/>
          <w:sz w:val="21"/>
          <w:szCs w:val="21"/>
        </w:rPr>
        <w:fldChar w:fldCharType="separate"/>
      </w:r>
      <w:r>
        <w:rPr>
          <w:rFonts w:ascii="宋体" w:hAnsi="宋体" w:eastAsia="宋体"/>
          <w:sz w:val="21"/>
          <w:szCs w:val="21"/>
        </w:rPr>
        <w:t>190</w:t>
      </w:r>
      <w:r>
        <w:rPr>
          <w:rFonts w:ascii="宋体" w:hAnsi="宋体" w:eastAsia="宋体"/>
          <w:sz w:val="21"/>
          <w:szCs w:val="21"/>
        </w:rPr>
        <w:fldChar w:fldCharType="end"/>
      </w:r>
    </w:p>
    <w:p w14:paraId="5330791F">
      <w:pPr>
        <w:pStyle w:val="8"/>
        <w:tabs>
          <w:tab w:val="right" w:leader="dot" w:pos="8296"/>
        </w:tabs>
        <w:rPr>
          <w:rFonts w:ascii="宋体" w:hAnsi="宋体"/>
          <w:szCs w:val="21"/>
        </w:rPr>
      </w:pPr>
      <w:r>
        <w:rPr>
          <w:rFonts w:ascii="宋体" w:hAnsi="宋体"/>
          <w:szCs w:val="21"/>
        </w:rPr>
        <w:t xml:space="preserve">6.1 </w:t>
      </w:r>
      <w:r>
        <w:rPr>
          <w:rFonts w:hint="eastAsia" w:ascii="宋体" w:hAnsi="宋体"/>
          <w:szCs w:val="21"/>
        </w:rPr>
        <w:t>承包人提供的施工设备和临时设施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_Toc108513865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0647700B">
      <w:pPr>
        <w:pStyle w:val="8"/>
        <w:tabs>
          <w:tab w:val="right" w:leader="dot" w:pos="8296"/>
        </w:tabs>
        <w:rPr>
          <w:rFonts w:ascii="宋体" w:hAnsi="宋体"/>
          <w:szCs w:val="21"/>
        </w:rPr>
      </w:pPr>
      <w:r>
        <w:rPr>
          <w:rFonts w:ascii="宋体" w:hAnsi="宋体"/>
          <w:szCs w:val="21"/>
        </w:rPr>
        <w:t xml:space="preserve">6.2 </w:t>
      </w:r>
      <w:r>
        <w:rPr>
          <w:rFonts w:hint="eastAsia" w:ascii="宋体" w:hAnsi="宋体"/>
          <w:szCs w:val="21"/>
        </w:rPr>
        <w:t>发包人提供的施工设备和临时设施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_Toc108513866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7B32C57A">
      <w:pPr>
        <w:pStyle w:val="8"/>
        <w:tabs>
          <w:tab w:val="right" w:leader="dot" w:pos="8296"/>
        </w:tabs>
        <w:rPr>
          <w:rFonts w:ascii="宋体" w:hAnsi="宋体"/>
          <w:szCs w:val="21"/>
        </w:rPr>
      </w:pPr>
      <w:r>
        <w:rPr>
          <w:rFonts w:ascii="宋体" w:hAnsi="宋体"/>
          <w:szCs w:val="21"/>
        </w:rPr>
        <w:t xml:space="preserve">6.4 </w:t>
      </w:r>
      <w:r>
        <w:rPr>
          <w:rFonts w:hint="eastAsia" w:ascii="宋体" w:hAnsi="宋体"/>
          <w:szCs w:val="21"/>
        </w:rPr>
        <w:t>施工设备和临时设施专用于合同工程</w:t>
      </w:r>
      <w:r>
        <w:rPr>
          <w:rFonts w:ascii="宋体" w:hAnsi="宋体"/>
          <w:szCs w:val="21"/>
        </w:rPr>
        <w:tab/>
      </w:r>
      <w:r>
        <w:rPr>
          <w:rFonts w:ascii="宋体" w:hAnsi="宋体"/>
          <w:szCs w:val="21"/>
        </w:rPr>
        <w:fldChar w:fldCharType="begin"/>
      </w:r>
      <w:r>
        <w:rPr>
          <w:rFonts w:ascii="宋体" w:hAnsi="宋体"/>
          <w:szCs w:val="21"/>
        </w:rPr>
        <w:instrText xml:space="preserve"> PAGEREF _Toc108513867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624AD3E6">
      <w:pPr>
        <w:pStyle w:val="13"/>
        <w:tabs>
          <w:tab w:val="right" w:leader="dot" w:pos="8296"/>
        </w:tabs>
        <w:rPr>
          <w:rFonts w:ascii="宋体" w:hAnsi="宋体" w:eastAsia="宋体"/>
          <w:sz w:val="21"/>
          <w:szCs w:val="21"/>
        </w:rPr>
      </w:pPr>
      <w:r>
        <w:rPr>
          <w:rFonts w:ascii="宋体" w:hAnsi="宋体" w:eastAsia="宋体"/>
          <w:sz w:val="21"/>
          <w:szCs w:val="21"/>
        </w:rPr>
        <w:t>7.</w:t>
      </w:r>
      <w:r>
        <w:rPr>
          <w:rFonts w:hint="eastAsia" w:ascii="宋体" w:hAnsi="宋体" w:eastAsia="宋体"/>
          <w:sz w:val="21"/>
          <w:szCs w:val="21"/>
        </w:rPr>
        <w:t>交通运输</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_Toc108513868 \h </w:instrText>
      </w:r>
      <w:r>
        <w:rPr>
          <w:rFonts w:ascii="宋体" w:hAnsi="宋体" w:eastAsia="宋体"/>
          <w:sz w:val="21"/>
          <w:szCs w:val="21"/>
        </w:rPr>
        <w:fldChar w:fldCharType="separate"/>
      </w:r>
      <w:r>
        <w:rPr>
          <w:rFonts w:ascii="宋体" w:hAnsi="宋体" w:eastAsia="宋体"/>
          <w:sz w:val="21"/>
          <w:szCs w:val="21"/>
        </w:rPr>
        <w:t>190</w:t>
      </w:r>
      <w:r>
        <w:rPr>
          <w:rFonts w:ascii="宋体" w:hAnsi="宋体" w:eastAsia="宋体"/>
          <w:sz w:val="21"/>
          <w:szCs w:val="21"/>
        </w:rPr>
        <w:fldChar w:fldCharType="end"/>
      </w:r>
    </w:p>
    <w:p w14:paraId="49FD860A">
      <w:pPr>
        <w:pStyle w:val="8"/>
        <w:tabs>
          <w:tab w:val="right" w:leader="dot" w:pos="8296"/>
        </w:tabs>
        <w:rPr>
          <w:rFonts w:ascii="宋体" w:hAnsi="宋体"/>
          <w:szCs w:val="21"/>
        </w:rPr>
      </w:pPr>
      <w:r>
        <w:rPr>
          <w:rFonts w:ascii="宋体" w:hAnsi="宋体"/>
          <w:szCs w:val="21"/>
        </w:rPr>
        <w:t xml:space="preserve">7.1 </w:t>
      </w:r>
      <w:r>
        <w:rPr>
          <w:rFonts w:hint="eastAsia" w:ascii="宋体" w:hAnsi="宋体"/>
          <w:szCs w:val="21"/>
        </w:rPr>
        <w:t>道路通行权和场外设施</w:t>
      </w:r>
      <w:r>
        <w:rPr>
          <w:rFonts w:ascii="宋体" w:hAnsi="宋体"/>
          <w:szCs w:val="21"/>
        </w:rPr>
        <w:tab/>
      </w:r>
      <w:r>
        <w:rPr>
          <w:rFonts w:ascii="宋体" w:hAnsi="宋体"/>
          <w:szCs w:val="21"/>
        </w:rPr>
        <w:fldChar w:fldCharType="begin"/>
      </w:r>
      <w:r>
        <w:rPr>
          <w:rFonts w:ascii="宋体" w:hAnsi="宋体"/>
          <w:szCs w:val="21"/>
        </w:rPr>
        <w:instrText xml:space="preserve"> PAGEREF _Toc108513869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2F612FEC">
      <w:pPr>
        <w:pStyle w:val="8"/>
        <w:tabs>
          <w:tab w:val="right" w:leader="dot" w:pos="8296"/>
        </w:tabs>
        <w:rPr>
          <w:rFonts w:ascii="宋体" w:hAnsi="宋体"/>
          <w:szCs w:val="21"/>
        </w:rPr>
      </w:pPr>
      <w:r>
        <w:rPr>
          <w:rFonts w:ascii="宋体" w:hAnsi="宋体"/>
          <w:szCs w:val="21"/>
        </w:rPr>
        <w:t xml:space="preserve">7.2 </w:t>
      </w:r>
      <w:r>
        <w:rPr>
          <w:rFonts w:hint="eastAsia" w:ascii="宋体" w:hAnsi="宋体"/>
          <w:szCs w:val="21"/>
        </w:rPr>
        <w:t>场内施工道路</w:t>
      </w:r>
      <w:r>
        <w:rPr>
          <w:rFonts w:ascii="宋体" w:hAnsi="宋体"/>
          <w:szCs w:val="21"/>
        </w:rPr>
        <w:tab/>
      </w:r>
      <w:r>
        <w:rPr>
          <w:rFonts w:ascii="宋体" w:hAnsi="宋体"/>
          <w:szCs w:val="21"/>
        </w:rPr>
        <w:fldChar w:fldCharType="begin"/>
      </w:r>
      <w:r>
        <w:rPr>
          <w:rFonts w:ascii="宋体" w:hAnsi="宋体"/>
          <w:szCs w:val="21"/>
        </w:rPr>
        <w:instrText xml:space="preserve"> PAGEREF _Toc108513870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72DB41A6">
      <w:pPr>
        <w:pStyle w:val="8"/>
        <w:tabs>
          <w:tab w:val="right" w:leader="dot" w:pos="8296"/>
        </w:tabs>
        <w:rPr>
          <w:rFonts w:ascii="宋体" w:hAnsi="宋体"/>
          <w:szCs w:val="21"/>
        </w:rPr>
      </w:pPr>
      <w:r>
        <w:rPr>
          <w:rFonts w:ascii="宋体" w:hAnsi="宋体"/>
          <w:szCs w:val="21"/>
        </w:rPr>
        <w:t xml:space="preserve">7.4 </w:t>
      </w:r>
      <w:r>
        <w:rPr>
          <w:rFonts w:hint="eastAsia" w:ascii="宋体" w:hAnsi="宋体"/>
          <w:szCs w:val="21"/>
        </w:rPr>
        <w:t>超大件和超重件的运输</w:t>
      </w:r>
      <w:r>
        <w:rPr>
          <w:rFonts w:ascii="宋体" w:hAnsi="宋体"/>
          <w:szCs w:val="21"/>
        </w:rPr>
        <w:tab/>
      </w:r>
      <w:r>
        <w:rPr>
          <w:rFonts w:ascii="宋体" w:hAnsi="宋体"/>
          <w:szCs w:val="21"/>
        </w:rPr>
        <w:fldChar w:fldCharType="begin"/>
      </w:r>
      <w:r>
        <w:rPr>
          <w:rFonts w:ascii="宋体" w:hAnsi="宋体"/>
          <w:szCs w:val="21"/>
        </w:rPr>
        <w:instrText xml:space="preserve"> PAGEREF _Toc108513871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66FEFBB8">
      <w:pPr>
        <w:pStyle w:val="13"/>
        <w:tabs>
          <w:tab w:val="right" w:leader="dot" w:pos="8296"/>
        </w:tabs>
        <w:rPr>
          <w:rFonts w:ascii="宋体" w:hAnsi="宋体" w:eastAsia="宋体"/>
          <w:sz w:val="21"/>
          <w:szCs w:val="21"/>
        </w:rPr>
      </w:pPr>
      <w:r>
        <w:rPr>
          <w:rFonts w:ascii="宋体" w:hAnsi="宋体" w:eastAsia="宋体"/>
          <w:sz w:val="21"/>
          <w:szCs w:val="21"/>
        </w:rPr>
        <w:t>8.</w:t>
      </w:r>
      <w:r>
        <w:rPr>
          <w:rFonts w:hint="eastAsia" w:ascii="宋体" w:hAnsi="宋体" w:eastAsia="宋体"/>
          <w:sz w:val="21"/>
          <w:szCs w:val="21"/>
        </w:rPr>
        <w:t>测量放线</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_Toc108513872 \h </w:instrText>
      </w:r>
      <w:r>
        <w:rPr>
          <w:rFonts w:ascii="宋体" w:hAnsi="宋体" w:eastAsia="宋体"/>
          <w:sz w:val="21"/>
          <w:szCs w:val="21"/>
        </w:rPr>
        <w:fldChar w:fldCharType="separate"/>
      </w:r>
      <w:r>
        <w:rPr>
          <w:rFonts w:ascii="宋体" w:hAnsi="宋体" w:eastAsia="宋体"/>
          <w:sz w:val="21"/>
          <w:szCs w:val="21"/>
        </w:rPr>
        <w:t>190</w:t>
      </w:r>
      <w:r>
        <w:rPr>
          <w:rFonts w:ascii="宋体" w:hAnsi="宋体" w:eastAsia="宋体"/>
          <w:sz w:val="21"/>
          <w:szCs w:val="21"/>
        </w:rPr>
        <w:fldChar w:fldCharType="end"/>
      </w:r>
    </w:p>
    <w:p w14:paraId="22422AE2">
      <w:pPr>
        <w:pStyle w:val="8"/>
        <w:tabs>
          <w:tab w:val="right" w:leader="dot" w:pos="8296"/>
        </w:tabs>
        <w:rPr>
          <w:rFonts w:ascii="宋体" w:hAnsi="宋体"/>
          <w:szCs w:val="21"/>
        </w:rPr>
      </w:pPr>
      <w:r>
        <w:rPr>
          <w:rFonts w:ascii="宋体" w:hAnsi="宋体"/>
          <w:szCs w:val="21"/>
        </w:rPr>
        <w:t xml:space="preserve">8.1 </w:t>
      </w:r>
      <w:r>
        <w:rPr>
          <w:rFonts w:hint="eastAsia" w:ascii="宋体" w:hAnsi="宋体"/>
          <w:szCs w:val="21"/>
        </w:rPr>
        <w:t>施工控制网</w:t>
      </w:r>
      <w:r>
        <w:rPr>
          <w:rFonts w:ascii="宋体" w:hAnsi="宋体"/>
          <w:szCs w:val="21"/>
        </w:rPr>
        <w:tab/>
      </w:r>
      <w:r>
        <w:rPr>
          <w:rFonts w:ascii="宋体" w:hAnsi="宋体"/>
          <w:szCs w:val="21"/>
        </w:rPr>
        <w:fldChar w:fldCharType="begin"/>
      </w:r>
      <w:r>
        <w:rPr>
          <w:rFonts w:ascii="宋体" w:hAnsi="宋体"/>
          <w:szCs w:val="21"/>
        </w:rPr>
        <w:instrText xml:space="preserve"> PAGEREF _Toc108513873 \h </w:instrText>
      </w:r>
      <w:r>
        <w:rPr>
          <w:rFonts w:ascii="宋体" w:hAnsi="宋体"/>
          <w:szCs w:val="21"/>
        </w:rPr>
        <w:fldChar w:fldCharType="separate"/>
      </w:r>
      <w:r>
        <w:rPr>
          <w:rFonts w:ascii="宋体" w:hAnsi="宋体"/>
          <w:szCs w:val="21"/>
        </w:rPr>
        <w:t>190</w:t>
      </w:r>
      <w:r>
        <w:rPr>
          <w:rFonts w:ascii="宋体" w:hAnsi="宋体"/>
          <w:szCs w:val="21"/>
        </w:rPr>
        <w:fldChar w:fldCharType="end"/>
      </w:r>
    </w:p>
    <w:p w14:paraId="0199623B">
      <w:pPr>
        <w:pStyle w:val="13"/>
        <w:tabs>
          <w:tab w:val="right" w:leader="dot" w:pos="8296"/>
        </w:tabs>
        <w:rPr>
          <w:rFonts w:ascii="宋体" w:hAnsi="宋体" w:eastAsia="宋体"/>
          <w:sz w:val="21"/>
          <w:szCs w:val="21"/>
        </w:rPr>
      </w:pPr>
      <w:r>
        <w:rPr>
          <w:rFonts w:ascii="宋体" w:hAnsi="宋体" w:eastAsia="宋体"/>
          <w:sz w:val="21"/>
          <w:szCs w:val="21"/>
        </w:rPr>
        <w:t>9.</w:t>
      </w:r>
      <w:r>
        <w:rPr>
          <w:rFonts w:hint="eastAsia" w:ascii="宋体" w:hAnsi="宋体" w:eastAsia="宋体"/>
          <w:sz w:val="21"/>
          <w:szCs w:val="21"/>
        </w:rPr>
        <w:t>施工安全、治安保卫和环境保护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_Toc108513874 \h </w:instrText>
      </w:r>
      <w:r>
        <w:rPr>
          <w:rFonts w:ascii="宋体" w:hAnsi="宋体" w:eastAsia="宋体"/>
          <w:sz w:val="21"/>
          <w:szCs w:val="21"/>
        </w:rPr>
        <w:fldChar w:fldCharType="separate"/>
      </w:r>
      <w:r>
        <w:rPr>
          <w:rFonts w:ascii="宋体" w:hAnsi="宋体" w:eastAsia="宋体"/>
          <w:sz w:val="21"/>
          <w:szCs w:val="21"/>
        </w:rPr>
        <w:t>191</w:t>
      </w:r>
      <w:r>
        <w:rPr>
          <w:rFonts w:ascii="宋体" w:hAnsi="宋体" w:eastAsia="宋体"/>
          <w:sz w:val="21"/>
          <w:szCs w:val="21"/>
        </w:rPr>
        <w:fldChar w:fldCharType="end"/>
      </w:r>
    </w:p>
    <w:p w14:paraId="61B190FA">
      <w:pPr>
        <w:pStyle w:val="8"/>
        <w:tabs>
          <w:tab w:val="right" w:leader="dot" w:pos="8296"/>
        </w:tabs>
        <w:rPr>
          <w:rFonts w:ascii="宋体" w:hAnsi="宋体"/>
          <w:szCs w:val="21"/>
        </w:rPr>
      </w:pPr>
      <w:r>
        <w:rPr>
          <w:rFonts w:ascii="宋体" w:hAnsi="宋体"/>
          <w:szCs w:val="21"/>
        </w:rPr>
        <w:t xml:space="preserve">9.2 </w:t>
      </w:r>
      <w:r>
        <w:rPr>
          <w:rFonts w:hint="eastAsia" w:ascii="宋体" w:hAnsi="宋体"/>
          <w:szCs w:val="21"/>
        </w:rPr>
        <w:t>承包人的施工安全责任</w:t>
      </w:r>
      <w:r>
        <w:rPr>
          <w:rFonts w:ascii="宋体" w:hAnsi="宋体"/>
          <w:szCs w:val="21"/>
        </w:rPr>
        <w:tab/>
      </w:r>
      <w:r>
        <w:rPr>
          <w:rFonts w:ascii="宋体" w:hAnsi="宋体"/>
          <w:szCs w:val="21"/>
        </w:rPr>
        <w:fldChar w:fldCharType="begin"/>
      </w:r>
      <w:r>
        <w:rPr>
          <w:rFonts w:ascii="宋体" w:hAnsi="宋体"/>
          <w:szCs w:val="21"/>
        </w:rPr>
        <w:instrText xml:space="preserve"> PAGEREF _Toc108513875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6ADAD5E0">
      <w:pPr>
        <w:pStyle w:val="8"/>
        <w:tabs>
          <w:tab w:val="right" w:leader="dot" w:pos="8296"/>
        </w:tabs>
        <w:rPr>
          <w:rFonts w:ascii="宋体" w:hAnsi="宋体"/>
          <w:szCs w:val="21"/>
        </w:rPr>
      </w:pPr>
      <w:r>
        <w:rPr>
          <w:rFonts w:ascii="宋体" w:hAnsi="宋体"/>
          <w:szCs w:val="21"/>
        </w:rPr>
        <w:t xml:space="preserve">9.3 </w:t>
      </w:r>
      <w:r>
        <w:rPr>
          <w:rFonts w:hint="eastAsia" w:ascii="宋体" w:hAnsi="宋体"/>
          <w:szCs w:val="21"/>
        </w:rPr>
        <w:t>治安保卫</w:t>
      </w:r>
      <w:r>
        <w:rPr>
          <w:rFonts w:ascii="宋体" w:hAnsi="宋体"/>
          <w:szCs w:val="21"/>
        </w:rPr>
        <w:tab/>
      </w:r>
      <w:r>
        <w:rPr>
          <w:rFonts w:ascii="宋体" w:hAnsi="宋体"/>
          <w:szCs w:val="21"/>
        </w:rPr>
        <w:fldChar w:fldCharType="begin"/>
      </w:r>
      <w:r>
        <w:rPr>
          <w:rFonts w:ascii="宋体" w:hAnsi="宋体"/>
          <w:szCs w:val="21"/>
        </w:rPr>
        <w:instrText xml:space="preserve"> PAGEREF _Toc108513876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18226AA4">
      <w:pPr>
        <w:pStyle w:val="8"/>
        <w:tabs>
          <w:tab w:val="right" w:leader="dot" w:pos="8296"/>
        </w:tabs>
        <w:rPr>
          <w:rFonts w:ascii="宋体" w:hAnsi="宋体"/>
          <w:szCs w:val="21"/>
        </w:rPr>
      </w:pPr>
      <w:r>
        <w:rPr>
          <w:rFonts w:ascii="宋体" w:hAnsi="宋体"/>
          <w:szCs w:val="21"/>
        </w:rPr>
        <w:t xml:space="preserve">9.4 </w:t>
      </w:r>
      <w:r>
        <w:rPr>
          <w:rFonts w:hint="eastAsia" w:ascii="宋体" w:hAnsi="宋体"/>
          <w:szCs w:val="21"/>
        </w:rPr>
        <w:t>环境保护</w:t>
      </w:r>
      <w:r>
        <w:rPr>
          <w:rFonts w:ascii="宋体" w:hAnsi="宋体"/>
          <w:szCs w:val="21"/>
        </w:rPr>
        <w:tab/>
      </w:r>
      <w:r>
        <w:rPr>
          <w:rFonts w:ascii="宋体" w:hAnsi="宋体"/>
          <w:szCs w:val="21"/>
        </w:rPr>
        <w:fldChar w:fldCharType="begin"/>
      </w:r>
      <w:r>
        <w:rPr>
          <w:rFonts w:ascii="宋体" w:hAnsi="宋体"/>
          <w:szCs w:val="21"/>
        </w:rPr>
        <w:instrText xml:space="preserve"> PAGEREF _Toc108513877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0CC9E7C6">
      <w:pPr>
        <w:pStyle w:val="13"/>
        <w:tabs>
          <w:tab w:val="right" w:leader="dot" w:pos="8296"/>
        </w:tabs>
        <w:rPr>
          <w:rFonts w:ascii="宋体" w:hAnsi="宋体" w:eastAsia="宋体"/>
          <w:sz w:val="21"/>
          <w:szCs w:val="21"/>
        </w:rPr>
      </w:pPr>
      <w:r>
        <w:rPr>
          <w:rFonts w:ascii="宋体" w:hAnsi="宋体" w:eastAsia="宋体"/>
          <w:sz w:val="21"/>
          <w:szCs w:val="21"/>
        </w:rPr>
        <w:t>10.</w:t>
      </w:r>
      <w:r>
        <w:rPr>
          <w:rFonts w:hint="eastAsia" w:ascii="宋体" w:hAnsi="宋体" w:eastAsia="宋体"/>
          <w:sz w:val="21"/>
          <w:szCs w:val="21"/>
        </w:rPr>
        <w:t>进度计划</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_Toc108513878 \h </w:instrText>
      </w:r>
      <w:r>
        <w:rPr>
          <w:rFonts w:ascii="宋体" w:hAnsi="宋体" w:eastAsia="宋体"/>
          <w:sz w:val="21"/>
          <w:szCs w:val="21"/>
        </w:rPr>
        <w:fldChar w:fldCharType="separate"/>
      </w:r>
      <w:r>
        <w:rPr>
          <w:rFonts w:ascii="宋体" w:hAnsi="宋体" w:eastAsia="宋体"/>
          <w:sz w:val="21"/>
          <w:szCs w:val="21"/>
        </w:rPr>
        <w:t>191</w:t>
      </w:r>
      <w:r>
        <w:rPr>
          <w:rFonts w:ascii="宋体" w:hAnsi="宋体" w:eastAsia="宋体"/>
          <w:sz w:val="21"/>
          <w:szCs w:val="21"/>
        </w:rPr>
        <w:fldChar w:fldCharType="end"/>
      </w:r>
    </w:p>
    <w:p w14:paraId="0B97B6AD">
      <w:pPr>
        <w:pStyle w:val="8"/>
        <w:tabs>
          <w:tab w:val="right" w:leader="dot" w:pos="8296"/>
        </w:tabs>
        <w:rPr>
          <w:rFonts w:ascii="宋体" w:hAnsi="宋体"/>
          <w:szCs w:val="21"/>
        </w:rPr>
      </w:pPr>
      <w:r>
        <w:rPr>
          <w:rFonts w:ascii="宋体" w:hAnsi="宋体"/>
          <w:szCs w:val="21"/>
        </w:rPr>
        <w:t xml:space="preserve">10.1 </w:t>
      </w:r>
      <w:r>
        <w:rPr>
          <w:rFonts w:hint="eastAsia" w:ascii="宋体" w:hAnsi="宋体"/>
          <w:szCs w:val="21"/>
        </w:rPr>
        <w:t>合同进度计划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_Toc108513879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165728B6">
      <w:pPr>
        <w:pStyle w:val="8"/>
        <w:tabs>
          <w:tab w:val="right" w:leader="dot" w:pos="8296"/>
        </w:tabs>
        <w:rPr>
          <w:rFonts w:ascii="宋体" w:hAnsi="宋体"/>
          <w:szCs w:val="21"/>
        </w:rPr>
      </w:pPr>
      <w:r>
        <w:rPr>
          <w:rFonts w:ascii="宋体" w:hAnsi="宋体"/>
          <w:szCs w:val="21"/>
        </w:rPr>
        <w:t xml:space="preserve">10.2 </w:t>
      </w:r>
      <w:r>
        <w:rPr>
          <w:rFonts w:hint="eastAsia" w:ascii="宋体" w:hAnsi="宋体"/>
          <w:szCs w:val="21"/>
        </w:rPr>
        <w:t>合同进度计划的修订</w:t>
      </w:r>
      <w:r>
        <w:rPr>
          <w:rFonts w:ascii="宋体" w:hAnsi="宋体"/>
          <w:szCs w:val="21"/>
        </w:rPr>
        <w:tab/>
      </w:r>
      <w:r>
        <w:rPr>
          <w:rFonts w:ascii="宋体" w:hAnsi="宋体"/>
          <w:szCs w:val="21"/>
        </w:rPr>
        <w:fldChar w:fldCharType="begin"/>
      </w:r>
      <w:r>
        <w:rPr>
          <w:rFonts w:ascii="宋体" w:hAnsi="宋体"/>
          <w:szCs w:val="21"/>
        </w:rPr>
        <w:instrText xml:space="preserve"> PAGEREF _Toc108513880 \h </w:instrText>
      </w:r>
      <w:r>
        <w:rPr>
          <w:rFonts w:ascii="宋体" w:hAnsi="宋体"/>
          <w:szCs w:val="21"/>
        </w:rPr>
        <w:fldChar w:fldCharType="separate"/>
      </w:r>
      <w:r>
        <w:rPr>
          <w:rFonts w:ascii="宋体" w:hAnsi="宋体"/>
          <w:szCs w:val="21"/>
        </w:rPr>
        <w:t>191</w:t>
      </w:r>
      <w:r>
        <w:rPr>
          <w:rFonts w:ascii="宋体" w:hAnsi="宋体"/>
          <w:szCs w:val="21"/>
        </w:rPr>
        <w:fldChar w:fldCharType="end"/>
      </w:r>
    </w:p>
    <w:p w14:paraId="6FC01CE2">
      <w:pPr>
        <w:pStyle w:val="13"/>
        <w:tabs>
          <w:tab w:val="right" w:leader="dot" w:pos="8296"/>
        </w:tabs>
        <w:rPr>
          <w:rFonts w:ascii="宋体" w:hAnsi="宋体" w:eastAsia="宋体"/>
          <w:sz w:val="21"/>
          <w:szCs w:val="21"/>
        </w:rPr>
      </w:pPr>
      <w:r>
        <w:rPr>
          <w:rFonts w:ascii="宋体" w:hAnsi="宋体" w:eastAsia="宋体"/>
          <w:sz w:val="21"/>
          <w:szCs w:val="21"/>
        </w:rPr>
        <w:t>11.</w:t>
      </w:r>
      <w:r>
        <w:rPr>
          <w:rFonts w:hint="eastAsia" w:ascii="宋体" w:hAnsi="宋体" w:eastAsia="宋体"/>
          <w:sz w:val="21"/>
          <w:szCs w:val="21"/>
        </w:rPr>
        <w:t>开工和竣工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_Toc108513881 \h </w:instrText>
      </w:r>
      <w:r>
        <w:rPr>
          <w:rFonts w:ascii="宋体" w:hAnsi="宋体" w:eastAsia="宋体"/>
          <w:sz w:val="21"/>
          <w:szCs w:val="21"/>
        </w:rPr>
        <w:fldChar w:fldCharType="separate"/>
      </w:r>
      <w:r>
        <w:rPr>
          <w:rFonts w:ascii="宋体" w:hAnsi="宋体" w:eastAsia="宋体"/>
          <w:sz w:val="21"/>
          <w:szCs w:val="21"/>
        </w:rPr>
        <w:t>192</w:t>
      </w:r>
      <w:r>
        <w:rPr>
          <w:rFonts w:ascii="宋体" w:hAnsi="宋体" w:eastAsia="宋体"/>
          <w:sz w:val="21"/>
          <w:szCs w:val="21"/>
        </w:rPr>
        <w:fldChar w:fldCharType="end"/>
      </w:r>
    </w:p>
    <w:p w14:paraId="007F5DCB">
      <w:pPr>
        <w:pStyle w:val="8"/>
        <w:tabs>
          <w:tab w:val="right" w:leader="dot" w:pos="8296"/>
        </w:tabs>
        <w:rPr>
          <w:rFonts w:ascii="宋体" w:hAnsi="宋体"/>
          <w:szCs w:val="21"/>
        </w:rPr>
      </w:pPr>
      <w:r>
        <w:rPr>
          <w:rFonts w:ascii="宋体" w:hAnsi="宋体"/>
          <w:szCs w:val="21"/>
        </w:rPr>
        <w:t xml:space="preserve">11.3 </w:t>
      </w:r>
      <w:r>
        <w:rPr>
          <w:rFonts w:hint="eastAsia" w:ascii="宋体" w:hAnsi="宋体"/>
          <w:szCs w:val="21"/>
        </w:rPr>
        <w:t>发包人的工期延误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_Toc108513882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2920FD22">
      <w:pPr>
        <w:pStyle w:val="8"/>
        <w:tabs>
          <w:tab w:val="right" w:leader="dot" w:pos="8296"/>
        </w:tabs>
        <w:rPr>
          <w:rFonts w:ascii="宋体" w:hAnsi="宋体"/>
          <w:szCs w:val="21"/>
        </w:rPr>
      </w:pPr>
      <w:r>
        <w:rPr>
          <w:rFonts w:ascii="宋体" w:hAnsi="宋体"/>
          <w:szCs w:val="21"/>
        </w:rPr>
        <w:t xml:space="preserve">11.4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_Toc108513883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28BCDAF8">
      <w:pPr>
        <w:pStyle w:val="8"/>
        <w:tabs>
          <w:tab w:val="right" w:leader="dot" w:pos="8296"/>
        </w:tabs>
        <w:rPr>
          <w:rFonts w:ascii="宋体" w:hAnsi="宋体"/>
          <w:szCs w:val="21"/>
        </w:rPr>
      </w:pPr>
      <w:r>
        <w:rPr>
          <w:rFonts w:ascii="宋体" w:hAnsi="宋体"/>
          <w:szCs w:val="21"/>
        </w:rPr>
        <w:t>11.5</w:t>
      </w:r>
      <w:r>
        <w:rPr>
          <w:rFonts w:hint="eastAsia" w:ascii="宋体" w:hAnsi="宋体"/>
          <w:szCs w:val="21"/>
        </w:rPr>
        <w:t>承包人的工期延误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_Toc108513884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2DD15A5D">
      <w:pPr>
        <w:pStyle w:val="8"/>
        <w:tabs>
          <w:tab w:val="right" w:leader="dot" w:pos="8296"/>
        </w:tabs>
        <w:rPr>
          <w:rFonts w:ascii="宋体" w:hAnsi="宋体"/>
          <w:szCs w:val="21"/>
        </w:rPr>
      </w:pPr>
      <w:r>
        <w:rPr>
          <w:rFonts w:ascii="宋体" w:hAnsi="宋体"/>
          <w:szCs w:val="21"/>
        </w:rPr>
        <w:t>11.6</w:t>
      </w:r>
      <w:r>
        <w:rPr>
          <w:rFonts w:hint="eastAsia" w:ascii="宋体" w:hAnsi="宋体"/>
          <w:szCs w:val="21"/>
        </w:rPr>
        <w:t>工期提前</w:t>
      </w:r>
      <w:r>
        <w:rPr>
          <w:rFonts w:ascii="宋体" w:hAnsi="宋体"/>
          <w:szCs w:val="21"/>
        </w:rPr>
        <w:tab/>
      </w:r>
      <w:r>
        <w:rPr>
          <w:rFonts w:ascii="宋体" w:hAnsi="宋体"/>
          <w:szCs w:val="21"/>
        </w:rPr>
        <w:fldChar w:fldCharType="begin"/>
      </w:r>
      <w:r>
        <w:rPr>
          <w:rFonts w:ascii="宋体" w:hAnsi="宋体"/>
          <w:szCs w:val="21"/>
        </w:rPr>
        <w:instrText xml:space="preserve"> PAGEREF _Toc108513885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6694C46A">
      <w:pPr>
        <w:pStyle w:val="13"/>
        <w:tabs>
          <w:tab w:val="right" w:leader="dot" w:pos="8296"/>
        </w:tabs>
        <w:rPr>
          <w:rFonts w:ascii="宋体" w:hAnsi="宋体" w:eastAsia="宋体"/>
          <w:sz w:val="21"/>
          <w:szCs w:val="21"/>
        </w:rPr>
      </w:pPr>
      <w:r>
        <w:rPr>
          <w:rFonts w:ascii="宋体" w:hAnsi="宋体" w:eastAsia="宋体"/>
          <w:sz w:val="21"/>
          <w:szCs w:val="21"/>
        </w:rPr>
        <w:t>12.</w:t>
      </w:r>
      <w:r>
        <w:rPr>
          <w:rFonts w:hint="eastAsia" w:ascii="宋体" w:hAnsi="宋体" w:eastAsia="宋体"/>
          <w:sz w:val="21"/>
          <w:szCs w:val="21"/>
        </w:rPr>
        <w:t>暂停施工</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_Toc108513886 \h </w:instrText>
      </w:r>
      <w:r>
        <w:rPr>
          <w:rFonts w:ascii="宋体" w:hAnsi="宋体" w:eastAsia="宋体"/>
          <w:sz w:val="21"/>
          <w:szCs w:val="21"/>
        </w:rPr>
        <w:fldChar w:fldCharType="separate"/>
      </w:r>
      <w:r>
        <w:rPr>
          <w:rFonts w:ascii="宋体" w:hAnsi="宋体" w:eastAsia="宋体"/>
          <w:sz w:val="21"/>
          <w:szCs w:val="21"/>
        </w:rPr>
        <w:t>192</w:t>
      </w:r>
      <w:r>
        <w:rPr>
          <w:rFonts w:ascii="宋体" w:hAnsi="宋体" w:eastAsia="宋体"/>
          <w:sz w:val="21"/>
          <w:szCs w:val="21"/>
        </w:rPr>
        <w:fldChar w:fldCharType="end"/>
      </w:r>
    </w:p>
    <w:p w14:paraId="648B6DB5">
      <w:pPr>
        <w:pStyle w:val="8"/>
        <w:tabs>
          <w:tab w:val="right" w:leader="dot" w:pos="8296"/>
        </w:tabs>
        <w:rPr>
          <w:rFonts w:ascii="宋体" w:hAnsi="宋体"/>
          <w:szCs w:val="21"/>
        </w:rPr>
      </w:pPr>
      <w:r>
        <w:rPr>
          <w:rFonts w:ascii="宋体" w:hAnsi="宋体"/>
          <w:szCs w:val="21"/>
        </w:rPr>
        <w:t>12.1</w:t>
      </w:r>
      <w:r>
        <w:rPr>
          <w:rFonts w:hint="eastAsia" w:ascii="宋体" w:hAnsi="宋体"/>
          <w:szCs w:val="21"/>
        </w:rPr>
        <w:t>承包人暂停施工的责任</w:t>
      </w:r>
      <w:r>
        <w:rPr>
          <w:rFonts w:ascii="宋体" w:hAnsi="宋体"/>
          <w:szCs w:val="21"/>
        </w:rPr>
        <w:tab/>
      </w:r>
      <w:r>
        <w:rPr>
          <w:rFonts w:ascii="宋体" w:hAnsi="宋体"/>
          <w:szCs w:val="21"/>
        </w:rPr>
        <w:fldChar w:fldCharType="begin"/>
      </w:r>
      <w:r>
        <w:rPr>
          <w:rFonts w:ascii="宋体" w:hAnsi="宋体"/>
          <w:szCs w:val="21"/>
        </w:rPr>
        <w:instrText xml:space="preserve"> PAGEREF _Toc108513887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6D170A12">
      <w:pPr>
        <w:pStyle w:val="8"/>
        <w:tabs>
          <w:tab w:val="right" w:leader="dot" w:pos="8296"/>
        </w:tabs>
        <w:rPr>
          <w:rFonts w:ascii="宋体" w:hAnsi="宋体"/>
          <w:szCs w:val="21"/>
        </w:rPr>
      </w:pPr>
      <w:r>
        <w:rPr>
          <w:rFonts w:ascii="宋体" w:hAnsi="宋体"/>
          <w:szCs w:val="21"/>
        </w:rPr>
        <w:t xml:space="preserve">12.4 </w:t>
      </w:r>
      <w:r>
        <w:rPr>
          <w:rFonts w:hint="eastAsia" w:ascii="宋体" w:hAnsi="宋体"/>
          <w:szCs w:val="21"/>
        </w:rPr>
        <w:t>暂停施工后的复工</w:t>
      </w:r>
      <w:r>
        <w:rPr>
          <w:rFonts w:ascii="宋体" w:hAnsi="宋体"/>
          <w:szCs w:val="21"/>
        </w:rPr>
        <w:tab/>
      </w:r>
      <w:r>
        <w:rPr>
          <w:rFonts w:ascii="宋体" w:hAnsi="宋体"/>
          <w:szCs w:val="21"/>
        </w:rPr>
        <w:fldChar w:fldCharType="begin"/>
      </w:r>
      <w:r>
        <w:rPr>
          <w:rFonts w:ascii="宋体" w:hAnsi="宋体"/>
          <w:szCs w:val="21"/>
        </w:rPr>
        <w:instrText xml:space="preserve"> PAGEREF _Toc108513888 \h </w:instrText>
      </w:r>
      <w:r>
        <w:rPr>
          <w:rFonts w:ascii="宋体" w:hAnsi="宋体"/>
          <w:szCs w:val="21"/>
        </w:rPr>
        <w:fldChar w:fldCharType="separate"/>
      </w:r>
      <w:r>
        <w:rPr>
          <w:rFonts w:ascii="宋体" w:hAnsi="宋体"/>
          <w:szCs w:val="21"/>
        </w:rPr>
        <w:t>192</w:t>
      </w:r>
      <w:r>
        <w:rPr>
          <w:rFonts w:ascii="宋体" w:hAnsi="宋体"/>
          <w:szCs w:val="21"/>
        </w:rPr>
        <w:fldChar w:fldCharType="end"/>
      </w:r>
    </w:p>
    <w:p w14:paraId="5C4B1897">
      <w:pPr>
        <w:pStyle w:val="13"/>
        <w:tabs>
          <w:tab w:val="right" w:leader="dot" w:pos="8296"/>
        </w:tabs>
        <w:rPr>
          <w:rFonts w:ascii="宋体" w:hAnsi="宋体" w:eastAsia="宋体"/>
          <w:sz w:val="21"/>
          <w:szCs w:val="21"/>
        </w:rPr>
      </w:pPr>
      <w:r>
        <w:rPr>
          <w:rFonts w:ascii="宋体" w:hAnsi="宋体" w:eastAsia="宋体"/>
          <w:sz w:val="21"/>
          <w:szCs w:val="21"/>
        </w:rPr>
        <w:t>13.</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_Toc108513889 \h </w:instrText>
      </w:r>
      <w:r>
        <w:rPr>
          <w:rFonts w:ascii="宋体" w:hAnsi="宋体" w:eastAsia="宋体"/>
          <w:sz w:val="21"/>
          <w:szCs w:val="21"/>
        </w:rPr>
        <w:fldChar w:fldCharType="separate"/>
      </w:r>
      <w:r>
        <w:rPr>
          <w:rFonts w:ascii="宋体" w:hAnsi="宋体" w:eastAsia="宋体"/>
          <w:sz w:val="21"/>
          <w:szCs w:val="21"/>
        </w:rPr>
        <w:t>193</w:t>
      </w:r>
      <w:r>
        <w:rPr>
          <w:rFonts w:ascii="宋体" w:hAnsi="宋体" w:eastAsia="宋体"/>
          <w:sz w:val="21"/>
          <w:szCs w:val="21"/>
        </w:rPr>
        <w:fldChar w:fldCharType="end"/>
      </w:r>
    </w:p>
    <w:p w14:paraId="0BD6D433">
      <w:pPr>
        <w:pStyle w:val="8"/>
        <w:tabs>
          <w:tab w:val="right" w:leader="dot" w:pos="8296"/>
        </w:tabs>
        <w:rPr>
          <w:rFonts w:ascii="宋体" w:hAnsi="宋体"/>
          <w:szCs w:val="21"/>
        </w:rPr>
      </w:pPr>
      <w:r>
        <w:rPr>
          <w:rFonts w:ascii="宋体" w:hAnsi="宋体"/>
          <w:szCs w:val="21"/>
        </w:rPr>
        <w:t xml:space="preserve">13.2 </w:t>
      </w:r>
      <w:r>
        <w:rPr>
          <w:rFonts w:hint="eastAsia" w:ascii="宋体" w:hAnsi="宋体"/>
          <w:szCs w:val="21"/>
        </w:rPr>
        <w:t>承包人的质量管理</w:t>
      </w:r>
      <w:r>
        <w:rPr>
          <w:rFonts w:ascii="宋体" w:hAnsi="宋体"/>
          <w:szCs w:val="21"/>
        </w:rPr>
        <w:tab/>
      </w:r>
      <w:r>
        <w:rPr>
          <w:rFonts w:ascii="宋体" w:hAnsi="宋体"/>
          <w:szCs w:val="21"/>
        </w:rPr>
        <w:fldChar w:fldCharType="begin"/>
      </w:r>
      <w:r>
        <w:rPr>
          <w:rFonts w:ascii="宋体" w:hAnsi="宋体"/>
          <w:szCs w:val="21"/>
        </w:rPr>
        <w:instrText xml:space="preserve"> PAGEREF _Toc108513890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3DC3C163">
      <w:pPr>
        <w:pStyle w:val="8"/>
        <w:tabs>
          <w:tab w:val="right" w:leader="dot" w:pos="8296"/>
        </w:tabs>
        <w:rPr>
          <w:rFonts w:ascii="宋体" w:hAnsi="宋体"/>
          <w:szCs w:val="21"/>
        </w:rPr>
      </w:pPr>
      <w:r>
        <w:rPr>
          <w:rFonts w:ascii="宋体" w:hAnsi="宋体"/>
          <w:szCs w:val="21"/>
        </w:rPr>
        <w:t xml:space="preserve">13.3 </w:t>
      </w:r>
      <w:r>
        <w:rPr>
          <w:rFonts w:hint="eastAsia" w:ascii="宋体" w:hAnsi="宋体"/>
          <w:szCs w:val="21"/>
        </w:rPr>
        <w:t>承包人的质量检查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_Toc108513891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52F90A60">
      <w:pPr>
        <w:pStyle w:val="8"/>
        <w:tabs>
          <w:tab w:val="right" w:leader="dot" w:pos="8296"/>
        </w:tabs>
        <w:rPr>
          <w:rFonts w:ascii="宋体" w:hAnsi="宋体"/>
          <w:szCs w:val="21"/>
        </w:rPr>
      </w:pPr>
      <w:r>
        <w:rPr>
          <w:rFonts w:ascii="宋体" w:hAnsi="宋体"/>
          <w:szCs w:val="21"/>
        </w:rPr>
        <w:t xml:space="preserve">13.4 </w:t>
      </w:r>
      <w:r>
        <w:rPr>
          <w:rFonts w:hint="eastAsia" w:ascii="宋体" w:hAnsi="宋体"/>
          <w:szCs w:val="21"/>
        </w:rPr>
        <w:t>监理人的质量检查</w:t>
      </w:r>
      <w:r>
        <w:rPr>
          <w:rFonts w:ascii="宋体" w:hAnsi="宋体"/>
          <w:szCs w:val="21"/>
        </w:rPr>
        <w:tab/>
      </w:r>
      <w:r>
        <w:rPr>
          <w:rFonts w:ascii="宋体" w:hAnsi="宋体"/>
          <w:szCs w:val="21"/>
        </w:rPr>
        <w:fldChar w:fldCharType="begin"/>
      </w:r>
      <w:r>
        <w:rPr>
          <w:rFonts w:ascii="宋体" w:hAnsi="宋体"/>
          <w:szCs w:val="21"/>
        </w:rPr>
        <w:instrText xml:space="preserve"> PAGEREF _Toc108513892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5E3BBFF3">
      <w:pPr>
        <w:pStyle w:val="8"/>
        <w:tabs>
          <w:tab w:val="right" w:leader="dot" w:pos="8296"/>
        </w:tabs>
        <w:rPr>
          <w:rFonts w:ascii="宋体" w:hAnsi="宋体"/>
          <w:szCs w:val="21"/>
        </w:rPr>
      </w:pPr>
      <w:r>
        <w:rPr>
          <w:rFonts w:ascii="宋体" w:hAnsi="宋体"/>
          <w:szCs w:val="21"/>
        </w:rPr>
        <w:t xml:space="preserve">13.5 </w:t>
      </w:r>
      <w:r>
        <w:rPr>
          <w:rFonts w:hint="eastAsia" w:ascii="宋体" w:hAnsi="宋体"/>
          <w:szCs w:val="21"/>
        </w:rPr>
        <w:t>工程隐蔽部位覆盖前的检查</w:t>
      </w:r>
      <w:r>
        <w:rPr>
          <w:rFonts w:ascii="宋体" w:hAnsi="宋体"/>
          <w:szCs w:val="21"/>
        </w:rPr>
        <w:tab/>
      </w:r>
      <w:r>
        <w:rPr>
          <w:rFonts w:ascii="宋体" w:hAnsi="宋体"/>
          <w:szCs w:val="21"/>
        </w:rPr>
        <w:fldChar w:fldCharType="begin"/>
      </w:r>
      <w:r>
        <w:rPr>
          <w:rFonts w:ascii="宋体" w:hAnsi="宋体"/>
          <w:szCs w:val="21"/>
        </w:rPr>
        <w:instrText xml:space="preserve"> PAGEREF _Toc108513893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7E6A713D">
      <w:pPr>
        <w:pStyle w:val="8"/>
        <w:tabs>
          <w:tab w:val="right" w:leader="dot" w:pos="8296"/>
        </w:tabs>
        <w:rPr>
          <w:rFonts w:ascii="宋体" w:hAnsi="宋体"/>
          <w:szCs w:val="21"/>
        </w:rPr>
      </w:pPr>
      <w:r>
        <w:rPr>
          <w:rFonts w:ascii="宋体" w:hAnsi="宋体"/>
          <w:szCs w:val="21"/>
        </w:rPr>
        <w:t>13.7</w:t>
      </w:r>
      <w:r>
        <w:rPr>
          <w:rFonts w:hint="eastAsia" w:ascii="宋体" w:hAnsi="宋体"/>
          <w:szCs w:val="21"/>
        </w:rPr>
        <w:t>质量争议</w:t>
      </w:r>
      <w:r>
        <w:rPr>
          <w:rFonts w:ascii="宋体" w:hAnsi="宋体"/>
          <w:szCs w:val="21"/>
        </w:rPr>
        <w:tab/>
      </w:r>
      <w:r>
        <w:rPr>
          <w:rFonts w:ascii="宋体" w:hAnsi="宋体"/>
          <w:szCs w:val="21"/>
        </w:rPr>
        <w:fldChar w:fldCharType="begin"/>
      </w:r>
      <w:r>
        <w:rPr>
          <w:rFonts w:ascii="宋体" w:hAnsi="宋体"/>
          <w:szCs w:val="21"/>
        </w:rPr>
        <w:instrText xml:space="preserve"> PAGEREF _Toc108513894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76E31F11">
      <w:pPr>
        <w:pStyle w:val="13"/>
        <w:tabs>
          <w:tab w:val="right" w:leader="dot" w:pos="8296"/>
        </w:tabs>
        <w:rPr>
          <w:rFonts w:ascii="宋体" w:hAnsi="宋体" w:eastAsia="宋体"/>
          <w:sz w:val="21"/>
          <w:szCs w:val="21"/>
        </w:rPr>
      </w:pPr>
      <w:r>
        <w:rPr>
          <w:rFonts w:ascii="宋体" w:hAnsi="宋体" w:eastAsia="宋体"/>
          <w:sz w:val="21"/>
          <w:szCs w:val="21"/>
        </w:rPr>
        <w:t>15.</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_Toc108513895 \h </w:instrText>
      </w:r>
      <w:r>
        <w:rPr>
          <w:rFonts w:ascii="宋体" w:hAnsi="宋体" w:eastAsia="宋体"/>
          <w:sz w:val="21"/>
          <w:szCs w:val="21"/>
        </w:rPr>
        <w:fldChar w:fldCharType="separate"/>
      </w:r>
      <w:r>
        <w:rPr>
          <w:rFonts w:ascii="宋体" w:hAnsi="宋体" w:eastAsia="宋体"/>
          <w:sz w:val="21"/>
          <w:szCs w:val="21"/>
        </w:rPr>
        <w:t>193</w:t>
      </w:r>
      <w:r>
        <w:rPr>
          <w:rFonts w:ascii="宋体" w:hAnsi="宋体" w:eastAsia="宋体"/>
          <w:sz w:val="21"/>
          <w:szCs w:val="21"/>
        </w:rPr>
        <w:fldChar w:fldCharType="end"/>
      </w:r>
    </w:p>
    <w:p w14:paraId="386F434C">
      <w:pPr>
        <w:pStyle w:val="8"/>
        <w:tabs>
          <w:tab w:val="right" w:leader="dot" w:pos="8296"/>
        </w:tabs>
        <w:rPr>
          <w:rFonts w:ascii="宋体" w:hAnsi="宋体"/>
          <w:szCs w:val="21"/>
        </w:rPr>
      </w:pPr>
      <w:r>
        <w:rPr>
          <w:rFonts w:ascii="宋体" w:hAnsi="宋体"/>
          <w:szCs w:val="21"/>
        </w:rPr>
        <w:t xml:space="preserve">15.1 </w:t>
      </w:r>
      <w:r>
        <w:rPr>
          <w:rFonts w:hint="eastAsia" w:ascii="宋体" w:hAnsi="宋体"/>
          <w:szCs w:val="21"/>
        </w:rPr>
        <w:t>变更的范围和内容</w:t>
      </w:r>
      <w:r>
        <w:rPr>
          <w:rFonts w:ascii="宋体" w:hAnsi="宋体"/>
          <w:szCs w:val="21"/>
        </w:rPr>
        <w:tab/>
      </w:r>
      <w:r>
        <w:rPr>
          <w:rFonts w:ascii="宋体" w:hAnsi="宋体"/>
          <w:szCs w:val="21"/>
        </w:rPr>
        <w:fldChar w:fldCharType="begin"/>
      </w:r>
      <w:r>
        <w:rPr>
          <w:rFonts w:ascii="宋体" w:hAnsi="宋体"/>
          <w:szCs w:val="21"/>
        </w:rPr>
        <w:instrText xml:space="preserve"> PAGEREF _Toc108513896 \h </w:instrText>
      </w:r>
      <w:r>
        <w:rPr>
          <w:rFonts w:ascii="宋体" w:hAnsi="宋体"/>
          <w:szCs w:val="21"/>
        </w:rPr>
        <w:fldChar w:fldCharType="separate"/>
      </w:r>
      <w:r>
        <w:rPr>
          <w:rFonts w:ascii="宋体" w:hAnsi="宋体"/>
          <w:szCs w:val="21"/>
        </w:rPr>
        <w:t>193</w:t>
      </w:r>
      <w:r>
        <w:rPr>
          <w:rFonts w:ascii="宋体" w:hAnsi="宋体"/>
          <w:szCs w:val="21"/>
        </w:rPr>
        <w:fldChar w:fldCharType="end"/>
      </w:r>
    </w:p>
    <w:p w14:paraId="76703FCB">
      <w:pPr>
        <w:pStyle w:val="8"/>
        <w:tabs>
          <w:tab w:val="right" w:leader="dot" w:pos="8296"/>
        </w:tabs>
        <w:rPr>
          <w:rFonts w:ascii="宋体" w:hAnsi="宋体"/>
          <w:szCs w:val="21"/>
        </w:rPr>
      </w:pPr>
      <w:r>
        <w:rPr>
          <w:rFonts w:ascii="宋体" w:hAnsi="宋体"/>
          <w:szCs w:val="21"/>
        </w:rPr>
        <w:t xml:space="preserve">15.3 </w:t>
      </w:r>
      <w:r>
        <w:rPr>
          <w:rFonts w:hint="eastAsia" w:ascii="宋体" w:hAnsi="宋体"/>
          <w:szCs w:val="21"/>
        </w:rPr>
        <w:t>变更程序</w:t>
      </w:r>
      <w:r>
        <w:rPr>
          <w:rFonts w:ascii="宋体" w:hAnsi="宋体"/>
          <w:szCs w:val="21"/>
        </w:rPr>
        <w:tab/>
      </w:r>
      <w:r>
        <w:rPr>
          <w:rFonts w:ascii="宋体" w:hAnsi="宋体"/>
          <w:szCs w:val="21"/>
        </w:rPr>
        <w:fldChar w:fldCharType="begin"/>
      </w:r>
      <w:r>
        <w:rPr>
          <w:rFonts w:ascii="宋体" w:hAnsi="宋体"/>
          <w:szCs w:val="21"/>
        </w:rPr>
        <w:instrText xml:space="preserve"> PAGEREF _Toc108513897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3FA84BB6">
      <w:pPr>
        <w:pStyle w:val="8"/>
        <w:tabs>
          <w:tab w:val="right" w:leader="dot" w:pos="8296"/>
        </w:tabs>
        <w:rPr>
          <w:rFonts w:ascii="宋体" w:hAnsi="宋体"/>
          <w:szCs w:val="21"/>
        </w:rPr>
      </w:pPr>
      <w:r>
        <w:rPr>
          <w:rFonts w:ascii="宋体" w:hAnsi="宋体"/>
          <w:szCs w:val="21"/>
        </w:rPr>
        <w:t xml:space="preserve">15.4 </w:t>
      </w:r>
      <w:r>
        <w:rPr>
          <w:rFonts w:hint="eastAsia" w:ascii="宋体" w:hAnsi="宋体"/>
          <w:szCs w:val="21"/>
        </w:rPr>
        <w:t>变更的估价原则</w:t>
      </w:r>
      <w:r>
        <w:rPr>
          <w:rFonts w:ascii="宋体" w:hAnsi="宋体"/>
          <w:szCs w:val="21"/>
        </w:rPr>
        <w:tab/>
      </w:r>
      <w:r>
        <w:rPr>
          <w:rFonts w:ascii="宋体" w:hAnsi="宋体"/>
          <w:szCs w:val="21"/>
        </w:rPr>
        <w:fldChar w:fldCharType="begin"/>
      </w:r>
      <w:r>
        <w:rPr>
          <w:rFonts w:ascii="宋体" w:hAnsi="宋体"/>
          <w:szCs w:val="21"/>
        </w:rPr>
        <w:instrText xml:space="preserve"> PAGEREF _Toc108513898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747BA90B">
      <w:pPr>
        <w:pStyle w:val="8"/>
        <w:tabs>
          <w:tab w:val="right" w:leader="dot" w:pos="8296"/>
        </w:tabs>
        <w:rPr>
          <w:rFonts w:ascii="宋体" w:hAnsi="宋体"/>
          <w:szCs w:val="21"/>
        </w:rPr>
      </w:pPr>
      <w:r>
        <w:rPr>
          <w:rFonts w:ascii="宋体" w:hAnsi="宋体"/>
          <w:szCs w:val="21"/>
        </w:rPr>
        <w:t xml:space="preserve">15.5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_Toc108513899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3C0F4086">
      <w:pPr>
        <w:pStyle w:val="8"/>
        <w:tabs>
          <w:tab w:val="right" w:leader="dot" w:pos="8296"/>
        </w:tabs>
        <w:rPr>
          <w:rFonts w:ascii="宋体" w:hAnsi="宋体"/>
          <w:szCs w:val="21"/>
        </w:rPr>
      </w:pPr>
      <w:r>
        <w:rPr>
          <w:rFonts w:ascii="宋体" w:hAnsi="宋体"/>
          <w:szCs w:val="21"/>
        </w:rPr>
        <w:t xml:space="preserve">15.8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_Toc108513900 \h </w:instrText>
      </w:r>
      <w:r>
        <w:rPr>
          <w:rFonts w:ascii="宋体" w:hAnsi="宋体"/>
          <w:szCs w:val="21"/>
        </w:rPr>
        <w:fldChar w:fldCharType="separate"/>
      </w:r>
      <w:r>
        <w:rPr>
          <w:rFonts w:ascii="宋体" w:hAnsi="宋体"/>
          <w:szCs w:val="21"/>
        </w:rPr>
        <w:t>194</w:t>
      </w:r>
      <w:r>
        <w:rPr>
          <w:rFonts w:ascii="宋体" w:hAnsi="宋体"/>
          <w:szCs w:val="21"/>
        </w:rPr>
        <w:fldChar w:fldCharType="end"/>
      </w:r>
    </w:p>
    <w:p w14:paraId="68F8254E">
      <w:pPr>
        <w:pStyle w:val="13"/>
        <w:tabs>
          <w:tab w:val="right" w:leader="dot" w:pos="8296"/>
        </w:tabs>
        <w:rPr>
          <w:rFonts w:ascii="宋体" w:hAnsi="宋体" w:eastAsia="宋体"/>
          <w:sz w:val="21"/>
          <w:szCs w:val="21"/>
        </w:rPr>
      </w:pPr>
      <w:r>
        <w:rPr>
          <w:rFonts w:ascii="宋体" w:hAnsi="宋体" w:eastAsia="宋体"/>
          <w:sz w:val="21"/>
          <w:szCs w:val="21"/>
        </w:rPr>
        <w:t>16.</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_Toc108513901 \h </w:instrText>
      </w:r>
      <w:r>
        <w:rPr>
          <w:rFonts w:ascii="宋体" w:hAnsi="宋体" w:eastAsia="宋体"/>
          <w:sz w:val="21"/>
          <w:szCs w:val="21"/>
        </w:rPr>
        <w:fldChar w:fldCharType="separate"/>
      </w:r>
      <w:r>
        <w:rPr>
          <w:rFonts w:ascii="宋体" w:hAnsi="宋体" w:eastAsia="宋体"/>
          <w:sz w:val="21"/>
          <w:szCs w:val="21"/>
        </w:rPr>
        <w:t>195</w:t>
      </w:r>
      <w:r>
        <w:rPr>
          <w:rFonts w:ascii="宋体" w:hAnsi="宋体" w:eastAsia="宋体"/>
          <w:sz w:val="21"/>
          <w:szCs w:val="21"/>
        </w:rPr>
        <w:fldChar w:fldCharType="end"/>
      </w:r>
    </w:p>
    <w:p w14:paraId="3E859796">
      <w:pPr>
        <w:pStyle w:val="8"/>
        <w:tabs>
          <w:tab w:val="right" w:leader="dot" w:pos="8296"/>
        </w:tabs>
        <w:rPr>
          <w:rFonts w:ascii="宋体" w:hAnsi="宋体"/>
          <w:szCs w:val="21"/>
        </w:rPr>
      </w:pPr>
      <w:r>
        <w:rPr>
          <w:rFonts w:ascii="宋体" w:hAnsi="宋体"/>
          <w:szCs w:val="21"/>
        </w:rPr>
        <w:t xml:space="preserve">16.1 </w:t>
      </w:r>
      <w:r>
        <w:rPr>
          <w:rFonts w:hint="eastAsia" w:ascii="宋体" w:hAnsi="宋体"/>
          <w:szCs w:val="21"/>
        </w:rPr>
        <w:t>物价波动引起的价格调整</w:t>
      </w:r>
      <w:r>
        <w:rPr>
          <w:rFonts w:ascii="宋体" w:hAnsi="宋体"/>
          <w:szCs w:val="21"/>
        </w:rPr>
        <w:tab/>
      </w:r>
      <w:r>
        <w:rPr>
          <w:rFonts w:ascii="宋体" w:hAnsi="宋体"/>
          <w:szCs w:val="21"/>
        </w:rPr>
        <w:fldChar w:fldCharType="begin"/>
      </w:r>
      <w:r>
        <w:rPr>
          <w:rFonts w:ascii="宋体" w:hAnsi="宋体"/>
          <w:szCs w:val="21"/>
        </w:rPr>
        <w:instrText xml:space="preserve"> PAGEREF _Toc108513902 \h </w:instrText>
      </w:r>
      <w:r>
        <w:rPr>
          <w:rFonts w:ascii="宋体" w:hAnsi="宋体"/>
          <w:szCs w:val="21"/>
        </w:rPr>
        <w:fldChar w:fldCharType="separate"/>
      </w:r>
      <w:r>
        <w:rPr>
          <w:rFonts w:ascii="宋体" w:hAnsi="宋体"/>
          <w:szCs w:val="21"/>
        </w:rPr>
        <w:t>195</w:t>
      </w:r>
      <w:r>
        <w:rPr>
          <w:rFonts w:ascii="宋体" w:hAnsi="宋体"/>
          <w:szCs w:val="21"/>
        </w:rPr>
        <w:fldChar w:fldCharType="end"/>
      </w:r>
    </w:p>
    <w:p w14:paraId="4622CE3C">
      <w:pPr>
        <w:pStyle w:val="13"/>
        <w:tabs>
          <w:tab w:val="right" w:leader="dot" w:pos="8296"/>
        </w:tabs>
        <w:rPr>
          <w:rFonts w:ascii="宋体" w:hAnsi="宋体" w:eastAsia="宋体"/>
          <w:sz w:val="21"/>
          <w:szCs w:val="21"/>
        </w:rPr>
      </w:pPr>
      <w:r>
        <w:rPr>
          <w:rFonts w:ascii="宋体" w:hAnsi="宋体" w:eastAsia="宋体"/>
          <w:sz w:val="21"/>
          <w:szCs w:val="21"/>
        </w:rPr>
        <w:t>17.</w:t>
      </w:r>
      <w:r>
        <w:rPr>
          <w:rFonts w:hint="eastAsia" w:ascii="宋体" w:hAnsi="宋体" w:eastAsia="宋体"/>
          <w:sz w:val="21"/>
          <w:szCs w:val="21"/>
        </w:rPr>
        <w:t>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_Toc108513903 \h </w:instrText>
      </w:r>
      <w:r>
        <w:rPr>
          <w:rFonts w:ascii="宋体" w:hAnsi="宋体" w:eastAsia="宋体"/>
          <w:sz w:val="21"/>
          <w:szCs w:val="21"/>
        </w:rPr>
        <w:fldChar w:fldCharType="separate"/>
      </w:r>
      <w:r>
        <w:rPr>
          <w:rFonts w:ascii="宋体" w:hAnsi="宋体" w:eastAsia="宋体"/>
          <w:sz w:val="21"/>
          <w:szCs w:val="21"/>
        </w:rPr>
        <w:t>195</w:t>
      </w:r>
      <w:r>
        <w:rPr>
          <w:rFonts w:ascii="宋体" w:hAnsi="宋体" w:eastAsia="宋体"/>
          <w:sz w:val="21"/>
          <w:szCs w:val="21"/>
        </w:rPr>
        <w:fldChar w:fldCharType="end"/>
      </w:r>
    </w:p>
    <w:p w14:paraId="3AF10BF5">
      <w:pPr>
        <w:pStyle w:val="8"/>
        <w:tabs>
          <w:tab w:val="right" w:leader="dot" w:pos="8296"/>
        </w:tabs>
        <w:rPr>
          <w:rFonts w:ascii="宋体" w:hAnsi="宋体"/>
          <w:szCs w:val="21"/>
        </w:rPr>
      </w:pPr>
      <w:r>
        <w:rPr>
          <w:rFonts w:ascii="宋体" w:hAnsi="宋体"/>
          <w:szCs w:val="21"/>
        </w:rPr>
        <w:t xml:space="preserve">17.1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_Toc108513904 \h </w:instrText>
      </w:r>
      <w:r>
        <w:rPr>
          <w:rFonts w:ascii="宋体" w:hAnsi="宋体"/>
          <w:szCs w:val="21"/>
        </w:rPr>
        <w:fldChar w:fldCharType="separate"/>
      </w:r>
      <w:r>
        <w:rPr>
          <w:rFonts w:ascii="宋体" w:hAnsi="宋体"/>
          <w:szCs w:val="21"/>
        </w:rPr>
        <w:t>195</w:t>
      </w:r>
      <w:r>
        <w:rPr>
          <w:rFonts w:ascii="宋体" w:hAnsi="宋体"/>
          <w:szCs w:val="21"/>
        </w:rPr>
        <w:fldChar w:fldCharType="end"/>
      </w:r>
    </w:p>
    <w:p w14:paraId="44D1D33E">
      <w:pPr>
        <w:pStyle w:val="8"/>
        <w:tabs>
          <w:tab w:val="right" w:leader="dot" w:pos="8296"/>
        </w:tabs>
        <w:rPr>
          <w:rFonts w:ascii="宋体" w:hAnsi="宋体"/>
          <w:szCs w:val="21"/>
        </w:rPr>
      </w:pPr>
      <w:r>
        <w:rPr>
          <w:rFonts w:ascii="宋体" w:hAnsi="宋体"/>
          <w:szCs w:val="21"/>
        </w:rPr>
        <w:t xml:space="preserve">17.2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_Toc108513905 \h </w:instrText>
      </w:r>
      <w:r>
        <w:rPr>
          <w:rFonts w:ascii="宋体" w:hAnsi="宋体"/>
          <w:szCs w:val="21"/>
        </w:rPr>
        <w:fldChar w:fldCharType="separate"/>
      </w:r>
      <w:r>
        <w:rPr>
          <w:rFonts w:ascii="宋体" w:hAnsi="宋体"/>
          <w:szCs w:val="21"/>
        </w:rPr>
        <w:t>197</w:t>
      </w:r>
      <w:r>
        <w:rPr>
          <w:rFonts w:ascii="宋体" w:hAnsi="宋体"/>
          <w:szCs w:val="21"/>
        </w:rPr>
        <w:fldChar w:fldCharType="end"/>
      </w:r>
    </w:p>
    <w:p w14:paraId="072EE4C3">
      <w:pPr>
        <w:pStyle w:val="8"/>
        <w:tabs>
          <w:tab w:val="right" w:leader="dot" w:pos="8296"/>
        </w:tabs>
        <w:rPr>
          <w:rFonts w:ascii="宋体" w:hAnsi="宋体"/>
          <w:szCs w:val="21"/>
        </w:rPr>
      </w:pPr>
      <w:r>
        <w:rPr>
          <w:rFonts w:ascii="宋体" w:hAnsi="宋体"/>
          <w:szCs w:val="21"/>
        </w:rPr>
        <w:t xml:space="preserve">17.3 </w:t>
      </w:r>
      <w:r>
        <w:rPr>
          <w:rFonts w:hint="eastAsia" w:ascii="宋体" w:hAnsi="宋体"/>
          <w:szCs w:val="21"/>
        </w:rPr>
        <w:t>工程进度付款</w:t>
      </w:r>
      <w:r>
        <w:rPr>
          <w:rFonts w:ascii="宋体" w:hAnsi="宋体"/>
          <w:szCs w:val="21"/>
        </w:rPr>
        <w:tab/>
      </w:r>
      <w:r>
        <w:rPr>
          <w:rFonts w:ascii="宋体" w:hAnsi="宋体"/>
          <w:szCs w:val="21"/>
        </w:rPr>
        <w:fldChar w:fldCharType="begin"/>
      </w:r>
      <w:r>
        <w:rPr>
          <w:rFonts w:ascii="宋体" w:hAnsi="宋体"/>
          <w:szCs w:val="21"/>
        </w:rPr>
        <w:instrText xml:space="preserve"> PAGEREF _Toc108513906 \h </w:instrText>
      </w:r>
      <w:r>
        <w:rPr>
          <w:rFonts w:ascii="宋体" w:hAnsi="宋体"/>
          <w:szCs w:val="21"/>
        </w:rPr>
        <w:fldChar w:fldCharType="separate"/>
      </w:r>
      <w:r>
        <w:rPr>
          <w:rFonts w:ascii="宋体" w:hAnsi="宋体"/>
          <w:szCs w:val="21"/>
        </w:rPr>
        <w:t>198</w:t>
      </w:r>
      <w:r>
        <w:rPr>
          <w:rFonts w:ascii="宋体" w:hAnsi="宋体"/>
          <w:szCs w:val="21"/>
        </w:rPr>
        <w:fldChar w:fldCharType="end"/>
      </w:r>
    </w:p>
    <w:p w14:paraId="146E7626">
      <w:pPr>
        <w:pStyle w:val="8"/>
        <w:tabs>
          <w:tab w:val="right" w:leader="dot" w:pos="8296"/>
        </w:tabs>
        <w:rPr>
          <w:rFonts w:ascii="宋体" w:hAnsi="宋体"/>
          <w:szCs w:val="21"/>
        </w:rPr>
      </w:pPr>
      <w:r>
        <w:rPr>
          <w:rFonts w:ascii="宋体" w:hAnsi="宋体"/>
          <w:szCs w:val="21"/>
        </w:rPr>
        <w:t xml:space="preserve">17.4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_Toc108513907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33398DD1">
      <w:pPr>
        <w:pStyle w:val="8"/>
        <w:tabs>
          <w:tab w:val="right" w:leader="dot" w:pos="8296"/>
        </w:tabs>
        <w:rPr>
          <w:rFonts w:ascii="宋体" w:hAnsi="宋体"/>
          <w:szCs w:val="21"/>
        </w:rPr>
      </w:pPr>
      <w:r>
        <w:rPr>
          <w:rFonts w:ascii="宋体" w:hAnsi="宋体"/>
          <w:szCs w:val="21"/>
        </w:rPr>
        <w:t xml:space="preserve">17.5 </w:t>
      </w:r>
      <w:r>
        <w:rPr>
          <w:rFonts w:hint="eastAsia" w:ascii="宋体" w:hAnsi="宋体"/>
          <w:szCs w:val="21"/>
        </w:rPr>
        <w:t>竣工结算</w:t>
      </w:r>
      <w:r>
        <w:rPr>
          <w:rFonts w:ascii="宋体" w:hAnsi="宋体"/>
          <w:szCs w:val="21"/>
        </w:rPr>
        <w:tab/>
      </w:r>
      <w:r>
        <w:rPr>
          <w:rFonts w:ascii="宋体" w:hAnsi="宋体"/>
          <w:szCs w:val="21"/>
        </w:rPr>
        <w:fldChar w:fldCharType="begin"/>
      </w:r>
      <w:r>
        <w:rPr>
          <w:rFonts w:ascii="宋体" w:hAnsi="宋体"/>
          <w:szCs w:val="21"/>
        </w:rPr>
        <w:instrText xml:space="preserve"> PAGEREF _Toc108513908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3B14C833">
      <w:pPr>
        <w:pStyle w:val="8"/>
        <w:tabs>
          <w:tab w:val="right" w:leader="dot" w:pos="8296"/>
        </w:tabs>
        <w:rPr>
          <w:rFonts w:ascii="宋体" w:hAnsi="宋体"/>
          <w:szCs w:val="21"/>
        </w:rPr>
      </w:pPr>
      <w:r>
        <w:rPr>
          <w:rFonts w:ascii="宋体" w:hAnsi="宋体"/>
          <w:szCs w:val="21"/>
        </w:rPr>
        <w:t xml:space="preserve">17.6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_Toc108513909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0B703401">
      <w:pPr>
        <w:pStyle w:val="13"/>
        <w:tabs>
          <w:tab w:val="right" w:leader="dot" w:pos="8296"/>
        </w:tabs>
        <w:rPr>
          <w:rFonts w:ascii="宋体" w:hAnsi="宋体" w:eastAsia="宋体"/>
          <w:sz w:val="21"/>
          <w:szCs w:val="21"/>
        </w:rPr>
      </w:pPr>
      <w:r>
        <w:rPr>
          <w:rFonts w:ascii="宋体" w:hAnsi="宋体" w:eastAsia="宋体"/>
          <w:sz w:val="21"/>
          <w:szCs w:val="21"/>
        </w:rPr>
        <w:t>18.</w:t>
      </w:r>
      <w:r>
        <w:rPr>
          <w:rFonts w:hint="eastAsia" w:ascii="宋体" w:hAnsi="宋体" w:eastAsia="宋体"/>
          <w:sz w:val="21"/>
          <w:szCs w:val="21"/>
        </w:rPr>
        <w:t>竣工验收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_Toc108513910 \h </w:instrText>
      </w:r>
      <w:r>
        <w:rPr>
          <w:rFonts w:ascii="宋体" w:hAnsi="宋体" w:eastAsia="宋体"/>
          <w:sz w:val="21"/>
          <w:szCs w:val="21"/>
        </w:rPr>
        <w:fldChar w:fldCharType="separate"/>
      </w:r>
      <w:r>
        <w:rPr>
          <w:rFonts w:ascii="宋体" w:hAnsi="宋体" w:eastAsia="宋体"/>
          <w:sz w:val="21"/>
          <w:szCs w:val="21"/>
        </w:rPr>
        <w:t>199</w:t>
      </w:r>
      <w:r>
        <w:rPr>
          <w:rFonts w:ascii="宋体" w:hAnsi="宋体" w:eastAsia="宋体"/>
          <w:sz w:val="21"/>
          <w:szCs w:val="21"/>
        </w:rPr>
        <w:fldChar w:fldCharType="end"/>
      </w:r>
    </w:p>
    <w:p w14:paraId="55B68F40">
      <w:pPr>
        <w:pStyle w:val="8"/>
        <w:tabs>
          <w:tab w:val="right" w:leader="dot" w:pos="8296"/>
        </w:tabs>
        <w:rPr>
          <w:rFonts w:ascii="宋体" w:hAnsi="宋体"/>
          <w:szCs w:val="21"/>
        </w:rPr>
      </w:pPr>
      <w:r>
        <w:rPr>
          <w:rFonts w:ascii="宋体" w:hAnsi="宋体"/>
          <w:szCs w:val="21"/>
        </w:rPr>
        <w:t xml:space="preserve">18.2 </w:t>
      </w:r>
      <w:r>
        <w:rPr>
          <w:rFonts w:hint="eastAsia" w:ascii="宋体" w:hAnsi="宋体"/>
          <w:szCs w:val="21"/>
        </w:rPr>
        <w:t>竣工验收申请报告</w:t>
      </w:r>
      <w:r>
        <w:rPr>
          <w:rFonts w:ascii="宋体" w:hAnsi="宋体"/>
          <w:szCs w:val="21"/>
        </w:rPr>
        <w:tab/>
      </w:r>
      <w:r>
        <w:rPr>
          <w:rFonts w:ascii="宋体" w:hAnsi="宋体"/>
          <w:szCs w:val="21"/>
        </w:rPr>
        <w:fldChar w:fldCharType="begin"/>
      </w:r>
      <w:r>
        <w:rPr>
          <w:rFonts w:ascii="宋体" w:hAnsi="宋体"/>
          <w:szCs w:val="21"/>
        </w:rPr>
        <w:instrText xml:space="preserve"> PAGEREF _Toc108513911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436F962A">
      <w:pPr>
        <w:pStyle w:val="8"/>
        <w:tabs>
          <w:tab w:val="right" w:leader="dot" w:pos="8296"/>
        </w:tabs>
        <w:rPr>
          <w:rFonts w:ascii="宋体" w:hAnsi="宋体"/>
          <w:szCs w:val="21"/>
        </w:rPr>
      </w:pPr>
      <w:r>
        <w:rPr>
          <w:rFonts w:ascii="宋体" w:hAnsi="宋体"/>
          <w:szCs w:val="21"/>
        </w:rPr>
        <w:t xml:space="preserve">18.3 </w:t>
      </w:r>
      <w:r>
        <w:rPr>
          <w:rFonts w:hint="eastAsia" w:ascii="宋体" w:hAnsi="宋体"/>
          <w:szCs w:val="21"/>
        </w:rPr>
        <w:t>验收</w:t>
      </w:r>
      <w:r>
        <w:rPr>
          <w:rFonts w:ascii="宋体" w:hAnsi="宋体"/>
          <w:szCs w:val="21"/>
        </w:rPr>
        <w:tab/>
      </w:r>
      <w:r>
        <w:rPr>
          <w:rFonts w:ascii="宋体" w:hAnsi="宋体"/>
          <w:szCs w:val="21"/>
        </w:rPr>
        <w:fldChar w:fldCharType="begin"/>
      </w:r>
      <w:r>
        <w:rPr>
          <w:rFonts w:ascii="宋体" w:hAnsi="宋体"/>
          <w:szCs w:val="21"/>
        </w:rPr>
        <w:instrText xml:space="preserve"> PAGEREF _Toc108513912 \h </w:instrText>
      </w:r>
      <w:r>
        <w:rPr>
          <w:rFonts w:ascii="宋体" w:hAnsi="宋体"/>
          <w:szCs w:val="21"/>
        </w:rPr>
        <w:fldChar w:fldCharType="separate"/>
      </w:r>
      <w:r>
        <w:rPr>
          <w:rFonts w:ascii="宋体" w:hAnsi="宋体"/>
          <w:szCs w:val="21"/>
        </w:rPr>
        <w:t>199</w:t>
      </w:r>
      <w:r>
        <w:rPr>
          <w:rFonts w:ascii="宋体" w:hAnsi="宋体"/>
          <w:szCs w:val="21"/>
        </w:rPr>
        <w:fldChar w:fldCharType="end"/>
      </w:r>
    </w:p>
    <w:p w14:paraId="167C49D8">
      <w:pPr>
        <w:pStyle w:val="8"/>
        <w:tabs>
          <w:tab w:val="right" w:leader="dot" w:pos="8296"/>
        </w:tabs>
        <w:rPr>
          <w:rFonts w:ascii="宋体" w:hAnsi="宋体"/>
          <w:szCs w:val="21"/>
        </w:rPr>
      </w:pPr>
      <w:r>
        <w:rPr>
          <w:rFonts w:ascii="宋体" w:hAnsi="宋体"/>
          <w:szCs w:val="21"/>
        </w:rPr>
        <w:t xml:space="preserve">18.5 </w:t>
      </w:r>
      <w:r>
        <w:rPr>
          <w:rFonts w:hint="eastAsia" w:ascii="宋体" w:hAnsi="宋体"/>
          <w:szCs w:val="21"/>
        </w:rPr>
        <w:t>施工期运行</w:t>
      </w:r>
      <w:r>
        <w:rPr>
          <w:rFonts w:ascii="宋体" w:hAnsi="宋体"/>
          <w:szCs w:val="21"/>
        </w:rPr>
        <w:tab/>
      </w:r>
      <w:r>
        <w:rPr>
          <w:rFonts w:ascii="宋体" w:hAnsi="宋体"/>
          <w:szCs w:val="21"/>
        </w:rPr>
        <w:fldChar w:fldCharType="begin"/>
      </w:r>
      <w:r>
        <w:rPr>
          <w:rFonts w:ascii="宋体" w:hAnsi="宋体"/>
          <w:szCs w:val="21"/>
        </w:rPr>
        <w:instrText xml:space="preserve"> PAGEREF _Toc108513913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7D5139DF">
      <w:pPr>
        <w:pStyle w:val="8"/>
        <w:tabs>
          <w:tab w:val="right" w:leader="dot" w:pos="8296"/>
        </w:tabs>
        <w:rPr>
          <w:rFonts w:ascii="宋体" w:hAnsi="宋体"/>
          <w:szCs w:val="21"/>
        </w:rPr>
      </w:pPr>
      <w:r>
        <w:rPr>
          <w:rFonts w:ascii="宋体" w:hAnsi="宋体"/>
          <w:szCs w:val="21"/>
        </w:rPr>
        <w:t xml:space="preserve">18.6 </w:t>
      </w:r>
      <w:r>
        <w:rPr>
          <w:rFonts w:hint="eastAsia" w:ascii="宋体" w:hAnsi="宋体"/>
          <w:szCs w:val="21"/>
        </w:rPr>
        <w:t>试运行</w:t>
      </w:r>
      <w:r>
        <w:rPr>
          <w:rFonts w:ascii="宋体" w:hAnsi="宋体"/>
          <w:szCs w:val="21"/>
        </w:rPr>
        <w:tab/>
      </w:r>
      <w:r>
        <w:rPr>
          <w:rFonts w:ascii="宋体" w:hAnsi="宋体"/>
          <w:szCs w:val="21"/>
        </w:rPr>
        <w:fldChar w:fldCharType="begin"/>
      </w:r>
      <w:r>
        <w:rPr>
          <w:rFonts w:ascii="宋体" w:hAnsi="宋体"/>
          <w:szCs w:val="21"/>
        </w:rPr>
        <w:instrText xml:space="preserve"> PAGEREF _Toc108513914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056329DE">
      <w:pPr>
        <w:pStyle w:val="8"/>
        <w:tabs>
          <w:tab w:val="right" w:leader="dot" w:pos="8296"/>
        </w:tabs>
        <w:rPr>
          <w:rFonts w:ascii="宋体" w:hAnsi="宋体"/>
          <w:szCs w:val="21"/>
        </w:rPr>
      </w:pPr>
      <w:r>
        <w:rPr>
          <w:rFonts w:ascii="宋体" w:hAnsi="宋体"/>
          <w:szCs w:val="21"/>
        </w:rPr>
        <w:t xml:space="preserve">18.7 </w:t>
      </w:r>
      <w:r>
        <w:rPr>
          <w:rFonts w:hint="eastAsia" w:ascii="宋体" w:hAnsi="宋体"/>
          <w:szCs w:val="21"/>
        </w:rPr>
        <w:t>竣工清场</w:t>
      </w:r>
      <w:r>
        <w:rPr>
          <w:rFonts w:ascii="宋体" w:hAnsi="宋体"/>
          <w:szCs w:val="21"/>
        </w:rPr>
        <w:tab/>
      </w:r>
      <w:r>
        <w:rPr>
          <w:rFonts w:ascii="宋体" w:hAnsi="宋体"/>
          <w:szCs w:val="21"/>
        </w:rPr>
        <w:fldChar w:fldCharType="begin"/>
      </w:r>
      <w:r>
        <w:rPr>
          <w:rFonts w:ascii="宋体" w:hAnsi="宋体"/>
          <w:szCs w:val="21"/>
        </w:rPr>
        <w:instrText xml:space="preserve"> PAGEREF _Toc108513915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1C31C289">
      <w:pPr>
        <w:pStyle w:val="8"/>
        <w:tabs>
          <w:tab w:val="right" w:leader="dot" w:pos="8296"/>
        </w:tabs>
        <w:rPr>
          <w:rFonts w:ascii="宋体" w:hAnsi="宋体"/>
          <w:szCs w:val="21"/>
        </w:rPr>
      </w:pPr>
      <w:r>
        <w:rPr>
          <w:rFonts w:ascii="宋体" w:hAnsi="宋体"/>
          <w:szCs w:val="21"/>
        </w:rPr>
        <w:t xml:space="preserve">18.8 </w:t>
      </w:r>
      <w:r>
        <w:rPr>
          <w:rFonts w:hint="eastAsia" w:ascii="宋体" w:hAnsi="宋体"/>
          <w:szCs w:val="21"/>
        </w:rPr>
        <w:t>施工队伍的撤离</w:t>
      </w:r>
      <w:r>
        <w:rPr>
          <w:rFonts w:ascii="宋体" w:hAnsi="宋体"/>
          <w:szCs w:val="21"/>
        </w:rPr>
        <w:tab/>
      </w:r>
      <w:r>
        <w:rPr>
          <w:rFonts w:ascii="宋体" w:hAnsi="宋体"/>
          <w:szCs w:val="21"/>
        </w:rPr>
        <w:fldChar w:fldCharType="begin"/>
      </w:r>
      <w:r>
        <w:rPr>
          <w:rFonts w:ascii="宋体" w:hAnsi="宋体"/>
          <w:szCs w:val="21"/>
        </w:rPr>
        <w:instrText xml:space="preserve"> PAGEREF _Toc108513916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5224AFAA">
      <w:pPr>
        <w:pStyle w:val="8"/>
        <w:tabs>
          <w:tab w:val="right" w:leader="dot" w:pos="8296"/>
        </w:tabs>
        <w:rPr>
          <w:rFonts w:ascii="宋体" w:hAnsi="宋体"/>
          <w:szCs w:val="21"/>
        </w:rPr>
      </w:pPr>
      <w:r>
        <w:rPr>
          <w:rFonts w:ascii="宋体" w:hAnsi="宋体"/>
          <w:szCs w:val="21"/>
        </w:rPr>
        <w:t xml:space="preserve">18.9 </w:t>
      </w:r>
      <w:r>
        <w:rPr>
          <w:rFonts w:hint="eastAsia" w:ascii="宋体" w:hAnsi="宋体"/>
          <w:szCs w:val="21"/>
        </w:rPr>
        <w:t>中间验收</w:t>
      </w:r>
      <w:r>
        <w:rPr>
          <w:rFonts w:ascii="宋体" w:hAnsi="宋体"/>
          <w:szCs w:val="21"/>
        </w:rPr>
        <w:tab/>
      </w:r>
      <w:r>
        <w:rPr>
          <w:rFonts w:ascii="宋体" w:hAnsi="宋体"/>
          <w:szCs w:val="21"/>
        </w:rPr>
        <w:fldChar w:fldCharType="begin"/>
      </w:r>
      <w:r>
        <w:rPr>
          <w:rFonts w:ascii="宋体" w:hAnsi="宋体"/>
          <w:szCs w:val="21"/>
        </w:rPr>
        <w:instrText xml:space="preserve"> PAGEREF _Toc108513917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4157E8C3">
      <w:pPr>
        <w:pStyle w:val="13"/>
        <w:tabs>
          <w:tab w:val="right" w:leader="dot" w:pos="8296"/>
        </w:tabs>
        <w:rPr>
          <w:rFonts w:ascii="宋体" w:hAnsi="宋体" w:eastAsia="宋体"/>
          <w:sz w:val="21"/>
          <w:szCs w:val="21"/>
        </w:rPr>
      </w:pPr>
      <w:r>
        <w:rPr>
          <w:rFonts w:ascii="宋体" w:hAnsi="宋体" w:eastAsia="宋体"/>
          <w:sz w:val="21"/>
          <w:szCs w:val="21"/>
        </w:rPr>
        <w:t>19.</w:t>
      </w:r>
      <w:r>
        <w:rPr>
          <w:rFonts w:hint="eastAsia" w:ascii="宋体" w:hAnsi="宋体" w:eastAsia="宋体"/>
          <w:sz w:val="21"/>
          <w:szCs w:val="21"/>
        </w:rPr>
        <w:t>缺陷责任与保修责任</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_Toc108513918 \h </w:instrText>
      </w:r>
      <w:r>
        <w:rPr>
          <w:rFonts w:ascii="宋体" w:hAnsi="宋体" w:eastAsia="宋体"/>
          <w:sz w:val="21"/>
          <w:szCs w:val="21"/>
        </w:rPr>
        <w:fldChar w:fldCharType="separate"/>
      </w:r>
      <w:r>
        <w:rPr>
          <w:rFonts w:ascii="宋体" w:hAnsi="宋体" w:eastAsia="宋体"/>
          <w:sz w:val="21"/>
          <w:szCs w:val="21"/>
        </w:rPr>
        <w:t>200</w:t>
      </w:r>
      <w:r>
        <w:rPr>
          <w:rFonts w:ascii="宋体" w:hAnsi="宋体" w:eastAsia="宋体"/>
          <w:sz w:val="21"/>
          <w:szCs w:val="21"/>
        </w:rPr>
        <w:fldChar w:fldCharType="end"/>
      </w:r>
    </w:p>
    <w:p w14:paraId="07BDEA24">
      <w:pPr>
        <w:pStyle w:val="8"/>
        <w:tabs>
          <w:tab w:val="right" w:leader="dot" w:pos="8296"/>
        </w:tabs>
        <w:rPr>
          <w:rFonts w:ascii="宋体" w:hAnsi="宋体"/>
          <w:szCs w:val="21"/>
        </w:rPr>
      </w:pPr>
      <w:r>
        <w:rPr>
          <w:rFonts w:ascii="宋体" w:hAnsi="宋体"/>
          <w:szCs w:val="21"/>
        </w:rPr>
        <w:t xml:space="preserve">19.7 </w:t>
      </w:r>
      <w:r>
        <w:rPr>
          <w:rFonts w:hint="eastAsia" w:ascii="宋体" w:hAnsi="宋体"/>
          <w:szCs w:val="21"/>
        </w:rPr>
        <w:t>保修责任</w:t>
      </w:r>
      <w:r>
        <w:rPr>
          <w:rFonts w:ascii="宋体" w:hAnsi="宋体"/>
          <w:szCs w:val="21"/>
        </w:rPr>
        <w:tab/>
      </w:r>
      <w:r>
        <w:rPr>
          <w:rFonts w:ascii="宋体" w:hAnsi="宋体"/>
          <w:szCs w:val="21"/>
        </w:rPr>
        <w:fldChar w:fldCharType="begin"/>
      </w:r>
      <w:r>
        <w:rPr>
          <w:rFonts w:ascii="宋体" w:hAnsi="宋体"/>
          <w:szCs w:val="21"/>
        </w:rPr>
        <w:instrText xml:space="preserve"> PAGEREF _Toc108513919 \h </w:instrText>
      </w:r>
      <w:r>
        <w:rPr>
          <w:rFonts w:ascii="宋体" w:hAnsi="宋体"/>
          <w:szCs w:val="21"/>
        </w:rPr>
        <w:fldChar w:fldCharType="separate"/>
      </w:r>
      <w:r>
        <w:rPr>
          <w:rFonts w:ascii="宋体" w:hAnsi="宋体"/>
          <w:szCs w:val="21"/>
        </w:rPr>
        <w:t>200</w:t>
      </w:r>
      <w:r>
        <w:rPr>
          <w:rFonts w:ascii="宋体" w:hAnsi="宋体"/>
          <w:szCs w:val="21"/>
        </w:rPr>
        <w:fldChar w:fldCharType="end"/>
      </w:r>
    </w:p>
    <w:p w14:paraId="4DF019D9">
      <w:pPr>
        <w:pStyle w:val="13"/>
        <w:tabs>
          <w:tab w:val="right" w:leader="dot" w:pos="8296"/>
        </w:tabs>
        <w:rPr>
          <w:rFonts w:ascii="宋体" w:hAnsi="宋体" w:eastAsia="宋体"/>
          <w:sz w:val="21"/>
          <w:szCs w:val="21"/>
        </w:rPr>
      </w:pPr>
      <w:r>
        <w:rPr>
          <w:rFonts w:ascii="宋体" w:hAnsi="宋体" w:eastAsia="宋体"/>
          <w:sz w:val="21"/>
          <w:szCs w:val="21"/>
        </w:rPr>
        <w:t>20.</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_Toc108513920 \h </w:instrText>
      </w:r>
      <w:r>
        <w:rPr>
          <w:rFonts w:ascii="宋体" w:hAnsi="宋体" w:eastAsia="宋体"/>
          <w:sz w:val="21"/>
          <w:szCs w:val="21"/>
        </w:rPr>
        <w:fldChar w:fldCharType="separate"/>
      </w:r>
      <w:r>
        <w:rPr>
          <w:rFonts w:ascii="宋体" w:hAnsi="宋体" w:eastAsia="宋体"/>
          <w:sz w:val="21"/>
          <w:szCs w:val="21"/>
        </w:rPr>
        <w:t>201</w:t>
      </w:r>
      <w:r>
        <w:rPr>
          <w:rFonts w:ascii="宋体" w:hAnsi="宋体" w:eastAsia="宋体"/>
          <w:sz w:val="21"/>
          <w:szCs w:val="21"/>
        </w:rPr>
        <w:fldChar w:fldCharType="end"/>
      </w:r>
    </w:p>
    <w:p w14:paraId="67AD50CA">
      <w:pPr>
        <w:pStyle w:val="8"/>
        <w:tabs>
          <w:tab w:val="right" w:leader="dot" w:pos="8296"/>
        </w:tabs>
        <w:rPr>
          <w:rFonts w:ascii="宋体" w:hAnsi="宋体"/>
          <w:szCs w:val="21"/>
        </w:rPr>
      </w:pPr>
      <w:r>
        <w:rPr>
          <w:rFonts w:ascii="宋体" w:hAnsi="宋体"/>
          <w:szCs w:val="21"/>
        </w:rPr>
        <w:t xml:space="preserve">20.1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_Toc108513921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26013843">
      <w:pPr>
        <w:pStyle w:val="8"/>
        <w:tabs>
          <w:tab w:val="right" w:leader="dot" w:pos="8296"/>
        </w:tabs>
        <w:rPr>
          <w:rFonts w:ascii="宋体" w:hAnsi="宋体"/>
          <w:szCs w:val="21"/>
        </w:rPr>
      </w:pPr>
      <w:r>
        <w:rPr>
          <w:rFonts w:ascii="宋体" w:hAnsi="宋体"/>
          <w:szCs w:val="21"/>
        </w:rPr>
        <w:t xml:space="preserve">20.4 </w:t>
      </w:r>
      <w:r>
        <w:rPr>
          <w:rFonts w:hint="eastAsia" w:ascii="宋体" w:hAnsi="宋体"/>
          <w:szCs w:val="21"/>
        </w:rPr>
        <w:t>第三者责任险</w:t>
      </w:r>
      <w:r>
        <w:rPr>
          <w:rFonts w:ascii="宋体" w:hAnsi="宋体"/>
          <w:szCs w:val="21"/>
        </w:rPr>
        <w:tab/>
      </w:r>
      <w:r>
        <w:rPr>
          <w:rFonts w:ascii="宋体" w:hAnsi="宋体"/>
          <w:szCs w:val="21"/>
        </w:rPr>
        <w:fldChar w:fldCharType="begin"/>
      </w:r>
      <w:r>
        <w:rPr>
          <w:rFonts w:ascii="宋体" w:hAnsi="宋体"/>
          <w:szCs w:val="21"/>
        </w:rPr>
        <w:instrText xml:space="preserve"> PAGEREF _Toc108513922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6B291100">
      <w:pPr>
        <w:pStyle w:val="8"/>
        <w:tabs>
          <w:tab w:val="right" w:leader="dot" w:pos="8296"/>
        </w:tabs>
        <w:rPr>
          <w:rFonts w:ascii="宋体" w:hAnsi="宋体"/>
          <w:szCs w:val="21"/>
        </w:rPr>
      </w:pPr>
      <w:r>
        <w:rPr>
          <w:rFonts w:ascii="宋体" w:hAnsi="宋体"/>
          <w:szCs w:val="21"/>
        </w:rPr>
        <w:t xml:space="preserve">20.5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_Toc108513923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53648802">
      <w:pPr>
        <w:pStyle w:val="8"/>
        <w:tabs>
          <w:tab w:val="right" w:leader="dot" w:pos="8296"/>
        </w:tabs>
        <w:rPr>
          <w:rFonts w:ascii="宋体" w:hAnsi="宋体"/>
          <w:szCs w:val="21"/>
        </w:rPr>
      </w:pPr>
      <w:r>
        <w:rPr>
          <w:rFonts w:ascii="宋体" w:hAnsi="宋体"/>
          <w:szCs w:val="21"/>
        </w:rPr>
        <w:t xml:space="preserve">20.6 </w:t>
      </w:r>
      <w:r>
        <w:rPr>
          <w:rFonts w:hint="eastAsia" w:ascii="宋体" w:hAnsi="宋体"/>
          <w:szCs w:val="21"/>
        </w:rPr>
        <w:t>对各项保险的一般要求</w:t>
      </w:r>
      <w:r>
        <w:rPr>
          <w:rFonts w:ascii="宋体" w:hAnsi="宋体"/>
          <w:szCs w:val="21"/>
        </w:rPr>
        <w:tab/>
      </w:r>
      <w:r>
        <w:rPr>
          <w:rFonts w:ascii="宋体" w:hAnsi="宋体"/>
          <w:szCs w:val="21"/>
        </w:rPr>
        <w:fldChar w:fldCharType="begin"/>
      </w:r>
      <w:r>
        <w:rPr>
          <w:rFonts w:ascii="宋体" w:hAnsi="宋体"/>
          <w:szCs w:val="21"/>
        </w:rPr>
        <w:instrText xml:space="preserve"> PAGEREF _Toc108513924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04C61359">
      <w:pPr>
        <w:pStyle w:val="13"/>
        <w:tabs>
          <w:tab w:val="right" w:leader="dot" w:pos="8296"/>
        </w:tabs>
        <w:rPr>
          <w:rFonts w:ascii="宋体" w:hAnsi="宋体" w:eastAsia="宋体"/>
          <w:sz w:val="21"/>
          <w:szCs w:val="21"/>
        </w:rPr>
      </w:pPr>
      <w:r>
        <w:rPr>
          <w:rFonts w:ascii="宋体" w:hAnsi="宋体" w:eastAsia="宋体"/>
          <w:sz w:val="21"/>
          <w:szCs w:val="21"/>
        </w:rPr>
        <w:t>21.</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_Toc108513925 \h </w:instrText>
      </w:r>
      <w:r>
        <w:rPr>
          <w:rFonts w:ascii="宋体" w:hAnsi="宋体" w:eastAsia="宋体"/>
          <w:sz w:val="21"/>
          <w:szCs w:val="21"/>
        </w:rPr>
        <w:fldChar w:fldCharType="separate"/>
      </w:r>
      <w:r>
        <w:rPr>
          <w:rFonts w:ascii="宋体" w:hAnsi="宋体" w:eastAsia="宋体"/>
          <w:sz w:val="21"/>
          <w:szCs w:val="21"/>
        </w:rPr>
        <w:t>201</w:t>
      </w:r>
      <w:r>
        <w:rPr>
          <w:rFonts w:ascii="宋体" w:hAnsi="宋体" w:eastAsia="宋体"/>
          <w:sz w:val="21"/>
          <w:szCs w:val="21"/>
        </w:rPr>
        <w:fldChar w:fldCharType="end"/>
      </w:r>
    </w:p>
    <w:p w14:paraId="6017E7C2">
      <w:pPr>
        <w:pStyle w:val="8"/>
        <w:tabs>
          <w:tab w:val="right" w:leader="dot" w:pos="8296"/>
        </w:tabs>
        <w:rPr>
          <w:rFonts w:ascii="宋体" w:hAnsi="宋体"/>
          <w:szCs w:val="21"/>
        </w:rPr>
      </w:pPr>
      <w:r>
        <w:rPr>
          <w:rFonts w:ascii="宋体" w:hAnsi="宋体"/>
          <w:szCs w:val="21"/>
        </w:rPr>
        <w:t xml:space="preserve">21.1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_Toc108513926 \h </w:instrText>
      </w:r>
      <w:r>
        <w:rPr>
          <w:rFonts w:ascii="宋体" w:hAnsi="宋体"/>
          <w:szCs w:val="21"/>
        </w:rPr>
        <w:fldChar w:fldCharType="separate"/>
      </w:r>
      <w:r>
        <w:rPr>
          <w:rFonts w:ascii="宋体" w:hAnsi="宋体"/>
          <w:szCs w:val="21"/>
        </w:rPr>
        <w:t>201</w:t>
      </w:r>
      <w:r>
        <w:rPr>
          <w:rFonts w:ascii="宋体" w:hAnsi="宋体"/>
          <w:szCs w:val="21"/>
        </w:rPr>
        <w:fldChar w:fldCharType="end"/>
      </w:r>
    </w:p>
    <w:p w14:paraId="4F8DD930">
      <w:pPr>
        <w:pStyle w:val="8"/>
        <w:tabs>
          <w:tab w:val="right" w:leader="dot" w:pos="8296"/>
        </w:tabs>
        <w:rPr>
          <w:rFonts w:ascii="宋体" w:hAnsi="宋体"/>
          <w:szCs w:val="21"/>
        </w:rPr>
      </w:pPr>
      <w:r>
        <w:rPr>
          <w:rFonts w:ascii="宋体" w:hAnsi="宋体"/>
          <w:szCs w:val="21"/>
        </w:rPr>
        <w:t xml:space="preserve">21.3 </w:t>
      </w:r>
      <w:r>
        <w:rPr>
          <w:rFonts w:hint="eastAsia" w:ascii="宋体" w:hAnsi="宋体"/>
          <w:szCs w:val="21"/>
        </w:rPr>
        <w:t>不可抗力后果及其处理</w:t>
      </w:r>
      <w:r>
        <w:rPr>
          <w:rFonts w:ascii="宋体" w:hAnsi="宋体"/>
          <w:szCs w:val="21"/>
        </w:rPr>
        <w:tab/>
      </w:r>
      <w:r>
        <w:rPr>
          <w:rFonts w:ascii="宋体" w:hAnsi="宋体"/>
          <w:szCs w:val="21"/>
        </w:rPr>
        <w:fldChar w:fldCharType="begin"/>
      </w:r>
      <w:r>
        <w:rPr>
          <w:rFonts w:ascii="宋体" w:hAnsi="宋体"/>
          <w:szCs w:val="21"/>
        </w:rPr>
        <w:instrText xml:space="preserve"> PAGEREF _Toc108513927 \h </w:instrText>
      </w:r>
      <w:r>
        <w:rPr>
          <w:rFonts w:ascii="宋体" w:hAnsi="宋体"/>
          <w:szCs w:val="21"/>
        </w:rPr>
        <w:fldChar w:fldCharType="separate"/>
      </w:r>
      <w:r>
        <w:rPr>
          <w:rFonts w:ascii="宋体" w:hAnsi="宋体"/>
          <w:szCs w:val="21"/>
        </w:rPr>
        <w:t>202</w:t>
      </w:r>
      <w:r>
        <w:rPr>
          <w:rFonts w:ascii="宋体" w:hAnsi="宋体"/>
          <w:szCs w:val="21"/>
        </w:rPr>
        <w:fldChar w:fldCharType="end"/>
      </w:r>
    </w:p>
    <w:p w14:paraId="3CE49F13">
      <w:pPr>
        <w:pStyle w:val="13"/>
        <w:tabs>
          <w:tab w:val="right" w:leader="dot" w:pos="8296"/>
        </w:tabs>
        <w:rPr>
          <w:rFonts w:ascii="宋体" w:hAnsi="宋体" w:eastAsia="宋体"/>
          <w:sz w:val="21"/>
          <w:szCs w:val="21"/>
        </w:rPr>
      </w:pPr>
      <w:r>
        <w:rPr>
          <w:rFonts w:ascii="宋体" w:hAnsi="宋体" w:eastAsia="宋体"/>
          <w:sz w:val="21"/>
          <w:szCs w:val="21"/>
        </w:rPr>
        <w:t>24.</w:t>
      </w:r>
      <w:r>
        <w:rPr>
          <w:rFonts w:hint="eastAsia" w:ascii="宋体" w:hAnsi="宋体" w:eastAsia="宋体"/>
          <w:sz w:val="21"/>
          <w:szCs w:val="21"/>
        </w:rPr>
        <w:t>争议的解决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_Toc108513928 \h </w:instrText>
      </w:r>
      <w:r>
        <w:rPr>
          <w:rFonts w:ascii="宋体" w:hAnsi="宋体" w:eastAsia="宋体"/>
          <w:sz w:val="21"/>
          <w:szCs w:val="21"/>
        </w:rPr>
        <w:fldChar w:fldCharType="separate"/>
      </w:r>
      <w:r>
        <w:rPr>
          <w:rFonts w:ascii="宋体" w:hAnsi="宋体" w:eastAsia="宋体"/>
          <w:sz w:val="21"/>
          <w:szCs w:val="21"/>
        </w:rPr>
        <w:t>202</w:t>
      </w:r>
      <w:r>
        <w:rPr>
          <w:rFonts w:ascii="宋体" w:hAnsi="宋体" w:eastAsia="宋体"/>
          <w:sz w:val="21"/>
          <w:szCs w:val="21"/>
        </w:rPr>
        <w:fldChar w:fldCharType="end"/>
      </w:r>
    </w:p>
    <w:p w14:paraId="48B951FB">
      <w:pPr>
        <w:pStyle w:val="8"/>
        <w:tabs>
          <w:tab w:val="right" w:leader="dot" w:pos="8296"/>
        </w:tabs>
        <w:rPr>
          <w:rFonts w:ascii="宋体" w:hAnsi="宋体"/>
          <w:szCs w:val="21"/>
        </w:rPr>
      </w:pPr>
      <w:r>
        <w:rPr>
          <w:rFonts w:ascii="宋体" w:hAnsi="宋体"/>
          <w:szCs w:val="21"/>
        </w:rPr>
        <w:t xml:space="preserve">24.1 </w:t>
      </w:r>
      <w:r>
        <w:rPr>
          <w:rFonts w:hint="eastAsia" w:ascii="宋体" w:hAnsi="宋体"/>
          <w:szCs w:val="21"/>
        </w:rPr>
        <w:t>争议的解决方式</w:t>
      </w:r>
      <w:r>
        <w:rPr>
          <w:rFonts w:ascii="宋体" w:hAnsi="宋体"/>
          <w:szCs w:val="21"/>
        </w:rPr>
        <w:tab/>
      </w:r>
      <w:r>
        <w:rPr>
          <w:rFonts w:ascii="宋体" w:hAnsi="宋体"/>
          <w:szCs w:val="21"/>
        </w:rPr>
        <w:fldChar w:fldCharType="begin"/>
      </w:r>
      <w:r>
        <w:rPr>
          <w:rFonts w:ascii="宋体" w:hAnsi="宋体"/>
          <w:szCs w:val="21"/>
        </w:rPr>
        <w:instrText xml:space="preserve"> PAGEREF _Toc108513929 \h </w:instrText>
      </w:r>
      <w:r>
        <w:rPr>
          <w:rFonts w:ascii="宋体" w:hAnsi="宋体"/>
          <w:szCs w:val="21"/>
        </w:rPr>
        <w:fldChar w:fldCharType="separate"/>
      </w:r>
      <w:r>
        <w:rPr>
          <w:rFonts w:ascii="宋体" w:hAnsi="宋体"/>
          <w:szCs w:val="21"/>
        </w:rPr>
        <w:t>202</w:t>
      </w:r>
      <w:r>
        <w:rPr>
          <w:rFonts w:ascii="宋体" w:hAnsi="宋体"/>
          <w:szCs w:val="21"/>
        </w:rPr>
        <w:fldChar w:fldCharType="end"/>
      </w:r>
    </w:p>
    <w:p w14:paraId="171F6989">
      <w:pPr>
        <w:pStyle w:val="8"/>
        <w:tabs>
          <w:tab w:val="right" w:leader="dot" w:pos="8296"/>
        </w:tabs>
        <w:rPr>
          <w:rFonts w:ascii="宋体" w:hAnsi="宋体"/>
          <w:szCs w:val="21"/>
        </w:rPr>
      </w:pPr>
      <w:r>
        <w:rPr>
          <w:rFonts w:ascii="宋体" w:hAnsi="宋体"/>
          <w:szCs w:val="21"/>
        </w:rPr>
        <w:t xml:space="preserve">24.3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_Toc108513930 \h </w:instrText>
      </w:r>
      <w:r>
        <w:rPr>
          <w:rFonts w:ascii="宋体" w:hAnsi="宋体"/>
          <w:szCs w:val="21"/>
        </w:rPr>
        <w:fldChar w:fldCharType="separate"/>
      </w:r>
      <w:r>
        <w:rPr>
          <w:rFonts w:ascii="宋体" w:hAnsi="宋体"/>
          <w:szCs w:val="21"/>
        </w:rPr>
        <w:t>202</w:t>
      </w:r>
      <w:r>
        <w:rPr>
          <w:rFonts w:ascii="宋体" w:hAnsi="宋体"/>
          <w:szCs w:val="21"/>
        </w:rPr>
        <w:fldChar w:fldCharType="end"/>
      </w:r>
    </w:p>
    <w:p w14:paraId="43BDCC8E">
      <w:pPr>
        <w:pStyle w:val="13"/>
        <w:tabs>
          <w:tab w:val="right" w:leader="dot" w:pos="8296"/>
        </w:tabs>
        <w:rPr>
          <w:rFonts w:ascii="宋体" w:hAnsi="宋体" w:eastAsia="宋体"/>
          <w:sz w:val="21"/>
          <w:szCs w:val="21"/>
        </w:rPr>
      </w:pPr>
      <w:r>
        <w:rPr>
          <w:rFonts w:hint="eastAsia" w:ascii="宋体" w:hAnsi="宋体" w:eastAsia="宋体"/>
          <w:sz w:val="21"/>
          <w:szCs w:val="21"/>
        </w:rPr>
        <w:t>第三节</w:t>
      </w:r>
      <w:r>
        <w:rPr>
          <w:rFonts w:ascii="宋体" w:hAnsi="宋体" w:eastAsia="宋体"/>
          <w:sz w:val="21"/>
          <w:szCs w:val="21"/>
        </w:rPr>
        <w:t xml:space="preserve">  </w:t>
      </w:r>
      <w:r>
        <w:rPr>
          <w:rFonts w:hint="eastAsia" w:ascii="宋体" w:hAnsi="宋体" w:eastAsia="宋体"/>
          <w:sz w:val="21"/>
          <w:szCs w:val="21"/>
        </w:rPr>
        <w:t>合同附件格式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_Toc108513931 \h </w:instrText>
      </w:r>
      <w:r>
        <w:rPr>
          <w:rFonts w:ascii="宋体" w:hAnsi="宋体" w:eastAsia="宋体"/>
          <w:sz w:val="21"/>
          <w:szCs w:val="21"/>
        </w:rPr>
        <w:fldChar w:fldCharType="separate"/>
      </w:r>
      <w:r>
        <w:rPr>
          <w:rFonts w:ascii="宋体" w:hAnsi="宋体" w:eastAsia="宋体"/>
          <w:sz w:val="21"/>
          <w:szCs w:val="21"/>
        </w:rPr>
        <w:t>203</w:t>
      </w:r>
      <w:r>
        <w:rPr>
          <w:rFonts w:ascii="宋体" w:hAnsi="宋体" w:eastAsia="宋体"/>
          <w:sz w:val="21"/>
          <w:szCs w:val="21"/>
        </w:rPr>
        <w:fldChar w:fldCharType="end"/>
      </w:r>
    </w:p>
    <w:p w14:paraId="2641B4B1">
      <w:pPr>
        <w:pStyle w:val="8"/>
        <w:tabs>
          <w:tab w:val="right" w:leader="dot" w:pos="8296"/>
        </w:tabs>
        <w:rPr>
          <w:rFonts w:ascii="宋体" w:hAnsi="宋体"/>
          <w:szCs w:val="21"/>
        </w:rPr>
      </w:pPr>
      <w:r>
        <w:rPr>
          <w:rFonts w:hint="eastAsia" w:ascii="宋体" w:hAnsi="宋体"/>
          <w:szCs w:val="21"/>
        </w:rPr>
        <w:t>附件一：合同协议书</w:t>
      </w:r>
      <w:r>
        <w:rPr>
          <w:rFonts w:ascii="宋体" w:hAnsi="宋体"/>
          <w:szCs w:val="21"/>
        </w:rPr>
        <w:tab/>
      </w:r>
      <w:r>
        <w:rPr>
          <w:rFonts w:ascii="宋体" w:hAnsi="宋体"/>
          <w:szCs w:val="21"/>
        </w:rPr>
        <w:fldChar w:fldCharType="begin"/>
      </w:r>
      <w:r>
        <w:rPr>
          <w:rFonts w:ascii="宋体" w:hAnsi="宋体"/>
          <w:szCs w:val="21"/>
        </w:rPr>
        <w:instrText xml:space="preserve"> PAGEREF _Toc108513932 \h </w:instrText>
      </w:r>
      <w:r>
        <w:rPr>
          <w:rFonts w:ascii="宋体" w:hAnsi="宋体"/>
          <w:szCs w:val="21"/>
        </w:rPr>
        <w:fldChar w:fldCharType="separate"/>
      </w:r>
      <w:r>
        <w:rPr>
          <w:rFonts w:ascii="宋体" w:hAnsi="宋体"/>
          <w:szCs w:val="21"/>
        </w:rPr>
        <w:t>204</w:t>
      </w:r>
      <w:r>
        <w:rPr>
          <w:rFonts w:ascii="宋体" w:hAnsi="宋体"/>
          <w:szCs w:val="21"/>
        </w:rPr>
        <w:fldChar w:fldCharType="end"/>
      </w:r>
    </w:p>
    <w:p w14:paraId="008DE941">
      <w:pPr>
        <w:pStyle w:val="8"/>
        <w:tabs>
          <w:tab w:val="right" w:leader="dot" w:pos="8296"/>
        </w:tabs>
        <w:rPr>
          <w:rFonts w:ascii="宋体" w:hAnsi="宋体"/>
          <w:szCs w:val="21"/>
        </w:rPr>
      </w:pPr>
      <w:r>
        <w:rPr>
          <w:rFonts w:hint="eastAsia" w:ascii="宋体" w:hAnsi="宋体"/>
          <w:szCs w:val="21"/>
        </w:rPr>
        <w:t>附件二：预付款担保格式</w:t>
      </w:r>
      <w:r>
        <w:rPr>
          <w:rFonts w:ascii="宋体" w:hAnsi="宋体"/>
          <w:szCs w:val="21"/>
        </w:rPr>
        <w:tab/>
      </w:r>
      <w:r>
        <w:rPr>
          <w:rFonts w:ascii="宋体" w:hAnsi="宋体"/>
          <w:szCs w:val="21"/>
        </w:rPr>
        <w:fldChar w:fldCharType="begin"/>
      </w:r>
      <w:r>
        <w:rPr>
          <w:rFonts w:ascii="宋体" w:hAnsi="宋体"/>
          <w:szCs w:val="21"/>
        </w:rPr>
        <w:instrText xml:space="preserve"> PAGEREF _Toc108513933 \h </w:instrText>
      </w:r>
      <w:r>
        <w:rPr>
          <w:rFonts w:ascii="宋体" w:hAnsi="宋体"/>
          <w:szCs w:val="21"/>
        </w:rPr>
        <w:fldChar w:fldCharType="separate"/>
      </w:r>
      <w:r>
        <w:rPr>
          <w:rFonts w:ascii="宋体" w:hAnsi="宋体"/>
          <w:szCs w:val="21"/>
        </w:rPr>
        <w:t>206</w:t>
      </w:r>
      <w:r>
        <w:rPr>
          <w:rFonts w:ascii="宋体" w:hAnsi="宋体"/>
          <w:szCs w:val="21"/>
        </w:rPr>
        <w:fldChar w:fldCharType="end"/>
      </w:r>
    </w:p>
    <w:p w14:paraId="7D2861F0">
      <w:pPr>
        <w:pStyle w:val="8"/>
        <w:tabs>
          <w:tab w:val="right" w:leader="dot" w:pos="8296"/>
        </w:tabs>
        <w:rPr>
          <w:rFonts w:ascii="宋体" w:hAnsi="宋体"/>
          <w:szCs w:val="21"/>
        </w:rPr>
      </w:pPr>
      <w:r>
        <w:rPr>
          <w:rFonts w:hint="eastAsia" w:ascii="宋体" w:hAnsi="宋体"/>
          <w:szCs w:val="21"/>
        </w:rPr>
        <w:t>附件三：履约担保格式</w:t>
      </w:r>
      <w:r>
        <w:rPr>
          <w:rFonts w:ascii="宋体" w:hAnsi="宋体"/>
          <w:szCs w:val="21"/>
        </w:rPr>
        <w:tab/>
      </w:r>
      <w:r>
        <w:rPr>
          <w:rFonts w:ascii="宋体" w:hAnsi="宋体"/>
          <w:szCs w:val="21"/>
        </w:rPr>
        <w:fldChar w:fldCharType="begin"/>
      </w:r>
      <w:r>
        <w:rPr>
          <w:rFonts w:ascii="宋体" w:hAnsi="宋体"/>
          <w:szCs w:val="21"/>
        </w:rPr>
        <w:instrText xml:space="preserve"> PAGEREF _Toc108513934 \h </w:instrText>
      </w:r>
      <w:r>
        <w:rPr>
          <w:rFonts w:ascii="宋体" w:hAnsi="宋体"/>
          <w:szCs w:val="21"/>
        </w:rPr>
        <w:fldChar w:fldCharType="separate"/>
      </w:r>
      <w:r>
        <w:rPr>
          <w:rFonts w:ascii="宋体" w:hAnsi="宋体"/>
          <w:szCs w:val="21"/>
        </w:rPr>
        <w:t>207</w:t>
      </w:r>
      <w:r>
        <w:rPr>
          <w:rFonts w:ascii="宋体" w:hAnsi="宋体"/>
          <w:szCs w:val="21"/>
        </w:rPr>
        <w:fldChar w:fldCharType="end"/>
      </w:r>
    </w:p>
    <w:p w14:paraId="17307B38">
      <w:pPr>
        <w:pStyle w:val="8"/>
        <w:tabs>
          <w:tab w:val="right" w:leader="dot" w:pos="8296"/>
        </w:tabs>
        <w:rPr>
          <w:rFonts w:ascii="宋体" w:hAnsi="宋体"/>
          <w:szCs w:val="21"/>
        </w:rPr>
      </w:pPr>
      <w:r>
        <w:rPr>
          <w:rFonts w:hint="eastAsia" w:ascii="宋体" w:hAnsi="宋体"/>
          <w:szCs w:val="21"/>
        </w:rPr>
        <w:t>附件四：支付担保格式</w:t>
      </w:r>
      <w:r>
        <w:rPr>
          <w:rFonts w:ascii="宋体" w:hAnsi="宋体"/>
          <w:szCs w:val="21"/>
        </w:rPr>
        <w:tab/>
      </w:r>
      <w:r>
        <w:rPr>
          <w:rFonts w:ascii="宋体" w:hAnsi="宋体"/>
          <w:szCs w:val="21"/>
        </w:rPr>
        <w:fldChar w:fldCharType="begin"/>
      </w:r>
      <w:r>
        <w:rPr>
          <w:rFonts w:ascii="宋体" w:hAnsi="宋体"/>
          <w:szCs w:val="21"/>
        </w:rPr>
        <w:instrText xml:space="preserve"> PAGEREF _Toc108513935 \h </w:instrText>
      </w:r>
      <w:r>
        <w:rPr>
          <w:rFonts w:ascii="宋体" w:hAnsi="宋体"/>
          <w:szCs w:val="21"/>
        </w:rPr>
        <w:fldChar w:fldCharType="separate"/>
      </w:r>
      <w:r>
        <w:rPr>
          <w:rFonts w:ascii="宋体" w:hAnsi="宋体"/>
          <w:szCs w:val="21"/>
        </w:rPr>
        <w:t>209</w:t>
      </w:r>
      <w:r>
        <w:rPr>
          <w:rFonts w:ascii="宋体" w:hAnsi="宋体"/>
          <w:szCs w:val="21"/>
        </w:rPr>
        <w:fldChar w:fldCharType="end"/>
      </w:r>
    </w:p>
    <w:p w14:paraId="512C6682">
      <w:pPr>
        <w:pStyle w:val="8"/>
        <w:tabs>
          <w:tab w:val="right" w:leader="dot" w:pos="8296"/>
        </w:tabs>
        <w:rPr>
          <w:rFonts w:ascii="宋体" w:hAnsi="宋体"/>
          <w:szCs w:val="21"/>
        </w:rPr>
      </w:pPr>
      <w:r>
        <w:rPr>
          <w:rFonts w:hint="eastAsia" w:ascii="宋体" w:hAnsi="宋体"/>
          <w:szCs w:val="21"/>
        </w:rPr>
        <w:t>附件五：质量保修书格式</w:t>
      </w:r>
      <w:r>
        <w:rPr>
          <w:rFonts w:ascii="宋体" w:hAnsi="宋体"/>
          <w:szCs w:val="21"/>
        </w:rPr>
        <w:tab/>
      </w:r>
      <w:r>
        <w:rPr>
          <w:rFonts w:ascii="宋体" w:hAnsi="宋体"/>
          <w:szCs w:val="21"/>
        </w:rPr>
        <w:fldChar w:fldCharType="begin"/>
      </w:r>
      <w:r>
        <w:rPr>
          <w:rFonts w:ascii="宋体" w:hAnsi="宋体"/>
          <w:szCs w:val="21"/>
        </w:rPr>
        <w:instrText xml:space="preserve"> PAGEREF _Toc108513936 \h </w:instrText>
      </w:r>
      <w:r>
        <w:rPr>
          <w:rFonts w:ascii="宋体" w:hAnsi="宋体"/>
          <w:szCs w:val="21"/>
        </w:rPr>
        <w:fldChar w:fldCharType="separate"/>
      </w:r>
      <w:r>
        <w:rPr>
          <w:rFonts w:ascii="宋体" w:hAnsi="宋体"/>
          <w:szCs w:val="21"/>
        </w:rPr>
        <w:t>211</w:t>
      </w:r>
      <w:r>
        <w:rPr>
          <w:rFonts w:ascii="宋体" w:hAnsi="宋体"/>
          <w:szCs w:val="21"/>
        </w:rPr>
        <w:fldChar w:fldCharType="end"/>
      </w:r>
    </w:p>
    <w:p w14:paraId="0AE80B47">
      <w:pPr>
        <w:pStyle w:val="8"/>
        <w:tabs>
          <w:tab w:val="right" w:leader="dot" w:pos="8296"/>
        </w:tabs>
        <w:rPr>
          <w:rFonts w:ascii="宋体" w:hAnsi="宋体"/>
          <w:szCs w:val="21"/>
        </w:rPr>
      </w:pPr>
      <w:r>
        <w:rPr>
          <w:rFonts w:hint="eastAsia" w:ascii="宋体" w:hAnsi="宋体"/>
          <w:szCs w:val="21"/>
        </w:rPr>
        <w:t>附件六：廉政责任书格式</w:t>
      </w:r>
      <w:r>
        <w:rPr>
          <w:rFonts w:ascii="宋体" w:hAnsi="宋体"/>
          <w:szCs w:val="21"/>
        </w:rPr>
        <w:tab/>
      </w:r>
      <w:r>
        <w:rPr>
          <w:rFonts w:ascii="宋体" w:hAnsi="宋体"/>
          <w:szCs w:val="21"/>
        </w:rPr>
        <w:fldChar w:fldCharType="begin"/>
      </w:r>
      <w:r>
        <w:rPr>
          <w:rFonts w:ascii="宋体" w:hAnsi="宋体"/>
          <w:szCs w:val="21"/>
        </w:rPr>
        <w:instrText xml:space="preserve"> PAGEREF _Toc108513937 \h </w:instrText>
      </w:r>
      <w:r>
        <w:rPr>
          <w:rFonts w:ascii="宋体" w:hAnsi="宋体"/>
          <w:szCs w:val="21"/>
        </w:rPr>
        <w:fldChar w:fldCharType="separate"/>
      </w:r>
      <w:r>
        <w:rPr>
          <w:rFonts w:ascii="宋体" w:hAnsi="宋体"/>
          <w:szCs w:val="21"/>
        </w:rPr>
        <w:t>213</w:t>
      </w:r>
      <w:r>
        <w:rPr>
          <w:rFonts w:ascii="宋体" w:hAnsi="宋体"/>
          <w:szCs w:val="21"/>
        </w:rPr>
        <w:fldChar w:fldCharType="end"/>
      </w:r>
    </w:p>
    <w:p w14:paraId="12E0FAC1">
      <w:pPr>
        <w:pStyle w:val="12"/>
        <w:rPr>
          <w:rFonts w:ascii="宋体" w:hAnsi="宋体" w:eastAsia="宋体"/>
          <w:b w:val="0"/>
          <w:sz w:val="21"/>
          <w:szCs w:val="21"/>
        </w:rPr>
      </w:pPr>
      <w:r>
        <w:rPr>
          <w:rFonts w:hint="eastAsia" w:ascii="宋体" w:hAnsi="宋体" w:eastAsia="宋体"/>
          <w:b w:val="0"/>
          <w:sz w:val="21"/>
          <w:szCs w:val="21"/>
        </w:rPr>
        <w:t>第四章</w:t>
      </w:r>
      <w:r>
        <w:rPr>
          <w:rFonts w:ascii="宋体" w:hAnsi="宋体" w:eastAsia="宋体"/>
          <w:b w:val="0"/>
          <w:sz w:val="21"/>
          <w:szCs w:val="21"/>
        </w:rPr>
        <w:t xml:space="preserve">  </w:t>
      </w:r>
      <w:r>
        <w:rPr>
          <w:rFonts w:hint="eastAsia" w:ascii="宋体" w:hAnsi="宋体" w:eastAsia="宋体"/>
          <w:b w:val="0"/>
          <w:sz w:val="21"/>
          <w:szCs w:val="21"/>
        </w:rPr>
        <w:t>合同条款及格式</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_Toc108513938 \h </w:instrText>
      </w:r>
      <w:r>
        <w:rPr>
          <w:rFonts w:ascii="宋体" w:hAnsi="宋体" w:eastAsia="宋体"/>
          <w:b w:val="0"/>
          <w:sz w:val="21"/>
          <w:szCs w:val="21"/>
        </w:rPr>
        <w:fldChar w:fldCharType="separate"/>
      </w:r>
      <w:r>
        <w:rPr>
          <w:rFonts w:ascii="宋体" w:hAnsi="宋体" w:eastAsia="宋体"/>
          <w:b w:val="0"/>
          <w:sz w:val="21"/>
          <w:szCs w:val="21"/>
        </w:rPr>
        <w:t>215</w:t>
      </w:r>
      <w:r>
        <w:rPr>
          <w:rFonts w:ascii="宋体" w:hAnsi="宋体" w:eastAsia="宋体"/>
          <w:b w:val="0"/>
          <w:sz w:val="21"/>
          <w:szCs w:val="21"/>
        </w:rPr>
        <w:fldChar w:fldCharType="end"/>
      </w:r>
    </w:p>
    <w:p w14:paraId="61D51DB8">
      <w:pPr>
        <w:pStyle w:val="13"/>
        <w:tabs>
          <w:tab w:val="right" w:leader="dot" w:pos="8296"/>
        </w:tabs>
        <w:rPr>
          <w:rFonts w:ascii="宋体" w:hAnsi="宋体" w:eastAsia="宋体"/>
          <w:sz w:val="21"/>
          <w:szCs w:val="21"/>
        </w:rPr>
      </w:pPr>
      <w:r>
        <w:rPr>
          <w:rFonts w:hint="eastAsia" w:ascii="宋体" w:hAnsi="宋体" w:eastAsia="宋体"/>
          <w:sz w:val="21"/>
          <w:szCs w:val="21"/>
        </w:rPr>
        <w:t>第一部分</w:t>
      </w:r>
      <w:r>
        <w:rPr>
          <w:rFonts w:ascii="宋体" w:hAnsi="宋体" w:eastAsia="宋体"/>
          <w:sz w:val="21"/>
          <w:szCs w:val="21"/>
        </w:rPr>
        <w:t xml:space="preserve"> </w:t>
      </w:r>
      <w:r>
        <w:rPr>
          <w:rFonts w:hint="eastAsia" w:ascii="宋体" w:hAnsi="宋体" w:eastAsia="宋体"/>
          <w:sz w:val="21"/>
          <w:szCs w:val="21"/>
        </w:rPr>
        <w:t>合同协议书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_Toc108513939 \h </w:instrText>
      </w:r>
      <w:r>
        <w:rPr>
          <w:rFonts w:ascii="宋体" w:hAnsi="宋体" w:eastAsia="宋体"/>
          <w:sz w:val="21"/>
          <w:szCs w:val="21"/>
        </w:rPr>
        <w:fldChar w:fldCharType="separate"/>
      </w:r>
      <w:r>
        <w:rPr>
          <w:rFonts w:ascii="宋体" w:hAnsi="宋体" w:eastAsia="宋体"/>
          <w:sz w:val="21"/>
          <w:szCs w:val="21"/>
        </w:rPr>
        <w:t>216</w:t>
      </w:r>
      <w:r>
        <w:rPr>
          <w:rFonts w:ascii="宋体" w:hAnsi="宋体" w:eastAsia="宋体"/>
          <w:sz w:val="21"/>
          <w:szCs w:val="21"/>
        </w:rPr>
        <w:fldChar w:fldCharType="end"/>
      </w:r>
    </w:p>
    <w:p w14:paraId="06EC2996">
      <w:pPr>
        <w:pStyle w:val="13"/>
        <w:tabs>
          <w:tab w:val="right" w:leader="dot" w:pos="8296"/>
        </w:tabs>
        <w:rPr>
          <w:rFonts w:ascii="宋体" w:hAnsi="宋体" w:eastAsia="宋体"/>
          <w:sz w:val="21"/>
          <w:szCs w:val="21"/>
        </w:rPr>
      </w:pPr>
      <w:r>
        <w:rPr>
          <w:rFonts w:hint="eastAsia" w:ascii="宋体" w:hAnsi="宋体" w:eastAsia="宋体"/>
          <w:sz w:val="21"/>
          <w:szCs w:val="21"/>
        </w:rPr>
        <w:t>第二部分</w:t>
      </w:r>
      <w:r>
        <w:rPr>
          <w:rFonts w:ascii="宋体" w:hAnsi="宋体" w:eastAsia="宋体"/>
          <w:sz w:val="21"/>
          <w:szCs w:val="21"/>
        </w:rPr>
        <w:t xml:space="preserve"> </w:t>
      </w:r>
      <w:r>
        <w:rPr>
          <w:rFonts w:hint="eastAsia" w:ascii="宋体" w:hAnsi="宋体" w:eastAsia="宋体"/>
          <w:sz w:val="21"/>
          <w:szCs w:val="21"/>
        </w:rPr>
        <w:t>通用合同条款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_Toc108513940 \h </w:instrText>
      </w:r>
      <w:r>
        <w:rPr>
          <w:rFonts w:ascii="宋体" w:hAnsi="宋体" w:eastAsia="宋体"/>
          <w:sz w:val="21"/>
          <w:szCs w:val="21"/>
        </w:rPr>
        <w:fldChar w:fldCharType="separate"/>
      </w:r>
      <w:r>
        <w:rPr>
          <w:rFonts w:ascii="宋体" w:hAnsi="宋体" w:eastAsia="宋体"/>
          <w:sz w:val="21"/>
          <w:szCs w:val="21"/>
        </w:rPr>
        <w:t>220</w:t>
      </w:r>
      <w:r>
        <w:rPr>
          <w:rFonts w:ascii="宋体" w:hAnsi="宋体" w:eastAsia="宋体"/>
          <w:sz w:val="21"/>
          <w:szCs w:val="21"/>
        </w:rPr>
        <w:fldChar w:fldCharType="end"/>
      </w:r>
    </w:p>
    <w:p w14:paraId="21B20913">
      <w:pPr>
        <w:pStyle w:val="13"/>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_Toc108513941 \h </w:instrText>
      </w:r>
      <w:r>
        <w:rPr>
          <w:rFonts w:ascii="宋体" w:hAnsi="宋体" w:eastAsia="宋体"/>
          <w:sz w:val="21"/>
          <w:szCs w:val="21"/>
        </w:rPr>
        <w:fldChar w:fldCharType="separate"/>
      </w:r>
      <w:r>
        <w:rPr>
          <w:rFonts w:ascii="宋体" w:hAnsi="宋体" w:eastAsia="宋体"/>
          <w:sz w:val="21"/>
          <w:szCs w:val="21"/>
        </w:rPr>
        <w:t>221</w:t>
      </w:r>
      <w:r>
        <w:rPr>
          <w:rFonts w:ascii="宋体" w:hAnsi="宋体" w:eastAsia="宋体"/>
          <w:sz w:val="21"/>
          <w:szCs w:val="21"/>
        </w:rPr>
        <w:fldChar w:fldCharType="end"/>
      </w:r>
    </w:p>
    <w:p w14:paraId="551B98B7">
      <w:pPr>
        <w:pStyle w:val="8"/>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词语定义与解释</w:t>
      </w:r>
      <w:r>
        <w:rPr>
          <w:rFonts w:ascii="宋体" w:hAnsi="宋体"/>
          <w:szCs w:val="21"/>
        </w:rPr>
        <w:tab/>
      </w:r>
      <w:r>
        <w:rPr>
          <w:rFonts w:ascii="宋体" w:hAnsi="宋体"/>
          <w:szCs w:val="21"/>
        </w:rPr>
        <w:fldChar w:fldCharType="begin"/>
      </w:r>
      <w:r>
        <w:rPr>
          <w:rFonts w:ascii="宋体" w:hAnsi="宋体"/>
          <w:szCs w:val="21"/>
        </w:rPr>
        <w:instrText xml:space="preserve"> PAGEREF _Toc108513942 \h </w:instrText>
      </w:r>
      <w:r>
        <w:rPr>
          <w:rFonts w:ascii="宋体" w:hAnsi="宋体"/>
          <w:szCs w:val="21"/>
        </w:rPr>
        <w:fldChar w:fldCharType="separate"/>
      </w:r>
      <w:r>
        <w:rPr>
          <w:rFonts w:ascii="宋体" w:hAnsi="宋体"/>
          <w:szCs w:val="21"/>
        </w:rPr>
        <w:t>221</w:t>
      </w:r>
      <w:r>
        <w:rPr>
          <w:rFonts w:ascii="宋体" w:hAnsi="宋体"/>
          <w:szCs w:val="21"/>
        </w:rPr>
        <w:fldChar w:fldCharType="end"/>
      </w:r>
    </w:p>
    <w:p w14:paraId="7C278481">
      <w:pPr>
        <w:pStyle w:val="8"/>
        <w:tabs>
          <w:tab w:val="right" w:leader="dot" w:pos="8296"/>
        </w:tabs>
        <w:rPr>
          <w:rFonts w:ascii="宋体" w:hAnsi="宋体"/>
          <w:szCs w:val="21"/>
        </w:rPr>
      </w:pPr>
      <w:r>
        <w:rPr>
          <w:rFonts w:ascii="宋体" w:hAnsi="宋体"/>
          <w:szCs w:val="21"/>
        </w:rPr>
        <w:t xml:space="preserve">1.2 </w:t>
      </w:r>
      <w:r>
        <w:rPr>
          <w:rFonts w:hint="eastAsia" w:ascii="宋体" w:hAnsi="宋体"/>
          <w:szCs w:val="21"/>
        </w:rPr>
        <w:t>语言文字</w:t>
      </w:r>
      <w:r>
        <w:rPr>
          <w:rFonts w:ascii="宋体" w:hAnsi="宋体"/>
          <w:szCs w:val="21"/>
        </w:rPr>
        <w:tab/>
      </w:r>
      <w:r>
        <w:rPr>
          <w:rFonts w:ascii="宋体" w:hAnsi="宋体"/>
          <w:szCs w:val="21"/>
        </w:rPr>
        <w:fldChar w:fldCharType="begin"/>
      </w:r>
      <w:r>
        <w:rPr>
          <w:rFonts w:ascii="宋体" w:hAnsi="宋体"/>
          <w:szCs w:val="21"/>
        </w:rPr>
        <w:instrText xml:space="preserve"> PAGEREF _Toc108513943 \h </w:instrText>
      </w:r>
      <w:r>
        <w:rPr>
          <w:rFonts w:ascii="宋体" w:hAnsi="宋体"/>
          <w:szCs w:val="21"/>
        </w:rPr>
        <w:fldChar w:fldCharType="separate"/>
      </w:r>
      <w:r>
        <w:rPr>
          <w:rFonts w:ascii="宋体" w:hAnsi="宋体"/>
          <w:szCs w:val="21"/>
        </w:rPr>
        <w:t>223</w:t>
      </w:r>
      <w:r>
        <w:rPr>
          <w:rFonts w:ascii="宋体" w:hAnsi="宋体"/>
          <w:szCs w:val="21"/>
        </w:rPr>
        <w:fldChar w:fldCharType="end"/>
      </w:r>
    </w:p>
    <w:p w14:paraId="17FAE62D">
      <w:pPr>
        <w:pStyle w:val="8"/>
        <w:tabs>
          <w:tab w:val="right" w:leader="dot" w:pos="8296"/>
        </w:tabs>
        <w:rPr>
          <w:rFonts w:ascii="宋体" w:hAnsi="宋体"/>
          <w:szCs w:val="21"/>
        </w:rPr>
      </w:pPr>
      <w:r>
        <w:rPr>
          <w:rFonts w:ascii="宋体" w:hAnsi="宋体"/>
          <w:szCs w:val="21"/>
        </w:rPr>
        <w:t xml:space="preserve">1.3 </w:t>
      </w:r>
      <w:r>
        <w:rPr>
          <w:rFonts w:hint="eastAsia" w:ascii="宋体" w:hAnsi="宋体"/>
          <w:szCs w:val="21"/>
        </w:rPr>
        <w:t>法律</w:t>
      </w:r>
      <w:r>
        <w:rPr>
          <w:rFonts w:ascii="宋体" w:hAnsi="宋体"/>
          <w:szCs w:val="21"/>
        </w:rPr>
        <w:tab/>
      </w:r>
      <w:r>
        <w:rPr>
          <w:rFonts w:ascii="宋体" w:hAnsi="宋体"/>
          <w:szCs w:val="21"/>
        </w:rPr>
        <w:fldChar w:fldCharType="begin"/>
      </w:r>
      <w:r>
        <w:rPr>
          <w:rFonts w:ascii="宋体" w:hAnsi="宋体"/>
          <w:szCs w:val="21"/>
        </w:rPr>
        <w:instrText xml:space="preserve"> PAGEREF _Toc108513944 \h </w:instrText>
      </w:r>
      <w:r>
        <w:rPr>
          <w:rFonts w:ascii="宋体" w:hAnsi="宋体"/>
          <w:szCs w:val="21"/>
        </w:rPr>
        <w:fldChar w:fldCharType="separate"/>
      </w:r>
      <w:r>
        <w:rPr>
          <w:rFonts w:ascii="宋体" w:hAnsi="宋体"/>
          <w:szCs w:val="21"/>
        </w:rPr>
        <w:t>223</w:t>
      </w:r>
      <w:r>
        <w:rPr>
          <w:rFonts w:ascii="宋体" w:hAnsi="宋体"/>
          <w:szCs w:val="21"/>
        </w:rPr>
        <w:fldChar w:fldCharType="end"/>
      </w:r>
    </w:p>
    <w:p w14:paraId="01DCE1AB">
      <w:pPr>
        <w:pStyle w:val="8"/>
        <w:tabs>
          <w:tab w:val="right" w:leader="dot" w:pos="8296"/>
        </w:tabs>
        <w:rPr>
          <w:rFonts w:ascii="宋体" w:hAnsi="宋体"/>
          <w:szCs w:val="21"/>
        </w:rPr>
      </w:pPr>
      <w:r>
        <w:rPr>
          <w:rFonts w:ascii="宋体" w:hAnsi="宋体"/>
          <w:szCs w:val="21"/>
        </w:rPr>
        <w:t xml:space="preserve">1.4  </w:t>
      </w:r>
      <w:r>
        <w:rPr>
          <w:rFonts w:hint="eastAsia" w:ascii="宋体" w:hAnsi="宋体"/>
          <w:szCs w:val="21"/>
        </w:rPr>
        <w:t>标准和规范</w:t>
      </w:r>
      <w:r>
        <w:rPr>
          <w:rFonts w:ascii="宋体" w:hAnsi="宋体"/>
          <w:szCs w:val="21"/>
        </w:rPr>
        <w:tab/>
      </w:r>
      <w:r>
        <w:rPr>
          <w:rFonts w:ascii="宋体" w:hAnsi="宋体"/>
          <w:szCs w:val="21"/>
        </w:rPr>
        <w:fldChar w:fldCharType="begin"/>
      </w:r>
      <w:r>
        <w:rPr>
          <w:rFonts w:ascii="宋体" w:hAnsi="宋体"/>
          <w:szCs w:val="21"/>
        </w:rPr>
        <w:instrText xml:space="preserve"> PAGEREF _Toc108513945 \h </w:instrText>
      </w:r>
      <w:r>
        <w:rPr>
          <w:rFonts w:ascii="宋体" w:hAnsi="宋体"/>
          <w:szCs w:val="21"/>
        </w:rPr>
        <w:fldChar w:fldCharType="separate"/>
      </w:r>
      <w:r>
        <w:rPr>
          <w:rFonts w:ascii="宋体" w:hAnsi="宋体"/>
          <w:szCs w:val="21"/>
        </w:rPr>
        <w:t>223</w:t>
      </w:r>
      <w:r>
        <w:rPr>
          <w:rFonts w:ascii="宋体" w:hAnsi="宋体"/>
          <w:szCs w:val="21"/>
        </w:rPr>
        <w:fldChar w:fldCharType="end"/>
      </w:r>
    </w:p>
    <w:p w14:paraId="03327FE5">
      <w:pPr>
        <w:pStyle w:val="8"/>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_Toc108513946 \h </w:instrText>
      </w:r>
      <w:r>
        <w:rPr>
          <w:rFonts w:ascii="宋体" w:hAnsi="宋体"/>
          <w:szCs w:val="21"/>
        </w:rPr>
        <w:fldChar w:fldCharType="separate"/>
      </w:r>
      <w:r>
        <w:rPr>
          <w:rFonts w:ascii="宋体" w:hAnsi="宋体"/>
          <w:szCs w:val="21"/>
        </w:rPr>
        <w:t>224</w:t>
      </w:r>
      <w:r>
        <w:rPr>
          <w:rFonts w:ascii="宋体" w:hAnsi="宋体"/>
          <w:szCs w:val="21"/>
        </w:rPr>
        <w:fldChar w:fldCharType="end"/>
      </w:r>
    </w:p>
    <w:p w14:paraId="477B0919">
      <w:pPr>
        <w:pStyle w:val="8"/>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_Toc108513947 \h </w:instrText>
      </w:r>
      <w:r>
        <w:rPr>
          <w:rFonts w:ascii="宋体" w:hAnsi="宋体"/>
          <w:szCs w:val="21"/>
        </w:rPr>
        <w:fldChar w:fldCharType="separate"/>
      </w:r>
      <w:r>
        <w:rPr>
          <w:rFonts w:ascii="宋体" w:hAnsi="宋体"/>
          <w:szCs w:val="21"/>
        </w:rPr>
        <w:t>224</w:t>
      </w:r>
      <w:r>
        <w:rPr>
          <w:rFonts w:ascii="宋体" w:hAnsi="宋体"/>
          <w:szCs w:val="21"/>
        </w:rPr>
        <w:fldChar w:fldCharType="end"/>
      </w:r>
    </w:p>
    <w:p w14:paraId="4E7C7F80">
      <w:pPr>
        <w:pStyle w:val="8"/>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_Toc108513948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1E1CA42F">
      <w:pPr>
        <w:pStyle w:val="8"/>
        <w:tabs>
          <w:tab w:val="right" w:leader="dot" w:pos="8296"/>
        </w:tabs>
        <w:rPr>
          <w:rFonts w:ascii="宋体" w:hAnsi="宋体"/>
          <w:szCs w:val="21"/>
        </w:rPr>
      </w:pPr>
      <w:r>
        <w:rPr>
          <w:rFonts w:ascii="宋体" w:hAnsi="宋体"/>
          <w:szCs w:val="21"/>
        </w:rPr>
        <w:t xml:space="preserve">1.8 </w:t>
      </w:r>
      <w:r>
        <w:rPr>
          <w:rFonts w:hint="eastAsia" w:ascii="宋体" w:hAnsi="宋体"/>
          <w:szCs w:val="21"/>
        </w:rPr>
        <w:t>严禁贿赂</w:t>
      </w:r>
      <w:r>
        <w:rPr>
          <w:rFonts w:ascii="宋体" w:hAnsi="宋体"/>
          <w:szCs w:val="21"/>
        </w:rPr>
        <w:tab/>
      </w:r>
      <w:r>
        <w:rPr>
          <w:rFonts w:ascii="宋体" w:hAnsi="宋体"/>
          <w:szCs w:val="21"/>
        </w:rPr>
        <w:fldChar w:fldCharType="begin"/>
      </w:r>
      <w:r>
        <w:rPr>
          <w:rFonts w:ascii="宋体" w:hAnsi="宋体"/>
          <w:szCs w:val="21"/>
        </w:rPr>
        <w:instrText xml:space="preserve"> PAGEREF _Toc108513949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5C1C3EF2">
      <w:pPr>
        <w:pStyle w:val="8"/>
        <w:tabs>
          <w:tab w:val="right" w:leader="dot" w:pos="8296"/>
        </w:tabs>
        <w:rPr>
          <w:rFonts w:ascii="宋体" w:hAnsi="宋体"/>
          <w:szCs w:val="21"/>
        </w:rPr>
      </w:pPr>
      <w:r>
        <w:rPr>
          <w:rFonts w:ascii="宋体" w:hAnsi="宋体"/>
          <w:szCs w:val="21"/>
        </w:rPr>
        <w:t xml:space="preserve">1.9 </w:t>
      </w:r>
      <w:r>
        <w:rPr>
          <w:rFonts w:hint="eastAsia" w:ascii="宋体" w:hAnsi="宋体"/>
          <w:szCs w:val="21"/>
        </w:rPr>
        <w:t>化石、文物</w:t>
      </w:r>
      <w:r>
        <w:rPr>
          <w:rFonts w:ascii="宋体" w:hAnsi="宋体"/>
          <w:szCs w:val="21"/>
        </w:rPr>
        <w:tab/>
      </w:r>
      <w:r>
        <w:rPr>
          <w:rFonts w:ascii="宋体" w:hAnsi="宋体"/>
          <w:szCs w:val="21"/>
        </w:rPr>
        <w:fldChar w:fldCharType="begin"/>
      </w:r>
      <w:r>
        <w:rPr>
          <w:rFonts w:ascii="宋体" w:hAnsi="宋体"/>
          <w:szCs w:val="21"/>
        </w:rPr>
        <w:instrText xml:space="preserve"> PAGEREF _Toc108513950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1EE4FC56">
      <w:pPr>
        <w:pStyle w:val="8"/>
        <w:tabs>
          <w:tab w:val="right" w:leader="dot" w:pos="8296"/>
        </w:tabs>
        <w:rPr>
          <w:rFonts w:ascii="宋体" w:hAnsi="宋体"/>
          <w:szCs w:val="21"/>
        </w:rPr>
      </w:pPr>
      <w:r>
        <w:rPr>
          <w:rFonts w:ascii="宋体" w:hAnsi="宋体"/>
          <w:szCs w:val="21"/>
        </w:rPr>
        <w:t xml:space="preserve">1.10 </w:t>
      </w:r>
      <w:r>
        <w:rPr>
          <w:rFonts w:hint="eastAsia" w:ascii="宋体" w:hAnsi="宋体"/>
          <w:szCs w:val="21"/>
        </w:rPr>
        <w:t>交通运输</w:t>
      </w:r>
      <w:r>
        <w:rPr>
          <w:rFonts w:ascii="宋体" w:hAnsi="宋体"/>
          <w:szCs w:val="21"/>
        </w:rPr>
        <w:tab/>
      </w:r>
      <w:r>
        <w:rPr>
          <w:rFonts w:ascii="宋体" w:hAnsi="宋体"/>
          <w:szCs w:val="21"/>
        </w:rPr>
        <w:fldChar w:fldCharType="begin"/>
      </w:r>
      <w:r>
        <w:rPr>
          <w:rFonts w:ascii="宋体" w:hAnsi="宋体"/>
          <w:szCs w:val="21"/>
        </w:rPr>
        <w:instrText xml:space="preserve"> PAGEREF _Toc108513951 \h </w:instrText>
      </w:r>
      <w:r>
        <w:rPr>
          <w:rFonts w:ascii="宋体" w:hAnsi="宋体"/>
          <w:szCs w:val="21"/>
        </w:rPr>
        <w:fldChar w:fldCharType="separate"/>
      </w:r>
      <w:r>
        <w:rPr>
          <w:rFonts w:ascii="宋体" w:hAnsi="宋体"/>
          <w:szCs w:val="21"/>
        </w:rPr>
        <w:t>225</w:t>
      </w:r>
      <w:r>
        <w:rPr>
          <w:rFonts w:ascii="宋体" w:hAnsi="宋体"/>
          <w:szCs w:val="21"/>
        </w:rPr>
        <w:fldChar w:fldCharType="end"/>
      </w:r>
    </w:p>
    <w:p w14:paraId="724F42EF">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知识产权</w:t>
      </w:r>
      <w:r>
        <w:rPr>
          <w:rFonts w:ascii="宋体" w:hAnsi="宋体"/>
          <w:szCs w:val="21"/>
        </w:rPr>
        <w:tab/>
      </w:r>
      <w:r>
        <w:rPr>
          <w:rFonts w:ascii="宋体" w:hAnsi="宋体"/>
          <w:szCs w:val="21"/>
        </w:rPr>
        <w:fldChar w:fldCharType="begin"/>
      </w:r>
      <w:r>
        <w:rPr>
          <w:rFonts w:ascii="宋体" w:hAnsi="宋体"/>
          <w:szCs w:val="21"/>
        </w:rPr>
        <w:instrText xml:space="preserve"> PAGEREF _Toc108513952 \h </w:instrText>
      </w:r>
      <w:r>
        <w:rPr>
          <w:rFonts w:ascii="宋体" w:hAnsi="宋体"/>
          <w:szCs w:val="21"/>
        </w:rPr>
        <w:fldChar w:fldCharType="separate"/>
      </w:r>
      <w:r>
        <w:rPr>
          <w:rFonts w:ascii="宋体" w:hAnsi="宋体"/>
          <w:szCs w:val="21"/>
        </w:rPr>
        <w:t>226</w:t>
      </w:r>
      <w:r>
        <w:rPr>
          <w:rFonts w:ascii="宋体" w:hAnsi="宋体"/>
          <w:szCs w:val="21"/>
        </w:rPr>
        <w:fldChar w:fldCharType="end"/>
      </w:r>
    </w:p>
    <w:p w14:paraId="2420661B">
      <w:pPr>
        <w:pStyle w:val="8"/>
        <w:tabs>
          <w:tab w:val="right" w:leader="dot" w:pos="8296"/>
        </w:tabs>
        <w:rPr>
          <w:rFonts w:ascii="宋体" w:hAnsi="宋体"/>
          <w:szCs w:val="21"/>
        </w:rPr>
      </w:pPr>
      <w:r>
        <w:rPr>
          <w:rFonts w:ascii="宋体" w:hAnsi="宋体"/>
          <w:szCs w:val="21"/>
        </w:rPr>
        <w:t xml:space="preserve">1.12 </w:t>
      </w:r>
      <w:r>
        <w:rPr>
          <w:rFonts w:hint="eastAsia" w:ascii="宋体" w:hAnsi="宋体"/>
          <w:szCs w:val="21"/>
        </w:rPr>
        <w:t>保密</w:t>
      </w:r>
      <w:r>
        <w:rPr>
          <w:rFonts w:ascii="宋体" w:hAnsi="宋体"/>
          <w:szCs w:val="21"/>
        </w:rPr>
        <w:tab/>
      </w:r>
      <w:r>
        <w:rPr>
          <w:rFonts w:ascii="宋体" w:hAnsi="宋体"/>
          <w:szCs w:val="21"/>
        </w:rPr>
        <w:fldChar w:fldCharType="begin"/>
      </w:r>
      <w:r>
        <w:rPr>
          <w:rFonts w:ascii="宋体" w:hAnsi="宋体"/>
          <w:szCs w:val="21"/>
        </w:rPr>
        <w:instrText xml:space="preserve"> PAGEREF _Toc108513953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7D93B79E">
      <w:pPr>
        <w:pStyle w:val="8"/>
        <w:tabs>
          <w:tab w:val="right" w:leader="dot" w:pos="8296"/>
        </w:tabs>
        <w:rPr>
          <w:rFonts w:ascii="宋体" w:hAnsi="宋体"/>
          <w:szCs w:val="21"/>
        </w:rPr>
      </w:pPr>
      <w:r>
        <w:rPr>
          <w:rFonts w:ascii="宋体" w:hAnsi="宋体"/>
          <w:szCs w:val="21"/>
        </w:rPr>
        <w:t xml:space="preserve">1.13 </w:t>
      </w:r>
      <w:r>
        <w:rPr>
          <w:rFonts w:hint="eastAsia" w:ascii="宋体" w:hAnsi="宋体"/>
          <w:szCs w:val="21"/>
        </w:rPr>
        <w:t>工程量清单错误的修正</w:t>
      </w:r>
      <w:r>
        <w:rPr>
          <w:rFonts w:ascii="宋体" w:hAnsi="宋体"/>
          <w:szCs w:val="21"/>
        </w:rPr>
        <w:tab/>
      </w:r>
      <w:r>
        <w:rPr>
          <w:rFonts w:ascii="宋体" w:hAnsi="宋体"/>
          <w:szCs w:val="21"/>
        </w:rPr>
        <w:fldChar w:fldCharType="begin"/>
      </w:r>
      <w:r>
        <w:rPr>
          <w:rFonts w:ascii="宋体" w:hAnsi="宋体"/>
          <w:szCs w:val="21"/>
        </w:rPr>
        <w:instrText xml:space="preserve"> PAGEREF _Toc108513954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427FD272">
      <w:pPr>
        <w:pStyle w:val="13"/>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发包人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_Toc108513955 \h </w:instrText>
      </w:r>
      <w:r>
        <w:rPr>
          <w:rFonts w:ascii="宋体" w:hAnsi="宋体" w:eastAsia="宋体"/>
          <w:sz w:val="21"/>
          <w:szCs w:val="21"/>
        </w:rPr>
        <w:fldChar w:fldCharType="separate"/>
      </w:r>
      <w:r>
        <w:rPr>
          <w:rFonts w:ascii="宋体" w:hAnsi="宋体" w:eastAsia="宋体"/>
          <w:sz w:val="21"/>
          <w:szCs w:val="21"/>
        </w:rPr>
        <w:t>227</w:t>
      </w:r>
      <w:r>
        <w:rPr>
          <w:rFonts w:ascii="宋体" w:hAnsi="宋体" w:eastAsia="宋体"/>
          <w:sz w:val="21"/>
          <w:szCs w:val="21"/>
        </w:rPr>
        <w:fldChar w:fldCharType="end"/>
      </w:r>
    </w:p>
    <w:p w14:paraId="65150DE0">
      <w:pPr>
        <w:pStyle w:val="8"/>
        <w:tabs>
          <w:tab w:val="right" w:leader="dot" w:pos="8296"/>
        </w:tabs>
        <w:rPr>
          <w:rFonts w:ascii="宋体" w:hAnsi="宋体"/>
          <w:szCs w:val="21"/>
        </w:rPr>
      </w:pPr>
      <w:r>
        <w:rPr>
          <w:rFonts w:ascii="宋体" w:hAnsi="宋体"/>
          <w:szCs w:val="21"/>
        </w:rPr>
        <w:t xml:space="preserve">2.1 </w:t>
      </w:r>
      <w:r>
        <w:rPr>
          <w:rFonts w:hint="eastAsia" w:ascii="宋体" w:hAnsi="宋体"/>
          <w:szCs w:val="21"/>
        </w:rPr>
        <w:t>许可或批准</w:t>
      </w:r>
      <w:r>
        <w:rPr>
          <w:rFonts w:ascii="宋体" w:hAnsi="宋体"/>
          <w:szCs w:val="21"/>
        </w:rPr>
        <w:tab/>
      </w:r>
      <w:r>
        <w:rPr>
          <w:rFonts w:ascii="宋体" w:hAnsi="宋体"/>
          <w:szCs w:val="21"/>
        </w:rPr>
        <w:fldChar w:fldCharType="begin"/>
      </w:r>
      <w:r>
        <w:rPr>
          <w:rFonts w:ascii="宋体" w:hAnsi="宋体"/>
          <w:szCs w:val="21"/>
        </w:rPr>
        <w:instrText xml:space="preserve"> PAGEREF _Toc108513956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6D62D65A">
      <w:pPr>
        <w:pStyle w:val="8"/>
        <w:tabs>
          <w:tab w:val="right" w:leader="dot" w:pos="8296"/>
        </w:tabs>
        <w:rPr>
          <w:rFonts w:ascii="宋体" w:hAnsi="宋体"/>
          <w:szCs w:val="21"/>
        </w:rPr>
      </w:pPr>
      <w:r>
        <w:rPr>
          <w:rFonts w:ascii="宋体" w:hAnsi="宋体"/>
          <w:szCs w:val="21"/>
        </w:rPr>
        <w:t xml:space="preserve">2.2 </w:t>
      </w:r>
      <w:r>
        <w:rPr>
          <w:rFonts w:hint="eastAsia" w:ascii="宋体" w:hAnsi="宋体"/>
          <w:szCs w:val="21"/>
        </w:rPr>
        <w:t>发包人代表</w:t>
      </w:r>
      <w:r>
        <w:rPr>
          <w:rFonts w:ascii="宋体" w:hAnsi="宋体"/>
          <w:szCs w:val="21"/>
        </w:rPr>
        <w:tab/>
      </w:r>
      <w:r>
        <w:rPr>
          <w:rFonts w:ascii="宋体" w:hAnsi="宋体"/>
          <w:szCs w:val="21"/>
        </w:rPr>
        <w:fldChar w:fldCharType="begin"/>
      </w:r>
      <w:r>
        <w:rPr>
          <w:rFonts w:ascii="宋体" w:hAnsi="宋体"/>
          <w:szCs w:val="21"/>
        </w:rPr>
        <w:instrText xml:space="preserve"> PAGEREF _Toc108513957 \h </w:instrText>
      </w:r>
      <w:r>
        <w:rPr>
          <w:rFonts w:ascii="宋体" w:hAnsi="宋体"/>
          <w:szCs w:val="21"/>
        </w:rPr>
        <w:fldChar w:fldCharType="separate"/>
      </w:r>
      <w:r>
        <w:rPr>
          <w:rFonts w:ascii="宋体" w:hAnsi="宋体"/>
          <w:szCs w:val="21"/>
        </w:rPr>
        <w:t>227</w:t>
      </w:r>
      <w:r>
        <w:rPr>
          <w:rFonts w:ascii="宋体" w:hAnsi="宋体"/>
          <w:szCs w:val="21"/>
        </w:rPr>
        <w:fldChar w:fldCharType="end"/>
      </w:r>
    </w:p>
    <w:p w14:paraId="6E2959FC">
      <w:pPr>
        <w:pStyle w:val="8"/>
        <w:tabs>
          <w:tab w:val="right" w:leader="dot" w:pos="8296"/>
        </w:tabs>
        <w:rPr>
          <w:rFonts w:ascii="宋体" w:hAnsi="宋体"/>
          <w:szCs w:val="21"/>
        </w:rPr>
      </w:pPr>
      <w:r>
        <w:rPr>
          <w:rFonts w:ascii="宋体" w:hAnsi="宋体"/>
          <w:szCs w:val="21"/>
        </w:rPr>
        <w:t xml:space="preserve">2.3 </w:t>
      </w:r>
      <w:r>
        <w:rPr>
          <w:rFonts w:hint="eastAsia" w:ascii="宋体" w:hAnsi="宋体"/>
          <w:szCs w:val="21"/>
        </w:rPr>
        <w:t>发包人人员</w:t>
      </w:r>
      <w:r>
        <w:rPr>
          <w:rFonts w:ascii="宋体" w:hAnsi="宋体"/>
          <w:szCs w:val="21"/>
        </w:rPr>
        <w:tab/>
      </w:r>
      <w:r>
        <w:rPr>
          <w:rFonts w:ascii="宋体" w:hAnsi="宋体"/>
          <w:szCs w:val="21"/>
        </w:rPr>
        <w:fldChar w:fldCharType="begin"/>
      </w:r>
      <w:r>
        <w:rPr>
          <w:rFonts w:ascii="宋体" w:hAnsi="宋体"/>
          <w:szCs w:val="21"/>
        </w:rPr>
        <w:instrText xml:space="preserve"> PAGEREF _Toc108513958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5A23EAEA">
      <w:pPr>
        <w:pStyle w:val="8"/>
        <w:tabs>
          <w:tab w:val="right" w:leader="dot" w:pos="8296"/>
        </w:tabs>
        <w:rPr>
          <w:rFonts w:ascii="宋体" w:hAnsi="宋体"/>
          <w:szCs w:val="21"/>
        </w:rPr>
      </w:pPr>
      <w:r>
        <w:rPr>
          <w:rFonts w:ascii="宋体" w:hAnsi="宋体"/>
          <w:szCs w:val="21"/>
        </w:rPr>
        <w:t xml:space="preserve">2.4 </w:t>
      </w:r>
      <w:r>
        <w:rPr>
          <w:rFonts w:hint="eastAsia" w:ascii="宋体" w:hAnsi="宋体"/>
          <w:szCs w:val="21"/>
        </w:rPr>
        <w:t>施工现场、施工条件和基础资料的提供</w:t>
      </w:r>
      <w:r>
        <w:rPr>
          <w:rFonts w:ascii="宋体" w:hAnsi="宋体"/>
          <w:szCs w:val="21"/>
        </w:rPr>
        <w:tab/>
      </w:r>
      <w:r>
        <w:rPr>
          <w:rFonts w:ascii="宋体" w:hAnsi="宋体"/>
          <w:szCs w:val="21"/>
        </w:rPr>
        <w:fldChar w:fldCharType="begin"/>
      </w:r>
      <w:r>
        <w:rPr>
          <w:rFonts w:ascii="宋体" w:hAnsi="宋体"/>
          <w:szCs w:val="21"/>
        </w:rPr>
        <w:instrText xml:space="preserve"> PAGEREF _Toc108513959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27697BD4">
      <w:pPr>
        <w:pStyle w:val="8"/>
        <w:tabs>
          <w:tab w:val="right" w:leader="dot" w:pos="8296"/>
        </w:tabs>
        <w:rPr>
          <w:rFonts w:ascii="宋体" w:hAnsi="宋体"/>
          <w:szCs w:val="21"/>
        </w:rPr>
      </w:pPr>
      <w:r>
        <w:rPr>
          <w:rFonts w:ascii="宋体" w:hAnsi="宋体"/>
          <w:szCs w:val="21"/>
        </w:rPr>
        <w:t xml:space="preserve">2.5 </w:t>
      </w:r>
      <w:r>
        <w:rPr>
          <w:rFonts w:hint="eastAsia" w:ascii="宋体" w:hAnsi="宋体"/>
          <w:szCs w:val="21"/>
        </w:rPr>
        <w:t>资金来源证明及支付担保</w:t>
      </w:r>
      <w:r>
        <w:rPr>
          <w:rFonts w:ascii="宋体" w:hAnsi="宋体"/>
          <w:szCs w:val="21"/>
        </w:rPr>
        <w:tab/>
      </w:r>
      <w:r>
        <w:rPr>
          <w:rFonts w:ascii="宋体" w:hAnsi="宋体"/>
          <w:szCs w:val="21"/>
        </w:rPr>
        <w:fldChar w:fldCharType="begin"/>
      </w:r>
      <w:r>
        <w:rPr>
          <w:rFonts w:ascii="宋体" w:hAnsi="宋体"/>
          <w:szCs w:val="21"/>
        </w:rPr>
        <w:instrText xml:space="preserve"> PAGEREF _Toc108513960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152725FE">
      <w:pPr>
        <w:pStyle w:val="8"/>
        <w:tabs>
          <w:tab w:val="right" w:leader="dot" w:pos="8296"/>
        </w:tabs>
        <w:rPr>
          <w:rFonts w:ascii="宋体" w:hAnsi="宋体"/>
          <w:szCs w:val="21"/>
        </w:rPr>
      </w:pPr>
      <w:r>
        <w:rPr>
          <w:rFonts w:ascii="宋体" w:hAnsi="宋体"/>
          <w:szCs w:val="21"/>
        </w:rPr>
        <w:t xml:space="preserve">2.6 </w:t>
      </w:r>
      <w:r>
        <w:rPr>
          <w:rFonts w:hint="eastAsia" w:ascii="宋体" w:hAnsi="宋体"/>
          <w:szCs w:val="21"/>
        </w:rPr>
        <w:t>支付合同价款</w:t>
      </w:r>
      <w:r>
        <w:rPr>
          <w:rFonts w:ascii="宋体" w:hAnsi="宋体"/>
          <w:szCs w:val="21"/>
        </w:rPr>
        <w:tab/>
      </w:r>
      <w:r>
        <w:rPr>
          <w:rFonts w:ascii="宋体" w:hAnsi="宋体"/>
          <w:szCs w:val="21"/>
        </w:rPr>
        <w:fldChar w:fldCharType="begin"/>
      </w:r>
      <w:r>
        <w:rPr>
          <w:rFonts w:ascii="宋体" w:hAnsi="宋体"/>
          <w:szCs w:val="21"/>
        </w:rPr>
        <w:instrText xml:space="preserve"> PAGEREF _Toc108513961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4F6A3CE1">
      <w:pPr>
        <w:pStyle w:val="8"/>
        <w:tabs>
          <w:tab w:val="right" w:leader="dot" w:pos="8296"/>
        </w:tabs>
        <w:rPr>
          <w:rFonts w:ascii="宋体" w:hAnsi="宋体"/>
          <w:szCs w:val="21"/>
        </w:rPr>
      </w:pPr>
      <w:r>
        <w:rPr>
          <w:rFonts w:ascii="宋体" w:hAnsi="宋体"/>
          <w:szCs w:val="21"/>
        </w:rPr>
        <w:t xml:space="preserve">2.7 </w:t>
      </w:r>
      <w:r>
        <w:rPr>
          <w:rFonts w:hint="eastAsia" w:ascii="宋体" w:hAnsi="宋体"/>
          <w:szCs w:val="21"/>
        </w:rPr>
        <w:t>组织竣工验收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_Toc108513962 \h </w:instrText>
      </w:r>
      <w:r>
        <w:rPr>
          <w:rFonts w:ascii="宋体" w:hAnsi="宋体"/>
          <w:szCs w:val="21"/>
        </w:rPr>
        <w:fldChar w:fldCharType="separate"/>
      </w:r>
      <w:r>
        <w:rPr>
          <w:rFonts w:ascii="宋体" w:hAnsi="宋体"/>
          <w:szCs w:val="21"/>
        </w:rPr>
        <w:t>228</w:t>
      </w:r>
      <w:r>
        <w:rPr>
          <w:rFonts w:ascii="宋体" w:hAnsi="宋体"/>
          <w:szCs w:val="21"/>
        </w:rPr>
        <w:fldChar w:fldCharType="end"/>
      </w:r>
    </w:p>
    <w:p w14:paraId="1148176C">
      <w:pPr>
        <w:pStyle w:val="8"/>
        <w:tabs>
          <w:tab w:val="right" w:leader="dot" w:pos="8296"/>
        </w:tabs>
        <w:rPr>
          <w:rFonts w:ascii="宋体" w:hAnsi="宋体"/>
          <w:szCs w:val="21"/>
        </w:rPr>
      </w:pPr>
      <w:r>
        <w:rPr>
          <w:rFonts w:ascii="宋体" w:hAnsi="宋体"/>
          <w:szCs w:val="21"/>
        </w:rPr>
        <w:t xml:space="preserve">2.8 </w:t>
      </w:r>
      <w:r>
        <w:rPr>
          <w:rFonts w:hint="eastAsia" w:ascii="宋体" w:hAnsi="宋体"/>
          <w:szCs w:val="21"/>
        </w:rPr>
        <w:t>现场统一管理协议</w:t>
      </w:r>
      <w:r>
        <w:rPr>
          <w:rFonts w:ascii="宋体" w:hAnsi="宋体"/>
          <w:szCs w:val="21"/>
        </w:rPr>
        <w:tab/>
      </w:r>
      <w:r>
        <w:rPr>
          <w:rFonts w:ascii="宋体" w:hAnsi="宋体"/>
          <w:szCs w:val="21"/>
        </w:rPr>
        <w:fldChar w:fldCharType="begin"/>
      </w:r>
      <w:r>
        <w:rPr>
          <w:rFonts w:ascii="宋体" w:hAnsi="宋体"/>
          <w:szCs w:val="21"/>
        </w:rPr>
        <w:instrText xml:space="preserve"> PAGEREF _Toc108513963 \h </w:instrText>
      </w:r>
      <w:r>
        <w:rPr>
          <w:rFonts w:ascii="宋体" w:hAnsi="宋体"/>
          <w:szCs w:val="21"/>
        </w:rPr>
        <w:fldChar w:fldCharType="separate"/>
      </w:r>
      <w:r>
        <w:rPr>
          <w:rFonts w:ascii="宋体" w:hAnsi="宋体"/>
          <w:szCs w:val="21"/>
        </w:rPr>
        <w:t>229</w:t>
      </w:r>
      <w:r>
        <w:rPr>
          <w:rFonts w:ascii="宋体" w:hAnsi="宋体"/>
          <w:szCs w:val="21"/>
        </w:rPr>
        <w:fldChar w:fldCharType="end"/>
      </w:r>
    </w:p>
    <w:p w14:paraId="47FF06D3">
      <w:pPr>
        <w:pStyle w:val="13"/>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_Toc108513964 \h </w:instrText>
      </w:r>
      <w:r>
        <w:rPr>
          <w:rFonts w:ascii="宋体" w:hAnsi="宋体" w:eastAsia="宋体"/>
          <w:sz w:val="21"/>
          <w:szCs w:val="21"/>
        </w:rPr>
        <w:fldChar w:fldCharType="separate"/>
      </w:r>
      <w:r>
        <w:rPr>
          <w:rFonts w:ascii="宋体" w:hAnsi="宋体" w:eastAsia="宋体"/>
          <w:sz w:val="21"/>
          <w:szCs w:val="21"/>
        </w:rPr>
        <w:t>229</w:t>
      </w:r>
      <w:r>
        <w:rPr>
          <w:rFonts w:ascii="宋体" w:hAnsi="宋体" w:eastAsia="宋体"/>
          <w:sz w:val="21"/>
          <w:szCs w:val="21"/>
        </w:rPr>
        <w:fldChar w:fldCharType="end"/>
      </w:r>
    </w:p>
    <w:p w14:paraId="298F5392">
      <w:pPr>
        <w:pStyle w:val="8"/>
        <w:tabs>
          <w:tab w:val="right" w:leader="dot" w:pos="8296"/>
        </w:tabs>
        <w:rPr>
          <w:rFonts w:ascii="宋体" w:hAnsi="宋体"/>
          <w:szCs w:val="21"/>
        </w:rPr>
      </w:pPr>
      <w:r>
        <w:rPr>
          <w:rFonts w:ascii="宋体" w:hAnsi="宋体"/>
          <w:szCs w:val="21"/>
        </w:rPr>
        <w:t xml:space="preserve">3.1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_Toc108513965 \h </w:instrText>
      </w:r>
      <w:r>
        <w:rPr>
          <w:rFonts w:ascii="宋体" w:hAnsi="宋体"/>
          <w:szCs w:val="21"/>
        </w:rPr>
        <w:fldChar w:fldCharType="separate"/>
      </w:r>
      <w:r>
        <w:rPr>
          <w:rFonts w:ascii="宋体" w:hAnsi="宋体"/>
          <w:szCs w:val="21"/>
        </w:rPr>
        <w:t>229</w:t>
      </w:r>
      <w:r>
        <w:rPr>
          <w:rFonts w:ascii="宋体" w:hAnsi="宋体"/>
          <w:szCs w:val="21"/>
        </w:rPr>
        <w:fldChar w:fldCharType="end"/>
      </w:r>
    </w:p>
    <w:p w14:paraId="5201C9D5">
      <w:pPr>
        <w:pStyle w:val="8"/>
        <w:tabs>
          <w:tab w:val="right" w:leader="dot" w:pos="8296"/>
        </w:tabs>
        <w:rPr>
          <w:rFonts w:ascii="宋体" w:hAnsi="宋体"/>
          <w:szCs w:val="21"/>
        </w:rPr>
      </w:pPr>
      <w:r>
        <w:rPr>
          <w:rFonts w:ascii="宋体" w:hAnsi="宋体"/>
          <w:szCs w:val="21"/>
        </w:rPr>
        <w:t xml:space="preserve">3.2 </w:t>
      </w:r>
      <w:r>
        <w:rPr>
          <w:rFonts w:hint="eastAsia" w:ascii="宋体" w:hAnsi="宋体"/>
          <w:szCs w:val="21"/>
        </w:rPr>
        <w:t>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_Toc108513966 \h </w:instrText>
      </w:r>
      <w:r>
        <w:rPr>
          <w:rFonts w:ascii="宋体" w:hAnsi="宋体"/>
          <w:szCs w:val="21"/>
        </w:rPr>
        <w:fldChar w:fldCharType="separate"/>
      </w:r>
      <w:r>
        <w:rPr>
          <w:rFonts w:ascii="宋体" w:hAnsi="宋体"/>
          <w:szCs w:val="21"/>
        </w:rPr>
        <w:t>229</w:t>
      </w:r>
      <w:r>
        <w:rPr>
          <w:rFonts w:ascii="宋体" w:hAnsi="宋体"/>
          <w:szCs w:val="21"/>
        </w:rPr>
        <w:fldChar w:fldCharType="end"/>
      </w:r>
    </w:p>
    <w:p w14:paraId="0E78CD95">
      <w:pPr>
        <w:pStyle w:val="8"/>
        <w:tabs>
          <w:tab w:val="right" w:leader="dot" w:pos="8296"/>
        </w:tabs>
        <w:rPr>
          <w:rFonts w:ascii="宋体" w:hAnsi="宋体"/>
          <w:szCs w:val="21"/>
        </w:rPr>
      </w:pPr>
      <w:r>
        <w:rPr>
          <w:rFonts w:ascii="宋体" w:hAnsi="宋体"/>
          <w:szCs w:val="21"/>
        </w:rPr>
        <w:t xml:space="preserve">3.3 </w:t>
      </w:r>
      <w:r>
        <w:rPr>
          <w:rFonts w:hint="eastAsia" w:ascii="宋体" w:hAnsi="宋体"/>
          <w:szCs w:val="21"/>
        </w:rPr>
        <w:t>承包人人员</w:t>
      </w:r>
      <w:r>
        <w:rPr>
          <w:rFonts w:ascii="宋体" w:hAnsi="宋体"/>
          <w:szCs w:val="21"/>
        </w:rPr>
        <w:tab/>
      </w:r>
      <w:r>
        <w:rPr>
          <w:rFonts w:ascii="宋体" w:hAnsi="宋体"/>
          <w:szCs w:val="21"/>
        </w:rPr>
        <w:fldChar w:fldCharType="begin"/>
      </w:r>
      <w:r>
        <w:rPr>
          <w:rFonts w:ascii="宋体" w:hAnsi="宋体"/>
          <w:szCs w:val="21"/>
        </w:rPr>
        <w:instrText xml:space="preserve"> PAGEREF _Toc108513967 \h </w:instrText>
      </w:r>
      <w:r>
        <w:rPr>
          <w:rFonts w:ascii="宋体" w:hAnsi="宋体"/>
          <w:szCs w:val="21"/>
        </w:rPr>
        <w:fldChar w:fldCharType="separate"/>
      </w:r>
      <w:r>
        <w:rPr>
          <w:rFonts w:ascii="宋体" w:hAnsi="宋体"/>
          <w:szCs w:val="21"/>
        </w:rPr>
        <w:t>230</w:t>
      </w:r>
      <w:r>
        <w:rPr>
          <w:rFonts w:ascii="宋体" w:hAnsi="宋体"/>
          <w:szCs w:val="21"/>
        </w:rPr>
        <w:fldChar w:fldCharType="end"/>
      </w:r>
    </w:p>
    <w:p w14:paraId="203D3074">
      <w:pPr>
        <w:pStyle w:val="8"/>
        <w:tabs>
          <w:tab w:val="right" w:leader="dot" w:pos="8296"/>
        </w:tabs>
        <w:rPr>
          <w:rFonts w:ascii="宋体" w:hAnsi="宋体"/>
          <w:szCs w:val="21"/>
        </w:rPr>
      </w:pPr>
      <w:r>
        <w:rPr>
          <w:rFonts w:ascii="宋体" w:hAnsi="宋体"/>
          <w:szCs w:val="21"/>
        </w:rPr>
        <w:t xml:space="preserve">3.4 </w:t>
      </w:r>
      <w:r>
        <w:rPr>
          <w:rFonts w:hint="eastAsia" w:ascii="宋体" w:hAnsi="宋体"/>
          <w:szCs w:val="21"/>
        </w:rPr>
        <w:t>承包人现场查勘</w:t>
      </w:r>
      <w:r>
        <w:rPr>
          <w:rFonts w:ascii="宋体" w:hAnsi="宋体"/>
          <w:szCs w:val="21"/>
        </w:rPr>
        <w:tab/>
      </w:r>
      <w:r>
        <w:rPr>
          <w:rFonts w:ascii="宋体" w:hAnsi="宋体"/>
          <w:szCs w:val="21"/>
        </w:rPr>
        <w:fldChar w:fldCharType="begin"/>
      </w:r>
      <w:r>
        <w:rPr>
          <w:rFonts w:ascii="宋体" w:hAnsi="宋体"/>
          <w:szCs w:val="21"/>
        </w:rPr>
        <w:instrText xml:space="preserve"> PAGEREF _Toc108513968 \h </w:instrText>
      </w:r>
      <w:r>
        <w:rPr>
          <w:rFonts w:ascii="宋体" w:hAnsi="宋体"/>
          <w:szCs w:val="21"/>
        </w:rPr>
        <w:fldChar w:fldCharType="separate"/>
      </w:r>
      <w:r>
        <w:rPr>
          <w:rFonts w:ascii="宋体" w:hAnsi="宋体"/>
          <w:szCs w:val="21"/>
        </w:rPr>
        <w:t>231</w:t>
      </w:r>
      <w:r>
        <w:rPr>
          <w:rFonts w:ascii="宋体" w:hAnsi="宋体"/>
          <w:szCs w:val="21"/>
        </w:rPr>
        <w:fldChar w:fldCharType="end"/>
      </w:r>
    </w:p>
    <w:p w14:paraId="31C97EA7">
      <w:pPr>
        <w:pStyle w:val="8"/>
        <w:tabs>
          <w:tab w:val="right" w:leader="dot" w:pos="8296"/>
        </w:tabs>
        <w:rPr>
          <w:rFonts w:ascii="宋体" w:hAnsi="宋体"/>
          <w:szCs w:val="21"/>
        </w:rPr>
      </w:pPr>
      <w:r>
        <w:rPr>
          <w:rFonts w:ascii="宋体" w:hAnsi="宋体"/>
          <w:szCs w:val="21"/>
        </w:rPr>
        <w:t xml:space="preserve">3.5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_Toc108513969 \h </w:instrText>
      </w:r>
      <w:r>
        <w:rPr>
          <w:rFonts w:ascii="宋体" w:hAnsi="宋体"/>
          <w:szCs w:val="21"/>
        </w:rPr>
        <w:fldChar w:fldCharType="separate"/>
      </w:r>
      <w:r>
        <w:rPr>
          <w:rFonts w:ascii="宋体" w:hAnsi="宋体"/>
          <w:szCs w:val="21"/>
        </w:rPr>
        <w:t>231</w:t>
      </w:r>
      <w:r>
        <w:rPr>
          <w:rFonts w:ascii="宋体" w:hAnsi="宋体"/>
          <w:szCs w:val="21"/>
        </w:rPr>
        <w:fldChar w:fldCharType="end"/>
      </w:r>
    </w:p>
    <w:p w14:paraId="59FCC6F2">
      <w:pPr>
        <w:pStyle w:val="8"/>
        <w:tabs>
          <w:tab w:val="right" w:leader="dot" w:pos="8296"/>
        </w:tabs>
        <w:rPr>
          <w:rFonts w:ascii="宋体" w:hAnsi="宋体"/>
          <w:szCs w:val="21"/>
        </w:rPr>
      </w:pPr>
      <w:r>
        <w:rPr>
          <w:rFonts w:ascii="宋体" w:hAnsi="宋体"/>
          <w:szCs w:val="21"/>
        </w:rPr>
        <w:t xml:space="preserve">3.6 </w:t>
      </w:r>
      <w:r>
        <w:rPr>
          <w:rFonts w:hint="eastAsia" w:ascii="宋体" w:hAnsi="宋体"/>
          <w:szCs w:val="21"/>
        </w:rPr>
        <w:t>工程照管与成品、半成品保护</w:t>
      </w:r>
      <w:r>
        <w:rPr>
          <w:rFonts w:ascii="宋体" w:hAnsi="宋体"/>
          <w:szCs w:val="21"/>
        </w:rPr>
        <w:tab/>
      </w:r>
      <w:r>
        <w:rPr>
          <w:rFonts w:ascii="宋体" w:hAnsi="宋体"/>
          <w:szCs w:val="21"/>
        </w:rPr>
        <w:fldChar w:fldCharType="begin"/>
      </w:r>
      <w:r>
        <w:rPr>
          <w:rFonts w:ascii="宋体" w:hAnsi="宋体"/>
          <w:szCs w:val="21"/>
        </w:rPr>
        <w:instrText xml:space="preserve"> PAGEREF _Toc108513970 \h </w:instrText>
      </w:r>
      <w:r>
        <w:rPr>
          <w:rFonts w:ascii="宋体" w:hAnsi="宋体"/>
          <w:szCs w:val="21"/>
        </w:rPr>
        <w:fldChar w:fldCharType="separate"/>
      </w:r>
      <w:r>
        <w:rPr>
          <w:rFonts w:ascii="宋体" w:hAnsi="宋体"/>
          <w:szCs w:val="21"/>
        </w:rPr>
        <w:t>231</w:t>
      </w:r>
      <w:r>
        <w:rPr>
          <w:rFonts w:ascii="宋体" w:hAnsi="宋体"/>
          <w:szCs w:val="21"/>
        </w:rPr>
        <w:fldChar w:fldCharType="end"/>
      </w:r>
    </w:p>
    <w:p w14:paraId="01979BD0">
      <w:pPr>
        <w:pStyle w:val="8"/>
        <w:tabs>
          <w:tab w:val="right" w:leader="dot" w:pos="8296"/>
        </w:tabs>
        <w:rPr>
          <w:rFonts w:ascii="宋体" w:hAnsi="宋体"/>
          <w:szCs w:val="21"/>
        </w:rPr>
      </w:pPr>
      <w:r>
        <w:rPr>
          <w:rFonts w:ascii="宋体" w:hAnsi="宋体"/>
          <w:szCs w:val="21"/>
        </w:rPr>
        <w:t xml:space="preserve">3.7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_Toc108513971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7145BAE0">
      <w:pPr>
        <w:pStyle w:val="8"/>
        <w:tabs>
          <w:tab w:val="right" w:leader="dot" w:pos="8296"/>
        </w:tabs>
        <w:rPr>
          <w:rFonts w:ascii="宋体" w:hAnsi="宋体"/>
          <w:szCs w:val="21"/>
        </w:rPr>
      </w:pPr>
      <w:r>
        <w:rPr>
          <w:rFonts w:ascii="宋体" w:hAnsi="宋体"/>
          <w:szCs w:val="21"/>
        </w:rPr>
        <w:t xml:space="preserve">3.8 </w:t>
      </w:r>
      <w:r>
        <w:rPr>
          <w:rFonts w:hint="eastAsia" w:ascii="宋体" w:hAnsi="宋体"/>
          <w:szCs w:val="21"/>
        </w:rPr>
        <w:t>联合体</w:t>
      </w:r>
      <w:r>
        <w:rPr>
          <w:rFonts w:ascii="宋体" w:hAnsi="宋体"/>
          <w:szCs w:val="21"/>
        </w:rPr>
        <w:tab/>
      </w:r>
      <w:r>
        <w:rPr>
          <w:rFonts w:ascii="宋体" w:hAnsi="宋体"/>
          <w:szCs w:val="21"/>
        </w:rPr>
        <w:fldChar w:fldCharType="begin"/>
      </w:r>
      <w:r>
        <w:rPr>
          <w:rFonts w:ascii="宋体" w:hAnsi="宋体"/>
          <w:szCs w:val="21"/>
        </w:rPr>
        <w:instrText xml:space="preserve"> PAGEREF _Toc108513972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3205AA12">
      <w:pPr>
        <w:pStyle w:val="13"/>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_Toc108513973 \h </w:instrText>
      </w:r>
      <w:r>
        <w:rPr>
          <w:rFonts w:ascii="宋体" w:hAnsi="宋体" w:eastAsia="宋体"/>
          <w:sz w:val="21"/>
          <w:szCs w:val="21"/>
        </w:rPr>
        <w:fldChar w:fldCharType="separate"/>
      </w:r>
      <w:r>
        <w:rPr>
          <w:rFonts w:ascii="宋体" w:hAnsi="宋体" w:eastAsia="宋体"/>
          <w:sz w:val="21"/>
          <w:szCs w:val="21"/>
        </w:rPr>
        <w:t>232</w:t>
      </w:r>
      <w:r>
        <w:rPr>
          <w:rFonts w:ascii="宋体" w:hAnsi="宋体" w:eastAsia="宋体"/>
          <w:sz w:val="21"/>
          <w:szCs w:val="21"/>
        </w:rPr>
        <w:fldChar w:fldCharType="end"/>
      </w:r>
    </w:p>
    <w:p w14:paraId="0C9BDBCB">
      <w:pPr>
        <w:pStyle w:val="8"/>
        <w:tabs>
          <w:tab w:val="right" w:leader="dot" w:pos="8296"/>
        </w:tabs>
        <w:rPr>
          <w:rFonts w:ascii="宋体" w:hAnsi="宋体"/>
          <w:szCs w:val="21"/>
        </w:rPr>
      </w:pPr>
      <w:r>
        <w:rPr>
          <w:rFonts w:ascii="宋体" w:hAnsi="宋体"/>
          <w:szCs w:val="21"/>
        </w:rPr>
        <w:t xml:space="preserve">4.1 </w:t>
      </w:r>
      <w:r>
        <w:rPr>
          <w:rFonts w:hint="eastAsia" w:ascii="宋体" w:hAnsi="宋体"/>
          <w:szCs w:val="21"/>
        </w:rPr>
        <w:t>监理人的一般规定</w:t>
      </w:r>
      <w:r>
        <w:rPr>
          <w:rFonts w:ascii="宋体" w:hAnsi="宋体"/>
          <w:szCs w:val="21"/>
        </w:rPr>
        <w:tab/>
      </w:r>
      <w:r>
        <w:rPr>
          <w:rFonts w:ascii="宋体" w:hAnsi="宋体"/>
          <w:szCs w:val="21"/>
        </w:rPr>
        <w:fldChar w:fldCharType="begin"/>
      </w:r>
      <w:r>
        <w:rPr>
          <w:rFonts w:ascii="宋体" w:hAnsi="宋体"/>
          <w:szCs w:val="21"/>
        </w:rPr>
        <w:instrText xml:space="preserve"> PAGEREF _Toc108513974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39B46271">
      <w:pPr>
        <w:pStyle w:val="8"/>
        <w:tabs>
          <w:tab w:val="right" w:leader="dot" w:pos="8296"/>
        </w:tabs>
        <w:rPr>
          <w:rFonts w:ascii="宋体" w:hAnsi="宋体"/>
          <w:szCs w:val="21"/>
        </w:rPr>
      </w:pPr>
      <w:r>
        <w:rPr>
          <w:rFonts w:ascii="宋体" w:hAnsi="宋体"/>
          <w:szCs w:val="21"/>
        </w:rPr>
        <w:t xml:space="preserve">4.2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_Toc108513975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53CD0BAF">
      <w:pPr>
        <w:pStyle w:val="8"/>
        <w:tabs>
          <w:tab w:val="right" w:leader="dot" w:pos="8296"/>
        </w:tabs>
        <w:rPr>
          <w:rFonts w:ascii="宋体" w:hAnsi="宋体"/>
          <w:szCs w:val="21"/>
        </w:rPr>
      </w:pPr>
      <w:r>
        <w:rPr>
          <w:rFonts w:ascii="宋体" w:hAnsi="宋体"/>
          <w:szCs w:val="21"/>
        </w:rPr>
        <w:t xml:space="preserve">4.3 </w:t>
      </w:r>
      <w:r>
        <w:rPr>
          <w:rFonts w:hint="eastAsia" w:ascii="宋体" w:hAnsi="宋体"/>
          <w:szCs w:val="21"/>
        </w:rPr>
        <w:t>监理人的指示</w:t>
      </w:r>
      <w:r>
        <w:rPr>
          <w:rFonts w:ascii="宋体" w:hAnsi="宋体"/>
          <w:szCs w:val="21"/>
        </w:rPr>
        <w:tab/>
      </w:r>
      <w:r>
        <w:rPr>
          <w:rFonts w:ascii="宋体" w:hAnsi="宋体"/>
          <w:szCs w:val="21"/>
        </w:rPr>
        <w:fldChar w:fldCharType="begin"/>
      </w:r>
      <w:r>
        <w:rPr>
          <w:rFonts w:ascii="宋体" w:hAnsi="宋体"/>
          <w:szCs w:val="21"/>
        </w:rPr>
        <w:instrText xml:space="preserve"> PAGEREF _Toc108513976 \h </w:instrText>
      </w:r>
      <w:r>
        <w:rPr>
          <w:rFonts w:ascii="宋体" w:hAnsi="宋体"/>
          <w:szCs w:val="21"/>
        </w:rPr>
        <w:fldChar w:fldCharType="separate"/>
      </w:r>
      <w:r>
        <w:rPr>
          <w:rFonts w:ascii="宋体" w:hAnsi="宋体"/>
          <w:szCs w:val="21"/>
        </w:rPr>
        <w:t>232</w:t>
      </w:r>
      <w:r>
        <w:rPr>
          <w:rFonts w:ascii="宋体" w:hAnsi="宋体"/>
          <w:szCs w:val="21"/>
        </w:rPr>
        <w:fldChar w:fldCharType="end"/>
      </w:r>
    </w:p>
    <w:p w14:paraId="0F752D3D">
      <w:pPr>
        <w:pStyle w:val="8"/>
        <w:tabs>
          <w:tab w:val="right" w:leader="dot" w:pos="8296"/>
        </w:tabs>
        <w:rPr>
          <w:rFonts w:ascii="宋体" w:hAnsi="宋体"/>
          <w:szCs w:val="21"/>
        </w:rPr>
      </w:pPr>
      <w:r>
        <w:rPr>
          <w:rFonts w:ascii="宋体" w:hAnsi="宋体"/>
          <w:szCs w:val="21"/>
        </w:rPr>
        <w:t xml:space="preserve">4.4  </w:t>
      </w:r>
      <w:r>
        <w:rPr>
          <w:rFonts w:hint="eastAsia" w:ascii="宋体" w:hAnsi="宋体"/>
          <w:szCs w:val="21"/>
        </w:rPr>
        <w:t>商定或确定</w:t>
      </w:r>
      <w:r>
        <w:rPr>
          <w:rFonts w:ascii="宋体" w:hAnsi="宋体"/>
          <w:szCs w:val="21"/>
        </w:rPr>
        <w:tab/>
      </w:r>
      <w:r>
        <w:rPr>
          <w:rFonts w:ascii="宋体" w:hAnsi="宋体"/>
          <w:szCs w:val="21"/>
        </w:rPr>
        <w:fldChar w:fldCharType="begin"/>
      </w:r>
      <w:r>
        <w:rPr>
          <w:rFonts w:ascii="宋体" w:hAnsi="宋体"/>
          <w:szCs w:val="21"/>
        </w:rPr>
        <w:instrText xml:space="preserve"> PAGEREF _Toc108513977 \h </w:instrText>
      </w:r>
      <w:r>
        <w:rPr>
          <w:rFonts w:ascii="宋体" w:hAnsi="宋体"/>
          <w:szCs w:val="21"/>
        </w:rPr>
        <w:fldChar w:fldCharType="separate"/>
      </w:r>
      <w:r>
        <w:rPr>
          <w:rFonts w:ascii="宋体" w:hAnsi="宋体"/>
          <w:szCs w:val="21"/>
        </w:rPr>
        <w:t>233</w:t>
      </w:r>
      <w:r>
        <w:rPr>
          <w:rFonts w:ascii="宋体" w:hAnsi="宋体"/>
          <w:szCs w:val="21"/>
        </w:rPr>
        <w:fldChar w:fldCharType="end"/>
      </w:r>
    </w:p>
    <w:p w14:paraId="6DDF1B34">
      <w:pPr>
        <w:pStyle w:val="13"/>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_Toc108513978 \h </w:instrText>
      </w:r>
      <w:r>
        <w:rPr>
          <w:rFonts w:ascii="宋体" w:hAnsi="宋体" w:eastAsia="宋体"/>
          <w:sz w:val="21"/>
          <w:szCs w:val="21"/>
        </w:rPr>
        <w:fldChar w:fldCharType="separate"/>
      </w:r>
      <w:r>
        <w:rPr>
          <w:rFonts w:ascii="宋体" w:hAnsi="宋体" w:eastAsia="宋体"/>
          <w:sz w:val="21"/>
          <w:szCs w:val="21"/>
        </w:rPr>
        <w:t>233</w:t>
      </w:r>
      <w:r>
        <w:rPr>
          <w:rFonts w:ascii="宋体" w:hAnsi="宋体" w:eastAsia="宋体"/>
          <w:sz w:val="21"/>
          <w:szCs w:val="21"/>
        </w:rPr>
        <w:fldChar w:fldCharType="end"/>
      </w:r>
    </w:p>
    <w:p w14:paraId="372A40DC">
      <w:pPr>
        <w:pStyle w:val="8"/>
        <w:tabs>
          <w:tab w:val="right" w:leader="dot" w:pos="8296"/>
        </w:tabs>
        <w:rPr>
          <w:rFonts w:ascii="宋体" w:hAnsi="宋体"/>
          <w:szCs w:val="21"/>
        </w:rPr>
      </w:pPr>
      <w:r>
        <w:rPr>
          <w:rFonts w:ascii="宋体" w:hAnsi="宋体"/>
          <w:szCs w:val="21"/>
        </w:rPr>
        <w:t xml:space="preserve">5.1 </w:t>
      </w:r>
      <w:r>
        <w:rPr>
          <w:rFonts w:hint="eastAsia" w:ascii="宋体" w:hAnsi="宋体"/>
          <w:szCs w:val="21"/>
        </w:rPr>
        <w:t>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_Toc108513979 \h </w:instrText>
      </w:r>
      <w:r>
        <w:rPr>
          <w:rFonts w:ascii="宋体" w:hAnsi="宋体"/>
          <w:szCs w:val="21"/>
        </w:rPr>
        <w:fldChar w:fldCharType="separate"/>
      </w:r>
      <w:r>
        <w:rPr>
          <w:rFonts w:ascii="宋体" w:hAnsi="宋体"/>
          <w:szCs w:val="21"/>
        </w:rPr>
        <w:t>233</w:t>
      </w:r>
      <w:r>
        <w:rPr>
          <w:rFonts w:ascii="宋体" w:hAnsi="宋体"/>
          <w:szCs w:val="21"/>
        </w:rPr>
        <w:fldChar w:fldCharType="end"/>
      </w:r>
    </w:p>
    <w:p w14:paraId="4EC9575F">
      <w:pPr>
        <w:pStyle w:val="8"/>
        <w:tabs>
          <w:tab w:val="right" w:leader="dot" w:pos="8296"/>
        </w:tabs>
        <w:rPr>
          <w:rFonts w:ascii="宋体" w:hAnsi="宋体"/>
          <w:szCs w:val="21"/>
        </w:rPr>
      </w:pPr>
      <w:r>
        <w:rPr>
          <w:rFonts w:ascii="宋体" w:hAnsi="宋体"/>
          <w:szCs w:val="21"/>
        </w:rPr>
        <w:t xml:space="preserve">5.2 </w:t>
      </w:r>
      <w:r>
        <w:rPr>
          <w:rFonts w:hint="eastAsia" w:ascii="宋体" w:hAnsi="宋体"/>
          <w:szCs w:val="21"/>
        </w:rPr>
        <w:t>质量保证措施</w:t>
      </w:r>
      <w:r>
        <w:rPr>
          <w:rFonts w:ascii="宋体" w:hAnsi="宋体"/>
          <w:szCs w:val="21"/>
        </w:rPr>
        <w:tab/>
      </w:r>
      <w:r>
        <w:rPr>
          <w:rFonts w:ascii="宋体" w:hAnsi="宋体"/>
          <w:szCs w:val="21"/>
        </w:rPr>
        <w:fldChar w:fldCharType="begin"/>
      </w:r>
      <w:r>
        <w:rPr>
          <w:rFonts w:ascii="宋体" w:hAnsi="宋体"/>
          <w:szCs w:val="21"/>
        </w:rPr>
        <w:instrText xml:space="preserve"> PAGEREF _Toc108513980 \h </w:instrText>
      </w:r>
      <w:r>
        <w:rPr>
          <w:rFonts w:ascii="宋体" w:hAnsi="宋体"/>
          <w:szCs w:val="21"/>
        </w:rPr>
        <w:fldChar w:fldCharType="separate"/>
      </w:r>
      <w:r>
        <w:rPr>
          <w:rFonts w:ascii="宋体" w:hAnsi="宋体"/>
          <w:szCs w:val="21"/>
        </w:rPr>
        <w:t>233</w:t>
      </w:r>
      <w:r>
        <w:rPr>
          <w:rFonts w:ascii="宋体" w:hAnsi="宋体"/>
          <w:szCs w:val="21"/>
        </w:rPr>
        <w:fldChar w:fldCharType="end"/>
      </w:r>
    </w:p>
    <w:p w14:paraId="3A3A0903">
      <w:pPr>
        <w:pStyle w:val="8"/>
        <w:tabs>
          <w:tab w:val="right" w:leader="dot" w:pos="8296"/>
        </w:tabs>
        <w:rPr>
          <w:rFonts w:ascii="宋体" w:hAnsi="宋体"/>
          <w:szCs w:val="21"/>
        </w:rPr>
      </w:pPr>
      <w:r>
        <w:rPr>
          <w:rFonts w:ascii="宋体" w:hAnsi="宋体"/>
          <w:szCs w:val="21"/>
        </w:rPr>
        <w:t xml:space="preserve">5.3 </w:t>
      </w:r>
      <w:r>
        <w:rPr>
          <w:rFonts w:hint="eastAsia" w:ascii="宋体" w:hAnsi="宋体"/>
          <w:szCs w:val="21"/>
        </w:rPr>
        <w:t>隐蔽工程检查</w:t>
      </w:r>
      <w:r>
        <w:rPr>
          <w:rFonts w:ascii="宋体" w:hAnsi="宋体"/>
          <w:szCs w:val="21"/>
        </w:rPr>
        <w:tab/>
      </w:r>
      <w:r>
        <w:rPr>
          <w:rFonts w:ascii="宋体" w:hAnsi="宋体"/>
          <w:szCs w:val="21"/>
        </w:rPr>
        <w:fldChar w:fldCharType="begin"/>
      </w:r>
      <w:r>
        <w:rPr>
          <w:rFonts w:ascii="宋体" w:hAnsi="宋体"/>
          <w:szCs w:val="21"/>
        </w:rPr>
        <w:instrText xml:space="preserve"> PAGEREF _Toc108513981 \h </w:instrText>
      </w:r>
      <w:r>
        <w:rPr>
          <w:rFonts w:ascii="宋体" w:hAnsi="宋体"/>
          <w:szCs w:val="21"/>
        </w:rPr>
        <w:fldChar w:fldCharType="separate"/>
      </w:r>
      <w:r>
        <w:rPr>
          <w:rFonts w:ascii="宋体" w:hAnsi="宋体"/>
          <w:szCs w:val="21"/>
        </w:rPr>
        <w:t>234</w:t>
      </w:r>
      <w:r>
        <w:rPr>
          <w:rFonts w:ascii="宋体" w:hAnsi="宋体"/>
          <w:szCs w:val="21"/>
        </w:rPr>
        <w:fldChar w:fldCharType="end"/>
      </w:r>
    </w:p>
    <w:p w14:paraId="5CADBBD2">
      <w:pPr>
        <w:pStyle w:val="8"/>
        <w:tabs>
          <w:tab w:val="right" w:leader="dot" w:pos="8296"/>
        </w:tabs>
        <w:rPr>
          <w:rFonts w:ascii="宋体" w:hAnsi="宋体"/>
          <w:szCs w:val="21"/>
        </w:rPr>
      </w:pPr>
      <w:r>
        <w:rPr>
          <w:rFonts w:ascii="宋体" w:hAnsi="宋体"/>
          <w:szCs w:val="21"/>
        </w:rPr>
        <w:t>5.4</w:t>
      </w:r>
      <w:r>
        <w:rPr>
          <w:rFonts w:hint="eastAsia" w:ascii="宋体" w:hAnsi="宋体"/>
          <w:szCs w:val="21"/>
        </w:rPr>
        <w:t>不合格工程的处理</w:t>
      </w:r>
      <w:r>
        <w:rPr>
          <w:rFonts w:ascii="宋体" w:hAnsi="宋体"/>
          <w:szCs w:val="21"/>
        </w:rPr>
        <w:tab/>
      </w:r>
      <w:r>
        <w:rPr>
          <w:rFonts w:ascii="宋体" w:hAnsi="宋体"/>
          <w:szCs w:val="21"/>
        </w:rPr>
        <w:fldChar w:fldCharType="begin"/>
      </w:r>
      <w:r>
        <w:rPr>
          <w:rFonts w:ascii="宋体" w:hAnsi="宋体"/>
          <w:szCs w:val="21"/>
        </w:rPr>
        <w:instrText xml:space="preserve"> PAGEREF _Toc108513982 \h </w:instrText>
      </w:r>
      <w:r>
        <w:rPr>
          <w:rFonts w:ascii="宋体" w:hAnsi="宋体"/>
          <w:szCs w:val="21"/>
        </w:rPr>
        <w:fldChar w:fldCharType="separate"/>
      </w:r>
      <w:r>
        <w:rPr>
          <w:rFonts w:ascii="宋体" w:hAnsi="宋体"/>
          <w:szCs w:val="21"/>
        </w:rPr>
        <w:t>235</w:t>
      </w:r>
      <w:r>
        <w:rPr>
          <w:rFonts w:ascii="宋体" w:hAnsi="宋体"/>
          <w:szCs w:val="21"/>
        </w:rPr>
        <w:fldChar w:fldCharType="end"/>
      </w:r>
    </w:p>
    <w:p w14:paraId="5AC0E56F">
      <w:pPr>
        <w:pStyle w:val="8"/>
        <w:tabs>
          <w:tab w:val="right" w:leader="dot" w:pos="8296"/>
        </w:tabs>
        <w:rPr>
          <w:rFonts w:ascii="宋体" w:hAnsi="宋体"/>
          <w:szCs w:val="21"/>
        </w:rPr>
      </w:pPr>
      <w:r>
        <w:rPr>
          <w:rFonts w:ascii="宋体" w:hAnsi="宋体"/>
          <w:szCs w:val="21"/>
        </w:rPr>
        <w:t xml:space="preserve">5.5 </w:t>
      </w:r>
      <w:r>
        <w:rPr>
          <w:rFonts w:hint="eastAsia" w:ascii="宋体" w:hAnsi="宋体"/>
          <w:szCs w:val="21"/>
        </w:rPr>
        <w:t>质量争议检测</w:t>
      </w:r>
      <w:r>
        <w:rPr>
          <w:rFonts w:ascii="宋体" w:hAnsi="宋体"/>
          <w:szCs w:val="21"/>
        </w:rPr>
        <w:tab/>
      </w:r>
      <w:r>
        <w:rPr>
          <w:rFonts w:ascii="宋体" w:hAnsi="宋体"/>
          <w:szCs w:val="21"/>
        </w:rPr>
        <w:fldChar w:fldCharType="begin"/>
      </w:r>
      <w:r>
        <w:rPr>
          <w:rFonts w:ascii="宋体" w:hAnsi="宋体"/>
          <w:szCs w:val="21"/>
        </w:rPr>
        <w:instrText xml:space="preserve"> PAGEREF _Toc108513983 \h </w:instrText>
      </w:r>
      <w:r>
        <w:rPr>
          <w:rFonts w:ascii="宋体" w:hAnsi="宋体"/>
          <w:szCs w:val="21"/>
        </w:rPr>
        <w:fldChar w:fldCharType="separate"/>
      </w:r>
      <w:r>
        <w:rPr>
          <w:rFonts w:ascii="宋体" w:hAnsi="宋体"/>
          <w:szCs w:val="21"/>
        </w:rPr>
        <w:t>235</w:t>
      </w:r>
      <w:r>
        <w:rPr>
          <w:rFonts w:ascii="宋体" w:hAnsi="宋体"/>
          <w:szCs w:val="21"/>
        </w:rPr>
        <w:fldChar w:fldCharType="end"/>
      </w:r>
    </w:p>
    <w:p w14:paraId="3D25FA28">
      <w:pPr>
        <w:pStyle w:val="13"/>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安全文明施工与环境保护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_Toc108513984 \h </w:instrText>
      </w:r>
      <w:r>
        <w:rPr>
          <w:rFonts w:ascii="宋体" w:hAnsi="宋体" w:eastAsia="宋体"/>
          <w:sz w:val="21"/>
          <w:szCs w:val="21"/>
        </w:rPr>
        <w:fldChar w:fldCharType="separate"/>
      </w:r>
      <w:r>
        <w:rPr>
          <w:rFonts w:ascii="宋体" w:hAnsi="宋体" w:eastAsia="宋体"/>
          <w:sz w:val="21"/>
          <w:szCs w:val="21"/>
        </w:rPr>
        <w:t>235</w:t>
      </w:r>
      <w:r>
        <w:rPr>
          <w:rFonts w:ascii="宋体" w:hAnsi="宋体" w:eastAsia="宋体"/>
          <w:sz w:val="21"/>
          <w:szCs w:val="21"/>
        </w:rPr>
        <w:fldChar w:fldCharType="end"/>
      </w:r>
    </w:p>
    <w:p w14:paraId="540F9AEA">
      <w:pPr>
        <w:pStyle w:val="8"/>
        <w:tabs>
          <w:tab w:val="right" w:leader="dot" w:pos="8296"/>
        </w:tabs>
        <w:rPr>
          <w:rFonts w:ascii="宋体" w:hAnsi="宋体"/>
          <w:szCs w:val="21"/>
        </w:rPr>
      </w:pPr>
      <w:r>
        <w:rPr>
          <w:rFonts w:ascii="宋体" w:hAnsi="宋体"/>
          <w:szCs w:val="21"/>
        </w:rPr>
        <w:t xml:space="preserve">6.1 </w:t>
      </w:r>
      <w:r>
        <w:rPr>
          <w:rFonts w:hint="eastAsia" w:ascii="宋体" w:hAnsi="宋体"/>
          <w:szCs w:val="21"/>
        </w:rPr>
        <w:t>安全文明施工</w:t>
      </w:r>
      <w:r>
        <w:rPr>
          <w:rFonts w:ascii="宋体" w:hAnsi="宋体"/>
          <w:szCs w:val="21"/>
        </w:rPr>
        <w:tab/>
      </w:r>
      <w:r>
        <w:rPr>
          <w:rFonts w:ascii="宋体" w:hAnsi="宋体"/>
          <w:szCs w:val="21"/>
        </w:rPr>
        <w:fldChar w:fldCharType="begin"/>
      </w:r>
      <w:r>
        <w:rPr>
          <w:rFonts w:ascii="宋体" w:hAnsi="宋体"/>
          <w:szCs w:val="21"/>
        </w:rPr>
        <w:instrText xml:space="preserve"> PAGEREF _Toc108513985 \h </w:instrText>
      </w:r>
      <w:r>
        <w:rPr>
          <w:rFonts w:ascii="宋体" w:hAnsi="宋体"/>
          <w:szCs w:val="21"/>
        </w:rPr>
        <w:fldChar w:fldCharType="separate"/>
      </w:r>
      <w:r>
        <w:rPr>
          <w:rFonts w:ascii="宋体" w:hAnsi="宋体"/>
          <w:szCs w:val="21"/>
        </w:rPr>
        <w:t>235</w:t>
      </w:r>
      <w:r>
        <w:rPr>
          <w:rFonts w:ascii="宋体" w:hAnsi="宋体"/>
          <w:szCs w:val="21"/>
        </w:rPr>
        <w:fldChar w:fldCharType="end"/>
      </w:r>
    </w:p>
    <w:p w14:paraId="485B4E45">
      <w:pPr>
        <w:pStyle w:val="8"/>
        <w:tabs>
          <w:tab w:val="right" w:leader="dot" w:pos="8296"/>
        </w:tabs>
        <w:rPr>
          <w:rFonts w:ascii="宋体" w:hAnsi="宋体"/>
          <w:szCs w:val="21"/>
        </w:rPr>
      </w:pPr>
      <w:r>
        <w:rPr>
          <w:rFonts w:ascii="宋体" w:hAnsi="宋体"/>
          <w:szCs w:val="21"/>
        </w:rPr>
        <w:t xml:space="preserve">6.2  </w:t>
      </w:r>
      <w:r>
        <w:rPr>
          <w:rFonts w:hint="eastAsia" w:ascii="宋体" w:hAnsi="宋体"/>
          <w:szCs w:val="21"/>
        </w:rPr>
        <w:t>职业健康</w:t>
      </w:r>
      <w:r>
        <w:rPr>
          <w:rFonts w:ascii="宋体" w:hAnsi="宋体"/>
          <w:szCs w:val="21"/>
        </w:rPr>
        <w:tab/>
      </w:r>
      <w:r>
        <w:rPr>
          <w:rFonts w:ascii="宋体" w:hAnsi="宋体"/>
          <w:szCs w:val="21"/>
        </w:rPr>
        <w:fldChar w:fldCharType="begin"/>
      </w:r>
      <w:r>
        <w:rPr>
          <w:rFonts w:ascii="宋体" w:hAnsi="宋体"/>
          <w:szCs w:val="21"/>
        </w:rPr>
        <w:instrText xml:space="preserve"> PAGEREF _Toc108513986 \h </w:instrText>
      </w:r>
      <w:r>
        <w:rPr>
          <w:rFonts w:ascii="宋体" w:hAnsi="宋体"/>
          <w:szCs w:val="21"/>
        </w:rPr>
        <w:fldChar w:fldCharType="separate"/>
      </w:r>
      <w:r>
        <w:rPr>
          <w:rFonts w:ascii="宋体" w:hAnsi="宋体"/>
          <w:szCs w:val="21"/>
        </w:rPr>
        <w:t>237</w:t>
      </w:r>
      <w:r>
        <w:rPr>
          <w:rFonts w:ascii="宋体" w:hAnsi="宋体"/>
          <w:szCs w:val="21"/>
        </w:rPr>
        <w:fldChar w:fldCharType="end"/>
      </w:r>
    </w:p>
    <w:p w14:paraId="449747C7">
      <w:pPr>
        <w:pStyle w:val="8"/>
        <w:tabs>
          <w:tab w:val="right" w:leader="dot" w:pos="8296"/>
        </w:tabs>
        <w:rPr>
          <w:rFonts w:ascii="宋体" w:hAnsi="宋体"/>
          <w:szCs w:val="21"/>
        </w:rPr>
      </w:pPr>
      <w:r>
        <w:rPr>
          <w:rFonts w:ascii="宋体" w:hAnsi="宋体"/>
          <w:szCs w:val="21"/>
        </w:rPr>
        <w:t xml:space="preserve">6.3  </w:t>
      </w:r>
      <w:r>
        <w:rPr>
          <w:rFonts w:hint="eastAsia" w:ascii="宋体" w:hAnsi="宋体"/>
          <w:szCs w:val="21"/>
        </w:rPr>
        <w:t>环境保护</w:t>
      </w:r>
      <w:r>
        <w:rPr>
          <w:rFonts w:ascii="宋体" w:hAnsi="宋体"/>
          <w:szCs w:val="21"/>
        </w:rPr>
        <w:tab/>
      </w:r>
      <w:r>
        <w:rPr>
          <w:rFonts w:ascii="宋体" w:hAnsi="宋体"/>
          <w:szCs w:val="21"/>
        </w:rPr>
        <w:fldChar w:fldCharType="begin"/>
      </w:r>
      <w:r>
        <w:rPr>
          <w:rFonts w:ascii="宋体" w:hAnsi="宋体"/>
          <w:szCs w:val="21"/>
        </w:rPr>
        <w:instrText xml:space="preserve"> PAGEREF _Toc108513987 \h </w:instrText>
      </w:r>
      <w:r>
        <w:rPr>
          <w:rFonts w:ascii="宋体" w:hAnsi="宋体"/>
          <w:szCs w:val="21"/>
        </w:rPr>
        <w:fldChar w:fldCharType="separate"/>
      </w:r>
      <w:r>
        <w:rPr>
          <w:rFonts w:ascii="宋体" w:hAnsi="宋体"/>
          <w:szCs w:val="21"/>
        </w:rPr>
        <w:t>238</w:t>
      </w:r>
      <w:r>
        <w:rPr>
          <w:rFonts w:ascii="宋体" w:hAnsi="宋体"/>
          <w:szCs w:val="21"/>
        </w:rPr>
        <w:fldChar w:fldCharType="end"/>
      </w:r>
    </w:p>
    <w:p w14:paraId="7A81FFF2">
      <w:pPr>
        <w:pStyle w:val="13"/>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工期和进度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_Toc108513988 \h </w:instrText>
      </w:r>
      <w:r>
        <w:rPr>
          <w:rFonts w:ascii="宋体" w:hAnsi="宋体" w:eastAsia="宋体"/>
          <w:sz w:val="21"/>
          <w:szCs w:val="21"/>
        </w:rPr>
        <w:fldChar w:fldCharType="separate"/>
      </w:r>
      <w:r>
        <w:rPr>
          <w:rFonts w:ascii="宋体" w:hAnsi="宋体" w:eastAsia="宋体"/>
          <w:sz w:val="21"/>
          <w:szCs w:val="21"/>
        </w:rPr>
        <w:t>238</w:t>
      </w:r>
      <w:r>
        <w:rPr>
          <w:rFonts w:ascii="宋体" w:hAnsi="宋体" w:eastAsia="宋体"/>
          <w:sz w:val="21"/>
          <w:szCs w:val="21"/>
        </w:rPr>
        <w:fldChar w:fldCharType="end"/>
      </w:r>
    </w:p>
    <w:p w14:paraId="38F29C77">
      <w:pPr>
        <w:pStyle w:val="8"/>
        <w:tabs>
          <w:tab w:val="right" w:leader="dot" w:pos="8296"/>
        </w:tabs>
        <w:rPr>
          <w:rFonts w:ascii="宋体" w:hAnsi="宋体"/>
          <w:szCs w:val="21"/>
        </w:rPr>
      </w:pPr>
      <w:r>
        <w:rPr>
          <w:rFonts w:ascii="宋体" w:hAnsi="宋体"/>
          <w:szCs w:val="21"/>
        </w:rPr>
        <w:t xml:space="preserve">7.1 </w:t>
      </w:r>
      <w:r>
        <w:rPr>
          <w:rFonts w:hint="eastAsia" w:ascii="宋体" w:hAnsi="宋体"/>
          <w:szCs w:val="21"/>
        </w:rPr>
        <w:t>施工组织设计</w:t>
      </w:r>
      <w:r>
        <w:rPr>
          <w:rFonts w:ascii="宋体" w:hAnsi="宋体"/>
          <w:szCs w:val="21"/>
        </w:rPr>
        <w:tab/>
      </w:r>
      <w:r>
        <w:rPr>
          <w:rFonts w:ascii="宋体" w:hAnsi="宋体"/>
          <w:szCs w:val="21"/>
        </w:rPr>
        <w:fldChar w:fldCharType="begin"/>
      </w:r>
      <w:r>
        <w:rPr>
          <w:rFonts w:ascii="宋体" w:hAnsi="宋体"/>
          <w:szCs w:val="21"/>
        </w:rPr>
        <w:instrText xml:space="preserve"> PAGEREF _Toc108513989 \h </w:instrText>
      </w:r>
      <w:r>
        <w:rPr>
          <w:rFonts w:ascii="宋体" w:hAnsi="宋体"/>
          <w:szCs w:val="21"/>
        </w:rPr>
        <w:fldChar w:fldCharType="separate"/>
      </w:r>
      <w:r>
        <w:rPr>
          <w:rFonts w:ascii="宋体" w:hAnsi="宋体"/>
          <w:szCs w:val="21"/>
        </w:rPr>
        <w:t>238</w:t>
      </w:r>
      <w:r>
        <w:rPr>
          <w:rFonts w:ascii="宋体" w:hAnsi="宋体"/>
          <w:szCs w:val="21"/>
        </w:rPr>
        <w:fldChar w:fldCharType="end"/>
      </w:r>
    </w:p>
    <w:p w14:paraId="59BBD52D">
      <w:pPr>
        <w:pStyle w:val="8"/>
        <w:tabs>
          <w:tab w:val="right" w:leader="dot" w:pos="8296"/>
        </w:tabs>
        <w:rPr>
          <w:rFonts w:ascii="宋体" w:hAnsi="宋体"/>
          <w:szCs w:val="21"/>
        </w:rPr>
      </w:pPr>
      <w:r>
        <w:rPr>
          <w:rFonts w:ascii="宋体" w:hAnsi="宋体"/>
          <w:szCs w:val="21"/>
        </w:rPr>
        <w:t xml:space="preserve">7.2 </w:t>
      </w:r>
      <w:r>
        <w:rPr>
          <w:rFonts w:hint="eastAsia" w:ascii="宋体" w:hAnsi="宋体"/>
          <w:szCs w:val="21"/>
        </w:rPr>
        <w:t>施工进度计划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_Toc108513990 \h </w:instrText>
      </w:r>
      <w:r>
        <w:rPr>
          <w:rFonts w:ascii="宋体" w:hAnsi="宋体"/>
          <w:szCs w:val="21"/>
        </w:rPr>
        <w:fldChar w:fldCharType="separate"/>
      </w:r>
      <w:r>
        <w:rPr>
          <w:rFonts w:ascii="宋体" w:hAnsi="宋体"/>
          <w:szCs w:val="21"/>
        </w:rPr>
        <w:t>238</w:t>
      </w:r>
      <w:r>
        <w:rPr>
          <w:rFonts w:ascii="宋体" w:hAnsi="宋体"/>
          <w:szCs w:val="21"/>
        </w:rPr>
        <w:fldChar w:fldCharType="end"/>
      </w:r>
    </w:p>
    <w:p w14:paraId="4DC24FE4">
      <w:pPr>
        <w:pStyle w:val="8"/>
        <w:tabs>
          <w:tab w:val="right" w:leader="dot" w:pos="8296"/>
        </w:tabs>
        <w:rPr>
          <w:rFonts w:ascii="宋体" w:hAnsi="宋体"/>
          <w:szCs w:val="21"/>
        </w:rPr>
      </w:pPr>
      <w:r>
        <w:rPr>
          <w:rFonts w:ascii="宋体" w:hAnsi="宋体"/>
          <w:szCs w:val="21"/>
        </w:rPr>
        <w:t xml:space="preserve">7.3 </w:t>
      </w:r>
      <w:r>
        <w:rPr>
          <w:rFonts w:hint="eastAsia" w:ascii="宋体" w:hAnsi="宋体"/>
          <w:szCs w:val="21"/>
        </w:rPr>
        <w:t>开工</w:t>
      </w:r>
      <w:r>
        <w:rPr>
          <w:rFonts w:ascii="宋体" w:hAnsi="宋体"/>
          <w:szCs w:val="21"/>
        </w:rPr>
        <w:tab/>
      </w:r>
      <w:r>
        <w:rPr>
          <w:rFonts w:ascii="宋体" w:hAnsi="宋体"/>
          <w:szCs w:val="21"/>
        </w:rPr>
        <w:fldChar w:fldCharType="begin"/>
      </w:r>
      <w:r>
        <w:rPr>
          <w:rFonts w:ascii="宋体" w:hAnsi="宋体"/>
          <w:szCs w:val="21"/>
        </w:rPr>
        <w:instrText xml:space="preserve"> PAGEREF _Toc108513991 \h </w:instrText>
      </w:r>
      <w:r>
        <w:rPr>
          <w:rFonts w:ascii="宋体" w:hAnsi="宋体"/>
          <w:szCs w:val="21"/>
        </w:rPr>
        <w:fldChar w:fldCharType="separate"/>
      </w:r>
      <w:r>
        <w:rPr>
          <w:rFonts w:ascii="宋体" w:hAnsi="宋体"/>
          <w:szCs w:val="21"/>
        </w:rPr>
        <w:t>239</w:t>
      </w:r>
      <w:r>
        <w:rPr>
          <w:rFonts w:ascii="宋体" w:hAnsi="宋体"/>
          <w:szCs w:val="21"/>
        </w:rPr>
        <w:fldChar w:fldCharType="end"/>
      </w:r>
    </w:p>
    <w:p w14:paraId="00F68E1F">
      <w:pPr>
        <w:pStyle w:val="8"/>
        <w:tabs>
          <w:tab w:val="right" w:leader="dot" w:pos="8296"/>
        </w:tabs>
        <w:rPr>
          <w:rFonts w:ascii="宋体" w:hAnsi="宋体"/>
          <w:szCs w:val="21"/>
        </w:rPr>
      </w:pPr>
      <w:r>
        <w:rPr>
          <w:rFonts w:ascii="宋体" w:hAnsi="宋体"/>
          <w:szCs w:val="21"/>
        </w:rPr>
        <w:t xml:space="preserve">7.4 </w:t>
      </w:r>
      <w:r>
        <w:rPr>
          <w:rFonts w:hint="eastAsia" w:ascii="宋体" w:hAnsi="宋体"/>
          <w:szCs w:val="21"/>
        </w:rPr>
        <w:t>测量放线</w:t>
      </w:r>
      <w:r>
        <w:rPr>
          <w:rFonts w:ascii="宋体" w:hAnsi="宋体"/>
          <w:szCs w:val="21"/>
        </w:rPr>
        <w:tab/>
      </w:r>
      <w:r>
        <w:rPr>
          <w:rFonts w:ascii="宋体" w:hAnsi="宋体"/>
          <w:szCs w:val="21"/>
        </w:rPr>
        <w:fldChar w:fldCharType="begin"/>
      </w:r>
      <w:r>
        <w:rPr>
          <w:rFonts w:ascii="宋体" w:hAnsi="宋体"/>
          <w:szCs w:val="21"/>
        </w:rPr>
        <w:instrText xml:space="preserve"> PAGEREF _Toc108513992 \h </w:instrText>
      </w:r>
      <w:r>
        <w:rPr>
          <w:rFonts w:ascii="宋体" w:hAnsi="宋体"/>
          <w:szCs w:val="21"/>
        </w:rPr>
        <w:fldChar w:fldCharType="separate"/>
      </w:r>
      <w:r>
        <w:rPr>
          <w:rFonts w:ascii="宋体" w:hAnsi="宋体"/>
          <w:szCs w:val="21"/>
        </w:rPr>
        <w:t>239</w:t>
      </w:r>
      <w:r>
        <w:rPr>
          <w:rFonts w:ascii="宋体" w:hAnsi="宋体"/>
          <w:szCs w:val="21"/>
        </w:rPr>
        <w:fldChar w:fldCharType="end"/>
      </w:r>
    </w:p>
    <w:p w14:paraId="391A761E">
      <w:pPr>
        <w:pStyle w:val="8"/>
        <w:tabs>
          <w:tab w:val="right" w:leader="dot" w:pos="8296"/>
        </w:tabs>
        <w:rPr>
          <w:rFonts w:ascii="宋体" w:hAnsi="宋体"/>
          <w:szCs w:val="21"/>
        </w:rPr>
      </w:pPr>
      <w:r>
        <w:rPr>
          <w:rFonts w:ascii="宋体" w:hAnsi="宋体"/>
          <w:szCs w:val="21"/>
        </w:rPr>
        <w:t xml:space="preserve">7.5 </w:t>
      </w:r>
      <w:r>
        <w:rPr>
          <w:rFonts w:hint="eastAsia" w:ascii="宋体" w:hAnsi="宋体"/>
          <w:szCs w:val="21"/>
        </w:rPr>
        <w:t>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_Toc108513993 \h </w:instrText>
      </w:r>
      <w:r>
        <w:rPr>
          <w:rFonts w:ascii="宋体" w:hAnsi="宋体"/>
          <w:szCs w:val="21"/>
        </w:rPr>
        <w:fldChar w:fldCharType="separate"/>
      </w:r>
      <w:r>
        <w:rPr>
          <w:rFonts w:ascii="宋体" w:hAnsi="宋体"/>
          <w:szCs w:val="21"/>
        </w:rPr>
        <w:t>239</w:t>
      </w:r>
      <w:r>
        <w:rPr>
          <w:rFonts w:ascii="宋体" w:hAnsi="宋体"/>
          <w:szCs w:val="21"/>
        </w:rPr>
        <w:fldChar w:fldCharType="end"/>
      </w:r>
    </w:p>
    <w:p w14:paraId="5AF58544">
      <w:pPr>
        <w:pStyle w:val="8"/>
        <w:tabs>
          <w:tab w:val="right" w:leader="dot" w:pos="8296"/>
        </w:tabs>
        <w:rPr>
          <w:rFonts w:ascii="宋体" w:hAnsi="宋体"/>
          <w:szCs w:val="21"/>
        </w:rPr>
      </w:pPr>
      <w:r>
        <w:rPr>
          <w:rFonts w:ascii="宋体" w:hAnsi="宋体"/>
          <w:szCs w:val="21"/>
        </w:rPr>
        <w:t xml:space="preserve">7.6 </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_Toc108513994 \h </w:instrText>
      </w:r>
      <w:r>
        <w:rPr>
          <w:rFonts w:ascii="宋体" w:hAnsi="宋体"/>
          <w:szCs w:val="21"/>
        </w:rPr>
        <w:fldChar w:fldCharType="separate"/>
      </w:r>
      <w:r>
        <w:rPr>
          <w:rFonts w:ascii="宋体" w:hAnsi="宋体"/>
          <w:szCs w:val="21"/>
        </w:rPr>
        <w:t>240</w:t>
      </w:r>
      <w:r>
        <w:rPr>
          <w:rFonts w:ascii="宋体" w:hAnsi="宋体"/>
          <w:szCs w:val="21"/>
        </w:rPr>
        <w:fldChar w:fldCharType="end"/>
      </w:r>
    </w:p>
    <w:p w14:paraId="4C8CB046">
      <w:pPr>
        <w:pStyle w:val="8"/>
        <w:tabs>
          <w:tab w:val="right" w:leader="dot" w:pos="8296"/>
        </w:tabs>
        <w:rPr>
          <w:rFonts w:ascii="宋体" w:hAnsi="宋体"/>
          <w:szCs w:val="21"/>
        </w:rPr>
      </w:pPr>
      <w:r>
        <w:rPr>
          <w:rFonts w:ascii="宋体" w:hAnsi="宋体"/>
          <w:szCs w:val="21"/>
        </w:rPr>
        <w:t xml:space="preserve">7.7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_Toc108513995 \h </w:instrText>
      </w:r>
      <w:r>
        <w:rPr>
          <w:rFonts w:ascii="宋体" w:hAnsi="宋体"/>
          <w:szCs w:val="21"/>
        </w:rPr>
        <w:fldChar w:fldCharType="separate"/>
      </w:r>
      <w:r>
        <w:rPr>
          <w:rFonts w:ascii="宋体" w:hAnsi="宋体"/>
          <w:szCs w:val="21"/>
        </w:rPr>
        <w:t>240</w:t>
      </w:r>
      <w:r>
        <w:rPr>
          <w:rFonts w:ascii="宋体" w:hAnsi="宋体"/>
          <w:szCs w:val="21"/>
        </w:rPr>
        <w:fldChar w:fldCharType="end"/>
      </w:r>
    </w:p>
    <w:p w14:paraId="5D091721">
      <w:pPr>
        <w:pStyle w:val="8"/>
        <w:tabs>
          <w:tab w:val="right" w:leader="dot" w:pos="8296"/>
        </w:tabs>
        <w:rPr>
          <w:rFonts w:ascii="宋体" w:hAnsi="宋体"/>
          <w:szCs w:val="21"/>
        </w:rPr>
      </w:pPr>
      <w:r>
        <w:rPr>
          <w:rFonts w:ascii="宋体" w:hAnsi="宋体"/>
          <w:szCs w:val="21"/>
        </w:rPr>
        <w:t xml:space="preserve">7.8 </w:t>
      </w:r>
      <w:r>
        <w:rPr>
          <w:rFonts w:hint="eastAsia" w:ascii="宋体" w:hAnsi="宋体"/>
          <w:szCs w:val="21"/>
        </w:rPr>
        <w:t>暂停施工</w:t>
      </w:r>
      <w:r>
        <w:rPr>
          <w:rFonts w:ascii="宋体" w:hAnsi="宋体"/>
          <w:szCs w:val="21"/>
        </w:rPr>
        <w:tab/>
      </w:r>
      <w:r>
        <w:rPr>
          <w:rFonts w:ascii="宋体" w:hAnsi="宋体"/>
          <w:szCs w:val="21"/>
        </w:rPr>
        <w:fldChar w:fldCharType="begin"/>
      </w:r>
      <w:r>
        <w:rPr>
          <w:rFonts w:ascii="宋体" w:hAnsi="宋体"/>
          <w:szCs w:val="21"/>
        </w:rPr>
        <w:instrText xml:space="preserve"> PAGEREF _Toc108513996 \h </w:instrText>
      </w:r>
      <w:r>
        <w:rPr>
          <w:rFonts w:ascii="宋体" w:hAnsi="宋体"/>
          <w:szCs w:val="21"/>
        </w:rPr>
        <w:fldChar w:fldCharType="separate"/>
      </w:r>
      <w:r>
        <w:rPr>
          <w:rFonts w:ascii="宋体" w:hAnsi="宋体"/>
          <w:szCs w:val="21"/>
        </w:rPr>
        <w:t>240</w:t>
      </w:r>
      <w:r>
        <w:rPr>
          <w:rFonts w:ascii="宋体" w:hAnsi="宋体"/>
          <w:szCs w:val="21"/>
        </w:rPr>
        <w:fldChar w:fldCharType="end"/>
      </w:r>
    </w:p>
    <w:p w14:paraId="0143D1EE">
      <w:pPr>
        <w:pStyle w:val="8"/>
        <w:tabs>
          <w:tab w:val="right" w:leader="dot" w:pos="8296"/>
        </w:tabs>
        <w:rPr>
          <w:rFonts w:ascii="宋体" w:hAnsi="宋体"/>
          <w:szCs w:val="21"/>
        </w:rPr>
      </w:pPr>
      <w:r>
        <w:rPr>
          <w:rFonts w:ascii="宋体" w:hAnsi="宋体"/>
          <w:szCs w:val="21"/>
        </w:rPr>
        <w:t xml:space="preserve">7.9 </w:t>
      </w:r>
      <w:r>
        <w:rPr>
          <w:rFonts w:hint="eastAsia" w:ascii="宋体" w:hAnsi="宋体"/>
          <w:szCs w:val="21"/>
        </w:rPr>
        <w:t>提前竣工</w:t>
      </w:r>
      <w:r>
        <w:rPr>
          <w:rFonts w:ascii="宋体" w:hAnsi="宋体"/>
          <w:szCs w:val="21"/>
        </w:rPr>
        <w:tab/>
      </w:r>
      <w:r>
        <w:rPr>
          <w:rFonts w:ascii="宋体" w:hAnsi="宋体"/>
          <w:szCs w:val="21"/>
        </w:rPr>
        <w:fldChar w:fldCharType="begin"/>
      </w:r>
      <w:r>
        <w:rPr>
          <w:rFonts w:ascii="宋体" w:hAnsi="宋体"/>
          <w:szCs w:val="21"/>
        </w:rPr>
        <w:instrText xml:space="preserve"> PAGEREF _Toc108513997 \h </w:instrText>
      </w:r>
      <w:r>
        <w:rPr>
          <w:rFonts w:ascii="宋体" w:hAnsi="宋体"/>
          <w:szCs w:val="21"/>
        </w:rPr>
        <w:fldChar w:fldCharType="separate"/>
      </w:r>
      <w:r>
        <w:rPr>
          <w:rFonts w:ascii="宋体" w:hAnsi="宋体"/>
          <w:szCs w:val="21"/>
        </w:rPr>
        <w:t>241</w:t>
      </w:r>
      <w:r>
        <w:rPr>
          <w:rFonts w:ascii="宋体" w:hAnsi="宋体"/>
          <w:szCs w:val="21"/>
        </w:rPr>
        <w:fldChar w:fldCharType="end"/>
      </w:r>
    </w:p>
    <w:p w14:paraId="4D70A9A3">
      <w:pPr>
        <w:pStyle w:val="13"/>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材料与设备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_Toc108513998 \h </w:instrText>
      </w:r>
      <w:r>
        <w:rPr>
          <w:rFonts w:ascii="宋体" w:hAnsi="宋体" w:eastAsia="宋体"/>
          <w:sz w:val="21"/>
          <w:szCs w:val="21"/>
        </w:rPr>
        <w:fldChar w:fldCharType="separate"/>
      </w:r>
      <w:r>
        <w:rPr>
          <w:rFonts w:ascii="宋体" w:hAnsi="宋体" w:eastAsia="宋体"/>
          <w:sz w:val="21"/>
          <w:szCs w:val="21"/>
        </w:rPr>
        <w:t>242</w:t>
      </w:r>
      <w:r>
        <w:rPr>
          <w:rFonts w:ascii="宋体" w:hAnsi="宋体" w:eastAsia="宋体"/>
          <w:sz w:val="21"/>
          <w:szCs w:val="21"/>
        </w:rPr>
        <w:fldChar w:fldCharType="end"/>
      </w:r>
    </w:p>
    <w:p w14:paraId="04C4FBBB">
      <w:pPr>
        <w:pStyle w:val="8"/>
        <w:tabs>
          <w:tab w:val="right" w:leader="dot" w:pos="8296"/>
        </w:tabs>
        <w:rPr>
          <w:rFonts w:ascii="宋体" w:hAnsi="宋体"/>
          <w:szCs w:val="21"/>
        </w:rPr>
      </w:pPr>
      <w:r>
        <w:rPr>
          <w:rFonts w:ascii="宋体" w:hAnsi="宋体"/>
          <w:szCs w:val="21"/>
        </w:rPr>
        <w:t xml:space="preserve">8.1 </w:t>
      </w:r>
      <w:r>
        <w:rPr>
          <w:rFonts w:hint="eastAsia" w:ascii="宋体" w:hAnsi="宋体"/>
          <w:szCs w:val="21"/>
        </w:rPr>
        <w:t>发包人供应材料与工程设备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_Toc108513999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3FBDB63E">
      <w:pPr>
        <w:pStyle w:val="8"/>
        <w:tabs>
          <w:tab w:val="right" w:leader="dot" w:pos="8296"/>
        </w:tabs>
        <w:rPr>
          <w:rFonts w:ascii="宋体" w:hAnsi="宋体"/>
          <w:szCs w:val="21"/>
        </w:rPr>
      </w:pPr>
      <w:r>
        <w:rPr>
          <w:rFonts w:ascii="宋体" w:hAnsi="宋体"/>
          <w:szCs w:val="21"/>
        </w:rPr>
        <w:t xml:space="preserve">8.2 </w:t>
      </w:r>
      <w:r>
        <w:rPr>
          <w:rFonts w:hint="eastAsia" w:ascii="宋体" w:hAnsi="宋体"/>
          <w:szCs w:val="21"/>
        </w:rPr>
        <w:t>承包人采购材料与工程设备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_Toc108514000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75A00827">
      <w:pPr>
        <w:pStyle w:val="8"/>
        <w:tabs>
          <w:tab w:val="right" w:leader="dot" w:pos="8296"/>
        </w:tabs>
        <w:rPr>
          <w:rFonts w:ascii="宋体" w:hAnsi="宋体"/>
          <w:szCs w:val="21"/>
        </w:rPr>
      </w:pPr>
      <w:r>
        <w:rPr>
          <w:rFonts w:ascii="宋体" w:hAnsi="宋体"/>
          <w:szCs w:val="21"/>
        </w:rPr>
        <w:t xml:space="preserve">8.3 </w:t>
      </w:r>
      <w:r>
        <w:rPr>
          <w:rFonts w:hint="eastAsia" w:ascii="宋体" w:hAnsi="宋体"/>
          <w:szCs w:val="21"/>
        </w:rPr>
        <w:t>材料与工程设备的接收与拒收</w:t>
      </w:r>
      <w:r>
        <w:rPr>
          <w:rFonts w:ascii="宋体" w:hAnsi="宋体"/>
          <w:szCs w:val="21"/>
        </w:rPr>
        <w:tab/>
      </w:r>
      <w:r>
        <w:rPr>
          <w:rFonts w:ascii="宋体" w:hAnsi="宋体"/>
          <w:szCs w:val="21"/>
        </w:rPr>
        <w:fldChar w:fldCharType="begin"/>
      </w:r>
      <w:r>
        <w:rPr>
          <w:rFonts w:ascii="宋体" w:hAnsi="宋体"/>
          <w:szCs w:val="21"/>
        </w:rPr>
        <w:instrText xml:space="preserve"> PAGEREF _Toc108514001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4C5644C0">
      <w:pPr>
        <w:pStyle w:val="8"/>
        <w:tabs>
          <w:tab w:val="right" w:leader="dot" w:pos="8296"/>
        </w:tabs>
        <w:rPr>
          <w:rFonts w:ascii="宋体" w:hAnsi="宋体"/>
          <w:szCs w:val="21"/>
        </w:rPr>
      </w:pPr>
      <w:r>
        <w:rPr>
          <w:rFonts w:ascii="宋体" w:hAnsi="宋体"/>
          <w:szCs w:val="21"/>
        </w:rPr>
        <w:t xml:space="preserve">8.4 </w:t>
      </w:r>
      <w:r>
        <w:rPr>
          <w:rFonts w:hint="eastAsia" w:ascii="宋体" w:hAnsi="宋体"/>
          <w:szCs w:val="21"/>
        </w:rPr>
        <w:t>材料与工程设备的保管与使用</w:t>
      </w:r>
      <w:r>
        <w:rPr>
          <w:rFonts w:ascii="宋体" w:hAnsi="宋体"/>
          <w:szCs w:val="21"/>
        </w:rPr>
        <w:tab/>
      </w:r>
      <w:r>
        <w:rPr>
          <w:rFonts w:ascii="宋体" w:hAnsi="宋体"/>
          <w:szCs w:val="21"/>
        </w:rPr>
        <w:fldChar w:fldCharType="begin"/>
      </w:r>
      <w:r>
        <w:rPr>
          <w:rFonts w:ascii="宋体" w:hAnsi="宋体"/>
          <w:szCs w:val="21"/>
        </w:rPr>
        <w:instrText xml:space="preserve"> PAGEREF _Toc108514002 \h </w:instrText>
      </w:r>
      <w:r>
        <w:rPr>
          <w:rFonts w:ascii="宋体" w:hAnsi="宋体"/>
          <w:szCs w:val="21"/>
        </w:rPr>
        <w:fldChar w:fldCharType="separate"/>
      </w:r>
      <w:r>
        <w:rPr>
          <w:rFonts w:ascii="宋体" w:hAnsi="宋体"/>
          <w:szCs w:val="21"/>
        </w:rPr>
        <w:t>242</w:t>
      </w:r>
      <w:r>
        <w:rPr>
          <w:rFonts w:ascii="宋体" w:hAnsi="宋体"/>
          <w:szCs w:val="21"/>
        </w:rPr>
        <w:fldChar w:fldCharType="end"/>
      </w:r>
    </w:p>
    <w:p w14:paraId="7528FADA">
      <w:pPr>
        <w:pStyle w:val="8"/>
        <w:tabs>
          <w:tab w:val="right" w:leader="dot" w:pos="8296"/>
        </w:tabs>
        <w:rPr>
          <w:rFonts w:ascii="宋体" w:hAnsi="宋体"/>
          <w:szCs w:val="21"/>
        </w:rPr>
      </w:pPr>
      <w:r>
        <w:rPr>
          <w:rFonts w:ascii="宋体" w:hAnsi="宋体"/>
          <w:szCs w:val="21"/>
        </w:rPr>
        <w:t xml:space="preserve">8.5 </w:t>
      </w:r>
      <w:r>
        <w:rPr>
          <w:rFonts w:hint="eastAsia" w:ascii="宋体" w:hAnsi="宋体"/>
          <w:szCs w:val="21"/>
        </w:rPr>
        <w:t>禁止使用不合格的材料和工程设备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_Toc108514003 \h </w:instrText>
      </w:r>
      <w:r>
        <w:rPr>
          <w:rFonts w:ascii="宋体" w:hAnsi="宋体"/>
          <w:szCs w:val="21"/>
        </w:rPr>
        <w:fldChar w:fldCharType="separate"/>
      </w:r>
      <w:r>
        <w:rPr>
          <w:rFonts w:ascii="宋体" w:hAnsi="宋体"/>
          <w:szCs w:val="21"/>
        </w:rPr>
        <w:t>243</w:t>
      </w:r>
      <w:r>
        <w:rPr>
          <w:rFonts w:ascii="宋体" w:hAnsi="宋体"/>
          <w:szCs w:val="21"/>
        </w:rPr>
        <w:fldChar w:fldCharType="end"/>
      </w:r>
    </w:p>
    <w:p w14:paraId="5DFC60A5">
      <w:pPr>
        <w:pStyle w:val="8"/>
        <w:tabs>
          <w:tab w:val="right" w:leader="dot" w:pos="8296"/>
        </w:tabs>
        <w:rPr>
          <w:rFonts w:ascii="宋体" w:hAnsi="宋体"/>
          <w:szCs w:val="21"/>
        </w:rPr>
      </w:pPr>
      <w:r>
        <w:rPr>
          <w:rFonts w:ascii="宋体" w:hAnsi="宋体"/>
          <w:szCs w:val="21"/>
        </w:rPr>
        <w:t xml:space="preserve">8.6 </w:t>
      </w:r>
      <w:r>
        <w:rPr>
          <w:rFonts w:hint="eastAsia" w:ascii="宋体" w:hAnsi="宋体"/>
          <w:szCs w:val="21"/>
        </w:rPr>
        <w:t>样品</w:t>
      </w:r>
      <w:r>
        <w:rPr>
          <w:rFonts w:ascii="宋体" w:hAnsi="宋体"/>
          <w:szCs w:val="21"/>
        </w:rPr>
        <w:tab/>
      </w:r>
      <w:r>
        <w:rPr>
          <w:rFonts w:ascii="宋体" w:hAnsi="宋体"/>
          <w:szCs w:val="21"/>
        </w:rPr>
        <w:fldChar w:fldCharType="begin"/>
      </w:r>
      <w:r>
        <w:rPr>
          <w:rFonts w:ascii="宋体" w:hAnsi="宋体"/>
          <w:szCs w:val="21"/>
        </w:rPr>
        <w:instrText xml:space="preserve"> PAGEREF _Toc108514004 \h </w:instrText>
      </w:r>
      <w:r>
        <w:rPr>
          <w:rFonts w:ascii="宋体" w:hAnsi="宋体"/>
          <w:szCs w:val="21"/>
        </w:rPr>
        <w:fldChar w:fldCharType="separate"/>
      </w:r>
      <w:r>
        <w:rPr>
          <w:rFonts w:ascii="宋体" w:hAnsi="宋体"/>
          <w:szCs w:val="21"/>
        </w:rPr>
        <w:t>243</w:t>
      </w:r>
      <w:r>
        <w:rPr>
          <w:rFonts w:ascii="宋体" w:hAnsi="宋体"/>
          <w:szCs w:val="21"/>
        </w:rPr>
        <w:fldChar w:fldCharType="end"/>
      </w:r>
    </w:p>
    <w:p w14:paraId="0FD6380B">
      <w:pPr>
        <w:pStyle w:val="8"/>
        <w:tabs>
          <w:tab w:val="right" w:leader="dot" w:pos="8296"/>
        </w:tabs>
        <w:rPr>
          <w:rFonts w:ascii="宋体" w:hAnsi="宋体"/>
          <w:szCs w:val="21"/>
        </w:rPr>
      </w:pPr>
      <w:r>
        <w:rPr>
          <w:rFonts w:ascii="宋体" w:hAnsi="宋体"/>
          <w:szCs w:val="21"/>
        </w:rPr>
        <w:t xml:space="preserve">8.7 </w:t>
      </w:r>
      <w:r>
        <w:rPr>
          <w:rFonts w:hint="eastAsia" w:ascii="宋体" w:hAnsi="宋体"/>
          <w:szCs w:val="21"/>
        </w:rPr>
        <w:t>材料与工程设备的替代</w:t>
      </w:r>
      <w:r>
        <w:rPr>
          <w:rFonts w:ascii="宋体" w:hAnsi="宋体"/>
          <w:szCs w:val="21"/>
        </w:rPr>
        <w:tab/>
      </w:r>
      <w:r>
        <w:rPr>
          <w:rFonts w:ascii="宋体" w:hAnsi="宋体"/>
          <w:szCs w:val="21"/>
        </w:rPr>
        <w:fldChar w:fldCharType="begin"/>
      </w:r>
      <w:r>
        <w:rPr>
          <w:rFonts w:ascii="宋体" w:hAnsi="宋体"/>
          <w:szCs w:val="21"/>
        </w:rPr>
        <w:instrText xml:space="preserve"> PAGEREF _Toc108514005 \h </w:instrText>
      </w:r>
      <w:r>
        <w:rPr>
          <w:rFonts w:ascii="宋体" w:hAnsi="宋体"/>
          <w:szCs w:val="21"/>
        </w:rPr>
        <w:fldChar w:fldCharType="separate"/>
      </w:r>
      <w:r>
        <w:rPr>
          <w:rFonts w:ascii="宋体" w:hAnsi="宋体"/>
          <w:szCs w:val="21"/>
        </w:rPr>
        <w:t>244</w:t>
      </w:r>
      <w:r>
        <w:rPr>
          <w:rFonts w:ascii="宋体" w:hAnsi="宋体"/>
          <w:szCs w:val="21"/>
        </w:rPr>
        <w:fldChar w:fldCharType="end"/>
      </w:r>
    </w:p>
    <w:p w14:paraId="68503E98">
      <w:pPr>
        <w:pStyle w:val="8"/>
        <w:tabs>
          <w:tab w:val="right" w:leader="dot" w:pos="8296"/>
        </w:tabs>
        <w:rPr>
          <w:rFonts w:ascii="宋体" w:hAnsi="宋体"/>
          <w:szCs w:val="21"/>
        </w:rPr>
      </w:pPr>
      <w:r>
        <w:rPr>
          <w:rFonts w:ascii="宋体" w:hAnsi="宋体"/>
          <w:szCs w:val="21"/>
        </w:rPr>
        <w:t xml:space="preserve">8.8 </w:t>
      </w:r>
      <w:r>
        <w:rPr>
          <w:rFonts w:hint="eastAsia" w:ascii="宋体" w:hAnsi="宋体"/>
          <w:szCs w:val="21"/>
        </w:rPr>
        <w:t>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_Toc108514006 \h </w:instrText>
      </w:r>
      <w:r>
        <w:rPr>
          <w:rFonts w:ascii="宋体" w:hAnsi="宋体"/>
          <w:szCs w:val="21"/>
        </w:rPr>
        <w:fldChar w:fldCharType="separate"/>
      </w:r>
      <w:r>
        <w:rPr>
          <w:rFonts w:ascii="宋体" w:hAnsi="宋体"/>
          <w:szCs w:val="21"/>
        </w:rPr>
        <w:t>244</w:t>
      </w:r>
      <w:r>
        <w:rPr>
          <w:rFonts w:ascii="宋体" w:hAnsi="宋体"/>
          <w:szCs w:val="21"/>
        </w:rPr>
        <w:fldChar w:fldCharType="end"/>
      </w:r>
    </w:p>
    <w:p w14:paraId="2702AF4C">
      <w:pPr>
        <w:pStyle w:val="8"/>
        <w:tabs>
          <w:tab w:val="right" w:leader="dot" w:pos="8296"/>
        </w:tabs>
        <w:rPr>
          <w:rFonts w:ascii="宋体" w:hAnsi="宋体"/>
          <w:szCs w:val="21"/>
        </w:rPr>
      </w:pPr>
      <w:r>
        <w:rPr>
          <w:rFonts w:ascii="宋体" w:hAnsi="宋体"/>
          <w:szCs w:val="21"/>
        </w:rPr>
        <w:t xml:space="preserve">8.9 </w:t>
      </w:r>
      <w:r>
        <w:rPr>
          <w:rFonts w:hint="eastAsia" w:ascii="宋体" w:hAnsi="宋体"/>
          <w:szCs w:val="21"/>
        </w:rPr>
        <w:t>材料与设备专用要求</w:t>
      </w:r>
      <w:r>
        <w:rPr>
          <w:rFonts w:ascii="宋体" w:hAnsi="宋体"/>
          <w:szCs w:val="21"/>
        </w:rPr>
        <w:tab/>
      </w:r>
      <w:r>
        <w:rPr>
          <w:rFonts w:ascii="宋体" w:hAnsi="宋体"/>
          <w:szCs w:val="21"/>
        </w:rPr>
        <w:fldChar w:fldCharType="begin"/>
      </w:r>
      <w:r>
        <w:rPr>
          <w:rFonts w:ascii="宋体" w:hAnsi="宋体"/>
          <w:szCs w:val="21"/>
        </w:rPr>
        <w:instrText xml:space="preserve"> PAGEREF _Toc108514007 \h </w:instrText>
      </w:r>
      <w:r>
        <w:rPr>
          <w:rFonts w:ascii="宋体" w:hAnsi="宋体"/>
          <w:szCs w:val="21"/>
        </w:rPr>
        <w:fldChar w:fldCharType="separate"/>
      </w:r>
      <w:r>
        <w:rPr>
          <w:rFonts w:ascii="宋体" w:hAnsi="宋体"/>
          <w:szCs w:val="21"/>
        </w:rPr>
        <w:t>244</w:t>
      </w:r>
      <w:r>
        <w:rPr>
          <w:rFonts w:ascii="宋体" w:hAnsi="宋体"/>
          <w:szCs w:val="21"/>
        </w:rPr>
        <w:fldChar w:fldCharType="end"/>
      </w:r>
    </w:p>
    <w:p w14:paraId="45CB0DBF">
      <w:pPr>
        <w:pStyle w:val="13"/>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试验与检验</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_Toc108514008 \h </w:instrText>
      </w:r>
      <w:r>
        <w:rPr>
          <w:rFonts w:ascii="宋体" w:hAnsi="宋体" w:eastAsia="宋体"/>
          <w:sz w:val="21"/>
          <w:szCs w:val="21"/>
        </w:rPr>
        <w:fldChar w:fldCharType="separate"/>
      </w:r>
      <w:r>
        <w:rPr>
          <w:rFonts w:ascii="宋体" w:hAnsi="宋体" w:eastAsia="宋体"/>
          <w:sz w:val="21"/>
          <w:szCs w:val="21"/>
        </w:rPr>
        <w:t>245</w:t>
      </w:r>
      <w:r>
        <w:rPr>
          <w:rFonts w:ascii="宋体" w:hAnsi="宋体" w:eastAsia="宋体"/>
          <w:sz w:val="21"/>
          <w:szCs w:val="21"/>
        </w:rPr>
        <w:fldChar w:fldCharType="end"/>
      </w:r>
    </w:p>
    <w:p w14:paraId="4654A842">
      <w:pPr>
        <w:pStyle w:val="8"/>
        <w:tabs>
          <w:tab w:val="right" w:leader="dot" w:pos="8296"/>
        </w:tabs>
        <w:rPr>
          <w:rFonts w:ascii="宋体" w:hAnsi="宋体"/>
          <w:szCs w:val="21"/>
        </w:rPr>
      </w:pPr>
      <w:r>
        <w:rPr>
          <w:rFonts w:ascii="宋体" w:hAnsi="宋体"/>
          <w:szCs w:val="21"/>
        </w:rPr>
        <w:t xml:space="preserve">9.1 </w:t>
      </w:r>
      <w:r>
        <w:rPr>
          <w:rFonts w:hint="eastAsia" w:ascii="宋体" w:hAnsi="宋体"/>
          <w:szCs w:val="21"/>
        </w:rPr>
        <w:t>试验设备与试验人员</w:t>
      </w:r>
      <w:r>
        <w:rPr>
          <w:rFonts w:ascii="宋体" w:hAnsi="宋体"/>
          <w:szCs w:val="21"/>
        </w:rPr>
        <w:tab/>
      </w:r>
      <w:r>
        <w:rPr>
          <w:rFonts w:ascii="宋体" w:hAnsi="宋体"/>
          <w:szCs w:val="21"/>
        </w:rPr>
        <w:fldChar w:fldCharType="begin"/>
      </w:r>
      <w:r>
        <w:rPr>
          <w:rFonts w:ascii="宋体" w:hAnsi="宋体"/>
          <w:szCs w:val="21"/>
        </w:rPr>
        <w:instrText xml:space="preserve"> PAGEREF _Toc108514009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47C72631">
      <w:pPr>
        <w:pStyle w:val="8"/>
        <w:tabs>
          <w:tab w:val="right" w:leader="dot" w:pos="8296"/>
        </w:tabs>
        <w:rPr>
          <w:rFonts w:ascii="宋体" w:hAnsi="宋体"/>
          <w:szCs w:val="21"/>
        </w:rPr>
      </w:pPr>
      <w:r>
        <w:rPr>
          <w:rFonts w:ascii="宋体" w:hAnsi="宋体"/>
          <w:szCs w:val="21"/>
        </w:rPr>
        <w:t xml:space="preserve">9.2 </w:t>
      </w:r>
      <w:r>
        <w:rPr>
          <w:rFonts w:hint="eastAsia" w:ascii="宋体" w:hAnsi="宋体"/>
          <w:szCs w:val="21"/>
        </w:rPr>
        <w:t>取样</w:t>
      </w:r>
      <w:r>
        <w:rPr>
          <w:rFonts w:ascii="宋体" w:hAnsi="宋体"/>
          <w:szCs w:val="21"/>
        </w:rPr>
        <w:tab/>
      </w:r>
      <w:r>
        <w:rPr>
          <w:rFonts w:ascii="宋体" w:hAnsi="宋体"/>
          <w:szCs w:val="21"/>
        </w:rPr>
        <w:fldChar w:fldCharType="begin"/>
      </w:r>
      <w:r>
        <w:rPr>
          <w:rFonts w:ascii="宋体" w:hAnsi="宋体"/>
          <w:szCs w:val="21"/>
        </w:rPr>
        <w:instrText xml:space="preserve"> PAGEREF _Toc108514010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6CFF4342">
      <w:pPr>
        <w:pStyle w:val="8"/>
        <w:tabs>
          <w:tab w:val="right" w:leader="dot" w:pos="8296"/>
        </w:tabs>
        <w:rPr>
          <w:rFonts w:ascii="宋体" w:hAnsi="宋体"/>
          <w:szCs w:val="21"/>
        </w:rPr>
      </w:pPr>
      <w:r>
        <w:rPr>
          <w:rFonts w:ascii="宋体" w:hAnsi="宋体"/>
          <w:szCs w:val="21"/>
        </w:rPr>
        <w:t xml:space="preserve">9.3 </w:t>
      </w:r>
      <w:r>
        <w:rPr>
          <w:rFonts w:hint="eastAsia" w:ascii="宋体" w:hAnsi="宋体"/>
          <w:szCs w:val="21"/>
        </w:rPr>
        <w:t>材料、工程设备和工程的试验和检验</w:t>
      </w:r>
      <w:r>
        <w:rPr>
          <w:rFonts w:ascii="宋体" w:hAnsi="宋体"/>
          <w:szCs w:val="21"/>
        </w:rPr>
        <w:tab/>
      </w:r>
      <w:r>
        <w:rPr>
          <w:rFonts w:ascii="宋体" w:hAnsi="宋体"/>
          <w:szCs w:val="21"/>
        </w:rPr>
        <w:fldChar w:fldCharType="begin"/>
      </w:r>
      <w:r>
        <w:rPr>
          <w:rFonts w:ascii="宋体" w:hAnsi="宋体"/>
          <w:szCs w:val="21"/>
        </w:rPr>
        <w:instrText xml:space="preserve"> PAGEREF _Toc108514011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07226030">
      <w:pPr>
        <w:pStyle w:val="8"/>
        <w:tabs>
          <w:tab w:val="right" w:leader="dot" w:pos="8296"/>
        </w:tabs>
        <w:rPr>
          <w:rFonts w:ascii="宋体" w:hAnsi="宋体"/>
          <w:szCs w:val="21"/>
        </w:rPr>
      </w:pPr>
      <w:r>
        <w:rPr>
          <w:rFonts w:ascii="宋体" w:hAnsi="宋体"/>
          <w:szCs w:val="21"/>
        </w:rPr>
        <w:t xml:space="preserve">9.4 </w:t>
      </w:r>
      <w:r>
        <w:rPr>
          <w:rFonts w:hint="eastAsia" w:ascii="宋体" w:hAnsi="宋体"/>
          <w:szCs w:val="21"/>
        </w:rPr>
        <w:t>现场工艺试验</w:t>
      </w:r>
      <w:r>
        <w:rPr>
          <w:rFonts w:ascii="宋体" w:hAnsi="宋体"/>
          <w:szCs w:val="21"/>
        </w:rPr>
        <w:tab/>
      </w:r>
      <w:r>
        <w:rPr>
          <w:rFonts w:ascii="宋体" w:hAnsi="宋体"/>
          <w:szCs w:val="21"/>
        </w:rPr>
        <w:fldChar w:fldCharType="begin"/>
      </w:r>
      <w:r>
        <w:rPr>
          <w:rFonts w:ascii="宋体" w:hAnsi="宋体"/>
          <w:szCs w:val="21"/>
        </w:rPr>
        <w:instrText xml:space="preserve"> PAGEREF _Toc108514012 \h </w:instrText>
      </w:r>
      <w:r>
        <w:rPr>
          <w:rFonts w:ascii="宋体" w:hAnsi="宋体"/>
          <w:szCs w:val="21"/>
        </w:rPr>
        <w:fldChar w:fldCharType="separate"/>
      </w:r>
      <w:r>
        <w:rPr>
          <w:rFonts w:ascii="宋体" w:hAnsi="宋体"/>
          <w:szCs w:val="21"/>
        </w:rPr>
        <w:t>245</w:t>
      </w:r>
      <w:r>
        <w:rPr>
          <w:rFonts w:ascii="宋体" w:hAnsi="宋体"/>
          <w:szCs w:val="21"/>
        </w:rPr>
        <w:fldChar w:fldCharType="end"/>
      </w:r>
    </w:p>
    <w:p w14:paraId="65275A61">
      <w:pPr>
        <w:pStyle w:val="13"/>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_Toc108514013 \h </w:instrText>
      </w:r>
      <w:r>
        <w:rPr>
          <w:rFonts w:ascii="宋体" w:hAnsi="宋体" w:eastAsia="宋体"/>
          <w:sz w:val="21"/>
          <w:szCs w:val="21"/>
        </w:rPr>
        <w:fldChar w:fldCharType="separate"/>
      </w:r>
      <w:r>
        <w:rPr>
          <w:rFonts w:ascii="宋体" w:hAnsi="宋体" w:eastAsia="宋体"/>
          <w:sz w:val="21"/>
          <w:szCs w:val="21"/>
        </w:rPr>
        <w:t>246</w:t>
      </w:r>
      <w:r>
        <w:rPr>
          <w:rFonts w:ascii="宋体" w:hAnsi="宋体" w:eastAsia="宋体"/>
          <w:sz w:val="21"/>
          <w:szCs w:val="21"/>
        </w:rPr>
        <w:fldChar w:fldCharType="end"/>
      </w:r>
    </w:p>
    <w:p w14:paraId="31559ED4">
      <w:pPr>
        <w:pStyle w:val="8"/>
        <w:tabs>
          <w:tab w:val="right" w:leader="dot" w:pos="8296"/>
        </w:tabs>
        <w:rPr>
          <w:rFonts w:ascii="宋体" w:hAnsi="宋体"/>
          <w:szCs w:val="21"/>
        </w:rPr>
      </w:pPr>
      <w:r>
        <w:rPr>
          <w:rFonts w:ascii="宋体" w:hAnsi="宋体"/>
          <w:szCs w:val="21"/>
        </w:rPr>
        <w:t xml:space="preserve">10.1 </w:t>
      </w:r>
      <w:r>
        <w:rPr>
          <w:rFonts w:hint="eastAsia" w:ascii="宋体" w:hAnsi="宋体"/>
          <w:szCs w:val="21"/>
        </w:rPr>
        <w:t>变更的范围</w:t>
      </w:r>
      <w:r>
        <w:rPr>
          <w:rFonts w:ascii="宋体" w:hAnsi="宋体"/>
          <w:szCs w:val="21"/>
        </w:rPr>
        <w:tab/>
      </w:r>
      <w:r>
        <w:rPr>
          <w:rFonts w:ascii="宋体" w:hAnsi="宋体"/>
          <w:szCs w:val="21"/>
        </w:rPr>
        <w:fldChar w:fldCharType="begin"/>
      </w:r>
      <w:r>
        <w:rPr>
          <w:rFonts w:ascii="宋体" w:hAnsi="宋体"/>
          <w:szCs w:val="21"/>
        </w:rPr>
        <w:instrText xml:space="preserve"> PAGEREF _Toc108514014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0A98832F">
      <w:pPr>
        <w:pStyle w:val="8"/>
        <w:tabs>
          <w:tab w:val="right" w:leader="dot" w:pos="8296"/>
        </w:tabs>
        <w:rPr>
          <w:rFonts w:ascii="宋体" w:hAnsi="宋体"/>
          <w:szCs w:val="21"/>
        </w:rPr>
      </w:pPr>
      <w:r>
        <w:rPr>
          <w:rFonts w:ascii="宋体" w:hAnsi="宋体"/>
          <w:szCs w:val="21"/>
        </w:rPr>
        <w:t xml:space="preserve">10.2 </w:t>
      </w:r>
      <w:r>
        <w:rPr>
          <w:rFonts w:hint="eastAsia" w:ascii="宋体" w:hAnsi="宋体"/>
          <w:szCs w:val="21"/>
        </w:rPr>
        <w:t>变更权</w:t>
      </w:r>
      <w:r>
        <w:rPr>
          <w:rFonts w:ascii="宋体" w:hAnsi="宋体"/>
          <w:szCs w:val="21"/>
        </w:rPr>
        <w:tab/>
      </w:r>
      <w:r>
        <w:rPr>
          <w:rFonts w:ascii="宋体" w:hAnsi="宋体"/>
          <w:szCs w:val="21"/>
        </w:rPr>
        <w:fldChar w:fldCharType="begin"/>
      </w:r>
      <w:r>
        <w:rPr>
          <w:rFonts w:ascii="宋体" w:hAnsi="宋体"/>
          <w:szCs w:val="21"/>
        </w:rPr>
        <w:instrText xml:space="preserve"> PAGEREF _Toc108514015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1C3C6E8C">
      <w:pPr>
        <w:pStyle w:val="8"/>
        <w:tabs>
          <w:tab w:val="right" w:leader="dot" w:pos="8296"/>
        </w:tabs>
        <w:rPr>
          <w:rFonts w:ascii="宋体" w:hAnsi="宋体"/>
          <w:szCs w:val="21"/>
        </w:rPr>
      </w:pPr>
      <w:r>
        <w:rPr>
          <w:rFonts w:ascii="宋体" w:hAnsi="宋体"/>
          <w:szCs w:val="21"/>
        </w:rPr>
        <w:t xml:space="preserve">10.3 </w:t>
      </w:r>
      <w:r>
        <w:rPr>
          <w:rFonts w:hint="eastAsia" w:ascii="宋体" w:hAnsi="宋体"/>
          <w:szCs w:val="21"/>
        </w:rPr>
        <w:t>变更程序</w:t>
      </w:r>
      <w:r>
        <w:rPr>
          <w:rFonts w:ascii="宋体" w:hAnsi="宋体"/>
          <w:szCs w:val="21"/>
        </w:rPr>
        <w:tab/>
      </w:r>
      <w:r>
        <w:rPr>
          <w:rFonts w:ascii="宋体" w:hAnsi="宋体"/>
          <w:szCs w:val="21"/>
        </w:rPr>
        <w:fldChar w:fldCharType="begin"/>
      </w:r>
      <w:r>
        <w:rPr>
          <w:rFonts w:ascii="宋体" w:hAnsi="宋体"/>
          <w:szCs w:val="21"/>
        </w:rPr>
        <w:instrText xml:space="preserve"> PAGEREF _Toc108514016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6B2939E7">
      <w:pPr>
        <w:pStyle w:val="8"/>
        <w:tabs>
          <w:tab w:val="right" w:leader="dot" w:pos="8296"/>
        </w:tabs>
        <w:rPr>
          <w:rFonts w:ascii="宋体" w:hAnsi="宋体"/>
          <w:szCs w:val="21"/>
        </w:rPr>
      </w:pPr>
      <w:r>
        <w:rPr>
          <w:rFonts w:ascii="宋体" w:hAnsi="宋体"/>
          <w:szCs w:val="21"/>
        </w:rPr>
        <w:t xml:space="preserve">10.4 </w:t>
      </w:r>
      <w:r>
        <w:rPr>
          <w:rFonts w:hint="eastAsia" w:ascii="宋体" w:hAnsi="宋体"/>
          <w:szCs w:val="21"/>
        </w:rPr>
        <w:t>变更估价</w:t>
      </w:r>
      <w:r>
        <w:rPr>
          <w:rFonts w:ascii="宋体" w:hAnsi="宋体"/>
          <w:szCs w:val="21"/>
        </w:rPr>
        <w:tab/>
      </w:r>
      <w:r>
        <w:rPr>
          <w:rFonts w:ascii="宋体" w:hAnsi="宋体"/>
          <w:szCs w:val="21"/>
        </w:rPr>
        <w:fldChar w:fldCharType="begin"/>
      </w:r>
      <w:r>
        <w:rPr>
          <w:rFonts w:ascii="宋体" w:hAnsi="宋体"/>
          <w:szCs w:val="21"/>
        </w:rPr>
        <w:instrText xml:space="preserve"> PAGEREF _Toc108514017 \h </w:instrText>
      </w:r>
      <w:r>
        <w:rPr>
          <w:rFonts w:ascii="宋体" w:hAnsi="宋体"/>
          <w:szCs w:val="21"/>
        </w:rPr>
        <w:fldChar w:fldCharType="separate"/>
      </w:r>
      <w:r>
        <w:rPr>
          <w:rFonts w:ascii="宋体" w:hAnsi="宋体"/>
          <w:szCs w:val="21"/>
        </w:rPr>
        <w:t>246</w:t>
      </w:r>
      <w:r>
        <w:rPr>
          <w:rFonts w:ascii="宋体" w:hAnsi="宋体"/>
          <w:szCs w:val="21"/>
        </w:rPr>
        <w:fldChar w:fldCharType="end"/>
      </w:r>
    </w:p>
    <w:p w14:paraId="0492835F">
      <w:pPr>
        <w:pStyle w:val="8"/>
        <w:tabs>
          <w:tab w:val="right" w:leader="dot" w:pos="8296"/>
        </w:tabs>
        <w:rPr>
          <w:rFonts w:ascii="宋体" w:hAnsi="宋体"/>
          <w:szCs w:val="21"/>
        </w:rPr>
      </w:pPr>
      <w:r>
        <w:rPr>
          <w:rFonts w:ascii="宋体" w:hAnsi="宋体"/>
          <w:szCs w:val="21"/>
        </w:rPr>
        <w:t xml:space="preserve">10.5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_Toc108514018 \h </w:instrText>
      </w:r>
      <w:r>
        <w:rPr>
          <w:rFonts w:ascii="宋体" w:hAnsi="宋体"/>
          <w:szCs w:val="21"/>
        </w:rPr>
        <w:fldChar w:fldCharType="separate"/>
      </w:r>
      <w:r>
        <w:rPr>
          <w:rFonts w:ascii="宋体" w:hAnsi="宋体"/>
          <w:szCs w:val="21"/>
        </w:rPr>
        <w:t>247</w:t>
      </w:r>
      <w:r>
        <w:rPr>
          <w:rFonts w:ascii="宋体" w:hAnsi="宋体"/>
          <w:szCs w:val="21"/>
        </w:rPr>
        <w:fldChar w:fldCharType="end"/>
      </w:r>
    </w:p>
    <w:p w14:paraId="129CBD08">
      <w:pPr>
        <w:pStyle w:val="8"/>
        <w:tabs>
          <w:tab w:val="right" w:leader="dot" w:pos="8296"/>
        </w:tabs>
        <w:rPr>
          <w:rFonts w:ascii="宋体" w:hAnsi="宋体"/>
          <w:szCs w:val="21"/>
        </w:rPr>
      </w:pPr>
      <w:r>
        <w:rPr>
          <w:rFonts w:ascii="宋体" w:hAnsi="宋体"/>
          <w:szCs w:val="21"/>
        </w:rPr>
        <w:t xml:space="preserve">10.6 </w:t>
      </w:r>
      <w:r>
        <w:rPr>
          <w:rFonts w:hint="eastAsia" w:ascii="宋体" w:hAnsi="宋体"/>
          <w:szCs w:val="21"/>
        </w:rPr>
        <w:t>变更引起的工期调整</w:t>
      </w:r>
      <w:r>
        <w:rPr>
          <w:rFonts w:ascii="宋体" w:hAnsi="宋体"/>
          <w:szCs w:val="21"/>
        </w:rPr>
        <w:tab/>
      </w:r>
      <w:r>
        <w:rPr>
          <w:rFonts w:ascii="宋体" w:hAnsi="宋体"/>
          <w:szCs w:val="21"/>
        </w:rPr>
        <w:fldChar w:fldCharType="begin"/>
      </w:r>
      <w:r>
        <w:rPr>
          <w:rFonts w:ascii="宋体" w:hAnsi="宋体"/>
          <w:szCs w:val="21"/>
        </w:rPr>
        <w:instrText xml:space="preserve"> PAGEREF _Toc108514019 \h </w:instrText>
      </w:r>
      <w:r>
        <w:rPr>
          <w:rFonts w:ascii="宋体" w:hAnsi="宋体"/>
          <w:szCs w:val="21"/>
        </w:rPr>
        <w:fldChar w:fldCharType="separate"/>
      </w:r>
      <w:r>
        <w:rPr>
          <w:rFonts w:ascii="宋体" w:hAnsi="宋体"/>
          <w:szCs w:val="21"/>
        </w:rPr>
        <w:t>247</w:t>
      </w:r>
      <w:r>
        <w:rPr>
          <w:rFonts w:ascii="宋体" w:hAnsi="宋体"/>
          <w:szCs w:val="21"/>
        </w:rPr>
        <w:fldChar w:fldCharType="end"/>
      </w:r>
    </w:p>
    <w:p w14:paraId="490A50E8">
      <w:pPr>
        <w:pStyle w:val="8"/>
        <w:tabs>
          <w:tab w:val="right" w:leader="dot" w:pos="8296"/>
        </w:tabs>
        <w:rPr>
          <w:rFonts w:ascii="宋体" w:hAnsi="宋体"/>
          <w:szCs w:val="21"/>
        </w:rPr>
      </w:pPr>
      <w:r>
        <w:rPr>
          <w:rFonts w:ascii="宋体" w:hAnsi="宋体"/>
          <w:szCs w:val="21"/>
        </w:rPr>
        <w:t xml:space="preserve">10.7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_Toc108514020 \h </w:instrText>
      </w:r>
      <w:r>
        <w:rPr>
          <w:rFonts w:ascii="宋体" w:hAnsi="宋体"/>
          <w:szCs w:val="21"/>
        </w:rPr>
        <w:fldChar w:fldCharType="separate"/>
      </w:r>
      <w:r>
        <w:rPr>
          <w:rFonts w:ascii="宋体" w:hAnsi="宋体"/>
          <w:szCs w:val="21"/>
        </w:rPr>
        <w:t>247</w:t>
      </w:r>
      <w:r>
        <w:rPr>
          <w:rFonts w:ascii="宋体" w:hAnsi="宋体"/>
          <w:szCs w:val="21"/>
        </w:rPr>
        <w:fldChar w:fldCharType="end"/>
      </w:r>
    </w:p>
    <w:p w14:paraId="7BC3FA83">
      <w:pPr>
        <w:pStyle w:val="8"/>
        <w:tabs>
          <w:tab w:val="right" w:leader="dot" w:pos="8296"/>
        </w:tabs>
        <w:rPr>
          <w:rFonts w:ascii="宋体" w:hAnsi="宋体"/>
          <w:szCs w:val="21"/>
        </w:rPr>
      </w:pPr>
      <w:r>
        <w:rPr>
          <w:rFonts w:ascii="宋体" w:hAnsi="宋体"/>
          <w:szCs w:val="21"/>
        </w:rPr>
        <w:t xml:space="preserve">10.8 </w:t>
      </w:r>
      <w:r>
        <w:rPr>
          <w:rFonts w:hint="eastAsia" w:ascii="宋体" w:hAnsi="宋体"/>
          <w:szCs w:val="21"/>
        </w:rPr>
        <w:t>暂列金额</w:t>
      </w:r>
      <w:r>
        <w:rPr>
          <w:rFonts w:ascii="宋体" w:hAnsi="宋体"/>
          <w:szCs w:val="21"/>
        </w:rPr>
        <w:tab/>
      </w:r>
      <w:r>
        <w:rPr>
          <w:rFonts w:ascii="宋体" w:hAnsi="宋体"/>
          <w:szCs w:val="21"/>
        </w:rPr>
        <w:fldChar w:fldCharType="begin"/>
      </w:r>
      <w:r>
        <w:rPr>
          <w:rFonts w:ascii="宋体" w:hAnsi="宋体"/>
          <w:szCs w:val="21"/>
        </w:rPr>
        <w:instrText xml:space="preserve"> PAGEREF _Toc108514021 \h </w:instrText>
      </w:r>
      <w:r>
        <w:rPr>
          <w:rFonts w:ascii="宋体" w:hAnsi="宋体"/>
          <w:szCs w:val="21"/>
        </w:rPr>
        <w:fldChar w:fldCharType="separate"/>
      </w:r>
      <w:r>
        <w:rPr>
          <w:rFonts w:ascii="宋体" w:hAnsi="宋体"/>
          <w:szCs w:val="21"/>
        </w:rPr>
        <w:t>248</w:t>
      </w:r>
      <w:r>
        <w:rPr>
          <w:rFonts w:ascii="宋体" w:hAnsi="宋体"/>
          <w:szCs w:val="21"/>
        </w:rPr>
        <w:fldChar w:fldCharType="end"/>
      </w:r>
    </w:p>
    <w:p w14:paraId="316A6DFC">
      <w:pPr>
        <w:pStyle w:val="8"/>
        <w:tabs>
          <w:tab w:val="right" w:leader="dot" w:pos="8296"/>
        </w:tabs>
        <w:rPr>
          <w:rFonts w:ascii="宋体" w:hAnsi="宋体"/>
          <w:szCs w:val="21"/>
        </w:rPr>
      </w:pPr>
      <w:r>
        <w:rPr>
          <w:rFonts w:ascii="宋体" w:hAnsi="宋体"/>
          <w:szCs w:val="21"/>
        </w:rPr>
        <w:t xml:space="preserve">10.9 </w:t>
      </w:r>
      <w:r>
        <w:rPr>
          <w:rFonts w:hint="eastAsia" w:ascii="宋体" w:hAnsi="宋体"/>
          <w:szCs w:val="21"/>
        </w:rPr>
        <w:t>计日工</w:t>
      </w:r>
      <w:r>
        <w:rPr>
          <w:rFonts w:ascii="宋体" w:hAnsi="宋体"/>
          <w:szCs w:val="21"/>
        </w:rPr>
        <w:tab/>
      </w:r>
      <w:r>
        <w:rPr>
          <w:rFonts w:ascii="宋体" w:hAnsi="宋体"/>
          <w:szCs w:val="21"/>
        </w:rPr>
        <w:fldChar w:fldCharType="begin"/>
      </w:r>
      <w:r>
        <w:rPr>
          <w:rFonts w:ascii="宋体" w:hAnsi="宋体"/>
          <w:szCs w:val="21"/>
        </w:rPr>
        <w:instrText xml:space="preserve"> PAGEREF _Toc108514022 \h </w:instrText>
      </w:r>
      <w:r>
        <w:rPr>
          <w:rFonts w:ascii="宋体" w:hAnsi="宋体"/>
          <w:szCs w:val="21"/>
        </w:rPr>
        <w:fldChar w:fldCharType="separate"/>
      </w:r>
      <w:r>
        <w:rPr>
          <w:rFonts w:ascii="宋体" w:hAnsi="宋体"/>
          <w:szCs w:val="21"/>
        </w:rPr>
        <w:t>248</w:t>
      </w:r>
      <w:r>
        <w:rPr>
          <w:rFonts w:ascii="宋体" w:hAnsi="宋体"/>
          <w:szCs w:val="21"/>
        </w:rPr>
        <w:fldChar w:fldCharType="end"/>
      </w:r>
    </w:p>
    <w:p w14:paraId="3FC2EC02">
      <w:pPr>
        <w:pStyle w:val="13"/>
        <w:tabs>
          <w:tab w:val="right" w:leader="dot" w:pos="8296"/>
        </w:tabs>
        <w:rPr>
          <w:rFonts w:ascii="宋体" w:hAnsi="宋体" w:eastAsia="宋体"/>
          <w:sz w:val="21"/>
          <w:szCs w:val="21"/>
        </w:rPr>
      </w:pPr>
      <w:r>
        <w:rPr>
          <w:rFonts w:ascii="宋体" w:hAnsi="宋体" w:eastAsia="宋体"/>
          <w:sz w:val="21"/>
          <w:szCs w:val="21"/>
        </w:rPr>
        <w:t xml:space="preserve">11. </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_Toc108514023 \h </w:instrText>
      </w:r>
      <w:r>
        <w:rPr>
          <w:rFonts w:ascii="宋体" w:hAnsi="宋体" w:eastAsia="宋体"/>
          <w:sz w:val="21"/>
          <w:szCs w:val="21"/>
        </w:rPr>
        <w:fldChar w:fldCharType="separate"/>
      </w:r>
      <w:r>
        <w:rPr>
          <w:rFonts w:ascii="宋体" w:hAnsi="宋体" w:eastAsia="宋体"/>
          <w:sz w:val="21"/>
          <w:szCs w:val="21"/>
        </w:rPr>
        <w:t>249</w:t>
      </w:r>
      <w:r>
        <w:rPr>
          <w:rFonts w:ascii="宋体" w:hAnsi="宋体" w:eastAsia="宋体"/>
          <w:sz w:val="21"/>
          <w:szCs w:val="21"/>
        </w:rPr>
        <w:fldChar w:fldCharType="end"/>
      </w:r>
    </w:p>
    <w:p w14:paraId="71CE3F8A">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市场价格波动引起的调整</w:t>
      </w:r>
      <w:r>
        <w:rPr>
          <w:rFonts w:ascii="宋体" w:hAnsi="宋体"/>
          <w:szCs w:val="21"/>
        </w:rPr>
        <w:tab/>
      </w:r>
      <w:r>
        <w:rPr>
          <w:rFonts w:ascii="宋体" w:hAnsi="宋体"/>
          <w:szCs w:val="21"/>
        </w:rPr>
        <w:fldChar w:fldCharType="begin"/>
      </w:r>
      <w:r>
        <w:rPr>
          <w:rFonts w:ascii="宋体" w:hAnsi="宋体"/>
          <w:szCs w:val="21"/>
        </w:rPr>
        <w:instrText xml:space="preserve"> PAGEREF _Toc108514024 \h </w:instrText>
      </w:r>
      <w:r>
        <w:rPr>
          <w:rFonts w:ascii="宋体" w:hAnsi="宋体"/>
          <w:szCs w:val="21"/>
        </w:rPr>
        <w:fldChar w:fldCharType="separate"/>
      </w:r>
      <w:r>
        <w:rPr>
          <w:rFonts w:ascii="宋体" w:hAnsi="宋体"/>
          <w:szCs w:val="21"/>
        </w:rPr>
        <w:t>249</w:t>
      </w:r>
      <w:r>
        <w:rPr>
          <w:rFonts w:ascii="宋体" w:hAnsi="宋体"/>
          <w:szCs w:val="21"/>
        </w:rPr>
        <w:fldChar w:fldCharType="end"/>
      </w:r>
    </w:p>
    <w:p w14:paraId="497934E3">
      <w:pPr>
        <w:pStyle w:val="8"/>
        <w:tabs>
          <w:tab w:val="right" w:leader="dot" w:pos="8296"/>
        </w:tabs>
        <w:rPr>
          <w:rFonts w:ascii="宋体" w:hAnsi="宋体"/>
          <w:szCs w:val="21"/>
        </w:rPr>
      </w:pPr>
      <w:r>
        <w:rPr>
          <w:rFonts w:ascii="宋体" w:hAnsi="宋体"/>
          <w:szCs w:val="21"/>
        </w:rPr>
        <w:t xml:space="preserve">11.2 </w:t>
      </w:r>
      <w:r>
        <w:rPr>
          <w:rFonts w:hint="eastAsia" w:ascii="宋体" w:hAnsi="宋体"/>
          <w:szCs w:val="21"/>
        </w:rPr>
        <w:t>法律变化引起的调整</w:t>
      </w:r>
      <w:r>
        <w:rPr>
          <w:rFonts w:ascii="宋体" w:hAnsi="宋体"/>
          <w:szCs w:val="21"/>
        </w:rPr>
        <w:tab/>
      </w:r>
      <w:r>
        <w:rPr>
          <w:rFonts w:ascii="宋体" w:hAnsi="宋体"/>
          <w:szCs w:val="21"/>
        </w:rPr>
        <w:fldChar w:fldCharType="begin"/>
      </w:r>
      <w:r>
        <w:rPr>
          <w:rFonts w:ascii="宋体" w:hAnsi="宋体"/>
          <w:szCs w:val="21"/>
        </w:rPr>
        <w:instrText xml:space="preserve"> PAGEREF _Toc108514025 \h </w:instrText>
      </w:r>
      <w:r>
        <w:rPr>
          <w:rFonts w:ascii="宋体" w:hAnsi="宋体"/>
          <w:szCs w:val="21"/>
        </w:rPr>
        <w:fldChar w:fldCharType="separate"/>
      </w:r>
      <w:r>
        <w:rPr>
          <w:rFonts w:ascii="宋体" w:hAnsi="宋体"/>
          <w:szCs w:val="21"/>
        </w:rPr>
        <w:t>250</w:t>
      </w:r>
      <w:r>
        <w:rPr>
          <w:rFonts w:ascii="宋体" w:hAnsi="宋体"/>
          <w:szCs w:val="21"/>
        </w:rPr>
        <w:fldChar w:fldCharType="end"/>
      </w:r>
    </w:p>
    <w:p w14:paraId="2EF8E7C5">
      <w:pPr>
        <w:pStyle w:val="13"/>
        <w:tabs>
          <w:tab w:val="right" w:leader="dot" w:pos="8296"/>
        </w:tabs>
        <w:rPr>
          <w:rFonts w:ascii="宋体" w:hAnsi="宋体" w:eastAsia="宋体"/>
          <w:sz w:val="21"/>
          <w:szCs w:val="21"/>
        </w:rPr>
      </w:pPr>
      <w:r>
        <w:rPr>
          <w:rFonts w:ascii="宋体" w:hAnsi="宋体" w:eastAsia="宋体"/>
          <w:sz w:val="21"/>
          <w:szCs w:val="21"/>
        </w:rPr>
        <w:t xml:space="preserve">12. </w:t>
      </w:r>
      <w:r>
        <w:rPr>
          <w:rFonts w:hint="eastAsia" w:ascii="宋体" w:hAnsi="宋体" w:eastAsia="宋体"/>
          <w:sz w:val="21"/>
          <w:szCs w:val="21"/>
        </w:rPr>
        <w:t>合同价格、计量与支付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_Toc108514026 \h </w:instrText>
      </w:r>
      <w:r>
        <w:rPr>
          <w:rFonts w:ascii="宋体" w:hAnsi="宋体" w:eastAsia="宋体"/>
          <w:sz w:val="21"/>
          <w:szCs w:val="21"/>
        </w:rPr>
        <w:fldChar w:fldCharType="separate"/>
      </w:r>
      <w:r>
        <w:rPr>
          <w:rFonts w:ascii="宋体" w:hAnsi="宋体" w:eastAsia="宋体"/>
          <w:sz w:val="21"/>
          <w:szCs w:val="21"/>
        </w:rPr>
        <w:t>251</w:t>
      </w:r>
      <w:r>
        <w:rPr>
          <w:rFonts w:ascii="宋体" w:hAnsi="宋体" w:eastAsia="宋体"/>
          <w:sz w:val="21"/>
          <w:szCs w:val="21"/>
        </w:rPr>
        <w:fldChar w:fldCharType="end"/>
      </w:r>
    </w:p>
    <w:p w14:paraId="44A3A2E5">
      <w:pPr>
        <w:pStyle w:val="8"/>
        <w:tabs>
          <w:tab w:val="right" w:leader="dot" w:pos="8296"/>
        </w:tabs>
        <w:rPr>
          <w:rFonts w:ascii="宋体" w:hAnsi="宋体"/>
          <w:szCs w:val="21"/>
        </w:rPr>
      </w:pPr>
      <w:r>
        <w:rPr>
          <w:rFonts w:ascii="宋体" w:hAnsi="宋体"/>
          <w:szCs w:val="21"/>
        </w:rPr>
        <w:t xml:space="preserve">12.1 </w:t>
      </w:r>
      <w:r>
        <w:rPr>
          <w:rFonts w:hint="eastAsia" w:ascii="宋体" w:hAnsi="宋体"/>
          <w:szCs w:val="21"/>
        </w:rPr>
        <w:t>合同价格形式</w:t>
      </w:r>
      <w:r>
        <w:rPr>
          <w:rFonts w:ascii="宋体" w:hAnsi="宋体"/>
          <w:szCs w:val="21"/>
        </w:rPr>
        <w:tab/>
      </w:r>
      <w:r>
        <w:rPr>
          <w:rFonts w:ascii="宋体" w:hAnsi="宋体"/>
          <w:szCs w:val="21"/>
        </w:rPr>
        <w:fldChar w:fldCharType="begin"/>
      </w:r>
      <w:r>
        <w:rPr>
          <w:rFonts w:ascii="宋体" w:hAnsi="宋体"/>
          <w:szCs w:val="21"/>
        </w:rPr>
        <w:instrText xml:space="preserve"> PAGEREF _Toc108514027 \h </w:instrText>
      </w:r>
      <w:r>
        <w:rPr>
          <w:rFonts w:ascii="宋体" w:hAnsi="宋体"/>
          <w:szCs w:val="21"/>
        </w:rPr>
        <w:fldChar w:fldCharType="separate"/>
      </w:r>
      <w:r>
        <w:rPr>
          <w:rFonts w:ascii="宋体" w:hAnsi="宋体"/>
          <w:szCs w:val="21"/>
        </w:rPr>
        <w:t>251</w:t>
      </w:r>
      <w:r>
        <w:rPr>
          <w:rFonts w:ascii="宋体" w:hAnsi="宋体"/>
          <w:szCs w:val="21"/>
        </w:rPr>
        <w:fldChar w:fldCharType="end"/>
      </w:r>
    </w:p>
    <w:p w14:paraId="26EBCCC3">
      <w:pPr>
        <w:pStyle w:val="8"/>
        <w:tabs>
          <w:tab w:val="right" w:leader="dot" w:pos="8296"/>
        </w:tabs>
        <w:rPr>
          <w:rFonts w:ascii="宋体" w:hAnsi="宋体"/>
          <w:szCs w:val="21"/>
        </w:rPr>
      </w:pPr>
      <w:r>
        <w:rPr>
          <w:rFonts w:ascii="宋体" w:hAnsi="宋体"/>
          <w:szCs w:val="21"/>
        </w:rPr>
        <w:t xml:space="preserve">12.2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_Toc108514028 \h </w:instrText>
      </w:r>
      <w:r>
        <w:rPr>
          <w:rFonts w:ascii="宋体" w:hAnsi="宋体"/>
          <w:szCs w:val="21"/>
        </w:rPr>
        <w:fldChar w:fldCharType="separate"/>
      </w:r>
      <w:r>
        <w:rPr>
          <w:rFonts w:ascii="宋体" w:hAnsi="宋体"/>
          <w:szCs w:val="21"/>
        </w:rPr>
        <w:t>251</w:t>
      </w:r>
      <w:r>
        <w:rPr>
          <w:rFonts w:ascii="宋体" w:hAnsi="宋体"/>
          <w:szCs w:val="21"/>
        </w:rPr>
        <w:fldChar w:fldCharType="end"/>
      </w:r>
    </w:p>
    <w:p w14:paraId="18CB4871">
      <w:pPr>
        <w:pStyle w:val="8"/>
        <w:tabs>
          <w:tab w:val="right" w:leader="dot" w:pos="8296"/>
        </w:tabs>
        <w:rPr>
          <w:rFonts w:ascii="宋体" w:hAnsi="宋体"/>
          <w:szCs w:val="21"/>
        </w:rPr>
      </w:pPr>
      <w:r>
        <w:rPr>
          <w:rFonts w:ascii="宋体" w:hAnsi="宋体"/>
          <w:szCs w:val="21"/>
        </w:rPr>
        <w:t xml:space="preserve">12.3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_Toc108514029 \h </w:instrText>
      </w:r>
      <w:r>
        <w:rPr>
          <w:rFonts w:ascii="宋体" w:hAnsi="宋体"/>
          <w:szCs w:val="21"/>
        </w:rPr>
        <w:fldChar w:fldCharType="separate"/>
      </w:r>
      <w:r>
        <w:rPr>
          <w:rFonts w:ascii="宋体" w:hAnsi="宋体"/>
          <w:szCs w:val="21"/>
        </w:rPr>
        <w:t>251</w:t>
      </w:r>
      <w:r>
        <w:rPr>
          <w:rFonts w:ascii="宋体" w:hAnsi="宋体"/>
          <w:szCs w:val="21"/>
        </w:rPr>
        <w:fldChar w:fldCharType="end"/>
      </w:r>
    </w:p>
    <w:p w14:paraId="4BA26AB6">
      <w:pPr>
        <w:pStyle w:val="8"/>
        <w:tabs>
          <w:tab w:val="right" w:leader="dot" w:pos="8296"/>
        </w:tabs>
        <w:rPr>
          <w:rFonts w:ascii="宋体" w:hAnsi="宋体"/>
          <w:szCs w:val="21"/>
        </w:rPr>
      </w:pPr>
      <w:r>
        <w:rPr>
          <w:rFonts w:ascii="宋体" w:hAnsi="宋体"/>
          <w:szCs w:val="21"/>
        </w:rPr>
        <w:t xml:space="preserve">12.4 </w:t>
      </w:r>
      <w:r>
        <w:rPr>
          <w:rFonts w:hint="eastAsia" w:ascii="宋体" w:hAnsi="宋体"/>
          <w:szCs w:val="21"/>
        </w:rPr>
        <w:t>工程进度款支付</w:t>
      </w:r>
      <w:r>
        <w:rPr>
          <w:rFonts w:ascii="宋体" w:hAnsi="宋体"/>
          <w:szCs w:val="21"/>
        </w:rPr>
        <w:tab/>
      </w:r>
      <w:r>
        <w:rPr>
          <w:rFonts w:ascii="宋体" w:hAnsi="宋体"/>
          <w:szCs w:val="21"/>
        </w:rPr>
        <w:fldChar w:fldCharType="begin"/>
      </w:r>
      <w:r>
        <w:rPr>
          <w:rFonts w:ascii="宋体" w:hAnsi="宋体"/>
          <w:szCs w:val="21"/>
        </w:rPr>
        <w:instrText xml:space="preserve"> PAGEREF _Toc108514030 \h </w:instrText>
      </w:r>
      <w:r>
        <w:rPr>
          <w:rFonts w:ascii="宋体" w:hAnsi="宋体"/>
          <w:szCs w:val="21"/>
        </w:rPr>
        <w:fldChar w:fldCharType="separate"/>
      </w:r>
      <w:r>
        <w:rPr>
          <w:rFonts w:ascii="宋体" w:hAnsi="宋体"/>
          <w:szCs w:val="21"/>
        </w:rPr>
        <w:t>252</w:t>
      </w:r>
      <w:r>
        <w:rPr>
          <w:rFonts w:ascii="宋体" w:hAnsi="宋体"/>
          <w:szCs w:val="21"/>
        </w:rPr>
        <w:fldChar w:fldCharType="end"/>
      </w:r>
    </w:p>
    <w:p w14:paraId="745B154F">
      <w:pPr>
        <w:pStyle w:val="8"/>
        <w:tabs>
          <w:tab w:val="right" w:leader="dot" w:pos="8296"/>
        </w:tabs>
        <w:rPr>
          <w:rFonts w:ascii="宋体" w:hAnsi="宋体"/>
          <w:szCs w:val="21"/>
        </w:rPr>
      </w:pPr>
      <w:r>
        <w:rPr>
          <w:rFonts w:ascii="宋体" w:hAnsi="宋体"/>
          <w:szCs w:val="21"/>
        </w:rPr>
        <w:t xml:space="preserve">12.5 </w:t>
      </w:r>
      <w:r>
        <w:rPr>
          <w:rFonts w:hint="eastAsia" w:ascii="宋体" w:hAnsi="宋体"/>
          <w:szCs w:val="21"/>
        </w:rPr>
        <w:t>支付账户</w:t>
      </w:r>
      <w:r>
        <w:rPr>
          <w:rFonts w:ascii="宋体" w:hAnsi="宋体"/>
          <w:szCs w:val="21"/>
        </w:rPr>
        <w:tab/>
      </w:r>
      <w:r>
        <w:rPr>
          <w:rFonts w:ascii="宋体" w:hAnsi="宋体"/>
          <w:szCs w:val="21"/>
        </w:rPr>
        <w:fldChar w:fldCharType="begin"/>
      </w:r>
      <w:r>
        <w:rPr>
          <w:rFonts w:ascii="宋体" w:hAnsi="宋体"/>
          <w:szCs w:val="21"/>
        </w:rPr>
        <w:instrText xml:space="preserve"> PAGEREF _Toc108514031 \h </w:instrText>
      </w:r>
      <w:r>
        <w:rPr>
          <w:rFonts w:ascii="宋体" w:hAnsi="宋体"/>
          <w:szCs w:val="21"/>
        </w:rPr>
        <w:fldChar w:fldCharType="separate"/>
      </w:r>
      <w:r>
        <w:rPr>
          <w:rFonts w:ascii="宋体" w:hAnsi="宋体"/>
          <w:szCs w:val="21"/>
        </w:rPr>
        <w:t>254</w:t>
      </w:r>
      <w:r>
        <w:rPr>
          <w:rFonts w:ascii="宋体" w:hAnsi="宋体"/>
          <w:szCs w:val="21"/>
        </w:rPr>
        <w:fldChar w:fldCharType="end"/>
      </w:r>
    </w:p>
    <w:p w14:paraId="3DBC2EA1">
      <w:pPr>
        <w:pStyle w:val="13"/>
        <w:tabs>
          <w:tab w:val="right" w:leader="dot" w:pos="8296"/>
        </w:tabs>
        <w:rPr>
          <w:rFonts w:ascii="宋体" w:hAnsi="宋体" w:eastAsia="宋体"/>
          <w:sz w:val="21"/>
          <w:szCs w:val="21"/>
        </w:rPr>
      </w:pPr>
      <w:r>
        <w:rPr>
          <w:rFonts w:ascii="宋体" w:hAnsi="宋体" w:eastAsia="宋体"/>
          <w:sz w:val="21"/>
          <w:szCs w:val="21"/>
        </w:rPr>
        <w:t xml:space="preserve">13. </w:t>
      </w:r>
      <w:r>
        <w:rPr>
          <w:rFonts w:hint="eastAsia" w:ascii="宋体" w:hAnsi="宋体" w:eastAsia="宋体"/>
          <w:sz w:val="21"/>
          <w:szCs w:val="21"/>
        </w:rPr>
        <w:t>验收和工程试车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_Toc108514032 \h </w:instrText>
      </w:r>
      <w:r>
        <w:rPr>
          <w:rFonts w:ascii="宋体" w:hAnsi="宋体" w:eastAsia="宋体"/>
          <w:sz w:val="21"/>
          <w:szCs w:val="21"/>
        </w:rPr>
        <w:fldChar w:fldCharType="separate"/>
      </w:r>
      <w:r>
        <w:rPr>
          <w:rFonts w:ascii="宋体" w:hAnsi="宋体" w:eastAsia="宋体"/>
          <w:sz w:val="21"/>
          <w:szCs w:val="21"/>
        </w:rPr>
        <w:t>254</w:t>
      </w:r>
      <w:r>
        <w:rPr>
          <w:rFonts w:ascii="宋体" w:hAnsi="宋体" w:eastAsia="宋体"/>
          <w:sz w:val="21"/>
          <w:szCs w:val="21"/>
        </w:rPr>
        <w:fldChar w:fldCharType="end"/>
      </w:r>
    </w:p>
    <w:p w14:paraId="6075C62F">
      <w:pPr>
        <w:pStyle w:val="8"/>
        <w:tabs>
          <w:tab w:val="right" w:leader="dot" w:pos="8296"/>
        </w:tabs>
        <w:rPr>
          <w:rFonts w:ascii="宋体" w:hAnsi="宋体"/>
          <w:szCs w:val="21"/>
        </w:rPr>
      </w:pPr>
      <w:r>
        <w:rPr>
          <w:rFonts w:ascii="宋体" w:hAnsi="宋体"/>
          <w:szCs w:val="21"/>
        </w:rPr>
        <w:t xml:space="preserve">13.1 </w:t>
      </w:r>
      <w:r>
        <w:rPr>
          <w:rFonts w:hint="eastAsia" w:ascii="宋体" w:hAnsi="宋体"/>
          <w:szCs w:val="21"/>
        </w:rPr>
        <w:t>分部分项工程验收</w:t>
      </w:r>
      <w:r>
        <w:rPr>
          <w:rFonts w:ascii="宋体" w:hAnsi="宋体"/>
          <w:szCs w:val="21"/>
        </w:rPr>
        <w:tab/>
      </w:r>
      <w:r>
        <w:rPr>
          <w:rFonts w:ascii="宋体" w:hAnsi="宋体"/>
          <w:szCs w:val="21"/>
        </w:rPr>
        <w:fldChar w:fldCharType="begin"/>
      </w:r>
      <w:r>
        <w:rPr>
          <w:rFonts w:ascii="宋体" w:hAnsi="宋体"/>
          <w:szCs w:val="21"/>
        </w:rPr>
        <w:instrText xml:space="preserve"> PAGEREF _Toc108514033 \h </w:instrText>
      </w:r>
      <w:r>
        <w:rPr>
          <w:rFonts w:ascii="宋体" w:hAnsi="宋体"/>
          <w:szCs w:val="21"/>
        </w:rPr>
        <w:fldChar w:fldCharType="separate"/>
      </w:r>
      <w:r>
        <w:rPr>
          <w:rFonts w:ascii="宋体" w:hAnsi="宋体"/>
          <w:szCs w:val="21"/>
        </w:rPr>
        <w:t>254</w:t>
      </w:r>
      <w:r>
        <w:rPr>
          <w:rFonts w:ascii="宋体" w:hAnsi="宋体"/>
          <w:szCs w:val="21"/>
        </w:rPr>
        <w:fldChar w:fldCharType="end"/>
      </w:r>
    </w:p>
    <w:p w14:paraId="4F533EAA">
      <w:pPr>
        <w:pStyle w:val="8"/>
        <w:tabs>
          <w:tab w:val="right" w:leader="dot" w:pos="8296"/>
        </w:tabs>
        <w:rPr>
          <w:rFonts w:ascii="宋体" w:hAnsi="宋体"/>
          <w:szCs w:val="21"/>
        </w:rPr>
      </w:pPr>
      <w:r>
        <w:rPr>
          <w:rFonts w:ascii="宋体" w:hAnsi="宋体"/>
          <w:szCs w:val="21"/>
        </w:rPr>
        <w:t xml:space="preserve">13.2 </w:t>
      </w:r>
      <w:r>
        <w:rPr>
          <w:rFonts w:hint="eastAsia" w:ascii="宋体" w:hAnsi="宋体"/>
          <w:szCs w:val="21"/>
        </w:rPr>
        <w:t>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_Toc108514034 \h </w:instrText>
      </w:r>
      <w:r>
        <w:rPr>
          <w:rFonts w:ascii="宋体" w:hAnsi="宋体"/>
          <w:szCs w:val="21"/>
        </w:rPr>
        <w:fldChar w:fldCharType="separate"/>
      </w:r>
      <w:r>
        <w:rPr>
          <w:rFonts w:ascii="宋体" w:hAnsi="宋体"/>
          <w:szCs w:val="21"/>
        </w:rPr>
        <w:t>255</w:t>
      </w:r>
      <w:r>
        <w:rPr>
          <w:rFonts w:ascii="宋体" w:hAnsi="宋体"/>
          <w:szCs w:val="21"/>
        </w:rPr>
        <w:fldChar w:fldCharType="end"/>
      </w:r>
    </w:p>
    <w:p w14:paraId="0C3BFDC9">
      <w:pPr>
        <w:pStyle w:val="8"/>
        <w:tabs>
          <w:tab w:val="right" w:leader="dot" w:pos="8296"/>
        </w:tabs>
        <w:rPr>
          <w:rFonts w:ascii="宋体" w:hAnsi="宋体"/>
          <w:szCs w:val="21"/>
        </w:rPr>
      </w:pPr>
      <w:r>
        <w:rPr>
          <w:rFonts w:ascii="宋体" w:hAnsi="宋体"/>
          <w:szCs w:val="21"/>
        </w:rPr>
        <w:t xml:space="preserve">13.3 </w:t>
      </w:r>
      <w:r>
        <w:rPr>
          <w:rFonts w:hint="eastAsia" w:ascii="宋体" w:hAnsi="宋体"/>
          <w:szCs w:val="21"/>
        </w:rPr>
        <w:t>工程试车</w:t>
      </w:r>
      <w:r>
        <w:rPr>
          <w:rFonts w:ascii="宋体" w:hAnsi="宋体"/>
          <w:szCs w:val="21"/>
        </w:rPr>
        <w:tab/>
      </w:r>
      <w:r>
        <w:rPr>
          <w:rFonts w:ascii="宋体" w:hAnsi="宋体"/>
          <w:szCs w:val="21"/>
        </w:rPr>
        <w:fldChar w:fldCharType="begin"/>
      </w:r>
      <w:r>
        <w:rPr>
          <w:rFonts w:ascii="宋体" w:hAnsi="宋体"/>
          <w:szCs w:val="21"/>
        </w:rPr>
        <w:instrText xml:space="preserve"> PAGEREF _Toc108514035 \h </w:instrText>
      </w:r>
      <w:r>
        <w:rPr>
          <w:rFonts w:ascii="宋体" w:hAnsi="宋体"/>
          <w:szCs w:val="21"/>
        </w:rPr>
        <w:fldChar w:fldCharType="separate"/>
      </w:r>
      <w:r>
        <w:rPr>
          <w:rFonts w:ascii="宋体" w:hAnsi="宋体"/>
          <w:szCs w:val="21"/>
        </w:rPr>
        <w:t>256</w:t>
      </w:r>
      <w:r>
        <w:rPr>
          <w:rFonts w:ascii="宋体" w:hAnsi="宋体"/>
          <w:szCs w:val="21"/>
        </w:rPr>
        <w:fldChar w:fldCharType="end"/>
      </w:r>
    </w:p>
    <w:p w14:paraId="4A96FAD2">
      <w:pPr>
        <w:pStyle w:val="8"/>
        <w:tabs>
          <w:tab w:val="right" w:leader="dot" w:pos="8296"/>
        </w:tabs>
        <w:rPr>
          <w:rFonts w:ascii="宋体" w:hAnsi="宋体"/>
          <w:szCs w:val="21"/>
        </w:rPr>
      </w:pPr>
      <w:r>
        <w:rPr>
          <w:rFonts w:ascii="宋体" w:hAnsi="宋体"/>
          <w:szCs w:val="21"/>
        </w:rPr>
        <w:t xml:space="preserve">13.4 </w:t>
      </w:r>
      <w:r>
        <w:rPr>
          <w:rFonts w:hint="eastAsia" w:ascii="宋体" w:hAnsi="宋体"/>
          <w:szCs w:val="21"/>
        </w:rPr>
        <w:t>提前交付单位工程的验收</w:t>
      </w:r>
      <w:r>
        <w:rPr>
          <w:rFonts w:ascii="宋体" w:hAnsi="宋体"/>
          <w:szCs w:val="21"/>
        </w:rPr>
        <w:tab/>
      </w:r>
      <w:r>
        <w:rPr>
          <w:rFonts w:ascii="宋体" w:hAnsi="宋体"/>
          <w:szCs w:val="21"/>
        </w:rPr>
        <w:fldChar w:fldCharType="begin"/>
      </w:r>
      <w:r>
        <w:rPr>
          <w:rFonts w:ascii="宋体" w:hAnsi="宋体"/>
          <w:szCs w:val="21"/>
        </w:rPr>
        <w:instrText xml:space="preserve"> PAGEREF _Toc108514036 \h </w:instrText>
      </w:r>
      <w:r>
        <w:rPr>
          <w:rFonts w:ascii="宋体" w:hAnsi="宋体"/>
          <w:szCs w:val="21"/>
        </w:rPr>
        <w:fldChar w:fldCharType="separate"/>
      </w:r>
      <w:r>
        <w:rPr>
          <w:rFonts w:ascii="宋体" w:hAnsi="宋体"/>
          <w:szCs w:val="21"/>
        </w:rPr>
        <w:t>257</w:t>
      </w:r>
      <w:r>
        <w:rPr>
          <w:rFonts w:ascii="宋体" w:hAnsi="宋体"/>
          <w:szCs w:val="21"/>
        </w:rPr>
        <w:fldChar w:fldCharType="end"/>
      </w:r>
    </w:p>
    <w:p w14:paraId="276A073E">
      <w:pPr>
        <w:pStyle w:val="8"/>
        <w:tabs>
          <w:tab w:val="right" w:leader="dot" w:pos="8296"/>
        </w:tabs>
        <w:rPr>
          <w:rFonts w:ascii="宋体" w:hAnsi="宋体"/>
          <w:szCs w:val="21"/>
        </w:rPr>
      </w:pPr>
      <w:r>
        <w:rPr>
          <w:rFonts w:ascii="宋体" w:hAnsi="宋体"/>
          <w:szCs w:val="21"/>
        </w:rPr>
        <w:t xml:space="preserve">13.5 </w:t>
      </w:r>
      <w:r>
        <w:rPr>
          <w:rFonts w:hint="eastAsia" w:ascii="宋体" w:hAnsi="宋体"/>
          <w:szCs w:val="21"/>
        </w:rPr>
        <w:t>施工期运行</w:t>
      </w:r>
      <w:r>
        <w:rPr>
          <w:rFonts w:ascii="宋体" w:hAnsi="宋体"/>
          <w:szCs w:val="21"/>
        </w:rPr>
        <w:tab/>
      </w:r>
      <w:r>
        <w:rPr>
          <w:rFonts w:ascii="宋体" w:hAnsi="宋体"/>
          <w:szCs w:val="21"/>
        </w:rPr>
        <w:fldChar w:fldCharType="begin"/>
      </w:r>
      <w:r>
        <w:rPr>
          <w:rFonts w:ascii="宋体" w:hAnsi="宋体"/>
          <w:szCs w:val="21"/>
        </w:rPr>
        <w:instrText xml:space="preserve"> PAGEREF _Toc108514037 \h </w:instrText>
      </w:r>
      <w:r>
        <w:rPr>
          <w:rFonts w:ascii="宋体" w:hAnsi="宋体"/>
          <w:szCs w:val="21"/>
        </w:rPr>
        <w:fldChar w:fldCharType="separate"/>
      </w:r>
      <w:r>
        <w:rPr>
          <w:rFonts w:ascii="宋体" w:hAnsi="宋体"/>
          <w:szCs w:val="21"/>
        </w:rPr>
        <w:t>257</w:t>
      </w:r>
      <w:r>
        <w:rPr>
          <w:rFonts w:ascii="宋体" w:hAnsi="宋体"/>
          <w:szCs w:val="21"/>
        </w:rPr>
        <w:fldChar w:fldCharType="end"/>
      </w:r>
    </w:p>
    <w:p w14:paraId="753D8682">
      <w:pPr>
        <w:pStyle w:val="8"/>
        <w:tabs>
          <w:tab w:val="right" w:leader="dot" w:pos="8296"/>
        </w:tabs>
        <w:rPr>
          <w:rFonts w:ascii="宋体" w:hAnsi="宋体"/>
          <w:szCs w:val="21"/>
        </w:rPr>
      </w:pPr>
      <w:r>
        <w:rPr>
          <w:rFonts w:ascii="宋体" w:hAnsi="宋体"/>
          <w:szCs w:val="21"/>
        </w:rPr>
        <w:t xml:space="preserve">13.6 </w:t>
      </w:r>
      <w:r>
        <w:rPr>
          <w:rFonts w:hint="eastAsia" w:ascii="宋体" w:hAnsi="宋体"/>
          <w:szCs w:val="21"/>
        </w:rPr>
        <w:t>竣工退场</w:t>
      </w:r>
      <w:r>
        <w:rPr>
          <w:rFonts w:ascii="宋体" w:hAnsi="宋体"/>
          <w:szCs w:val="21"/>
        </w:rPr>
        <w:tab/>
      </w:r>
      <w:r>
        <w:rPr>
          <w:rFonts w:ascii="宋体" w:hAnsi="宋体"/>
          <w:szCs w:val="21"/>
        </w:rPr>
        <w:fldChar w:fldCharType="begin"/>
      </w:r>
      <w:r>
        <w:rPr>
          <w:rFonts w:ascii="宋体" w:hAnsi="宋体"/>
          <w:szCs w:val="21"/>
        </w:rPr>
        <w:instrText xml:space="preserve"> PAGEREF _Toc108514038 \h </w:instrText>
      </w:r>
      <w:r>
        <w:rPr>
          <w:rFonts w:ascii="宋体" w:hAnsi="宋体"/>
          <w:szCs w:val="21"/>
        </w:rPr>
        <w:fldChar w:fldCharType="separate"/>
      </w:r>
      <w:r>
        <w:rPr>
          <w:rFonts w:ascii="宋体" w:hAnsi="宋体"/>
          <w:szCs w:val="21"/>
        </w:rPr>
        <w:t>257</w:t>
      </w:r>
      <w:r>
        <w:rPr>
          <w:rFonts w:ascii="宋体" w:hAnsi="宋体"/>
          <w:szCs w:val="21"/>
        </w:rPr>
        <w:fldChar w:fldCharType="end"/>
      </w:r>
    </w:p>
    <w:p w14:paraId="5C70E36A">
      <w:pPr>
        <w:pStyle w:val="13"/>
        <w:tabs>
          <w:tab w:val="right" w:leader="dot" w:pos="8296"/>
        </w:tabs>
        <w:rPr>
          <w:rFonts w:ascii="宋体" w:hAnsi="宋体" w:eastAsia="宋体"/>
          <w:sz w:val="21"/>
          <w:szCs w:val="21"/>
        </w:rPr>
      </w:pPr>
      <w:r>
        <w:rPr>
          <w:rFonts w:ascii="宋体" w:hAnsi="宋体" w:eastAsia="宋体"/>
          <w:sz w:val="21"/>
          <w:szCs w:val="21"/>
        </w:rPr>
        <w:t xml:space="preserve">14. </w:t>
      </w:r>
      <w:r>
        <w:rPr>
          <w:rFonts w:hint="eastAsia" w:ascii="宋体" w:hAnsi="宋体" w:eastAsia="宋体"/>
          <w:sz w:val="21"/>
          <w:szCs w:val="21"/>
        </w:rPr>
        <w:t>竣工结算</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_Toc108514039 \h </w:instrText>
      </w:r>
      <w:r>
        <w:rPr>
          <w:rFonts w:ascii="宋体" w:hAnsi="宋体" w:eastAsia="宋体"/>
          <w:sz w:val="21"/>
          <w:szCs w:val="21"/>
        </w:rPr>
        <w:fldChar w:fldCharType="separate"/>
      </w:r>
      <w:r>
        <w:rPr>
          <w:rFonts w:ascii="宋体" w:hAnsi="宋体" w:eastAsia="宋体"/>
          <w:sz w:val="21"/>
          <w:szCs w:val="21"/>
        </w:rPr>
        <w:t>258</w:t>
      </w:r>
      <w:r>
        <w:rPr>
          <w:rFonts w:ascii="宋体" w:hAnsi="宋体" w:eastAsia="宋体"/>
          <w:sz w:val="21"/>
          <w:szCs w:val="21"/>
        </w:rPr>
        <w:fldChar w:fldCharType="end"/>
      </w:r>
    </w:p>
    <w:p w14:paraId="2FC7A91B">
      <w:pPr>
        <w:pStyle w:val="8"/>
        <w:tabs>
          <w:tab w:val="right" w:leader="dot" w:pos="8296"/>
        </w:tabs>
        <w:rPr>
          <w:rFonts w:ascii="宋体" w:hAnsi="宋体"/>
          <w:szCs w:val="21"/>
        </w:rPr>
      </w:pPr>
      <w:r>
        <w:rPr>
          <w:rFonts w:ascii="宋体" w:hAnsi="宋体"/>
          <w:szCs w:val="21"/>
        </w:rPr>
        <w:t xml:space="preserve">14.1 </w:t>
      </w:r>
      <w:r>
        <w:rPr>
          <w:rFonts w:hint="eastAsia" w:ascii="宋体" w:hAnsi="宋体"/>
          <w:szCs w:val="21"/>
        </w:rPr>
        <w:t>竣工结算申请</w:t>
      </w:r>
      <w:r>
        <w:rPr>
          <w:rFonts w:ascii="宋体" w:hAnsi="宋体"/>
          <w:szCs w:val="21"/>
        </w:rPr>
        <w:tab/>
      </w:r>
      <w:r>
        <w:rPr>
          <w:rFonts w:ascii="宋体" w:hAnsi="宋体"/>
          <w:szCs w:val="21"/>
        </w:rPr>
        <w:fldChar w:fldCharType="begin"/>
      </w:r>
      <w:r>
        <w:rPr>
          <w:rFonts w:ascii="宋体" w:hAnsi="宋体"/>
          <w:szCs w:val="21"/>
        </w:rPr>
        <w:instrText xml:space="preserve"> PAGEREF _Toc108514040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75E28F15">
      <w:pPr>
        <w:pStyle w:val="8"/>
        <w:tabs>
          <w:tab w:val="right" w:leader="dot" w:pos="8296"/>
        </w:tabs>
        <w:rPr>
          <w:rFonts w:ascii="宋体" w:hAnsi="宋体"/>
          <w:szCs w:val="21"/>
        </w:rPr>
      </w:pPr>
      <w:r>
        <w:rPr>
          <w:rFonts w:ascii="宋体" w:hAnsi="宋体"/>
          <w:szCs w:val="21"/>
        </w:rPr>
        <w:t xml:space="preserve">14.2 </w:t>
      </w:r>
      <w:r>
        <w:rPr>
          <w:rFonts w:hint="eastAsia" w:ascii="宋体" w:hAnsi="宋体"/>
          <w:szCs w:val="21"/>
        </w:rPr>
        <w:t>竣工结算审核</w:t>
      </w:r>
      <w:r>
        <w:rPr>
          <w:rFonts w:ascii="宋体" w:hAnsi="宋体"/>
          <w:szCs w:val="21"/>
        </w:rPr>
        <w:tab/>
      </w:r>
      <w:r>
        <w:rPr>
          <w:rFonts w:ascii="宋体" w:hAnsi="宋体"/>
          <w:szCs w:val="21"/>
        </w:rPr>
        <w:fldChar w:fldCharType="begin"/>
      </w:r>
      <w:r>
        <w:rPr>
          <w:rFonts w:ascii="宋体" w:hAnsi="宋体"/>
          <w:szCs w:val="21"/>
        </w:rPr>
        <w:instrText xml:space="preserve"> PAGEREF _Toc108514041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270FB00E">
      <w:pPr>
        <w:pStyle w:val="8"/>
        <w:tabs>
          <w:tab w:val="right" w:leader="dot" w:pos="8296"/>
        </w:tabs>
        <w:rPr>
          <w:rFonts w:ascii="宋体" w:hAnsi="宋体"/>
          <w:szCs w:val="21"/>
        </w:rPr>
      </w:pPr>
      <w:r>
        <w:rPr>
          <w:rFonts w:ascii="宋体" w:hAnsi="宋体"/>
          <w:szCs w:val="21"/>
        </w:rPr>
        <w:t xml:space="preserve">14.3 </w:t>
      </w:r>
      <w:r>
        <w:rPr>
          <w:rFonts w:hint="eastAsia" w:ascii="宋体" w:hAnsi="宋体"/>
          <w:szCs w:val="21"/>
        </w:rPr>
        <w:t>甩项竣工协议</w:t>
      </w:r>
      <w:r>
        <w:rPr>
          <w:rFonts w:ascii="宋体" w:hAnsi="宋体"/>
          <w:szCs w:val="21"/>
        </w:rPr>
        <w:tab/>
      </w:r>
      <w:r>
        <w:rPr>
          <w:rFonts w:ascii="宋体" w:hAnsi="宋体"/>
          <w:szCs w:val="21"/>
        </w:rPr>
        <w:fldChar w:fldCharType="begin"/>
      </w:r>
      <w:r>
        <w:rPr>
          <w:rFonts w:ascii="宋体" w:hAnsi="宋体"/>
          <w:szCs w:val="21"/>
        </w:rPr>
        <w:instrText xml:space="preserve"> PAGEREF _Toc108514042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63C5AC1F">
      <w:pPr>
        <w:pStyle w:val="8"/>
        <w:tabs>
          <w:tab w:val="right" w:leader="dot" w:pos="8296"/>
        </w:tabs>
        <w:rPr>
          <w:rFonts w:ascii="宋体" w:hAnsi="宋体"/>
          <w:szCs w:val="21"/>
        </w:rPr>
      </w:pPr>
      <w:r>
        <w:rPr>
          <w:rFonts w:ascii="宋体" w:hAnsi="宋体"/>
          <w:szCs w:val="21"/>
        </w:rPr>
        <w:t xml:space="preserve">14.4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_Toc108514043 \h </w:instrText>
      </w:r>
      <w:r>
        <w:rPr>
          <w:rFonts w:ascii="宋体" w:hAnsi="宋体"/>
          <w:szCs w:val="21"/>
        </w:rPr>
        <w:fldChar w:fldCharType="separate"/>
      </w:r>
      <w:r>
        <w:rPr>
          <w:rFonts w:ascii="宋体" w:hAnsi="宋体"/>
          <w:szCs w:val="21"/>
        </w:rPr>
        <w:t>258</w:t>
      </w:r>
      <w:r>
        <w:rPr>
          <w:rFonts w:ascii="宋体" w:hAnsi="宋体"/>
          <w:szCs w:val="21"/>
        </w:rPr>
        <w:fldChar w:fldCharType="end"/>
      </w:r>
    </w:p>
    <w:p w14:paraId="765BF6A7">
      <w:pPr>
        <w:pStyle w:val="13"/>
        <w:tabs>
          <w:tab w:val="right" w:leader="dot" w:pos="8296"/>
        </w:tabs>
        <w:rPr>
          <w:rFonts w:ascii="宋体" w:hAnsi="宋体" w:eastAsia="宋体"/>
          <w:sz w:val="21"/>
          <w:szCs w:val="21"/>
        </w:rPr>
      </w:pPr>
      <w:r>
        <w:rPr>
          <w:rFonts w:ascii="宋体" w:hAnsi="宋体" w:eastAsia="宋体"/>
          <w:sz w:val="21"/>
          <w:szCs w:val="21"/>
        </w:rPr>
        <w:t xml:space="preserve">15. </w:t>
      </w:r>
      <w:r>
        <w:rPr>
          <w:rFonts w:hint="eastAsia" w:ascii="宋体" w:hAnsi="宋体" w:eastAsia="宋体"/>
          <w:sz w:val="21"/>
          <w:szCs w:val="21"/>
        </w:rPr>
        <w:t>缺陷责任与保修</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_Toc108514044 \h </w:instrText>
      </w:r>
      <w:r>
        <w:rPr>
          <w:rFonts w:ascii="宋体" w:hAnsi="宋体" w:eastAsia="宋体"/>
          <w:sz w:val="21"/>
          <w:szCs w:val="21"/>
        </w:rPr>
        <w:fldChar w:fldCharType="separate"/>
      </w:r>
      <w:r>
        <w:rPr>
          <w:rFonts w:ascii="宋体" w:hAnsi="宋体" w:eastAsia="宋体"/>
          <w:sz w:val="21"/>
          <w:szCs w:val="21"/>
        </w:rPr>
        <w:t>259</w:t>
      </w:r>
      <w:r>
        <w:rPr>
          <w:rFonts w:ascii="宋体" w:hAnsi="宋体" w:eastAsia="宋体"/>
          <w:sz w:val="21"/>
          <w:szCs w:val="21"/>
        </w:rPr>
        <w:fldChar w:fldCharType="end"/>
      </w:r>
    </w:p>
    <w:p w14:paraId="040EFBA1">
      <w:pPr>
        <w:pStyle w:val="8"/>
        <w:tabs>
          <w:tab w:val="right" w:leader="dot" w:pos="8296"/>
        </w:tabs>
        <w:rPr>
          <w:rFonts w:ascii="宋体" w:hAnsi="宋体"/>
          <w:szCs w:val="21"/>
        </w:rPr>
      </w:pPr>
      <w:r>
        <w:rPr>
          <w:rFonts w:ascii="宋体" w:hAnsi="宋体"/>
          <w:szCs w:val="21"/>
        </w:rPr>
        <w:t xml:space="preserve">15.1 </w:t>
      </w:r>
      <w:r>
        <w:rPr>
          <w:rFonts w:hint="eastAsia" w:ascii="宋体" w:hAnsi="宋体"/>
          <w:szCs w:val="21"/>
        </w:rPr>
        <w:t>工程保修的原则</w:t>
      </w:r>
      <w:r>
        <w:rPr>
          <w:rFonts w:ascii="宋体" w:hAnsi="宋体"/>
          <w:szCs w:val="21"/>
        </w:rPr>
        <w:tab/>
      </w:r>
      <w:r>
        <w:rPr>
          <w:rFonts w:ascii="宋体" w:hAnsi="宋体"/>
          <w:szCs w:val="21"/>
        </w:rPr>
        <w:fldChar w:fldCharType="begin"/>
      </w:r>
      <w:r>
        <w:rPr>
          <w:rFonts w:ascii="宋体" w:hAnsi="宋体"/>
          <w:szCs w:val="21"/>
        </w:rPr>
        <w:instrText xml:space="preserve"> PAGEREF _Toc108514045 \h </w:instrText>
      </w:r>
      <w:r>
        <w:rPr>
          <w:rFonts w:ascii="宋体" w:hAnsi="宋体"/>
          <w:szCs w:val="21"/>
        </w:rPr>
        <w:fldChar w:fldCharType="separate"/>
      </w:r>
      <w:r>
        <w:rPr>
          <w:rFonts w:ascii="宋体" w:hAnsi="宋体"/>
          <w:szCs w:val="21"/>
        </w:rPr>
        <w:t>259</w:t>
      </w:r>
      <w:r>
        <w:rPr>
          <w:rFonts w:ascii="宋体" w:hAnsi="宋体"/>
          <w:szCs w:val="21"/>
        </w:rPr>
        <w:fldChar w:fldCharType="end"/>
      </w:r>
    </w:p>
    <w:p w14:paraId="17EABB52">
      <w:pPr>
        <w:pStyle w:val="8"/>
        <w:tabs>
          <w:tab w:val="right" w:leader="dot" w:pos="8296"/>
        </w:tabs>
        <w:rPr>
          <w:rFonts w:ascii="宋体" w:hAnsi="宋体"/>
          <w:szCs w:val="21"/>
        </w:rPr>
      </w:pPr>
      <w:r>
        <w:rPr>
          <w:rFonts w:ascii="宋体" w:hAnsi="宋体"/>
          <w:szCs w:val="21"/>
        </w:rPr>
        <w:t xml:space="preserve">15.2 </w:t>
      </w:r>
      <w:r>
        <w:rPr>
          <w:rFonts w:hint="eastAsia" w:ascii="宋体" w:hAnsi="宋体"/>
          <w:szCs w:val="21"/>
        </w:rPr>
        <w:t>缺陷责任期</w:t>
      </w:r>
      <w:r>
        <w:rPr>
          <w:rFonts w:ascii="宋体" w:hAnsi="宋体"/>
          <w:szCs w:val="21"/>
        </w:rPr>
        <w:tab/>
      </w:r>
      <w:r>
        <w:rPr>
          <w:rFonts w:ascii="宋体" w:hAnsi="宋体"/>
          <w:szCs w:val="21"/>
        </w:rPr>
        <w:fldChar w:fldCharType="begin"/>
      </w:r>
      <w:r>
        <w:rPr>
          <w:rFonts w:ascii="宋体" w:hAnsi="宋体"/>
          <w:szCs w:val="21"/>
        </w:rPr>
        <w:instrText xml:space="preserve"> PAGEREF _Toc108514046 \h </w:instrText>
      </w:r>
      <w:r>
        <w:rPr>
          <w:rFonts w:ascii="宋体" w:hAnsi="宋体"/>
          <w:szCs w:val="21"/>
        </w:rPr>
        <w:fldChar w:fldCharType="separate"/>
      </w:r>
      <w:r>
        <w:rPr>
          <w:rFonts w:ascii="宋体" w:hAnsi="宋体"/>
          <w:szCs w:val="21"/>
        </w:rPr>
        <w:t>259</w:t>
      </w:r>
      <w:r>
        <w:rPr>
          <w:rFonts w:ascii="宋体" w:hAnsi="宋体"/>
          <w:szCs w:val="21"/>
        </w:rPr>
        <w:fldChar w:fldCharType="end"/>
      </w:r>
    </w:p>
    <w:p w14:paraId="4104B3AB">
      <w:pPr>
        <w:pStyle w:val="8"/>
        <w:tabs>
          <w:tab w:val="right" w:leader="dot" w:pos="8296"/>
        </w:tabs>
        <w:rPr>
          <w:rFonts w:ascii="宋体" w:hAnsi="宋体"/>
          <w:szCs w:val="21"/>
        </w:rPr>
      </w:pPr>
      <w:r>
        <w:rPr>
          <w:rFonts w:ascii="宋体" w:hAnsi="宋体"/>
          <w:szCs w:val="21"/>
        </w:rPr>
        <w:t xml:space="preserve">15.3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_Toc108514047 \h </w:instrText>
      </w:r>
      <w:r>
        <w:rPr>
          <w:rFonts w:ascii="宋体" w:hAnsi="宋体"/>
          <w:szCs w:val="21"/>
        </w:rPr>
        <w:fldChar w:fldCharType="separate"/>
      </w:r>
      <w:r>
        <w:rPr>
          <w:rFonts w:ascii="宋体" w:hAnsi="宋体"/>
          <w:szCs w:val="21"/>
        </w:rPr>
        <w:t>260</w:t>
      </w:r>
      <w:r>
        <w:rPr>
          <w:rFonts w:ascii="宋体" w:hAnsi="宋体"/>
          <w:szCs w:val="21"/>
        </w:rPr>
        <w:fldChar w:fldCharType="end"/>
      </w:r>
    </w:p>
    <w:p w14:paraId="664CF5D8">
      <w:pPr>
        <w:pStyle w:val="8"/>
        <w:tabs>
          <w:tab w:val="right" w:leader="dot" w:pos="8296"/>
        </w:tabs>
        <w:rPr>
          <w:rFonts w:ascii="宋体" w:hAnsi="宋体"/>
          <w:szCs w:val="21"/>
        </w:rPr>
      </w:pPr>
      <w:r>
        <w:rPr>
          <w:rFonts w:ascii="宋体" w:hAnsi="宋体"/>
          <w:szCs w:val="21"/>
        </w:rPr>
        <w:t xml:space="preserve">15.4 </w:t>
      </w:r>
      <w:r>
        <w:rPr>
          <w:rFonts w:hint="eastAsia" w:ascii="宋体" w:hAnsi="宋体"/>
          <w:szCs w:val="21"/>
        </w:rPr>
        <w:t>保修</w:t>
      </w:r>
      <w:r>
        <w:rPr>
          <w:rFonts w:ascii="宋体" w:hAnsi="宋体"/>
          <w:szCs w:val="21"/>
        </w:rPr>
        <w:tab/>
      </w:r>
      <w:r>
        <w:rPr>
          <w:rFonts w:ascii="宋体" w:hAnsi="宋体"/>
          <w:szCs w:val="21"/>
        </w:rPr>
        <w:fldChar w:fldCharType="begin"/>
      </w:r>
      <w:r>
        <w:rPr>
          <w:rFonts w:ascii="宋体" w:hAnsi="宋体"/>
          <w:szCs w:val="21"/>
        </w:rPr>
        <w:instrText xml:space="preserve"> PAGEREF _Toc108514048 \h </w:instrText>
      </w:r>
      <w:r>
        <w:rPr>
          <w:rFonts w:ascii="宋体" w:hAnsi="宋体"/>
          <w:szCs w:val="21"/>
        </w:rPr>
        <w:fldChar w:fldCharType="separate"/>
      </w:r>
      <w:r>
        <w:rPr>
          <w:rFonts w:ascii="宋体" w:hAnsi="宋体"/>
          <w:szCs w:val="21"/>
        </w:rPr>
        <w:t>260</w:t>
      </w:r>
      <w:r>
        <w:rPr>
          <w:rFonts w:ascii="宋体" w:hAnsi="宋体"/>
          <w:szCs w:val="21"/>
        </w:rPr>
        <w:fldChar w:fldCharType="end"/>
      </w:r>
    </w:p>
    <w:p w14:paraId="2C220AA2">
      <w:pPr>
        <w:pStyle w:val="13"/>
        <w:tabs>
          <w:tab w:val="right" w:leader="dot" w:pos="8296"/>
        </w:tabs>
        <w:rPr>
          <w:rFonts w:ascii="宋体" w:hAnsi="宋体" w:eastAsia="宋体"/>
          <w:sz w:val="21"/>
          <w:szCs w:val="21"/>
        </w:rPr>
      </w:pPr>
      <w:r>
        <w:rPr>
          <w:rFonts w:ascii="宋体" w:hAnsi="宋体" w:eastAsia="宋体"/>
          <w:sz w:val="21"/>
          <w:szCs w:val="21"/>
        </w:rPr>
        <w:t xml:space="preserve">16. </w:t>
      </w:r>
      <w:r>
        <w:rPr>
          <w:rFonts w:hint="eastAsia" w:ascii="宋体" w:hAnsi="宋体" w:eastAsia="宋体"/>
          <w:sz w:val="21"/>
          <w:szCs w:val="21"/>
        </w:rPr>
        <w:t>违约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_Toc108514049 \h </w:instrText>
      </w:r>
      <w:r>
        <w:rPr>
          <w:rFonts w:ascii="宋体" w:hAnsi="宋体" w:eastAsia="宋体"/>
          <w:sz w:val="21"/>
          <w:szCs w:val="21"/>
        </w:rPr>
        <w:fldChar w:fldCharType="separate"/>
      </w:r>
      <w:r>
        <w:rPr>
          <w:rFonts w:ascii="宋体" w:hAnsi="宋体" w:eastAsia="宋体"/>
          <w:sz w:val="21"/>
          <w:szCs w:val="21"/>
        </w:rPr>
        <w:t>261</w:t>
      </w:r>
      <w:r>
        <w:rPr>
          <w:rFonts w:ascii="宋体" w:hAnsi="宋体" w:eastAsia="宋体"/>
          <w:sz w:val="21"/>
          <w:szCs w:val="21"/>
        </w:rPr>
        <w:fldChar w:fldCharType="end"/>
      </w:r>
    </w:p>
    <w:p w14:paraId="689053C8">
      <w:pPr>
        <w:pStyle w:val="8"/>
        <w:tabs>
          <w:tab w:val="right" w:leader="dot" w:pos="8296"/>
        </w:tabs>
        <w:rPr>
          <w:rFonts w:ascii="宋体" w:hAnsi="宋体"/>
          <w:szCs w:val="21"/>
        </w:rPr>
      </w:pPr>
      <w:r>
        <w:rPr>
          <w:rFonts w:ascii="宋体" w:hAnsi="宋体"/>
          <w:szCs w:val="21"/>
        </w:rPr>
        <w:t xml:space="preserve">16.1 </w:t>
      </w:r>
      <w:r>
        <w:rPr>
          <w:rFonts w:hint="eastAsia" w:ascii="宋体" w:hAnsi="宋体"/>
          <w:szCs w:val="21"/>
        </w:rPr>
        <w:t>发包人违约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_Toc108514050 \h </w:instrText>
      </w:r>
      <w:r>
        <w:rPr>
          <w:rFonts w:ascii="宋体" w:hAnsi="宋体"/>
          <w:szCs w:val="21"/>
        </w:rPr>
        <w:fldChar w:fldCharType="separate"/>
      </w:r>
      <w:r>
        <w:rPr>
          <w:rFonts w:ascii="宋体" w:hAnsi="宋体"/>
          <w:szCs w:val="21"/>
        </w:rPr>
        <w:t>261</w:t>
      </w:r>
      <w:r>
        <w:rPr>
          <w:rFonts w:ascii="宋体" w:hAnsi="宋体"/>
          <w:szCs w:val="21"/>
        </w:rPr>
        <w:fldChar w:fldCharType="end"/>
      </w:r>
    </w:p>
    <w:p w14:paraId="7405A7B1">
      <w:pPr>
        <w:pStyle w:val="8"/>
        <w:tabs>
          <w:tab w:val="right" w:leader="dot" w:pos="8296"/>
        </w:tabs>
        <w:rPr>
          <w:rFonts w:ascii="宋体" w:hAnsi="宋体"/>
          <w:szCs w:val="21"/>
        </w:rPr>
      </w:pPr>
      <w:r>
        <w:rPr>
          <w:rFonts w:ascii="宋体" w:hAnsi="宋体"/>
          <w:szCs w:val="21"/>
        </w:rPr>
        <w:t xml:space="preserve">16.2 </w:t>
      </w:r>
      <w:r>
        <w:rPr>
          <w:rFonts w:hint="eastAsia" w:ascii="宋体" w:hAnsi="宋体"/>
          <w:szCs w:val="21"/>
        </w:rPr>
        <w:t>承包人违约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_Toc108514051 \h </w:instrText>
      </w:r>
      <w:r>
        <w:rPr>
          <w:rFonts w:ascii="宋体" w:hAnsi="宋体"/>
          <w:szCs w:val="21"/>
        </w:rPr>
        <w:fldChar w:fldCharType="separate"/>
      </w:r>
      <w:r>
        <w:rPr>
          <w:rFonts w:ascii="宋体" w:hAnsi="宋体"/>
          <w:szCs w:val="21"/>
        </w:rPr>
        <w:t>262</w:t>
      </w:r>
      <w:r>
        <w:rPr>
          <w:rFonts w:ascii="宋体" w:hAnsi="宋体"/>
          <w:szCs w:val="21"/>
        </w:rPr>
        <w:fldChar w:fldCharType="end"/>
      </w:r>
    </w:p>
    <w:p w14:paraId="634A33E7">
      <w:pPr>
        <w:pStyle w:val="8"/>
        <w:tabs>
          <w:tab w:val="right" w:leader="dot" w:pos="8296"/>
        </w:tabs>
        <w:rPr>
          <w:rFonts w:ascii="宋体" w:hAnsi="宋体"/>
          <w:szCs w:val="21"/>
        </w:rPr>
      </w:pPr>
      <w:r>
        <w:rPr>
          <w:rFonts w:ascii="宋体" w:hAnsi="宋体"/>
          <w:szCs w:val="21"/>
        </w:rPr>
        <w:t xml:space="preserve">16.3 </w:t>
      </w:r>
      <w:r>
        <w:rPr>
          <w:rFonts w:hint="eastAsia" w:ascii="宋体" w:hAnsi="宋体"/>
          <w:szCs w:val="21"/>
        </w:rPr>
        <w:t>第三人造成的违约</w:t>
      </w:r>
      <w:r>
        <w:rPr>
          <w:rFonts w:ascii="宋体" w:hAnsi="宋体"/>
          <w:szCs w:val="21"/>
        </w:rPr>
        <w:tab/>
      </w:r>
      <w:r>
        <w:rPr>
          <w:rFonts w:ascii="宋体" w:hAnsi="宋体"/>
          <w:szCs w:val="21"/>
        </w:rPr>
        <w:fldChar w:fldCharType="begin"/>
      </w:r>
      <w:r>
        <w:rPr>
          <w:rFonts w:ascii="宋体" w:hAnsi="宋体"/>
          <w:szCs w:val="21"/>
        </w:rPr>
        <w:instrText xml:space="preserve"> PAGEREF _Toc108514052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27EE59BA">
      <w:pPr>
        <w:pStyle w:val="13"/>
        <w:tabs>
          <w:tab w:val="right" w:leader="dot" w:pos="8296"/>
        </w:tabs>
        <w:rPr>
          <w:rFonts w:ascii="宋体" w:hAnsi="宋体" w:eastAsia="宋体"/>
          <w:sz w:val="21"/>
          <w:szCs w:val="21"/>
        </w:rPr>
      </w:pPr>
      <w:r>
        <w:rPr>
          <w:rFonts w:ascii="宋体" w:hAnsi="宋体" w:eastAsia="宋体"/>
          <w:sz w:val="21"/>
          <w:szCs w:val="21"/>
        </w:rPr>
        <w:t xml:space="preserve">17. </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_Toc108514053 \h </w:instrText>
      </w:r>
      <w:r>
        <w:rPr>
          <w:rFonts w:ascii="宋体" w:hAnsi="宋体" w:eastAsia="宋体"/>
          <w:sz w:val="21"/>
          <w:szCs w:val="21"/>
        </w:rPr>
        <w:fldChar w:fldCharType="separate"/>
      </w:r>
      <w:r>
        <w:rPr>
          <w:rFonts w:ascii="宋体" w:hAnsi="宋体" w:eastAsia="宋体"/>
          <w:sz w:val="21"/>
          <w:szCs w:val="21"/>
        </w:rPr>
        <w:t>264</w:t>
      </w:r>
      <w:r>
        <w:rPr>
          <w:rFonts w:ascii="宋体" w:hAnsi="宋体" w:eastAsia="宋体"/>
          <w:sz w:val="21"/>
          <w:szCs w:val="21"/>
        </w:rPr>
        <w:fldChar w:fldCharType="end"/>
      </w:r>
    </w:p>
    <w:p w14:paraId="222FCB47">
      <w:pPr>
        <w:pStyle w:val="8"/>
        <w:tabs>
          <w:tab w:val="right" w:leader="dot" w:pos="8296"/>
        </w:tabs>
        <w:rPr>
          <w:rFonts w:ascii="宋体" w:hAnsi="宋体"/>
          <w:szCs w:val="21"/>
        </w:rPr>
      </w:pPr>
      <w:r>
        <w:rPr>
          <w:rFonts w:ascii="宋体" w:hAnsi="宋体"/>
          <w:szCs w:val="21"/>
        </w:rPr>
        <w:t xml:space="preserve">17.1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_Toc108514054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03E299EF">
      <w:pPr>
        <w:pStyle w:val="8"/>
        <w:tabs>
          <w:tab w:val="right" w:leader="dot" w:pos="8296"/>
        </w:tabs>
        <w:rPr>
          <w:rFonts w:ascii="宋体" w:hAnsi="宋体"/>
          <w:szCs w:val="21"/>
        </w:rPr>
      </w:pPr>
      <w:r>
        <w:rPr>
          <w:rFonts w:ascii="宋体" w:hAnsi="宋体"/>
          <w:szCs w:val="21"/>
        </w:rPr>
        <w:t xml:space="preserve">17.2 </w:t>
      </w:r>
      <w:r>
        <w:rPr>
          <w:rFonts w:hint="eastAsia" w:ascii="宋体" w:hAnsi="宋体"/>
          <w:szCs w:val="21"/>
        </w:rPr>
        <w:t>不可抗力的通知</w:t>
      </w:r>
      <w:r>
        <w:rPr>
          <w:rFonts w:ascii="宋体" w:hAnsi="宋体"/>
          <w:szCs w:val="21"/>
        </w:rPr>
        <w:tab/>
      </w:r>
      <w:r>
        <w:rPr>
          <w:rFonts w:ascii="宋体" w:hAnsi="宋体"/>
          <w:szCs w:val="21"/>
        </w:rPr>
        <w:fldChar w:fldCharType="begin"/>
      </w:r>
      <w:r>
        <w:rPr>
          <w:rFonts w:ascii="宋体" w:hAnsi="宋体"/>
          <w:szCs w:val="21"/>
        </w:rPr>
        <w:instrText xml:space="preserve"> PAGEREF _Toc108514055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79002CE0">
      <w:pPr>
        <w:pStyle w:val="8"/>
        <w:tabs>
          <w:tab w:val="right" w:leader="dot" w:pos="8296"/>
        </w:tabs>
        <w:rPr>
          <w:rFonts w:ascii="宋体" w:hAnsi="宋体"/>
          <w:szCs w:val="21"/>
        </w:rPr>
      </w:pPr>
      <w:r>
        <w:rPr>
          <w:rFonts w:ascii="宋体" w:hAnsi="宋体"/>
          <w:szCs w:val="21"/>
        </w:rPr>
        <w:t xml:space="preserve">17.3 </w:t>
      </w:r>
      <w:r>
        <w:rPr>
          <w:rFonts w:hint="eastAsia" w:ascii="宋体" w:hAnsi="宋体"/>
          <w:szCs w:val="21"/>
        </w:rPr>
        <w:t>不可抗力后果的承担</w:t>
      </w:r>
      <w:r>
        <w:rPr>
          <w:rFonts w:ascii="宋体" w:hAnsi="宋体"/>
          <w:szCs w:val="21"/>
        </w:rPr>
        <w:tab/>
      </w:r>
      <w:r>
        <w:rPr>
          <w:rFonts w:ascii="宋体" w:hAnsi="宋体"/>
          <w:szCs w:val="21"/>
        </w:rPr>
        <w:fldChar w:fldCharType="begin"/>
      </w:r>
      <w:r>
        <w:rPr>
          <w:rFonts w:ascii="宋体" w:hAnsi="宋体"/>
          <w:szCs w:val="21"/>
        </w:rPr>
        <w:instrText xml:space="preserve"> PAGEREF _Toc108514056 \h </w:instrText>
      </w:r>
      <w:r>
        <w:rPr>
          <w:rFonts w:ascii="宋体" w:hAnsi="宋体"/>
          <w:szCs w:val="21"/>
        </w:rPr>
        <w:fldChar w:fldCharType="separate"/>
      </w:r>
      <w:r>
        <w:rPr>
          <w:rFonts w:ascii="宋体" w:hAnsi="宋体"/>
          <w:szCs w:val="21"/>
        </w:rPr>
        <w:t>264</w:t>
      </w:r>
      <w:r>
        <w:rPr>
          <w:rFonts w:ascii="宋体" w:hAnsi="宋体"/>
          <w:szCs w:val="21"/>
        </w:rPr>
        <w:fldChar w:fldCharType="end"/>
      </w:r>
    </w:p>
    <w:p w14:paraId="2DAC79EB">
      <w:pPr>
        <w:pStyle w:val="8"/>
        <w:tabs>
          <w:tab w:val="right" w:leader="dot" w:pos="8296"/>
        </w:tabs>
        <w:rPr>
          <w:rFonts w:ascii="宋体" w:hAnsi="宋体"/>
          <w:szCs w:val="21"/>
        </w:rPr>
      </w:pPr>
      <w:r>
        <w:rPr>
          <w:rFonts w:ascii="宋体" w:hAnsi="宋体"/>
          <w:szCs w:val="21"/>
        </w:rPr>
        <w:t xml:space="preserve">17.4 </w:t>
      </w:r>
      <w:r>
        <w:rPr>
          <w:rFonts w:hint="eastAsia" w:ascii="宋体" w:hAnsi="宋体"/>
          <w:szCs w:val="21"/>
        </w:rPr>
        <w:t>因不可抗力解除合同</w:t>
      </w:r>
      <w:r>
        <w:rPr>
          <w:rFonts w:ascii="宋体" w:hAnsi="宋体"/>
          <w:szCs w:val="21"/>
        </w:rPr>
        <w:tab/>
      </w:r>
      <w:r>
        <w:rPr>
          <w:rFonts w:ascii="宋体" w:hAnsi="宋体"/>
          <w:szCs w:val="21"/>
        </w:rPr>
        <w:fldChar w:fldCharType="begin"/>
      </w:r>
      <w:r>
        <w:rPr>
          <w:rFonts w:ascii="宋体" w:hAnsi="宋体"/>
          <w:szCs w:val="21"/>
        </w:rPr>
        <w:instrText xml:space="preserve"> PAGEREF _Toc108514057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3E0141D7">
      <w:pPr>
        <w:pStyle w:val="13"/>
        <w:tabs>
          <w:tab w:val="right" w:leader="dot" w:pos="8296"/>
        </w:tabs>
        <w:rPr>
          <w:rFonts w:ascii="宋体" w:hAnsi="宋体" w:eastAsia="宋体"/>
          <w:sz w:val="21"/>
          <w:szCs w:val="21"/>
        </w:rPr>
      </w:pPr>
      <w:r>
        <w:rPr>
          <w:rFonts w:ascii="宋体" w:hAnsi="宋体" w:eastAsia="宋体"/>
          <w:sz w:val="21"/>
          <w:szCs w:val="21"/>
        </w:rPr>
        <w:t xml:space="preserve">18. </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_Toc108514058 \h </w:instrText>
      </w:r>
      <w:r>
        <w:rPr>
          <w:rFonts w:ascii="宋体" w:hAnsi="宋体" w:eastAsia="宋体"/>
          <w:sz w:val="21"/>
          <w:szCs w:val="21"/>
        </w:rPr>
        <w:fldChar w:fldCharType="separate"/>
      </w:r>
      <w:r>
        <w:rPr>
          <w:rFonts w:ascii="宋体" w:hAnsi="宋体" w:eastAsia="宋体"/>
          <w:sz w:val="21"/>
          <w:szCs w:val="21"/>
        </w:rPr>
        <w:t>265</w:t>
      </w:r>
      <w:r>
        <w:rPr>
          <w:rFonts w:ascii="宋体" w:hAnsi="宋体" w:eastAsia="宋体"/>
          <w:sz w:val="21"/>
          <w:szCs w:val="21"/>
        </w:rPr>
        <w:fldChar w:fldCharType="end"/>
      </w:r>
    </w:p>
    <w:p w14:paraId="454EDF83">
      <w:pPr>
        <w:pStyle w:val="8"/>
        <w:tabs>
          <w:tab w:val="right" w:leader="dot" w:pos="8296"/>
        </w:tabs>
        <w:rPr>
          <w:rFonts w:ascii="宋体" w:hAnsi="宋体"/>
          <w:szCs w:val="21"/>
        </w:rPr>
      </w:pPr>
      <w:r>
        <w:rPr>
          <w:rFonts w:ascii="宋体" w:hAnsi="宋体"/>
          <w:szCs w:val="21"/>
        </w:rPr>
        <w:t xml:space="preserve">18.1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_Toc108514059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51BD5CC1">
      <w:pPr>
        <w:pStyle w:val="8"/>
        <w:tabs>
          <w:tab w:val="right" w:leader="dot" w:pos="8296"/>
        </w:tabs>
        <w:rPr>
          <w:rFonts w:ascii="宋体" w:hAnsi="宋体"/>
          <w:szCs w:val="21"/>
        </w:rPr>
      </w:pPr>
      <w:r>
        <w:rPr>
          <w:rFonts w:ascii="宋体" w:hAnsi="宋体"/>
          <w:szCs w:val="21"/>
        </w:rPr>
        <w:t xml:space="preserve">18.2 </w:t>
      </w:r>
      <w:r>
        <w:rPr>
          <w:rFonts w:hint="eastAsia" w:ascii="宋体" w:hAnsi="宋体"/>
          <w:szCs w:val="21"/>
        </w:rPr>
        <w:t>工伤保险</w:t>
      </w:r>
      <w:r>
        <w:rPr>
          <w:rFonts w:ascii="宋体" w:hAnsi="宋体"/>
          <w:szCs w:val="21"/>
        </w:rPr>
        <w:tab/>
      </w:r>
      <w:r>
        <w:rPr>
          <w:rFonts w:ascii="宋体" w:hAnsi="宋体"/>
          <w:szCs w:val="21"/>
        </w:rPr>
        <w:fldChar w:fldCharType="begin"/>
      </w:r>
      <w:r>
        <w:rPr>
          <w:rFonts w:ascii="宋体" w:hAnsi="宋体"/>
          <w:szCs w:val="21"/>
        </w:rPr>
        <w:instrText xml:space="preserve"> PAGEREF _Toc108514060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3C8AAF2D">
      <w:pPr>
        <w:pStyle w:val="8"/>
        <w:tabs>
          <w:tab w:val="right" w:leader="dot" w:pos="8296"/>
        </w:tabs>
        <w:rPr>
          <w:rFonts w:ascii="宋体" w:hAnsi="宋体"/>
          <w:szCs w:val="21"/>
        </w:rPr>
      </w:pPr>
      <w:r>
        <w:rPr>
          <w:rFonts w:ascii="宋体" w:hAnsi="宋体"/>
          <w:szCs w:val="21"/>
        </w:rPr>
        <w:t xml:space="preserve">18.3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_Toc108514061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28F4C186">
      <w:pPr>
        <w:pStyle w:val="8"/>
        <w:tabs>
          <w:tab w:val="right" w:leader="dot" w:pos="8296"/>
        </w:tabs>
        <w:rPr>
          <w:rFonts w:ascii="宋体" w:hAnsi="宋体"/>
          <w:szCs w:val="21"/>
        </w:rPr>
      </w:pPr>
      <w:r>
        <w:rPr>
          <w:rFonts w:ascii="宋体" w:hAnsi="宋体"/>
          <w:szCs w:val="21"/>
        </w:rPr>
        <w:t xml:space="preserve">18.4 </w:t>
      </w:r>
      <w:r>
        <w:rPr>
          <w:rFonts w:hint="eastAsia" w:ascii="宋体" w:hAnsi="宋体"/>
          <w:szCs w:val="21"/>
        </w:rPr>
        <w:t>持续保险</w:t>
      </w:r>
      <w:r>
        <w:rPr>
          <w:rFonts w:ascii="宋体" w:hAnsi="宋体"/>
          <w:szCs w:val="21"/>
        </w:rPr>
        <w:tab/>
      </w:r>
      <w:r>
        <w:rPr>
          <w:rFonts w:ascii="宋体" w:hAnsi="宋体"/>
          <w:szCs w:val="21"/>
        </w:rPr>
        <w:fldChar w:fldCharType="begin"/>
      </w:r>
      <w:r>
        <w:rPr>
          <w:rFonts w:ascii="宋体" w:hAnsi="宋体"/>
          <w:szCs w:val="21"/>
        </w:rPr>
        <w:instrText xml:space="preserve"> PAGEREF _Toc108514062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6DD27218">
      <w:pPr>
        <w:pStyle w:val="8"/>
        <w:tabs>
          <w:tab w:val="right" w:leader="dot" w:pos="8296"/>
        </w:tabs>
        <w:rPr>
          <w:rFonts w:ascii="宋体" w:hAnsi="宋体"/>
          <w:szCs w:val="21"/>
        </w:rPr>
      </w:pPr>
      <w:r>
        <w:rPr>
          <w:rFonts w:ascii="宋体" w:hAnsi="宋体"/>
          <w:szCs w:val="21"/>
        </w:rPr>
        <w:t xml:space="preserve">18.5 </w:t>
      </w:r>
      <w:r>
        <w:rPr>
          <w:rFonts w:hint="eastAsia" w:ascii="宋体" w:hAnsi="宋体"/>
          <w:szCs w:val="21"/>
        </w:rPr>
        <w:t>保险凭证</w:t>
      </w:r>
      <w:r>
        <w:rPr>
          <w:rFonts w:ascii="宋体" w:hAnsi="宋体"/>
          <w:szCs w:val="21"/>
        </w:rPr>
        <w:tab/>
      </w:r>
      <w:r>
        <w:rPr>
          <w:rFonts w:ascii="宋体" w:hAnsi="宋体"/>
          <w:szCs w:val="21"/>
        </w:rPr>
        <w:fldChar w:fldCharType="begin"/>
      </w:r>
      <w:r>
        <w:rPr>
          <w:rFonts w:ascii="宋体" w:hAnsi="宋体"/>
          <w:szCs w:val="21"/>
        </w:rPr>
        <w:instrText xml:space="preserve"> PAGEREF _Toc108514063 \h </w:instrText>
      </w:r>
      <w:r>
        <w:rPr>
          <w:rFonts w:ascii="宋体" w:hAnsi="宋体"/>
          <w:szCs w:val="21"/>
        </w:rPr>
        <w:fldChar w:fldCharType="separate"/>
      </w:r>
      <w:r>
        <w:rPr>
          <w:rFonts w:ascii="宋体" w:hAnsi="宋体"/>
          <w:szCs w:val="21"/>
        </w:rPr>
        <w:t>265</w:t>
      </w:r>
      <w:r>
        <w:rPr>
          <w:rFonts w:ascii="宋体" w:hAnsi="宋体"/>
          <w:szCs w:val="21"/>
        </w:rPr>
        <w:fldChar w:fldCharType="end"/>
      </w:r>
    </w:p>
    <w:p w14:paraId="51B64D1E">
      <w:pPr>
        <w:pStyle w:val="8"/>
        <w:tabs>
          <w:tab w:val="right" w:leader="dot" w:pos="8296"/>
        </w:tabs>
        <w:rPr>
          <w:rFonts w:ascii="宋体" w:hAnsi="宋体"/>
          <w:szCs w:val="21"/>
        </w:rPr>
      </w:pPr>
      <w:r>
        <w:rPr>
          <w:rFonts w:ascii="宋体" w:hAnsi="宋体"/>
          <w:szCs w:val="21"/>
        </w:rPr>
        <w:t xml:space="preserve">18.6 </w:t>
      </w:r>
      <w:r>
        <w:rPr>
          <w:rFonts w:hint="eastAsia" w:ascii="宋体" w:hAnsi="宋体"/>
          <w:szCs w:val="21"/>
        </w:rPr>
        <w:t>未按约定投保的补救</w:t>
      </w:r>
      <w:r>
        <w:rPr>
          <w:rFonts w:ascii="宋体" w:hAnsi="宋体"/>
          <w:szCs w:val="21"/>
        </w:rPr>
        <w:tab/>
      </w:r>
      <w:r>
        <w:rPr>
          <w:rFonts w:ascii="宋体" w:hAnsi="宋体"/>
          <w:szCs w:val="21"/>
        </w:rPr>
        <w:fldChar w:fldCharType="begin"/>
      </w:r>
      <w:r>
        <w:rPr>
          <w:rFonts w:ascii="宋体" w:hAnsi="宋体"/>
          <w:szCs w:val="21"/>
        </w:rPr>
        <w:instrText xml:space="preserve"> PAGEREF _Toc108514064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4CF7A00E">
      <w:pPr>
        <w:pStyle w:val="8"/>
        <w:tabs>
          <w:tab w:val="right" w:leader="dot" w:pos="8296"/>
        </w:tabs>
        <w:rPr>
          <w:rFonts w:ascii="宋体" w:hAnsi="宋体"/>
          <w:szCs w:val="21"/>
        </w:rPr>
      </w:pPr>
      <w:r>
        <w:rPr>
          <w:rFonts w:ascii="宋体" w:hAnsi="宋体"/>
          <w:szCs w:val="21"/>
        </w:rPr>
        <w:t xml:space="preserve">18.7 </w:t>
      </w:r>
      <w:r>
        <w:rPr>
          <w:rFonts w:hint="eastAsia" w:ascii="宋体" w:hAnsi="宋体"/>
          <w:szCs w:val="21"/>
        </w:rPr>
        <w:t>通知义务</w:t>
      </w:r>
      <w:r>
        <w:rPr>
          <w:rFonts w:ascii="宋体" w:hAnsi="宋体"/>
          <w:szCs w:val="21"/>
        </w:rPr>
        <w:tab/>
      </w:r>
      <w:r>
        <w:rPr>
          <w:rFonts w:ascii="宋体" w:hAnsi="宋体"/>
          <w:szCs w:val="21"/>
        </w:rPr>
        <w:fldChar w:fldCharType="begin"/>
      </w:r>
      <w:r>
        <w:rPr>
          <w:rFonts w:ascii="宋体" w:hAnsi="宋体"/>
          <w:szCs w:val="21"/>
        </w:rPr>
        <w:instrText xml:space="preserve"> PAGEREF _Toc108514065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4F588446">
      <w:pPr>
        <w:pStyle w:val="13"/>
        <w:tabs>
          <w:tab w:val="right" w:leader="dot" w:pos="8296"/>
        </w:tabs>
        <w:rPr>
          <w:rFonts w:ascii="宋体" w:hAnsi="宋体" w:eastAsia="宋体"/>
          <w:sz w:val="21"/>
          <w:szCs w:val="21"/>
        </w:rPr>
      </w:pPr>
      <w:r>
        <w:rPr>
          <w:rFonts w:ascii="宋体" w:hAnsi="宋体" w:eastAsia="宋体"/>
          <w:sz w:val="21"/>
          <w:szCs w:val="21"/>
        </w:rPr>
        <w:t xml:space="preserve">19. </w:t>
      </w:r>
      <w:r>
        <w:rPr>
          <w:rFonts w:hint="eastAsia" w:ascii="宋体" w:hAnsi="宋体" w:eastAsia="宋体"/>
          <w:sz w:val="21"/>
          <w:szCs w:val="21"/>
        </w:rPr>
        <w:t>索赔</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_Toc108514066 \h </w:instrText>
      </w:r>
      <w:r>
        <w:rPr>
          <w:rFonts w:ascii="宋体" w:hAnsi="宋体" w:eastAsia="宋体"/>
          <w:sz w:val="21"/>
          <w:szCs w:val="21"/>
        </w:rPr>
        <w:fldChar w:fldCharType="separate"/>
      </w:r>
      <w:r>
        <w:rPr>
          <w:rFonts w:ascii="宋体" w:hAnsi="宋体" w:eastAsia="宋体"/>
          <w:sz w:val="21"/>
          <w:szCs w:val="21"/>
        </w:rPr>
        <w:t>266</w:t>
      </w:r>
      <w:r>
        <w:rPr>
          <w:rFonts w:ascii="宋体" w:hAnsi="宋体" w:eastAsia="宋体"/>
          <w:sz w:val="21"/>
          <w:szCs w:val="21"/>
        </w:rPr>
        <w:fldChar w:fldCharType="end"/>
      </w:r>
    </w:p>
    <w:p w14:paraId="57260EA0">
      <w:pPr>
        <w:pStyle w:val="8"/>
        <w:tabs>
          <w:tab w:val="right" w:leader="dot" w:pos="8296"/>
        </w:tabs>
        <w:rPr>
          <w:rFonts w:ascii="宋体" w:hAnsi="宋体"/>
          <w:szCs w:val="21"/>
        </w:rPr>
      </w:pPr>
      <w:r>
        <w:rPr>
          <w:rFonts w:ascii="宋体" w:hAnsi="宋体"/>
          <w:szCs w:val="21"/>
        </w:rPr>
        <w:t xml:space="preserve">19.1 </w:t>
      </w:r>
      <w:r>
        <w:rPr>
          <w:rFonts w:hint="eastAsia" w:ascii="宋体" w:hAnsi="宋体"/>
          <w:szCs w:val="21"/>
        </w:rPr>
        <w:t>承包人的索赔</w:t>
      </w:r>
      <w:r>
        <w:rPr>
          <w:rFonts w:ascii="宋体" w:hAnsi="宋体"/>
          <w:szCs w:val="21"/>
        </w:rPr>
        <w:tab/>
      </w:r>
      <w:r>
        <w:rPr>
          <w:rFonts w:ascii="宋体" w:hAnsi="宋体"/>
          <w:szCs w:val="21"/>
        </w:rPr>
        <w:fldChar w:fldCharType="begin"/>
      </w:r>
      <w:r>
        <w:rPr>
          <w:rFonts w:ascii="宋体" w:hAnsi="宋体"/>
          <w:szCs w:val="21"/>
        </w:rPr>
        <w:instrText xml:space="preserve"> PAGEREF _Toc108514067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3486EDCA">
      <w:pPr>
        <w:pStyle w:val="8"/>
        <w:tabs>
          <w:tab w:val="right" w:leader="dot" w:pos="8296"/>
        </w:tabs>
        <w:rPr>
          <w:rFonts w:ascii="宋体" w:hAnsi="宋体"/>
          <w:szCs w:val="21"/>
        </w:rPr>
      </w:pPr>
      <w:r>
        <w:rPr>
          <w:rFonts w:ascii="宋体" w:hAnsi="宋体"/>
          <w:szCs w:val="21"/>
        </w:rPr>
        <w:t xml:space="preserve">19.2 </w:t>
      </w:r>
      <w:r>
        <w:rPr>
          <w:rFonts w:hint="eastAsia" w:ascii="宋体" w:hAnsi="宋体"/>
          <w:szCs w:val="21"/>
        </w:rPr>
        <w:t>对承包人索赔的处理</w:t>
      </w:r>
      <w:r>
        <w:rPr>
          <w:rFonts w:ascii="宋体" w:hAnsi="宋体"/>
          <w:szCs w:val="21"/>
        </w:rPr>
        <w:tab/>
      </w:r>
      <w:r>
        <w:rPr>
          <w:rFonts w:ascii="宋体" w:hAnsi="宋体"/>
          <w:szCs w:val="21"/>
        </w:rPr>
        <w:fldChar w:fldCharType="begin"/>
      </w:r>
      <w:r>
        <w:rPr>
          <w:rFonts w:ascii="宋体" w:hAnsi="宋体"/>
          <w:szCs w:val="21"/>
        </w:rPr>
        <w:instrText xml:space="preserve"> PAGEREF _Toc108514068 \h </w:instrText>
      </w:r>
      <w:r>
        <w:rPr>
          <w:rFonts w:ascii="宋体" w:hAnsi="宋体"/>
          <w:szCs w:val="21"/>
        </w:rPr>
        <w:fldChar w:fldCharType="separate"/>
      </w:r>
      <w:r>
        <w:rPr>
          <w:rFonts w:ascii="宋体" w:hAnsi="宋体"/>
          <w:szCs w:val="21"/>
        </w:rPr>
        <w:t>266</w:t>
      </w:r>
      <w:r>
        <w:rPr>
          <w:rFonts w:ascii="宋体" w:hAnsi="宋体"/>
          <w:szCs w:val="21"/>
        </w:rPr>
        <w:fldChar w:fldCharType="end"/>
      </w:r>
    </w:p>
    <w:p w14:paraId="653C1E79">
      <w:pPr>
        <w:pStyle w:val="8"/>
        <w:tabs>
          <w:tab w:val="right" w:leader="dot" w:pos="8296"/>
        </w:tabs>
        <w:rPr>
          <w:rFonts w:ascii="宋体" w:hAnsi="宋体"/>
          <w:szCs w:val="21"/>
        </w:rPr>
      </w:pPr>
      <w:r>
        <w:rPr>
          <w:rFonts w:ascii="宋体" w:hAnsi="宋体"/>
          <w:szCs w:val="21"/>
        </w:rPr>
        <w:t xml:space="preserve">19.3 </w:t>
      </w:r>
      <w:r>
        <w:rPr>
          <w:rFonts w:hint="eastAsia" w:ascii="宋体" w:hAnsi="宋体"/>
          <w:szCs w:val="21"/>
        </w:rPr>
        <w:t>发包人的索赔</w:t>
      </w:r>
      <w:r>
        <w:rPr>
          <w:rFonts w:ascii="宋体" w:hAnsi="宋体"/>
          <w:szCs w:val="21"/>
        </w:rPr>
        <w:tab/>
      </w:r>
      <w:r>
        <w:rPr>
          <w:rFonts w:ascii="宋体" w:hAnsi="宋体"/>
          <w:szCs w:val="21"/>
        </w:rPr>
        <w:fldChar w:fldCharType="begin"/>
      </w:r>
      <w:r>
        <w:rPr>
          <w:rFonts w:ascii="宋体" w:hAnsi="宋体"/>
          <w:szCs w:val="21"/>
        </w:rPr>
        <w:instrText xml:space="preserve"> PAGEREF _Toc108514069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1CF05DDD">
      <w:pPr>
        <w:pStyle w:val="8"/>
        <w:tabs>
          <w:tab w:val="right" w:leader="dot" w:pos="8296"/>
        </w:tabs>
        <w:rPr>
          <w:rFonts w:ascii="宋体" w:hAnsi="宋体"/>
          <w:szCs w:val="21"/>
        </w:rPr>
      </w:pPr>
      <w:r>
        <w:rPr>
          <w:rFonts w:ascii="宋体" w:hAnsi="宋体"/>
          <w:szCs w:val="21"/>
        </w:rPr>
        <w:t xml:space="preserve">19.4 </w:t>
      </w:r>
      <w:r>
        <w:rPr>
          <w:rFonts w:hint="eastAsia" w:ascii="宋体" w:hAnsi="宋体"/>
          <w:szCs w:val="21"/>
        </w:rPr>
        <w:t>对发包人索赔的处理</w:t>
      </w:r>
      <w:r>
        <w:rPr>
          <w:rFonts w:ascii="宋体" w:hAnsi="宋体"/>
          <w:szCs w:val="21"/>
        </w:rPr>
        <w:tab/>
      </w:r>
      <w:r>
        <w:rPr>
          <w:rFonts w:ascii="宋体" w:hAnsi="宋体"/>
          <w:szCs w:val="21"/>
        </w:rPr>
        <w:fldChar w:fldCharType="begin"/>
      </w:r>
      <w:r>
        <w:rPr>
          <w:rFonts w:ascii="宋体" w:hAnsi="宋体"/>
          <w:szCs w:val="21"/>
        </w:rPr>
        <w:instrText xml:space="preserve"> PAGEREF _Toc108514070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468DB550">
      <w:pPr>
        <w:pStyle w:val="8"/>
        <w:tabs>
          <w:tab w:val="right" w:leader="dot" w:pos="8296"/>
        </w:tabs>
        <w:rPr>
          <w:rFonts w:ascii="宋体" w:hAnsi="宋体"/>
          <w:szCs w:val="21"/>
        </w:rPr>
      </w:pPr>
      <w:r>
        <w:rPr>
          <w:rFonts w:ascii="宋体" w:hAnsi="宋体"/>
          <w:szCs w:val="21"/>
        </w:rPr>
        <w:t xml:space="preserve">19.5 </w:t>
      </w:r>
      <w:r>
        <w:rPr>
          <w:rFonts w:hint="eastAsia" w:ascii="宋体" w:hAnsi="宋体"/>
          <w:szCs w:val="21"/>
        </w:rPr>
        <w:t>提出索赔的期限</w:t>
      </w:r>
      <w:r>
        <w:rPr>
          <w:rFonts w:ascii="宋体" w:hAnsi="宋体"/>
          <w:szCs w:val="21"/>
        </w:rPr>
        <w:tab/>
      </w:r>
      <w:r>
        <w:rPr>
          <w:rFonts w:ascii="宋体" w:hAnsi="宋体"/>
          <w:szCs w:val="21"/>
        </w:rPr>
        <w:fldChar w:fldCharType="begin"/>
      </w:r>
      <w:r>
        <w:rPr>
          <w:rFonts w:ascii="宋体" w:hAnsi="宋体"/>
          <w:szCs w:val="21"/>
        </w:rPr>
        <w:instrText xml:space="preserve"> PAGEREF _Toc108514071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6C33C79D">
      <w:pPr>
        <w:pStyle w:val="13"/>
        <w:tabs>
          <w:tab w:val="right" w:leader="dot" w:pos="8296"/>
        </w:tabs>
        <w:rPr>
          <w:rFonts w:ascii="宋体" w:hAnsi="宋体" w:eastAsia="宋体"/>
          <w:sz w:val="21"/>
          <w:szCs w:val="21"/>
        </w:rPr>
      </w:pPr>
      <w:r>
        <w:rPr>
          <w:rFonts w:ascii="宋体" w:hAnsi="宋体" w:eastAsia="宋体"/>
          <w:sz w:val="21"/>
          <w:szCs w:val="21"/>
        </w:rPr>
        <w:t xml:space="preserve">20. </w:t>
      </w:r>
      <w:r>
        <w:rPr>
          <w:rFonts w:hint="eastAsia" w:ascii="宋体" w:hAnsi="宋体" w:eastAsia="宋体"/>
          <w:sz w:val="21"/>
          <w:szCs w:val="21"/>
        </w:rPr>
        <w:t>争议解决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_Toc108514072 \h </w:instrText>
      </w:r>
      <w:r>
        <w:rPr>
          <w:rFonts w:ascii="宋体" w:hAnsi="宋体" w:eastAsia="宋体"/>
          <w:sz w:val="21"/>
          <w:szCs w:val="21"/>
        </w:rPr>
        <w:fldChar w:fldCharType="separate"/>
      </w:r>
      <w:r>
        <w:rPr>
          <w:rFonts w:ascii="宋体" w:hAnsi="宋体" w:eastAsia="宋体"/>
          <w:sz w:val="21"/>
          <w:szCs w:val="21"/>
        </w:rPr>
        <w:t>267</w:t>
      </w:r>
      <w:r>
        <w:rPr>
          <w:rFonts w:ascii="宋体" w:hAnsi="宋体" w:eastAsia="宋体"/>
          <w:sz w:val="21"/>
          <w:szCs w:val="21"/>
        </w:rPr>
        <w:fldChar w:fldCharType="end"/>
      </w:r>
    </w:p>
    <w:p w14:paraId="04AF950C">
      <w:pPr>
        <w:pStyle w:val="8"/>
        <w:tabs>
          <w:tab w:val="right" w:leader="dot" w:pos="8296"/>
        </w:tabs>
        <w:rPr>
          <w:rFonts w:ascii="宋体" w:hAnsi="宋体"/>
          <w:szCs w:val="21"/>
        </w:rPr>
      </w:pPr>
      <w:r>
        <w:rPr>
          <w:rFonts w:ascii="宋体" w:hAnsi="宋体"/>
          <w:szCs w:val="21"/>
        </w:rPr>
        <w:t xml:space="preserve">20.1 </w:t>
      </w:r>
      <w:r>
        <w:rPr>
          <w:rFonts w:hint="eastAsia" w:ascii="宋体" w:hAnsi="宋体"/>
          <w:szCs w:val="21"/>
        </w:rPr>
        <w:t>和解</w:t>
      </w:r>
      <w:r>
        <w:rPr>
          <w:rFonts w:ascii="宋体" w:hAnsi="宋体"/>
          <w:szCs w:val="21"/>
        </w:rPr>
        <w:tab/>
      </w:r>
      <w:r>
        <w:rPr>
          <w:rFonts w:ascii="宋体" w:hAnsi="宋体"/>
          <w:szCs w:val="21"/>
        </w:rPr>
        <w:fldChar w:fldCharType="begin"/>
      </w:r>
      <w:r>
        <w:rPr>
          <w:rFonts w:ascii="宋体" w:hAnsi="宋体"/>
          <w:szCs w:val="21"/>
        </w:rPr>
        <w:instrText xml:space="preserve"> PAGEREF _Toc108514073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33FD926E">
      <w:pPr>
        <w:pStyle w:val="8"/>
        <w:tabs>
          <w:tab w:val="right" w:leader="dot" w:pos="8296"/>
        </w:tabs>
        <w:rPr>
          <w:rFonts w:ascii="宋体" w:hAnsi="宋体"/>
          <w:szCs w:val="21"/>
        </w:rPr>
      </w:pPr>
      <w:r>
        <w:rPr>
          <w:rFonts w:ascii="宋体" w:hAnsi="宋体"/>
          <w:szCs w:val="21"/>
        </w:rPr>
        <w:t xml:space="preserve">20.2 </w:t>
      </w:r>
      <w:r>
        <w:rPr>
          <w:rFonts w:hint="eastAsia" w:ascii="宋体" w:hAnsi="宋体"/>
          <w:szCs w:val="21"/>
        </w:rPr>
        <w:t>调解</w:t>
      </w:r>
      <w:r>
        <w:rPr>
          <w:rFonts w:ascii="宋体" w:hAnsi="宋体"/>
          <w:szCs w:val="21"/>
        </w:rPr>
        <w:tab/>
      </w:r>
      <w:r>
        <w:rPr>
          <w:rFonts w:ascii="宋体" w:hAnsi="宋体"/>
          <w:szCs w:val="21"/>
        </w:rPr>
        <w:fldChar w:fldCharType="begin"/>
      </w:r>
      <w:r>
        <w:rPr>
          <w:rFonts w:ascii="宋体" w:hAnsi="宋体"/>
          <w:szCs w:val="21"/>
        </w:rPr>
        <w:instrText xml:space="preserve"> PAGEREF _Toc108514074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604A7D09">
      <w:pPr>
        <w:pStyle w:val="8"/>
        <w:tabs>
          <w:tab w:val="right" w:leader="dot" w:pos="8296"/>
        </w:tabs>
        <w:rPr>
          <w:rFonts w:ascii="宋体" w:hAnsi="宋体"/>
          <w:szCs w:val="21"/>
        </w:rPr>
      </w:pPr>
      <w:r>
        <w:rPr>
          <w:rFonts w:ascii="宋体" w:hAnsi="宋体"/>
          <w:szCs w:val="21"/>
        </w:rPr>
        <w:t xml:space="preserve">20.3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_Toc108514075 \h </w:instrText>
      </w:r>
      <w:r>
        <w:rPr>
          <w:rFonts w:ascii="宋体" w:hAnsi="宋体"/>
          <w:szCs w:val="21"/>
        </w:rPr>
        <w:fldChar w:fldCharType="separate"/>
      </w:r>
      <w:r>
        <w:rPr>
          <w:rFonts w:ascii="宋体" w:hAnsi="宋体"/>
          <w:szCs w:val="21"/>
        </w:rPr>
        <w:t>267</w:t>
      </w:r>
      <w:r>
        <w:rPr>
          <w:rFonts w:ascii="宋体" w:hAnsi="宋体"/>
          <w:szCs w:val="21"/>
        </w:rPr>
        <w:fldChar w:fldCharType="end"/>
      </w:r>
    </w:p>
    <w:p w14:paraId="55D964EF">
      <w:pPr>
        <w:pStyle w:val="8"/>
        <w:tabs>
          <w:tab w:val="right" w:leader="dot" w:pos="8296"/>
        </w:tabs>
        <w:rPr>
          <w:rFonts w:ascii="宋体" w:hAnsi="宋体"/>
          <w:szCs w:val="21"/>
        </w:rPr>
      </w:pPr>
      <w:r>
        <w:rPr>
          <w:rFonts w:ascii="宋体" w:hAnsi="宋体"/>
          <w:szCs w:val="21"/>
        </w:rPr>
        <w:t xml:space="preserve">20.4 </w:t>
      </w:r>
      <w:r>
        <w:rPr>
          <w:rFonts w:hint="eastAsia" w:ascii="宋体" w:hAnsi="宋体"/>
          <w:szCs w:val="21"/>
        </w:rPr>
        <w:t>仲裁或诉讼</w:t>
      </w:r>
      <w:r>
        <w:rPr>
          <w:rFonts w:ascii="宋体" w:hAnsi="宋体"/>
          <w:szCs w:val="21"/>
        </w:rPr>
        <w:tab/>
      </w:r>
      <w:r>
        <w:rPr>
          <w:rFonts w:ascii="宋体" w:hAnsi="宋体"/>
          <w:szCs w:val="21"/>
        </w:rPr>
        <w:fldChar w:fldCharType="begin"/>
      </w:r>
      <w:r>
        <w:rPr>
          <w:rFonts w:ascii="宋体" w:hAnsi="宋体"/>
          <w:szCs w:val="21"/>
        </w:rPr>
        <w:instrText xml:space="preserve"> PAGEREF _Toc108514076 \h </w:instrText>
      </w:r>
      <w:r>
        <w:rPr>
          <w:rFonts w:ascii="宋体" w:hAnsi="宋体"/>
          <w:szCs w:val="21"/>
        </w:rPr>
        <w:fldChar w:fldCharType="separate"/>
      </w:r>
      <w:r>
        <w:rPr>
          <w:rFonts w:ascii="宋体" w:hAnsi="宋体"/>
          <w:szCs w:val="21"/>
        </w:rPr>
        <w:t>268</w:t>
      </w:r>
      <w:r>
        <w:rPr>
          <w:rFonts w:ascii="宋体" w:hAnsi="宋体"/>
          <w:szCs w:val="21"/>
        </w:rPr>
        <w:fldChar w:fldCharType="end"/>
      </w:r>
    </w:p>
    <w:p w14:paraId="1007CAB1">
      <w:pPr>
        <w:pStyle w:val="8"/>
        <w:tabs>
          <w:tab w:val="right" w:leader="dot" w:pos="8296"/>
        </w:tabs>
        <w:rPr>
          <w:rFonts w:ascii="宋体" w:hAnsi="宋体"/>
          <w:szCs w:val="21"/>
        </w:rPr>
      </w:pPr>
      <w:r>
        <w:rPr>
          <w:rFonts w:ascii="宋体" w:hAnsi="宋体"/>
          <w:szCs w:val="21"/>
        </w:rPr>
        <w:t xml:space="preserve">20.5 </w:t>
      </w:r>
      <w:r>
        <w:rPr>
          <w:rFonts w:hint="eastAsia" w:ascii="宋体" w:hAnsi="宋体"/>
          <w:szCs w:val="21"/>
        </w:rPr>
        <w:t>争议解决条款效力</w:t>
      </w:r>
      <w:r>
        <w:rPr>
          <w:rFonts w:ascii="宋体" w:hAnsi="宋体"/>
          <w:szCs w:val="21"/>
        </w:rPr>
        <w:tab/>
      </w:r>
      <w:r>
        <w:rPr>
          <w:rFonts w:ascii="宋体" w:hAnsi="宋体"/>
          <w:szCs w:val="21"/>
        </w:rPr>
        <w:fldChar w:fldCharType="begin"/>
      </w:r>
      <w:r>
        <w:rPr>
          <w:rFonts w:ascii="宋体" w:hAnsi="宋体"/>
          <w:szCs w:val="21"/>
        </w:rPr>
        <w:instrText xml:space="preserve"> PAGEREF _Toc108514077 \h </w:instrText>
      </w:r>
      <w:r>
        <w:rPr>
          <w:rFonts w:ascii="宋体" w:hAnsi="宋体"/>
          <w:szCs w:val="21"/>
        </w:rPr>
        <w:fldChar w:fldCharType="separate"/>
      </w:r>
      <w:r>
        <w:rPr>
          <w:rFonts w:ascii="宋体" w:hAnsi="宋体"/>
          <w:szCs w:val="21"/>
        </w:rPr>
        <w:t>268</w:t>
      </w:r>
      <w:r>
        <w:rPr>
          <w:rFonts w:ascii="宋体" w:hAnsi="宋体"/>
          <w:szCs w:val="21"/>
        </w:rPr>
        <w:fldChar w:fldCharType="end"/>
      </w:r>
    </w:p>
    <w:p w14:paraId="52A49994">
      <w:pPr>
        <w:pStyle w:val="13"/>
        <w:tabs>
          <w:tab w:val="right" w:leader="dot" w:pos="8296"/>
        </w:tabs>
        <w:rPr>
          <w:rFonts w:ascii="宋体" w:hAnsi="宋体" w:eastAsia="宋体"/>
          <w:sz w:val="21"/>
          <w:szCs w:val="21"/>
        </w:rPr>
      </w:pPr>
      <w:r>
        <w:rPr>
          <w:rFonts w:hint="eastAsia" w:ascii="宋体" w:hAnsi="宋体" w:eastAsia="宋体"/>
          <w:sz w:val="21"/>
          <w:szCs w:val="21"/>
        </w:rPr>
        <w:t>第三部分</w:t>
      </w:r>
      <w:r>
        <w:rPr>
          <w:rFonts w:ascii="宋体" w:hAnsi="宋体" w:eastAsia="宋体"/>
          <w:sz w:val="21"/>
          <w:szCs w:val="21"/>
        </w:rPr>
        <w:t xml:space="preserve"> </w:t>
      </w:r>
      <w:r>
        <w:rPr>
          <w:rFonts w:hint="eastAsia" w:ascii="宋体" w:hAnsi="宋体" w:eastAsia="宋体"/>
          <w:sz w:val="21"/>
          <w:szCs w:val="21"/>
        </w:rPr>
        <w:t>专用合同条款</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_Toc108514078 \h </w:instrText>
      </w:r>
      <w:r>
        <w:rPr>
          <w:rFonts w:ascii="宋体" w:hAnsi="宋体" w:eastAsia="宋体"/>
          <w:sz w:val="21"/>
          <w:szCs w:val="21"/>
        </w:rPr>
        <w:fldChar w:fldCharType="separate"/>
      </w:r>
      <w:r>
        <w:rPr>
          <w:rFonts w:ascii="宋体" w:hAnsi="宋体" w:eastAsia="宋体"/>
          <w:sz w:val="21"/>
          <w:szCs w:val="21"/>
        </w:rPr>
        <w:t>269</w:t>
      </w:r>
      <w:r>
        <w:rPr>
          <w:rFonts w:ascii="宋体" w:hAnsi="宋体" w:eastAsia="宋体"/>
          <w:sz w:val="21"/>
          <w:szCs w:val="21"/>
        </w:rPr>
        <w:fldChar w:fldCharType="end"/>
      </w:r>
    </w:p>
    <w:p w14:paraId="07972254">
      <w:pPr>
        <w:pStyle w:val="13"/>
        <w:tabs>
          <w:tab w:val="right" w:leader="dot" w:pos="8296"/>
        </w:tabs>
        <w:rPr>
          <w:rFonts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rPr>
        <w:t>一般约定</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_Toc108514079 \h </w:instrText>
      </w:r>
      <w:r>
        <w:rPr>
          <w:rFonts w:ascii="宋体" w:hAnsi="宋体" w:eastAsia="宋体"/>
          <w:sz w:val="21"/>
          <w:szCs w:val="21"/>
        </w:rPr>
        <w:fldChar w:fldCharType="separate"/>
      </w:r>
      <w:r>
        <w:rPr>
          <w:rFonts w:ascii="宋体" w:hAnsi="宋体" w:eastAsia="宋体"/>
          <w:sz w:val="21"/>
          <w:szCs w:val="21"/>
        </w:rPr>
        <w:t>270</w:t>
      </w:r>
      <w:r>
        <w:rPr>
          <w:rFonts w:ascii="宋体" w:hAnsi="宋体" w:eastAsia="宋体"/>
          <w:sz w:val="21"/>
          <w:szCs w:val="21"/>
        </w:rPr>
        <w:fldChar w:fldCharType="end"/>
      </w:r>
    </w:p>
    <w:p w14:paraId="2C88D508">
      <w:pPr>
        <w:pStyle w:val="8"/>
        <w:tabs>
          <w:tab w:val="right" w:leader="dot" w:pos="8296"/>
        </w:tabs>
        <w:rPr>
          <w:rFonts w:ascii="宋体" w:hAnsi="宋体"/>
          <w:szCs w:val="21"/>
        </w:rPr>
      </w:pPr>
      <w:r>
        <w:rPr>
          <w:rFonts w:ascii="宋体" w:hAnsi="宋体"/>
          <w:szCs w:val="21"/>
        </w:rPr>
        <w:t xml:space="preserve">1.1 </w:t>
      </w:r>
      <w:r>
        <w:rPr>
          <w:rFonts w:hint="eastAsia" w:ascii="宋体" w:hAnsi="宋体"/>
          <w:szCs w:val="21"/>
        </w:rPr>
        <w:t>词语定义</w:t>
      </w:r>
      <w:r>
        <w:rPr>
          <w:rFonts w:ascii="宋体" w:hAnsi="宋体"/>
          <w:szCs w:val="21"/>
        </w:rPr>
        <w:tab/>
      </w:r>
      <w:r>
        <w:rPr>
          <w:rFonts w:ascii="宋体" w:hAnsi="宋体"/>
          <w:szCs w:val="21"/>
        </w:rPr>
        <w:fldChar w:fldCharType="begin"/>
      </w:r>
      <w:r>
        <w:rPr>
          <w:rFonts w:ascii="宋体" w:hAnsi="宋体"/>
          <w:szCs w:val="21"/>
        </w:rPr>
        <w:instrText xml:space="preserve"> PAGEREF _Toc108514080 \h </w:instrText>
      </w:r>
      <w:r>
        <w:rPr>
          <w:rFonts w:ascii="宋体" w:hAnsi="宋体"/>
          <w:szCs w:val="21"/>
        </w:rPr>
        <w:fldChar w:fldCharType="separate"/>
      </w:r>
      <w:r>
        <w:rPr>
          <w:rFonts w:ascii="宋体" w:hAnsi="宋体"/>
          <w:szCs w:val="21"/>
        </w:rPr>
        <w:t>270</w:t>
      </w:r>
      <w:r>
        <w:rPr>
          <w:rFonts w:ascii="宋体" w:hAnsi="宋体"/>
          <w:szCs w:val="21"/>
        </w:rPr>
        <w:fldChar w:fldCharType="end"/>
      </w:r>
    </w:p>
    <w:p w14:paraId="642EDE74">
      <w:pPr>
        <w:pStyle w:val="8"/>
        <w:tabs>
          <w:tab w:val="right" w:leader="dot" w:pos="8296"/>
        </w:tabs>
        <w:rPr>
          <w:rFonts w:ascii="宋体" w:hAnsi="宋体"/>
          <w:szCs w:val="21"/>
        </w:rPr>
      </w:pPr>
      <w:r>
        <w:rPr>
          <w:rFonts w:ascii="宋体" w:hAnsi="宋体"/>
          <w:szCs w:val="21"/>
        </w:rPr>
        <w:t>1.3</w:t>
      </w:r>
      <w:r>
        <w:rPr>
          <w:rFonts w:hint="eastAsia" w:ascii="宋体" w:hAnsi="宋体"/>
          <w:szCs w:val="21"/>
        </w:rPr>
        <w:t>法律</w:t>
      </w:r>
      <w:r>
        <w:rPr>
          <w:rFonts w:ascii="宋体" w:hAnsi="宋体"/>
          <w:szCs w:val="21"/>
        </w:rPr>
        <w:tab/>
      </w:r>
      <w:r>
        <w:rPr>
          <w:rFonts w:ascii="宋体" w:hAnsi="宋体"/>
          <w:szCs w:val="21"/>
        </w:rPr>
        <w:fldChar w:fldCharType="begin"/>
      </w:r>
      <w:r>
        <w:rPr>
          <w:rFonts w:ascii="宋体" w:hAnsi="宋体"/>
          <w:szCs w:val="21"/>
        </w:rPr>
        <w:instrText xml:space="preserve"> PAGEREF _Toc108514081 \h </w:instrText>
      </w:r>
      <w:r>
        <w:rPr>
          <w:rFonts w:ascii="宋体" w:hAnsi="宋体"/>
          <w:szCs w:val="21"/>
        </w:rPr>
        <w:fldChar w:fldCharType="separate"/>
      </w:r>
      <w:r>
        <w:rPr>
          <w:rFonts w:ascii="宋体" w:hAnsi="宋体"/>
          <w:szCs w:val="21"/>
        </w:rPr>
        <w:t>270</w:t>
      </w:r>
      <w:r>
        <w:rPr>
          <w:rFonts w:ascii="宋体" w:hAnsi="宋体"/>
          <w:szCs w:val="21"/>
        </w:rPr>
        <w:fldChar w:fldCharType="end"/>
      </w:r>
    </w:p>
    <w:p w14:paraId="1406C5FD">
      <w:pPr>
        <w:pStyle w:val="8"/>
        <w:tabs>
          <w:tab w:val="right" w:leader="dot" w:pos="8296"/>
        </w:tabs>
        <w:rPr>
          <w:rFonts w:ascii="宋体" w:hAnsi="宋体"/>
          <w:szCs w:val="21"/>
        </w:rPr>
      </w:pPr>
      <w:r>
        <w:rPr>
          <w:rFonts w:ascii="宋体" w:hAnsi="宋体"/>
          <w:szCs w:val="21"/>
        </w:rPr>
        <w:t xml:space="preserve">1.4 </w:t>
      </w:r>
      <w:r>
        <w:rPr>
          <w:rFonts w:hint="eastAsia" w:ascii="宋体" w:hAnsi="宋体"/>
          <w:szCs w:val="21"/>
        </w:rPr>
        <w:t>标准和规范</w:t>
      </w:r>
      <w:r>
        <w:rPr>
          <w:rFonts w:ascii="宋体" w:hAnsi="宋体"/>
          <w:szCs w:val="21"/>
        </w:rPr>
        <w:tab/>
      </w:r>
      <w:r>
        <w:rPr>
          <w:rFonts w:ascii="宋体" w:hAnsi="宋体"/>
          <w:szCs w:val="21"/>
        </w:rPr>
        <w:fldChar w:fldCharType="begin"/>
      </w:r>
      <w:r>
        <w:rPr>
          <w:rFonts w:ascii="宋体" w:hAnsi="宋体"/>
          <w:szCs w:val="21"/>
        </w:rPr>
        <w:instrText xml:space="preserve"> PAGEREF _Toc108514082 \h </w:instrText>
      </w:r>
      <w:r>
        <w:rPr>
          <w:rFonts w:ascii="宋体" w:hAnsi="宋体"/>
          <w:szCs w:val="21"/>
        </w:rPr>
        <w:fldChar w:fldCharType="separate"/>
      </w:r>
      <w:r>
        <w:rPr>
          <w:rFonts w:ascii="宋体" w:hAnsi="宋体"/>
          <w:szCs w:val="21"/>
        </w:rPr>
        <w:t>270</w:t>
      </w:r>
      <w:r>
        <w:rPr>
          <w:rFonts w:ascii="宋体" w:hAnsi="宋体"/>
          <w:szCs w:val="21"/>
        </w:rPr>
        <w:fldChar w:fldCharType="end"/>
      </w:r>
    </w:p>
    <w:p w14:paraId="67E0F87F">
      <w:pPr>
        <w:pStyle w:val="8"/>
        <w:tabs>
          <w:tab w:val="right" w:leader="dot" w:pos="8296"/>
        </w:tabs>
        <w:rPr>
          <w:rFonts w:ascii="宋体" w:hAnsi="宋体"/>
          <w:szCs w:val="21"/>
        </w:rPr>
      </w:pPr>
      <w:r>
        <w:rPr>
          <w:rFonts w:ascii="宋体" w:hAnsi="宋体"/>
          <w:szCs w:val="21"/>
        </w:rPr>
        <w:t xml:space="preserve">1.5 </w:t>
      </w:r>
      <w:r>
        <w:rPr>
          <w:rFonts w:hint="eastAsia" w:ascii="宋体" w:hAnsi="宋体"/>
          <w:szCs w:val="21"/>
        </w:rPr>
        <w:t>合同文件的优先顺序</w:t>
      </w:r>
      <w:r>
        <w:rPr>
          <w:rFonts w:ascii="宋体" w:hAnsi="宋体"/>
          <w:szCs w:val="21"/>
        </w:rPr>
        <w:tab/>
      </w:r>
      <w:r>
        <w:rPr>
          <w:rFonts w:ascii="宋体" w:hAnsi="宋体"/>
          <w:szCs w:val="21"/>
        </w:rPr>
        <w:fldChar w:fldCharType="begin"/>
      </w:r>
      <w:r>
        <w:rPr>
          <w:rFonts w:ascii="宋体" w:hAnsi="宋体"/>
          <w:szCs w:val="21"/>
        </w:rPr>
        <w:instrText xml:space="preserve"> PAGEREF _Toc108514083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539BB5AE">
      <w:pPr>
        <w:pStyle w:val="8"/>
        <w:tabs>
          <w:tab w:val="right" w:leader="dot" w:pos="8296"/>
        </w:tabs>
        <w:rPr>
          <w:rFonts w:ascii="宋体" w:hAnsi="宋体"/>
          <w:szCs w:val="21"/>
        </w:rPr>
      </w:pPr>
      <w:r>
        <w:rPr>
          <w:rFonts w:ascii="宋体" w:hAnsi="宋体"/>
          <w:szCs w:val="21"/>
        </w:rPr>
        <w:t xml:space="preserve">1.6 </w:t>
      </w:r>
      <w:r>
        <w:rPr>
          <w:rFonts w:hint="eastAsia" w:ascii="宋体" w:hAnsi="宋体"/>
          <w:szCs w:val="21"/>
        </w:rPr>
        <w:t>图纸和承包人文件</w:t>
      </w:r>
      <w:r>
        <w:rPr>
          <w:rFonts w:ascii="宋体" w:hAnsi="宋体"/>
          <w:szCs w:val="21"/>
        </w:rPr>
        <w:tab/>
      </w:r>
      <w:r>
        <w:rPr>
          <w:rFonts w:ascii="宋体" w:hAnsi="宋体"/>
          <w:szCs w:val="21"/>
        </w:rPr>
        <w:fldChar w:fldCharType="begin"/>
      </w:r>
      <w:r>
        <w:rPr>
          <w:rFonts w:ascii="宋体" w:hAnsi="宋体"/>
          <w:szCs w:val="21"/>
        </w:rPr>
        <w:instrText xml:space="preserve"> PAGEREF _Toc108514084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3DE4ADC4">
      <w:pPr>
        <w:pStyle w:val="8"/>
        <w:tabs>
          <w:tab w:val="right" w:leader="dot" w:pos="8296"/>
        </w:tabs>
        <w:rPr>
          <w:rFonts w:ascii="宋体" w:hAnsi="宋体"/>
          <w:szCs w:val="21"/>
        </w:rPr>
      </w:pPr>
      <w:r>
        <w:rPr>
          <w:rFonts w:ascii="宋体" w:hAnsi="宋体"/>
          <w:szCs w:val="21"/>
        </w:rPr>
        <w:t xml:space="preserve">1.7 </w:t>
      </w:r>
      <w:r>
        <w:rPr>
          <w:rFonts w:hint="eastAsia" w:ascii="宋体" w:hAnsi="宋体"/>
          <w:szCs w:val="21"/>
        </w:rPr>
        <w:t>联络</w:t>
      </w:r>
      <w:r>
        <w:rPr>
          <w:rFonts w:ascii="宋体" w:hAnsi="宋体"/>
          <w:szCs w:val="21"/>
        </w:rPr>
        <w:tab/>
      </w:r>
      <w:r>
        <w:rPr>
          <w:rFonts w:ascii="宋体" w:hAnsi="宋体"/>
          <w:szCs w:val="21"/>
        </w:rPr>
        <w:fldChar w:fldCharType="begin"/>
      </w:r>
      <w:r>
        <w:rPr>
          <w:rFonts w:ascii="宋体" w:hAnsi="宋体"/>
          <w:szCs w:val="21"/>
        </w:rPr>
        <w:instrText xml:space="preserve"> PAGEREF _Toc108514085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32B84916">
      <w:pPr>
        <w:pStyle w:val="8"/>
        <w:tabs>
          <w:tab w:val="right" w:leader="dot" w:pos="8296"/>
        </w:tabs>
        <w:rPr>
          <w:rFonts w:ascii="宋体" w:hAnsi="宋体"/>
          <w:szCs w:val="21"/>
        </w:rPr>
      </w:pPr>
      <w:r>
        <w:rPr>
          <w:rFonts w:ascii="宋体" w:hAnsi="宋体"/>
          <w:szCs w:val="21"/>
        </w:rPr>
        <w:t xml:space="preserve">1.10 </w:t>
      </w:r>
      <w:r>
        <w:rPr>
          <w:rFonts w:hint="eastAsia" w:ascii="宋体" w:hAnsi="宋体"/>
          <w:szCs w:val="21"/>
        </w:rPr>
        <w:t>交通运输</w:t>
      </w:r>
      <w:r>
        <w:rPr>
          <w:rFonts w:ascii="宋体" w:hAnsi="宋体"/>
          <w:szCs w:val="21"/>
        </w:rPr>
        <w:tab/>
      </w:r>
      <w:r>
        <w:rPr>
          <w:rFonts w:ascii="宋体" w:hAnsi="宋体"/>
          <w:szCs w:val="21"/>
        </w:rPr>
        <w:fldChar w:fldCharType="begin"/>
      </w:r>
      <w:r>
        <w:rPr>
          <w:rFonts w:ascii="宋体" w:hAnsi="宋体"/>
          <w:szCs w:val="21"/>
        </w:rPr>
        <w:instrText xml:space="preserve"> PAGEREF _Toc108514086 \h </w:instrText>
      </w:r>
      <w:r>
        <w:rPr>
          <w:rFonts w:ascii="宋体" w:hAnsi="宋体"/>
          <w:szCs w:val="21"/>
        </w:rPr>
        <w:fldChar w:fldCharType="separate"/>
      </w:r>
      <w:r>
        <w:rPr>
          <w:rFonts w:ascii="宋体" w:hAnsi="宋体"/>
          <w:szCs w:val="21"/>
        </w:rPr>
        <w:t>271</w:t>
      </w:r>
      <w:r>
        <w:rPr>
          <w:rFonts w:ascii="宋体" w:hAnsi="宋体"/>
          <w:szCs w:val="21"/>
        </w:rPr>
        <w:fldChar w:fldCharType="end"/>
      </w:r>
    </w:p>
    <w:p w14:paraId="64BCCF54">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知识产权</w:t>
      </w:r>
      <w:r>
        <w:rPr>
          <w:rFonts w:ascii="宋体" w:hAnsi="宋体"/>
          <w:szCs w:val="21"/>
        </w:rPr>
        <w:tab/>
      </w:r>
      <w:r>
        <w:rPr>
          <w:rFonts w:ascii="宋体" w:hAnsi="宋体"/>
          <w:szCs w:val="21"/>
        </w:rPr>
        <w:fldChar w:fldCharType="begin"/>
      </w:r>
      <w:r>
        <w:rPr>
          <w:rFonts w:ascii="宋体" w:hAnsi="宋体"/>
          <w:szCs w:val="21"/>
        </w:rPr>
        <w:instrText xml:space="preserve"> PAGEREF _Toc108514087 \h </w:instrText>
      </w:r>
      <w:r>
        <w:rPr>
          <w:rFonts w:ascii="宋体" w:hAnsi="宋体"/>
          <w:szCs w:val="21"/>
        </w:rPr>
        <w:fldChar w:fldCharType="separate"/>
      </w:r>
      <w:r>
        <w:rPr>
          <w:rFonts w:ascii="宋体" w:hAnsi="宋体"/>
          <w:szCs w:val="21"/>
        </w:rPr>
        <w:t>272</w:t>
      </w:r>
      <w:r>
        <w:rPr>
          <w:rFonts w:ascii="宋体" w:hAnsi="宋体"/>
          <w:szCs w:val="21"/>
        </w:rPr>
        <w:fldChar w:fldCharType="end"/>
      </w:r>
    </w:p>
    <w:p w14:paraId="79C41551">
      <w:pPr>
        <w:pStyle w:val="8"/>
        <w:tabs>
          <w:tab w:val="right" w:leader="dot" w:pos="8296"/>
        </w:tabs>
        <w:rPr>
          <w:rFonts w:ascii="宋体" w:hAnsi="宋体"/>
          <w:szCs w:val="21"/>
        </w:rPr>
      </w:pPr>
      <w:r>
        <w:rPr>
          <w:rFonts w:ascii="宋体" w:hAnsi="宋体"/>
          <w:szCs w:val="21"/>
        </w:rPr>
        <w:t>1.13</w:t>
      </w:r>
      <w:r>
        <w:rPr>
          <w:rFonts w:hint="eastAsia" w:ascii="宋体" w:hAnsi="宋体"/>
          <w:szCs w:val="21"/>
        </w:rPr>
        <w:t>工程量清单错误的修正</w:t>
      </w:r>
      <w:r>
        <w:rPr>
          <w:rFonts w:ascii="宋体" w:hAnsi="宋体"/>
          <w:szCs w:val="21"/>
        </w:rPr>
        <w:tab/>
      </w:r>
      <w:r>
        <w:rPr>
          <w:rFonts w:ascii="宋体" w:hAnsi="宋体"/>
          <w:szCs w:val="21"/>
        </w:rPr>
        <w:fldChar w:fldCharType="begin"/>
      </w:r>
      <w:r>
        <w:rPr>
          <w:rFonts w:ascii="宋体" w:hAnsi="宋体"/>
          <w:szCs w:val="21"/>
        </w:rPr>
        <w:instrText xml:space="preserve"> PAGEREF _Toc108514088 \h </w:instrText>
      </w:r>
      <w:r>
        <w:rPr>
          <w:rFonts w:ascii="宋体" w:hAnsi="宋体"/>
          <w:szCs w:val="21"/>
        </w:rPr>
        <w:fldChar w:fldCharType="separate"/>
      </w:r>
      <w:r>
        <w:rPr>
          <w:rFonts w:ascii="宋体" w:hAnsi="宋体"/>
          <w:szCs w:val="21"/>
        </w:rPr>
        <w:t>272</w:t>
      </w:r>
      <w:r>
        <w:rPr>
          <w:rFonts w:ascii="宋体" w:hAnsi="宋体"/>
          <w:szCs w:val="21"/>
        </w:rPr>
        <w:fldChar w:fldCharType="end"/>
      </w:r>
    </w:p>
    <w:p w14:paraId="4663858A">
      <w:pPr>
        <w:pStyle w:val="13"/>
        <w:tabs>
          <w:tab w:val="right" w:leader="dot" w:pos="8296"/>
        </w:tabs>
        <w:rPr>
          <w:rFonts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发包人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_Toc108514089 \h </w:instrText>
      </w:r>
      <w:r>
        <w:rPr>
          <w:rFonts w:ascii="宋体" w:hAnsi="宋体" w:eastAsia="宋体"/>
          <w:sz w:val="21"/>
          <w:szCs w:val="21"/>
        </w:rPr>
        <w:fldChar w:fldCharType="separate"/>
      </w:r>
      <w:r>
        <w:rPr>
          <w:rFonts w:ascii="宋体" w:hAnsi="宋体" w:eastAsia="宋体"/>
          <w:sz w:val="21"/>
          <w:szCs w:val="21"/>
        </w:rPr>
        <w:t>273</w:t>
      </w:r>
      <w:r>
        <w:rPr>
          <w:rFonts w:ascii="宋体" w:hAnsi="宋体" w:eastAsia="宋体"/>
          <w:sz w:val="21"/>
          <w:szCs w:val="21"/>
        </w:rPr>
        <w:fldChar w:fldCharType="end"/>
      </w:r>
    </w:p>
    <w:p w14:paraId="70070B66">
      <w:pPr>
        <w:pStyle w:val="8"/>
        <w:tabs>
          <w:tab w:val="right" w:leader="dot" w:pos="8296"/>
        </w:tabs>
        <w:rPr>
          <w:rFonts w:ascii="宋体" w:hAnsi="宋体"/>
          <w:szCs w:val="21"/>
        </w:rPr>
      </w:pPr>
      <w:r>
        <w:rPr>
          <w:rFonts w:ascii="宋体" w:hAnsi="宋体"/>
          <w:szCs w:val="21"/>
        </w:rPr>
        <w:t xml:space="preserve">2.2 </w:t>
      </w:r>
      <w:r>
        <w:rPr>
          <w:rFonts w:hint="eastAsia" w:ascii="宋体" w:hAnsi="宋体"/>
          <w:szCs w:val="21"/>
        </w:rPr>
        <w:t>发包人代表</w:t>
      </w:r>
      <w:r>
        <w:rPr>
          <w:rFonts w:ascii="宋体" w:hAnsi="宋体"/>
          <w:szCs w:val="21"/>
        </w:rPr>
        <w:tab/>
      </w:r>
      <w:r>
        <w:rPr>
          <w:rFonts w:ascii="宋体" w:hAnsi="宋体"/>
          <w:szCs w:val="21"/>
        </w:rPr>
        <w:fldChar w:fldCharType="begin"/>
      </w:r>
      <w:r>
        <w:rPr>
          <w:rFonts w:ascii="宋体" w:hAnsi="宋体"/>
          <w:szCs w:val="21"/>
        </w:rPr>
        <w:instrText xml:space="preserve"> PAGEREF _Toc108514090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0AACF252">
      <w:pPr>
        <w:pStyle w:val="8"/>
        <w:tabs>
          <w:tab w:val="right" w:leader="dot" w:pos="8296"/>
        </w:tabs>
        <w:rPr>
          <w:rFonts w:ascii="宋体" w:hAnsi="宋体"/>
          <w:szCs w:val="21"/>
        </w:rPr>
      </w:pPr>
      <w:r>
        <w:rPr>
          <w:rFonts w:ascii="宋体" w:hAnsi="宋体"/>
          <w:szCs w:val="21"/>
        </w:rPr>
        <w:t xml:space="preserve">2.4 </w:t>
      </w:r>
      <w:r>
        <w:rPr>
          <w:rFonts w:hint="eastAsia" w:ascii="宋体" w:hAnsi="宋体"/>
          <w:szCs w:val="21"/>
        </w:rPr>
        <w:t>施工现场、施工条件和基础资料的提供</w:t>
      </w:r>
      <w:r>
        <w:rPr>
          <w:rFonts w:ascii="宋体" w:hAnsi="宋体"/>
          <w:szCs w:val="21"/>
        </w:rPr>
        <w:tab/>
      </w:r>
      <w:r>
        <w:rPr>
          <w:rFonts w:ascii="宋体" w:hAnsi="宋体"/>
          <w:szCs w:val="21"/>
        </w:rPr>
        <w:fldChar w:fldCharType="begin"/>
      </w:r>
      <w:r>
        <w:rPr>
          <w:rFonts w:ascii="宋体" w:hAnsi="宋体"/>
          <w:szCs w:val="21"/>
        </w:rPr>
        <w:instrText xml:space="preserve"> PAGEREF _Toc108514091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11D82583">
      <w:pPr>
        <w:pStyle w:val="8"/>
        <w:tabs>
          <w:tab w:val="right" w:leader="dot" w:pos="8296"/>
        </w:tabs>
        <w:rPr>
          <w:rFonts w:ascii="宋体" w:hAnsi="宋体"/>
          <w:szCs w:val="21"/>
        </w:rPr>
      </w:pPr>
      <w:r>
        <w:rPr>
          <w:rFonts w:ascii="宋体" w:hAnsi="宋体"/>
          <w:szCs w:val="21"/>
        </w:rPr>
        <w:t xml:space="preserve">2.5 </w:t>
      </w:r>
      <w:r>
        <w:rPr>
          <w:rFonts w:hint="eastAsia" w:ascii="宋体" w:hAnsi="宋体"/>
          <w:szCs w:val="21"/>
        </w:rPr>
        <w:t>资金来源证明及支付担保</w:t>
      </w:r>
      <w:r>
        <w:rPr>
          <w:rFonts w:ascii="宋体" w:hAnsi="宋体"/>
          <w:szCs w:val="21"/>
        </w:rPr>
        <w:tab/>
      </w:r>
      <w:r>
        <w:rPr>
          <w:rFonts w:ascii="宋体" w:hAnsi="宋体"/>
          <w:szCs w:val="21"/>
        </w:rPr>
        <w:fldChar w:fldCharType="begin"/>
      </w:r>
      <w:r>
        <w:rPr>
          <w:rFonts w:ascii="宋体" w:hAnsi="宋体"/>
          <w:szCs w:val="21"/>
        </w:rPr>
        <w:instrText xml:space="preserve"> PAGEREF _Toc108514092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04A8CE4D">
      <w:pPr>
        <w:pStyle w:val="13"/>
        <w:tabs>
          <w:tab w:val="right" w:leader="dot" w:pos="8296"/>
        </w:tabs>
        <w:rPr>
          <w:rFonts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承包人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_Toc108514093 \h </w:instrText>
      </w:r>
      <w:r>
        <w:rPr>
          <w:rFonts w:ascii="宋体" w:hAnsi="宋体" w:eastAsia="宋体"/>
          <w:sz w:val="21"/>
          <w:szCs w:val="21"/>
        </w:rPr>
        <w:fldChar w:fldCharType="separate"/>
      </w:r>
      <w:r>
        <w:rPr>
          <w:rFonts w:ascii="宋体" w:hAnsi="宋体" w:eastAsia="宋体"/>
          <w:sz w:val="21"/>
          <w:szCs w:val="21"/>
        </w:rPr>
        <w:t>273</w:t>
      </w:r>
      <w:r>
        <w:rPr>
          <w:rFonts w:ascii="宋体" w:hAnsi="宋体" w:eastAsia="宋体"/>
          <w:sz w:val="21"/>
          <w:szCs w:val="21"/>
        </w:rPr>
        <w:fldChar w:fldCharType="end"/>
      </w:r>
    </w:p>
    <w:p w14:paraId="5A0B9C79">
      <w:pPr>
        <w:pStyle w:val="8"/>
        <w:tabs>
          <w:tab w:val="right" w:leader="dot" w:pos="8296"/>
        </w:tabs>
        <w:rPr>
          <w:rFonts w:ascii="宋体" w:hAnsi="宋体"/>
          <w:szCs w:val="21"/>
        </w:rPr>
      </w:pPr>
      <w:r>
        <w:rPr>
          <w:rFonts w:ascii="宋体" w:hAnsi="宋体"/>
          <w:szCs w:val="21"/>
        </w:rPr>
        <w:t xml:space="preserve">3.1 </w:t>
      </w:r>
      <w:r>
        <w:rPr>
          <w:rFonts w:hint="eastAsia" w:ascii="宋体" w:hAnsi="宋体"/>
          <w:szCs w:val="21"/>
        </w:rPr>
        <w:t>承包人的一般义务</w:t>
      </w:r>
      <w:r>
        <w:rPr>
          <w:rFonts w:ascii="宋体" w:hAnsi="宋体"/>
          <w:szCs w:val="21"/>
        </w:rPr>
        <w:tab/>
      </w:r>
      <w:r>
        <w:rPr>
          <w:rFonts w:ascii="宋体" w:hAnsi="宋体"/>
          <w:szCs w:val="21"/>
        </w:rPr>
        <w:fldChar w:fldCharType="begin"/>
      </w:r>
      <w:r>
        <w:rPr>
          <w:rFonts w:ascii="宋体" w:hAnsi="宋体"/>
          <w:szCs w:val="21"/>
        </w:rPr>
        <w:instrText xml:space="preserve"> PAGEREF _Toc108514094 \h </w:instrText>
      </w:r>
      <w:r>
        <w:rPr>
          <w:rFonts w:ascii="宋体" w:hAnsi="宋体"/>
          <w:szCs w:val="21"/>
        </w:rPr>
        <w:fldChar w:fldCharType="separate"/>
      </w:r>
      <w:r>
        <w:rPr>
          <w:rFonts w:ascii="宋体" w:hAnsi="宋体"/>
          <w:szCs w:val="21"/>
        </w:rPr>
        <w:t>273</w:t>
      </w:r>
      <w:r>
        <w:rPr>
          <w:rFonts w:ascii="宋体" w:hAnsi="宋体"/>
          <w:szCs w:val="21"/>
        </w:rPr>
        <w:fldChar w:fldCharType="end"/>
      </w:r>
    </w:p>
    <w:p w14:paraId="1E11C33C">
      <w:pPr>
        <w:pStyle w:val="8"/>
        <w:tabs>
          <w:tab w:val="right" w:leader="dot" w:pos="8296"/>
        </w:tabs>
        <w:rPr>
          <w:rFonts w:ascii="宋体" w:hAnsi="宋体"/>
          <w:szCs w:val="21"/>
        </w:rPr>
      </w:pPr>
      <w:r>
        <w:rPr>
          <w:rFonts w:ascii="宋体" w:hAnsi="宋体"/>
          <w:szCs w:val="21"/>
        </w:rPr>
        <w:t xml:space="preserve">3.2 </w:t>
      </w:r>
      <w:r>
        <w:rPr>
          <w:rFonts w:hint="eastAsia" w:ascii="宋体" w:hAnsi="宋体"/>
          <w:szCs w:val="21"/>
        </w:rPr>
        <w:t>项目经理</w:t>
      </w:r>
      <w:r>
        <w:rPr>
          <w:rFonts w:ascii="宋体" w:hAnsi="宋体"/>
          <w:szCs w:val="21"/>
        </w:rPr>
        <w:tab/>
      </w:r>
      <w:r>
        <w:rPr>
          <w:rFonts w:ascii="宋体" w:hAnsi="宋体"/>
          <w:szCs w:val="21"/>
        </w:rPr>
        <w:fldChar w:fldCharType="begin"/>
      </w:r>
      <w:r>
        <w:rPr>
          <w:rFonts w:ascii="宋体" w:hAnsi="宋体"/>
          <w:szCs w:val="21"/>
        </w:rPr>
        <w:instrText xml:space="preserve"> PAGEREF _Toc108514095 \h </w:instrText>
      </w:r>
      <w:r>
        <w:rPr>
          <w:rFonts w:ascii="宋体" w:hAnsi="宋体"/>
          <w:szCs w:val="21"/>
        </w:rPr>
        <w:fldChar w:fldCharType="separate"/>
      </w:r>
      <w:r>
        <w:rPr>
          <w:rFonts w:ascii="宋体" w:hAnsi="宋体"/>
          <w:szCs w:val="21"/>
        </w:rPr>
        <w:t>274</w:t>
      </w:r>
      <w:r>
        <w:rPr>
          <w:rFonts w:ascii="宋体" w:hAnsi="宋体"/>
          <w:szCs w:val="21"/>
        </w:rPr>
        <w:fldChar w:fldCharType="end"/>
      </w:r>
    </w:p>
    <w:p w14:paraId="73AE5BE6">
      <w:pPr>
        <w:pStyle w:val="8"/>
        <w:tabs>
          <w:tab w:val="right" w:leader="dot" w:pos="8296"/>
        </w:tabs>
        <w:rPr>
          <w:rFonts w:ascii="宋体" w:hAnsi="宋体"/>
          <w:szCs w:val="21"/>
        </w:rPr>
      </w:pPr>
      <w:r>
        <w:rPr>
          <w:rFonts w:ascii="宋体" w:hAnsi="宋体"/>
          <w:szCs w:val="21"/>
        </w:rPr>
        <w:t xml:space="preserve">3.3 </w:t>
      </w:r>
      <w:r>
        <w:rPr>
          <w:rFonts w:hint="eastAsia" w:ascii="宋体" w:hAnsi="宋体"/>
          <w:szCs w:val="21"/>
        </w:rPr>
        <w:t>承包人人员</w:t>
      </w:r>
      <w:r>
        <w:rPr>
          <w:rFonts w:ascii="宋体" w:hAnsi="宋体"/>
          <w:szCs w:val="21"/>
        </w:rPr>
        <w:tab/>
      </w:r>
      <w:r>
        <w:rPr>
          <w:rFonts w:ascii="宋体" w:hAnsi="宋体"/>
          <w:szCs w:val="21"/>
        </w:rPr>
        <w:fldChar w:fldCharType="begin"/>
      </w:r>
      <w:r>
        <w:rPr>
          <w:rFonts w:ascii="宋体" w:hAnsi="宋体"/>
          <w:szCs w:val="21"/>
        </w:rPr>
        <w:instrText xml:space="preserve"> PAGEREF _Toc108514096 \h </w:instrText>
      </w:r>
      <w:r>
        <w:rPr>
          <w:rFonts w:ascii="宋体" w:hAnsi="宋体"/>
          <w:szCs w:val="21"/>
        </w:rPr>
        <w:fldChar w:fldCharType="separate"/>
      </w:r>
      <w:r>
        <w:rPr>
          <w:rFonts w:ascii="宋体" w:hAnsi="宋体"/>
          <w:szCs w:val="21"/>
        </w:rPr>
        <w:t>274</w:t>
      </w:r>
      <w:r>
        <w:rPr>
          <w:rFonts w:ascii="宋体" w:hAnsi="宋体"/>
          <w:szCs w:val="21"/>
        </w:rPr>
        <w:fldChar w:fldCharType="end"/>
      </w:r>
    </w:p>
    <w:p w14:paraId="7EEB6DD7">
      <w:pPr>
        <w:pStyle w:val="8"/>
        <w:tabs>
          <w:tab w:val="right" w:leader="dot" w:pos="8296"/>
        </w:tabs>
        <w:rPr>
          <w:rFonts w:ascii="宋体" w:hAnsi="宋体"/>
          <w:szCs w:val="21"/>
        </w:rPr>
      </w:pPr>
      <w:r>
        <w:rPr>
          <w:rFonts w:ascii="宋体" w:hAnsi="宋体"/>
          <w:szCs w:val="21"/>
        </w:rPr>
        <w:t xml:space="preserve">3.5 </w:t>
      </w:r>
      <w:r>
        <w:rPr>
          <w:rFonts w:hint="eastAsia" w:ascii="宋体" w:hAnsi="宋体"/>
          <w:szCs w:val="21"/>
        </w:rPr>
        <w:t>分包</w:t>
      </w:r>
      <w:r>
        <w:rPr>
          <w:rFonts w:ascii="宋体" w:hAnsi="宋体"/>
          <w:szCs w:val="21"/>
        </w:rPr>
        <w:tab/>
      </w:r>
      <w:r>
        <w:rPr>
          <w:rFonts w:ascii="宋体" w:hAnsi="宋体"/>
          <w:szCs w:val="21"/>
        </w:rPr>
        <w:fldChar w:fldCharType="begin"/>
      </w:r>
      <w:r>
        <w:rPr>
          <w:rFonts w:ascii="宋体" w:hAnsi="宋体"/>
          <w:szCs w:val="21"/>
        </w:rPr>
        <w:instrText xml:space="preserve"> PAGEREF _Toc108514097 \h </w:instrText>
      </w:r>
      <w:r>
        <w:rPr>
          <w:rFonts w:ascii="宋体" w:hAnsi="宋体"/>
          <w:szCs w:val="21"/>
        </w:rPr>
        <w:fldChar w:fldCharType="separate"/>
      </w:r>
      <w:r>
        <w:rPr>
          <w:rFonts w:ascii="宋体" w:hAnsi="宋体"/>
          <w:szCs w:val="21"/>
        </w:rPr>
        <w:t>275</w:t>
      </w:r>
      <w:r>
        <w:rPr>
          <w:rFonts w:ascii="宋体" w:hAnsi="宋体"/>
          <w:szCs w:val="21"/>
        </w:rPr>
        <w:fldChar w:fldCharType="end"/>
      </w:r>
    </w:p>
    <w:p w14:paraId="2A47C462">
      <w:pPr>
        <w:pStyle w:val="8"/>
        <w:tabs>
          <w:tab w:val="right" w:leader="dot" w:pos="8296"/>
        </w:tabs>
        <w:rPr>
          <w:rFonts w:ascii="宋体" w:hAnsi="宋体"/>
          <w:szCs w:val="21"/>
        </w:rPr>
      </w:pPr>
      <w:r>
        <w:rPr>
          <w:rFonts w:ascii="宋体" w:hAnsi="宋体"/>
          <w:szCs w:val="21"/>
        </w:rPr>
        <w:t xml:space="preserve">3.6 </w:t>
      </w:r>
      <w:r>
        <w:rPr>
          <w:rFonts w:hint="eastAsia" w:ascii="宋体" w:hAnsi="宋体"/>
          <w:szCs w:val="21"/>
        </w:rPr>
        <w:t>工程照管与成品、半成品保护</w:t>
      </w:r>
      <w:r>
        <w:rPr>
          <w:rFonts w:ascii="宋体" w:hAnsi="宋体"/>
          <w:szCs w:val="21"/>
        </w:rPr>
        <w:tab/>
      </w:r>
      <w:r>
        <w:rPr>
          <w:rFonts w:ascii="宋体" w:hAnsi="宋体"/>
          <w:szCs w:val="21"/>
        </w:rPr>
        <w:fldChar w:fldCharType="begin"/>
      </w:r>
      <w:r>
        <w:rPr>
          <w:rFonts w:ascii="宋体" w:hAnsi="宋体"/>
          <w:szCs w:val="21"/>
        </w:rPr>
        <w:instrText xml:space="preserve"> PAGEREF _Toc108514098 \h </w:instrText>
      </w:r>
      <w:r>
        <w:rPr>
          <w:rFonts w:ascii="宋体" w:hAnsi="宋体"/>
          <w:szCs w:val="21"/>
        </w:rPr>
        <w:fldChar w:fldCharType="separate"/>
      </w:r>
      <w:r>
        <w:rPr>
          <w:rFonts w:ascii="宋体" w:hAnsi="宋体"/>
          <w:szCs w:val="21"/>
        </w:rPr>
        <w:t>275</w:t>
      </w:r>
      <w:r>
        <w:rPr>
          <w:rFonts w:ascii="宋体" w:hAnsi="宋体"/>
          <w:szCs w:val="21"/>
        </w:rPr>
        <w:fldChar w:fldCharType="end"/>
      </w:r>
    </w:p>
    <w:p w14:paraId="61A6207A">
      <w:pPr>
        <w:pStyle w:val="8"/>
        <w:tabs>
          <w:tab w:val="right" w:leader="dot" w:pos="8296"/>
        </w:tabs>
        <w:rPr>
          <w:rFonts w:ascii="宋体" w:hAnsi="宋体"/>
          <w:szCs w:val="21"/>
        </w:rPr>
      </w:pPr>
      <w:r>
        <w:rPr>
          <w:rFonts w:ascii="宋体" w:hAnsi="宋体"/>
          <w:szCs w:val="21"/>
        </w:rPr>
        <w:t xml:space="preserve">3.7 </w:t>
      </w:r>
      <w:r>
        <w:rPr>
          <w:rFonts w:hint="eastAsia" w:ascii="宋体" w:hAnsi="宋体"/>
          <w:szCs w:val="21"/>
        </w:rPr>
        <w:t>履约担保</w:t>
      </w:r>
      <w:r>
        <w:rPr>
          <w:rFonts w:ascii="宋体" w:hAnsi="宋体"/>
          <w:szCs w:val="21"/>
        </w:rPr>
        <w:tab/>
      </w:r>
      <w:r>
        <w:rPr>
          <w:rFonts w:ascii="宋体" w:hAnsi="宋体"/>
          <w:szCs w:val="21"/>
        </w:rPr>
        <w:fldChar w:fldCharType="begin"/>
      </w:r>
      <w:r>
        <w:rPr>
          <w:rFonts w:ascii="宋体" w:hAnsi="宋体"/>
          <w:szCs w:val="21"/>
        </w:rPr>
        <w:instrText xml:space="preserve"> PAGEREF _Toc108514099 \h </w:instrText>
      </w:r>
      <w:r>
        <w:rPr>
          <w:rFonts w:ascii="宋体" w:hAnsi="宋体"/>
          <w:szCs w:val="21"/>
        </w:rPr>
        <w:fldChar w:fldCharType="separate"/>
      </w:r>
      <w:r>
        <w:rPr>
          <w:rFonts w:ascii="宋体" w:hAnsi="宋体"/>
          <w:szCs w:val="21"/>
        </w:rPr>
        <w:t>275</w:t>
      </w:r>
      <w:r>
        <w:rPr>
          <w:rFonts w:ascii="宋体" w:hAnsi="宋体"/>
          <w:szCs w:val="21"/>
        </w:rPr>
        <w:fldChar w:fldCharType="end"/>
      </w:r>
    </w:p>
    <w:p w14:paraId="328038B8">
      <w:pPr>
        <w:pStyle w:val="13"/>
        <w:tabs>
          <w:tab w:val="right" w:leader="dot" w:pos="8296"/>
        </w:tabs>
        <w:rPr>
          <w:rFonts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监理人</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_Toc108514100 \h </w:instrText>
      </w:r>
      <w:r>
        <w:rPr>
          <w:rFonts w:ascii="宋体" w:hAnsi="宋体" w:eastAsia="宋体"/>
          <w:sz w:val="21"/>
          <w:szCs w:val="21"/>
        </w:rPr>
        <w:fldChar w:fldCharType="separate"/>
      </w:r>
      <w:r>
        <w:rPr>
          <w:rFonts w:ascii="宋体" w:hAnsi="宋体" w:eastAsia="宋体"/>
          <w:sz w:val="21"/>
          <w:szCs w:val="21"/>
        </w:rPr>
        <w:t>276</w:t>
      </w:r>
      <w:r>
        <w:rPr>
          <w:rFonts w:ascii="宋体" w:hAnsi="宋体" w:eastAsia="宋体"/>
          <w:sz w:val="21"/>
          <w:szCs w:val="21"/>
        </w:rPr>
        <w:fldChar w:fldCharType="end"/>
      </w:r>
    </w:p>
    <w:p w14:paraId="2D11C25E">
      <w:pPr>
        <w:pStyle w:val="8"/>
        <w:tabs>
          <w:tab w:val="right" w:leader="dot" w:pos="8296"/>
        </w:tabs>
        <w:rPr>
          <w:rFonts w:ascii="宋体" w:hAnsi="宋体"/>
          <w:szCs w:val="21"/>
        </w:rPr>
      </w:pPr>
      <w:r>
        <w:rPr>
          <w:rFonts w:ascii="宋体" w:hAnsi="宋体"/>
          <w:szCs w:val="21"/>
        </w:rPr>
        <w:t xml:space="preserve">4.1 </w:t>
      </w:r>
      <w:r>
        <w:rPr>
          <w:rFonts w:hint="eastAsia" w:ascii="宋体" w:hAnsi="宋体"/>
          <w:szCs w:val="21"/>
        </w:rPr>
        <w:t>监理人的一般规定</w:t>
      </w:r>
      <w:r>
        <w:rPr>
          <w:rFonts w:ascii="宋体" w:hAnsi="宋体"/>
          <w:szCs w:val="21"/>
        </w:rPr>
        <w:tab/>
      </w:r>
      <w:r>
        <w:rPr>
          <w:rFonts w:ascii="宋体" w:hAnsi="宋体"/>
          <w:szCs w:val="21"/>
        </w:rPr>
        <w:fldChar w:fldCharType="begin"/>
      </w:r>
      <w:r>
        <w:rPr>
          <w:rFonts w:ascii="宋体" w:hAnsi="宋体"/>
          <w:szCs w:val="21"/>
        </w:rPr>
        <w:instrText xml:space="preserve"> PAGEREF _Toc108514101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39D2D2AC">
      <w:pPr>
        <w:pStyle w:val="8"/>
        <w:tabs>
          <w:tab w:val="right" w:leader="dot" w:pos="8296"/>
        </w:tabs>
        <w:rPr>
          <w:rFonts w:ascii="宋体" w:hAnsi="宋体"/>
          <w:szCs w:val="21"/>
        </w:rPr>
      </w:pPr>
      <w:r>
        <w:rPr>
          <w:rFonts w:ascii="宋体" w:hAnsi="宋体"/>
          <w:szCs w:val="21"/>
        </w:rPr>
        <w:t xml:space="preserve">4.2 </w:t>
      </w:r>
      <w:r>
        <w:rPr>
          <w:rFonts w:hint="eastAsia" w:ascii="宋体" w:hAnsi="宋体"/>
          <w:szCs w:val="21"/>
        </w:rPr>
        <w:t>监理人员</w:t>
      </w:r>
      <w:r>
        <w:rPr>
          <w:rFonts w:ascii="宋体" w:hAnsi="宋体"/>
          <w:szCs w:val="21"/>
        </w:rPr>
        <w:tab/>
      </w:r>
      <w:r>
        <w:rPr>
          <w:rFonts w:ascii="宋体" w:hAnsi="宋体"/>
          <w:szCs w:val="21"/>
        </w:rPr>
        <w:fldChar w:fldCharType="begin"/>
      </w:r>
      <w:r>
        <w:rPr>
          <w:rFonts w:ascii="宋体" w:hAnsi="宋体"/>
          <w:szCs w:val="21"/>
        </w:rPr>
        <w:instrText xml:space="preserve"> PAGEREF _Toc108514102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51D9FEAB">
      <w:pPr>
        <w:pStyle w:val="8"/>
        <w:tabs>
          <w:tab w:val="right" w:leader="dot" w:pos="8296"/>
        </w:tabs>
        <w:rPr>
          <w:rFonts w:ascii="宋体" w:hAnsi="宋体"/>
          <w:szCs w:val="21"/>
        </w:rPr>
      </w:pPr>
      <w:r>
        <w:rPr>
          <w:rFonts w:ascii="宋体" w:hAnsi="宋体"/>
          <w:szCs w:val="21"/>
        </w:rPr>
        <w:t xml:space="preserve">4.4 </w:t>
      </w:r>
      <w:r>
        <w:rPr>
          <w:rFonts w:hint="eastAsia" w:ascii="宋体" w:hAnsi="宋体"/>
          <w:szCs w:val="21"/>
        </w:rPr>
        <w:t>商定或确定</w:t>
      </w:r>
      <w:r>
        <w:rPr>
          <w:rFonts w:ascii="宋体" w:hAnsi="宋体"/>
          <w:szCs w:val="21"/>
        </w:rPr>
        <w:tab/>
      </w:r>
      <w:r>
        <w:rPr>
          <w:rFonts w:ascii="宋体" w:hAnsi="宋体"/>
          <w:szCs w:val="21"/>
        </w:rPr>
        <w:fldChar w:fldCharType="begin"/>
      </w:r>
      <w:r>
        <w:rPr>
          <w:rFonts w:ascii="宋体" w:hAnsi="宋体"/>
          <w:szCs w:val="21"/>
        </w:rPr>
        <w:instrText xml:space="preserve"> PAGEREF _Toc108514103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4CADCE8B">
      <w:pPr>
        <w:pStyle w:val="13"/>
        <w:tabs>
          <w:tab w:val="right" w:leader="dot" w:pos="8296"/>
        </w:tabs>
        <w:rPr>
          <w:rFonts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工程质量</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_Toc108514104 \h </w:instrText>
      </w:r>
      <w:r>
        <w:rPr>
          <w:rFonts w:ascii="宋体" w:hAnsi="宋体" w:eastAsia="宋体"/>
          <w:sz w:val="21"/>
          <w:szCs w:val="21"/>
        </w:rPr>
        <w:fldChar w:fldCharType="separate"/>
      </w:r>
      <w:r>
        <w:rPr>
          <w:rFonts w:ascii="宋体" w:hAnsi="宋体" w:eastAsia="宋体"/>
          <w:sz w:val="21"/>
          <w:szCs w:val="21"/>
        </w:rPr>
        <w:t>276</w:t>
      </w:r>
      <w:r>
        <w:rPr>
          <w:rFonts w:ascii="宋体" w:hAnsi="宋体" w:eastAsia="宋体"/>
          <w:sz w:val="21"/>
          <w:szCs w:val="21"/>
        </w:rPr>
        <w:fldChar w:fldCharType="end"/>
      </w:r>
    </w:p>
    <w:p w14:paraId="176EBA45">
      <w:pPr>
        <w:pStyle w:val="8"/>
        <w:tabs>
          <w:tab w:val="right" w:leader="dot" w:pos="8296"/>
        </w:tabs>
        <w:rPr>
          <w:rFonts w:ascii="宋体" w:hAnsi="宋体"/>
          <w:szCs w:val="21"/>
        </w:rPr>
      </w:pPr>
      <w:r>
        <w:rPr>
          <w:rFonts w:ascii="宋体" w:hAnsi="宋体"/>
          <w:szCs w:val="21"/>
        </w:rPr>
        <w:t xml:space="preserve">5.1 </w:t>
      </w:r>
      <w:r>
        <w:rPr>
          <w:rFonts w:hint="eastAsia" w:ascii="宋体" w:hAnsi="宋体"/>
          <w:szCs w:val="21"/>
        </w:rPr>
        <w:t>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_Toc108514105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318244F5">
      <w:pPr>
        <w:pStyle w:val="8"/>
        <w:tabs>
          <w:tab w:val="right" w:leader="dot" w:pos="8296"/>
        </w:tabs>
        <w:rPr>
          <w:rFonts w:ascii="宋体" w:hAnsi="宋体"/>
          <w:szCs w:val="21"/>
        </w:rPr>
      </w:pPr>
      <w:r>
        <w:rPr>
          <w:rFonts w:ascii="宋体" w:hAnsi="宋体"/>
          <w:szCs w:val="21"/>
        </w:rPr>
        <w:t xml:space="preserve">5.3 </w:t>
      </w:r>
      <w:r>
        <w:rPr>
          <w:rFonts w:hint="eastAsia" w:ascii="宋体" w:hAnsi="宋体"/>
          <w:szCs w:val="21"/>
        </w:rPr>
        <w:t>隐蔽工程检查</w:t>
      </w:r>
      <w:r>
        <w:rPr>
          <w:rFonts w:ascii="宋体" w:hAnsi="宋体"/>
          <w:szCs w:val="21"/>
        </w:rPr>
        <w:tab/>
      </w:r>
      <w:r>
        <w:rPr>
          <w:rFonts w:ascii="宋体" w:hAnsi="宋体"/>
          <w:szCs w:val="21"/>
        </w:rPr>
        <w:fldChar w:fldCharType="begin"/>
      </w:r>
      <w:r>
        <w:rPr>
          <w:rFonts w:ascii="宋体" w:hAnsi="宋体"/>
          <w:szCs w:val="21"/>
        </w:rPr>
        <w:instrText xml:space="preserve"> PAGEREF _Toc108514106 \h </w:instrText>
      </w:r>
      <w:r>
        <w:rPr>
          <w:rFonts w:ascii="宋体" w:hAnsi="宋体"/>
          <w:szCs w:val="21"/>
        </w:rPr>
        <w:fldChar w:fldCharType="separate"/>
      </w:r>
      <w:r>
        <w:rPr>
          <w:rFonts w:ascii="宋体" w:hAnsi="宋体"/>
          <w:szCs w:val="21"/>
        </w:rPr>
        <w:t>276</w:t>
      </w:r>
      <w:r>
        <w:rPr>
          <w:rFonts w:ascii="宋体" w:hAnsi="宋体"/>
          <w:szCs w:val="21"/>
        </w:rPr>
        <w:fldChar w:fldCharType="end"/>
      </w:r>
    </w:p>
    <w:p w14:paraId="0E93C071">
      <w:pPr>
        <w:pStyle w:val="13"/>
        <w:tabs>
          <w:tab w:val="right" w:leader="dot" w:pos="8296"/>
        </w:tabs>
        <w:rPr>
          <w:rFonts w:ascii="宋体" w:hAnsi="宋体" w:eastAsia="宋体"/>
          <w:sz w:val="21"/>
          <w:szCs w:val="21"/>
        </w:rPr>
      </w:pPr>
      <w:r>
        <w:rPr>
          <w:rFonts w:ascii="宋体" w:hAnsi="宋体" w:eastAsia="宋体"/>
          <w:sz w:val="21"/>
          <w:szCs w:val="21"/>
        </w:rPr>
        <w:t xml:space="preserve">6. </w:t>
      </w:r>
      <w:r>
        <w:rPr>
          <w:rFonts w:hint="eastAsia" w:ascii="宋体" w:hAnsi="宋体" w:eastAsia="宋体"/>
          <w:sz w:val="21"/>
          <w:szCs w:val="21"/>
        </w:rPr>
        <w:t>安全文明施工与环境保护</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_Toc108514107 \h </w:instrText>
      </w:r>
      <w:r>
        <w:rPr>
          <w:rFonts w:ascii="宋体" w:hAnsi="宋体" w:eastAsia="宋体"/>
          <w:sz w:val="21"/>
          <w:szCs w:val="21"/>
        </w:rPr>
        <w:fldChar w:fldCharType="separate"/>
      </w:r>
      <w:r>
        <w:rPr>
          <w:rFonts w:ascii="宋体" w:hAnsi="宋体" w:eastAsia="宋体"/>
          <w:sz w:val="21"/>
          <w:szCs w:val="21"/>
        </w:rPr>
        <w:t>277</w:t>
      </w:r>
      <w:r>
        <w:rPr>
          <w:rFonts w:ascii="宋体" w:hAnsi="宋体" w:eastAsia="宋体"/>
          <w:sz w:val="21"/>
          <w:szCs w:val="21"/>
        </w:rPr>
        <w:fldChar w:fldCharType="end"/>
      </w:r>
    </w:p>
    <w:p w14:paraId="613B7D00">
      <w:pPr>
        <w:pStyle w:val="8"/>
        <w:tabs>
          <w:tab w:val="right" w:leader="dot" w:pos="8296"/>
        </w:tabs>
        <w:rPr>
          <w:rFonts w:ascii="宋体" w:hAnsi="宋体"/>
          <w:szCs w:val="21"/>
        </w:rPr>
      </w:pPr>
      <w:r>
        <w:rPr>
          <w:rFonts w:ascii="宋体" w:hAnsi="宋体"/>
          <w:szCs w:val="21"/>
        </w:rPr>
        <w:t xml:space="preserve">6.1 </w:t>
      </w:r>
      <w:r>
        <w:rPr>
          <w:rFonts w:hint="eastAsia" w:ascii="宋体" w:hAnsi="宋体"/>
          <w:szCs w:val="21"/>
        </w:rPr>
        <w:t>安全文明施工</w:t>
      </w:r>
      <w:r>
        <w:rPr>
          <w:rFonts w:ascii="宋体" w:hAnsi="宋体"/>
          <w:szCs w:val="21"/>
        </w:rPr>
        <w:tab/>
      </w:r>
      <w:r>
        <w:rPr>
          <w:rFonts w:ascii="宋体" w:hAnsi="宋体"/>
          <w:szCs w:val="21"/>
        </w:rPr>
        <w:fldChar w:fldCharType="begin"/>
      </w:r>
      <w:r>
        <w:rPr>
          <w:rFonts w:ascii="宋体" w:hAnsi="宋体"/>
          <w:szCs w:val="21"/>
        </w:rPr>
        <w:instrText xml:space="preserve"> PAGEREF _Toc108514108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280F4E47">
      <w:pPr>
        <w:pStyle w:val="13"/>
        <w:tabs>
          <w:tab w:val="right" w:leader="dot" w:pos="8296"/>
        </w:tabs>
        <w:rPr>
          <w:rFonts w:ascii="宋体" w:hAnsi="宋体" w:eastAsia="宋体"/>
          <w:sz w:val="21"/>
          <w:szCs w:val="21"/>
        </w:rPr>
      </w:pPr>
      <w:r>
        <w:rPr>
          <w:rFonts w:ascii="宋体" w:hAnsi="宋体" w:eastAsia="宋体"/>
          <w:sz w:val="21"/>
          <w:szCs w:val="21"/>
        </w:rPr>
        <w:t xml:space="preserve">7. </w:t>
      </w:r>
      <w:r>
        <w:rPr>
          <w:rFonts w:hint="eastAsia" w:ascii="宋体" w:hAnsi="宋体" w:eastAsia="宋体"/>
          <w:sz w:val="21"/>
          <w:szCs w:val="21"/>
        </w:rPr>
        <w:t>工期和进度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_Toc108514109 \h </w:instrText>
      </w:r>
      <w:r>
        <w:rPr>
          <w:rFonts w:ascii="宋体" w:hAnsi="宋体" w:eastAsia="宋体"/>
          <w:sz w:val="21"/>
          <w:szCs w:val="21"/>
        </w:rPr>
        <w:fldChar w:fldCharType="separate"/>
      </w:r>
      <w:r>
        <w:rPr>
          <w:rFonts w:ascii="宋体" w:hAnsi="宋体" w:eastAsia="宋体"/>
          <w:sz w:val="21"/>
          <w:szCs w:val="21"/>
        </w:rPr>
        <w:t>277</w:t>
      </w:r>
      <w:r>
        <w:rPr>
          <w:rFonts w:ascii="宋体" w:hAnsi="宋体" w:eastAsia="宋体"/>
          <w:sz w:val="21"/>
          <w:szCs w:val="21"/>
        </w:rPr>
        <w:fldChar w:fldCharType="end"/>
      </w:r>
    </w:p>
    <w:p w14:paraId="1DA2A620">
      <w:pPr>
        <w:pStyle w:val="8"/>
        <w:tabs>
          <w:tab w:val="right" w:leader="dot" w:pos="8296"/>
        </w:tabs>
        <w:rPr>
          <w:rFonts w:ascii="宋体" w:hAnsi="宋体"/>
          <w:szCs w:val="21"/>
        </w:rPr>
      </w:pPr>
      <w:r>
        <w:rPr>
          <w:rFonts w:ascii="宋体" w:hAnsi="宋体"/>
          <w:szCs w:val="21"/>
        </w:rPr>
        <w:t xml:space="preserve">7.1 </w:t>
      </w:r>
      <w:r>
        <w:rPr>
          <w:rFonts w:hint="eastAsia" w:ascii="宋体" w:hAnsi="宋体"/>
          <w:szCs w:val="21"/>
        </w:rPr>
        <w:t>施工组织设计</w:t>
      </w:r>
      <w:r>
        <w:rPr>
          <w:rFonts w:ascii="宋体" w:hAnsi="宋体"/>
          <w:szCs w:val="21"/>
        </w:rPr>
        <w:tab/>
      </w:r>
      <w:r>
        <w:rPr>
          <w:rFonts w:ascii="宋体" w:hAnsi="宋体"/>
          <w:szCs w:val="21"/>
        </w:rPr>
        <w:fldChar w:fldCharType="begin"/>
      </w:r>
      <w:r>
        <w:rPr>
          <w:rFonts w:ascii="宋体" w:hAnsi="宋体"/>
          <w:szCs w:val="21"/>
        </w:rPr>
        <w:instrText xml:space="preserve"> PAGEREF _Toc108514110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2CB23152">
      <w:pPr>
        <w:pStyle w:val="8"/>
        <w:tabs>
          <w:tab w:val="right" w:leader="dot" w:pos="8296"/>
        </w:tabs>
        <w:rPr>
          <w:rFonts w:ascii="宋体" w:hAnsi="宋体"/>
          <w:szCs w:val="21"/>
        </w:rPr>
      </w:pPr>
      <w:r>
        <w:rPr>
          <w:rFonts w:ascii="宋体" w:hAnsi="宋体"/>
          <w:szCs w:val="21"/>
        </w:rPr>
        <w:t xml:space="preserve">7.2 </w:t>
      </w:r>
      <w:r>
        <w:rPr>
          <w:rFonts w:hint="eastAsia" w:ascii="宋体" w:hAnsi="宋体"/>
          <w:szCs w:val="21"/>
        </w:rPr>
        <w:t>施工进度计划</w:t>
      </w:r>
      <w:r>
        <w:rPr>
          <w:rFonts w:ascii="宋体" w:hAnsi="宋体"/>
          <w:szCs w:val="21"/>
        </w:rPr>
        <w:tab/>
      </w:r>
      <w:r>
        <w:rPr>
          <w:rFonts w:ascii="宋体" w:hAnsi="宋体"/>
          <w:szCs w:val="21"/>
        </w:rPr>
        <w:fldChar w:fldCharType="begin"/>
      </w:r>
      <w:r>
        <w:rPr>
          <w:rFonts w:ascii="宋体" w:hAnsi="宋体"/>
          <w:szCs w:val="21"/>
        </w:rPr>
        <w:instrText xml:space="preserve"> PAGEREF _Toc108514111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1C2C1C35">
      <w:pPr>
        <w:pStyle w:val="8"/>
        <w:tabs>
          <w:tab w:val="right" w:leader="dot" w:pos="8296"/>
        </w:tabs>
        <w:rPr>
          <w:rFonts w:ascii="宋体" w:hAnsi="宋体"/>
          <w:szCs w:val="21"/>
        </w:rPr>
      </w:pPr>
      <w:r>
        <w:rPr>
          <w:rFonts w:ascii="宋体" w:hAnsi="宋体"/>
          <w:szCs w:val="21"/>
        </w:rPr>
        <w:t xml:space="preserve">7.3 </w:t>
      </w:r>
      <w:r>
        <w:rPr>
          <w:rFonts w:hint="eastAsia" w:ascii="宋体" w:hAnsi="宋体"/>
          <w:szCs w:val="21"/>
        </w:rPr>
        <w:t>开工</w:t>
      </w:r>
      <w:r>
        <w:rPr>
          <w:rFonts w:ascii="宋体" w:hAnsi="宋体"/>
          <w:szCs w:val="21"/>
        </w:rPr>
        <w:tab/>
      </w:r>
      <w:r>
        <w:rPr>
          <w:rFonts w:ascii="宋体" w:hAnsi="宋体"/>
          <w:szCs w:val="21"/>
        </w:rPr>
        <w:fldChar w:fldCharType="begin"/>
      </w:r>
      <w:r>
        <w:rPr>
          <w:rFonts w:ascii="宋体" w:hAnsi="宋体"/>
          <w:szCs w:val="21"/>
        </w:rPr>
        <w:instrText xml:space="preserve"> PAGEREF _Toc108514112 \h </w:instrText>
      </w:r>
      <w:r>
        <w:rPr>
          <w:rFonts w:ascii="宋体" w:hAnsi="宋体"/>
          <w:szCs w:val="21"/>
        </w:rPr>
        <w:fldChar w:fldCharType="separate"/>
      </w:r>
      <w:r>
        <w:rPr>
          <w:rFonts w:ascii="宋体" w:hAnsi="宋体"/>
          <w:szCs w:val="21"/>
        </w:rPr>
        <w:t>277</w:t>
      </w:r>
      <w:r>
        <w:rPr>
          <w:rFonts w:ascii="宋体" w:hAnsi="宋体"/>
          <w:szCs w:val="21"/>
        </w:rPr>
        <w:fldChar w:fldCharType="end"/>
      </w:r>
    </w:p>
    <w:p w14:paraId="7B2FF18A">
      <w:pPr>
        <w:pStyle w:val="8"/>
        <w:tabs>
          <w:tab w:val="right" w:leader="dot" w:pos="8296"/>
        </w:tabs>
        <w:rPr>
          <w:rFonts w:ascii="宋体" w:hAnsi="宋体"/>
          <w:szCs w:val="21"/>
        </w:rPr>
      </w:pPr>
      <w:r>
        <w:rPr>
          <w:rFonts w:ascii="宋体" w:hAnsi="宋体"/>
          <w:szCs w:val="21"/>
        </w:rPr>
        <w:t xml:space="preserve">7.4 </w:t>
      </w:r>
      <w:r>
        <w:rPr>
          <w:rFonts w:hint="eastAsia" w:ascii="宋体" w:hAnsi="宋体"/>
          <w:szCs w:val="21"/>
        </w:rPr>
        <w:t>测量放线</w:t>
      </w:r>
      <w:r>
        <w:rPr>
          <w:rFonts w:ascii="宋体" w:hAnsi="宋体"/>
          <w:szCs w:val="21"/>
        </w:rPr>
        <w:tab/>
      </w:r>
      <w:r>
        <w:rPr>
          <w:rFonts w:ascii="宋体" w:hAnsi="宋体"/>
          <w:szCs w:val="21"/>
        </w:rPr>
        <w:fldChar w:fldCharType="begin"/>
      </w:r>
      <w:r>
        <w:rPr>
          <w:rFonts w:ascii="宋体" w:hAnsi="宋体"/>
          <w:szCs w:val="21"/>
        </w:rPr>
        <w:instrText xml:space="preserve"> PAGEREF _Toc108514113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3E5DD8CE">
      <w:pPr>
        <w:pStyle w:val="8"/>
        <w:tabs>
          <w:tab w:val="right" w:leader="dot" w:pos="8296"/>
        </w:tabs>
        <w:rPr>
          <w:rFonts w:ascii="宋体" w:hAnsi="宋体"/>
          <w:szCs w:val="21"/>
        </w:rPr>
      </w:pPr>
      <w:r>
        <w:rPr>
          <w:rFonts w:ascii="宋体" w:hAnsi="宋体"/>
          <w:szCs w:val="21"/>
        </w:rPr>
        <w:t xml:space="preserve">7.5 </w:t>
      </w:r>
      <w:r>
        <w:rPr>
          <w:rFonts w:hint="eastAsia" w:ascii="宋体" w:hAnsi="宋体"/>
          <w:szCs w:val="21"/>
        </w:rPr>
        <w:t>工期延误</w:t>
      </w:r>
      <w:r>
        <w:rPr>
          <w:rFonts w:ascii="宋体" w:hAnsi="宋体"/>
          <w:szCs w:val="21"/>
        </w:rPr>
        <w:tab/>
      </w:r>
      <w:r>
        <w:rPr>
          <w:rFonts w:ascii="宋体" w:hAnsi="宋体"/>
          <w:szCs w:val="21"/>
        </w:rPr>
        <w:fldChar w:fldCharType="begin"/>
      </w:r>
      <w:r>
        <w:rPr>
          <w:rFonts w:ascii="宋体" w:hAnsi="宋体"/>
          <w:szCs w:val="21"/>
        </w:rPr>
        <w:instrText xml:space="preserve"> PAGEREF _Toc108514114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5296CD78">
      <w:pPr>
        <w:pStyle w:val="8"/>
        <w:tabs>
          <w:tab w:val="right" w:leader="dot" w:pos="8296"/>
        </w:tabs>
        <w:rPr>
          <w:rFonts w:ascii="宋体" w:hAnsi="宋体"/>
          <w:szCs w:val="21"/>
        </w:rPr>
      </w:pPr>
      <w:r>
        <w:rPr>
          <w:rFonts w:ascii="宋体" w:hAnsi="宋体"/>
          <w:szCs w:val="21"/>
        </w:rPr>
        <w:t xml:space="preserve">7.6 </w:t>
      </w:r>
      <w:r>
        <w:rPr>
          <w:rFonts w:hint="eastAsia" w:ascii="宋体" w:hAnsi="宋体"/>
          <w:szCs w:val="21"/>
        </w:rPr>
        <w:t>不利物质条件</w:t>
      </w:r>
      <w:r>
        <w:rPr>
          <w:rFonts w:ascii="宋体" w:hAnsi="宋体"/>
          <w:szCs w:val="21"/>
        </w:rPr>
        <w:tab/>
      </w:r>
      <w:r>
        <w:rPr>
          <w:rFonts w:ascii="宋体" w:hAnsi="宋体"/>
          <w:szCs w:val="21"/>
        </w:rPr>
        <w:fldChar w:fldCharType="begin"/>
      </w:r>
      <w:r>
        <w:rPr>
          <w:rFonts w:ascii="宋体" w:hAnsi="宋体"/>
          <w:szCs w:val="21"/>
        </w:rPr>
        <w:instrText xml:space="preserve"> PAGEREF _Toc108514115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7C6BF9D2">
      <w:pPr>
        <w:pStyle w:val="8"/>
        <w:tabs>
          <w:tab w:val="right" w:leader="dot" w:pos="8296"/>
        </w:tabs>
        <w:rPr>
          <w:rFonts w:ascii="宋体" w:hAnsi="宋体"/>
          <w:szCs w:val="21"/>
        </w:rPr>
      </w:pPr>
      <w:r>
        <w:rPr>
          <w:rFonts w:ascii="宋体" w:hAnsi="宋体"/>
          <w:szCs w:val="21"/>
        </w:rPr>
        <w:t xml:space="preserve">7.7 </w:t>
      </w:r>
      <w:r>
        <w:rPr>
          <w:rFonts w:hint="eastAsia" w:ascii="宋体" w:hAnsi="宋体"/>
          <w:szCs w:val="21"/>
        </w:rPr>
        <w:t>异常恶劣的气候条件</w:t>
      </w:r>
      <w:r>
        <w:rPr>
          <w:rFonts w:ascii="宋体" w:hAnsi="宋体"/>
          <w:szCs w:val="21"/>
        </w:rPr>
        <w:tab/>
      </w:r>
      <w:r>
        <w:rPr>
          <w:rFonts w:ascii="宋体" w:hAnsi="宋体"/>
          <w:szCs w:val="21"/>
        </w:rPr>
        <w:fldChar w:fldCharType="begin"/>
      </w:r>
      <w:r>
        <w:rPr>
          <w:rFonts w:ascii="宋体" w:hAnsi="宋体"/>
          <w:szCs w:val="21"/>
        </w:rPr>
        <w:instrText xml:space="preserve"> PAGEREF _Toc108514116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5686D67B">
      <w:pPr>
        <w:pStyle w:val="8"/>
        <w:tabs>
          <w:tab w:val="right" w:leader="dot" w:pos="8296"/>
        </w:tabs>
        <w:rPr>
          <w:rFonts w:ascii="宋体" w:hAnsi="宋体"/>
          <w:szCs w:val="21"/>
        </w:rPr>
      </w:pPr>
      <w:r>
        <w:rPr>
          <w:rFonts w:ascii="宋体" w:hAnsi="宋体"/>
          <w:szCs w:val="21"/>
        </w:rPr>
        <w:t xml:space="preserve">7.9 </w:t>
      </w:r>
      <w:r>
        <w:rPr>
          <w:rFonts w:hint="eastAsia" w:ascii="宋体" w:hAnsi="宋体"/>
          <w:szCs w:val="21"/>
        </w:rPr>
        <w:t>提前竣工的奖励</w:t>
      </w:r>
      <w:r>
        <w:rPr>
          <w:rFonts w:ascii="宋体" w:hAnsi="宋体"/>
          <w:szCs w:val="21"/>
        </w:rPr>
        <w:tab/>
      </w:r>
      <w:r>
        <w:rPr>
          <w:rFonts w:ascii="宋体" w:hAnsi="宋体"/>
          <w:szCs w:val="21"/>
        </w:rPr>
        <w:fldChar w:fldCharType="begin"/>
      </w:r>
      <w:r>
        <w:rPr>
          <w:rFonts w:ascii="宋体" w:hAnsi="宋体"/>
          <w:szCs w:val="21"/>
        </w:rPr>
        <w:instrText xml:space="preserve"> PAGEREF _Toc108514117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43C4305E">
      <w:pPr>
        <w:pStyle w:val="13"/>
        <w:tabs>
          <w:tab w:val="right" w:leader="dot" w:pos="8296"/>
        </w:tabs>
        <w:rPr>
          <w:rFonts w:ascii="宋体" w:hAnsi="宋体" w:eastAsia="宋体"/>
          <w:sz w:val="21"/>
          <w:szCs w:val="21"/>
        </w:rPr>
      </w:pPr>
      <w:r>
        <w:rPr>
          <w:rFonts w:ascii="宋体" w:hAnsi="宋体" w:eastAsia="宋体"/>
          <w:sz w:val="21"/>
          <w:szCs w:val="21"/>
        </w:rPr>
        <w:t xml:space="preserve">8. </w:t>
      </w:r>
      <w:r>
        <w:rPr>
          <w:rFonts w:hint="eastAsia" w:ascii="宋体" w:hAnsi="宋体" w:eastAsia="宋体"/>
          <w:sz w:val="21"/>
          <w:szCs w:val="21"/>
        </w:rPr>
        <w:t>材料与设备</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_Toc108514118 \h </w:instrText>
      </w:r>
      <w:r>
        <w:rPr>
          <w:rFonts w:ascii="宋体" w:hAnsi="宋体" w:eastAsia="宋体"/>
          <w:sz w:val="21"/>
          <w:szCs w:val="21"/>
        </w:rPr>
        <w:fldChar w:fldCharType="separate"/>
      </w:r>
      <w:r>
        <w:rPr>
          <w:rFonts w:ascii="宋体" w:hAnsi="宋体" w:eastAsia="宋体"/>
          <w:sz w:val="21"/>
          <w:szCs w:val="21"/>
        </w:rPr>
        <w:t>278</w:t>
      </w:r>
      <w:r>
        <w:rPr>
          <w:rFonts w:ascii="宋体" w:hAnsi="宋体" w:eastAsia="宋体"/>
          <w:sz w:val="21"/>
          <w:szCs w:val="21"/>
        </w:rPr>
        <w:fldChar w:fldCharType="end"/>
      </w:r>
    </w:p>
    <w:p w14:paraId="6712606D">
      <w:pPr>
        <w:pStyle w:val="8"/>
        <w:tabs>
          <w:tab w:val="right" w:leader="dot" w:pos="8296"/>
        </w:tabs>
        <w:rPr>
          <w:rFonts w:ascii="宋体" w:hAnsi="宋体"/>
          <w:szCs w:val="21"/>
        </w:rPr>
      </w:pPr>
      <w:r>
        <w:rPr>
          <w:rFonts w:ascii="宋体" w:hAnsi="宋体"/>
          <w:szCs w:val="21"/>
        </w:rPr>
        <w:t xml:space="preserve">8.4 </w:t>
      </w:r>
      <w:r>
        <w:rPr>
          <w:rFonts w:hint="eastAsia" w:ascii="宋体" w:hAnsi="宋体"/>
          <w:szCs w:val="21"/>
        </w:rPr>
        <w:t>材料与工程设备的保管与使用</w:t>
      </w:r>
      <w:r>
        <w:rPr>
          <w:rFonts w:ascii="宋体" w:hAnsi="宋体"/>
          <w:szCs w:val="21"/>
        </w:rPr>
        <w:tab/>
      </w:r>
      <w:r>
        <w:rPr>
          <w:rFonts w:ascii="宋体" w:hAnsi="宋体"/>
          <w:szCs w:val="21"/>
        </w:rPr>
        <w:fldChar w:fldCharType="begin"/>
      </w:r>
      <w:r>
        <w:rPr>
          <w:rFonts w:ascii="宋体" w:hAnsi="宋体"/>
          <w:szCs w:val="21"/>
        </w:rPr>
        <w:instrText xml:space="preserve"> PAGEREF _Toc108514119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6FD9B521">
      <w:pPr>
        <w:pStyle w:val="8"/>
        <w:tabs>
          <w:tab w:val="right" w:leader="dot" w:pos="8296"/>
        </w:tabs>
        <w:rPr>
          <w:rFonts w:ascii="宋体" w:hAnsi="宋体"/>
          <w:szCs w:val="21"/>
        </w:rPr>
      </w:pPr>
      <w:r>
        <w:rPr>
          <w:rFonts w:ascii="宋体" w:hAnsi="宋体"/>
          <w:szCs w:val="21"/>
        </w:rPr>
        <w:t xml:space="preserve">8.6 </w:t>
      </w:r>
      <w:r>
        <w:rPr>
          <w:rFonts w:hint="eastAsia" w:ascii="宋体" w:hAnsi="宋体"/>
          <w:szCs w:val="21"/>
        </w:rPr>
        <w:t>样品</w:t>
      </w:r>
      <w:r>
        <w:rPr>
          <w:rFonts w:ascii="宋体" w:hAnsi="宋体"/>
          <w:szCs w:val="21"/>
        </w:rPr>
        <w:tab/>
      </w:r>
      <w:r>
        <w:rPr>
          <w:rFonts w:ascii="宋体" w:hAnsi="宋体"/>
          <w:szCs w:val="21"/>
        </w:rPr>
        <w:fldChar w:fldCharType="begin"/>
      </w:r>
      <w:r>
        <w:rPr>
          <w:rFonts w:ascii="宋体" w:hAnsi="宋体"/>
          <w:szCs w:val="21"/>
        </w:rPr>
        <w:instrText xml:space="preserve"> PAGEREF _Toc108514120 \h </w:instrText>
      </w:r>
      <w:r>
        <w:rPr>
          <w:rFonts w:ascii="宋体" w:hAnsi="宋体"/>
          <w:szCs w:val="21"/>
        </w:rPr>
        <w:fldChar w:fldCharType="separate"/>
      </w:r>
      <w:r>
        <w:rPr>
          <w:rFonts w:ascii="宋体" w:hAnsi="宋体"/>
          <w:szCs w:val="21"/>
        </w:rPr>
        <w:t>278</w:t>
      </w:r>
      <w:r>
        <w:rPr>
          <w:rFonts w:ascii="宋体" w:hAnsi="宋体"/>
          <w:szCs w:val="21"/>
        </w:rPr>
        <w:fldChar w:fldCharType="end"/>
      </w:r>
    </w:p>
    <w:p w14:paraId="098C496F">
      <w:pPr>
        <w:pStyle w:val="8"/>
        <w:tabs>
          <w:tab w:val="right" w:leader="dot" w:pos="8296"/>
        </w:tabs>
        <w:rPr>
          <w:rFonts w:ascii="宋体" w:hAnsi="宋体"/>
          <w:szCs w:val="21"/>
        </w:rPr>
      </w:pPr>
      <w:r>
        <w:rPr>
          <w:rFonts w:ascii="宋体" w:hAnsi="宋体"/>
          <w:szCs w:val="21"/>
        </w:rPr>
        <w:t xml:space="preserve">8.8 </w:t>
      </w:r>
      <w:r>
        <w:rPr>
          <w:rFonts w:hint="eastAsia" w:ascii="宋体" w:hAnsi="宋体"/>
          <w:szCs w:val="21"/>
        </w:rPr>
        <w:t>施工设备和临时设施</w:t>
      </w:r>
      <w:r>
        <w:rPr>
          <w:rFonts w:ascii="宋体" w:hAnsi="宋体"/>
          <w:szCs w:val="21"/>
        </w:rPr>
        <w:tab/>
      </w:r>
      <w:r>
        <w:rPr>
          <w:rFonts w:ascii="宋体" w:hAnsi="宋体"/>
          <w:szCs w:val="21"/>
        </w:rPr>
        <w:fldChar w:fldCharType="begin"/>
      </w:r>
      <w:r>
        <w:rPr>
          <w:rFonts w:ascii="宋体" w:hAnsi="宋体"/>
          <w:szCs w:val="21"/>
        </w:rPr>
        <w:instrText xml:space="preserve"> PAGEREF _Toc108514121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1115B00F">
      <w:pPr>
        <w:pStyle w:val="13"/>
        <w:tabs>
          <w:tab w:val="right" w:leader="dot" w:pos="8296"/>
        </w:tabs>
        <w:rPr>
          <w:rFonts w:ascii="宋体" w:hAnsi="宋体" w:eastAsia="宋体"/>
          <w:sz w:val="21"/>
          <w:szCs w:val="21"/>
        </w:rPr>
      </w:pPr>
      <w:r>
        <w:rPr>
          <w:rFonts w:ascii="宋体" w:hAnsi="宋体" w:eastAsia="宋体"/>
          <w:sz w:val="21"/>
          <w:szCs w:val="21"/>
        </w:rPr>
        <w:t xml:space="preserve">9. </w:t>
      </w:r>
      <w:r>
        <w:rPr>
          <w:rFonts w:hint="eastAsia" w:ascii="宋体" w:hAnsi="宋体" w:eastAsia="宋体"/>
          <w:sz w:val="21"/>
          <w:szCs w:val="21"/>
        </w:rPr>
        <w:t>试验与检验</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_Toc108514122 \h </w:instrText>
      </w:r>
      <w:r>
        <w:rPr>
          <w:rFonts w:ascii="宋体" w:hAnsi="宋体" w:eastAsia="宋体"/>
          <w:sz w:val="21"/>
          <w:szCs w:val="21"/>
        </w:rPr>
        <w:fldChar w:fldCharType="separate"/>
      </w:r>
      <w:r>
        <w:rPr>
          <w:rFonts w:ascii="宋体" w:hAnsi="宋体" w:eastAsia="宋体"/>
          <w:sz w:val="21"/>
          <w:szCs w:val="21"/>
        </w:rPr>
        <w:t>279</w:t>
      </w:r>
      <w:r>
        <w:rPr>
          <w:rFonts w:ascii="宋体" w:hAnsi="宋体" w:eastAsia="宋体"/>
          <w:sz w:val="21"/>
          <w:szCs w:val="21"/>
        </w:rPr>
        <w:fldChar w:fldCharType="end"/>
      </w:r>
    </w:p>
    <w:p w14:paraId="537D23F8">
      <w:pPr>
        <w:pStyle w:val="8"/>
        <w:tabs>
          <w:tab w:val="right" w:leader="dot" w:pos="8296"/>
        </w:tabs>
        <w:rPr>
          <w:rFonts w:ascii="宋体" w:hAnsi="宋体"/>
          <w:szCs w:val="21"/>
        </w:rPr>
      </w:pPr>
      <w:r>
        <w:rPr>
          <w:rFonts w:ascii="宋体" w:hAnsi="宋体"/>
          <w:szCs w:val="21"/>
        </w:rPr>
        <w:t xml:space="preserve">9.1 </w:t>
      </w:r>
      <w:r>
        <w:rPr>
          <w:rFonts w:hint="eastAsia" w:ascii="宋体" w:hAnsi="宋体"/>
          <w:szCs w:val="21"/>
        </w:rPr>
        <w:t>试验设备与试验人员</w:t>
      </w:r>
      <w:r>
        <w:rPr>
          <w:rFonts w:ascii="宋体" w:hAnsi="宋体"/>
          <w:szCs w:val="21"/>
        </w:rPr>
        <w:tab/>
      </w:r>
      <w:r>
        <w:rPr>
          <w:rFonts w:ascii="宋体" w:hAnsi="宋体"/>
          <w:szCs w:val="21"/>
        </w:rPr>
        <w:fldChar w:fldCharType="begin"/>
      </w:r>
      <w:r>
        <w:rPr>
          <w:rFonts w:ascii="宋体" w:hAnsi="宋体"/>
          <w:szCs w:val="21"/>
        </w:rPr>
        <w:instrText xml:space="preserve"> PAGEREF _Toc108514123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3789208E">
      <w:pPr>
        <w:pStyle w:val="8"/>
        <w:tabs>
          <w:tab w:val="right" w:leader="dot" w:pos="8296"/>
        </w:tabs>
        <w:rPr>
          <w:rFonts w:ascii="宋体" w:hAnsi="宋体"/>
          <w:szCs w:val="21"/>
        </w:rPr>
      </w:pPr>
      <w:r>
        <w:rPr>
          <w:rFonts w:ascii="宋体" w:hAnsi="宋体"/>
          <w:szCs w:val="21"/>
        </w:rPr>
        <w:t xml:space="preserve">9.4 </w:t>
      </w:r>
      <w:r>
        <w:rPr>
          <w:rFonts w:hint="eastAsia" w:ascii="宋体" w:hAnsi="宋体"/>
          <w:szCs w:val="21"/>
        </w:rPr>
        <w:t>现场工艺试验</w:t>
      </w:r>
      <w:r>
        <w:rPr>
          <w:rFonts w:ascii="宋体" w:hAnsi="宋体"/>
          <w:szCs w:val="21"/>
        </w:rPr>
        <w:tab/>
      </w:r>
      <w:r>
        <w:rPr>
          <w:rFonts w:ascii="宋体" w:hAnsi="宋体"/>
          <w:szCs w:val="21"/>
        </w:rPr>
        <w:fldChar w:fldCharType="begin"/>
      </w:r>
      <w:r>
        <w:rPr>
          <w:rFonts w:ascii="宋体" w:hAnsi="宋体"/>
          <w:szCs w:val="21"/>
        </w:rPr>
        <w:instrText xml:space="preserve"> PAGEREF _Toc108514124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6E68C24E">
      <w:pPr>
        <w:pStyle w:val="13"/>
        <w:tabs>
          <w:tab w:val="right" w:leader="dot" w:pos="8296"/>
        </w:tabs>
        <w:rPr>
          <w:rFonts w:ascii="宋体" w:hAnsi="宋体" w:eastAsia="宋体"/>
          <w:sz w:val="21"/>
          <w:szCs w:val="21"/>
        </w:rPr>
      </w:pPr>
      <w:r>
        <w:rPr>
          <w:rFonts w:ascii="宋体" w:hAnsi="宋体" w:eastAsia="宋体"/>
          <w:sz w:val="21"/>
          <w:szCs w:val="21"/>
        </w:rPr>
        <w:t xml:space="preserve">10. </w:t>
      </w:r>
      <w:r>
        <w:rPr>
          <w:rFonts w:hint="eastAsia" w:ascii="宋体" w:hAnsi="宋体" w:eastAsia="宋体"/>
          <w:sz w:val="21"/>
          <w:szCs w:val="21"/>
        </w:rPr>
        <w:t>变更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_Toc108514125 \h </w:instrText>
      </w:r>
      <w:r>
        <w:rPr>
          <w:rFonts w:ascii="宋体" w:hAnsi="宋体" w:eastAsia="宋体"/>
          <w:sz w:val="21"/>
          <w:szCs w:val="21"/>
        </w:rPr>
        <w:fldChar w:fldCharType="separate"/>
      </w:r>
      <w:r>
        <w:rPr>
          <w:rFonts w:ascii="宋体" w:hAnsi="宋体" w:eastAsia="宋体"/>
          <w:sz w:val="21"/>
          <w:szCs w:val="21"/>
        </w:rPr>
        <w:t>279</w:t>
      </w:r>
      <w:r>
        <w:rPr>
          <w:rFonts w:ascii="宋体" w:hAnsi="宋体" w:eastAsia="宋体"/>
          <w:sz w:val="21"/>
          <w:szCs w:val="21"/>
        </w:rPr>
        <w:fldChar w:fldCharType="end"/>
      </w:r>
    </w:p>
    <w:p w14:paraId="0B99BA19">
      <w:pPr>
        <w:pStyle w:val="8"/>
        <w:tabs>
          <w:tab w:val="right" w:leader="dot" w:pos="8296"/>
        </w:tabs>
        <w:rPr>
          <w:rFonts w:ascii="宋体" w:hAnsi="宋体"/>
          <w:szCs w:val="21"/>
        </w:rPr>
      </w:pPr>
      <w:r>
        <w:rPr>
          <w:rFonts w:ascii="宋体" w:hAnsi="宋体"/>
          <w:szCs w:val="21"/>
        </w:rPr>
        <w:t xml:space="preserve">10.1 </w:t>
      </w:r>
      <w:r>
        <w:rPr>
          <w:rFonts w:hint="eastAsia" w:ascii="宋体" w:hAnsi="宋体"/>
          <w:szCs w:val="21"/>
        </w:rPr>
        <w:t>变更的范围</w:t>
      </w:r>
      <w:r>
        <w:rPr>
          <w:rFonts w:ascii="宋体" w:hAnsi="宋体"/>
          <w:szCs w:val="21"/>
        </w:rPr>
        <w:tab/>
      </w:r>
      <w:r>
        <w:rPr>
          <w:rFonts w:ascii="宋体" w:hAnsi="宋体"/>
          <w:szCs w:val="21"/>
        </w:rPr>
        <w:fldChar w:fldCharType="begin"/>
      </w:r>
      <w:r>
        <w:rPr>
          <w:rFonts w:ascii="宋体" w:hAnsi="宋体"/>
          <w:szCs w:val="21"/>
        </w:rPr>
        <w:instrText xml:space="preserve"> PAGEREF _Toc108514126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0F022B7C">
      <w:pPr>
        <w:pStyle w:val="8"/>
        <w:tabs>
          <w:tab w:val="right" w:leader="dot" w:pos="8296"/>
        </w:tabs>
        <w:rPr>
          <w:rFonts w:ascii="宋体" w:hAnsi="宋体"/>
          <w:szCs w:val="21"/>
        </w:rPr>
      </w:pPr>
      <w:r>
        <w:rPr>
          <w:rFonts w:ascii="宋体" w:hAnsi="宋体"/>
          <w:szCs w:val="21"/>
        </w:rPr>
        <w:t xml:space="preserve">10.4 </w:t>
      </w:r>
      <w:r>
        <w:rPr>
          <w:rFonts w:hint="eastAsia" w:ascii="宋体" w:hAnsi="宋体"/>
          <w:szCs w:val="21"/>
        </w:rPr>
        <w:t>变更估价</w:t>
      </w:r>
      <w:r>
        <w:rPr>
          <w:rFonts w:ascii="宋体" w:hAnsi="宋体"/>
          <w:szCs w:val="21"/>
        </w:rPr>
        <w:tab/>
      </w:r>
      <w:r>
        <w:rPr>
          <w:rFonts w:ascii="宋体" w:hAnsi="宋体"/>
          <w:szCs w:val="21"/>
        </w:rPr>
        <w:fldChar w:fldCharType="begin"/>
      </w:r>
      <w:r>
        <w:rPr>
          <w:rFonts w:ascii="宋体" w:hAnsi="宋体"/>
          <w:szCs w:val="21"/>
        </w:rPr>
        <w:instrText xml:space="preserve"> PAGEREF _Toc108514127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0969FF9A">
      <w:pPr>
        <w:pStyle w:val="8"/>
        <w:tabs>
          <w:tab w:val="right" w:leader="dot" w:pos="8296"/>
        </w:tabs>
        <w:rPr>
          <w:rFonts w:ascii="宋体" w:hAnsi="宋体"/>
          <w:szCs w:val="21"/>
        </w:rPr>
      </w:pPr>
      <w:r>
        <w:rPr>
          <w:rFonts w:ascii="宋体" w:hAnsi="宋体"/>
          <w:szCs w:val="21"/>
        </w:rPr>
        <w:t xml:space="preserve">10.5 </w:t>
      </w:r>
      <w:r>
        <w:rPr>
          <w:rFonts w:hint="eastAsia" w:ascii="宋体" w:hAnsi="宋体"/>
          <w:szCs w:val="21"/>
        </w:rPr>
        <w:t>承包人的合理化建议</w:t>
      </w:r>
      <w:r>
        <w:rPr>
          <w:rFonts w:ascii="宋体" w:hAnsi="宋体"/>
          <w:szCs w:val="21"/>
        </w:rPr>
        <w:tab/>
      </w:r>
      <w:r>
        <w:rPr>
          <w:rFonts w:ascii="宋体" w:hAnsi="宋体"/>
          <w:szCs w:val="21"/>
        </w:rPr>
        <w:fldChar w:fldCharType="begin"/>
      </w:r>
      <w:r>
        <w:rPr>
          <w:rFonts w:ascii="宋体" w:hAnsi="宋体"/>
          <w:szCs w:val="21"/>
        </w:rPr>
        <w:instrText xml:space="preserve"> PAGEREF _Toc108514128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340FF406">
      <w:pPr>
        <w:pStyle w:val="8"/>
        <w:tabs>
          <w:tab w:val="right" w:leader="dot" w:pos="8296"/>
        </w:tabs>
        <w:rPr>
          <w:rFonts w:ascii="宋体" w:hAnsi="宋体"/>
          <w:szCs w:val="21"/>
        </w:rPr>
      </w:pPr>
      <w:r>
        <w:rPr>
          <w:rFonts w:ascii="宋体" w:hAnsi="宋体"/>
          <w:szCs w:val="21"/>
        </w:rPr>
        <w:t xml:space="preserve">10.7 </w:t>
      </w:r>
      <w:r>
        <w:rPr>
          <w:rFonts w:hint="eastAsia" w:ascii="宋体" w:hAnsi="宋体"/>
          <w:szCs w:val="21"/>
        </w:rPr>
        <w:t>暂估价</w:t>
      </w:r>
      <w:r>
        <w:rPr>
          <w:rFonts w:ascii="宋体" w:hAnsi="宋体"/>
          <w:szCs w:val="21"/>
        </w:rPr>
        <w:tab/>
      </w:r>
      <w:r>
        <w:rPr>
          <w:rFonts w:ascii="宋体" w:hAnsi="宋体"/>
          <w:szCs w:val="21"/>
        </w:rPr>
        <w:fldChar w:fldCharType="begin"/>
      </w:r>
      <w:r>
        <w:rPr>
          <w:rFonts w:ascii="宋体" w:hAnsi="宋体"/>
          <w:szCs w:val="21"/>
        </w:rPr>
        <w:instrText xml:space="preserve"> PAGEREF _Toc108514129 \h </w:instrText>
      </w:r>
      <w:r>
        <w:rPr>
          <w:rFonts w:ascii="宋体" w:hAnsi="宋体"/>
          <w:szCs w:val="21"/>
        </w:rPr>
        <w:fldChar w:fldCharType="separate"/>
      </w:r>
      <w:r>
        <w:rPr>
          <w:rFonts w:ascii="宋体" w:hAnsi="宋体"/>
          <w:szCs w:val="21"/>
        </w:rPr>
        <w:t>279</w:t>
      </w:r>
      <w:r>
        <w:rPr>
          <w:rFonts w:ascii="宋体" w:hAnsi="宋体"/>
          <w:szCs w:val="21"/>
        </w:rPr>
        <w:fldChar w:fldCharType="end"/>
      </w:r>
    </w:p>
    <w:p w14:paraId="6CE050D9">
      <w:pPr>
        <w:pStyle w:val="8"/>
        <w:tabs>
          <w:tab w:val="right" w:leader="dot" w:pos="8296"/>
        </w:tabs>
        <w:rPr>
          <w:rFonts w:ascii="宋体" w:hAnsi="宋体"/>
          <w:szCs w:val="21"/>
        </w:rPr>
      </w:pPr>
      <w:r>
        <w:rPr>
          <w:rFonts w:ascii="宋体" w:hAnsi="宋体"/>
          <w:szCs w:val="21"/>
        </w:rPr>
        <w:t xml:space="preserve">10.8 </w:t>
      </w:r>
      <w:r>
        <w:rPr>
          <w:rFonts w:hint="eastAsia" w:ascii="宋体" w:hAnsi="宋体"/>
          <w:szCs w:val="21"/>
        </w:rPr>
        <w:t>暂列金额</w:t>
      </w:r>
      <w:r>
        <w:rPr>
          <w:rFonts w:ascii="宋体" w:hAnsi="宋体"/>
          <w:szCs w:val="21"/>
        </w:rPr>
        <w:tab/>
      </w:r>
      <w:r>
        <w:rPr>
          <w:rFonts w:ascii="宋体" w:hAnsi="宋体"/>
          <w:szCs w:val="21"/>
        </w:rPr>
        <w:fldChar w:fldCharType="begin"/>
      </w:r>
      <w:r>
        <w:rPr>
          <w:rFonts w:ascii="宋体" w:hAnsi="宋体"/>
          <w:szCs w:val="21"/>
        </w:rPr>
        <w:instrText xml:space="preserve"> PAGEREF _Toc108514130 \h </w:instrText>
      </w:r>
      <w:r>
        <w:rPr>
          <w:rFonts w:ascii="宋体" w:hAnsi="宋体"/>
          <w:szCs w:val="21"/>
        </w:rPr>
        <w:fldChar w:fldCharType="separate"/>
      </w:r>
      <w:r>
        <w:rPr>
          <w:rFonts w:ascii="宋体" w:hAnsi="宋体"/>
          <w:szCs w:val="21"/>
        </w:rPr>
        <w:t>280</w:t>
      </w:r>
      <w:r>
        <w:rPr>
          <w:rFonts w:ascii="宋体" w:hAnsi="宋体"/>
          <w:szCs w:val="21"/>
        </w:rPr>
        <w:fldChar w:fldCharType="end"/>
      </w:r>
    </w:p>
    <w:p w14:paraId="6A90C650">
      <w:pPr>
        <w:pStyle w:val="13"/>
        <w:tabs>
          <w:tab w:val="right" w:leader="dot" w:pos="8296"/>
        </w:tabs>
        <w:rPr>
          <w:rFonts w:ascii="宋体" w:hAnsi="宋体" w:eastAsia="宋体"/>
          <w:sz w:val="21"/>
          <w:szCs w:val="21"/>
        </w:rPr>
      </w:pPr>
      <w:r>
        <w:rPr>
          <w:rFonts w:ascii="宋体" w:hAnsi="宋体" w:eastAsia="宋体"/>
          <w:sz w:val="21"/>
          <w:szCs w:val="21"/>
        </w:rPr>
        <w:t xml:space="preserve">11. </w:t>
      </w:r>
      <w:r>
        <w:rPr>
          <w:rFonts w:hint="eastAsia" w:ascii="宋体" w:hAnsi="宋体" w:eastAsia="宋体"/>
          <w:sz w:val="21"/>
          <w:szCs w:val="21"/>
        </w:rPr>
        <w:t>价格调整</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_Toc108514131 \h </w:instrText>
      </w:r>
      <w:r>
        <w:rPr>
          <w:rFonts w:ascii="宋体" w:hAnsi="宋体" w:eastAsia="宋体"/>
          <w:sz w:val="21"/>
          <w:szCs w:val="21"/>
        </w:rPr>
        <w:fldChar w:fldCharType="separate"/>
      </w:r>
      <w:r>
        <w:rPr>
          <w:rFonts w:ascii="宋体" w:hAnsi="宋体" w:eastAsia="宋体"/>
          <w:sz w:val="21"/>
          <w:szCs w:val="21"/>
        </w:rPr>
        <w:t>280</w:t>
      </w:r>
      <w:r>
        <w:rPr>
          <w:rFonts w:ascii="宋体" w:hAnsi="宋体" w:eastAsia="宋体"/>
          <w:sz w:val="21"/>
          <w:szCs w:val="21"/>
        </w:rPr>
        <w:fldChar w:fldCharType="end"/>
      </w:r>
    </w:p>
    <w:p w14:paraId="2F0564EC">
      <w:pPr>
        <w:pStyle w:val="8"/>
        <w:tabs>
          <w:tab w:val="right" w:leader="dot" w:pos="8296"/>
        </w:tabs>
        <w:rPr>
          <w:rFonts w:ascii="宋体" w:hAnsi="宋体"/>
          <w:szCs w:val="21"/>
        </w:rPr>
      </w:pPr>
      <w:r>
        <w:rPr>
          <w:rFonts w:ascii="宋体" w:hAnsi="宋体"/>
          <w:szCs w:val="21"/>
        </w:rPr>
        <w:t xml:space="preserve">11.1 </w:t>
      </w:r>
      <w:r>
        <w:rPr>
          <w:rFonts w:hint="eastAsia" w:ascii="宋体" w:hAnsi="宋体"/>
          <w:szCs w:val="21"/>
        </w:rPr>
        <w:t>市场价格波动引起的调整</w:t>
      </w:r>
      <w:r>
        <w:rPr>
          <w:rFonts w:ascii="宋体" w:hAnsi="宋体"/>
          <w:szCs w:val="21"/>
        </w:rPr>
        <w:tab/>
      </w:r>
      <w:r>
        <w:rPr>
          <w:rFonts w:ascii="宋体" w:hAnsi="宋体"/>
          <w:szCs w:val="21"/>
        </w:rPr>
        <w:fldChar w:fldCharType="begin"/>
      </w:r>
      <w:r>
        <w:rPr>
          <w:rFonts w:ascii="宋体" w:hAnsi="宋体"/>
          <w:szCs w:val="21"/>
        </w:rPr>
        <w:instrText xml:space="preserve"> PAGEREF _Toc108514132 \h </w:instrText>
      </w:r>
      <w:r>
        <w:rPr>
          <w:rFonts w:ascii="宋体" w:hAnsi="宋体"/>
          <w:szCs w:val="21"/>
        </w:rPr>
        <w:fldChar w:fldCharType="separate"/>
      </w:r>
      <w:r>
        <w:rPr>
          <w:rFonts w:ascii="宋体" w:hAnsi="宋体"/>
          <w:szCs w:val="21"/>
        </w:rPr>
        <w:t>280</w:t>
      </w:r>
      <w:r>
        <w:rPr>
          <w:rFonts w:ascii="宋体" w:hAnsi="宋体"/>
          <w:szCs w:val="21"/>
        </w:rPr>
        <w:fldChar w:fldCharType="end"/>
      </w:r>
    </w:p>
    <w:p w14:paraId="25321722">
      <w:pPr>
        <w:pStyle w:val="13"/>
        <w:tabs>
          <w:tab w:val="right" w:leader="dot" w:pos="8296"/>
        </w:tabs>
        <w:rPr>
          <w:rFonts w:ascii="宋体" w:hAnsi="宋体" w:eastAsia="宋体"/>
          <w:sz w:val="21"/>
          <w:szCs w:val="21"/>
        </w:rPr>
      </w:pPr>
      <w:r>
        <w:rPr>
          <w:rFonts w:ascii="宋体" w:hAnsi="宋体" w:eastAsia="宋体"/>
          <w:sz w:val="21"/>
          <w:szCs w:val="21"/>
        </w:rPr>
        <w:t xml:space="preserve">12. </w:t>
      </w:r>
      <w:r>
        <w:rPr>
          <w:rFonts w:hint="eastAsia" w:ascii="宋体" w:hAnsi="宋体" w:eastAsia="宋体"/>
          <w:sz w:val="21"/>
          <w:szCs w:val="21"/>
        </w:rPr>
        <w:t>合同价格、计量与支付</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_Toc108514133 \h </w:instrText>
      </w:r>
      <w:r>
        <w:rPr>
          <w:rFonts w:ascii="宋体" w:hAnsi="宋体" w:eastAsia="宋体"/>
          <w:sz w:val="21"/>
          <w:szCs w:val="21"/>
        </w:rPr>
        <w:fldChar w:fldCharType="separate"/>
      </w:r>
      <w:r>
        <w:rPr>
          <w:rFonts w:ascii="宋体" w:hAnsi="宋体" w:eastAsia="宋体"/>
          <w:sz w:val="21"/>
          <w:szCs w:val="21"/>
        </w:rPr>
        <w:t>280</w:t>
      </w:r>
      <w:r>
        <w:rPr>
          <w:rFonts w:ascii="宋体" w:hAnsi="宋体" w:eastAsia="宋体"/>
          <w:sz w:val="21"/>
          <w:szCs w:val="21"/>
        </w:rPr>
        <w:fldChar w:fldCharType="end"/>
      </w:r>
    </w:p>
    <w:p w14:paraId="3A10BCEA">
      <w:pPr>
        <w:pStyle w:val="8"/>
        <w:tabs>
          <w:tab w:val="right" w:leader="dot" w:pos="8296"/>
        </w:tabs>
        <w:rPr>
          <w:rFonts w:ascii="宋体" w:hAnsi="宋体"/>
          <w:szCs w:val="21"/>
        </w:rPr>
      </w:pPr>
      <w:r>
        <w:rPr>
          <w:rFonts w:ascii="宋体" w:hAnsi="宋体"/>
          <w:szCs w:val="21"/>
        </w:rPr>
        <w:t xml:space="preserve">12.1 </w:t>
      </w:r>
      <w:r>
        <w:rPr>
          <w:rFonts w:hint="eastAsia" w:ascii="宋体" w:hAnsi="宋体"/>
          <w:szCs w:val="21"/>
        </w:rPr>
        <w:t>合同价格形式</w:t>
      </w:r>
      <w:r>
        <w:rPr>
          <w:rFonts w:ascii="宋体" w:hAnsi="宋体"/>
          <w:szCs w:val="21"/>
        </w:rPr>
        <w:tab/>
      </w:r>
      <w:r>
        <w:rPr>
          <w:rFonts w:ascii="宋体" w:hAnsi="宋体"/>
          <w:szCs w:val="21"/>
        </w:rPr>
        <w:fldChar w:fldCharType="begin"/>
      </w:r>
      <w:r>
        <w:rPr>
          <w:rFonts w:ascii="宋体" w:hAnsi="宋体"/>
          <w:szCs w:val="21"/>
        </w:rPr>
        <w:instrText xml:space="preserve"> PAGEREF _Toc108514134 \h </w:instrText>
      </w:r>
      <w:r>
        <w:rPr>
          <w:rFonts w:ascii="宋体" w:hAnsi="宋体"/>
          <w:szCs w:val="21"/>
        </w:rPr>
        <w:fldChar w:fldCharType="separate"/>
      </w:r>
      <w:r>
        <w:rPr>
          <w:rFonts w:ascii="宋体" w:hAnsi="宋体"/>
          <w:szCs w:val="21"/>
        </w:rPr>
        <w:t>280</w:t>
      </w:r>
      <w:r>
        <w:rPr>
          <w:rFonts w:ascii="宋体" w:hAnsi="宋体"/>
          <w:szCs w:val="21"/>
        </w:rPr>
        <w:fldChar w:fldCharType="end"/>
      </w:r>
    </w:p>
    <w:p w14:paraId="3E58C518">
      <w:pPr>
        <w:pStyle w:val="8"/>
        <w:tabs>
          <w:tab w:val="right" w:leader="dot" w:pos="8296"/>
        </w:tabs>
        <w:rPr>
          <w:rFonts w:ascii="宋体" w:hAnsi="宋体"/>
          <w:szCs w:val="21"/>
        </w:rPr>
      </w:pPr>
      <w:r>
        <w:rPr>
          <w:rFonts w:ascii="宋体" w:hAnsi="宋体"/>
          <w:szCs w:val="21"/>
        </w:rPr>
        <w:t xml:space="preserve">12.2 </w:t>
      </w:r>
      <w:r>
        <w:rPr>
          <w:rFonts w:hint="eastAsia" w:ascii="宋体" w:hAnsi="宋体"/>
          <w:szCs w:val="21"/>
        </w:rPr>
        <w:t>预付款</w:t>
      </w:r>
      <w:r>
        <w:rPr>
          <w:rFonts w:ascii="宋体" w:hAnsi="宋体"/>
          <w:szCs w:val="21"/>
        </w:rPr>
        <w:tab/>
      </w:r>
      <w:r>
        <w:rPr>
          <w:rFonts w:ascii="宋体" w:hAnsi="宋体"/>
          <w:szCs w:val="21"/>
        </w:rPr>
        <w:fldChar w:fldCharType="begin"/>
      </w:r>
      <w:r>
        <w:rPr>
          <w:rFonts w:ascii="宋体" w:hAnsi="宋体"/>
          <w:szCs w:val="21"/>
        </w:rPr>
        <w:instrText xml:space="preserve"> PAGEREF _Toc108514135 \h </w:instrText>
      </w:r>
      <w:r>
        <w:rPr>
          <w:rFonts w:ascii="宋体" w:hAnsi="宋体"/>
          <w:szCs w:val="21"/>
        </w:rPr>
        <w:fldChar w:fldCharType="separate"/>
      </w:r>
      <w:r>
        <w:rPr>
          <w:rFonts w:ascii="宋体" w:hAnsi="宋体"/>
          <w:szCs w:val="21"/>
        </w:rPr>
        <w:t>281</w:t>
      </w:r>
      <w:r>
        <w:rPr>
          <w:rFonts w:ascii="宋体" w:hAnsi="宋体"/>
          <w:szCs w:val="21"/>
        </w:rPr>
        <w:fldChar w:fldCharType="end"/>
      </w:r>
    </w:p>
    <w:p w14:paraId="47199A31">
      <w:pPr>
        <w:pStyle w:val="8"/>
        <w:tabs>
          <w:tab w:val="right" w:leader="dot" w:pos="8296"/>
        </w:tabs>
        <w:rPr>
          <w:rFonts w:ascii="宋体" w:hAnsi="宋体"/>
          <w:szCs w:val="21"/>
        </w:rPr>
      </w:pPr>
      <w:r>
        <w:rPr>
          <w:rFonts w:ascii="宋体" w:hAnsi="宋体"/>
          <w:szCs w:val="21"/>
        </w:rPr>
        <w:t xml:space="preserve">12.3 </w:t>
      </w:r>
      <w:r>
        <w:rPr>
          <w:rFonts w:hint="eastAsia" w:ascii="宋体" w:hAnsi="宋体"/>
          <w:szCs w:val="21"/>
        </w:rPr>
        <w:t>计量</w:t>
      </w:r>
      <w:r>
        <w:rPr>
          <w:rFonts w:ascii="宋体" w:hAnsi="宋体"/>
          <w:szCs w:val="21"/>
        </w:rPr>
        <w:tab/>
      </w:r>
      <w:r>
        <w:rPr>
          <w:rFonts w:ascii="宋体" w:hAnsi="宋体"/>
          <w:szCs w:val="21"/>
        </w:rPr>
        <w:fldChar w:fldCharType="begin"/>
      </w:r>
      <w:r>
        <w:rPr>
          <w:rFonts w:ascii="宋体" w:hAnsi="宋体"/>
          <w:szCs w:val="21"/>
        </w:rPr>
        <w:instrText xml:space="preserve"> PAGEREF _Toc108514136 \h </w:instrText>
      </w:r>
      <w:r>
        <w:rPr>
          <w:rFonts w:ascii="宋体" w:hAnsi="宋体"/>
          <w:szCs w:val="21"/>
        </w:rPr>
        <w:fldChar w:fldCharType="separate"/>
      </w:r>
      <w:r>
        <w:rPr>
          <w:rFonts w:ascii="宋体" w:hAnsi="宋体"/>
          <w:szCs w:val="21"/>
        </w:rPr>
        <w:t>281</w:t>
      </w:r>
      <w:r>
        <w:rPr>
          <w:rFonts w:ascii="宋体" w:hAnsi="宋体"/>
          <w:szCs w:val="21"/>
        </w:rPr>
        <w:fldChar w:fldCharType="end"/>
      </w:r>
    </w:p>
    <w:p w14:paraId="62AECD87">
      <w:pPr>
        <w:pStyle w:val="8"/>
        <w:tabs>
          <w:tab w:val="right" w:leader="dot" w:pos="8296"/>
        </w:tabs>
        <w:rPr>
          <w:rFonts w:ascii="宋体" w:hAnsi="宋体"/>
          <w:szCs w:val="21"/>
        </w:rPr>
      </w:pPr>
      <w:r>
        <w:rPr>
          <w:rFonts w:ascii="宋体" w:hAnsi="宋体"/>
          <w:szCs w:val="21"/>
        </w:rPr>
        <w:t xml:space="preserve">12.4 </w:t>
      </w:r>
      <w:r>
        <w:rPr>
          <w:rFonts w:hint="eastAsia" w:ascii="宋体" w:hAnsi="宋体"/>
          <w:szCs w:val="21"/>
        </w:rPr>
        <w:t>工程进度款支付</w:t>
      </w:r>
      <w:r>
        <w:rPr>
          <w:rFonts w:ascii="宋体" w:hAnsi="宋体"/>
          <w:szCs w:val="21"/>
        </w:rPr>
        <w:tab/>
      </w:r>
      <w:r>
        <w:rPr>
          <w:rFonts w:ascii="宋体" w:hAnsi="宋体"/>
          <w:szCs w:val="21"/>
        </w:rPr>
        <w:fldChar w:fldCharType="begin"/>
      </w:r>
      <w:r>
        <w:rPr>
          <w:rFonts w:ascii="宋体" w:hAnsi="宋体"/>
          <w:szCs w:val="21"/>
        </w:rPr>
        <w:instrText xml:space="preserve"> PAGEREF _Toc108514137 \h </w:instrText>
      </w:r>
      <w:r>
        <w:rPr>
          <w:rFonts w:ascii="宋体" w:hAnsi="宋体"/>
          <w:szCs w:val="21"/>
        </w:rPr>
        <w:fldChar w:fldCharType="separate"/>
      </w:r>
      <w:r>
        <w:rPr>
          <w:rFonts w:ascii="宋体" w:hAnsi="宋体"/>
          <w:szCs w:val="21"/>
        </w:rPr>
        <w:t>281</w:t>
      </w:r>
      <w:r>
        <w:rPr>
          <w:rFonts w:ascii="宋体" w:hAnsi="宋体"/>
          <w:szCs w:val="21"/>
        </w:rPr>
        <w:fldChar w:fldCharType="end"/>
      </w:r>
    </w:p>
    <w:p w14:paraId="1D965726">
      <w:pPr>
        <w:pStyle w:val="13"/>
        <w:tabs>
          <w:tab w:val="right" w:leader="dot" w:pos="8296"/>
        </w:tabs>
        <w:rPr>
          <w:rFonts w:ascii="宋体" w:hAnsi="宋体" w:eastAsia="宋体"/>
          <w:sz w:val="21"/>
          <w:szCs w:val="21"/>
        </w:rPr>
      </w:pPr>
      <w:r>
        <w:rPr>
          <w:rFonts w:ascii="宋体" w:hAnsi="宋体" w:eastAsia="宋体"/>
          <w:sz w:val="21"/>
          <w:szCs w:val="21"/>
        </w:rPr>
        <w:t xml:space="preserve">13. </w:t>
      </w:r>
      <w:r>
        <w:rPr>
          <w:rFonts w:hint="eastAsia" w:ascii="宋体" w:hAnsi="宋体" w:eastAsia="宋体"/>
          <w:sz w:val="21"/>
          <w:szCs w:val="21"/>
        </w:rPr>
        <w:t>验收和工程试车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_Toc108514138 \h </w:instrText>
      </w:r>
      <w:r>
        <w:rPr>
          <w:rFonts w:ascii="宋体" w:hAnsi="宋体" w:eastAsia="宋体"/>
          <w:sz w:val="21"/>
          <w:szCs w:val="21"/>
        </w:rPr>
        <w:fldChar w:fldCharType="separate"/>
      </w:r>
      <w:r>
        <w:rPr>
          <w:rFonts w:ascii="宋体" w:hAnsi="宋体" w:eastAsia="宋体"/>
          <w:sz w:val="21"/>
          <w:szCs w:val="21"/>
        </w:rPr>
        <w:t>282</w:t>
      </w:r>
      <w:r>
        <w:rPr>
          <w:rFonts w:ascii="宋体" w:hAnsi="宋体" w:eastAsia="宋体"/>
          <w:sz w:val="21"/>
          <w:szCs w:val="21"/>
        </w:rPr>
        <w:fldChar w:fldCharType="end"/>
      </w:r>
    </w:p>
    <w:p w14:paraId="38EA2931">
      <w:pPr>
        <w:pStyle w:val="8"/>
        <w:tabs>
          <w:tab w:val="right" w:leader="dot" w:pos="8296"/>
        </w:tabs>
        <w:rPr>
          <w:rFonts w:ascii="宋体" w:hAnsi="宋体"/>
          <w:szCs w:val="21"/>
        </w:rPr>
      </w:pPr>
      <w:r>
        <w:rPr>
          <w:rFonts w:ascii="宋体" w:hAnsi="宋体"/>
          <w:szCs w:val="21"/>
        </w:rPr>
        <w:t xml:space="preserve">13.1 </w:t>
      </w:r>
      <w:r>
        <w:rPr>
          <w:rFonts w:hint="eastAsia" w:ascii="宋体" w:hAnsi="宋体"/>
          <w:szCs w:val="21"/>
        </w:rPr>
        <w:t>分部分项工程验收</w:t>
      </w:r>
      <w:r>
        <w:rPr>
          <w:rFonts w:ascii="宋体" w:hAnsi="宋体"/>
          <w:szCs w:val="21"/>
        </w:rPr>
        <w:tab/>
      </w:r>
      <w:r>
        <w:rPr>
          <w:rFonts w:ascii="宋体" w:hAnsi="宋体"/>
          <w:szCs w:val="21"/>
        </w:rPr>
        <w:fldChar w:fldCharType="begin"/>
      </w:r>
      <w:r>
        <w:rPr>
          <w:rFonts w:ascii="宋体" w:hAnsi="宋体"/>
          <w:szCs w:val="21"/>
        </w:rPr>
        <w:instrText xml:space="preserve"> PAGEREF _Toc108514139 \h </w:instrText>
      </w:r>
      <w:r>
        <w:rPr>
          <w:rFonts w:ascii="宋体" w:hAnsi="宋体"/>
          <w:szCs w:val="21"/>
        </w:rPr>
        <w:fldChar w:fldCharType="separate"/>
      </w:r>
      <w:r>
        <w:rPr>
          <w:rFonts w:ascii="宋体" w:hAnsi="宋体"/>
          <w:szCs w:val="21"/>
        </w:rPr>
        <w:t>282</w:t>
      </w:r>
      <w:r>
        <w:rPr>
          <w:rFonts w:ascii="宋体" w:hAnsi="宋体"/>
          <w:szCs w:val="21"/>
        </w:rPr>
        <w:fldChar w:fldCharType="end"/>
      </w:r>
    </w:p>
    <w:p w14:paraId="17333007">
      <w:pPr>
        <w:pStyle w:val="8"/>
        <w:tabs>
          <w:tab w:val="right" w:leader="dot" w:pos="8296"/>
        </w:tabs>
        <w:rPr>
          <w:rFonts w:ascii="宋体" w:hAnsi="宋体"/>
          <w:szCs w:val="21"/>
        </w:rPr>
      </w:pPr>
      <w:r>
        <w:rPr>
          <w:rFonts w:ascii="宋体" w:hAnsi="宋体"/>
          <w:szCs w:val="21"/>
        </w:rPr>
        <w:t xml:space="preserve">13.2  </w:t>
      </w:r>
      <w:r>
        <w:rPr>
          <w:rFonts w:hint="eastAsia" w:ascii="宋体" w:hAnsi="宋体"/>
          <w:szCs w:val="21"/>
        </w:rPr>
        <w:t>竣工验收</w:t>
      </w:r>
      <w:r>
        <w:rPr>
          <w:rFonts w:ascii="宋体" w:hAnsi="宋体"/>
          <w:szCs w:val="21"/>
        </w:rPr>
        <w:tab/>
      </w:r>
      <w:r>
        <w:rPr>
          <w:rFonts w:ascii="宋体" w:hAnsi="宋体"/>
          <w:szCs w:val="21"/>
        </w:rPr>
        <w:fldChar w:fldCharType="begin"/>
      </w:r>
      <w:r>
        <w:rPr>
          <w:rFonts w:ascii="宋体" w:hAnsi="宋体"/>
          <w:szCs w:val="21"/>
        </w:rPr>
        <w:instrText xml:space="preserve"> PAGEREF _Toc108514140 \h </w:instrText>
      </w:r>
      <w:r>
        <w:rPr>
          <w:rFonts w:ascii="宋体" w:hAnsi="宋体"/>
          <w:szCs w:val="21"/>
        </w:rPr>
        <w:fldChar w:fldCharType="separate"/>
      </w:r>
      <w:r>
        <w:rPr>
          <w:rFonts w:ascii="宋体" w:hAnsi="宋体"/>
          <w:szCs w:val="21"/>
        </w:rPr>
        <w:t>282</w:t>
      </w:r>
      <w:r>
        <w:rPr>
          <w:rFonts w:ascii="宋体" w:hAnsi="宋体"/>
          <w:szCs w:val="21"/>
        </w:rPr>
        <w:fldChar w:fldCharType="end"/>
      </w:r>
    </w:p>
    <w:p w14:paraId="6944B139">
      <w:pPr>
        <w:pStyle w:val="8"/>
        <w:tabs>
          <w:tab w:val="right" w:leader="dot" w:pos="8296"/>
        </w:tabs>
        <w:rPr>
          <w:rFonts w:ascii="宋体" w:hAnsi="宋体"/>
          <w:szCs w:val="21"/>
        </w:rPr>
      </w:pPr>
      <w:r>
        <w:rPr>
          <w:rFonts w:ascii="宋体" w:hAnsi="宋体"/>
          <w:szCs w:val="21"/>
        </w:rPr>
        <w:t xml:space="preserve">13.3 </w:t>
      </w:r>
      <w:r>
        <w:rPr>
          <w:rFonts w:hint="eastAsia" w:ascii="宋体" w:hAnsi="宋体"/>
          <w:szCs w:val="21"/>
        </w:rPr>
        <w:t>工程试车</w:t>
      </w:r>
      <w:r>
        <w:rPr>
          <w:rFonts w:ascii="宋体" w:hAnsi="宋体"/>
          <w:szCs w:val="21"/>
        </w:rPr>
        <w:tab/>
      </w:r>
      <w:r>
        <w:rPr>
          <w:rFonts w:ascii="宋体" w:hAnsi="宋体"/>
          <w:szCs w:val="21"/>
        </w:rPr>
        <w:fldChar w:fldCharType="begin"/>
      </w:r>
      <w:r>
        <w:rPr>
          <w:rFonts w:ascii="宋体" w:hAnsi="宋体"/>
          <w:szCs w:val="21"/>
        </w:rPr>
        <w:instrText xml:space="preserve"> PAGEREF _Toc108514141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3007FD39">
      <w:pPr>
        <w:pStyle w:val="8"/>
        <w:tabs>
          <w:tab w:val="right" w:leader="dot" w:pos="8296"/>
        </w:tabs>
        <w:rPr>
          <w:rFonts w:ascii="宋体" w:hAnsi="宋体"/>
          <w:szCs w:val="21"/>
        </w:rPr>
      </w:pPr>
      <w:r>
        <w:rPr>
          <w:rFonts w:ascii="宋体" w:hAnsi="宋体"/>
          <w:szCs w:val="21"/>
        </w:rPr>
        <w:t xml:space="preserve">13.6  </w:t>
      </w:r>
      <w:r>
        <w:rPr>
          <w:rFonts w:hint="eastAsia" w:ascii="宋体" w:hAnsi="宋体"/>
          <w:szCs w:val="21"/>
        </w:rPr>
        <w:t>竣工退场</w:t>
      </w:r>
      <w:r>
        <w:rPr>
          <w:rFonts w:ascii="宋体" w:hAnsi="宋体"/>
          <w:szCs w:val="21"/>
        </w:rPr>
        <w:tab/>
      </w:r>
      <w:r>
        <w:rPr>
          <w:rFonts w:ascii="宋体" w:hAnsi="宋体"/>
          <w:szCs w:val="21"/>
        </w:rPr>
        <w:fldChar w:fldCharType="begin"/>
      </w:r>
      <w:r>
        <w:rPr>
          <w:rFonts w:ascii="宋体" w:hAnsi="宋体"/>
          <w:szCs w:val="21"/>
        </w:rPr>
        <w:instrText xml:space="preserve"> PAGEREF _Toc108514142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32EB042E">
      <w:pPr>
        <w:pStyle w:val="13"/>
        <w:tabs>
          <w:tab w:val="right" w:leader="dot" w:pos="8296"/>
        </w:tabs>
        <w:rPr>
          <w:rFonts w:ascii="宋体" w:hAnsi="宋体" w:eastAsia="宋体"/>
          <w:sz w:val="21"/>
          <w:szCs w:val="21"/>
        </w:rPr>
      </w:pPr>
      <w:r>
        <w:rPr>
          <w:rFonts w:ascii="宋体" w:hAnsi="宋体" w:eastAsia="宋体"/>
          <w:sz w:val="21"/>
          <w:szCs w:val="21"/>
        </w:rPr>
        <w:t xml:space="preserve">14. </w:t>
      </w:r>
      <w:r>
        <w:rPr>
          <w:rFonts w:hint="eastAsia" w:ascii="宋体" w:hAnsi="宋体" w:eastAsia="宋体"/>
          <w:sz w:val="21"/>
          <w:szCs w:val="21"/>
        </w:rPr>
        <w:t>竣工结算</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_Toc108514143 \h </w:instrText>
      </w:r>
      <w:r>
        <w:rPr>
          <w:rFonts w:ascii="宋体" w:hAnsi="宋体" w:eastAsia="宋体"/>
          <w:sz w:val="21"/>
          <w:szCs w:val="21"/>
        </w:rPr>
        <w:fldChar w:fldCharType="separate"/>
      </w:r>
      <w:r>
        <w:rPr>
          <w:rFonts w:ascii="宋体" w:hAnsi="宋体" w:eastAsia="宋体"/>
          <w:sz w:val="21"/>
          <w:szCs w:val="21"/>
        </w:rPr>
        <w:t>283</w:t>
      </w:r>
      <w:r>
        <w:rPr>
          <w:rFonts w:ascii="宋体" w:hAnsi="宋体" w:eastAsia="宋体"/>
          <w:sz w:val="21"/>
          <w:szCs w:val="21"/>
        </w:rPr>
        <w:fldChar w:fldCharType="end"/>
      </w:r>
    </w:p>
    <w:p w14:paraId="75BFBC1E">
      <w:pPr>
        <w:pStyle w:val="8"/>
        <w:tabs>
          <w:tab w:val="right" w:leader="dot" w:pos="8296"/>
        </w:tabs>
        <w:rPr>
          <w:rFonts w:ascii="宋体" w:hAnsi="宋体"/>
          <w:szCs w:val="21"/>
        </w:rPr>
      </w:pPr>
      <w:r>
        <w:rPr>
          <w:rFonts w:ascii="宋体" w:hAnsi="宋体"/>
          <w:szCs w:val="21"/>
        </w:rPr>
        <w:t xml:space="preserve">14.1 </w:t>
      </w:r>
      <w:r>
        <w:rPr>
          <w:rFonts w:hint="eastAsia" w:ascii="宋体" w:hAnsi="宋体"/>
          <w:szCs w:val="21"/>
        </w:rPr>
        <w:t>竣工结算申请</w:t>
      </w:r>
      <w:r>
        <w:rPr>
          <w:rFonts w:ascii="宋体" w:hAnsi="宋体"/>
          <w:szCs w:val="21"/>
        </w:rPr>
        <w:tab/>
      </w:r>
      <w:r>
        <w:rPr>
          <w:rFonts w:ascii="宋体" w:hAnsi="宋体"/>
          <w:szCs w:val="21"/>
        </w:rPr>
        <w:fldChar w:fldCharType="begin"/>
      </w:r>
      <w:r>
        <w:rPr>
          <w:rFonts w:ascii="宋体" w:hAnsi="宋体"/>
          <w:szCs w:val="21"/>
        </w:rPr>
        <w:instrText xml:space="preserve"> PAGEREF _Toc108514144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51D7DD23">
      <w:pPr>
        <w:pStyle w:val="8"/>
        <w:tabs>
          <w:tab w:val="right" w:leader="dot" w:pos="8296"/>
        </w:tabs>
        <w:rPr>
          <w:rFonts w:ascii="宋体" w:hAnsi="宋体"/>
          <w:szCs w:val="21"/>
        </w:rPr>
      </w:pPr>
      <w:r>
        <w:rPr>
          <w:rFonts w:ascii="宋体" w:hAnsi="宋体"/>
          <w:szCs w:val="21"/>
        </w:rPr>
        <w:t xml:space="preserve">14.2 </w:t>
      </w:r>
      <w:r>
        <w:rPr>
          <w:rFonts w:hint="eastAsia" w:ascii="宋体" w:hAnsi="宋体"/>
          <w:szCs w:val="21"/>
        </w:rPr>
        <w:t>竣工结算审核</w:t>
      </w:r>
      <w:r>
        <w:rPr>
          <w:rFonts w:ascii="宋体" w:hAnsi="宋体"/>
          <w:szCs w:val="21"/>
        </w:rPr>
        <w:tab/>
      </w:r>
      <w:r>
        <w:rPr>
          <w:rFonts w:ascii="宋体" w:hAnsi="宋体"/>
          <w:szCs w:val="21"/>
        </w:rPr>
        <w:fldChar w:fldCharType="begin"/>
      </w:r>
      <w:r>
        <w:rPr>
          <w:rFonts w:ascii="宋体" w:hAnsi="宋体"/>
          <w:szCs w:val="21"/>
        </w:rPr>
        <w:instrText xml:space="preserve"> PAGEREF _Toc108514145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760A57C5">
      <w:pPr>
        <w:pStyle w:val="8"/>
        <w:tabs>
          <w:tab w:val="right" w:leader="dot" w:pos="8296"/>
        </w:tabs>
        <w:rPr>
          <w:rFonts w:ascii="宋体" w:hAnsi="宋体"/>
          <w:szCs w:val="21"/>
        </w:rPr>
      </w:pPr>
      <w:r>
        <w:rPr>
          <w:rFonts w:ascii="宋体" w:hAnsi="宋体"/>
          <w:szCs w:val="21"/>
        </w:rPr>
        <w:t xml:space="preserve">14.4 </w:t>
      </w:r>
      <w:r>
        <w:rPr>
          <w:rFonts w:hint="eastAsia" w:ascii="宋体" w:hAnsi="宋体"/>
          <w:szCs w:val="21"/>
        </w:rPr>
        <w:t>最终结清</w:t>
      </w:r>
      <w:r>
        <w:rPr>
          <w:rFonts w:ascii="宋体" w:hAnsi="宋体"/>
          <w:szCs w:val="21"/>
        </w:rPr>
        <w:tab/>
      </w:r>
      <w:r>
        <w:rPr>
          <w:rFonts w:ascii="宋体" w:hAnsi="宋体"/>
          <w:szCs w:val="21"/>
        </w:rPr>
        <w:fldChar w:fldCharType="begin"/>
      </w:r>
      <w:r>
        <w:rPr>
          <w:rFonts w:ascii="宋体" w:hAnsi="宋体"/>
          <w:szCs w:val="21"/>
        </w:rPr>
        <w:instrText xml:space="preserve"> PAGEREF _Toc108514146 \h </w:instrText>
      </w:r>
      <w:r>
        <w:rPr>
          <w:rFonts w:ascii="宋体" w:hAnsi="宋体"/>
          <w:szCs w:val="21"/>
        </w:rPr>
        <w:fldChar w:fldCharType="separate"/>
      </w:r>
      <w:r>
        <w:rPr>
          <w:rFonts w:ascii="宋体" w:hAnsi="宋体"/>
          <w:szCs w:val="21"/>
        </w:rPr>
        <w:t>283</w:t>
      </w:r>
      <w:r>
        <w:rPr>
          <w:rFonts w:ascii="宋体" w:hAnsi="宋体"/>
          <w:szCs w:val="21"/>
        </w:rPr>
        <w:fldChar w:fldCharType="end"/>
      </w:r>
    </w:p>
    <w:p w14:paraId="2BD862B9">
      <w:pPr>
        <w:pStyle w:val="13"/>
        <w:tabs>
          <w:tab w:val="right" w:leader="dot" w:pos="8296"/>
        </w:tabs>
        <w:rPr>
          <w:rFonts w:ascii="宋体" w:hAnsi="宋体" w:eastAsia="宋体"/>
          <w:sz w:val="21"/>
          <w:szCs w:val="21"/>
        </w:rPr>
      </w:pPr>
      <w:r>
        <w:rPr>
          <w:rFonts w:ascii="宋体" w:hAnsi="宋体" w:eastAsia="宋体"/>
          <w:sz w:val="21"/>
          <w:szCs w:val="21"/>
        </w:rPr>
        <w:t xml:space="preserve">15. </w:t>
      </w:r>
      <w:r>
        <w:rPr>
          <w:rFonts w:hint="eastAsia" w:ascii="宋体" w:hAnsi="宋体" w:eastAsia="宋体"/>
          <w:sz w:val="21"/>
          <w:szCs w:val="21"/>
        </w:rPr>
        <w:t>缺陷责任期与保修</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_Toc108514147 \h </w:instrText>
      </w:r>
      <w:r>
        <w:rPr>
          <w:rFonts w:ascii="宋体" w:hAnsi="宋体" w:eastAsia="宋体"/>
          <w:sz w:val="21"/>
          <w:szCs w:val="21"/>
        </w:rPr>
        <w:fldChar w:fldCharType="separate"/>
      </w:r>
      <w:r>
        <w:rPr>
          <w:rFonts w:ascii="宋体" w:hAnsi="宋体" w:eastAsia="宋体"/>
          <w:sz w:val="21"/>
          <w:szCs w:val="21"/>
        </w:rPr>
        <w:t>284</w:t>
      </w:r>
      <w:r>
        <w:rPr>
          <w:rFonts w:ascii="宋体" w:hAnsi="宋体" w:eastAsia="宋体"/>
          <w:sz w:val="21"/>
          <w:szCs w:val="21"/>
        </w:rPr>
        <w:fldChar w:fldCharType="end"/>
      </w:r>
    </w:p>
    <w:p w14:paraId="4103F58B">
      <w:pPr>
        <w:pStyle w:val="8"/>
        <w:tabs>
          <w:tab w:val="right" w:leader="dot" w:pos="8296"/>
        </w:tabs>
        <w:rPr>
          <w:rFonts w:ascii="宋体" w:hAnsi="宋体"/>
          <w:szCs w:val="21"/>
        </w:rPr>
      </w:pPr>
      <w:r>
        <w:rPr>
          <w:rFonts w:ascii="宋体" w:hAnsi="宋体"/>
          <w:szCs w:val="21"/>
        </w:rPr>
        <w:t xml:space="preserve">15.2 </w:t>
      </w:r>
      <w:r>
        <w:rPr>
          <w:rFonts w:hint="eastAsia" w:ascii="宋体" w:hAnsi="宋体"/>
          <w:szCs w:val="21"/>
        </w:rPr>
        <w:t>缺陷责任期</w:t>
      </w:r>
      <w:r>
        <w:rPr>
          <w:rFonts w:ascii="宋体" w:hAnsi="宋体"/>
          <w:szCs w:val="21"/>
        </w:rPr>
        <w:tab/>
      </w:r>
      <w:r>
        <w:rPr>
          <w:rFonts w:ascii="宋体" w:hAnsi="宋体"/>
          <w:szCs w:val="21"/>
        </w:rPr>
        <w:fldChar w:fldCharType="begin"/>
      </w:r>
      <w:r>
        <w:rPr>
          <w:rFonts w:ascii="宋体" w:hAnsi="宋体"/>
          <w:szCs w:val="21"/>
        </w:rPr>
        <w:instrText xml:space="preserve"> PAGEREF _Toc108514148 \h </w:instrText>
      </w:r>
      <w:r>
        <w:rPr>
          <w:rFonts w:ascii="宋体" w:hAnsi="宋体"/>
          <w:szCs w:val="21"/>
        </w:rPr>
        <w:fldChar w:fldCharType="separate"/>
      </w:r>
      <w:r>
        <w:rPr>
          <w:rFonts w:ascii="宋体" w:hAnsi="宋体"/>
          <w:szCs w:val="21"/>
        </w:rPr>
        <w:t>284</w:t>
      </w:r>
      <w:r>
        <w:rPr>
          <w:rFonts w:ascii="宋体" w:hAnsi="宋体"/>
          <w:szCs w:val="21"/>
        </w:rPr>
        <w:fldChar w:fldCharType="end"/>
      </w:r>
    </w:p>
    <w:p w14:paraId="4D29FCB4">
      <w:pPr>
        <w:pStyle w:val="8"/>
        <w:tabs>
          <w:tab w:val="right" w:leader="dot" w:pos="8296"/>
        </w:tabs>
        <w:rPr>
          <w:rFonts w:ascii="宋体" w:hAnsi="宋体"/>
          <w:szCs w:val="21"/>
        </w:rPr>
      </w:pPr>
      <w:r>
        <w:rPr>
          <w:rFonts w:ascii="宋体" w:hAnsi="宋体"/>
          <w:szCs w:val="21"/>
        </w:rPr>
        <w:t xml:space="preserve">15.3 </w:t>
      </w:r>
      <w:r>
        <w:rPr>
          <w:rFonts w:hint="eastAsia" w:ascii="宋体" w:hAnsi="宋体"/>
          <w:szCs w:val="21"/>
        </w:rPr>
        <w:t>质量保证金</w:t>
      </w:r>
      <w:r>
        <w:rPr>
          <w:rFonts w:ascii="宋体" w:hAnsi="宋体"/>
          <w:szCs w:val="21"/>
        </w:rPr>
        <w:tab/>
      </w:r>
      <w:r>
        <w:rPr>
          <w:rFonts w:ascii="宋体" w:hAnsi="宋体"/>
          <w:szCs w:val="21"/>
        </w:rPr>
        <w:fldChar w:fldCharType="begin"/>
      </w:r>
      <w:r>
        <w:rPr>
          <w:rFonts w:ascii="宋体" w:hAnsi="宋体"/>
          <w:szCs w:val="21"/>
        </w:rPr>
        <w:instrText xml:space="preserve"> PAGEREF _Toc108514149 \h </w:instrText>
      </w:r>
      <w:r>
        <w:rPr>
          <w:rFonts w:ascii="宋体" w:hAnsi="宋体"/>
          <w:szCs w:val="21"/>
        </w:rPr>
        <w:fldChar w:fldCharType="separate"/>
      </w:r>
      <w:r>
        <w:rPr>
          <w:rFonts w:ascii="宋体" w:hAnsi="宋体"/>
          <w:szCs w:val="21"/>
        </w:rPr>
        <w:t>284</w:t>
      </w:r>
      <w:r>
        <w:rPr>
          <w:rFonts w:ascii="宋体" w:hAnsi="宋体"/>
          <w:szCs w:val="21"/>
        </w:rPr>
        <w:fldChar w:fldCharType="end"/>
      </w:r>
    </w:p>
    <w:p w14:paraId="27174501">
      <w:pPr>
        <w:pStyle w:val="8"/>
        <w:tabs>
          <w:tab w:val="right" w:leader="dot" w:pos="8296"/>
        </w:tabs>
        <w:rPr>
          <w:rFonts w:ascii="宋体" w:hAnsi="宋体"/>
          <w:szCs w:val="21"/>
        </w:rPr>
      </w:pPr>
      <w:r>
        <w:rPr>
          <w:rFonts w:ascii="宋体" w:hAnsi="宋体"/>
          <w:szCs w:val="21"/>
        </w:rPr>
        <w:t>15.4</w:t>
      </w:r>
      <w:r>
        <w:rPr>
          <w:rFonts w:hint="eastAsia" w:ascii="宋体" w:hAnsi="宋体"/>
          <w:szCs w:val="21"/>
        </w:rPr>
        <w:t>保修</w:t>
      </w:r>
      <w:r>
        <w:rPr>
          <w:rFonts w:ascii="宋体" w:hAnsi="宋体"/>
          <w:szCs w:val="21"/>
        </w:rPr>
        <w:tab/>
      </w:r>
      <w:r>
        <w:rPr>
          <w:rFonts w:ascii="宋体" w:hAnsi="宋体"/>
          <w:szCs w:val="21"/>
        </w:rPr>
        <w:fldChar w:fldCharType="begin"/>
      </w:r>
      <w:r>
        <w:rPr>
          <w:rFonts w:ascii="宋体" w:hAnsi="宋体"/>
          <w:szCs w:val="21"/>
        </w:rPr>
        <w:instrText xml:space="preserve"> PAGEREF _Toc108514150 \h </w:instrText>
      </w:r>
      <w:r>
        <w:rPr>
          <w:rFonts w:ascii="宋体" w:hAnsi="宋体"/>
          <w:szCs w:val="21"/>
        </w:rPr>
        <w:fldChar w:fldCharType="separate"/>
      </w:r>
      <w:r>
        <w:rPr>
          <w:rFonts w:ascii="宋体" w:hAnsi="宋体"/>
          <w:szCs w:val="21"/>
        </w:rPr>
        <w:t>284</w:t>
      </w:r>
      <w:r>
        <w:rPr>
          <w:rFonts w:ascii="宋体" w:hAnsi="宋体"/>
          <w:szCs w:val="21"/>
        </w:rPr>
        <w:fldChar w:fldCharType="end"/>
      </w:r>
    </w:p>
    <w:p w14:paraId="65E576F8">
      <w:pPr>
        <w:pStyle w:val="13"/>
        <w:tabs>
          <w:tab w:val="right" w:leader="dot" w:pos="8296"/>
        </w:tabs>
        <w:rPr>
          <w:rFonts w:ascii="宋体" w:hAnsi="宋体" w:eastAsia="宋体"/>
          <w:sz w:val="21"/>
          <w:szCs w:val="21"/>
        </w:rPr>
      </w:pPr>
      <w:r>
        <w:rPr>
          <w:rFonts w:ascii="宋体" w:hAnsi="宋体" w:eastAsia="宋体"/>
          <w:sz w:val="21"/>
          <w:szCs w:val="21"/>
        </w:rPr>
        <w:t xml:space="preserve">16. </w:t>
      </w:r>
      <w:r>
        <w:rPr>
          <w:rFonts w:hint="eastAsia" w:ascii="宋体" w:hAnsi="宋体" w:eastAsia="宋体"/>
          <w:sz w:val="21"/>
          <w:szCs w:val="21"/>
        </w:rPr>
        <w:t>违约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_Toc108514151 \h </w:instrText>
      </w:r>
      <w:r>
        <w:rPr>
          <w:rFonts w:ascii="宋体" w:hAnsi="宋体" w:eastAsia="宋体"/>
          <w:sz w:val="21"/>
          <w:szCs w:val="21"/>
        </w:rPr>
        <w:fldChar w:fldCharType="separate"/>
      </w:r>
      <w:r>
        <w:rPr>
          <w:rFonts w:ascii="宋体" w:hAnsi="宋体" w:eastAsia="宋体"/>
          <w:sz w:val="21"/>
          <w:szCs w:val="21"/>
        </w:rPr>
        <w:t>285</w:t>
      </w:r>
      <w:r>
        <w:rPr>
          <w:rFonts w:ascii="宋体" w:hAnsi="宋体" w:eastAsia="宋体"/>
          <w:sz w:val="21"/>
          <w:szCs w:val="21"/>
        </w:rPr>
        <w:fldChar w:fldCharType="end"/>
      </w:r>
    </w:p>
    <w:p w14:paraId="34E5DD13">
      <w:pPr>
        <w:pStyle w:val="8"/>
        <w:tabs>
          <w:tab w:val="right" w:leader="dot" w:pos="8296"/>
        </w:tabs>
        <w:rPr>
          <w:rFonts w:ascii="宋体" w:hAnsi="宋体"/>
          <w:szCs w:val="21"/>
        </w:rPr>
      </w:pPr>
      <w:r>
        <w:rPr>
          <w:rFonts w:ascii="宋体" w:hAnsi="宋体"/>
          <w:szCs w:val="21"/>
        </w:rPr>
        <w:t xml:space="preserve">16.1 </w:t>
      </w:r>
      <w:r>
        <w:rPr>
          <w:rFonts w:hint="eastAsia" w:ascii="宋体" w:hAnsi="宋体"/>
          <w:szCs w:val="21"/>
        </w:rPr>
        <w:t>发包人违约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_Toc108514152 \h </w:instrText>
      </w:r>
      <w:r>
        <w:rPr>
          <w:rFonts w:ascii="宋体" w:hAnsi="宋体"/>
          <w:szCs w:val="21"/>
        </w:rPr>
        <w:fldChar w:fldCharType="separate"/>
      </w:r>
      <w:r>
        <w:rPr>
          <w:rFonts w:ascii="宋体" w:hAnsi="宋体"/>
          <w:szCs w:val="21"/>
        </w:rPr>
        <w:t>285</w:t>
      </w:r>
      <w:r>
        <w:rPr>
          <w:rFonts w:ascii="宋体" w:hAnsi="宋体"/>
          <w:szCs w:val="21"/>
        </w:rPr>
        <w:fldChar w:fldCharType="end"/>
      </w:r>
    </w:p>
    <w:p w14:paraId="69664D5E">
      <w:pPr>
        <w:pStyle w:val="8"/>
        <w:tabs>
          <w:tab w:val="right" w:leader="dot" w:pos="8296"/>
        </w:tabs>
        <w:rPr>
          <w:rFonts w:ascii="宋体" w:hAnsi="宋体"/>
          <w:szCs w:val="21"/>
        </w:rPr>
      </w:pPr>
      <w:r>
        <w:rPr>
          <w:rFonts w:ascii="宋体" w:hAnsi="宋体"/>
          <w:szCs w:val="21"/>
        </w:rPr>
        <w:t xml:space="preserve">16.2 </w:t>
      </w:r>
      <w:r>
        <w:rPr>
          <w:rFonts w:hint="eastAsia" w:ascii="宋体" w:hAnsi="宋体"/>
          <w:szCs w:val="21"/>
        </w:rPr>
        <w:t>承包人违约</w:t>
      </w:r>
      <w:r>
        <w:rPr>
          <w:rFonts w:ascii="宋体" w:hAnsi="宋体"/>
          <w:szCs w:val="21"/>
        </w:rPr>
        <w:tab/>
      </w:r>
      <w:r>
        <w:rPr>
          <w:rFonts w:ascii="宋体" w:hAnsi="宋体"/>
          <w:szCs w:val="21"/>
        </w:rPr>
        <w:fldChar w:fldCharType="begin"/>
      </w:r>
      <w:r>
        <w:rPr>
          <w:rFonts w:ascii="宋体" w:hAnsi="宋体"/>
          <w:szCs w:val="21"/>
        </w:rPr>
        <w:instrText xml:space="preserve"> PAGEREF _Toc108514153 \h </w:instrText>
      </w:r>
      <w:r>
        <w:rPr>
          <w:rFonts w:ascii="宋体" w:hAnsi="宋体"/>
          <w:szCs w:val="21"/>
        </w:rPr>
        <w:fldChar w:fldCharType="separate"/>
      </w:r>
      <w:r>
        <w:rPr>
          <w:rFonts w:ascii="宋体" w:hAnsi="宋体"/>
          <w:szCs w:val="21"/>
        </w:rPr>
        <w:t>285</w:t>
      </w:r>
      <w:r>
        <w:rPr>
          <w:rFonts w:ascii="宋体" w:hAnsi="宋体"/>
          <w:szCs w:val="21"/>
        </w:rPr>
        <w:fldChar w:fldCharType="end"/>
      </w:r>
    </w:p>
    <w:p w14:paraId="4F113C42">
      <w:pPr>
        <w:pStyle w:val="13"/>
        <w:tabs>
          <w:tab w:val="right" w:leader="dot" w:pos="8296"/>
        </w:tabs>
        <w:rPr>
          <w:rFonts w:ascii="宋体" w:hAnsi="宋体" w:eastAsia="宋体"/>
          <w:sz w:val="21"/>
          <w:szCs w:val="21"/>
        </w:rPr>
      </w:pPr>
      <w:r>
        <w:rPr>
          <w:rFonts w:ascii="宋体" w:hAnsi="宋体" w:eastAsia="宋体"/>
          <w:sz w:val="21"/>
          <w:szCs w:val="21"/>
        </w:rPr>
        <w:t xml:space="preserve">17. </w:t>
      </w:r>
      <w:r>
        <w:rPr>
          <w:rFonts w:hint="eastAsia" w:ascii="宋体" w:hAnsi="宋体" w:eastAsia="宋体"/>
          <w:sz w:val="21"/>
          <w:szCs w:val="21"/>
        </w:rPr>
        <w:t>不可抗力</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_Toc108514154 \h </w:instrText>
      </w:r>
      <w:r>
        <w:rPr>
          <w:rFonts w:ascii="宋体" w:hAnsi="宋体" w:eastAsia="宋体"/>
          <w:sz w:val="21"/>
          <w:szCs w:val="21"/>
        </w:rPr>
        <w:fldChar w:fldCharType="separate"/>
      </w:r>
      <w:r>
        <w:rPr>
          <w:rFonts w:ascii="宋体" w:hAnsi="宋体" w:eastAsia="宋体"/>
          <w:sz w:val="21"/>
          <w:szCs w:val="21"/>
        </w:rPr>
        <w:t>286</w:t>
      </w:r>
      <w:r>
        <w:rPr>
          <w:rFonts w:ascii="宋体" w:hAnsi="宋体" w:eastAsia="宋体"/>
          <w:sz w:val="21"/>
          <w:szCs w:val="21"/>
        </w:rPr>
        <w:fldChar w:fldCharType="end"/>
      </w:r>
    </w:p>
    <w:p w14:paraId="0FD7E4CD">
      <w:pPr>
        <w:pStyle w:val="8"/>
        <w:tabs>
          <w:tab w:val="right" w:leader="dot" w:pos="8296"/>
        </w:tabs>
        <w:rPr>
          <w:rFonts w:ascii="宋体" w:hAnsi="宋体"/>
          <w:szCs w:val="21"/>
        </w:rPr>
      </w:pPr>
      <w:r>
        <w:rPr>
          <w:rFonts w:ascii="宋体" w:hAnsi="宋体"/>
          <w:szCs w:val="21"/>
        </w:rPr>
        <w:t xml:space="preserve">17.1 </w:t>
      </w:r>
      <w:r>
        <w:rPr>
          <w:rFonts w:hint="eastAsia" w:ascii="宋体" w:hAnsi="宋体"/>
          <w:szCs w:val="21"/>
        </w:rPr>
        <w:t>不可抗力的确认</w:t>
      </w:r>
      <w:r>
        <w:rPr>
          <w:rFonts w:ascii="宋体" w:hAnsi="宋体"/>
          <w:szCs w:val="21"/>
        </w:rPr>
        <w:tab/>
      </w:r>
      <w:r>
        <w:rPr>
          <w:rFonts w:ascii="宋体" w:hAnsi="宋体"/>
          <w:szCs w:val="21"/>
        </w:rPr>
        <w:fldChar w:fldCharType="begin"/>
      </w:r>
      <w:r>
        <w:rPr>
          <w:rFonts w:ascii="宋体" w:hAnsi="宋体"/>
          <w:szCs w:val="21"/>
        </w:rPr>
        <w:instrText xml:space="preserve"> PAGEREF _Toc108514155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2AE81289">
      <w:pPr>
        <w:pStyle w:val="8"/>
        <w:tabs>
          <w:tab w:val="right" w:leader="dot" w:pos="8296"/>
        </w:tabs>
        <w:rPr>
          <w:rFonts w:ascii="宋体" w:hAnsi="宋体"/>
          <w:szCs w:val="21"/>
        </w:rPr>
      </w:pPr>
      <w:r>
        <w:rPr>
          <w:rFonts w:ascii="宋体" w:hAnsi="宋体"/>
          <w:szCs w:val="21"/>
        </w:rPr>
        <w:t xml:space="preserve">17.4 </w:t>
      </w:r>
      <w:r>
        <w:rPr>
          <w:rFonts w:hint="eastAsia" w:ascii="宋体" w:hAnsi="宋体"/>
          <w:szCs w:val="21"/>
        </w:rPr>
        <w:t>因不可抗力解除合同</w:t>
      </w:r>
      <w:r>
        <w:rPr>
          <w:rFonts w:ascii="宋体" w:hAnsi="宋体"/>
          <w:szCs w:val="21"/>
        </w:rPr>
        <w:tab/>
      </w:r>
      <w:r>
        <w:rPr>
          <w:rFonts w:ascii="宋体" w:hAnsi="宋体"/>
          <w:szCs w:val="21"/>
        </w:rPr>
        <w:fldChar w:fldCharType="begin"/>
      </w:r>
      <w:r>
        <w:rPr>
          <w:rFonts w:ascii="宋体" w:hAnsi="宋体"/>
          <w:szCs w:val="21"/>
        </w:rPr>
        <w:instrText xml:space="preserve"> PAGEREF _Toc108514156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1709255D">
      <w:pPr>
        <w:pStyle w:val="13"/>
        <w:tabs>
          <w:tab w:val="right" w:leader="dot" w:pos="8296"/>
        </w:tabs>
        <w:rPr>
          <w:rFonts w:ascii="宋体" w:hAnsi="宋体" w:eastAsia="宋体"/>
          <w:sz w:val="21"/>
          <w:szCs w:val="21"/>
        </w:rPr>
      </w:pPr>
      <w:r>
        <w:rPr>
          <w:rFonts w:ascii="宋体" w:hAnsi="宋体" w:eastAsia="宋体"/>
          <w:sz w:val="21"/>
          <w:szCs w:val="21"/>
        </w:rPr>
        <w:t xml:space="preserve">18. </w:t>
      </w:r>
      <w:r>
        <w:rPr>
          <w:rFonts w:hint="eastAsia" w:ascii="宋体" w:hAnsi="宋体" w:eastAsia="宋体"/>
          <w:sz w:val="21"/>
          <w:szCs w:val="21"/>
        </w:rPr>
        <w:t>保险</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_Toc108514157 \h </w:instrText>
      </w:r>
      <w:r>
        <w:rPr>
          <w:rFonts w:ascii="宋体" w:hAnsi="宋体" w:eastAsia="宋体"/>
          <w:sz w:val="21"/>
          <w:szCs w:val="21"/>
        </w:rPr>
        <w:fldChar w:fldCharType="separate"/>
      </w:r>
      <w:r>
        <w:rPr>
          <w:rFonts w:ascii="宋体" w:hAnsi="宋体" w:eastAsia="宋体"/>
          <w:sz w:val="21"/>
          <w:szCs w:val="21"/>
        </w:rPr>
        <w:t>286</w:t>
      </w:r>
      <w:r>
        <w:rPr>
          <w:rFonts w:ascii="宋体" w:hAnsi="宋体" w:eastAsia="宋体"/>
          <w:sz w:val="21"/>
          <w:szCs w:val="21"/>
        </w:rPr>
        <w:fldChar w:fldCharType="end"/>
      </w:r>
    </w:p>
    <w:p w14:paraId="6494D98D">
      <w:pPr>
        <w:pStyle w:val="8"/>
        <w:tabs>
          <w:tab w:val="right" w:leader="dot" w:pos="8296"/>
        </w:tabs>
        <w:rPr>
          <w:rFonts w:ascii="宋体" w:hAnsi="宋体"/>
          <w:szCs w:val="21"/>
        </w:rPr>
      </w:pPr>
      <w:r>
        <w:rPr>
          <w:rFonts w:ascii="宋体" w:hAnsi="宋体"/>
          <w:szCs w:val="21"/>
        </w:rPr>
        <w:t xml:space="preserve">18.1 </w:t>
      </w:r>
      <w:r>
        <w:rPr>
          <w:rFonts w:hint="eastAsia" w:ascii="宋体" w:hAnsi="宋体"/>
          <w:szCs w:val="21"/>
        </w:rPr>
        <w:t>工程保险</w:t>
      </w:r>
      <w:r>
        <w:rPr>
          <w:rFonts w:ascii="宋体" w:hAnsi="宋体"/>
          <w:szCs w:val="21"/>
        </w:rPr>
        <w:tab/>
      </w:r>
      <w:r>
        <w:rPr>
          <w:rFonts w:ascii="宋体" w:hAnsi="宋体"/>
          <w:szCs w:val="21"/>
        </w:rPr>
        <w:fldChar w:fldCharType="begin"/>
      </w:r>
      <w:r>
        <w:rPr>
          <w:rFonts w:ascii="宋体" w:hAnsi="宋体"/>
          <w:szCs w:val="21"/>
        </w:rPr>
        <w:instrText xml:space="preserve"> PAGEREF _Toc108514158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206B283E">
      <w:pPr>
        <w:pStyle w:val="8"/>
        <w:tabs>
          <w:tab w:val="right" w:leader="dot" w:pos="8296"/>
        </w:tabs>
        <w:rPr>
          <w:rFonts w:ascii="宋体" w:hAnsi="宋体"/>
          <w:szCs w:val="21"/>
        </w:rPr>
      </w:pPr>
      <w:r>
        <w:rPr>
          <w:rFonts w:ascii="宋体" w:hAnsi="宋体"/>
          <w:szCs w:val="21"/>
        </w:rPr>
        <w:t xml:space="preserve">18.3 </w:t>
      </w:r>
      <w:r>
        <w:rPr>
          <w:rFonts w:hint="eastAsia" w:ascii="宋体" w:hAnsi="宋体"/>
          <w:szCs w:val="21"/>
        </w:rPr>
        <w:t>其他保险</w:t>
      </w:r>
      <w:r>
        <w:rPr>
          <w:rFonts w:ascii="宋体" w:hAnsi="宋体"/>
          <w:szCs w:val="21"/>
        </w:rPr>
        <w:tab/>
      </w:r>
      <w:r>
        <w:rPr>
          <w:rFonts w:ascii="宋体" w:hAnsi="宋体"/>
          <w:szCs w:val="21"/>
        </w:rPr>
        <w:fldChar w:fldCharType="begin"/>
      </w:r>
      <w:r>
        <w:rPr>
          <w:rFonts w:ascii="宋体" w:hAnsi="宋体"/>
          <w:szCs w:val="21"/>
        </w:rPr>
        <w:instrText xml:space="preserve"> PAGEREF _Toc108514159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134E4F8E">
      <w:pPr>
        <w:pStyle w:val="8"/>
        <w:tabs>
          <w:tab w:val="right" w:leader="dot" w:pos="8296"/>
        </w:tabs>
        <w:rPr>
          <w:rFonts w:ascii="宋体" w:hAnsi="宋体"/>
          <w:szCs w:val="21"/>
        </w:rPr>
      </w:pPr>
      <w:r>
        <w:rPr>
          <w:rFonts w:ascii="宋体" w:hAnsi="宋体"/>
          <w:szCs w:val="21"/>
        </w:rPr>
        <w:t xml:space="preserve">18.7 </w:t>
      </w:r>
      <w:r>
        <w:rPr>
          <w:rFonts w:hint="eastAsia" w:ascii="宋体" w:hAnsi="宋体"/>
          <w:szCs w:val="21"/>
        </w:rPr>
        <w:t>通知义务</w:t>
      </w:r>
      <w:r>
        <w:rPr>
          <w:rFonts w:ascii="宋体" w:hAnsi="宋体"/>
          <w:szCs w:val="21"/>
        </w:rPr>
        <w:tab/>
      </w:r>
      <w:r>
        <w:rPr>
          <w:rFonts w:ascii="宋体" w:hAnsi="宋体"/>
          <w:szCs w:val="21"/>
        </w:rPr>
        <w:fldChar w:fldCharType="begin"/>
      </w:r>
      <w:r>
        <w:rPr>
          <w:rFonts w:ascii="宋体" w:hAnsi="宋体"/>
          <w:szCs w:val="21"/>
        </w:rPr>
        <w:instrText xml:space="preserve"> PAGEREF _Toc108514160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1DFEEEDD">
      <w:pPr>
        <w:pStyle w:val="13"/>
        <w:tabs>
          <w:tab w:val="right" w:leader="dot" w:pos="8296"/>
        </w:tabs>
        <w:rPr>
          <w:rFonts w:ascii="宋体" w:hAnsi="宋体" w:eastAsia="宋体"/>
          <w:sz w:val="21"/>
          <w:szCs w:val="21"/>
        </w:rPr>
      </w:pPr>
      <w:r>
        <w:rPr>
          <w:rFonts w:ascii="宋体" w:hAnsi="宋体" w:eastAsia="宋体"/>
          <w:sz w:val="21"/>
          <w:szCs w:val="21"/>
        </w:rPr>
        <w:t xml:space="preserve">20. </w:t>
      </w:r>
      <w:r>
        <w:rPr>
          <w:rFonts w:hint="eastAsia" w:ascii="宋体" w:hAnsi="宋体" w:eastAsia="宋体"/>
          <w:sz w:val="21"/>
          <w:szCs w:val="21"/>
        </w:rPr>
        <w:t>争议解决</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_Toc108514161 \h </w:instrText>
      </w:r>
      <w:r>
        <w:rPr>
          <w:rFonts w:ascii="宋体" w:hAnsi="宋体" w:eastAsia="宋体"/>
          <w:sz w:val="21"/>
          <w:szCs w:val="21"/>
        </w:rPr>
        <w:fldChar w:fldCharType="separate"/>
      </w:r>
      <w:r>
        <w:rPr>
          <w:rFonts w:ascii="宋体" w:hAnsi="宋体" w:eastAsia="宋体"/>
          <w:sz w:val="21"/>
          <w:szCs w:val="21"/>
        </w:rPr>
        <w:t>286</w:t>
      </w:r>
      <w:r>
        <w:rPr>
          <w:rFonts w:ascii="宋体" w:hAnsi="宋体" w:eastAsia="宋体"/>
          <w:sz w:val="21"/>
          <w:szCs w:val="21"/>
        </w:rPr>
        <w:fldChar w:fldCharType="end"/>
      </w:r>
    </w:p>
    <w:p w14:paraId="30A32188">
      <w:pPr>
        <w:pStyle w:val="8"/>
        <w:tabs>
          <w:tab w:val="right" w:leader="dot" w:pos="8296"/>
        </w:tabs>
        <w:rPr>
          <w:rFonts w:ascii="宋体" w:hAnsi="宋体"/>
          <w:szCs w:val="21"/>
        </w:rPr>
      </w:pPr>
      <w:r>
        <w:rPr>
          <w:rFonts w:ascii="宋体" w:hAnsi="宋体"/>
          <w:szCs w:val="21"/>
        </w:rPr>
        <w:t xml:space="preserve">20.3 </w:t>
      </w:r>
      <w:r>
        <w:rPr>
          <w:rFonts w:hint="eastAsia" w:ascii="宋体" w:hAnsi="宋体"/>
          <w:szCs w:val="21"/>
        </w:rPr>
        <w:t>争议评审</w:t>
      </w:r>
      <w:r>
        <w:rPr>
          <w:rFonts w:ascii="宋体" w:hAnsi="宋体"/>
          <w:szCs w:val="21"/>
        </w:rPr>
        <w:tab/>
      </w:r>
      <w:r>
        <w:rPr>
          <w:rFonts w:ascii="宋体" w:hAnsi="宋体"/>
          <w:szCs w:val="21"/>
        </w:rPr>
        <w:fldChar w:fldCharType="begin"/>
      </w:r>
      <w:r>
        <w:rPr>
          <w:rFonts w:ascii="宋体" w:hAnsi="宋体"/>
          <w:szCs w:val="21"/>
        </w:rPr>
        <w:instrText xml:space="preserve"> PAGEREF _Toc108514162 \h </w:instrText>
      </w:r>
      <w:r>
        <w:rPr>
          <w:rFonts w:ascii="宋体" w:hAnsi="宋体"/>
          <w:szCs w:val="21"/>
        </w:rPr>
        <w:fldChar w:fldCharType="separate"/>
      </w:r>
      <w:r>
        <w:rPr>
          <w:rFonts w:ascii="宋体" w:hAnsi="宋体"/>
          <w:szCs w:val="21"/>
        </w:rPr>
        <w:t>286</w:t>
      </w:r>
      <w:r>
        <w:rPr>
          <w:rFonts w:ascii="宋体" w:hAnsi="宋体"/>
          <w:szCs w:val="21"/>
        </w:rPr>
        <w:fldChar w:fldCharType="end"/>
      </w:r>
    </w:p>
    <w:p w14:paraId="4C89CFDB">
      <w:pPr>
        <w:pStyle w:val="8"/>
        <w:tabs>
          <w:tab w:val="right" w:leader="dot" w:pos="8296"/>
        </w:tabs>
        <w:rPr>
          <w:rFonts w:ascii="宋体" w:hAnsi="宋体"/>
          <w:szCs w:val="21"/>
        </w:rPr>
      </w:pPr>
      <w:r>
        <w:rPr>
          <w:rFonts w:ascii="宋体" w:hAnsi="宋体"/>
          <w:szCs w:val="21"/>
        </w:rPr>
        <w:t xml:space="preserve">20.4 </w:t>
      </w:r>
      <w:r>
        <w:rPr>
          <w:rFonts w:hint="eastAsia" w:ascii="宋体" w:hAnsi="宋体"/>
          <w:szCs w:val="21"/>
        </w:rPr>
        <w:t>仲裁或诉讼</w:t>
      </w:r>
      <w:r>
        <w:rPr>
          <w:rFonts w:ascii="宋体" w:hAnsi="宋体"/>
          <w:szCs w:val="21"/>
        </w:rPr>
        <w:tab/>
      </w:r>
      <w:r>
        <w:rPr>
          <w:rFonts w:ascii="宋体" w:hAnsi="宋体"/>
          <w:szCs w:val="21"/>
        </w:rPr>
        <w:fldChar w:fldCharType="begin"/>
      </w:r>
      <w:r>
        <w:rPr>
          <w:rFonts w:ascii="宋体" w:hAnsi="宋体"/>
          <w:szCs w:val="21"/>
        </w:rPr>
        <w:instrText xml:space="preserve"> PAGEREF _Toc108514163 \h </w:instrText>
      </w:r>
      <w:r>
        <w:rPr>
          <w:rFonts w:ascii="宋体" w:hAnsi="宋体"/>
          <w:szCs w:val="21"/>
        </w:rPr>
        <w:fldChar w:fldCharType="separate"/>
      </w:r>
      <w:r>
        <w:rPr>
          <w:rFonts w:ascii="宋体" w:hAnsi="宋体"/>
          <w:szCs w:val="21"/>
        </w:rPr>
        <w:t>287</w:t>
      </w:r>
      <w:r>
        <w:rPr>
          <w:rFonts w:ascii="宋体" w:hAnsi="宋体"/>
          <w:szCs w:val="21"/>
        </w:rPr>
        <w:fldChar w:fldCharType="end"/>
      </w:r>
    </w:p>
    <w:p w14:paraId="7461A323">
      <w:pPr>
        <w:pStyle w:val="13"/>
        <w:tabs>
          <w:tab w:val="right" w:leader="dot" w:pos="8296"/>
        </w:tabs>
        <w:rPr>
          <w:rFonts w:ascii="宋体" w:hAnsi="宋体" w:eastAsia="宋体"/>
          <w:sz w:val="21"/>
          <w:szCs w:val="21"/>
        </w:rPr>
      </w:pPr>
      <w:r>
        <w:rPr>
          <w:rFonts w:hint="eastAsia" w:ascii="宋体" w:hAnsi="宋体" w:eastAsia="宋体"/>
          <w:sz w:val="21"/>
          <w:szCs w:val="21"/>
        </w:rPr>
        <w:t>附件</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_Toc108514164 \h </w:instrText>
      </w:r>
      <w:r>
        <w:rPr>
          <w:rFonts w:ascii="宋体" w:hAnsi="宋体" w:eastAsia="宋体"/>
          <w:sz w:val="21"/>
          <w:szCs w:val="21"/>
        </w:rPr>
        <w:fldChar w:fldCharType="separate"/>
      </w:r>
      <w:r>
        <w:rPr>
          <w:rFonts w:ascii="宋体" w:hAnsi="宋体" w:eastAsia="宋体"/>
          <w:sz w:val="21"/>
          <w:szCs w:val="21"/>
        </w:rPr>
        <w:t>288</w:t>
      </w:r>
      <w:r>
        <w:rPr>
          <w:rFonts w:ascii="宋体" w:hAnsi="宋体" w:eastAsia="宋体"/>
          <w:sz w:val="21"/>
          <w:szCs w:val="21"/>
        </w:rPr>
        <w:fldChar w:fldCharType="end"/>
      </w:r>
    </w:p>
    <w:p w14:paraId="3BAE7598">
      <w:pPr>
        <w:pStyle w:val="12"/>
        <w:rPr>
          <w:rFonts w:ascii="宋体" w:hAnsi="宋体" w:eastAsia="宋体"/>
          <w:b w:val="0"/>
          <w:sz w:val="21"/>
          <w:szCs w:val="21"/>
        </w:rPr>
      </w:pPr>
      <w:r>
        <w:rPr>
          <w:rFonts w:hint="eastAsia" w:ascii="宋体" w:hAnsi="宋体" w:eastAsia="宋体"/>
          <w:b w:val="0"/>
          <w:sz w:val="21"/>
          <w:szCs w:val="21"/>
        </w:rPr>
        <w:t>第五章</w:t>
      </w:r>
      <w:r>
        <w:rPr>
          <w:rFonts w:ascii="宋体" w:hAnsi="宋体" w:eastAsia="宋体"/>
          <w:b w:val="0"/>
          <w:sz w:val="21"/>
          <w:szCs w:val="21"/>
        </w:rPr>
        <w:t xml:space="preserve">  </w:t>
      </w:r>
      <w:r>
        <w:rPr>
          <w:rFonts w:hint="eastAsia" w:ascii="宋体" w:hAnsi="宋体" w:eastAsia="宋体"/>
          <w:b w:val="0"/>
          <w:sz w:val="21"/>
          <w:szCs w:val="21"/>
        </w:rPr>
        <w:t>工程量清单</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_Toc108514165 \h </w:instrText>
      </w:r>
      <w:r>
        <w:rPr>
          <w:rFonts w:ascii="宋体" w:hAnsi="宋体" w:eastAsia="宋体"/>
          <w:b w:val="0"/>
          <w:sz w:val="21"/>
          <w:szCs w:val="21"/>
        </w:rPr>
        <w:fldChar w:fldCharType="separate"/>
      </w:r>
      <w:r>
        <w:rPr>
          <w:rFonts w:ascii="宋体" w:hAnsi="宋体" w:eastAsia="宋体"/>
          <w:b w:val="0"/>
          <w:sz w:val="21"/>
          <w:szCs w:val="21"/>
        </w:rPr>
        <w:t>304</w:t>
      </w:r>
      <w:r>
        <w:rPr>
          <w:rFonts w:ascii="宋体" w:hAnsi="宋体" w:eastAsia="宋体"/>
          <w:b w:val="0"/>
          <w:sz w:val="21"/>
          <w:szCs w:val="21"/>
        </w:rPr>
        <w:fldChar w:fldCharType="end"/>
      </w:r>
    </w:p>
    <w:p w14:paraId="17FBD6A7">
      <w:pPr>
        <w:pStyle w:val="13"/>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、招标工程量清单说明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_Toc108514166 \h </w:instrText>
      </w:r>
      <w:r>
        <w:rPr>
          <w:rFonts w:ascii="宋体" w:hAnsi="宋体" w:eastAsia="宋体"/>
          <w:sz w:val="21"/>
          <w:szCs w:val="21"/>
        </w:rPr>
        <w:fldChar w:fldCharType="separate"/>
      </w:r>
      <w:r>
        <w:rPr>
          <w:rFonts w:ascii="宋体" w:hAnsi="宋体" w:eastAsia="宋体"/>
          <w:sz w:val="21"/>
          <w:szCs w:val="21"/>
        </w:rPr>
        <w:t>305</w:t>
      </w:r>
      <w:r>
        <w:rPr>
          <w:rFonts w:ascii="宋体" w:hAnsi="宋体" w:eastAsia="宋体"/>
          <w:sz w:val="21"/>
          <w:szCs w:val="21"/>
        </w:rPr>
        <w:fldChar w:fldCharType="end"/>
      </w:r>
    </w:p>
    <w:p w14:paraId="3CF40CC4">
      <w:pPr>
        <w:pStyle w:val="13"/>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、投标报价说明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_Toc108514167 \h </w:instrText>
      </w:r>
      <w:r>
        <w:rPr>
          <w:rFonts w:ascii="宋体" w:hAnsi="宋体" w:eastAsia="宋体"/>
          <w:sz w:val="21"/>
          <w:szCs w:val="21"/>
        </w:rPr>
        <w:fldChar w:fldCharType="separate"/>
      </w:r>
      <w:r>
        <w:rPr>
          <w:rFonts w:ascii="宋体" w:hAnsi="宋体" w:eastAsia="宋体"/>
          <w:sz w:val="21"/>
          <w:szCs w:val="21"/>
        </w:rPr>
        <w:t>306</w:t>
      </w:r>
      <w:r>
        <w:rPr>
          <w:rFonts w:ascii="宋体" w:hAnsi="宋体" w:eastAsia="宋体"/>
          <w:sz w:val="21"/>
          <w:szCs w:val="21"/>
        </w:rPr>
        <w:fldChar w:fldCharType="end"/>
      </w:r>
    </w:p>
    <w:p w14:paraId="648BF301">
      <w:pPr>
        <w:pStyle w:val="13"/>
        <w:tabs>
          <w:tab w:val="right" w:leader="dot" w:pos="8296"/>
        </w:tabs>
        <w:rPr>
          <w:rFonts w:ascii="宋体" w:hAnsi="宋体" w:eastAsia="宋体"/>
          <w:sz w:val="21"/>
          <w:szCs w:val="21"/>
        </w:rPr>
      </w:pPr>
      <w:r>
        <w:rPr>
          <w:rFonts w:ascii="宋体" w:hAnsi="宋体" w:eastAsia="宋体"/>
          <w:sz w:val="21"/>
          <w:szCs w:val="21"/>
        </w:rPr>
        <w:t>3</w:t>
      </w:r>
      <w:r>
        <w:rPr>
          <w:rFonts w:hint="eastAsia" w:ascii="宋体" w:hAnsi="宋体" w:eastAsia="宋体"/>
          <w:sz w:val="21"/>
          <w:szCs w:val="21"/>
        </w:rPr>
        <w:t>、其他说明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_Toc108514168 \h </w:instrText>
      </w:r>
      <w:r>
        <w:rPr>
          <w:rFonts w:ascii="宋体" w:hAnsi="宋体" w:eastAsia="宋体"/>
          <w:sz w:val="21"/>
          <w:szCs w:val="21"/>
        </w:rPr>
        <w:fldChar w:fldCharType="separate"/>
      </w:r>
      <w:r>
        <w:rPr>
          <w:rFonts w:ascii="宋体" w:hAnsi="宋体" w:eastAsia="宋体"/>
          <w:sz w:val="21"/>
          <w:szCs w:val="21"/>
        </w:rPr>
        <w:t>308</w:t>
      </w:r>
      <w:r>
        <w:rPr>
          <w:rFonts w:ascii="宋体" w:hAnsi="宋体" w:eastAsia="宋体"/>
          <w:sz w:val="21"/>
          <w:szCs w:val="21"/>
        </w:rPr>
        <w:fldChar w:fldCharType="end"/>
      </w:r>
    </w:p>
    <w:p w14:paraId="058BB47A">
      <w:pPr>
        <w:pStyle w:val="13"/>
        <w:tabs>
          <w:tab w:val="right" w:leader="dot" w:pos="8296"/>
        </w:tabs>
        <w:rPr>
          <w:rFonts w:ascii="宋体" w:hAnsi="宋体" w:eastAsia="宋体"/>
          <w:sz w:val="21"/>
          <w:szCs w:val="21"/>
        </w:rPr>
      </w:pPr>
      <w:r>
        <w:rPr>
          <w:rFonts w:ascii="宋体" w:hAnsi="宋体" w:eastAsia="宋体"/>
          <w:sz w:val="21"/>
          <w:szCs w:val="21"/>
        </w:rPr>
        <w:t>4</w:t>
      </w:r>
      <w:r>
        <w:rPr>
          <w:rFonts w:hint="eastAsia" w:ascii="宋体" w:hAnsi="宋体" w:eastAsia="宋体"/>
          <w:sz w:val="21"/>
          <w:szCs w:val="21"/>
        </w:rPr>
        <w:t>、工程量清单与计价表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_Toc108514169 \h </w:instrText>
      </w:r>
      <w:r>
        <w:rPr>
          <w:rFonts w:ascii="宋体" w:hAnsi="宋体" w:eastAsia="宋体"/>
          <w:sz w:val="21"/>
          <w:szCs w:val="21"/>
        </w:rPr>
        <w:fldChar w:fldCharType="separate"/>
      </w:r>
      <w:r>
        <w:rPr>
          <w:rFonts w:ascii="宋体" w:hAnsi="宋体" w:eastAsia="宋体"/>
          <w:sz w:val="21"/>
          <w:szCs w:val="21"/>
        </w:rPr>
        <w:t>311</w:t>
      </w:r>
      <w:r>
        <w:rPr>
          <w:rFonts w:ascii="宋体" w:hAnsi="宋体" w:eastAsia="宋体"/>
          <w:sz w:val="21"/>
          <w:szCs w:val="21"/>
        </w:rPr>
        <w:fldChar w:fldCharType="end"/>
      </w:r>
    </w:p>
    <w:p w14:paraId="1CFC5A17">
      <w:pPr>
        <w:pStyle w:val="8"/>
        <w:tabs>
          <w:tab w:val="right" w:leader="dot" w:pos="8296"/>
        </w:tabs>
        <w:rPr>
          <w:rFonts w:ascii="宋体" w:hAnsi="宋体"/>
          <w:szCs w:val="21"/>
        </w:rPr>
      </w:pPr>
      <w:r>
        <w:rPr>
          <w:rFonts w:ascii="宋体" w:hAnsi="宋体"/>
          <w:szCs w:val="21"/>
        </w:rPr>
        <w:t>4.1</w:t>
      </w:r>
      <w:r>
        <w:rPr>
          <w:rFonts w:hint="eastAsia" w:ascii="宋体" w:hAnsi="宋体"/>
          <w:szCs w:val="21"/>
        </w:rPr>
        <w:t>招标工程量清单封面</w:t>
      </w:r>
      <w:r>
        <w:rPr>
          <w:rFonts w:ascii="宋体" w:hAnsi="宋体"/>
          <w:szCs w:val="21"/>
        </w:rPr>
        <w:tab/>
      </w:r>
      <w:r>
        <w:rPr>
          <w:rFonts w:ascii="宋体" w:hAnsi="宋体"/>
          <w:szCs w:val="21"/>
        </w:rPr>
        <w:fldChar w:fldCharType="begin"/>
      </w:r>
      <w:r>
        <w:rPr>
          <w:rFonts w:ascii="宋体" w:hAnsi="宋体"/>
          <w:szCs w:val="21"/>
        </w:rPr>
        <w:instrText xml:space="preserve"> PAGEREF _Toc108514170 \h </w:instrText>
      </w:r>
      <w:r>
        <w:rPr>
          <w:rFonts w:ascii="宋体" w:hAnsi="宋体"/>
          <w:szCs w:val="21"/>
        </w:rPr>
        <w:fldChar w:fldCharType="separate"/>
      </w:r>
      <w:r>
        <w:rPr>
          <w:rFonts w:ascii="宋体" w:hAnsi="宋体"/>
          <w:szCs w:val="21"/>
        </w:rPr>
        <w:t>312</w:t>
      </w:r>
      <w:r>
        <w:rPr>
          <w:rFonts w:ascii="宋体" w:hAnsi="宋体"/>
          <w:szCs w:val="21"/>
        </w:rPr>
        <w:fldChar w:fldCharType="end"/>
      </w:r>
    </w:p>
    <w:p w14:paraId="28510484">
      <w:pPr>
        <w:pStyle w:val="8"/>
        <w:tabs>
          <w:tab w:val="right" w:leader="dot" w:pos="8296"/>
        </w:tabs>
        <w:rPr>
          <w:rFonts w:ascii="宋体" w:hAnsi="宋体"/>
          <w:szCs w:val="21"/>
        </w:rPr>
      </w:pPr>
      <w:r>
        <w:rPr>
          <w:rFonts w:ascii="宋体" w:hAnsi="宋体"/>
          <w:szCs w:val="21"/>
        </w:rPr>
        <w:t>4.2</w:t>
      </w:r>
      <w:r>
        <w:rPr>
          <w:rFonts w:hint="eastAsia" w:ascii="宋体" w:hAnsi="宋体"/>
          <w:szCs w:val="21"/>
        </w:rPr>
        <w:t>招标工程量清单扉页</w:t>
      </w:r>
      <w:r>
        <w:rPr>
          <w:rFonts w:ascii="宋体" w:hAnsi="宋体"/>
          <w:szCs w:val="21"/>
        </w:rPr>
        <w:tab/>
      </w:r>
      <w:r>
        <w:rPr>
          <w:rFonts w:ascii="宋体" w:hAnsi="宋体"/>
          <w:szCs w:val="21"/>
        </w:rPr>
        <w:fldChar w:fldCharType="begin"/>
      </w:r>
      <w:r>
        <w:rPr>
          <w:rFonts w:ascii="宋体" w:hAnsi="宋体"/>
          <w:szCs w:val="21"/>
        </w:rPr>
        <w:instrText xml:space="preserve"> PAGEREF _Toc108514171 \h </w:instrText>
      </w:r>
      <w:r>
        <w:rPr>
          <w:rFonts w:ascii="宋体" w:hAnsi="宋体"/>
          <w:szCs w:val="21"/>
        </w:rPr>
        <w:fldChar w:fldCharType="separate"/>
      </w:r>
      <w:r>
        <w:rPr>
          <w:rFonts w:ascii="宋体" w:hAnsi="宋体"/>
          <w:szCs w:val="21"/>
        </w:rPr>
        <w:t>313</w:t>
      </w:r>
      <w:r>
        <w:rPr>
          <w:rFonts w:ascii="宋体" w:hAnsi="宋体"/>
          <w:szCs w:val="21"/>
        </w:rPr>
        <w:fldChar w:fldCharType="end"/>
      </w:r>
    </w:p>
    <w:p w14:paraId="7FBCECAA">
      <w:pPr>
        <w:pStyle w:val="8"/>
        <w:tabs>
          <w:tab w:val="right" w:leader="dot" w:pos="8296"/>
        </w:tabs>
        <w:rPr>
          <w:rFonts w:ascii="宋体" w:hAnsi="宋体"/>
          <w:szCs w:val="21"/>
        </w:rPr>
      </w:pPr>
      <w:r>
        <w:rPr>
          <w:rFonts w:ascii="宋体" w:hAnsi="宋体"/>
          <w:szCs w:val="21"/>
        </w:rPr>
        <w:t>4.3</w:t>
      </w:r>
      <w:r>
        <w:rPr>
          <w:rFonts w:hint="eastAsia" w:ascii="宋体" w:hAnsi="宋体"/>
          <w:szCs w:val="21"/>
        </w:rPr>
        <w:t>投标总价封面</w:t>
      </w:r>
      <w:r>
        <w:rPr>
          <w:rFonts w:ascii="宋体" w:hAnsi="宋体"/>
          <w:szCs w:val="21"/>
        </w:rPr>
        <w:tab/>
      </w:r>
      <w:r>
        <w:rPr>
          <w:rFonts w:ascii="宋体" w:hAnsi="宋体"/>
          <w:szCs w:val="21"/>
        </w:rPr>
        <w:fldChar w:fldCharType="begin"/>
      </w:r>
      <w:r>
        <w:rPr>
          <w:rFonts w:ascii="宋体" w:hAnsi="宋体"/>
          <w:szCs w:val="21"/>
        </w:rPr>
        <w:instrText xml:space="preserve"> PAGEREF _Toc108514172 \h </w:instrText>
      </w:r>
      <w:r>
        <w:rPr>
          <w:rFonts w:ascii="宋体" w:hAnsi="宋体"/>
          <w:szCs w:val="21"/>
        </w:rPr>
        <w:fldChar w:fldCharType="separate"/>
      </w:r>
      <w:r>
        <w:rPr>
          <w:rFonts w:ascii="宋体" w:hAnsi="宋体"/>
          <w:szCs w:val="21"/>
        </w:rPr>
        <w:t>314</w:t>
      </w:r>
      <w:r>
        <w:rPr>
          <w:rFonts w:ascii="宋体" w:hAnsi="宋体"/>
          <w:szCs w:val="21"/>
        </w:rPr>
        <w:fldChar w:fldCharType="end"/>
      </w:r>
    </w:p>
    <w:p w14:paraId="0CF13821">
      <w:pPr>
        <w:pStyle w:val="8"/>
        <w:tabs>
          <w:tab w:val="right" w:leader="dot" w:pos="8296"/>
        </w:tabs>
        <w:rPr>
          <w:rFonts w:ascii="宋体" w:hAnsi="宋体"/>
          <w:szCs w:val="21"/>
        </w:rPr>
      </w:pPr>
      <w:r>
        <w:rPr>
          <w:rFonts w:ascii="宋体" w:hAnsi="宋体"/>
          <w:szCs w:val="21"/>
        </w:rPr>
        <w:t>4.4</w:t>
      </w:r>
      <w:r>
        <w:rPr>
          <w:rFonts w:hint="eastAsia" w:ascii="宋体" w:hAnsi="宋体"/>
          <w:szCs w:val="21"/>
        </w:rPr>
        <w:t>投标总价扉页</w:t>
      </w:r>
      <w:r>
        <w:rPr>
          <w:rFonts w:ascii="宋体" w:hAnsi="宋体"/>
          <w:szCs w:val="21"/>
        </w:rPr>
        <w:tab/>
      </w:r>
      <w:r>
        <w:rPr>
          <w:rFonts w:ascii="宋体" w:hAnsi="宋体"/>
          <w:szCs w:val="21"/>
        </w:rPr>
        <w:fldChar w:fldCharType="begin"/>
      </w:r>
      <w:r>
        <w:rPr>
          <w:rFonts w:ascii="宋体" w:hAnsi="宋体"/>
          <w:szCs w:val="21"/>
        </w:rPr>
        <w:instrText xml:space="preserve"> PAGEREF _Toc108514173 \h </w:instrText>
      </w:r>
      <w:r>
        <w:rPr>
          <w:rFonts w:ascii="宋体" w:hAnsi="宋体"/>
          <w:szCs w:val="21"/>
        </w:rPr>
        <w:fldChar w:fldCharType="separate"/>
      </w:r>
      <w:r>
        <w:rPr>
          <w:rFonts w:ascii="宋体" w:hAnsi="宋体"/>
          <w:szCs w:val="21"/>
        </w:rPr>
        <w:t>315</w:t>
      </w:r>
      <w:r>
        <w:rPr>
          <w:rFonts w:ascii="宋体" w:hAnsi="宋体"/>
          <w:szCs w:val="21"/>
        </w:rPr>
        <w:fldChar w:fldCharType="end"/>
      </w:r>
    </w:p>
    <w:p w14:paraId="23E78355">
      <w:pPr>
        <w:pStyle w:val="8"/>
        <w:tabs>
          <w:tab w:val="right" w:leader="dot" w:pos="8296"/>
        </w:tabs>
        <w:rPr>
          <w:rFonts w:ascii="宋体" w:hAnsi="宋体"/>
          <w:szCs w:val="21"/>
        </w:rPr>
      </w:pPr>
      <w:r>
        <w:rPr>
          <w:rFonts w:ascii="宋体" w:hAnsi="宋体"/>
          <w:szCs w:val="21"/>
        </w:rPr>
        <w:t>4.5</w:t>
      </w:r>
      <w:r>
        <w:rPr>
          <w:rFonts w:hint="eastAsia" w:ascii="宋体" w:hAnsi="宋体"/>
          <w:szCs w:val="21"/>
        </w:rPr>
        <w:t>总说明表</w:t>
      </w:r>
      <w:r>
        <w:rPr>
          <w:rFonts w:ascii="宋体" w:hAnsi="宋体"/>
          <w:szCs w:val="21"/>
        </w:rPr>
        <w:tab/>
      </w:r>
      <w:r>
        <w:rPr>
          <w:rFonts w:ascii="宋体" w:hAnsi="宋体"/>
          <w:szCs w:val="21"/>
        </w:rPr>
        <w:fldChar w:fldCharType="begin"/>
      </w:r>
      <w:r>
        <w:rPr>
          <w:rFonts w:ascii="宋体" w:hAnsi="宋体"/>
          <w:szCs w:val="21"/>
        </w:rPr>
        <w:instrText xml:space="preserve"> PAGEREF _Toc108514174 \h </w:instrText>
      </w:r>
      <w:r>
        <w:rPr>
          <w:rFonts w:ascii="宋体" w:hAnsi="宋体"/>
          <w:szCs w:val="21"/>
        </w:rPr>
        <w:fldChar w:fldCharType="separate"/>
      </w:r>
      <w:r>
        <w:rPr>
          <w:rFonts w:ascii="宋体" w:hAnsi="宋体"/>
          <w:szCs w:val="21"/>
        </w:rPr>
        <w:t>316</w:t>
      </w:r>
      <w:r>
        <w:rPr>
          <w:rFonts w:ascii="宋体" w:hAnsi="宋体"/>
          <w:szCs w:val="21"/>
        </w:rPr>
        <w:fldChar w:fldCharType="end"/>
      </w:r>
    </w:p>
    <w:p w14:paraId="08F6F53E">
      <w:pPr>
        <w:pStyle w:val="8"/>
        <w:tabs>
          <w:tab w:val="right" w:leader="dot" w:pos="8296"/>
        </w:tabs>
        <w:rPr>
          <w:rFonts w:ascii="宋体" w:hAnsi="宋体"/>
          <w:szCs w:val="21"/>
        </w:rPr>
      </w:pPr>
      <w:r>
        <w:rPr>
          <w:rFonts w:ascii="宋体" w:hAnsi="宋体"/>
          <w:szCs w:val="21"/>
        </w:rPr>
        <w:t>4.6</w:t>
      </w:r>
      <w:r>
        <w:rPr>
          <w:rFonts w:hint="eastAsia" w:ascii="宋体" w:hAnsi="宋体"/>
          <w:szCs w:val="21"/>
        </w:rPr>
        <w:t>建设项目投标报价汇总表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_Toc108514175 \h </w:instrText>
      </w:r>
      <w:r>
        <w:rPr>
          <w:rFonts w:ascii="宋体" w:hAnsi="宋体"/>
          <w:szCs w:val="21"/>
        </w:rPr>
        <w:fldChar w:fldCharType="separate"/>
      </w:r>
      <w:r>
        <w:rPr>
          <w:rFonts w:ascii="宋体" w:hAnsi="宋体"/>
          <w:szCs w:val="21"/>
        </w:rPr>
        <w:t>317</w:t>
      </w:r>
      <w:r>
        <w:rPr>
          <w:rFonts w:ascii="宋体" w:hAnsi="宋体"/>
          <w:szCs w:val="21"/>
        </w:rPr>
        <w:fldChar w:fldCharType="end"/>
      </w:r>
    </w:p>
    <w:p w14:paraId="28EC5A07">
      <w:pPr>
        <w:pStyle w:val="8"/>
        <w:tabs>
          <w:tab w:val="right" w:leader="dot" w:pos="8296"/>
        </w:tabs>
        <w:rPr>
          <w:rFonts w:ascii="宋体" w:hAnsi="宋体"/>
          <w:szCs w:val="21"/>
        </w:rPr>
      </w:pPr>
      <w:r>
        <w:rPr>
          <w:rFonts w:ascii="宋体" w:hAnsi="宋体"/>
          <w:szCs w:val="21"/>
        </w:rPr>
        <w:t>4.7</w:t>
      </w:r>
      <w:r>
        <w:rPr>
          <w:rFonts w:hint="eastAsia" w:ascii="宋体" w:hAnsi="宋体"/>
          <w:szCs w:val="21"/>
        </w:rPr>
        <w:t>单项工程投标报价汇总表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_Toc108514176 \h </w:instrText>
      </w:r>
      <w:r>
        <w:rPr>
          <w:rFonts w:ascii="宋体" w:hAnsi="宋体"/>
          <w:szCs w:val="21"/>
        </w:rPr>
        <w:fldChar w:fldCharType="separate"/>
      </w:r>
      <w:r>
        <w:rPr>
          <w:rFonts w:ascii="宋体" w:hAnsi="宋体"/>
          <w:szCs w:val="21"/>
        </w:rPr>
        <w:t>318</w:t>
      </w:r>
      <w:r>
        <w:rPr>
          <w:rFonts w:ascii="宋体" w:hAnsi="宋体"/>
          <w:szCs w:val="21"/>
        </w:rPr>
        <w:fldChar w:fldCharType="end"/>
      </w:r>
    </w:p>
    <w:p w14:paraId="6FEB377A">
      <w:pPr>
        <w:pStyle w:val="8"/>
        <w:tabs>
          <w:tab w:val="right" w:leader="dot" w:pos="8296"/>
        </w:tabs>
        <w:rPr>
          <w:rFonts w:ascii="宋体" w:hAnsi="宋体"/>
          <w:szCs w:val="21"/>
        </w:rPr>
      </w:pPr>
      <w:r>
        <w:rPr>
          <w:rFonts w:ascii="宋体" w:hAnsi="宋体"/>
          <w:szCs w:val="21"/>
        </w:rPr>
        <w:t>4.8</w:t>
      </w:r>
      <w:r>
        <w:rPr>
          <w:rFonts w:hint="eastAsia" w:ascii="宋体" w:hAnsi="宋体"/>
          <w:szCs w:val="21"/>
        </w:rPr>
        <w:t>单位工程投标报价汇总表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_Toc108514177 \h </w:instrText>
      </w:r>
      <w:r>
        <w:rPr>
          <w:rFonts w:ascii="宋体" w:hAnsi="宋体"/>
          <w:szCs w:val="21"/>
        </w:rPr>
        <w:fldChar w:fldCharType="separate"/>
      </w:r>
      <w:r>
        <w:rPr>
          <w:rFonts w:ascii="宋体" w:hAnsi="宋体"/>
          <w:szCs w:val="21"/>
        </w:rPr>
        <w:t>319</w:t>
      </w:r>
      <w:r>
        <w:rPr>
          <w:rFonts w:ascii="宋体" w:hAnsi="宋体"/>
          <w:szCs w:val="21"/>
        </w:rPr>
        <w:fldChar w:fldCharType="end"/>
      </w:r>
    </w:p>
    <w:p w14:paraId="7EF0D89E">
      <w:pPr>
        <w:pStyle w:val="8"/>
        <w:tabs>
          <w:tab w:val="right" w:leader="dot" w:pos="8296"/>
        </w:tabs>
        <w:rPr>
          <w:rFonts w:ascii="宋体" w:hAnsi="宋体"/>
          <w:szCs w:val="21"/>
        </w:rPr>
      </w:pPr>
      <w:r>
        <w:rPr>
          <w:rFonts w:ascii="宋体" w:hAnsi="宋体"/>
          <w:szCs w:val="21"/>
        </w:rPr>
        <w:t>4.9</w:t>
      </w:r>
      <w:r>
        <w:rPr>
          <w:rFonts w:hint="eastAsia" w:ascii="宋体" w:hAnsi="宋体"/>
          <w:szCs w:val="21"/>
        </w:rPr>
        <w:t>分部分项工程和单价措施项目清单与计价表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_Toc108514178 \h </w:instrText>
      </w:r>
      <w:r>
        <w:rPr>
          <w:rFonts w:ascii="宋体" w:hAnsi="宋体"/>
          <w:szCs w:val="21"/>
        </w:rPr>
        <w:fldChar w:fldCharType="separate"/>
      </w:r>
      <w:r>
        <w:rPr>
          <w:rFonts w:ascii="宋体" w:hAnsi="宋体"/>
          <w:szCs w:val="21"/>
        </w:rPr>
        <w:t>321</w:t>
      </w:r>
      <w:r>
        <w:rPr>
          <w:rFonts w:ascii="宋体" w:hAnsi="宋体"/>
          <w:szCs w:val="21"/>
        </w:rPr>
        <w:fldChar w:fldCharType="end"/>
      </w:r>
    </w:p>
    <w:p w14:paraId="1DFF2CC9">
      <w:pPr>
        <w:pStyle w:val="8"/>
        <w:tabs>
          <w:tab w:val="right" w:leader="dot" w:pos="8296"/>
        </w:tabs>
        <w:rPr>
          <w:rFonts w:ascii="宋体" w:hAnsi="宋体"/>
          <w:szCs w:val="21"/>
        </w:rPr>
      </w:pPr>
      <w:r>
        <w:rPr>
          <w:rFonts w:ascii="宋体" w:hAnsi="宋体"/>
          <w:szCs w:val="21"/>
        </w:rPr>
        <w:t>4.10</w:t>
      </w:r>
      <w:r>
        <w:rPr>
          <w:rFonts w:hint="eastAsia" w:ascii="宋体" w:hAnsi="宋体"/>
          <w:szCs w:val="21"/>
        </w:rPr>
        <w:t>综合单价分析表</w:t>
      </w:r>
      <w:r>
        <w:rPr>
          <w:rFonts w:ascii="宋体" w:hAnsi="宋体"/>
          <w:szCs w:val="21"/>
        </w:rPr>
        <w:tab/>
      </w:r>
      <w:r>
        <w:rPr>
          <w:rFonts w:ascii="宋体" w:hAnsi="宋体"/>
          <w:szCs w:val="21"/>
        </w:rPr>
        <w:fldChar w:fldCharType="begin"/>
      </w:r>
      <w:r>
        <w:rPr>
          <w:rFonts w:ascii="宋体" w:hAnsi="宋体"/>
          <w:szCs w:val="21"/>
        </w:rPr>
        <w:instrText xml:space="preserve"> PAGEREF _Toc108514179 \h </w:instrText>
      </w:r>
      <w:r>
        <w:rPr>
          <w:rFonts w:ascii="宋体" w:hAnsi="宋体"/>
          <w:szCs w:val="21"/>
        </w:rPr>
        <w:fldChar w:fldCharType="separate"/>
      </w:r>
      <w:r>
        <w:rPr>
          <w:rFonts w:ascii="宋体" w:hAnsi="宋体"/>
          <w:szCs w:val="21"/>
        </w:rPr>
        <w:t>322</w:t>
      </w:r>
      <w:r>
        <w:rPr>
          <w:rFonts w:ascii="宋体" w:hAnsi="宋体"/>
          <w:szCs w:val="21"/>
        </w:rPr>
        <w:fldChar w:fldCharType="end"/>
      </w:r>
    </w:p>
    <w:p w14:paraId="6682FC6F">
      <w:pPr>
        <w:pStyle w:val="8"/>
        <w:tabs>
          <w:tab w:val="right" w:leader="dot" w:pos="8296"/>
        </w:tabs>
        <w:rPr>
          <w:rFonts w:ascii="宋体" w:hAnsi="宋体"/>
          <w:szCs w:val="21"/>
        </w:rPr>
      </w:pPr>
      <w:r>
        <w:rPr>
          <w:rFonts w:ascii="宋体" w:hAnsi="宋体"/>
          <w:szCs w:val="21"/>
        </w:rPr>
        <w:t>4.11</w:t>
      </w:r>
      <w:r>
        <w:rPr>
          <w:rFonts w:hint="eastAsia" w:ascii="宋体" w:hAnsi="宋体"/>
          <w:szCs w:val="21"/>
        </w:rPr>
        <w:t>总价措施项目清单与计价表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_Toc108514180 \h </w:instrText>
      </w:r>
      <w:r>
        <w:rPr>
          <w:rFonts w:ascii="宋体" w:hAnsi="宋体"/>
          <w:szCs w:val="21"/>
        </w:rPr>
        <w:fldChar w:fldCharType="separate"/>
      </w:r>
      <w:r>
        <w:rPr>
          <w:rFonts w:ascii="宋体" w:hAnsi="宋体"/>
          <w:szCs w:val="21"/>
        </w:rPr>
        <w:t>323</w:t>
      </w:r>
      <w:r>
        <w:rPr>
          <w:rFonts w:ascii="宋体" w:hAnsi="宋体"/>
          <w:szCs w:val="21"/>
        </w:rPr>
        <w:fldChar w:fldCharType="end"/>
      </w:r>
    </w:p>
    <w:p w14:paraId="193AEE82">
      <w:pPr>
        <w:pStyle w:val="8"/>
        <w:tabs>
          <w:tab w:val="right" w:leader="dot" w:pos="8296"/>
        </w:tabs>
        <w:rPr>
          <w:rFonts w:ascii="宋体" w:hAnsi="宋体"/>
          <w:szCs w:val="21"/>
        </w:rPr>
      </w:pPr>
      <w:r>
        <w:rPr>
          <w:rFonts w:ascii="宋体" w:hAnsi="宋体"/>
          <w:szCs w:val="21"/>
        </w:rPr>
        <w:t>4.12</w:t>
      </w:r>
      <w:r>
        <w:rPr>
          <w:rFonts w:hint="eastAsia" w:ascii="宋体" w:hAnsi="宋体"/>
          <w:szCs w:val="21"/>
        </w:rPr>
        <w:t>其他项目清单与计价汇总表</w:t>
      </w:r>
      <w:r>
        <w:rPr>
          <w:rFonts w:ascii="宋体" w:hAnsi="宋体"/>
          <w:szCs w:val="21"/>
        </w:rPr>
        <w:tab/>
      </w:r>
      <w:r>
        <w:rPr>
          <w:rFonts w:ascii="宋体" w:hAnsi="宋体"/>
          <w:szCs w:val="21"/>
        </w:rPr>
        <w:fldChar w:fldCharType="begin"/>
      </w:r>
      <w:r>
        <w:rPr>
          <w:rFonts w:ascii="宋体" w:hAnsi="宋体"/>
          <w:szCs w:val="21"/>
        </w:rPr>
        <w:instrText xml:space="preserve"> PAGEREF _Toc108514181 \h </w:instrText>
      </w:r>
      <w:r>
        <w:rPr>
          <w:rFonts w:ascii="宋体" w:hAnsi="宋体"/>
          <w:szCs w:val="21"/>
        </w:rPr>
        <w:fldChar w:fldCharType="separate"/>
      </w:r>
      <w:r>
        <w:rPr>
          <w:rFonts w:ascii="宋体" w:hAnsi="宋体"/>
          <w:szCs w:val="21"/>
        </w:rPr>
        <w:t>324</w:t>
      </w:r>
      <w:r>
        <w:rPr>
          <w:rFonts w:ascii="宋体" w:hAnsi="宋体"/>
          <w:szCs w:val="21"/>
        </w:rPr>
        <w:fldChar w:fldCharType="end"/>
      </w:r>
    </w:p>
    <w:p w14:paraId="74FA17CD">
      <w:pPr>
        <w:pStyle w:val="8"/>
        <w:tabs>
          <w:tab w:val="right" w:leader="dot" w:pos="8296"/>
        </w:tabs>
        <w:ind w:firstLine="420" w:firstLineChars="200"/>
        <w:rPr>
          <w:rFonts w:ascii="宋体" w:hAnsi="宋体"/>
          <w:szCs w:val="21"/>
        </w:rPr>
      </w:pPr>
      <w:r>
        <w:rPr>
          <w:rFonts w:ascii="宋体" w:hAnsi="宋体"/>
          <w:szCs w:val="21"/>
        </w:rPr>
        <w:t>4.12-1</w:t>
      </w:r>
      <w:r>
        <w:rPr>
          <w:rFonts w:hint="eastAsia" w:ascii="宋体" w:hAnsi="宋体"/>
          <w:szCs w:val="21"/>
        </w:rPr>
        <w:t>暂列金额明细表</w:t>
      </w:r>
      <w:r>
        <w:rPr>
          <w:rFonts w:ascii="宋体" w:hAnsi="宋体"/>
          <w:szCs w:val="21"/>
        </w:rPr>
        <w:tab/>
      </w:r>
      <w:r>
        <w:rPr>
          <w:rFonts w:ascii="宋体" w:hAnsi="宋体"/>
          <w:szCs w:val="21"/>
        </w:rPr>
        <w:fldChar w:fldCharType="begin"/>
      </w:r>
      <w:r>
        <w:rPr>
          <w:rFonts w:ascii="宋体" w:hAnsi="宋体"/>
          <w:szCs w:val="21"/>
        </w:rPr>
        <w:instrText xml:space="preserve"> PAGEREF _Toc108514182 \h </w:instrText>
      </w:r>
      <w:r>
        <w:rPr>
          <w:rFonts w:ascii="宋体" w:hAnsi="宋体"/>
          <w:szCs w:val="21"/>
        </w:rPr>
        <w:fldChar w:fldCharType="separate"/>
      </w:r>
      <w:r>
        <w:rPr>
          <w:rFonts w:ascii="宋体" w:hAnsi="宋体"/>
          <w:szCs w:val="21"/>
        </w:rPr>
        <w:t>325</w:t>
      </w:r>
      <w:r>
        <w:rPr>
          <w:rFonts w:ascii="宋体" w:hAnsi="宋体"/>
          <w:szCs w:val="21"/>
        </w:rPr>
        <w:fldChar w:fldCharType="end"/>
      </w:r>
    </w:p>
    <w:p w14:paraId="2E6EC053">
      <w:pPr>
        <w:pStyle w:val="8"/>
        <w:tabs>
          <w:tab w:val="right" w:leader="dot" w:pos="8296"/>
        </w:tabs>
        <w:ind w:firstLine="420" w:firstLineChars="200"/>
        <w:rPr>
          <w:rFonts w:ascii="宋体" w:hAnsi="宋体"/>
          <w:szCs w:val="21"/>
        </w:rPr>
      </w:pPr>
      <w:r>
        <w:rPr>
          <w:rFonts w:ascii="宋体" w:hAnsi="宋体"/>
          <w:szCs w:val="21"/>
        </w:rPr>
        <w:t>4.12-2</w:t>
      </w:r>
      <w:r>
        <w:rPr>
          <w:rFonts w:hint="eastAsia" w:ascii="宋体" w:hAnsi="宋体"/>
          <w:szCs w:val="21"/>
        </w:rPr>
        <w:t>材料（工程设备）暂估单价表</w:t>
      </w:r>
      <w:r>
        <w:rPr>
          <w:rFonts w:ascii="宋体" w:hAnsi="宋体"/>
          <w:szCs w:val="21"/>
        </w:rPr>
        <w:tab/>
      </w:r>
      <w:r>
        <w:rPr>
          <w:rFonts w:ascii="宋体" w:hAnsi="宋体"/>
          <w:szCs w:val="21"/>
        </w:rPr>
        <w:fldChar w:fldCharType="begin"/>
      </w:r>
      <w:r>
        <w:rPr>
          <w:rFonts w:ascii="宋体" w:hAnsi="宋体"/>
          <w:szCs w:val="21"/>
        </w:rPr>
        <w:instrText xml:space="preserve"> PAGEREF _Toc108514183 \h </w:instrText>
      </w:r>
      <w:r>
        <w:rPr>
          <w:rFonts w:ascii="宋体" w:hAnsi="宋体"/>
          <w:szCs w:val="21"/>
        </w:rPr>
        <w:fldChar w:fldCharType="separate"/>
      </w:r>
      <w:r>
        <w:rPr>
          <w:rFonts w:ascii="宋体" w:hAnsi="宋体"/>
          <w:szCs w:val="21"/>
        </w:rPr>
        <w:t>326</w:t>
      </w:r>
      <w:r>
        <w:rPr>
          <w:rFonts w:ascii="宋体" w:hAnsi="宋体"/>
          <w:szCs w:val="21"/>
        </w:rPr>
        <w:fldChar w:fldCharType="end"/>
      </w:r>
    </w:p>
    <w:p w14:paraId="31AED0E0">
      <w:pPr>
        <w:pStyle w:val="8"/>
        <w:tabs>
          <w:tab w:val="right" w:leader="dot" w:pos="8296"/>
        </w:tabs>
        <w:ind w:firstLine="420" w:firstLineChars="200"/>
        <w:rPr>
          <w:rFonts w:ascii="宋体" w:hAnsi="宋体"/>
          <w:szCs w:val="21"/>
        </w:rPr>
      </w:pPr>
      <w:r>
        <w:rPr>
          <w:rFonts w:ascii="宋体" w:hAnsi="宋体"/>
          <w:szCs w:val="21"/>
        </w:rPr>
        <w:t>4.12-3</w:t>
      </w:r>
      <w:r>
        <w:rPr>
          <w:rFonts w:hint="eastAsia" w:ascii="宋体" w:hAnsi="宋体"/>
          <w:szCs w:val="21"/>
        </w:rPr>
        <w:t>专业工程暂估价表</w:t>
      </w:r>
      <w:r>
        <w:rPr>
          <w:rFonts w:ascii="宋体" w:hAnsi="宋体"/>
          <w:szCs w:val="21"/>
        </w:rPr>
        <w:tab/>
      </w:r>
      <w:r>
        <w:rPr>
          <w:rFonts w:ascii="宋体" w:hAnsi="宋体"/>
          <w:szCs w:val="21"/>
        </w:rPr>
        <w:fldChar w:fldCharType="begin"/>
      </w:r>
      <w:r>
        <w:rPr>
          <w:rFonts w:ascii="宋体" w:hAnsi="宋体"/>
          <w:szCs w:val="21"/>
        </w:rPr>
        <w:instrText xml:space="preserve"> PAGEREF _Toc108514184 \h </w:instrText>
      </w:r>
      <w:r>
        <w:rPr>
          <w:rFonts w:ascii="宋体" w:hAnsi="宋体"/>
          <w:szCs w:val="21"/>
        </w:rPr>
        <w:fldChar w:fldCharType="separate"/>
      </w:r>
      <w:r>
        <w:rPr>
          <w:rFonts w:ascii="宋体" w:hAnsi="宋体"/>
          <w:szCs w:val="21"/>
        </w:rPr>
        <w:t>327</w:t>
      </w:r>
      <w:r>
        <w:rPr>
          <w:rFonts w:ascii="宋体" w:hAnsi="宋体"/>
          <w:szCs w:val="21"/>
        </w:rPr>
        <w:fldChar w:fldCharType="end"/>
      </w:r>
    </w:p>
    <w:p w14:paraId="021D0CC7">
      <w:pPr>
        <w:pStyle w:val="8"/>
        <w:tabs>
          <w:tab w:val="right" w:leader="dot" w:pos="8296"/>
        </w:tabs>
        <w:ind w:firstLine="420" w:firstLineChars="200"/>
        <w:rPr>
          <w:rFonts w:ascii="宋体" w:hAnsi="宋体"/>
          <w:szCs w:val="21"/>
        </w:rPr>
      </w:pPr>
      <w:r>
        <w:rPr>
          <w:rFonts w:ascii="宋体" w:hAnsi="宋体"/>
          <w:szCs w:val="21"/>
        </w:rPr>
        <w:t>4.12-4</w:t>
      </w:r>
      <w:r>
        <w:rPr>
          <w:rFonts w:hint="eastAsia" w:ascii="宋体" w:hAnsi="宋体"/>
          <w:szCs w:val="21"/>
        </w:rPr>
        <w:t>计日工表</w:t>
      </w:r>
      <w:r>
        <w:rPr>
          <w:rFonts w:ascii="宋体" w:hAnsi="宋体"/>
          <w:szCs w:val="21"/>
        </w:rPr>
        <w:tab/>
      </w:r>
      <w:r>
        <w:rPr>
          <w:rFonts w:ascii="宋体" w:hAnsi="宋体"/>
          <w:szCs w:val="21"/>
        </w:rPr>
        <w:fldChar w:fldCharType="begin"/>
      </w:r>
      <w:r>
        <w:rPr>
          <w:rFonts w:ascii="宋体" w:hAnsi="宋体"/>
          <w:szCs w:val="21"/>
        </w:rPr>
        <w:instrText xml:space="preserve"> PAGEREF _Toc108514185 \h </w:instrText>
      </w:r>
      <w:r>
        <w:rPr>
          <w:rFonts w:ascii="宋体" w:hAnsi="宋体"/>
          <w:szCs w:val="21"/>
        </w:rPr>
        <w:fldChar w:fldCharType="separate"/>
      </w:r>
      <w:r>
        <w:rPr>
          <w:rFonts w:ascii="宋体" w:hAnsi="宋体"/>
          <w:szCs w:val="21"/>
        </w:rPr>
        <w:t>328</w:t>
      </w:r>
      <w:r>
        <w:rPr>
          <w:rFonts w:ascii="宋体" w:hAnsi="宋体"/>
          <w:szCs w:val="21"/>
        </w:rPr>
        <w:fldChar w:fldCharType="end"/>
      </w:r>
    </w:p>
    <w:p w14:paraId="3A8B8751">
      <w:pPr>
        <w:pStyle w:val="8"/>
        <w:tabs>
          <w:tab w:val="right" w:leader="dot" w:pos="8296"/>
        </w:tabs>
        <w:ind w:firstLine="420" w:firstLineChars="200"/>
        <w:rPr>
          <w:rFonts w:ascii="宋体" w:hAnsi="宋体"/>
          <w:szCs w:val="21"/>
        </w:rPr>
      </w:pPr>
      <w:r>
        <w:rPr>
          <w:rFonts w:ascii="宋体" w:hAnsi="宋体"/>
          <w:szCs w:val="21"/>
        </w:rPr>
        <w:t>4.12-5</w:t>
      </w:r>
      <w:r>
        <w:rPr>
          <w:rFonts w:hint="eastAsia" w:ascii="宋体" w:hAnsi="宋体"/>
          <w:szCs w:val="21"/>
        </w:rPr>
        <w:t>总承包服务费计价表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_Toc108514186 \h </w:instrText>
      </w:r>
      <w:r>
        <w:rPr>
          <w:rFonts w:ascii="宋体" w:hAnsi="宋体"/>
          <w:szCs w:val="21"/>
        </w:rPr>
        <w:fldChar w:fldCharType="separate"/>
      </w:r>
      <w:r>
        <w:rPr>
          <w:rFonts w:ascii="宋体" w:hAnsi="宋体"/>
          <w:szCs w:val="21"/>
        </w:rPr>
        <w:t>329</w:t>
      </w:r>
      <w:r>
        <w:rPr>
          <w:rFonts w:ascii="宋体" w:hAnsi="宋体"/>
          <w:szCs w:val="21"/>
        </w:rPr>
        <w:fldChar w:fldCharType="end"/>
      </w:r>
    </w:p>
    <w:p w14:paraId="27EAD34C">
      <w:pPr>
        <w:pStyle w:val="8"/>
        <w:tabs>
          <w:tab w:val="right" w:leader="dot" w:pos="8296"/>
        </w:tabs>
        <w:rPr>
          <w:rFonts w:ascii="宋体" w:hAnsi="宋体"/>
          <w:szCs w:val="21"/>
        </w:rPr>
      </w:pPr>
      <w:r>
        <w:rPr>
          <w:rFonts w:ascii="宋体" w:hAnsi="宋体"/>
          <w:szCs w:val="21"/>
        </w:rPr>
        <w:t>4.13</w:t>
      </w:r>
      <w:r>
        <w:rPr>
          <w:rFonts w:hint="eastAsia" w:ascii="宋体" w:hAnsi="宋体"/>
          <w:szCs w:val="21"/>
        </w:rPr>
        <w:t>规费、税金项目计价表</w:t>
      </w:r>
      <w:r>
        <w:rPr>
          <w:rFonts w:ascii="宋体" w:hAnsi="宋体"/>
          <w:szCs w:val="21"/>
        </w:rPr>
        <w:tab/>
      </w:r>
      <w:r>
        <w:rPr>
          <w:rFonts w:ascii="宋体" w:hAnsi="宋体"/>
          <w:szCs w:val="21"/>
        </w:rPr>
        <w:fldChar w:fldCharType="begin"/>
      </w:r>
      <w:r>
        <w:rPr>
          <w:rFonts w:ascii="宋体" w:hAnsi="宋体"/>
          <w:szCs w:val="21"/>
        </w:rPr>
        <w:instrText xml:space="preserve"> PAGEREF _Toc108514187 \h </w:instrText>
      </w:r>
      <w:r>
        <w:rPr>
          <w:rFonts w:ascii="宋体" w:hAnsi="宋体"/>
          <w:szCs w:val="21"/>
        </w:rPr>
        <w:fldChar w:fldCharType="separate"/>
      </w:r>
      <w:r>
        <w:rPr>
          <w:rFonts w:ascii="宋体" w:hAnsi="宋体"/>
          <w:szCs w:val="21"/>
        </w:rPr>
        <w:t>330</w:t>
      </w:r>
      <w:r>
        <w:rPr>
          <w:rFonts w:ascii="宋体" w:hAnsi="宋体"/>
          <w:szCs w:val="21"/>
        </w:rPr>
        <w:fldChar w:fldCharType="end"/>
      </w:r>
    </w:p>
    <w:p w14:paraId="2F9B706A">
      <w:pPr>
        <w:pStyle w:val="8"/>
        <w:tabs>
          <w:tab w:val="right" w:leader="dot" w:pos="8296"/>
        </w:tabs>
        <w:rPr>
          <w:rFonts w:ascii="宋体" w:hAnsi="宋体"/>
          <w:szCs w:val="21"/>
        </w:rPr>
      </w:pPr>
      <w:r>
        <w:rPr>
          <w:rFonts w:ascii="宋体" w:hAnsi="宋体"/>
          <w:szCs w:val="21"/>
        </w:rPr>
        <w:t>4.14</w:t>
      </w:r>
      <w:r>
        <w:rPr>
          <w:rFonts w:hint="eastAsia" w:ascii="宋体" w:hAnsi="宋体"/>
          <w:szCs w:val="21"/>
        </w:rPr>
        <w:t>发包人提供材料和工程设备一览表</w:t>
      </w:r>
      <w:r>
        <w:rPr>
          <w:rFonts w:ascii="宋体" w:hAnsi="宋体"/>
          <w:szCs w:val="21"/>
        </w:rPr>
        <w:tab/>
      </w:r>
      <w:r>
        <w:rPr>
          <w:rFonts w:ascii="宋体" w:hAnsi="宋体"/>
          <w:szCs w:val="21"/>
        </w:rPr>
        <w:fldChar w:fldCharType="begin"/>
      </w:r>
      <w:r>
        <w:rPr>
          <w:rFonts w:ascii="宋体" w:hAnsi="宋体"/>
          <w:szCs w:val="21"/>
        </w:rPr>
        <w:instrText xml:space="preserve"> PAGEREF _Toc108514188 \h </w:instrText>
      </w:r>
      <w:r>
        <w:rPr>
          <w:rFonts w:ascii="宋体" w:hAnsi="宋体"/>
          <w:szCs w:val="21"/>
        </w:rPr>
        <w:fldChar w:fldCharType="separate"/>
      </w:r>
      <w:r>
        <w:rPr>
          <w:rFonts w:ascii="宋体" w:hAnsi="宋体"/>
          <w:szCs w:val="21"/>
        </w:rPr>
        <w:t>331</w:t>
      </w:r>
      <w:r>
        <w:rPr>
          <w:rFonts w:ascii="宋体" w:hAnsi="宋体"/>
          <w:szCs w:val="21"/>
        </w:rPr>
        <w:fldChar w:fldCharType="end"/>
      </w:r>
    </w:p>
    <w:p w14:paraId="262F9C23">
      <w:pPr>
        <w:pStyle w:val="8"/>
        <w:tabs>
          <w:tab w:val="right" w:leader="dot" w:pos="8296"/>
        </w:tabs>
        <w:rPr>
          <w:rFonts w:ascii="宋体" w:hAnsi="宋体"/>
          <w:szCs w:val="21"/>
        </w:rPr>
      </w:pPr>
      <w:r>
        <w:rPr>
          <w:rFonts w:ascii="宋体" w:hAnsi="宋体"/>
          <w:szCs w:val="21"/>
        </w:rPr>
        <w:t>4.15</w:t>
      </w:r>
      <w:r>
        <w:rPr>
          <w:rFonts w:hint="eastAsia" w:ascii="宋体" w:hAnsi="宋体"/>
          <w:szCs w:val="21"/>
        </w:rPr>
        <w:t>承包人提供主要材料和工程设备一览表（适用于造价信息差额调整法）</w:t>
      </w:r>
      <w:r>
        <w:rPr>
          <w:rFonts w:ascii="宋体" w:hAnsi="宋体"/>
          <w:szCs w:val="21"/>
        </w:rPr>
        <w:tab/>
      </w:r>
      <w:r>
        <w:rPr>
          <w:rFonts w:ascii="宋体" w:hAnsi="宋体"/>
          <w:szCs w:val="21"/>
        </w:rPr>
        <w:fldChar w:fldCharType="begin"/>
      </w:r>
      <w:r>
        <w:rPr>
          <w:rFonts w:ascii="宋体" w:hAnsi="宋体"/>
          <w:szCs w:val="21"/>
        </w:rPr>
        <w:instrText xml:space="preserve"> PAGEREF _Toc108514189 \h </w:instrText>
      </w:r>
      <w:r>
        <w:rPr>
          <w:rFonts w:ascii="宋体" w:hAnsi="宋体"/>
          <w:szCs w:val="21"/>
        </w:rPr>
        <w:fldChar w:fldCharType="separate"/>
      </w:r>
      <w:r>
        <w:rPr>
          <w:rFonts w:ascii="宋体" w:hAnsi="宋体"/>
          <w:szCs w:val="21"/>
        </w:rPr>
        <w:t>332</w:t>
      </w:r>
      <w:r>
        <w:rPr>
          <w:rFonts w:ascii="宋体" w:hAnsi="宋体"/>
          <w:szCs w:val="21"/>
        </w:rPr>
        <w:fldChar w:fldCharType="end"/>
      </w:r>
    </w:p>
    <w:p w14:paraId="7A2C1116">
      <w:pPr>
        <w:pStyle w:val="8"/>
        <w:tabs>
          <w:tab w:val="right" w:leader="dot" w:pos="8296"/>
        </w:tabs>
        <w:rPr>
          <w:rFonts w:ascii="宋体" w:hAnsi="宋体"/>
          <w:szCs w:val="21"/>
        </w:rPr>
      </w:pPr>
      <w:r>
        <w:rPr>
          <w:rFonts w:ascii="宋体" w:hAnsi="宋体"/>
          <w:szCs w:val="21"/>
        </w:rPr>
        <w:t>4.16</w:t>
      </w:r>
      <w:r>
        <w:rPr>
          <w:rFonts w:hint="eastAsia" w:ascii="宋体" w:hAnsi="宋体"/>
          <w:szCs w:val="21"/>
        </w:rPr>
        <w:t>承包人提供主要材料和工程设备一览表（适用于价格指数差额调整法）</w:t>
      </w:r>
      <w:r>
        <w:rPr>
          <w:rFonts w:ascii="宋体" w:hAnsi="宋体"/>
          <w:szCs w:val="21"/>
        </w:rPr>
        <w:tab/>
      </w:r>
      <w:r>
        <w:rPr>
          <w:rFonts w:ascii="宋体" w:hAnsi="宋体"/>
          <w:szCs w:val="21"/>
        </w:rPr>
        <w:fldChar w:fldCharType="begin"/>
      </w:r>
      <w:r>
        <w:rPr>
          <w:rFonts w:ascii="宋体" w:hAnsi="宋体"/>
          <w:szCs w:val="21"/>
        </w:rPr>
        <w:instrText xml:space="preserve"> PAGEREF _Toc108514190 \h </w:instrText>
      </w:r>
      <w:r>
        <w:rPr>
          <w:rFonts w:ascii="宋体" w:hAnsi="宋体"/>
          <w:szCs w:val="21"/>
        </w:rPr>
        <w:fldChar w:fldCharType="separate"/>
      </w:r>
      <w:r>
        <w:rPr>
          <w:rFonts w:ascii="宋体" w:hAnsi="宋体"/>
          <w:szCs w:val="21"/>
        </w:rPr>
        <w:t>333</w:t>
      </w:r>
      <w:r>
        <w:rPr>
          <w:rFonts w:ascii="宋体" w:hAnsi="宋体"/>
          <w:szCs w:val="21"/>
        </w:rPr>
        <w:fldChar w:fldCharType="end"/>
      </w:r>
    </w:p>
    <w:p w14:paraId="7E6C71DF">
      <w:pPr>
        <w:pStyle w:val="12"/>
        <w:rPr>
          <w:rFonts w:ascii="宋体" w:hAnsi="宋体" w:eastAsia="宋体"/>
          <w:b w:val="0"/>
          <w:sz w:val="21"/>
          <w:szCs w:val="21"/>
        </w:rPr>
      </w:pPr>
      <w:r>
        <w:rPr>
          <w:rFonts w:hint="eastAsia" w:ascii="宋体" w:hAnsi="宋体" w:eastAsia="宋体"/>
          <w:b w:val="0"/>
          <w:sz w:val="21"/>
          <w:szCs w:val="21"/>
        </w:rPr>
        <w:t>第二卷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_Toc108514191 \h </w:instrText>
      </w:r>
      <w:r>
        <w:rPr>
          <w:rFonts w:ascii="宋体" w:hAnsi="宋体" w:eastAsia="宋体"/>
          <w:b w:val="0"/>
          <w:sz w:val="21"/>
          <w:szCs w:val="21"/>
        </w:rPr>
        <w:fldChar w:fldCharType="separate"/>
      </w:r>
      <w:r>
        <w:rPr>
          <w:rFonts w:ascii="宋体" w:hAnsi="宋体" w:eastAsia="宋体"/>
          <w:b w:val="0"/>
          <w:sz w:val="21"/>
          <w:szCs w:val="21"/>
        </w:rPr>
        <w:t>334</w:t>
      </w:r>
      <w:r>
        <w:rPr>
          <w:rFonts w:ascii="宋体" w:hAnsi="宋体" w:eastAsia="宋体"/>
          <w:b w:val="0"/>
          <w:sz w:val="21"/>
          <w:szCs w:val="21"/>
        </w:rPr>
        <w:fldChar w:fldCharType="end"/>
      </w:r>
    </w:p>
    <w:p w14:paraId="504E97C8">
      <w:pPr>
        <w:pStyle w:val="12"/>
        <w:rPr>
          <w:rFonts w:ascii="宋体" w:hAnsi="宋体" w:eastAsia="宋体"/>
          <w:b w:val="0"/>
          <w:sz w:val="21"/>
          <w:szCs w:val="21"/>
        </w:rPr>
      </w:pPr>
      <w:r>
        <w:rPr>
          <w:rFonts w:hint="eastAsia" w:ascii="宋体" w:hAnsi="宋体" w:eastAsia="宋体"/>
          <w:b w:val="0"/>
          <w:sz w:val="21"/>
          <w:szCs w:val="21"/>
        </w:rPr>
        <w:t>第六章</w:t>
      </w:r>
      <w:r>
        <w:rPr>
          <w:rFonts w:ascii="宋体" w:hAnsi="宋体" w:eastAsia="宋体"/>
          <w:b w:val="0"/>
          <w:sz w:val="21"/>
          <w:szCs w:val="21"/>
        </w:rPr>
        <w:t xml:space="preserve">  </w:t>
      </w:r>
      <w:r>
        <w:rPr>
          <w:rFonts w:hint="eastAsia" w:ascii="宋体" w:hAnsi="宋体" w:eastAsia="宋体"/>
          <w:b w:val="0"/>
          <w:sz w:val="21"/>
          <w:szCs w:val="21"/>
        </w:rPr>
        <w:t>图</w:t>
      </w:r>
      <w:r>
        <w:rPr>
          <w:rFonts w:ascii="宋体" w:hAnsi="宋体" w:eastAsia="宋体"/>
          <w:b w:val="0"/>
          <w:sz w:val="21"/>
          <w:szCs w:val="21"/>
        </w:rPr>
        <w:t xml:space="preserve">  </w:t>
      </w:r>
      <w:r>
        <w:rPr>
          <w:rFonts w:hint="eastAsia" w:ascii="宋体" w:hAnsi="宋体" w:eastAsia="宋体"/>
          <w:b w:val="0"/>
          <w:sz w:val="21"/>
          <w:szCs w:val="21"/>
        </w:rPr>
        <w:t>纸</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_Toc108514192 \h </w:instrText>
      </w:r>
      <w:r>
        <w:rPr>
          <w:rFonts w:ascii="宋体" w:hAnsi="宋体" w:eastAsia="宋体"/>
          <w:b w:val="0"/>
          <w:sz w:val="21"/>
          <w:szCs w:val="21"/>
        </w:rPr>
        <w:fldChar w:fldCharType="separate"/>
      </w:r>
      <w:r>
        <w:rPr>
          <w:rFonts w:ascii="宋体" w:hAnsi="宋体" w:eastAsia="宋体"/>
          <w:b w:val="0"/>
          <w:sz w:val="21"/>
          <w:szCs w:val="21"/>
        </w:rPr>
        <w:t>335</w:t>
      </w:r>
      <w:r>
        <w:rPr>
          <w:rFonts w:ascii="宋体" w:hAnsi="宋体" w:eastAsia="宋体"/>
          <w:b w:val="0"/>
          <w:sz w:val="21"/>
          <w:szCs w:val="21"/>
        </w:rPr>
        <w:fldChar w:fldCharType="end"/>
      </w:r>
    </w:p>
    <w:p w14:paraId="6071DA12">
      <w:pPr>
        <w:pStyle w:val="13"/>
        <w:tabs>
          <w:tab w:val="right" w:leader="dot" w:pos="8296"/>
        </w:tabs>
        <w:rPr>
          <w:rFonts w:ascii="宋体" w:hAnsi="宋体" w:eastAsia="宋体"/>
          <w:sz w:val="21"/>
          <w:szCs w:val="21"/>
        </w:rPr>
      </w:pPr>
      <w:r>
        <w:rPr>
          <w:rFonts w:ascii="宋体" w:hAnsi="宋体" w:eastAsia="宋体"/>
          <w:sz w:val="21"/>
          <w:szCs w:val="21"/>
        </w:rPr>
        <w:t>1</w:t>
      </w:r>
      <w:r>
        <w:rPr>
          <w:rFonts w:hint="eastAsia" w:ascii="宋体" w:hAnsi="宋体" w:eastAsia="宋体"/>
          <w:sz w:val="21"/>
          <w:szCs w:val="21"/>
        </w:rPr>
        <w:t>．图纸目录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_Toc108514193 \h </w:instrText>
      </w:r>
      <w:r>
        <w:rPr>
          <w:rFonts w:ascii="宋体" w:hAnsi="宋体" w:eastAsia="宋体"/>
          <w:sz w:val="21"/>
          <w:szCs w:val="21"/>
        </w:rPr>
        <w:fldChar w:fldCharType="separate"/>
      </w:r>
      <w:r>
        <w:rPr>
          <w:rFonts w:ascii="宋体" w:hAnsi="宋体" w:eastAsia="宋体"/>
          <w:sz w:val="21"/>
          <w:szCs w:val="21"/>
        </w:rPr>
        <w:t>336</w:t>
      </w:r>
      <w:r>
        <w:rPr>
          <w:rFonts w:ascii="宋体" w:hAnsi="宋体" w:eastAsia="宋体"/>
          <w:sz w:val="21"/>
          <w:szCs w:val="21"/>
        </w:rPr>
        <w:fldChar w:fldCharType="end"/>
      </w:r>
    </w:p>
    <w:p w14:paraId="31B5A97B">
      <w:pPr>
        <w:pStyle w:val="13"/>
        <w:tabs>
          <w:tab w:val="right" w:leader="dot" w:pos="8296"/>
        </w:tabs>
        <w:rPr>
          <w:rFonts w:ascii="宋体" w:hAnsi="宋体" w:eastAsia="宋体"/>
          <w:sz w:val="21"/>
          <w:szCs w:val="21"/>
        </w:rPr>
      </w:pPr>
      <w:r>
        <w:rPr>
          <w:rFonts w:ascii="宋体" w:hAnsi="宋体" w:eastAsia="宋体"/>
          <w:sz w:val="21"/>
          <w:szCs w:val="21"/>
        </w:rPr>
        <w:t>2</w:t>
      </w:r>
      <w:r>
        <w:rPr>
          <w:rFonts w:hint="eastAsia" w:ascii="宋体" w:hAnsi="宋体" w:eastAsia="宋体"/>
          <w:sz w:val="21"/>
          <w:szCs w:val="21"/>
        </w:rPr>
        <w:t>．图</w:t>
      </w:r>
      <w:r>
        <w:rPr>
          <w:rFonts w:ascii="宋体" w:hAnsi="宋体" w:eastAsia="宋体"/>
          <w:sz w:val="21"/>
          <w:szCs w:val="21"/>
        </w:rPr>
        <w:t xml:space="preserve">  </w:t>
      </w:r>
      <w:r>
        <w:rPr>
          <w:rFonts w:hint="eastAsia" w:ascii="宋体" w:hAnsi="宋体" w:eastAsia="宋体"/>
          <w:sz w:val="21"/>
          <w:szCs w:val="21"/>
        </w:rPr>
        <w:t>纸</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_Toc108514194 \h </w:instrText>
      </w:r>
      <w:r>
        <w:rPr>
          <w:rFonts w:ascii="宋体" w:hAnsi="宋体" w:eastAsia="宋体"/>
          <w:sz w:val="21"/>
          <w:szCs w:val="21"/>
        </w:rPr>
        <w:fldChar w:fldCharType="separate"/>
      </w:r>
      <w:r>
        <w:rPr>
          <w:rFonts w:ascii="宋体" w:hAnsi="宋体" w:eastAsia="宋体"/>
          <w:sz w:val="21"/>
          <w:szCs w:val="21"/>
        </w:rPr>
        <w:t>337</w:t>
      </w:r>
      <w:r>
        <w:rPr>
          <w:rFonts w:ascii="宋体" w:hAnsi="宋体" w:eastAsia="宋体"/>
          <w:sz w:val="21"/>
          <w:szCs w:val="21"/>
        </w:rPr>
        <w:fldChar w:fldCharType="end"/>
      </w:r>
    </w:p>
    <w:p w14:paraId="7ADF133B">
      <w:pPr>
        <w:pStyle w:val="12"/>
        <w:rPr>
          <w:rFonts w:ascii="宋体" w:hAnsi="宋体" w:eastAsia="宋体"/>
          <w:b w:val="0"/>
          <w:sz w:val="21"/>
          <w:szCs w:val="21"/>
        </w:rPr>
      </w:pPr>
      <w:r>
        <w:rPr>
          <w:rFonts w:hint="eastAsia" w:ascii="宋体" w:hAnsi="宋体" w:eastAsia="宋体"/>
          <w:b w:val="0"/>
          <w:sz w:val="21"/>
          <w:szCs w:val="21"/>
        </w:rPr>
        <w:t>第三卷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_Toc108514195 \h </w:instrText>
      </w:r>
      <w:r>
        <w:rPr>
          <w:rFonts w:ascii="宋体" w:hAnsi="宋体" w:eastAsia="宋体"/>
          <w:b w:val="0"/>
          <w:sz w:val="21"/>
          <w:szCs w:val="21"/>
        </w:rPr>
        <w:fldChar w:fldCharType="separate"/>
      </w:r>
      <w:r>
        <w:rPr>
          <w:rFonts w:ascii="宋体" w:hAnsi="宋体" w:eastAsia="宋体"/>
          <w:b w:val="0"/>
          <w:sz w:val="21"/>
          <w:szCs w:val="21"/>
        </w:rPr>
        <w:t>338</w:t>
      </w:r>
      <w:r>
        <w:rPr>
          <w:rFonts w:ascii="宋体" w:hAnsi="宋体" w:eastAsia="宋体"/>
          <w:b w:val="0"/>
          <w:sz w:val="21"/>
          <w:szCs w:val="21"/>
        </w:rPr>
        <w:fldChar w:fldCharType="end"/>
      </w:r>
    </w:p>
    <w:p w14:paraId="4A3F2F1B">
      <w:pPr>
        <w:pStyle w:val="12"/>
        <w:rPr>
          <w:rFonts w:ascii="宋体" w:hAnsi="宋体" w:eastAsia="宋体"/>
          <w:b w:val="0"/>
          <w:sz w:val="21"/>
          <w:szCs w:val="21"/>
        </w:rPr>
      </w:pPr>
      <w:r>
        <w:rPr>
          <w:rFonts w:hint="eastAsia" w:ascii="宋体" w:hAnsi="宋体" w:eastAsia="宋体"/>
          <w:b w:val="0"/>
          <w:sz w:val="21"/>
          <w:szCs w:val="21"/>
        </w:rPr>
        <w:t>第七章</w:t>
      </w:r>
      <w:r>
        <w:rPr>
          <w:rFonts w:ascii="宋体" w:hAnsi="宋体" w:eastAsia="宋体"/>
          <w:b w:val="0"/>
          <w:sz w:val="21"/>
          <w:szCs w:val="21"/>
        </w:rPr>
        <w:t xml:space="preserve">  </w:t>
      </w:r>
      <w:r>
        <w:rPr>
          <w:rFonts w:hint="eastAsia" w:ascii="宋体" w:hAnsi="宋体" w:eastAsia="宋体"/>
          <w:b w:val="0"/>
          <w:sz w:val="21"/>
          <w:szCs w:val="21"/>
        </w:rPr>
        <w:t>技术标准和要求</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_Toc108514196 \h </w:instrText>
      </w:r>
      <w:r>
        <w:rPr>
          <w:rFonts w:ascii="宋体" w:hAnsi="宋体" w:eastAsia="宋体"/>
          <w:b w:val="0"/>
          <w:sz w:val="21"/>
          <w:szCs w:val="21"/>
        </w:rPr>
        <w:fldChar w:fldCharType="separate"/>
      </w:r>
      <w:r>
        <w:rPr>
          <w:rFonts w:ascii="宋体" w:hAnsi="宋体" w:eastAsia="宋体"/>
          <w:b w:val="0"/>
          <w:sz w:val="21"/>
          <w:szCs w:val="21"/>
        </w:rPr>
        <w:t>339</w:t>
      </w:r>
      <w:r>
        <w:rPr>
          <w:rFonts w:ascii="宋体" w:hAnsi="宋体" w:eastAsia="宋体"/>
          <w:b w:val="0"/>
          <w:sz w:val="21"/>
          <w:szCs w:val="21"/>
        </w:rPr>
        <w:fldChar w:fldCharType="end"/>
      </w:r>
    </w:p>
    <w:p w14:paraId="4549A7B5">
      <w:pPr>
        <w:pStyle w:val="13"/>
        <w:tabs>
          <w:tab w:val="right" w:leader="dot" w:pos="8296"/>
        </w:tabs>
        <w:rPr>
          <w:rFonts w:ascii="宋体" w:hAnsi="宋体" w:eastAsia="宋体"/>
          <w:sz w:val="21"/>
          <w:szCs w:val="21"/>
        </w:rPr>
      </w:pPr>
      <w:r>
        <w:rPr>
          <w:rFonts w:hint="eastAsia" w:ascii="宋体" w:hAnsi="宋体" w:eastAsia="宋体"/>
          <w:sz w:val="21"/>
          <w:szCs w:val="21"/>
        </w:rPr>
        <w:t>第一节</w:t>
      </w:r>
      <w:r>
        <w:rPr>
          <w:rFonts w:ascii="宋体" w:hAnsi="宋体" w:eastAsia="宋体"/>
          <w:sz w:val="21"/>
          <w:szCs w:val="21"/>
        </w:rPr>
        <w:t xml:space="preserve"> </w:t>
      </w:r>
      <w:r>
        <w:rPr>
          <w:rFonts w:hint="eastAsia" w:ascii="宋体" w:hAnsi="宋体" w:eastAsia="宋体"/>
          <w:sz w:val="21"/>
          <w:szCs w:val="21"/>
        </w:rPr>
        <w:t>一般要求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_Toc108514197 \h </w:instrText>
      </w:r>
      <w:r>
        <w:rPr>
          <w:rFonts w:ascii="宋体" w:hAnsi="宋体" w:eastAsia="宋体"/>
          <w:sz w:val="21"/>
          <w:szCs w:val="21"/>
        </w:rPr>
        <w:fldChar w:fldCharType="separate"/>
      </w:r>
      <w:r>
        <w:rPr>
          <w:rFonts w:ascii="宋体" w:hAnsi="宋体" w:eastAsia="宋体"/>
          <w:sz w:val="21"/>
          <w:szCs w:val="21"/>
        </w:rPr>
        <w:t>340</w:t>
      </w:r>
      <w:r>
        <w:rPr>
          <w:rFonts w:ascii="宋体" w:hAnsi="宋体" w:eastAsia="宋体"/>
          <w:sz w:val="21"/>
          <w:szCs w:val="21"/>
        </w:rPr>
        <w:fldChar w:fldCharType="end"/>
      </w:r>
    </w:p>
    <w:p w14:paraId="6154C20B">
      <w:pPr>
        <w:pStyle w:val="8"/>
        <w:tabs>
          <w:tab w:val="right" w:leader="dot" w:pos="8296"/>
        </w:tabs>
        <w:rPr>
          <w:rFonts w:ascii="宋体" w:hAnsi="宋体"/>
          <w:szCs w:val="21"/>
        </w:rPr>
      </w:pPr>
      <w:r>
        <w:rPr>
          <w:rFonts w:ascii="宋体" w:hAnsi="宋体"/>
          <w:szCs w:val="21"/>
        </w:rPr>
        <w:t xml:space="preserve">1. </w:t>
      </w:r>
      <w:r>
        <w:rPr>
          <w:rFonts w:hint="eastAsia" w:ascii="宋体" w:hAnsi="宋体"/>
          <w:szCs w:val="21"/>
        </w:rPr>
        <w:t>工程说明</w:t>
      </w:r>
      <w:r>
        <w:rPr>
          <w:rFonts w:ascii="宋体" w:hAnsi="宋体"/>
          <w:szCs w:val="21"/>
        </w:rPr>
        <w:tab/>
      </w:r>
      <w:r>
        <w:rPr>
          <w:rFonts w:ascii="宋体" w:hAnsi="宋体"/>
          <w:szCs w:val="21"/>
        </w:rPr>
        <w:fldChar w:fldCharType="begin"/>
      </w:r>
      <w:r>
        <w:rPr>
          <w:rFonts w:ascii="宋体" w:hAnsi="宋体"/>
          <w:szCs w:val="21"/>
        </w:rPr>
        <w:instrText xml:space="preserve"> PAGEREF _Toc108514198 \h </w:instrText>
      </w:r>
      <w:r>
        <w:rPr>
          <w:rFonts w:ascii="宋体" w:hAnsi="宋体"/>
          <w:szCs w:val="21"/>
        </w:rPr>
        <w:fldChar w:fldCharType="separate"/>
      </w:r>
      <w:r>
        <w:rPr>
          <w:rFonts w:ascii="宋体" w:hAnsi="宋体"/>
          <w:szCs w:val="21"/>
        </w:rPr>
        <w:t>340</w:t>
      </w:r>
      <w:r>
        <w:rPr>
          <w:rFonts w:ascii="宋体" w:hAnsi="宋体"/>
          <w:szCs w:val="21"/>
        </w:rPr>
        <w:fldChar w:fldCharType="end"/>
      </w:r>
    </w:p>
    <w:p w14:paraId="0E225BE3">
      <w:pPr>
        <w:pStyle w:val="8"/>
        <w:tabs>
          <w:tab w:val="right" w:leader="dot" w:pos="8296"/>
        </w:tabs>
        <w:rPr>
          <w:rFonts w:ascii="宋体" w:hAnsi="宋体"/>
          <w:szCs w:val="21"/>
        </w:rPr>
      </w:pPr>
      <w:r>
        <w:rPr>
          <w:rFonts w:ascii="宋体" w:hAnsi="宋体"/>
          <w:szCs w:val="21"/>
        </w:rPr>
        <w:t xml:space="preserve">2. </w:t>
      </w:r>
      <w:r>
        <w:rPr>
          <w:rFonts w:hint="eastAsia" w:ascii="宋体" w:hAnsi="宋体"/>
          <w:szCs w:val="21"/>
        </w:rPr>
        <w:t>承包范围</w:t>
      </w:r>
      <w:r>
        <w:rPr>
          <w:rFonts w:ascii="宋体" w:hAnsi="宋体"/>
          <w:szCs w:val="21"/>
        </w:rPr>
        <w:tab/>
      </w:r>
      <w:r>
        <w:rPr>
          <w:rFonts w:ascii="宋体" w:hAnsi="宋体"/>
          <w:szCs w:val="21"/>
        </w:rPr>
        <w:fldChar w:fldCharType="begin"/>
      </w:r>
      <w:r>
        <w:rPr>
          <w:rFonts w:ascii="宋体" w:hAnsi="宋体"/>
          <w:szCs w:val="21"/>
        </w:rPr>
        <w:instrText xml:space="preserve"> PAGEREF _Toc108514199 \h </w:instrText>
      </w:r>
      <w:r>
        <w:rPr>
          <w:rFonts w:ascii="宋体" w:hAnsi="宋体"/>
          <w:szCs w:val="21"/>
        </w:rPr>
        <w:fldChar w:fldCharType="separate"/>
      </w:r>
      <w:r>
        <w:rPr>
          <w:rFonts w:ascii="宋体" w:hAnsi="宋体"/>
          <w:szCs w:val="21"/>
        </w:rPr>
        <w:t>341</w:t>
      </w:r>
      <w:r>
        <w:rPr>
          <w:rFonts w:ascii="宋体" w:hAnsi="宋体"/>
          <w:szCs w:val="21"/>
        </w:rPr>
        <w:fldChar w:fldCharType="end"/>
      </w:r>
    </w:p>
    <w:p w14:paraId="57675EDF">
      <w:pPr>
        <w:pStyle w:val="8"/>
        <w:tabs>
          <w:tab w:val="right" w:leader="dot" w:pos="8296"/>
        </w:tabs>
        <w:rPr>
          <w:rFonts w:ascii="宋体" w:hAnsi="宋体"/>
          <w:szCs w:val="21"/>
        </w:rPr>
      </w:pPr>
      <w:r>
        <w:rPr>
          <w:rFonts w:ascii="宋体" w:hAnsi="宋体"/>
          <w:szCs w:val="21"/>
        </w:rPr>
        <w:t xml:space="preserve">3. </w:t>
      </w:r>
      <w:r>
        <w:rPr>
          <w:rFonts w:hint="eastAsia" w:ascii="宋体" w:hAnsi="宋体"/>
          <w:szCs w:val="21"/>
        </w:rPr>
        <w:t>工期要求</w:t>
      </w:r>
      <w:r>
        <w:rPr>
          <w:rFonts w:ascii="宋体" w:hAnsi="宋体"/>
          <w:szCs w:val="21"/>
        </w:rPr>
        <w:tab/>
      </w:r>
      <w:r>
        <w:rPr>
          <w:rFonts w:ascii="宋体" w:hAnsi="宋体"/>
          <w:szCs w:val="21"/>
        </w:rPr>
        <w:fldChar w:fldCharType="begin"/>
      </w:r>
      <w:r>
        <w:rPr>
          <w:rFonts w:ascii="宋体" w:hAnsi="宋体"/>
          <w:szCs w:val="21"/>
        </w:rPr>
        <w:instrText xml:space="preserve"> PAGEREF _Toc108514200 \h </w:instrText>
      </w:r>
      <w:r>
        <w:rPr>
          <w:rFonts w:ascii="宋体" w:hAnsi="宋体"/>
          <w:szCs w:val="21"/>
        </w:rPr>
        <w:fldChar w:fldCharType="separate"/>
      </w:r>
      <w:r>
        <w:rPr>
          <w:rFonts w:ascii="宋体" w:hAnsi="宋体"/>
          <w:szCs w:val="21"/>
        </w:rPr>
        <w:t>342</w:t>
      </w:r>
      <w:r>
        <w:rPr>
          <w:rFonts w:ascii="宋体" w:hAnsi="宋体"/>
          <w:szCs w:val="21"/>
        </w:rPr>
        <w:fldChar w:fldCharType="end"/>
      </w:r>
    </w:p>
    <w:p w14:paraId="6A164AD9">
      <w:pPr>
        <w:pStyle w:val="8"/>
        <w:tabs>
          <w:tab w:val="right" w:leader="dot" w:pos="8296"/>
        </w:tabs>
        <w:rPr>
          <w:rFonts w:ascii="宋体" w:hAnsi="宋体"/>
          <w:szCs w:val="21"/>
        </w:rPr>
      </w:pPr>
      <w:r>
        <w:rPr>
          <w:rFonts w:ascii="宋体" w:hAnsi="宋体"/>
          <w:szCs w:val="21"/>
        </w:rPr>
        <w:t xml:space="preserve">4. </w:t>
      </w:r>
      <w:r>
        <w:rPr>
          <w:rFonts w:hint="eastAsia" w:ascii="宋体" w:hAnsi="宋体"/>
          <w:szCs w:val="21"/>
        </w:rPr>
        <w:t>质量要求</w:t>
      </w:r>
      <w:r>
        <w:rPr>
          <w:rFonts w:ascii="宋体" w:hAnsi="宋体"/>
          <w:szCs w:val="21"/>
        </w:rPr>
        <w:tab/>
      </w:r>
      <w:r>
        <w:rPr>
          <w:rFonts w:ascii="宋体" w:hAnsi="宋体"/>
          <w:szCs w:val="21"/>
        </w:rPr>
        <w:fldChar w:fldCharType="begin"/>
      </w:r>
      <w:r>
        <w:rPr>
          <w:rFonts w:ascii="宋体" w:hAnsi="宋体"/>
          <w:szCs w:val="21"/>
        </w:rPr>
        <w:instrText xml:space="preserve"> PAGEREF _Toc108514201 \h </w:instrText>
      </w:r>
      <w:r>
        <w:rPr>
          <w:rFonts w:ascii="宋体" w:hAnsi="宋体"/>
          <w:szCs w:val="21"/>
        </w:rPr>
        <w:fldChar w:fldCharType="separate"/>
      </w:r>
      <w:r>
        <w:rPr>
          <w:rFonts w:ascii="宋体" w:hAnsi="宋体"/>
          <w:szCs w:val="21"/>
        </w:rPr>
        <w:t>342</w:t>
      </w:r>
      <w:r>
        <w:rPr>
          <w:rFonts w:ascii="宋体" w:hAnsi="宋体"/>
          <w:szCs w:val="21"/>
        </w:rPr>
        <w:fldChar w:fldCharType="end"/>
      </w:r>
    </w:p>
    <w:p w14:paraId="3E02C755">
      <w:pPr>
        <w:pStyle w:val="8"/>
        <w:tabs>
          <w:tab w:val="right" w:leader="dot" w:pos="8296"/>
        </w:tabs>
        <w:rPr>
          <w:rFonts w:ascii="宋体" w:hAnsi="宋体"/>
          <w:szCs w:val="21"/>
        </w:rPr>
      </w:pPr>
      <w:r>
        <w:rPr>
          <w:rFonts w:ascii="宋体" w:hAnsi="宋体"/>
          <w:szCs w:val="21"/>
        </w:rPr>
        <w:t xml:space="preserve">5. </w:t>
      </w:r>
      <w:r>
        <w:rPr>
          <w:rFonts w:hint="eastAsia" w:ascii="宋体" w:hAnsi="宋体"/>
          <w:szCs w:val="21"/>
        </w:rPr>
        <w:t>适用规范和标准</w:t>
      </w:r>
      <w:r>
        <w:rPr>
          <w:rFonts w:ascii="宋体" w:hAnsi="宋体"/>
          <w:szCs w:val="21"/>
        </w:rPr>
        <w:tab/>
      </w:r>
      <w:r>
        <w:rPr>
          <w:rFonts w:ascii="宋体" w:hAnsi="宋体"/>
          <w:szCs w:val="21"/>
        </w:rPr>
        <w:fldChar w:fldCharType="begin"/>
      </w:r>
      <w:r>
        <w:rPr>
          <w:rFonts w:ascii="宋体" w:hAnsi="宋体"/>
          <w:szCs w:val="21"/>
        </w:rPr>
        <w:instrText xml:space="preserve"> PAGEREF _Toc108514202 \h </w:instrText>
      </w:r>
      <w:r>
        <w:rPr>
          <w:rFonts w:ascii="宋体" w:hAnsi="宋体"/>
          <w:szCs w:val="21"/>
        </w:rPr>
        <w:fldChar w:fldCharType="separate"/>
      </w:r>
      <w:r>
        <w:rPr>
          <w:rFonts w:ascii="宋体" w:hAnsi="宋体"/>
          <w:szCs w:val="21"/>
        </w:rPr>
        <w:t>343</w:t>
      </w:r>
      <w:r>
        <w:rPr>
          <w:rFonts w:ascii="宋体" w:hAnsi="宋体"/>
          <w:szCs w:val="21"/>
        </w:rPr>
        <w:fldChar w:fldCharType="end"/>
      </w:r>
    </w:p>
    <w:p w14:paraId="05815A56">
      <w:pPr>
        <w:pStyle w:val="8"/>
        <w:tabs>
          <w:tab w:val="right" w:leader="dot" w:pos="8296"/>
        </w:tabs>
        <w:rPr>
          <w:rFonts w:ascii="宋体" w:hAnsi="宋体"/>
          <w:szCs w:val="21"/>
        </w:rPr>
      </w:pPr>
      <w:r>
        <w:rPr>
          <w:rFonts w:ascii="宋体" w:hAnsi="宋体"/>
          <w:szCs w:val="21"/>
        </w:rPr>
        <w:t xml:space="preserve">6. </w:t>
      </w:r>
      <w:r>
        <w:rPr>
          <w:rFonts w:hint="eastAsia" w:ascii="宋体" w:hAnsi="宋体"/>
          <w:szCs w:val="21"/>
        </w:rPr>
        <w:t>安全文明施工</w:t>
      </w:r>
      <w:r>
        <w:rPr>
          <w:rFonts w:ascii="宋体" w:hAnsi="宋体"/>
          <w:szCs w:val="21"/>
        </w:rPr>
        <w:tab/>
      </w:r>
      <w:r>
        <w:rPr>
          <w:rFonts w:ascii="宋体" w:hAnsi="宋体"/>
          <w:szCs w:val="21"/>
        </w:rPr>
        <w:fldChar w:fldCharType="begin"/>
      </w:r>
      <w:r>
        <w:rPr>
          <w:rFonts w:ascii="宋体" w:hAnsi="宋体"/>
          <w:szCs w:val="21"/>
        </w:rPr>
        <w:instrText xml:space="preserve"> PAGEREF _Toc108514203 \h </w:instrText>
      </w:r>
      <w:r>
        <w:rPr>
          <w:rFonts w:ascii="宋体" w:hAnsi="宋体"/>
          <w:szCs w:val="21"/>
        </w:rPr>
        <w:fldChar w:fldCharType="separate"/>
      </w:r>
      <w:r>
        <w:rPr>
          <w:rFonts w:ascii="宋体" w:hAnsi="宋体"/>
          <w:szCs w:val="21"/>
        </w:rPr>
        <w:t>343</w:t>
      </w:r>
      <w:r>
        <w:rPr>
          <w:rFonts w:ascii="宋体" w:hAnsi="宋体"/>
          <w:szCs w:val="21"/>
        </w:rPr>
        <w:fldChar w:fldCharType="end"/>
      </w:r>
    </w:p>
    <w:p w14:paraId="384467F4">
      <w:pPr>
        <w:pStyle w:val="8"/>
        <w:tabs>
          <w:tab w:val="right" w:leader="dot" w:pos="8296"/>
        </w:tabs>
        <w:rPr>
          <w:rFonts w:ascii="宋体" w:hAnsi="宋体"/>
          <w:szCs w:val="21"/>
        </w:rPr>
      </w:pPr>
      <w:r>
        <w:rPr>
          <w:rFonts w:ascii="宋体" w:hAnsi="宋体"/>
          <w:szCs w:val="21"/>
        </w:rPr>
        <w:t xml:space="preserve">7. </w:t>
      </w:r>
      <w:r>
        <w:rPr>
          <w:rFonts w:hint="eastAsia" w:ascii="宋体" w:hAnsi="宋体"/>
          <w:szCs w:val="21"/>
        </w:rPr>
        <w:t>治安保卫</w:t>
      </w:r>
      <w:r>
        <w:rPr>
          <w:rFonts w:ascii="宋体" w:hAnsi="宋体"/>
          <w:szCs w:val="21"/>
        </w:rPr>
        <w:tab/>
      </w:r>
      <w:r>
        <w:rPr>
          <w:rFonts w:ascii="宋体" w:hAnsi="宋体"/>
          <w:szCs w:val="21"/>
        </w:rPr>
        <w:fldChar w:fldCharType="begin"/>
      </w:r>
      <w:r>
        <w:rPr>
          <w:rFonts w:ascii="宋体" w:hAnsi="宋体"/>
          <w:szCs w:val="21"/>
        </w:rPr>
        <w:instrText xml:space="preserve"> PAGEREF _Toc108514204 \h </w:instrText>
      </w:r>
      <w:r>
        <w:rPr>
          <w:rFonts w:ascii="宋体" w:hAnsi="宋体"/>
          <w:szCs w:val="21"/>
        </w:rPr>
        <w:fldChar w:fldCharType="separate"/>
      </w:r>
      <w:r>
        <w:rPr>
          <w:rFonts w:ascii="宋体" w:hAnsi="宋体"/>
          <w:szCs w:val="21"/>
        </w:rPr>
        <w:t>352</w:t>
      </w:r>
      <w:r>
        <w:rPr>
          <w:rFonts w:ascii="宋体" w:hAnsi="宋体"/>
          <w:szCs w:val="21"/>
        </w:rPr>
        <w:fldChar w:fldCharType="end"/>
      </w:r>
    </w:p>
    <w:p w14:paraId="44D5C629">
      <w:pPr>
        <w:pStyle w:val="8"/>
        <w:tabs>
          <w:tab w:val="right" w:leader="dot" w:pos="8296"/>
        </w:tabs>
        <w:rPr>
          <w:rFonts w:ascii="宋体" w:hAnsi="宋体"/>
          <w:szCs w:val="21"/>
        </w:rPr>
      </w:pPr>
      <w:r>
        <w:rPr>
          <w:rFonts w:ascii="宋体" w:hAnsi="宋体"/>
          <w:szCs w:val="21"/>
        </w:rPr>
        <w:t xml:space="preserve">8. </w:t>
      </w:r>
      <w:r>
        <w:rPr>
          <w:rFonts w:hint="eastAsia" w:ascii="宋体" w:hAnsi="宋体"/>
          <w:szCs w:val="21"/>
        </w:rPr>
        <w:t>地上、地下设施和周边建筑物的临时保护</w:t>
      </w:r>
      <w:r>
        <w:rPr>
          <w:rFonts w:ascii="宋体" w:hAnsi="宋体"/>
          <w:szCs w:val="21"/>
        </w:rPr>
        <w:tab/>
      </w:r>
      <w:r>
        <w:rPr>
          <w:rFonts w:ascii="宋体" w:hAnsi="宋体"/>
          <w:szCs w:val="21"/>
        </w:rPr>
        <w:fldChar w:fldCharType="begin"/>
      </w:r>
      <w:r>
        <w:rPr>
          <w:rFonts w:ascii="宋体" w:hAnsi="宋体"/>
          <w:szCs w:val="21"/>
        </w:rPr>
        <w:instrText xml:space="preserve"> PAGEREF _Toc108514205 \h </w:instrText>
      </w:r>
      <w:r>
        <w:rPr>
          <w:rFonts w:ascii="宋体" w:hAnsi="宋体"/>
          <w:szCs w:val="21"/>
        </w:rPr>
        <w:fldChar w:fldCharType="separate"/>
      </w:r>
      <w:r>
        <w:rPr>
          <w:rFonts w:ascii="宋体" w:hAnsi="宋体"/>
          <w:szCs w:val="21"/>
        </w:rPr>
        <w:t>353</w:t>
      </w:r>
      <w:r>
        <w:rPr>
          <w:rFonts w:ascii="宋体" w:hAnsi="宋体"/>
          <w:szCs w:val="21"/>
        </w:rPr>
        <w:fldChar w:fldCharType="end"/>
      </w:r>
    </w:p>
    <w:p w14:paraId="49A10A7F">
      <w:pPr>
        <w:pStyle w:val="8"/>
        <w:tabs>
          <w:tab w:val="right" w:leader="dot" w:pos="8296"/>
        </w:tabs>
        <w:rPr>
          <w:rFonts w:ascii="宋体" w:hAnsi="宋体"/>
          <w:szCs w:val="21"/>
        </w:rPr>
      </w:pPr>
      <w:r>
        <w:rPr>
          <w:rFonts w:ascii="宋体" w:hAnsi="宋体"/>
          <w:szCs w:val="21"/>
        </w:rPr>
        <w:t xml:space="preserve">9. </w:t>
      </w:r>
      <w:r>
        <w:rPr>
          <w:rFonts w:hint="eastAsia" w:ascii="宋体" w:hAnsi="宋体"/>
          <w:szCs w:val="21"/>
        </w:rPr>
        <w:t>样品和材料代换</w:t>
      </w:r>
      <w:r>
        <w:rPr>
          <w:rFonts w:ascii="宋体" w:hAnsi="宋体"/>
          <w:szCs w:val="21"/>
        </w:rPr>
        <w:tab/>
      </w:r>
      <w:r>
        <w:rPr>
          <w:rFonts w:ascii="宋体" w:hAnsi="宋体"/>
          <w:szCs w:val="21"/>
        </w:rPr>
        <w:fldChar w:fldCharType="begin"/>
      </w:r>
      <w:r>
        <w:rPr>
          <w:rFonts w:ascii="宋体" w:hAnsi="宋体"/>
          <w:szCs w:val="21"/>
        </w:rPr>
        <w:instrText xml:space="preserve"> PAGEREF _Toc108514206 \h </w:instrText>
      </w:r>
      <w:r>
        <w:rPr>
          <w:rFonts w:ascii="宋体" w:hAnsi="宋体"/>
          <w:szCs w:val="21"/>
        </w:rPr>
        <w:fldChar w:fldCharType="separate"/>
      </w:r>
      <w:r>
        <w:rPr>
          <w:rFonts w:ascii="宋体" w:hAnsi="宋体"/>
          <w:szCs w:val="21"/>
        </w:rPr>
        <w:t>353</w:t>
      </w:r>
      <w:r>
        <w:rPr>
          <w:rFonts w:ascii="宋体" w:hAnsi="宋体"/>
          <w:szCs w:val="21"/>
        </w:rPr>
        <w:fldChar w:fldCharType="end"/>
      </w:r>
    </w:p>
    <w:p w14:paraId="44B2F67D">
      <w:pPr>
        <w:pStyle w:val="8"/>
        <w:tabs>
          <w:tab w:val="right" w:leader="dot" w:pos="8296"/>
        </w:tabs>
        <w:rPr>
          <w:rFonts w:ascii="宋体" w:hAnsi="宋体"/>
          <w:szCs w:val="21"/>
        </w:rPr>
      </w:pPr>
      <w:r>
        <w:rPr>
          <w:rFonts w:ascii="宋体" w:hAnsi="宋体"/>
          <w:szCs w:val="21"/>
        </w:rPr>
        <w:t xml:space="preserve">10. </w:t>
      </w:r>
      <w:r>
        <w:rPr>
          <w:rFonts w:hint="eastAsia" w:ascii="宋体" w:hAnsi="宋体"/>
          <w:szCs w:val="21"/>
        </w:rPr>
        <w:t>进口材料和工程设备</w:t>
      </w:r>
      <w:r>
        <w:rPr>
          <w:rFonts w:ascii="宋体" w:hAnsi="宋体"/>
          <w:szCs w:val="21"/>
        </w:rPr>
        <w:tab/>
      </w:r>
      <w:r>
        <w:rPr>
          <w:rFonts w:ascii="宋体" w:hAnsi="宋体"/>
          <w:szCs w:val="21"/>
        </w:rPr>
        <w:fldChar w:fldCharType="begin"/>
      </w:r>
      <w:r>
        <w:rPr>
          <w:rFonts w:ascii="宋体" w:hAnsi="宋体"/>
          <w:szCs w:val="21"/>
        </w:rPr>
        <w:instrText xml:space="preserve"> PAGEREF _Toc108514207 \h </w:instrText>
      </w:r>
      <w:r>
        <w:rPr>
          <w:rFonts w:ascii="宋体" w:hAnsi="宋体"/>
          <w:szCs w:val="21"/>
        </w:rPr>
        <w:fldChar w:fldCharType="separate"/>
      </w:r>
      <w:r>
        <w:rPr>
          <w:rFonts w:ascii="宋体" w:hAnsi="宋体"/>
          <w:szCs w:val="21"/>
        </w:rPr>
        <w:t>355</w:t>
      </w:r>
      <w:r>
        <w:rPr>
          <w:rFonts w:ascii="宋体" w:hAnsi="宋体"/>
          <w:szCs w:val="21"/>
        </w:rPr>
        <w:fldChar w:fldCharType="end"/>
      </w:r>
    </w:p>
    <w:p w14:paraId="2DE6BB2C">
      <w:pPr>
        <w:pStyle w:val="8"/>
        <w:tabs>
          <w:tab w:val="right" w:leader="dot" w:pos="8296"/>
        </w:tabs>
        <w:rPr>
          <w:rFonts w:ascii="宋体" w:hAnsi="宋体"/>
          <w:szCs w:val="21"/>
        </w:rPr>
      </w:pPr>
      <w:r>
        <w:rPr>
          <w:rFonts w:ascii="宋体" w:hAnsi="宋体"/>
          <w:szCs w:val="21"/>
        </w:rPr>
        <w:t xml:space="preserve">11. </w:t>
      </w:r>
      <w:r>
        <w:rPr>
          <w:rFonts w:hint="eastAsia" w:ascii="宋体" w:hAnsi="宋体"/>
          <w:szCs w:val="21"/>
        </w:rPr>
        <w:t>进度报告和进度例会</w:t>
      </w:r>
      <w:r>
        <w:rPr>
          <w:rFonts w:ascii="宋体" w:hAnsi="宋体"/>
          <w:szCs w:val="21"/>
        </w:rPr>
        <w:tab/>
      </w:r>
      <w:r>
        <w:rPr>
          <w:rFonts w:ascii="宋体" w:hAnsi="宋体"/>
          <w:szCs w:val="21"/>
        </w:rPr>
        <w:fldChar w:fldCharType="begin"/>
      </w:r>
      <w:r>
        <w:rPr>
          <w:rFonts w:ascii="宋体" w:hAnsi="宋体"/>
          <w:szCs w:val="21"/>
        </w:rPr>
        <w:instrText xml:space="preserve"> PAGEREF _Toc108514208 \h </w:instrText>
      </w:r>
      <w:r>
        <w:rPr>
          <w:rFonts w:ascii="宋体" w:hAnsi="宋体"/>
          <w:szCs w:val="21"/>
        </w:rPr>
        <w:fldChar w:fldCharType="separate"/>
      </w:r>
      <w:r>
        <w:rPr>
          <w:rFonts w:ascii="宋体" w:hAnsi="宋体"/>
          <w:szCs w:val="21"/>
        </w:rPr>
        <w:t>355</w:t>
      </w:r>
      <w:r>
        <w:rPr>
          <w:rFonts w:ascii="宋体" w:hAnsi="宋体"/>
          <w:szCs w:val="21"/>
        </w:rPr>
        <w:fldChar w:fldCharType="end"/>
      </w:r>
    </w:p>
    <w:p w14:paraId="0552E0B6">
      <w:pPr>
        <w:pStyle w:val="8"/>
        <w:tabs>
          <w:tab w:val="right" w:leader="dot" w:pos="8296"/>
        </w:tabs>
        <w:rPr>
          <w:rFonts w:ascii="宋体" w:hAnsi="宋体"/>
          <w:szCs w:val="21"/>
        </w:rPr>
      </w:pPr>
      <w:r>
        <w:rPr>
          <w:rFonts w:ascii="宋体" w:hAnsi="宋体"/>
          <w:szCs w:val="21"/>
        </w:rPr>
        <w:t xml:space="preserve">12. </w:t>
      </w:r>
      <w:r>
        <w:rPr>
          <w:rFonts w:hint="eastAsia" w:ascii="宋体" w:hAnsi="宋体"/>
          <w:szCs w:val="21"/>
        </w:rPr>
        <w:t>试验和检验</w:t>
      </w:r>
      <w:r>
        <w:rPr>
          <w:rFonts w:ascii="宋体" w:hAnsi="宋体"/>
          <w:szCs w:val="21"/>
        </w:rPr>
        <w:tab/>
      </w:r>
      <w:r>
        <w:rPr>
          <w:rFonts w:ascii="宋体" w:hAnsi="宋体"/>
          <w:szCs w:val="21"/>
        </w:rPr>
        <w:fldChar w:fldCharType="begin"/>
      </w:r>
      <w:r>
        <w:rPr>
          <w:rFonts w:ascii="宋体" w:hAnsi="宋体"/>
          <w:szCs w:val="21"/>
        </w:rPr>
        <w:instrText xml:space="preserve"> PAGEREF _Toc108514209 \h </w:instrText>
      </w:r>
      <w:r>
        <w:rPr>
          <w:rFonts w:ascii="宋体" w:hAnsi="宋体"/>
          <w:szCs w:val="21"/>
        </w:rPr>
        <w:fldChar w:fldCharType="separate"/>
      </w:r>
      <w:r>
        <w:rPr>
          <w:rFonts w:ascii="宋体" w:hAnsi="宋体"/>
          <w:szCs w:val="21"/>
        </w:rPr>
        <w:t>357</w:t>
      </w:r>
      <w:r>
        <w:rPr>
          <w:rFonts w:ascii="宋体" w:hAnsi="宋体"/>
          <w:szCs w:val="21"/>
        </w:rPr>
        <w:fldChar w:fldCharType="end"/>
      </w:r>
    </w:p>
    <w:p w14:paraId="02D334AC">
      <w:pPr>
        <w:pStyle w:val="8"/>
        <w:tabs>
          <w:tab w:val="right" w:leader="dot" w:pos="8296"/>
        </w:tabs>
        <w:rPr>
          <w:rFonts w:ascii="宋体" w:hAnsi="宋体"/>
          <w:szCs w:val="21"/>
        </w:rPr>
      </w:pPr>
      <w:r>
        <w:rPr>
          <w:rFonts w:ascii="宋体" w:hAnsi="宋体"/>
          <w:szCs w:val="21"/>
        </w:rPr>
        <w:t xml:space="preserve">13. </w:t>
      </w:r>
      <w:r>
        <w:rPr>
          <w:rFonts w:hint="eastAsia" w:ascii="宋体" w:hAnsi="宋体"/>
          <w:szCs w:val="21"/>
        </w:rPr>
        <w:t>计日工</w:t>
      </w:r>
      <w:r>
        <w:rPr>
          <w:rFonts w:ascii="宋体" w:hAnsi="宋体"/>
          <w:szCs w:val="21"/>
        </w:rPr>
        <w:tab/>
      </w:r>
      <w:r>
        <w:rPr>
          <w:rFonts w:ascii="宋体" w:hAnsi="宋体"/>
          <w:szCs w:val="21"/>
        </w:rPr>
        <w:fldChar w:fldCharType="begin"/>
      </w:r>
      <w:r>
        <w:rPr>
          <w:rFonts w:ascii="宋体" w:hAnsi="宋体"/>
          <w:szCs w:val="21"/>
        </w:rPr>
        <w:instrText xml:space="preserve"> PAGEREF _Toc108514210 \h </w:instrText>
      </w:r>
      <w:r>
        <w:rPr>
          <w:rFonts w:ascii="宋体" w:hAnsi="宋体"/>
          <w:szCs w:val="21"/>
        </w:rPr>
        <w:fldChar w:fldCharType="separate"/>
      </w:r>
      <w:r>
        <w:rPr>
          <w:rFonts w:ascii="宋体" w:hAnsi="宋体"/>
          <w:szCs w:val="21"/>
        </w:rPr>
        <w:t>357</w:t>
      </w:r>
      <w:r>
        <w:rPr>
          <w:rFonts w:ascii="宋体" w:hAnsi="宋体"/>
          <w:szCs w:val="21"/>
        </w:rPr>
        <w:fldChar w:fldCharType="end"/>
      </w:r>
    </w:p>
    <w:p w14:paraId="09CA6550">
      <w:pPr>
        <w:pStyle w:val="8"/>
        <w:tabs>
          <w:tab w:val="right" w:leader="dot" w:pos="8296"/>
        </w:tabs>
        <w:rPr>
          <w:rFonts w:ascii="宋体" w:hAnsi="宋体"/>
          <w:szCs w:val="21"/>
        </w:rPr>
      </w:pPr>
      <w:r>
        <w:rPr>
          <w:rFonts w:ascii="宋体" w:hAnsi="宋体"/>
          <w:szCs w:val="21"/>
        </w:rPr>
        <w:t xml:space="preserve">14. </w:t>
      </w:r>
      <w:r>
        <w:rPr>
          <w:rFonts w:hint="eastAsia" w:ascii="宋体" w:hAnsi="宋体"/>
          <w:szCs w:val="21"/>
        </w:rPr>
        <w:t>计量与支付</w:t>
      </w:r>
      <w:r>
        <w:rPr>
          <w:rFonts w:ascii="宋体" w:hAnsi="宋体"/>
          <w:szCs w:val="21"/>
        </w:rPr>
        <w:tab/>
      </w:r>
      <w:r>
        <w:rPr>
          <w:rFonts w:ascii="宋体" w:hAnsi="宋体"/>
          <w:szCs w:val="21"/>
        </w:rPr>
        <w:fldChar w:fldCharType="begin"/>
      </w:r>
      <w:r>
        <w:rPr>
          <w:rFonts w:ascii="宋体" w:hAnsi="宋体"/>
          <w:szCs w:val="21"/>
        </w:rPr>
        <w:instrText xml:space="preserve"> PAGEREF _Toc108514211 \h </w:instrText>
      </w:r>
      <w:r>
        <w:rPr>
          <w:rFonts w:ascii="宋体" w:hAnsi="宋体"/>
          <w:szCs w:val="21"/>
        </w:rPr>
        <w:fldChar w:fldCharType="separate"/>
      </w:r>
      <w:r>
        <w:rPr>
          <w:rFonts w:ascii="宋体" w:hAnsi="宋体"/>
          <w:szCs w:val="21"/>
        </w:rPr>
        <w:t>358</w:t>
      </w:r>
      <w:r>
        <w:rPr>
          <w:rFonts w:ascii="宋体" w:hAnsi="宋体"/>
          <w:szCs w:val="21"/>
        </w:rPr>
        <w:fldChar w:fldCharType="end"/>
      </w:r>
    </w:p>
    <w:p w14:paraId="481899FA">
      <w:pPr>
        <w:pStyle w:val="8"/>
        <w:tabs>
          <w:tab w:val="right" w:leader="dot" w:pos="8296"/>
        </w:tabs>
        <w:rPr>
          <w:rFonts w:ascii="宋体" w:hAnsi="宋体"/>
          <w:szCs w:val="21"/>
        </w:rPr>
      </w:pPr>
      <w:r>
        <w:rPr>
          <w:rFonts w:ascii="宋体" w:hAnsi="宋体"/>
          <w:szCs w:val="21"/>
        </w:rPr>
        <w:t xml:space="preserve">15. </w:t>
      </w:r>
      <w:r>
        <w:rPr>
          <w:rFonts w:hint="eastAsia" w:ascii="宋体" w:hAnsi="宋体"/>
          <w:szCs w:val="21"/>
        </w:rPr>
        <w:t>竣工验收和工程移交</w:t>
      </w:r>
      <w:r>
        <w:rPr>
          <w:rFonts w:ascii="宋体" w:hAnsi="宋体"/>
          <w:szCs w:val="21"/>
        </w:rPr>
        <w:tab/>
      </w:r>
      <w:r>
        <w:rPr>
          <w:rFonts w:ascii="宋体" w:hAnsi="宋体"/>
          <w:szCs w:val="21"/>
        </w:rPr>
        <w:fldChar w:fldCharType="begin"/>
      </w:r>
      <w:r>
        <w:rPr>
          <w:rFonts w:ascii="宋体" w:hAnsi="宋体"/>
          <w:szCs w:val="21"/>
        </w:rPr>
        <w:instrText xml:space="preserve"> PAGEREF _Toc108514212 \h </w:instrText>
      </w:r>
      <w:r>
        <w:rPr>
          <w:rFonts w:ascii="宋体" w:hAnsi="宋体"/>
          <w:szCs w:val="21"/>
        </w:rPr>
        <w:fldChar w:fldCharType="separate"/>
      </w:r>
      <w:r>
        <w:rPr>
          <w:rFonts w:ascii="宋体" w:hAnsi="宋体"/>
          <w:szCs w:val="21"/>
        </w:rPr>
        <w:t>360</w:t>
      </w:r>
      <w:r>
        <w:rPr>
          <w:rFonts w:ascii="宋体" w:hAnsi="宋体"/>
          <w:szCs w:val="21"/>
        </w:rPr>
        <w:fldChar w:fldCharType="end"/>
      </w:r>
    </w:p>
    <w:p w14:paraId="6E2C8AD5">
      <w:pPr>
        <w:pStyle w:val="8"/>
        <w:tabs>
          <w:tab w:val="right" w:leader="dot" w:pos="8296"/>
        </w:tabs>
        <w:rPr>
          <w:rFonts w:ascii="宋体" w:hAnsi="宋体"/>
          <w:szCs w:val="21"/>
        </w:rPr>
      </w:pPr>
      <w:r>
        <w:rPr>
          <w:rFonts w:ascii="宋体" w:hAnsi="宋体"/>
          <w:szCs w:val="21"/>
        </w:rPr>
        <w:t xml:space="preserve">16. </w:t>
      </w:r>
      <w:r>
        <w:rPr>
          <w:rFonts w:hint="eastAsia" w:ascii="宋体" w:hAnsi="宋体"/>
          <w:szCs w:val="21"/>
        </w:rPr>
        <w:t>其他要求</w:t>
      </w:r>
      <w:r>
        <w:rPr>
          <w:rFonts w:ascii="宋体" w:hAnsi="宋体"/>
          <w:szCs w:val="21"/>
        </w:rPr>
        <w:tab/>
      </w:r>
      <w:r>
        <w:rPr>
          <w:rFonts w:ascii="宋体" w:hAnsi="宋体"/>
          <w:szCs w:val="21"/>
        </w:rPr>
        <w:fldChar w:fldCharType="begin"/>
      </w:r>
      <w:r>
        <w:rPr>
          <w:rFonts w:ascii="宋体" w:hAnsi="宋体"/>
          <w:szCs w:val="21"/>
        </w:rPr>
        <w:instrText xml:space="preserve"> PAGEREF _Toc108514213 \h </w:instrText>
      </w:r>
      <w:r>
        <w:rPr>
          <w:rFonts w:ascii="宋体" w:hAnsi="宋体"/>
          <w:szCs w:val="21"/>
        </w:rPr>
        <w:fldChar w:fldCharType="separate"/>
      </w:r>
      <w:r>
        <w:rPr>
          <w:rFonts w:ascii="宋体" w:hAnsi="宋体"/>
          <w:szCs w:val="21"/>
        </w:rPr>
        <w:t>361</w:t>
      </w:r>
      <w:r>
        <w:rPr>
          <w:rFonts w:ascii="宋体" w:hAnsi="宋体"/>
          <w:szCs w:val="21"/>
        </w:rPr>
        <w:fldChar w:fldCharType="end"/>
      </w:r>
    </w:p>
    <w:p w14:paraId="2E89A0D9">
      <w:pPr>
        <w:pStyle w:val="13"/>
        <w:tabs>
          <w:tab w:val="right" w:leader="dot" w:pos="8296"/>
        </w:tabs>
        <w:rPr>
          <w:rFonts w:ascii="宋体" w:hAnsi="宋体" w:eastAsia="宋体"/>
          <w:sz w:val="21"/>
          <w:szCs w:val="21"/>
        </w:rPr>
      </w:pPr>
      <w:r>
        <w:rPr>
          <w:rFonts w:hint="eastAsia" w:ascii="宋体" w:hAnsi="宋体" w:eastAsia="宋体"/>
          <w:sz w:val="21"/>
          <w:szCs w:val="21"/>
        </w:rPr>
        <w:t>第二节</w:t>
      </w:r>
      <w:r>
        <w:rPr>
          <w:rFonts w:ascii="宋体" w:hAnsi="宋体" w:eastAsia="宋体"/>
          <w:sz w:val="21"/>
          <w:szCs w:val="21"/>
        </w:rPr>
        <w:t xml:space="preserve">  </w:t>
      </w:r>
      <w:r>
        <w:rPr>
          <w:rFonts w:hint="eastAsia" w:ascii="宋体" w:hAnsi="宋体" w:eastAsia="宋体"/>
          <w:sz w:val="21"/>
          <w:szCs w:val="21"/>
        </w:rPr>
        <w:t>特殊技术标准和要求</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_Toc108514214 \h </w:instrText>
      </w:r>
      <w:r>
        <w:rPr>
          <w:rFonts w:ascii="宋体" w:hAnsi="宋体" w:eastAsia="宋体"/>
          <w:sz w:val="21"/>
          <w:szCs w:val="21"/>
        </w:rPr>
        <w:fldChar w:fldCharType="separate"/>
      </w:r>
      <w:r>
        <w:rPr>
          <w:rFonts w:ascii="宋体" w:hAnsi="宋体" w:eastAsia="宋体"/>
          <w:sz w:val="21"/>
          <w:szCs w:val="21"/>
        </w:rPr>
        <w:t>362</w:t>
      </w:r>
      <w:r>
        <w:rPr>
          <w:rFonts w:ascii="宋体" w:hAnsi="宋体" w:eastAsia="宋体"/>
          <w:sz w:val="21"/>
          <w:szCs w:val="21"/>
        </w:rPr>
        <w:fldChar w:fldCharType="end"/>
      </w:r>
    </w:p>
    <w:p w14:paraId="157314CA">
      <w:pPr>
        <w:pStyle w:val="8"/>
        <w:tabs>
          <w:tab w:val="right" w:leader="dot" w:pos="8296"/>
        </w:tabs>
        <w:rPr>
          <w:rFonts w:ascii="宋体" w:hAnsi="宋体"/>
          <w:szCs w:val="21"/>
        </w:rPr>
      </w:pPr>
      <w:r>
        <w:rPr>
          <w:rFonts w:ascii="宋体" w:hAnsi="宋体"/>
          <w:szCs w:val="21"/>
        </w:rPr>
        <w:t>1</w:t>
      </w:r>
      <w:r>
        <w:rPr>
          <w:rFonts w:hint="eastAsia" w:ascii="宋体" w:hAnsi="宋体"/>
          <w:szCs w:val="21"/>
        </w:rPr>
        <w:t>．材料和工程设备技术要求</w:t>
      </w:r>
      <w:r>
        <w:rPr>
          <w:rFonts w:ascii="宋体" w:hAnsi="宋体"/>
          <w:szCs w:val="21"/>
        </w:rPr>
        <w:tab/>
      </w:r>
      <w:r>
        <w:rPr>
          <w:rFonts w:ascii="宋体" w:hAnsi="宋体"/>
          <w:szCs w:val="21"/>
        </w:rPr>
        <w:fldChar w:fldCharType="begin"/>
      </w:r>
      <w:r>
        <w:rPr>
          <w:rFonts w:ascii="宋体" w:hAnsi="宋体"/>
          <w:szCs w:val="21"/>
        </w:rPr>
        <w:instrText xml:space="preserve"> PAGEREF _Toc108514215 \h </w:instrText>
      </w:r>
      <w:r>
        <w:rPr>
          <w:rFonts w:ascii="宋体" w:hAnsi="宋体"/>
          <w:szCs w:val="21"/>
        </w:rPr>
        <w:fldChar w:fldCharType="separate"/>
      </w:r>
      <w:r>
        <w:rPr>
          <w:rFonts w:ascii="宋体" w:hAnsi="宋体"/>
          <w:szCs w:val="21"/>
        </w:rPr>
        <w:t>362</w:t>
      </w:r>
      <w:r>
        <w:rPr>
          <w:rFonts w:ascii="宋体" w:hAnsi="宋体"/>
          <w:szCs w:val="21"/>
        </w:rPr>
        <w:fldChar w:fldCharType="end"/>
      </w:r>
    </w:p>
    <w:p w14:paraId="0A78A0B8">
      <w:pPr>
        <w:pStyle w:val="8"/>
        <w:tabs>
          <w:tab w:val="right" w:leader="dot" w:pos="8296"/>
        </w:tabs>
        <w:rPr>
          <w:rFonts w:ascii="宋体" w:hAnsi="宋体"/>
          <w:szCs w:val="21"/>
        </w:rPr>
      </w:pPr>
      <w:r>
        <w:rPr>
          <w:rFonts w:ascii="宋体" w:hAnsi="宋体"/>
          <w:szCs w:val="21"/>
        </w:rPr>
        <w:t xml:space="preserve">2. </w:t>
      </w:r>
      <w:r>
        <w:rPr>
          <w:rFonts w:hint="eastAsia" w:ascii="宋体" w:hAnsi="宋体"/>
          <w:szCs w:val="21"/>
        </w:rPr>
        <w:t>特殊技术要求</w:t>
      </w:r>
      <w:r>
        <w:rPr>
          <w:rFonts w:ascii="宋体" w:hAnsi="宋体"/>
          <w:szCs w:val="21"/>
        </w:rPr>
        <w:tab/>
      </w:r>
      <w:r>
        <w:rPr>
          <w:rFonts w:ascii="宋体" w:hAnsi="宋体"/>
          <w:szCs w:val="21"/>
        </w:rPr>
        <w:fldChar w:fldCharType="begin"/>
      </w:r>
      <w:r>
        <w:rPr>
          <w:rFonts w:ascii="宋体" w:hAnsi="宋体"/>
          <w:szCs w:val="21"/>
        </w:rPr>
        <w:instrText xml:space="preserve"> PAGEREF _Toc108514216 \h </w:instrText>
      </w:r>
      <w:r>
        <w:rPr>
          <w:rFonts w:ascii="宋体" w:hAnsi="宋体"/>
          <w:szCs w:val="21"/>
        </w:rPr>
        <w:fldChar w:fldCharType="separate"/>
      </w:r>
      <w:r>
        <w:rPr>
          <w:rFonts w:ascii="宋体" w:hAnsi="宋体"/>
          <w:szCs w:val="21"/>
        </w:rPr>
        <w:t>362</w:t>
      </w:r>
      <w:r>
        <w:rPr>
          <w:rFonts w:ascii="宋体" w:hAnsi="宋体"/>
          <w:szCs w:val="21"/>
        </w:rPr>
        <w:fldChar w:fldCharType="end"/>
      </w:r>
    </w:p>
    <w:p w14:paraId="13E9954E">
      <w:pPr>
        <w:pStyle w:val="8"/>
        <w:tabs>
          <w:tab w:val="right" w:leader="dot" w:pos="8296"/>
        </w:tabs>
        <w:rPr>
          <w:rFonts w:ascii="宋体" w:hAnsi="宋体"/>
          <w:szCs w:val="21"/>
        </w:rPr>
      </w:pPr>
      <w:r>
        <w:rPr>
          <w:rFonts w:ascii="宋体" w:hAnsi="宋体"/>
          <w:szCs w:val="21"/>
        </w:rPr>
        <w:t>3</w:t>
      </w:r>
      <w:r>
        <w:rPr>
          <w:rFonts w:hint="eastAsia" w:ascii="宋体" w:hAnsi="宋体"/>
          <w:szCs w:val="21"/>
        </w:rPr>
        <w:t>．新技术、新工艺和新材料</w:t>
      </w:r>
      <w:r>
        <w:rPr>
          <w:rFonts w:ascii="宋体" w:hAnsi="宋体"/>
          <w:szCs w:val="21"/>
        </w:rPr>
        <w:tab/>
      </w:r>
      <w:r>
        <w:rPr>
          <w:rFonts w:ascii="宋体" w:hAnsi="宋体"/>
          <w:szCs w:val="21"/>
        </w:rPr>
        <w:fldChar w:fldCharType="begin"/>
      </w:r>
      <w:r>
        <w:rPr>
          <w:rFonts w:ascii="宋体" w:hAnsi="宋体"/>
          <w:szCs w:val="21"/>
        </w:rPr>
        <w:instrText xml:space="preserve"> PAGEREF _Toc108514217 \h </w:instrText>
      </w:r>
      <w:r>
        <w:rPr>
          <w:rFonts w:ascii="宋体" w:hAnsi="宋体"/>
          <w:szCs w:val="21"/>
        </w:rPr>
        <w:fldChar w:fldCharType="separate"/>
      </w:r>
      <w:r>
        <w:rPr>
          <w:rFonts w:ascii="宋体" w:hAnsi="宋体"/>
          <w:szCs w:val="21"/>
        </w:rPr>
        <w:t>363</w:t>
      </w:r>
      <w:r>
        <w:rPr>
          <w:rFonts w:ascii="宋体" w:hAnsi="宋体"/>
          <w:szCs w:val="21"/>
        </w:rPr>
        <w:fldChar w:fldCharType="end"/>
      </w:r>
    </w:p>
    <w:p w14:paraId="53055130">
      <w:pPr>
        <w:pStyle w:val="8"/>
        <w:tabs>
          <w:tab w:val="right" w:leader="dot" w:pos="8296"/>
        </w:tabs>
        <w:rPr>
          <w:rFonts w:ascii="宋体" w:hAnsi="宋体"/>
          <w:szCs w:val="21"/>
        </w:rPr>
      </w:pPr>
      <w:r>
        <w:rPr>
          <w:rFonts w:ascii="宋体" w:hAnsi="宋体"/>
          <w:szCs w:val="21"/>
        </w:rPr>
        <w:t>4</w:t>
      </w:r>
      <w:r>
        <w:rPr>
          <w:rFonts w:hint="eastAsia" w:ascii="宋体" w:hAnsi="宋体"/>
          <w:szCs w:val="21"/>
        </w:rPr>
        <w:t>．其他特殊技术标准和要求</w:t>
      </w:r>
      <w:r>
        <w:rPr>
          <w:rFonts w:ascii="宋体" w:hAnsi="宋体"/>
          <w:szCs w:val="21"/>
        </w:rPr>
        <w:tab/>
      </w:r>
      <w:r>
        <w:rPr>
          <w:rFonts w:ascii="宋体" w:hAnsi="宋体"/>
          <w:szCs w:val="21"/>
        </w:rPr>
        <w:fldChar w:fldCharType="begin"/>
      </w:r>
      <w:r>
        <w:rPr>
          <w:rFonts w:ascii="宋体" w:hAnsi="宋体"/>
          <w:szCs w:val="21"/>
        </w:rPr>
        <w:instrText xml:space="preserve"> PAGEREF _Toc108514218 \h </w:instrText>
      </w:r>
      <w:r>
        <w:rPr>
          <w:rFonts w:ascii="宋体" w:hAnsi="宋体"/>
          <w:szCs w:val="21"/>
        </w:rPr>
        <w:fldChar w:fldCharType="separate"/>
      </w:r>
      <w:r>
        <w:rPr>
          <w:rFonts w:ascii="宋体" w:hAnsi="宋体"/>
          <w:szCs w:val="21"/>
        </w:rPr>
        <w:t>363</w:t>
      </w:r>
      <w:r>
        <w:rPr>
          <w:rFonts w:ascii="宋体" w:hAnsi="宋体"/>
          <w:szCs w:val="21"/>
        </w:rPr>
        <w:fldChar w:fldCharType="end"/>
      </w:r>
    </w:p>
    <w:p w14:paraId="0B93314C">
      <w:pPr>
        <w:pStyle w:val="13"/>
        <w:tabs>
          <w:tab w:val="right" w:leader="dot" w:pos="8296"/>
        </w:tabs>
        <w:rPr>
          <w:rFonts w:ascii="宋体" w:hAnsi="宋体" w:eastAsia="宋体"/>
          <w:sz w:val="21"/>
          <w:szCs w:val="21"/>
        </w:rPr>
      </w:pPr>
      <w:r>
        <w:rPr>
          <w:rFonts w:hint="eastAsia" w:ascii="宋体" w:hAnsi="宋体" w:eastAsia="宋体"/>
          <w:sz w:val="21"/>
          <w:szCs w:val="21"/>
        </w:rPr>
        <w:t>第三节</w:t>
      </w:r>
      <w:r>
        <w:rPr>
          <w:rFonts w:ascii="宋体" w:hAnsi="宋体" w:eastAsia="宋体"/>
          <w:sz w:val="21"/>
          <w:szCs w:val="21"/>
        </w:rPr>
        <w:t xml:space="preserve">  </w:t>
      </w:r>
      <w:r>
        <w:rPr>
          <w:rFonts w:hint="eastAsia" w:ascii="宋体" w:hAnsi="宋体" w:eastAsia="宋体"/>
          <w:sz w:val="21"/>
          <w:szCs w:val="21"/>
        </w:rPr>
        <w:t>适用的国家、行业以及地方规范、标准和规程</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_Toc108514219 \h </w:instrText>
      </w:r>
      <w:r>
        <w:rPr>
          <w:rFonts w:ascii="宋体" w:hAnsi="宋体" w:eastAsia="宋体"/>
          <w:sz w:val="21"/>
          <w:szCs w:val="21"/>
        </w:rPr>
        <w:fldChar w:fldCharType="separate"/>
      </w:r>
      <w:r>
        <w:rPr>
          <w:rFonts w:ascii="宋体" w:hAnsi="宋体" w:eastAsia="宋体"/>
          <w:sz w:val="21"/>
          <w:szCs w:val="21"/>
        </w:rPr>
        <w:t>364</w:t>
      </w:r>
      <w:r>
        <w:rPr>
          <w:rFonts w:ascii="宋体" w:hAnsi="宋体" w:eastAsia="宋体"/>
          <w:sz w:val="21"/>
          <w:szCs w:val="21"/>
        </w:rPr>
        <w:fldChar w:fldCharType="end"/>
      </w:r>
    </w:p>
    <w:p w14:paraId="258345C5">
      <w:pPr>
        <w:pStyle w:val="12"/>
        <w:rPr>
          <w:rFonts w:ascii="宋体" w:hAnsi="宋体" w:eastAsia="宋体"/>
          <w:b w:val="0"/>
          <w:sz w:val="21"/>
          <w:szCs w:val="21"/>
        </w:rPr>
      </w:pPr>
      <w:r>
        <w:rPr>
          <w:rFonts w:hint="eastAsia" w:ascii="宋体" w:hAnsi="宋体" w:eastAsia="宋体"/>
          <w:b w:val="0"/>
          <w:sz w:val="21"/>
          <w:szCs w:val="21"/>
        </w:rPr>
        <w:t>第四卷</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_Toc108514220 \h </w:instrText>
      </w:r>
      <w:r>
        <w:rPr>
          <w:rFonts w:ascii="宋体" w:hAnsi="宋体" w:eastAsia="宋体"/>
          <w:b w:val="0"/>
          <w:sz w:val="21"/>
          <w:szCs w:val="21"/>
        </w:rPr>
        <w:fldChar w:fldCharType="separate"/>
      </w:r>
      <w:r>
        <w:rPr>
          <w:rFonts w:ascii="宋体" w:hAnsi="宋体" w:eastAsia="宋体"/>
          <w:b w:val="0"/>
          <w:sz w:val="21"/>
          <w:szCs w:val="21"/>
        </w:rPr>
        <w:t>366</w:t>
      </w:r>
      <w:r>
        <w:rPr>
          <w:rFonts w:ascii="宋体" w:hAnsi="宋体" w:eastAsia="宋体"/>
          <w:b w:val="0"/>
          <w:sz w:val="21"/>
          <w:szCs w:val="21"/>
        </w:rPr>
        <w:fldChar w:fldCharType="end"/>
      </w:r>
    </w:p>
    <w:p w14:paraId="46D2EB53">
      <w:pPr>
        <w:pStyle w:val="12"/>
        <w:rPr>
          <w:rFonts w:ascii="宋体" w:hAnsi="宋体" w:eastAsia="宋体"/>
          <w:b w:val="0"/>
          <w:sz w:val="21"/>
          <w:szCs w:val="21"/>
        </w:rPr>
      </w:pPr>
      <w:r>
        <w:rPr>
          <w:rFonts w:hint="eastAsia" w:ascii="宋体" w:hAnsi="宋体" w:eastAsia="宋体"/>
          <w:b w:val="0"/>
          <w:sz w:val="21"/>
          <w:szCs w:val="21"/>
        </w:rPr>
        <w:t>第八章</w:t>
      </w:r>
      <w:r>
        <w:rPr>
          <w:rFonts w:ascii="宋体" w:hAnsi="宋体" w:eastAsia="宋体"/>
          <w:b w:val="0"/>
          <w:sz w:val="21"/>
          <w:szCs w:val="21"/>
        </w:rPr>
        <w:t xml:space="preserve">  </w:t>
      </w:r>
      <w:r>
        <w:rPr>
          <w:rFonts w:hint="eastAsia" w:ascii="宋体" w:hAnsi="宋体" w:eastAsia="宋体"/>
          <w:b w:val="0"/>
          <w:sz w:val="21"/>
          <w:szCs w:val="21"/>
        </w:rPr>
        <w:t>投标文件格式</w:t>
      </w:r>
      <w:r>
        <w:rPr>
          <w:rFonts w:ascii="宋体" w:hAnsi="宋体" w:eastAsia="宋体"/>
          <w:b w:val="0"/>
          <w:sz w:val="21"/>
          <w:szCs w:val="21"/>
        </w:rPr>
        <w:tab/>
      </w:r>
      <w:r>
        <w:rPr>
          <w:rFonts w:ascii="宋体" w:hAnsi="宋体" w:eastAsia="宋体"/>
          <w:b w:val="0"/>
          <w:sz w:val="21"/>
          <w:szCs w:val="21"/>
        </w:rPr>
        <w:fldChar w:fldCharType="begin"/>
      </w:r>
      <w:r>
        <w:rPr>
          <w:rFonts w:ascii="宋体" w:hAnsi="宋体" w:eastAsia="宋体"/>
          <w:b w:val="0"/>
          <w:sz w:val="21"/>
          <w:szCs w:val="21"/>
        </w:rPr>
        <w:instrText xml:space="preserve"> PAGEREF _Toc108514221 \h </w:instrText>
      </w:r>
      <w:r>
        <w:rPr>
          <w:rFonts w:ascii="宋体" w:hAnsi="宋体" w:eastAsia="宋体"/>
          <w:b w:val="0"/>
          <w:sz w:val="21"/>
          <w:szCs w:val="21"/>
        </w:rPr>
        <w:fldChar w:fldCharType="separate"/>
      </w:r>
      <w:r>
        <w:rPr>
          <w:rFonts w:ascii="宋体" w:hAnsi="宋体" w:eastAsia="宋体"/>
          <w:b w:val="0"/>
          <w:sz w:val="21"/>
          <w:szCs w:val="21"/>
        </w:rPr>
        <w:t>367</w:t>
      </w:r>
      <w:r>
        <w:rPr>
          <w:rFonts w:ascii="宋体" w:hAnsi="宋体" w:eastAsia="宋体"/>
          <w:b w:val="0"/>
          <w:sz w:val="21"/>
          <w:szCs w:val="21"/>
        </w:rPr>
        <w:fldChar w:fldCharType="end"/>
      </w:r>
    </w:p>
    <w:p w14:paraId="18186249">
      <w:pPr>
        <w:pStyle w:val="13"/>
        <w:tabs>
          <w:tab w:val="right" w:leader="dot" w:pos="8296"/>
        </w:tabs>
        <w:rPr>
          <w:rFonts w:ascii="宋体" w:hAnsi="宋体" w:eastAsia="宋体"/>
          <w:sz w:val="21"/>
          <w:szCs w:val="21"/>
        </w:rPr>
      </w:pPr>
      <w:r>
        <w:rPr>
          <w:rFonts w:hint="eastAsia" w:ascii="宋体" w:hAnsi="宋体" w:eastAsia="宋体"/>
          <w:sz w:val="21"/>
          <w:szCs w:val="21"/>
        </w:rPr>
        <w:t>目</w:t>
      </w:r>
      <w:r>
        <w:rPr>
          <w:rFonts w:ascii="宋体" w:hAnsi="宋体" w:eastAsia="宋体"/>
          <w:sz w:val="21"/>
          <w:szCs w:val="21"/>
        </w:rPr>
        <w:t xml:space="preserve">    </w:t>
      </w:r>
      <w:r>
        <w:rPr>
          <w:rFonts w:hint="eastAsia" w:ascii="宋体" w:hAnsi="宋体" w:eastAsia="宋体"/>
          <w:sz w:val="21"/>
          <w:szCs w:val="21"/>
        </w:rPr>
        <w:t>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_Toc108514222 \h </w:instrText>
      </w:r>
      <w:r>
        <w:rPr>
          <w:rFonts w:ascii="宋体" w:hAnsi="宋体" w:eastAsia="宋体"/>
          <w:sz w:val="21"/>
          <w:szCs w:val="21"/>
        </w:rPr>
        <w:fldChar w:fldCharType="separate"/>
      </w:r>
      <w:r>
        <w:rPr>
          <w:rFonts w:ascii="宋体" w:hAnsi="宋体" w:eastAsia="宋体"/>
          <w:sz w:val="21"/>
          <w:szCs w:val="21"/>
        </w:rPr>
        <w:t>369</w:t>
      </w:r>
      <w:r>
        <w:rPr>
          <w:rFonts w:ascii="宋体" w:hAnsi="宋体" w:eastAsia="宋体"/>
          <w:sz w:val="21"/>
          <w:szCs w:val="21"/>
        </w:rPr>
        <w:fldChar w:fldCharType="end"/>
      </w:r>
    </w:p>
    <w:p w14:paraId="0157FA58">
      <w:pPr>
        <w:pStyle w:val="13"/>
        <w:tabs>
          <w:tab w:val="right" w:leader="dot" w:pos="8296"/>
        </w:tabs>
        <w:rPr>
          <w:rFonts w:ascii="宋体" w:hAnsi="宋体" w:eastAsia="宋体"/>
          <w:sz w:val="21"/>
          <w:szCs w:val="21"/>
        </w:rPr>
      </w:pPr>
      <w:r>
        <w:rPr>
          <w:rFonts w:hint="eastAsia" w:ascii="宋体" w:hAnsi="宋体" w:eastAsia="宋体"/>
          <w:sz w:val="21"/>
          <w:szCs w:val="21"/>
        </w:rPr>
        <w:t>一、投标函及投标函附录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_Toc108514223 \h </w:instrText>
      </w:r>
      <w:r>
        <w:rPr>
          <w:rFonts w:ascii="宋体" w:hAnsi="宋体" w:eastAsia="宋体"/>
          <w:sz w:val="21"/>
          <w:szCs w:val="21"/>
        </w:rPr>
        <w:fldChar w:fldCharType="separate"/>
      </w:r>
      <w:r>
        <w:rPr>
          <w:rFonts w:ascii="宋体" w:hAnsi="宋体" w:eastAsia="宋体"/>
          <w:sz w:val="21"/>
          <w:szCs w:val="21"/>
        </w:rPr>
        <w:t>370</w:t>
      </w:r>
      <w:r>
        <w:rPr>
          <w:rFonts w:ascii="宋体" w:hAnsi="宋体" w:eastAsia="宋体"/>
          <w:sz w:val="21"/>
          <w:szCs w:val="21"/>
        </w:rPr>
        <w:fldChar w:fldCharType="end"/>
      </w:r>
    </w:p>
    <w:p w14:paraId="1CB78034">
      <w:pPr>
        <w:pStyle w:val="8"/>
        <w:tabs>
          <w:tab w:val="right" w:leader="dot" w:pos="8296"/>
        </w:tabs>
        <w:rPr>
          <w:rFonts w:ascii="宋体" w:hAnsi="宋体"/>
          <w:szCs w:val="21"/>
        </w:rPr>
      </w:pPr>
      <w:r>
        <w:rPr>
          <w:rFonts w:hint="eastAsia" w:ascii="宋体" w:hAnsi="宋体"/>
          <w:szCs w:val="21"/>
        </w:rPr>
        <w:t>（一）投标函</w:t>
      </w:r>
      <w:r>
        <w:rPr>
          <w:rFonts w:ascii="宋体" w:hAnsi="宋体"/>
          <w:szCs w:val="21"/>
        </w:rPr>
        <w:tab/>
      </w:r>
      <w:r>
        <w:rPr>
          <w:rFonts w:ascii="宋体" w:hAnsi="宋体"/>
          <w:szCs w:val="21"/>
        </w:rPr>
        <w:fldChar w:fldCharType="begin"/>
      </w:r>
      <w:r>
        <w:rPr>
          <w:rFonts w:ascii="宋体" w:hAnsi="宋体"/>
          <w:szCs w:val="21"/>
        </w:rPr>
        <w:instrText xml:space="preserve"> PAGEREF _Toc108514224 \h </w:instrText>
      </w:r>
      <w:r>
        <w:rPr>
          <w:rFonts w:ascii="宋体" w:hAnsi="宋体"/>
          <w:szCs w:val="21"/>
        </w:rPr>
        <w:fldChar w:fldCharType="separate"/>
      </w:r>
      <w:r>
        <w:rPr>
          <w:rFonts w:ascii="宋体" w:hAnsi="宋体"/>
          <w:szCs w:val="21"/>
        </w:rPr>
        <w:t>370</w:t>
      </w:r>
      <w:r>
        <w:rPr>
          <w:rFonts w:ascii="宋体" w:hAnsi="宋体"/>
          <w:szCs w:val="21"/>
        </w:rPr>
        <w:fldChar w:fldCharType="end"/>
      </w:r>
    </w:p>
    <w:p w14:paraId="6434107D">
      <w:pPr>
        <w:pStyle w:val="8"/>
        <w:tabs>
          <w:tab w:val="right" w:leader="dot" w:pos="8296"/>
        </w:tabs>
        <w:rPr>
          <w:rFonts w:ascii="宋体" w:hAnsi="宋体"/>
          <w:szCs w:val="21"/>
        </w:rPr>
      </w:pPr>
      <w:r>
        <w:rPr>
          <w:rFonts w:hint="eastAsia" w:ascii="宋体" w:hAnsi="宋体"/>
          <w:szCs w:val="21"/>
        </w:rPr>
        <w:t>（二）投标函附录</w:t>
      </w:r>
      <w:r>
        <w:rPr>
          <w:rFonts w:ascii="宋体" w:hAnsi="宋体"/>
          <w:szCs w:val="21"/>
        </w:rPr>
        <w:tab/>
      </w:r>
      <w:r>
        <w:rPr>
          <w:rFonts w:ascii="宋体" w:hAnsi="宋体"/>
          <w:szCs w:val="21"/>
        </w:rPr>
        <w:fldChar w:fldCharType="begin"/>
      </w:r>
      <w:r>
        <w:rPr>
          <w:rFonts w:ascii="宋体" w:hAnsi="宋体"/>
          <w:szCs w:val="21"/>
        </w:rPr>
        <w:instrText xml:space="preserve"> PAGEREF _Toc108514225 \h </w:instrText>
      </w:r>
      <w:r>
        <w:rPr>
          <w:rFonts w:ascii="宋体" w:hAnsi="宋体"/>
          <w:szCs w:val="21"/>
        </w:rPr>
        <w:fldChar w:fldCharType="separate"/>
      </w:r>
      <w:r>
        <w:rPr>
          <w:rFonts w:ascii="宋体" w:hAnsi="宋体"/>
          <w:szCs w:val="21"/>
        </w:rPr>
        <w:t>371</w:t>
      </w:r>
      <w:r>
        <w:rPr>
          <w:rFonts w:ascii="宋体" w:hAnsi="宋体"/>
          <w:szCs w:val="21"/>
        </w:rPr>
        <w:fldChar w:fldCharType="end"/>
      </w:r>
    </w:p>
    <w:p w14:paraId="30B2BF8F">
      <w:pPr>
        <w:pStyle w:val="8"/>
        <w:tabs>
          <w:tab w:val="right" w:leader="dot" w:pos="8296"/>
        </w:tabs>
        <w:rPr>
          <w:rFonts w:ascii="宋体" w:hAnsi="宋体"/>
          <w:szCs w:val="21"/>
        </w:rPr>
      </w:pPr>
      <w:r>
        <w:rPr>
          <w:rFonts w:hint="eastAsia" w:ascii="宋体" w:hAnsi="宋体"/>
          <w:szCs w:val="21"/>
        </w:rPr>
        <w:t>（二）投标函附录</w:t>
      </w:r>
      <w:r>
        <w:rPr>
          <w:rFonts w:ascii="宋体" w:hAnsi="宋体"/>
          <w:szCs w:val="21"/>
        </w:rPr>
        <w:tab/>
      </w:r>
      <w:r>
        <w:rPr>
          <w:rFonts w:ascii="宋体" w:hAnsi="宋体"/>
          <w:szCs w:val="21"/>
        </w:rPr>
        <w:fldChar w:fldCharType="begin"/>
      </w:r>
      <w:r>
        <w:rPr>
          <w:rFonts w:ascii="宋体" w:hAnsi="宋体"/>
          <w:szCs w:val="21"/>
        </w:rPr>
        <w:instrText xml:space="preserve"> PAGEREF _Toc108514226 \h </w:instrText>
      </w:r>
      <w:r>
        <w:rPr>
          <w:rFonts w:ascii="宋体" w:hAnsi="宋体"/>
          <w:szCs w:val="21"/>
        </w:rPr>
        <w:fldChar w:fldCharType="separate"/>
      </w:r>
      <w:r>
        <w:rPr>
          <w:rFonts w:ascii="宋体" w:hAnsi="宋体"/>
          <w:szCs w:val="21"/>
        </w:rPr>
        <w:t>372</w:t>
      </w:r>
      <w:r>
        <w:rPr>
          <w:rFonts w:ascii="宋体" w:hAnsi="宋体"/>
          <w:szCs w:val="21"/>
        </w:rPr>
        <w:fldChar w:fldCharType="end"/>
      </w:r>
    </w:p>
    <w:p w14:paraId="25C9972F">
      <w:pPr>
        <w:pStyle w:val="13"/>
        <w:tabs>
          <w:tab w:val="right" w:leader="dot" w:pos="8296"/>
        </w:tabs>
        <w:rPr>
          <w:rFonts w:ascii="宋体" w:hAnsi="宋体" w:eastAsia="宋体"/>
          <w:sz w:val="21"/>
          <w:szCs w:val="21"/>
        </w:rPr>
      </w:pPr>
      <w:r>
        <w:rPr>
          <w:rFonts w:hint="eastAsia" w:ascii="宋体" w:hAnsi="宋体" w:eastAsia="宋体"/>
          <w:sz w:val="21"/>
          <w:szCs w:val="21"/>
        </w:rPr>
        <w:t>二、法定代表人身份证明</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_Toc108514227 \h </w:instrText>
      </w:r>
      <w:r>
        <w:rPr>
          <w:rFonts w:ascii="宋体" w:hAnsi="宋体" w:eastAsia="宋体"/>
          <w:sz w:val="21"/>
          <w:szCs w:val="21"/>
        </w:rPr>
        <w:fldChar w:fldCharType="separate"/>
      </w:r>
      <w:r>
        <w:rPr>
          <w:rFonts w:ascii="宋体" w:hAnsi="宋体" w:eastAsia="宋体"/>
          <w:sz w:val="21"/>
          <w:szCs w:val="21"/>
        </w:rPr>
        <w:t>374</w:t>
      </w:r>
      <w:r>
        <w:rPr>
          <w:rFonts w:ascii="宋体" w:hAnsi="宋体" w:eastAsia="宋体"/>
          <w:sz w:val="21"/>
          <w:szCs w:val="21"/>
        </w:rPr>
        <w:fldChar w:fldCharType="end"/>
      </w:r>
    </w:p>
    <w:p w14:paraId="02BE159C">
      <w:pPr>
        <w:pStyle w:val="13"/>
        <w:tabs>
          <w:tab w:val="right" w:leader="dot" w:pos="8296"/>
        </w:tabs>
        <w:rPr>
          <w:rFonts w:ascii="宋体" w:hAnsi="宋体" w:eastAsia="宋体"/>
          <w:sz w:val="21"/>
          <w:szCs w:val="21"/>
        </w:rPr>
      </w:pPr>
      <w:r>
        <w:rPr>
          <w:rFonts w:hint="eastAsia" w:ascii="宋体" w:hAnsi="宋体" w:eastAsia="宋体"/>
          <w:sz w:val="21"/>
          <w:szCs w:val="21"/>
        </w:rPr>
        <w:t>三、投标保证金</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_Toc108514228 \h </w:instrText>
      </w:r>
      <w:r>
        <w:rPr>
          <w:rFonts w:ascii="宋体" w:hAnsi="宋体" w:eastAsia="宋体"/>
          <w:sz w:val="21"/>
          <w:szCs w:val="21"/>
        </w:rPr>
        <w:fldChar w:fldCharType="separate"/>
      </w:r>
      <w:r>
        <w:rPr>
          <w:rFonts w:ascii="宋体" w:hAnsi="宋体" w:eastAsia="宋体"/>
          <w:sz w:val="21"/>
          <w:szCs w:val="21"/>
        </w:rPr>
        <w:t>375</w:t>
      </w:r>
      <w:r>
        <w:rPr>
          <w:rFonts w:ascii="宋体" w:hAnsi="宋体" w:eastAsia="宋体"/>
          <w:sz w:val="21"/>
          <w:szCs w:val="21"/>
        </w:rPr>
        <w:fldChar w:fldCharType="end"/>
      </w:r>
    </w:p>
    <w:p w14:paraId="6998E5AF">
      <w:pPr>
        <w:pStyle w:val="13"/>
        <w:tabs>
          <w:tab w:val="right" w:leader="dot" w:pos="8296"/>
        </w:tabs>
        <w:rPr>
          <w:rFonts w:ascii="宋体" w:hAnsi="宋体" w:eastAsia="宋体"/>
          <w:sz w:val="21"/>
          <w:szCs w:val="21"/>
        </w:rPr>
      </w:pPr>
      <w:r>
        <w:rPr>
          <w:rFonts w:hint="eastAsia" w:ascii="宋体" w:hAnsi="宋体" w:eastAsia="宋体"/>
          <w:sz w:val="21"/>
          <w:szCs w:val="21"/>
        </w:rPr>
        <w:t>四、联合体协议书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_Toc108514229 \h </w:instrText>
      </w:r>
      <w:r>
        <w:rPr>
          <w:rFonts w:ascii="宋体" w:hAnsi="宋体" w:eastAsia="宋体"/>
          <w:sz w:val="21"/>
          <w:szCs w:val="21"/>
        </w:rPr>
        <w:fldChar w:fldCharType="separate"/>
      </w:r>
      <w:r>
        <w:rPr>
          <w:rFonts w:ascii="宋体" w:hAnsi="宋体" w:eastAsia="宋体"/>
          <w:sz w:val="21"/>
          <w:szCs w:val="21"/>
        </w:rPr>
        <w:t>376</w:t>
      </w:r>
      <w:r>
        <w:rPr>
          <w:rFonts w:ascii="宋体" w:hAnsi="宋体" w:eastAsia="宋体"/>
          <w:sz w:val="21"/>
          <w:szCs w:val="21"/>
        </w:rPr>
        <w:fldChar w:fldCharType="end"/>
      </w:r>
    </w:p>
    <w:p w14:paraId="5646FE42">
      <w:pPr>
        <w:pStyle w:val="13"/>
        <w:tabs>
          <w:tab w:val="right" w:leader="dot" w:pos="8296"/>
        </w:tabs>
        <w:rPr>
          <w:rFonts w:ascii="宋体" w:hAnsi="宋体" w:eastAsia="宋体"/>
          <w:sz w:val="21"/>
          <w:szCs w:val="21"/>
        </w:rPr>
      </w:pPr>
      <w:r>
        <w:rPr>
          <w:rFonts w:hint="eastAsia" w:ascii="宋体" w:hAnsi="宋体" w:eastAsia="宋体"/>
          <w:sz w:val="21"/>
          <w:szCs w:val="21"/>
        </w:rPr>
        <w:t>五、拟分包计划表</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_Toc108514230 \h </w:instrText>
      </w:r>
      <w:r>
        <w:rPr>
          <w:rFonts w:ascii="宋体" w:hAnsi="宋体" w:eastAsia="宋体"/>
          <w:sz w:val="21"/>
          <w:szCs w:val="21"/>
        </w:rPr>
        <w:fldChar w:fldCharType="separate"/>
      </w:r>
      <w:r>
        <w:rPr>
          <w:rFonts w:ascii="宋体" w:hAnsi="宋体" w:eastAsia="宋体"/>
          <w:sz w:val="21"/>
          <w:szCs w:val="21"/>
        </w:rPr>
        <w:t>378</w:t>
      </w:r>
      <w:r>
        <w:rPr>
          <w:rFonts w:ascii="宋体" w:hAnsi="宋体" w:eastAsia="宋体"/>
          <w:sz w:val="21"/>
          <w:szCs w:val="21"/>
        </w:rPr>
        <w:fldChar w:fldCharType="end"/>
      </w:r>
    </w:p>
    <w:p w14:paraId="160C1BC4">
      <w:pPr>
        <w:pStyle w:val="13"/>
        <w:tabs>
          <w:tab w:val="right" w:leader="dot" w:pos="8296"/>
        </w:tabs>
        <w:rPr>
          <w:rFonts w:ascii="宋体" w:hAnsi="宋体" w:eastAsia="宋体"/>
          <w:sz w:val="21"/>
          <w:szCs w:val="21"/>
        </w:rPr>
      </w:pPr>
      <w:r>
        <w:rPr>
          <w:rFonts w:hint="eastAsia" w:ascii="宋体" w:hAnsi="宋体" w:eastAsia="宋体"/>
          <w:sz w:val="21"/>
          <w:szCs w:val="21"/>
        </w:rPr>
        <w:t>五、分包意向协议书</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_Toc108514231 \h </w:instrText>
      </w:r>
      <w:r>
        <w:rPr>
          <w:rFonts w:ascii="宋体" w:hAnsi="宋体" w:eastAsia="宋体"/>
          <w:sz w:val="21"/>
          <w:szCs w:val="21"/>
        </w:rPr>
        <w:fldChar w:fldCharType="separate"/>
      </w:r>
      <w:r>
        <w:rPr>
          <w:rFonts w:ascii="宋体" w:hAnsi="宋体" w:eastAsia="宋体"/>
          <w:sz w:val="21"/>
          <w:szCs w:val="21"/>
        </w:rPr>
        <w:t>379</w:t>
      </w:r>
      <w:r>
        <w:rPr>
          <w:rFonts w:ascii="宋体" w:hAnsi="宋体" w:eastAsia="宋体"/>
          <w:sz w:val="21"/>
          <w:szCs w:val="21"/>
        </w:rPr>
        <w:fldChar w:fldCharType="end"/>
      </w:r>
    </w:p>
    <w:p w14:paraId="23D96FDA">
      <w:pPr>
        <w:pStyle w:val="13"/>
        <w:tabs>
          <w:tab w:val="right" w:leader="dot" w:pos="8296"/>
        </w:tabs>
        <w:rPr>
          <w:rFonts w:ascii="宋体" w:hAnsi="宋体" w:eastAsia="宋体"/>
          <w:sz w:val="21"/>
          <w:szCs w:val="21"/>
        </w:rPr>
      </w:pPr>
      <w:r>
        <w:rPr>
          <w:rFonts w:hint="eastAsia" w:ascii="宋体" w:hAnsi="宋体" w:eastAsia="宋体"/>
          <w:sz w:val="21"/>
          <w:szCs w:val="21"/>
        </w:rPr>
        <w:t>六、中小企业声明函</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_Toc108514232 \h </w:instrText>
      </w:r>
      <w:r>
        <w:rPr>
          <w:rFonts w:ascii="宋体" w:hAnsi="宋体" w:eastAsia="宋体"/>
          <w:sz w:val="21"/>
          <w:szCs w:val="21"/>
        </w:rPr>
        <w:fldChar w:fldCharType="separate"/>
      </w:r>
      <w:r>
        <w:rPr>
          <w:rFonts w:ascii="宋体" w:hAnsi="宋体" w:eastAsia="宋体"/>
          <w:sz w:val="21"/>
          <w:szCs w:val="21"/>
        </w:rPr>
        <w:t>381</w:t>
      </w:r>
      <w:r>
        <w:rPr>
          <w:rFonts w:ascii="宋体" w:hAnsi="宋体" w:eastAsia="宋体"/>
          <w:sz w:val="21"/>
          <w:szCs w:val="21"/>
        </w:rPr>
        <w:fldChar w:fldCharType="end"/>
      </w:r>
    </w:p>
    <w:p w14:paraId="3AE03625">
      <w:pPr>
        <w:pStyle w:val="13"/>
        <w:tabs>
          <w:tab w:val="right" w:leader="dot" w:pos="8296"/>
        </w:tabs>
        <w:rPr>
          <w:rFonts w:ascii="宋体" w:hAnsi="宋体" w:eastAsia="宋体"/>
          <w:sz w:val="21"/>
          <w:szCs w:val="21"/>
        </w:rPr>
      </w:pPr>
      <w:r>
        <w:rPr>
          <w:rFonts w:hint="eastAsia" w:ascii="宋体" w:hAnsi="宋体" w:eastAsia="宋体"/>
          <w:sz w:val="21"/>
          <w:szCs w:val="21"/>
        </w:rPr>
        <w:t>七、项目管理机构</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_Toc108514233 \h </w:instrText>
      </w:r>
      <w:r>
        <w:rPr>
          <w:rFonts w:ascii="宋体" w:hAnsi="宋体" w:eastAsia="宋体"/>
          <w:sz w:val="21"/>
          <w:szCs w:val="21"/>
        </w:rPr>
        <w:fldChar w:fldCharType="separate"/>
      </w:r>
      <w:r>
        <w:rPr>
          <w:rFonts w:ascii="宋体" w:hAnsi="宋体" w:eastAsia="宋体"/>
          <w:sz w:val="21"/>
          <w:szCs w:val="21"/>
        </w:rPr>
        <w:t>382</w:t>
      </w:r>
      <w:r>
        <w:rPr>
          <w:rFonts w:ascii="宋体" w:hAnsi="宋体" w:eastAsia="宋体"/>
          <w:sz w:val="21"/>
          <w:szCs w:val="21"/>
        </w:rPr>
        <w:fldChar w:fldCharType="end"/>
      </w:r>
    </w:p>
    <w:p w14:paraId="14B7138D">
      <w:pPr>
        <w:pStyle w:val="8"/>
        <w:tabs>
          <w:tab w:val="right" w:leader="dot" w:pos="8296"/>
        </w:tabs>
        <w:rPr>
          <w:rFonts w:ascii="宋体" w:hAnsi="宋体"/>
          <w:szCs w:val="21"/>
        </w:rPr>
      </w:pPr>
      <w:r>
        <w:rPr>
          <w:rFonts w:hint="eastAsia" w:ascii="宋体" w:hAnsi="宋体"/>
          <w:szCs w:val="21"/>
        </w:rPr>
        <w:t>（一）项目管理机构主要人员表</w:t>
      </w:r>
      <w:r>
        <w:rPr>
          <w:rFonts w:ascii="宋体" w:hAnsi="宋体"/>
          <w:szCs w:val="21"/>
        </w:rPr>
        <w:tab/>
      </w:r>
      <w:r>
        <w:rPr>
          <w:rFonts w:ascii="宋体" w:hAnsi="宋体"/>
          <w:szCs w:val="21"/>
        </w:rPr>
        <w:fldChar w:fldCharType="begin"/>
      </w:r>
      <w:r>
        <w:rPr>
          <w:rFonts w:ascii="宋体" w:hAnsi="宋体"/>
          <w:szCs w:val="21"/>
        </w:rPr>
        <w:instrText xml:space="preserve"> PAGEREF _Toc108514234 \h </w:instrText>
      </w:r>
      <w:r>
        <w:rPr>
          <w:rFonts w:ascii="宋体" w:hAnsi="宋体"/>
          <w:szCs w:val="21"/>
        </w:rPr>
        <w:fldChar w:fldCharType="separate"/>
      </w:r>
      <w:r>
        <w:rPr>
          <w:rFonts w:ascii="宋体" w:hAnsi="宋体"/>
          <w:szCs w:val="21"/>
        </w:rPr>
        <w:t>382</w:t>
      </w:r>
      <w:r>
        <w:rPr>
          <w:rFonts w:ascii="宋体" w:hAnsi="宋体"/>
          <w:szCs w:val="21"/>
        </w:rPr>
        <w:fldChar w:fldCharType="end"/>
      </w:r>
    </w:p>
    <w:p w14:paraId="510BE28B">
      <w:pPr>
        <w:pStyle w:val="8"/>
        <w:tabs>
          <w:tab w:val="right" w:leader="dot" w:pos="8296"/>
        </w:tabs>
        <w:rPr>
          <w:rFonts w:ascii="宋体" w:hAnsi="宋体"/>
          <w:szCs w:val="21"/>
        </w:rPr>
      </w:pPr>
      <w:r>
        <w:rPr>
          <w:rFonts w:hint="eastAsia" w:ascii="宋体" w:hAnsi="宋体"/>
          <w:szCs w:val="21"/>
        </w:rPr>
        <w:t>（二）项目经理简历表</w:t>
      </w:r>
      <w:r>
        <w:rPr>
          <w:rFonts w:ascii="宋体" w:hAnsi="宋体"/>
          <w:szCs w:val="21"/>
        </w:rPr>
        <w:tab/>
      </w:r>
      <w:r>
        <w:rPr>
          <w:rFonts w:ascii="宋体" w:hAnsi="宋体"/>
          <w:szCs w:val="21"/>
        </w:rPr>
        <w:fldChar w:fldCharType="begin"/>
      </w:r>
      <w:r>
        <w:rPr>
          <w:rFonts w:ascii="宋体" w:hAnsi="宋体"/>
          <w:szCs w:val="21"/>
        </w:rPr>
        <w:instrText xml:space="preserve"> PAGEREF _Toc108514235 \h </w:instrText>
      </w:r>
      <w:r>
        <w:rPr>
          <w:rFonts w:ascii="宋体" w:hAnsi="宋体"/>
          <w:szCs w:val="21"/>
        </w:rPr>
        <w:fldChar w:fldCharType="separate"/>
      </w:r>
      <w:r>
        <w:rPr>
          <w:rFonts w:ascii="宋体" w:hAnsi="宋体"/>
          <w:szCs w:val="21"/>
        </w:rPr>
        <w:t>383</w:t>
      </w:r>
      <w:r>
        <w:rPr>
          <w:rFonts w:ascii="宋体" w:hAnsi="宋体"/>
          <w:szCs w:val="21"/>
        </w:rPr>
        <w:fldChar w:fldCharType="end"/>
      </w:r>
    </w:p>
    <w:p w14:paraId="708D20C5">
      <w:pPr>
        <w:pStyle w:val="8"/>
        <w:tabs>
          <w:tab w:val="right" w:leader="dot" w:pos="8296"/>
        </w:tabs>
        <w:rPr>
          <w:rFonts w:ascii="宋体" w:hAnsi="宋体"/>
          <w:szCs w:val="21"/>
        </w:rPr>
      </w:pPr>
      <w:r>
        <w:rPr>
          <w:rFonts w:hint="eastAsia" w:ascii="宋体" w:hAnsi="宋体"/>
          <w:szCs w:val="21"/>
        </w:rPr>
        <w:t>（三）承诺书</w:t>
      </w:r>
      <w:r>
        <w:rPr>
          <w:rFonts w:ascii="宋体" w:hAnsi="宋体"/>
          <w:szCs w:val="21"/>
        </w:rPr>
        <w:tab/>
      </w:r>
      <w:r>
        <w:rPr>
          <w:rFonts w:ascii="宋体" w:hAnsi="宋体"/>
          <w:szCs w:val="21"/>
        </w:rPr>
        <w:fldChar w:fldCharType="begin"/>
      </w:r>
      <w:r>
        <w:rPr>
          <w:rFonts w:ascii="宋体" w:hAnsi="宋体"/>
          <w:szCs w:val="21"/>
        </w:rPr>
        <w:instrText xml:space="preserve"> PAGEREF _Toc108514236 \h </w:instrText>
      </w:r>
      <w:r>
        <w:rPr>
          <w:rFonts w:ascii="宋体" w:hAnsi="宋体"/>
          <w:szCs w:val="21"/>
        </w:rPr>
        <w:fldChar w:fldCharType="separate"/>
      </w:r>
      <w:r>
        <w:rPr>
          <w:rFonts w:ascii="宋体" w:hAnsi="宋体"/>
          <w:szCs w:val="21"/>
        </w:rPr>
        <w:t>384</w:t>
      </w:r>
      <w:r>
        <w:rPr>
          <w:rFonts w:ascii="宋体" w:hAnsi="宋体"/>
          <w:szCs w:val="21"/>
        </w:rPr>
        <w:fldChar w:fldCharType="end"/>
      </w:r>
    </w:p>
    <w:p w14:paraId="52B42FD3">
      <w:pPr>
        <w:pStyle w:val="8"/>
        <w:tabs>
          <w:tab w:val="right" w:leader="dot" w:pos="8296"/>
        </w:tabs>
        <w:rPr>
          <w:rFonts w:ascii="宋体" w:hAnsi="宋体"/>
          <w:szCs w:val="21"/>
        </w:rPr>
      </w:pPr>
      <w:r>
        <w:rPr>
          <w:rFonts w:hint="eastAsia" w:ascii="宋体" w:hAnsi="宋体"/>
          <w:szCs w:val="21"/>
        </w:rPr>
        <w:t>（四）其他主要项目管理人员简历表</w:t>
      </w:r>
      <w:r>
        <w:rPr>
          <w:rFonts w:ascii="宋体" w:hAnsi="宋体"/>
          <w:szCs w:val="21"/>
        </w:rPr>
        <w:tab/>
      </w:r>
      <w:r>
        <w:rPr>
          <w:rFonts w:ascii="宋体" w:hAnsi="宋体"/>
          <w:szCs w:val="21"/>
        </w:rPr>
        <w:fldChar w:fldCharType="begin"/>
      </w:r>
      <w:r>
        <w:rPr>
          <w:rFonts w:ascii="宋体" w:hAnsi="宋体"/>
          <w:szCs w:val="21"/>
        </w:rPr>
        <w:instrText xml:space="preserve"> PAGEREF _Toc108514237 \h </w:instrText>
      </w:r>
      <w:r>
        <w:rPr>
          <w:rFonts w:ascii="宋体" w:hAnsi="宋体"/>
          <w:szCs w:val="21"/>
        </w:rPr>
        <w:fldChar w:fldCharType="separate"/>
      </w:r>
      <w:r>
        <w:rPr>
          <w:rFonts w:ascii="宋体" w:hAnsi="宋体"/>
          <w:szCs w:val="21"/>
        </w:rPr>
        <w:t>385</w:t>
      </w:r>
      <w:r>
        <w:rPr>
          <w:rFonts w:ascii="宋体" w:hAnsi="宋体"/>
          <w:szCs w:val="21"/>
        </w:rPr>
        <w:fldChar w:fldCharType="end"/>
      </w:r>
    </w:p>
    <w:p w14:paraId="3ECC4F65">
      <w:pPr>
        <w:pStyle w:val="13"/>
        <w:tabs>
          <w:tab w:val="right" w:leader="dot" w:pos="8296"/>
        </w:tabs>
        <w:rPr>
          <w:rFonts w:ascii="宋体" w:hAnsi="宋体" w:eastAsia="宋体"/>
          <w:sz w:val="21"/>
          <w:szCs w:val="21"/>
        </w:rPr>
      </w:pPr>
      <w:r>
        <w:rPr>
          <w:rFonts w:hint="eastAsia" w:ascii="宋体" w:hAnsi="宋体" w:eastAsia="宋体"/>
          <w:sz w:val="21"/>
          <w:szCs w:val="21"/>
        </w:rPr>
        <w:t>八、资格审查资料</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_Toc108514238 \h </w:instrText>
      </w:r>
      <w:r>
        <w:rPr>
          <w:rFonts w:ascii="宋体" w:hAnsi="宋体" w:eastAsia="宋体"/>
          <w:sz w:val="21"/>
          <w:szCs w:val="21"/>
        </w:rPr>
        <w:fldChar w:fldCharType="separate"/>
      </w:r>
      <w:r>
        <w:rPr>
          <w:rFonts w:ascii="宋体" w:hAnsi="宋体" w:eastAsia="宋体"/>
          <w:sz w:val="21"/>
          <w:szCs w:val="21"/>
        </w:rPr>
        <w:t>386</w:t>
      </w:r>
      <w:r>
        <w:rPr>
          <w:rFonts w:ascii="宋体" w:hAnsi="宋体" w:eastAsia="宋体"/>
          <w:sz w:val="21"/>
          <w:szCs w:val="21"/>
        </w:rPr>
        <w:fldChar w:fldCharType="end"/>
      </w:r>
    </w:p>
    <w:p w14:paraId="1059F8F2">
      <w:pPr>
        <w:pStyle w:val="8"/>
        <w:tabs>
          <w:tab w:val="right" w:leader="dot" w:pos="8296"/>
        </w:tabs>
        <w:rPr>
          <w:rFonts w:ascii="宋体" w:hAnsi="宋体"/>
          <w:szCs w:val="21"/>
        </w:rPr>
      </w:pPr>
      <w:r>
        <w:rPr>
          <w:rFonts w:hint="eastAsia" w:ascii="宋体" w:hAnsi="宋体"/>
          <w:szCs w:val="21"/>
        </w:rPr>
        <w:t>（一）投标人基本情况</w:t>
      </w:r>
      <w:r>
        <w:rPr>
          <w:rFonts w:ascii="宋体" w:hAnsi="宋体"/>
          <w:szCs w:val="21"/>
        </w:rPr>
        <w:tab/>
      </w:r>
      <w:r>
        <w:rPr>
          <w:rFonts w:ascii="宋体" w:hAnsi="宋体"/>
          <w:szCs w:val="21"/>
        </w:rPr>
        <w:fldChar w:fldCharType="begin"/>
      </w:r>
      <w:r>
        <w:rPr>
          <w:rFonts w:ascii="宋体" w:hAnsi="宋体"/>
          <w:szCs w:val="21"/>
        </w:rPr>
        <w:instrText xml:space="preserve"> PAGEREF _Toc108514239 \h </w:instrText>
      </w:r>
      <w:r>
        <w:rPr>
          <w:rFonts w:ascii="宋体" w:hAnsi="宋体"/>
          <w:szCs w:val="21"/>
        </w:rPr>
        <w:fldChar w:fldCharType="separate"/>
      </w:r>
      <w:r>
        <w:rPr>
          <w:rFonts w:ascii="宋体" w:hAnsi="宋体"/>
          <w:szCs w:val="21"/>
        </w:rPr>
        <w:t>386</w:t>
      </w:r>
      <w:r>
        <w:rPr>
          <w:rFonts w:ascii="宋体" w:hAnsi="宋体"/>
          <w:szCs w:val="21"/>
        </w:rPr>
        <w:fldChar w:fldCharType="end"/>
      </w:r>
    </w:p>
    <w:p w14:paraId="5845A8DD">
      <w:pPr>
        <w:pStyle w:val="8"/>
        <w:tabs>
          <w:tab w:val="right" w:leader="dot" w:pos="8296"/>
        </w:tabs>
        <w:ind w:firstLine="420" w:firstLineChars="200"/>
        <w:rPr>
          <w:rFonts w:ascii="宋体" w:hAnsi="宋体"/>
          <w:szCs w:val="21"/>
        </w:rPr>
      </w:pPr>
      <w:r>
        <w:rPr>
          <w:rFonts w:ascii="宋体" w:hAnsi="宋体"/>
          <w:szCs w:val="21"/>
        </w:rPr>
        <w:t>1-1</w:t>
      </w:r>
      <w:r>
        <w:rPr>
          <w:rFonts w:hint="eastAsia" w:ascii="宋体" w:hAnsi="宋体"/>
          <w:szCs w:val="21"/>
        </w:rPr>
        <w:t>投标人基本情况表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_Toc108514240 \h </w:instrText>
      </w:r>
      <w:r>
        <w:rPr>
          <w:rFonts w:ascii="宋体" w:hAnsi="宋体"/>
          <w:szCs w:val="21"/>
        </w:rPr>
        <w:fldChar w:fldCharType="separate"/>
      </w:r>
      <w:r>
        <w:rPr>
          <w:rFonts w:ascii="宋体" w:hAnsi="宋体"/>
          <w:szCs w:val="21"/>
        </w:rPr>
        <w:t>386</w:t>
      </w:r>
      <w:r>
        <w:rPr>
          <w:rFonts w:ascii="宋体" w:hAnsi="宋体"/>
          <w:szCs w:val="21"/>
        </w:rPr>
        <w:fldChar w:fldCharType="end"/>
      </w:r>
    </w:p>
    <w:p w14:paraId="5C5AFA92">
      <w:pPr>
        <w:pStyle w:val="8"/>
        <w:tabs>
          <w:tab w:val="right" w:leader="dot" w:pos="8296"/>
        </w:tabs>
        <w:ind w:firstLine="420" w:firstLineChars="200"/>
        <w:rPr>
          <w:rFonts w:ascii="宋体" w:hAnsi="宋体"/>
          <w:szCs w:val="21"/>
        </w:rPr>
      </w:pPr>
      <w:r>
        <w:rPr>
          <w:rFonts w:ascii="宋体" w:hAnsi="宋体"/>
          <w:szCs w:val="21"/>
        </w:rPr>
        <w:t>1-2</w:t>
      </w:r>
      <w:r>
        <w:rPr>
          <w:rFonts w:hint="eastAsia" w:ascii="宋体" w:hAnsi="宋体"/>
          <w:szCs w:val="21"/>
        </w:rPr>
        <w:t>关联单位情况说明</w:t>
      </w:r>
      <w:r>
        <w:rPr>
          <w:rFonts w:ascii="宋体" w:hAnsi="宋体"/>
          <w:szCs w:val="21"/>
        </w:rPr>
        <w:tab/>
      </w:r>
      <w:r>
        <w:rPr>
          <w:rFonts w:ascii="宋体" w:hAnsi="宋体"/>
          <w:szCs w:val="21"/>
        </w:rPr>
        <w:fldChar w:fldCharType="begin"/>
      </w:r>
      <w:r>
        <w:rPr>
          <w:rFonts w:ascii="宋体" w:hAnsi="宋体"/>
          <w:szCs w:val="21"/>
        </w:rPr>
        <w:instrText xml:space="preserve"> PAGEREF _Toc108514241 \h </w:instrText>
      </w:r>
      <w:r>
        <w:rPr>
          <w:rFonts w:ascii="宋体" w:hAnsi="宋体"/>
          <w:szCs w:val="21"/>
        </w:rPr>
        <w:fldChar w:fldCharType="separate"/>
      </w:r>
      <w:r>
        <w:rPr>
          <w:rFonts w:ascii="宋体" w:hAnsi="宋体"/>
          <w:szCs w:val="21"/>
        </w:rPr>
        <w:t>387</w:t>
      </w:r>
      <w:r>
        <w:rPr>
          <w:rFonts w:ascii="宋体" w:hAnsi="宋体"/>
          <w:szCs w:val="21"/>
        </w:rPr>
        <w:fldChar w:fldCharType="end"/>
      </w:r>
    </w:p>
    <w:p w14:paraId="6B374832">
      <w:pPr>
        <w:pStyle w:val="8"/>
        <w:tabs>
          <w:tab w:val="right" w:leader="dot" w:pos="8296"/>
        </w:tabs>
        <w:ind w:firstLine="420" w:firstLineChars="200"/>
        <w:rPr>
          <w:rFonts w:ascii="宋体" w:hAnsi="宋体"/>
          <w:szCs w:val="21"/>
        </w:rPr>
      </w:pPr>
      <w:r>
        <w:rPr>
          <w:rFonts w:ascii="宋体" w:hAnsi="宋体"/>
          <w:szCs w:val="21"/>
        </w:rPr>
        <w:t xml:space="preserve">1-3 </w:t>
      </w:r>
      <w:r>
        <w:rPr>
          <w:rFonts w:hint="eastAsia" w:ascii="宋体" w:hAnsi="宋体"/>
          <w:szCs w:val="21"/>
        </w:rPr>
        <w:t>建筑业企业信息登记</w:t>
      </w:r>
      <w:r>
        <w:rPr>
          <w:rFonts w:ascii="宋体" w:hAnsi="宋体"/>
          <w:szCs w:val="21"/>
        </w:rPr>
        <w:tab/>
      </w:r>
      <w:r>
        <w:rPr>
          <w:rFonts w:ascii="宋体" w:hAnsi="宋体"/>
          <w:szCs w:val="21"/>
        </w:rPr>
        <w:fldChar w:fldCharType="begin"/>
      </w:r>
      <w:r>
        <w:rPr>
          <w:rFonts w:ascii="宋体" w:hAnsi="宋体"/>
          <w:szCs w:val="21"/>
        </w:rPr>
        <w:instrText xml:space="preserve"> PAGEREF _Toc108514242 \h </w:instrText>
      </w:r>
      <w:r>
        <w:rPr>
          <w:rFonts w:ascii="宋体" w:hAnsi="宋体"/>
          <w:szCs w:val="21"/>
        </w:rPr>
        <w:fldChar w:fldCharType="separate"/>
      </w:r>
      <w:r>
        <w:rPr>
          <w:rFonts w:ascii="宋体" w:hAnsi="宋体"/>
          <w:szCs w:val="21"/>
        </w:rPr>
        <w:t>388</w:t>
      </w:r>
      <w:r>
        <w:rPr>
          <w:rFonts w:ascii="宋体" w:hAnsi="宋体"/>
          <w:szCs w:val="21"/>
        </w:rPr>
        <w:fldChar w:fldCharType="end"/>
      </w:r>
    </w:p>
    <w:p w14:paraId="45A43274">
      <w:pPr>
        <w:pStyle w:val="8"/>
        <w:tabs>
          <w:tab w:val="right" w:leader="dot" w:pos="8296"/>
        </w:tabs>
        <w:ind w:firstLine="420" w:firstLineChars="200"/>
        <w:rPr>
          <w:rFonts w:ascii="宋体" w:hAnsi="宋体"/>
          <w:szCs w:val="21"/>
        </w:rPr>
      </w:pPr>
      <w:r>
        <w:rPr>
          <w:rFonts w:ascii="宋体" w:hAnsi="宋体"/>
          <w:szCs w:val="21"/>
        </w:rPr>
        <w:t>1-4</w:t>
      </w:r>
      <w:r>
        <w:rPr>
          <w:rFonts w:hint="eastAsia" w:ascii="宋体" w:hAnsi="宋体"/>
          <w:szCs w:val="21"/>
        </w:rPr>
        <w:t>项目管理机构主要人员及简历表</w:t>
      </w:r>
      <w:r>
        <w:rPr>
          <w:rFonts w:ascii="宋体" w:hAnsi="宋体"/>
          <w:szCs w:val="21"/>
        </w:rPr>
        <w:tab/>
      </w:r>
      <w:r>
        <w:rPr>
          <w:rFonts w:ascii="宋体" w:hAnsi="宋体"/>
          <w:szCs w:val="21"/>
        </w:rPr>
        <w:fldChar w:fldCharType="begin"/>
      </w:r>
      <w:r>
        <w:rPr>
          <w:rFonts w:ascii="宋体" w:hAnsi="宋体"/>
          <w:szCs w:val="21"/>
        </w:rPr>
        <w:instrText xml:space="preserve"> PAGEREF _Toc108514243 \h </w:instrText>
      </w:r>
      <w:r>
        <w:rPr>
          <w:rFonts w:ascii="宋体" w:hAnsi="宋体"/>
          <w:szCs w:val="21"/>
        </w:rPr>
        <w:fldChar w:fldCharType="separate"/>
      </w:r>
      <w:r>
        <w:rPr>
          <w:rFonts w:ascii="宋体" w:hAnsi="宋体"/>
          <w:szCs w:val="21"/>
        </w:rPr>
        <w:t>389</w:t>
      </w:r>
      <w:r>
        <w:rPr>
          <w:rFonts w:ascii="宋体" w:hAnsi="宋体"/>
          <w:szCs w:val="21"/>
        </w:rPr>
        <w:fldChar w:fldCharType="end"/>
      </w:r>
    </w:p>
    <w:p w14:paraId="0ED517C8">
      <w:pPr>
        <w:pStyle w:val="8"/>
        <w:tabs>
          <w:tab w:val="right" w:leader="dot" w:pos="8296"/>
        </w:tabs>
        <w:ind w:firstLine="420" w:firstLineChars="200"/>
        <w:rPr>
          <w:rFonts w:ascii="宋体" w:hAnsi="宋体"/>
          <w:szCs w:val="21"/>
        </w:rPr>
      </w:pPr>
      <w:r>
        <w:rPr>
          <w:rFonts w:ascii="宋体" w:hAnsi="宋体"/>
          <w:szCs w:val="21"/>
        </w:rPr>
        <w:t>1-5</w:t>
      </w:r>
      <w:r>
        <w:rPr>
          <w:rFonts w:hint="eastAsia" w:ascii="宋体" w:hAnsi="宋体"/>
          <w:szCs w:val="21"/>
        </w:rPr>
        <w:t>拟投入主要施工机械设备情况表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_Toc108514244 \h </w:instrText>
      </w:r>
      <w:r>
        <w:rPr>
          <w:rFonts w:ascii="宋体" w:hAnsi="宋体"/>
          <w:szCs w:val="21"/>
        </w:rPr>
        <w:fldChar w:fldCharType="separate"/>
      </w:r>
      <w:r>
        <w:rPr>
          <w:rFonts w:ascii="宋体" w:hAnsi="宋体"/>
          <w:szCs w:val="21"/>
        </w:rPr>
        <w:t>390</w:t>
      </w:r>
      <w:r>
        <w:rPr>
          <w:rFonts w:ascii="宋体" w:hAnsi="宋体"/>
          <w:szCs w:val="21"/>
        </w:rPr>
        <w:fldChar w:fldCharType="end"/>
      </w:r>
    </w:p>
    <w:p w14:paraId="2ECD6DC5">
      <w:pPr>
        <w:pStyle w:val="8"/>
        <w:tabs>
          <w:tab w:val="right" w:leader="dot" w:pos="8296"/>
        </w:tabs>
        <w:rPr>
          <w:rFonts w:ascii="宋体" w:hAnsi="宋体"/>
          <w:szCs w:val="21"/>
        </w:rPr>
      </w:pPr>
      <w:r>
        <w:rPr>
          <w:rFonts w:hint="eastAsia" w:ascii="宋体" w:hAnsi="宋体"/>
          <w:szCs w:val="21"/>
        </w:rPr>
        <w:t>（二）近</w:t>
      </w:r>
      <w:r>
        <w:rPr>
          <w:rFonts w:ascii="宋体" w:hAnsi="宋体"/>
          <w:szCs w:val="21"/>
        </w:rPr>
        <w:t>3</w:t>
      </w:r>
      <w:r>
        <w:rPr>
          <w:rFonts w:hint="eastAsia" w:ascii="宋体" w:hAnsi="宋体"/>
          <w:szCs w:val="21"/>
        </w:rPr>
        <w:t>年财务状况</w:t>
      </w:r>
      <w:r>
        <w:rPr>
          <w:rFonts w:ascii="宋体" w:hAnsi="宋体"/>
          <w:szCs w:val="21"/>
        </w:rPr>
        <w:tab/>
      </w:r>
      <w:r>
        <w:rPr>
          <w:rFonts w:ascii="宋体" w:hAnsi="宋体"/>
          <w:szCs w:val="21"/>
        </w:rPr>
        <w:fldChar w:fldCharType="begin"/>
      </w:r>
      <w:r>
        <w:rPr>
          <w:rFonts w:ascii="宋体" w:hAnsi="宋体"/>
          <w:szCs w:val="21"/>
        </w:rPr>
        <w:instrText xml:space="preserve"> PAGEREF _Toc108514245 \h </w:instrText>
      </w:r>
      <w:r>
        <w:rPr>
          <w:rFonts w:ascii="宋体" w:hAnsi="宋体"/>
          <w:szCs w:val="21"/>
        </w:rPr>
        <w:fldChar w:fldCharType="separate"/>
      </w:r>
      <w:r>
        <w:rPr>
          <w:rFonts w:ascii="宋体" w:hAnsi="宋体"/>
          <w:szCs w:val="21"/>
        </w:rPr>
        <w:t>391</w:t>
      </w:r>
      <w:r>
        <w:rPr>
          <w:rFonts w:ascii="宋体" w:hAnsi="宋体"/>
          <w:szCs w:val="21"/>
        </w:rPr>
        <w:fldChar w:fldCharType="end"/>
      </w:r>
    </w:p>
    <w:p w14:paraId="5741AC7D">
      <w:pPr>
        <w:pStyle w:val="8"/>
        <w:tabs>
          <w:tab w:val="right" w:leader="dot" w:pos="8296"/>
        </w:tabs>
        <w:ind w:firstLine="420" w:firstLineChars="200"/>
        <w:rPr>
          <w:rFonts w:ascii="宋体" w:hAnsi="宋体"/>
          <w:szCs w:val="21"/>
        </w:rPr>
      </w:pPr>
      <w:r>
        <w:rPr>
          <w:rFonts w:ascii="宋体" w:hAnsi="宋体"/>
          <w:szCs w:val="21"/>
        </w:rPr>
        <w:t>2-1</w:t>
      </w:r>
      <w:r>
        <w:rPr>
          <w:rFonts w:hint="eastAsia" w:ascii="宋体" w:hAnsi="宋体"/>
          <w:szCs w:val="21"/>
        </w:rPr>
        <w:t>近</w:t>
      </w:r>
      <w:r>
        <w:rPr>
          <w:rFonts w:ascii="宋体" w:hAnsi="宋体"/>
          <w:szCs w:val="21"/>
        </w:rPr>
        <w:t>3</w:t>
      </w:r>
      <w:r>
        <w:rPr>
          <w:rFonts w:hint="eastAsia" w:ascii="宋体" w:hAnsi="宋体"/>
          <w:szCs w:val="21"/>
        </w:rPr>
        <w:t>年财务状况表</w:t>
      </w:r>
      <w:r>
        <w:rPr>
          <w:rFonts w:ascii="宋体" w:hAnsi="宋体"/>
          <w:szCs w:val="21"/>
        </w:rPr>
        <w:tab/>
      </w:r>
      <w:r>
        <w:rPr>
          <w:rFonts w:ascii="宋体" w:hAnsi="宋体"/>
          <w:szCs w:val="21"/>
        </w:rPr>
        <w:fldChar w:fldCharType="begin"/>
      </w:r>
      <w:r>
        <w:rPr>
          <w:rFonts w:ascii="宋体" w:hAnsi="宋体"/>
          <w:szCs w:val="21"/>
        </w:rPr>
        <w:instrText xml:space="preserve"> PAGEREF _Toc108514246 \h </w:instrText>
      </w:r>
      <w:r>
        <w:rPr>
          <w:rFonts w:ascii="宋体" w:hAnsi="宋体"/>
          <w:szCs w:val="21"/>
        </w:rPr>
        <w:fldChar w:fldCharType="separate"/>
      </w:r>
      <w:r>
        <w:rPr>
          <w:rFonts w:ascii="宋体" w:hAnsi="宋体"/>
          <w:szCs w:val="21"/>
        </w:rPr>
        <w:t>391</w:t>
      </w:r>
      <w:r>
        <w:rPr>
          <w:rFonts w:ascii="宋体" w:hAnsi="宋体"/>
          <w:szCs w:val="21"/>
        </w:rPr>
        <w:fldChar w:fldCharType="end"/>
      </w:r>
    </w:p>
    <w:p w14:paraId="4656650F">
      <w:pPr>
        <w:pStyle w:val="8"/>
        <w:tabs>
          <w:tab w:val="right" w:leader="dot" w:pos="8296"/>
        </w:tabs>
        <w:ind w:firstLine="420" w:firstLineChars="200"/>
        <w:rPr>
          <w:rFonts w:ascii="宋体" w:hAnsi="宋体"/>
          <w:szCs w:val="21"/>
        </w:rPr>
      </w:pPr>
      <w:r>
        <w:rPr>
          <w:rFonts w:ascii="宋体" w:hAnsi="宋体"/>
          <w:szCs w:val="21"/>
        </w:rPr>
        <w:t>2-2</w:t>
      </w:r>
      <w:r>
        <w:rPr>
          <w:rFonts w:hint="eastAsia" w:ascii="宋体" w:hAnsi="宋体"/>
          <w:szCs w:val="21"/>
        </w:rPr>
        <w:t>拟投入的流动资金函</w:t>
      </w:r>
      <w:r>
        <w:rPr>
          <w:rFonts w:ascii="宋体" w:hAnsi="宋体"/>
          <w:szCs w:val="21"/>
        </w:rPr>
        <w:t>(</w:t>
      </w:r>
      <w:r>
        <w:rPr>
          <w:rFonts w:hint="eastAsia" w:ascii="宋体" w:hAnsi="宋体"/>
          <w:szCs w:val="21"/>
        </w:rPr>
        <w:t>格式</w:t>
      </w:r>
      <w:r>
        <w:rPr>
          <w:rFonts w:ascii="宋体" w:hAnsi="宋体"/>
          <w:szCs w:val="21"/>
        </w:rPr>
        <w:t>)</w:t>
      </w:r>
      <w:r>
        <w:rPr>
          <w:rFonts w:ascii="宋体" w:hAnsi="宋体"/>
          <w:szCs w:val="21"/>
        </w:rPr>
        <w:tab/>
      </w:r>
      <w:r>
        <w:rPr>
          <w:rFonts w:ascii="宋体" w:hAnsi="宋体"/>
          <w:szCs w:val="21"/>
        </w:rPr>
        <w:fldChar w:fldCharType="begin"/>
      </w:r>
      <w:r>
        <w:rPr>
          <w:rFonts w:ascii="宋体" w:hAnsi="宋体"/>
          <w:szCs w:val="21"/>
        </w:rPr>
        <w:instrText xml:space="preserve"> PAGEREF _Toc108514247 \h </w:instrText>
      </w:r>
      <w:r>
        <w:rPr>
          <w:rFonts w:ascii="宋体" w:hAnsi="宋体"/>
          <w:szCs w:val="21"/>
        </w:rPr>
        <w:fldChar w:fldCharType="separate"/>
      </w:r>
      <w:r>
        <w:rPr>
          <w:rFonts w:ascii="宋体" w:hAnsi="宋体"/>
          <w:szCs w:val="21"/>
        </w:rPr>
        <w:t>392</w:t>
      </w:r>
      <w:r>
        <w:rPr>
          <w:rFonts w:ascii="宋体" w:hAnsi="宋体"/>
          <w:szCs w:val="21"/>
        </w:rPr>
        <w:fldChar w:fldCharType="end"/>
      </w:r>
    </w:p>
    <w:p w14:paraId="1379FBE8">
      <w:pPr>
        <w:pStyle w:val="8"/>
        <w:tabs>
          <w:tab w:val="right" w:leader="dot" w:pos="8296"/>
        </w:tabs>
        <w:rPr>
          <w:rFonts w:ascii="宋体" w:hAnsi="宋体"/>
          <w:szCs w:val="21"/>
        </w:rPr>
      </w:pPr>
      <w:r>
        <w:rPr>
          <w:rFonts w:hint="eastAsia" w:ascii="宋体" w:hAnsi="宋体"/>
          <w:szCs w:val="21"/>
        </w:rPr>
        <w:t>（三）近</w:t>
      </w:r>
      <w:r>
        <w:rPr>
          <w:rFonts w:ascii="宋体" w:hAnsi="宋体"/>
          <w:szCs w:val="21"/>
        </w:rPr>
        <w:t>5</w:t>
      </w:r>
      <w:r>
        <w:rPr>
          <w:rFonts w:hint="eastAsia" w:ascii="宋体" w:hAnsi="宋体"/>
          <w:szCs w:val="21"/>
        </w:rPr>
        <w:t>年完成的类似项目情况</w:t>
      </w:r>
      <w:r>
        <w:rPr>
          <w:rFonts w:ascii="宋体" w:hAnsi="宋体"/>
          <w:szCs w:val="21"/>
        </w:rPr>
        <w:tab/>
      </w:r>
      <w:r>
        <w:rPr>
          <w:rFonts w:ascii="宋体" w:hAnsi="宋体"/>
          <w:szCs w:val="21"/>
        </w:rPr>
        <w:fldChar w:fldCharType="begin"/>
      </w:r>
      <w:r>
        <w:rPr>
          <w:rFonts w:ascii="宋体" w:hAnsi="宋体"/>
          <w:szCs w:val="21"/>
        </w:rPr>
        <w:instrText xml:space="preserve"> PAGEREF _Toc108514248 \h </w:instrText>
      </w:r>
      <w:r>
        <w:rPr>
          <w:rFonts w:ascii="宋体" w:hAnsi="宋体"/>
          <w:szCs w:val="21"/>
        </w:rPr>
        <w:fldChar w:fldCharType="separate"/>
      </w:r>
      <w:r>
        <w:rPr>
          <w:rFonts w:ascii="宋体" w:hAnsi="宋体"/>
          <w:szCs w:val="21"/>
        </w:rPr>
        <w:t>393</w:t>
      </w:r>
      <w:r>
        <w:rPr>
          <w:rFonts w:ascii="宋体" w:hAnsi="宋体"/>
          <w:szCs w:val="21"/>
        </w:rPr>
        <w:fldChar w:fldCharType="end"/>
      </w:r>
    </w:p>
    <w:p w14:paraId="27C3FA47">
      <w:pPr>
        <w:pStyle w:val="8"/>
        <w:tabs>
          <w:tab w:val="right" w:leader="dot" w:pos="8296"/>
        </w:tabs>
        <w:ind w:firstLine="420" w:firstLineChars="200"/>
        <w:rPr>
          <w:rFonts w:ascii="宋体" w:hAnsi="宋体"/>
          <w:szCs w:val="21"/>
        </w:rPr>
      </w:pPr>
      <w:r>
        <w:rPr>
          <w:rFonts w:ascii="宋体" w:hAnsi="宋体"/>
          <w:szCs w:val="21"/>
        </w:rPr>
        <w:t xml:space="preserve">3-1 </w:t>
      </w:r>
      <w:r>
        <w:rPr>
          <w:rFonts w:hint="eastAsia" w:ascii="宋体" w:hAnsi="宋体"/>
          <w:szCs w:val="21"/>
        </w:rPr>
        <w:t>近</w:t>
      </w:r>
      <w:r>
        <w:rPr>
          <w:rFonts w:ascii="宋体" w:hAnsi="宋体"/>
          <w:szCs w:val="21"/>
        </w:rPr>
        <w:t>5</w:t>
      </w:r>
      <w:r>
        <w:rPr>
          <w:rFonts w:hint="eastAsia" w:ascii="宋体" w:hAnsi="宋体"/>
          <w:szCs w:val="21"/>
        </w:rPr>
        <w:t>年完成的类似项目汇总表</w:t>
      </w:r>
      <w:r>
        <w:rPr>
          <w:rFonts w:ascii="宋体" w:hAnsi="宋体"/>
          <w:szCs w:val="21"/>
        </w:rPr>
        <w:tab/>
      </w:r>
      <w:r>
        <w:rPr>
          <w:rFonts w:ascii="宋体" w:hAnsi="宋体"/>
          <w:szCs w:val="21"/>
        </w:rPr>
        <w:fldChar w:fldCharType="begin"/>
      </w:r>
      <w:r>
        <w:rPr>
          <w:rFonts w:ascii="宋体" w:hAnsi="宋体"/>
          <w:szCs w:val="21"/>
        </w:rPr>
        <w:instrText xml:space="preserve"> PAGEREF _Toc108514249 \h </w:instrText>
      </w:r>
      <w:r>
        <w:rPr>
          <w:rFonts w:ascii="宋体" w:hAnsi="宋体"/>
          <w:szCs w:val="21"/>
        </w:rPr>
        <w:fldChar w:fldCharType="separate"/>
      </w:r>
      <w:r>
        <w:rPr>
          <w:rFonts w:ascii="宋体" w:hAnsi="宋体"/>
          <w:szCs w:val="21"/>
        </w:rPr>
        <w:t>393</w:t>
      </w:r>
      <w:r>
        <w:rPr>
          <w:rFonts w:ascii="宋体" w:hAnsi="宋体"/>
          <w:szCs w:val="21"/>
        </w:rPr>
        <w:fldChar w:fldCharType="end"/>
      </w:r>
    </w:p>
    <w:p w14:paraId="03F30391">
      <w:pPr>
        <w:pStyle w:val="8"/>
        <w:tabs>
          <w:tab w:val="right" w:leader="dot" w:pos="8296"/>
        </w:tabs>
        <w:ind w:firstLine="420" w:firstLineChars="200"/>
        <w:rPr>
          <w:rFonts w:ascii="宋体" w:hAnsi="宋体"/>
          <w:szCs w:val="21"/>
        </w:rPr>
      </w:pPr>
      <w:r>
        <w:rPr>
          <w:rFonts w:ascii="宋体" w:hAnsi="宋体"/>
          <w:szCs w:val="21"/>
        </w:rPr>
        <w:t xml:space="preserve">3-2 </w:t>
      </w:r>
      <w:r>
        <w:rPr>
          <w:rFonts w:hint="eastAsia" w:ascii="宋体" w:hAnsi="宋体"/>
          <w:szCs w:val="21"/>
        </w:rPr>
        <w:t>近</w:t>
      </w:r>
      <w:r>
        <w:rPr>
          <w:rFonts w:ascii="宋体" w:hAnsi="宋体"/>
          <w:szCs w:val="21"/>
        </w:rPr>
        <w:t>5</w:t>
      </w:r>
      <w:r>
        <w:rPr>
          <w:rFonts w:hint="eastAsia" w:ascii="宋体" w:hAnsi="宋体"/>
          <w:szCs w:val="21"/>
        </w:rPr>
        <w:t>年完成的类似项目情况表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_Toc108514250 \h </w:instrText>
      </w:r>
      <w:r>
        <w:rPr>
          <w:rFonts w:ascii="宋体" w:hAnsi="宋体"/>
          <w:szCs w:val="21"/>
        </w:rPr>
        <w:fldChar w:fldCharType="separate"/>
      </w:r>
      <w:r>
        <w:rPr>
          <w:rFonts w:ascii="宋体" w:hAnsi="宋体"/>
          <w:szCs w:val="21"/>
        </w:rPr>
        <w:t>394</w:t>
      </w:r>
      <w:r>
        <w:rPr>
          <w:rFonts w:ascii="宋体" w:hAnsi="宋体"/>
          <w:szCs w:val="21"/>
        </w:rPr>
        <w:fldChar w:fldCharType="end"/>
      </w:r>
    </w:p>
    <w:p w14:paraId="3D98D41D">
      <w:pPr>
        <w:pStyle w:val="8"/>
        <w:tabs>
          <w:tab w:val="right" w:leader="dot" w:pos="8296"/>
        </w:tabs>
        <w:rPr>
          <w:rFonts w:ascii="宋体" w:hAnsi="宋体"/>
          <w:szCs w:val="21"/>
        </w:rPr>
      </w:pPr>
      <w:r>
        <w:rPr>
          <w:rFonts w:hint="eastAsia" w:ascii="宋体" w:hAnsi="宋体"/>
          <w:szCs w:val="21"/>
        </w:rPr>
        <w:t>（四）正在施工的和新承接的项目情况</w:t>
      </w:r>
      <w:r>
        <w:rPr>
          <w:rFonts w:ascii="宋体" w:hAnsi="宋体"/>
          <w:szCs w:val="21"/>
        </w:rPr>
        <w:tab/>
      </w:r>
      <w:r>
        <w:rPr>
          <w:rFonts w:ascii="宋体" w:hAnsi="宋体"/>
          <w:szCs w:val="21"/>
        </w:rPr>
        <w:fldChar w:fldCharType="begin"/>
      </w:r>
      <w:r>
        <w:rPr>
          <w:rFonts w:ascii="宋体" w:hAnsi="宋体"/>
          <w:szCs w:val="21"/>
        </w:rPr>
        <w:instrText xml:space="preserve"> PAGEREF _Toc108514251 \h </w:instrText>
      </w:r>
      <w:r>
        <w:rPr>
          <w:rFonts w:ascii="宋体" w:hAnsi="宋体"/>
          <w:szCs w:val="21"/>
        </w:rPr>
        <w:fldChar w:fldCharType="separate"/>
      </w:r>
      <w:r>
        <w:rPr>
          <w:rFonts w:ascii="宋体" w:hAnsi="宋体"/>
          <w:szCs w:val="21"/>
        </w:rPr>
        <w:t>395</w:t>
      </w:r>
      <w:r>
        <w:rPr>
          <w:rFonts w:ascii="宋体" w:hAnsi="宋体"/>
          <w:szCs w:val="21"/>
        </w:rPr>
        <w:fldChar w:fldCharType="end"/>
      </w:r>
    </w:p>
    <w:p w14:paraId="61281801">
      <w:pPr>
        <w:pStyle w:val="8"/>
        <w:tabs>
          <w:tab w:val="right" w:leader="dot" w:pos="8296"/>
        </w:tabs>
        <w:ind w:firstLine="420" w:firstLineChars="200"/>
        <w:rPr>
          <w:rFonts w:ascii="宋体" w:hAnsi="宋体"/>
          <w:szCs w:val="21"/>
        </w:rPr>
      </w:pPr>
      <w:r>
        <w:rPr>
          <w:rFonts w:ascii="宋体" w:hAnsi="宋体"/>
          <w:szCs w:val="21"/>
        </w:rPr>
        <w:t xml:space="preserve">4-1 </w:t>
      </w:r>
      <w:r>
        <w:rPr>
          <w:rFonts w:hint="eastAsia" w:ascii="宋体" w:hAnsi="宋体"/>
          <w:szCs w:val="21"/>
        </w:rPr>
        <w:t>正在施工的和新承接的项目汇总表</w:t>
      </w:r>
      <w:r>
        <w:rPr>
          <w:rFonts w:ascii="宋体" w:hAnsi="宋体"/>
          <w:szCs w:val="21"/>
        </w:rPr>
        <w:tab/>
      </w:r>
      <w:r>
        <w:rPr>
          <w:rFonts w:ascii="宋体" w:hAnsi="宋体"/>
          <w:szCs w:val="21"/>
        </w:rPr>
        <w:fldChar w:fldCharType="begin"/>
      </w:r>
      <w:r>
        <w:rPr>
          <w:rFonts w:ascii="宋体" w:hAnsi="宋体"/>
          <w:szCs w:val="21"/>
        </w:rPr>
        <w:instrText xml:space="preserve"> PAGEREF _Toc108514252 \h </w:instrText>
      </w:r>
      <w:r>
        <w:rPr>
          <w:rFonts w:ascii="宋体" w:hAnsi="宋体"/>
          <w:szCs w:val="21"/>
        </w:rPr>
        <w:fldChar w:fldCharType="separate"/>
      </w:r>
      <w:r>
        <w:rPr>
          <w:rFonts w:ascii="宋体" w:hAnsi="宋体"/>
          <w:szCs w:val="21"/>
        </w:rPr>
        <w:t>395</w:t>
      </w:r>
      <w:r>
        <w:rPr>
          <w:rFonts w:ascii="宋体" w:hAnsi="宋体"/>
          <w:szCs w:val="21"/>
        </w:rPr>
        <w:fldChar w:fldCharType="end"/>
      </w:r>
    </w:p>
    <w:p w14:paraId="092523E8">
      <w:pPr>
        <w:pStyle w:val="8"/>
        <w:tabs>
          <w:tab w:val="right" w:leader="dot" w:pos="8296"/>
        </w:tabs>
        <w:ind w:firstLine="420" w:firstLineChars="200"/>
        <w:rPr>
          <w:rFonts w:ascii="宋体" w:hAnsi="宋体"/>
          <w:szCs w:val="21"/>
        </w:rPr>
      </w:pPr>
      <w:r>
        <w:rPr>
          <w:rFonts w:ascii="宋体" w:hAnsi="宋体"/>
          <w:szCs w:val="21"/>
        </w:rPr>
        <w:t xml:space="preserve">4-2 </w:t>
      </w:r>
      <w:r>
        <w:rPr>
          <w:rFonts w:hint="eastAsia" w:ascii="宋体" w:hAnsi="宋体"/>
          <w:szCs w:val="21"/>
        </w:rPr>
        <w:t>正在施工的和新承接的项目情况表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_Toc108514253 \h </w:instrText>
      </w:r>
      <w:r>
        <w:rPr>
          <w:rFonts w:ascii="宋体" w:hAnsi="宋体"/>
          <w:szCs w:val="21"/>
        </w:rPr>
        <w:fldChar w:fldCharType="separate"/>
      </w:r>
      <w:r>
        <w:rPr>
          <w:rFonts w:ascii="宋体" w:hAnsi="宋体"/>
          <w:szCs w:val="21"/>
        </w:rPr>
        <w:t>396</w:t>
      </w:r>
      <w:r>
        <w:rPr>
          <w:rFonts w:ascii="宋体" w:hAnsi="宋体"/>
          <w:szCs w:val="21"/>
        </w:rPr>
        <w:fldChar w:fldCharType="end"/>
      </w:r>
    </w:p>
    <w:p w14:paraId="209EC6C8">
      <w:pPr>
        <w:pStyle w:val="8"/>
        <w:tabs>
          <w:tab w:val="right" w:leader="dot" w:pos="8296"/>
        </w:tabs>
        <w:rPr>
          <w:rFonts w:ascii="宋体" w:hAnsi="宋体"/>
          <w:szCs w:val="21"/>
        </w:rPr>
      </w:pPr>
      <w:r>
        <w:rPr>
          <w:rFonts w:hint="eastAsia" w:ascii="宋体" w:hAnsi="宋体"/>
          <w:szCs w:val="21"/>
        </w:rPr>
        <w:t>（五）企业信誉情况</w:t>
      </w:r>
      <w:r>
        <w:rPr>
          <w:rFonts w:ascii="宋体" w:hAnsi="宋体"/>
          <w:szCs w:val="21"/>
        </w:rPr>
        <w:tab/>
      </w:r>
      <w:r>
        <w:rPr>
          <w:rFonts w:ascii="宋体" w:hAnsi="宋体"/>
          <w:szCs w:val="21"/>
        </w:rPr>
        <w:fldChar w:fldCharType="begin"/>
      </w:r>
      <w:r>
        <w:rPr>
          <w:rFonts w:ascii="宋体" w:hAnsi="宋体"/>
          <w:szCs w:val="21"/>
        </w:rPr>
        <w:instrText xml:space="preserve"> PAGEREF _Toc108514254 \h </w:instrText>
      </w:r>
      <w:r>
        <w:rPr>
          <w:rFonts w:ascii="宋体" w:hAnsi="宋体"/>
          <w:szCs w:val="21"/>
        </w:rPr>
        <w:fldChar w:fldCharType="separate"/>
      </w:r>
      <w:r>
        <w:rPr>
          <w:rFonts w:ascii="宋体" w:hAnsi="宋体"/>
          <w:szCs w:val="21"/>
        </w:rPr>
        <w:t>397</w:t>
      </w:r>
      <w:r>
        <w:rPr>
          <w:rFonts w:ascii="宋体" w:hAnsi="宋体"/>
          <w:szCs w:val="21"/>
        </w:rPr>
        <w:fldChar w:fldCharType="end"/>
      </w:r>
    </w:p>
    <w:p w14:paraId="113A03E8">
      <w:pPr>
        <w:pStyle w:val="8"/>
        <w:tabs>
          <w:tab w:val="right" w:leader="dot" w:pos="8296"/>
        </w:tabs>
        <w:ind w:firstLine="420" w:firstLineChars="200"/>
        <w:rPr>
          <w:rFonts w:ascii="宋体" w:hAnsi="宋体"/>
          <w:szCs w:val="21"/>
        </w:rPr>
      </w:pPr>
      <w:r>
        <w:rPr>
          <w:rFonts w:ascii="宋体" w:hAnsi="宋体"/>
          <w:szCs w:val="21"/>
        </w:rPr>
        <w:t>5-1</w:t>
      </w:r>
      <w:r>
        <w:rPr>
          <w:rFonts w:hint="eastAsia" w:ascii="宋体" w:hAnsi="宋体"/>
          <w:szCs w:val="21"/>
        </w:rPr>
        <w:t>企业信誉声明</w:t>
      </w:r>
      <w:r>
        <w:rPr>
          <w:rFonts w:ascii="宋体" w:hAnsi="宋体"/>
          <w:szCs w:val="21"/>
        </w:rPr>
        <w:tab/>
      </w:r>
      <w:r>
        <w:rPr>
          <w:rFonts w:ascii="宋体" w:hAnsi="宋体"/>
          <w:szCs w:val="21"/>
        </w:rPr>
        <w:fldChar w:fldCharType="begin"/>
      </w:r>
      <w:r>
        <w:rPr>
          <w:rFonts w:ascii="宋体" w:hAnsi="宋体"/>
          <w:szCs w:val="21"/>
        </w:rPr>
        <w:instrText xml:space="preserve"> PAGEREF _Toc108514255 \h </w:instrText>
      </w:r>
      <w:r>
        <w:rPr>
          <w:rFonts w:ascii="宋体" w:hAnsi="宋体"/>
          <w:szCs w:val="21"/>
        </w:rPr>
        <w:fldChar w:fldCharType="separate"/>
      </w:r>
      <w:r>
        <w:rPr>
          <w:rFonts w:ascii="宋体" w:hAnsi="宋体"/>
          <w:szCs w:val="21"/>
        </w:rPr>
        <w:t>397</w:t>
      </w:r>
      <w:r>
        <w:rPr>
          <w:rFonts w:ascii="宋体" w:hAnsi="宋体"/>
          <w:szCs w:val="21"/>
        </w:rPr>
        <w:fldChar w:fldCharType="end"/>
      </w:r>
    </w:p>
    <w:p w14:paraId="67B2A54A">
      <w:pPr>
        <w:pStyle w:val="8"/>
        <w:tabs>
          <w:tab w:val="right" w:leader="dot" w:pos="8296"/>
        </w:tabs>
        <w:ind w:firstLine="420" w:firstLineChars="200"/>
        <w:rPr>
          <w:rFonts w:ascii="宋体" w:hAnsi="宋体"/>
          <w:szCs w:val="21"/>
        </w:rPr>
      </w:pPr>
      <w:r>
        <w:rPr>
          <w:rFonts w:ascii="宋体" w:hAnsi="宋体"/>
          <w:szCs w:val="21"/>
        </w:rPr>
        <w:t xml:space="preserve">5-2 </w:t>
      </w:r>
      <w:r>
        <w:rPr>
          <w:rFonts w:hint="eastAsia" w:ascii="宋体" w:hAnsi="宋体"/>
          <w:szCs w:val="21"/>
        </w:rPr>
        <w:t>近</w:t>
      </w:r>
      <w:r>
        <w:rPr>
          <w:rFonts w:ascii="宋体" w:hAnsi="宋体"/>
          <w:szCs w:val="21"/>
        </w:rPr>
        <w:t>3</w:t>
      </w:r>
      <w:r>
        <w:rPr>
          <w:rFonts w:hint="eastAsia" w:ascii="宋体" w:hAnsi="宋体"/>
          <w:szCs w:val="21"/>
        </w:rPr>
        <w:t>年发生的诉讼和仲裁情况</w:t>
      </w:r>
      <w:r>
        <w:rPr>
          <w:rFonts w:ascii="宋体" w:hAnsi="宋体"/>
          <w:szCs w:val="21"/>
        </w:rPr>
        <w:tab/>
      </w:r>
      <w:r>
        <w:rPr>
          <w:rFonts w:ascii="宋体" w:hAnsi="宋体"/>
          <w:szCs w:val="21"/>
        </w:rPr>
        <w:fldChar w:fldCharType="begin"/>
      </w:r>
      <w:r>
        <w:rPr>
          <w:rFonts w:ascii="宋体" w:hAnsi="宋体"/>
          <w:szCs w:val="21"/>
        </w:rPr>
        <w:instrText xml:space="preserve"> PAGEREF _Toc108514256 \h </w:instrText>
      </w:r>
      <w:r>
        <w:rPr>
          <w:rFonts w:ascii="宋体" w:hAnsi="宋体"/>
          <w:szCs w:val="21"/>
        </w:rPr>
        <w:fldChar w:fldCharType="separate"/>
      </w:r>
      <w:r>
        <w:rPr>
          <w:rFonts w:ascii="宋体" w:hAnsi="宋体"/>
          <w:szCs w:val="21"/>
        </w:rPr>
        <w:t>398</w:t>
      </w:r>
      <w:r>
        <w:rPr>
          <w:rFonts w:ascii="宋体" w:hAnsi="宋体"/>
          <w:szCs w:val="21"/>
        </w:rPr>
        <w:fldChar w:fldCharType="end"/>
      </w:r>
    </w:p>
    <w:p w14:paraId="4ACDE5EF">
      <w:pPr>
        <w:pStyle w:val="8"/>
        <w:tabs>
          <w:tab w:val="right" w:leader="dot" w:pos="8296"/>
        </w:tabs>
        <w:ind w:firstLine="420" w:firstLineChars="200"/>
        <w:rPr>
          <w:rFonts w:ascii="宋体" w:hAnsi="宋体"/>
          <w:szCs w:val="21"/>
        </w:rPr>
      </w:pPr>
      <w:r>
        <w:rPr>
          <w:rFonts w:ascii="宋体" w:hAnsi="宋体"/>
          <w:szCs w:val="21"/>
        </w:rPr>
        <w:t xml:space="preserve">5-3 </w:t>
      </w:r>
      <w:r>
        <w:rPr>
          <w:rFonts w:hint="eastAsia" w:ascii="宋体" w:hAnsi="宋体"/>
          <w:szCs w:val="21"/>
        </w:rPr>
        <w:t>近</w:t>
      </w:r>
      <w:r>
        <w:rPr>
          <w:rFonts w:ascii="宋体" w:hAnsi="宋体"/>
          <w:szCs w:val="21"/>
        </w:rPr>
        <w:t>5</w:t>
      </w:r>
      <w:r>
        <w:rPr>
          <w:rFonts w:hint="eastAsia" w:ascii="宋体" w:hAnsi="宋体"/>
          <w:szCs w:val="21"/>
        </w:rPr>
        <w:t>年投标人工程获奖情况表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_Toc108514257 \h </w:instrText>
      </w:r>
      <w:r>
        <w:rPr>
          <w:rFonts w:ascii="宋体" w:hAnsi="宋体"/>
          <w:szCs w:val="21"/>
        </w:rPr>
        <w:fldChar w:fldCharType="separate"/>
      </w:r>
      <w:r>
        <w:rPr>
          <w:rFonts w:ascii="宋体" w:hAnsi="宋体"/>
          <w:szCs w:val="21"/>
        </w:rPr>
        <w:t>399</w:t>
      </w:r>
      <w:r>
        <w:rPr>
          <w:rFonts w:ascii="宋体" w:hAnsi="宋体"/>
          <w:szCs w:val="21"/>
        </w:rPr>
        <w:fldChar w:fldCharType="end"/>
      </w:r>
    </w:p>
    <w:p w14:paraId="70D54253">
      <w:pPr>
        <w:pStyle w:val="8"/>
        <w:tabs>
          <w:tab w:val="right" w:leader="dot" w:pos="8296"/>
        </w:tabs>
        <w:ind w:firstLine="420" w:firstLineChars="200"/>
        <w:rPr>
          <w:rFonts w:ascii="宋体" w:hAnsi="宋体"/>
          <w:szCs w:val="21"/>
        </w:rPr>
      </w:pPr>
      <w:r>
        <w:rPr>
          <w:rFonts w:ascii="宋体" w:hAnsi="宋体"/>
          <w:szCs w:val="21"/>
        </w:rPr>
        <w:t xml:space="preserve">5-4 </w:t>
      </w:r>
      <w:r>
        <w:rPr>
          <w:rFonts w:hint="eastAsia" w:ascii="宋体" w:hAnsi="宋体"/>
          <w:szCs w:val="21"/>
        </w:rPr>
        <w:t>近</w:t>
      </w:r>
      <w:r>
        <w:rPr>
          <w:rFonts w:ascii="宋体" w:hAnsi="宋体"/>
          <w:szCs w:val="21"/>
        </w:rPr>
        <w:t>5</w:t>
      </w:r>
      <w:r>
        <w:rPr>
          <w:rFonts w:hint="eastAsia" w:ascii="宋体" w:hAnsi="宋体"/>
          <w:szCs w:val="21"/>
        </w:rPr>
        <w:t>年项目经理工程获奖情况表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_Toc108514258 \h </w:instrText>
      </w:r>
      <w:r>
        <w:rPr>
          <w:rFonts w:ascii="宋体" w:hAnsi="宋体"/>
          <w:szCs w:val="21"/>
        </w:rPr>
        <w:fldChar w:fldCharType="separate"/>
      </w:r>
      <w:r>
        <w:rPr>
          <w:rFonts w:ascii="宋体" w:hAnsi="宋体"/>
          <w:szCs w:val="21"/>
        </w:rPr>
        <w:t>400</w:t>
      </w:r>
      <w:r>
        <w:rPr>
          <w:rFonts w:ascii="宋体" w:hAnsi="宋体"/>
          <w:szCs w:val="21"/>
        </w:rPr>
        <w:fldChar w:fldCharType="end"/>
      </w:r>
    </w:p>
    <w:p w14:paraId="21E479FD">
      <w:pPr>
        <w:pStyle w:val="8"/>
        <w:tabs>
          <w:tab w:val="right" w:leader="dot" w:pos="8296"/>
        </w:tabs>
        <w:ind w:firstLine="420" w:firstLineChars="200"/>
        <w:rPr>
          <w:rFonts w:ascii="宋体" w:hAnsi="宋体"/>
          <w:szCs w:val="21"/>
        </w:rPr>
      </w:pPr>
      <w:r>
        <w:rPr>
          <w:rFonts w:ascii="宋体" w:hAnsi="宋体"/>
          <w:szCs w:val="21"/>
        </w:rPr>
        <w:t xml:space="preserve">5-5 </w:t>
      </w:r>
      <w:r>
        <w:rPr>
          <w:rFonts w:hint="eastAsia" w:ascii="宋体" w:hAnsi="宋体"/>
          <w:szCs w:val="21"/>
        </w:rPr>
        <w:t>近</w:t>
      </w:r>
      <w:r>
        <w:rPr>
          <w:rFonts w:ascii="宋体" w:hAnsi="宋体"/>
          <w:szCs w:val="21"/>
        </w:rPr>
        <w:t>5</w:t>
      </w:r>
      <w:r>
        <w:rPr>
          <w:rFonts w:hint="eastAsia" w:ascii="宋体" w:hAnsi="宋体"/>
          <w:szCs w:val="21"/>
        </w:rPr>
        <w:t>年项目经理获表彰情况表</w:t>
      </w:r>
      <w:r>
        <w:rPr>
          <w:rFonts w:ascii="宋体" w:hAnsi="宋体"/>
          <w:szCs w:val="21"/>
        </w:rPr>
        <w:tab/>
      </w:r>
      <w:r>
        <w:rPr>
          <w:rFonts w:ascii="宋体" w:hAnsi="宋体"/>
          <w:szCs w:val="21"/>
        </w:rPr>
        <w:fldChar w:fldCharType="begin"/>
      </w:r>
      <w:r>
        <w:rPr>
          <w:rFonts w:ascii="宋体" w:hAnsi="宋体"/>
          <w:szCs w:val="21"/>
        </w:rPr>
        <w:instrText xml:space="preserve"> PAGEREF _Toc108514259 \h </w:instrText>
      </w:r>
      <w:r>
        <w:rPr>
          <w:rFonts w:ascii="宋体" w:hAnsi="宋体"/>
          <w:szCs w:val="21"/>
        </w:rPr>
        <w:fldChar w:fldCharType="separate"/>
      </w:r>
      <w:r>
        <w:rPr>
          <w:rFonts w:ascii="宋体" w:hAnsi="宋体"/>
          <w:szCs w:val="21"/>
        </w:rPr>
        <w:t>401</w:t>
      </w:r>
      <w:r>
        <w:rPr>
          <w:rFonts w:ascii="宋体" w:hAnsi="宋体"/>
          <w:szCs w:val="21"/>
        </w:rPr>
        <w:fldChar w:fldCharType="end"/>
      </w:r>
    </w:p>
    <w:p w14:paraId="1683F814">
      <w:pPr>
        <w:pStyle w:val="13"/>
        <w:tabs>
          <w:tab w:val="right" w:leader="dot" w:pos="8296"/>
        </w:tabs>
        <w:rPr>
          <w:rFonts w:ascii="宋体" w:hAnsi="宋体" w:eastAsia="宋体"/>
          <w:sz w:val="21"/>
          <w:szCs w:val="21"/>
        </w:rPr>
      </w:pPr>
      <w:r>
        <w:rPr>
          <w:rFonts w:hint="eastAsia" w:ascii="宋体" w:hAnsi="宋体" w:eastAsia="宋体"/>
          <w:sz w:val="21"/>
          <w:szCs w:val="21"/>
        </w:rPr>
        <w:t>九、已标价工程量清单</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_Toc108514260 \h </w:instrText>
      </w:r>
      <w:r>
        <w:rPr>
          <w:rFonts w:ascii="宋体" w:hAnsi="宋体" w:eastAsia="宋体"/>
          <w:sz w:val="21"/>
          <w:szCs w:val="21"/>
        </w:rPr>
        <w:fldChar w:fldCharType="separate"/>
      </w:r>
      <w:r>
        <w:rPr>
          <w:rFonts w:ascii="宋体" w:hAnsi="宋体" w:eastAsia="宋体"/>
          <w:sz w:val="21"/>
          <w:szCs w:val="21"/>
        </w:rPr>
        <w:t>402</w:t>
      </w:r>
      <w:r>
        <w:rPr>
          <w:rFonts w:ascii="宋体" w:hAnsi="宋体" w:eastAsia="宋体"/>
          <w:sz w:val="21"/>
          <w:szCs w:val="21"/>
        </w:rPr>
        <w:fldChar w:fldCharType="end"/>
      </w:r>
    </w:p>
    <w:p w14:paraId="083E1A9D">
      <w:pPr>
        <w:pStyle w:val="8"/>
        <w:tabs>
          <w:tab w:val="right" w:leader="dot" w:pos="8296"/>
        </w:tabs>
        <w:rPr>
          <w:rFonts w:ascii="宋体" w:hAnsi="宋体"/>
          <w:szCs w:val="21"/>
        </w:rPr>
      </w:pPr>
      <w:r>
        <w:rPr>
          <w:rFonts w:hint="eastAsia" w:ascii="宋体" w:hAnsi="宋体"/>
          <w:szCs w:val="21"/>
        </w:rPr>
        <w:t>已标价工程量清单（投标总价）封面</w:t>
      </w:r>
      <w:r>
        <w:rPr>
          <w:rFonts w:ascii="宋体" w:hAnsi="宋体"/>
          <w:szCs w:val="21"/>
        </w:rPr>
        <w:tab/>
      </w:r>
      <w:r>
        <w:rPr>
          <w:rFonts w:ascii="宋体" w:hAnsi="宋体"/>
          <w:szCs w:val="21"/>
        </w:rPr>
        <w:fldChar w:fldCharType="begin"/>
      </w:r>
      <w:r>
        <w:rPr>
          <w:rFonts w:ascii="宋体" w:hAnsi="宋体"/>
          <w:szCs w:val="21"/>
        </w:rPr>
        <w:instrText xml:space="preserve"> PAGEREF _Toc108514261 \h </w:instrText>
      </w:r>
      <w:r>
        <w:rPr>
          <w:rFonts w:ascii="宋体" w:hAnsi="宋体"/>
          <w:szCs w:val="21"/>
        </w:rPr>
        <w:fldChar w:fldCharType="separate"/>
      </w:r>
      <w:r>
        <w:rPr>
          <w:rFonts w:ascii="宋体" w:hAnsi="宋体"/>
          <w:szCs w:val="21"/>
        </w:rPr>
        <w:t>403</w:t>
      </w:r>
      <w:r>
        <w:rPr>
          <w:rFonts w:ascii="宋体" w:hAnsi="宋体"/>
          <w:szCs w:val="21"/>
        </w:rPr>
        <w:fldChar w:fldCharType="end"/>
      </w:r>
    </w:p>
    <w:p w14:paraId="1EAD570A">
      <w:pPr>
        <w:pStyle w:val="8"/>
        <w:tabs>
          <w:tab w:val="right" w:leader="dot" w:pos="8296"/>
        </w:tabs>
        <w:rPr>
          <w:rFonts w:ascii="宋体" w:hAnsi="宋体"/>
          <w:szCs w:val="21"/>
        </w:rPr>
      </w:pPr>
      <w:r>
        <w:rPr>
          <w:rFonts w:hint="eastAsia" w:ascii="宋体" w:hAnsi="宋体"/>
          <w:szCs w:val="21"/>
        </w:rPr>
        <w:t>投标总价扉页</w:t>
      </w:r>
      <w:r>
        <w:rPr>
          <w:rFonts w:ascii="宋体" w:hAnsi="宋体"/>
          <w:szCs w:val="21"/>
        </w:rPr>
        <w:tab/>
      </w:r>
      <w:r>
        <w:rPr>
          <w:rFonts w:ascii="宋体" w:hAnsi="宋体"/>
          <w:szCs w:val="21"/>
        </w:rPr>
        <w:fldChar w:fldCharType="begin"/>
      </w:r>
      <w:r>
        <w:rPr>
          <w:rFonts w:ascii="宋体" w:hAnsi="宋体"/>
          <w:szCs w:val="21"/>
        </w:rPr>
        <w:instrText xml:space="preserve"> PAGEREF _Toc108514262 \h </w:instrText>
      </w:r>
      <w:r>
        <w:rPr>
          <w:rFonts w:ascii="宋体" w:hAnsi="宋体"/>
          <w:szCs w:val="21"/>
        </w:rPr>
        <w:fldChar w:fldCharType="separate"/>
      </w:r>
      <w:r>
        <w:rPr>
          <w:rFonts w:ascii="宋体" w:hAnsi="宋体"/>
          <w:szCs w:val="21"/>
        </w:rPr>
        <w:t>404</w:t>
      </w:r>
      <w:r>
        <w:rPr>
          <w:rFonts w:ascii="宋体" w:hAnsi="宋体"/>
          <w:szCs w:val="21"/>
        </w:rPr>
        <w:fldChar w:fldCharType="end"/>
      </w:r>
    </w:p>
    <w:p w14:paraId="55D024E1">
      <w:pPr>
        <w:pStyle w:val="13"/>
        <w:tabs>
          <w:tab w:val="right" w:leader="dot" w:pos="8296"/>
        </w:tabs>
        <w:rPr>
          <w:rFonts w:ascii="宋体" w:hAnsi="宋体" w:eastAsia="宋体"/>
          <w:sz w:val="21"/>
          <w:szCs w:val="21"/>
        </w:rPr>
      </w:pPr>
      <w:r>
        <w:rPr>
          <w:rFonts w:hint="eastAsia" w:ascii="宋体" w:hAnsi="宋体" w:eastAsia="宋体"/>
          <w:sz w:val="21"/>
          <w:szCs w:val="21"/>
        </w:rPr>
        <w:t>十、施工组织设计</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_Toc108514263 \h </w:instrText>
      </w:r>
      <w:r>
        <w:rPr>
          <w:rFonts w:ascii="宋体" w:hAnsi="宋体" w:eastAsia="宋体"/>
          <w:sz w:val="21"/>
          <w:szCs w:val="21"/>
        </w:rPr>
        <w:fldChar w:fldCharType="separate"/>
      </w:r>
      <w:r>
        <w:rPr>
          <w:rFonts w:ascii="宋体" w:hAnsi="宋体" w:eastAsia="宋体"/>
          <w:sz w:val="21"/>
          <w:szCs w:val="21"/>
        </w:rPr>
        <w:t>405</w:t>
      </w:r>
      <w:r>
        <w:rPr>
          <w:rFonts w:ascii="宋体" w:hAnsi="宋体" w:eastAsia="宋体"/>
          <w:sz w:val="21"/>
          <w:szCs w:val="21"/>
        </w:rPr>
        <w:fldChar w:fldCharType="end"/>
      </w:r>
    </w:p>
    <w:p w14:paraId="2F9A1A80">
      <w:pPr>
        <w:pStyle w:val="8"/>
        <w:tabs>
          <w:tab w:val="right" w:leader="dot" w:pos="8296"/>
        </w:tabs>
        <w:rPr>
          <w:rFonts w:ascii="宋体" w:hAnsi="宋体"/>
          <w:szCs w:val="21"/>
        </w:rPr>
      </w:pPr>
      <w:r>
        <w:rPr>
          <w:rFonts w:hint="eastAsia" w:ascii="宋体" w:hAnsi="宋体"/>
          <w:szCs w:val="21"/>
        </w:rPr>
        <w:t>附表一：拟投入本工程的主要施工设备表</w:t>
      </w:r>
      <w:r>
        <w:rPr>
          <w:rFonts w:ascii="宋体" w:hAnsi="宋体"/>
          <w:szCs w:val="21"/>
        </w:rPr>
        <w:tab/>
      </w:r>
      <w:r>
        <w:rPr>
          <w:rFonts w:ascii="宋体" w:hAnsi="宋体"/>
          <w:szCs w:val="21"/>
        </w:rPr>
        <w:fldChar w:fldCharType="begin"/>
      </w:r>
      <w:r>
        <w:rPr>
          <w:rFonts w:ascii="宋体" w:hAnsi="宋体"/>
          <w:szCs w:val="21"/>
        </w:rPr>
        <w:instrText xml:space="preserve"> PAGEREF _Toc108514264 \h </w:instrText>
      </w:r>
      <w:r>
        <w:rPr>
          <w:rFonts w:ascii="宋体" w:hAnsi="宋体"/>
          <w:szCs w:val="21"/>
        </w:rPr>
        <w:fldChar w:fldCharType="separate"/>
      </w:r>
      <w:r>
        <w:rPr>
          <w:rFonts w:ascii="宋体" w:hAnsi="宋体"/>
          <w:szCs w:val="21"/>
        </w:rPr>
        <w:t>407</w:t>
      </w:r>
      <w:r>
        <w:rPr>
          <w:rFonts w:ascii="宋体" w:hAnsi="宋体"/>
          <w:szCs w:val="21"/>
        </w:rPr>
        <w:fldChar w:fldCharType="end"/>
      </w:r>
    </w:p>
    <w:p w14:paraId="444313FC">
      <w:pPr>
        <w:pStyle w:val="8"/>
        <w:tabs>
          <w:tab w:val="right" w:leader="dot" w:pos="8296"/>
        </w:tabs>
        <w:rPr>
          <w:rFonts w:ascii="宋体" w:hAnsi="宋体"/>
          <w:szCs w:val="21"/>
        </w:rPr>
      </w:pPr>
      <w:r>
        <w:rPr>
          <w:rFonts w:hint="eastAsia" w:ascii="宋体" w:hAnsi="宋体"/>
          <w:szCs w:val="21"/>
        </w:rPr>
        <w:t>附表二：拟配备本工程的试验和检测仪器设备表</w:t>
      </w:r>
      <w:r>
        <w:rPr>
          <w:rFonts w:ascii="宋体" w:hAnsi="宋体"/>
          <w:szCs w:val="21"/>
        </w:rPr>
        <w:tab/>
      </w:r>
      <w:r>
        <w:rPr>
          <w:rFonts w:ascii="宋体" w:hAnsi="宋体"/>
          <w:szCs w:val="21"/>
        </w:rPr>
        <w:fldChar w:fldCharType="begin"/>
      </w:r>
      <w:r>
        <w:rPr>
          <w:rFonts w:ascii="宋体" w:hAnsi="宋体"/>
          <w:szCs w:val="21"/>
        </w:rPr>
        <w:instrText xml:space="preserve"> PAGEREF _Toc108514265 \h </w:instrText>
      </w:r>
      <w:r>
        <w:rPr>
          <w:rFonts w:ascii="宋体" w:hAnsi="宋体"/>
          <w:szCs w:val="21"/>
        </w:rPr>
        <w:fldChar w:fldCharType="separate"/>
      </w:r>
      <w:r>
        <w:rPr>
          <w:rFonts w:ascii="宋体" w:hAnsi="宋体"/>
          <w:szCs w:val="21"/>
        </w:rPr>
        <w:t>408</w:t>
      </w:r>
      <w:r>
        <w:rPr>
          <w:rFonts w:ascii="宋体" w:hAnsi="宋体"/>
          <w:szCs w:val="21"/>
        </w:rPr>
        <w:fldChar w:fldCharType="end"/>
      </w:r>
    </w:p>
    <w:p w14:paraId="09604F54">
      <w:pPr>
        <w:pStyle w:val="8"/>
        <w:tabs>
          <w:tab w:val="right" w:leader="dot" w:pos="8296"/>
        </w:tabs>
        <w:rPr>
          <w:rFonts w:ascii="宋体" w:hAnsi="宋体"/>
          <w:szCs w:val="21"/>
        </w:rPr>
      </w:pPr>
      <w:r>
        <w:rPr>
          <w:rFonts w:hint="eastAsia" w:ascii="宋体" w:hAnsi="宋体"/>
          <w:szCs w:val="21"/>
        </w:rPr>
        <w:t>附表三：劳动力计划表</w:t>
      </w:r>
      <w:r>
        <w:rPr>
          <w:rFonts w:ascii="宋体" w:hAnsi="宋体"/>
          <w:szCs w:val="21"/>
        </w:rPr>
        <w:tab/>
      </w:r>
      <w:r>
        <w:rPr>
          <w:rFonts w:ascii="宋体" w:hAnsi="宋体"/>
          <w:szCs w:val="21"/>
        </w:rPr>
        <w:fldChar w:fldCharType="begin"/>
      </w:r>
      <w:r>
        <w:rPr>
          <w:rFonts w:ascii="宋体" w:hAnsi="宋体"/>
          <w:szCs w:val="21"/>
        </w:rPr>
        <w:instrText xml:space="preserve"> PAGEREF _Toc108514266 \h </w:instrText>
      </w:r>
      <w:r>
        <w:rPr>
          <w:rFonts w:ascii="宋体" w:hAnsi="宋体"/>
          <w:szCs w:val="21"/>
        </w:rPr>
        <w:fldChar w:fldCharType="separate"/>
      </w:r>
      <w:r>
        <w:rPr>
          <w:rFonts w:ascii="宋体" w:hAnsi="宋体"/>
          <w:szCs w:val="21"/>
        </w:rPr>
        <w:t>409</w:t>
      </w:r>
      <w:r>
        <w:rPr>
          <w:rFonts w:ascii="宋体" w:hAnsi="宋体"/>
          <w:szCs w:val="21"/>
        </w:rPr>
        <w:fldChar w:fldCharType="end"/>
      </w:r>
    </w:p>
    <w:p w14:paraId="7E6C8539">
      <w:pPr>
        <w:pStyle w:val="8"/>
        <w:tabs>
          <w:tab w:val="right" w:leader="dot" w:pos="8296"/>
        </w:tabs>
        <w:rPr>
          <w:rFonts w:ascii="宋体" w:hAnsi="宋体"/>
          <w:szCs w:val="21"/>
        </w:rPr>
      </w:pPr>
      <w:r>
        <w:rPr>
          <w:rFonts w:hint="eastAsia" w:ascii="宋体" w:hAnsi="宋体"/>
          <w:szCs w:val="21"/>
        </w:rPr>
        <w:t>附表四：计划开、竣工日期和施工进度网络图</w:t>
      </w:r>
      <w:r>
        <w:rPr>
          <w:rFonts w:ascii="宋体" w:hAnsi="宋体"/>
          <w:szCs w:val="21"/>
        </w:rPr>
        <w:tab/>
      </w:r>
      <w:r>
        <w:rPr>
          <w:rFonts w:ascii="宋体" w:hAnsi="宋体"/>
          <w:szCs w:val="21"/>
        </w:rPr>
        <w:fldChar w:fldCharType="begin"/>
      </w:r>
      <w:r>
        <w:rPr>
          <w:rFonts w:ascii="宋体" w:hAnsi="宋体"/>
          <w:szCs w:val="21"/>
        </w:rPr>
        <w:instrText xml:space="preserve"> PAGEREF _Toc108514267 \h </w:instrText>
      </w:r>
      <w:r>
        <w:rPr>
          <w:rFonts w:ascii="宋体" w:hAnsi="宋体"/>
          <w:szCs w:val="21"/>
        </w:rPr>
        <w:fldChar w:fldCharType="separate"/>
      </w:r>
      <w:r>
        <w:rPr>
          <w:rFonts w:ascii="宋体" w:hAnsi="宋体"/>
          <w:szCs w:val="21"/>
        </w:rPr>
        <w:t>410</w:t>
      </w:r>
      <w:r>
        <w:rPr>
          <w:rFonts w:ascii="宋体" w:hAnsi="宋体"/>
          <w:szCs w:val="21"/>
        </w:rPr>
        <w:fldChar w:fldCharType="end"/>
      </w:r>
    </w:p>
    <w:p w14:paraId="34BC194A">
      <w:pPr>
        <w:pStyle w:val="8"/>
        <w:tabs>
          <w:tab w:val="right" w:leader="dot" w:pos="8296"/>
        </w:tabs>
        <w:rPr>
          <w:rFonts w:ascii="宋体" w:hAnsi="宋体"/>
          <w:szCs w:val="21"/>
        </w:rPr>
      </w:pPr>
      <w:r>
        <w:rPr>
          <w:rFonts w:hint="eastAsia" w:ascii="宋体" w:hAnsi="宋体"/>
          <w:szCs w:val="21"/>
        </w:rPr>
        <w:t>附表五：施工总平面图</w:t>
      </w:r>
      <w:r>
        <w:rPr>
          <w:rFonts w:ascii="宋体" w:hAnsi="宋体"/>
          <w:szCs w:val="21"/>
        </w:rPr>
        <w:tab/>
      </w:r>
      <w:r>
        <w:rPr>
          <w:rFonts w:ascii="宋体" w:hAnsi="宋体"/>
          <w:szCs w:val="21"/>
        </w:rPr>
        <w:fldChar w:fldCharType="begin"/>
      </w:r>
      <w:r>
        <w:rPr>
          <w:rFonts w:ascii="宋体" w:hAnsi="宋体"/>
          <w:szCs w:val="21"/>
        </w:rPr>
        <w:instrText xml:space="preserve"> PAGEREF _Toc108514268 \h </w:instrText>
      </w:r>
      <w:r>
        <w:rPr>
          <w:rFonts w:ascii="宋体" w:hAnsi="宋体"/>
          <w:szCs w:val="21"/>
        </w:rPr>
        <w:fldChar w:fldCharType="separate"/>
      </w:r>
      <w:r>
        <w:rPr>
          <w:rFonts w:ascii="宋体" w:hAnsi="宋体"/>
          <w:szCs w:val="21"/>
        </w:rPr>
        <w:t>411</w:t>
      </w:r>
      <w:r>
        <w:rPr>
          <w:rFonts w:ascii="宋体" w:hAnsi="宋体"/>
          <w:szCs w:val="21"/>
        </w:rPr>
        <w:fldChar w:fldCharType="end"/>
      </w:r>
    </w:p>
    <w:p w14:paraId="3DD0FE0C">
      <w:pPr>
        <w:pStyle w:val="8"/>
        <w:tabs>
          <w:tab w:val="right" w:leader="dot" w:pos="8296"/>
        </w:tabs>
        <w:rPr>
          <w:rFonts w:ascii="宋体" w:hAnsi="宋体"/>
          <w:szCs w:val="21"/>
        </w:rPr>
      </w:pPr>
      <w:r>
        <w:rPr>
          <w:rFonts w:hint="eastAsia" w:ascii="宋体" w:hAnsi="宋体"/>
          <w:szCs w:val="21"/>
        </w:rPr>
        <w:t>附表六：临时用地表</w:t>
      </w:r>
      <w:r>
        <w:rPr>
          <w:rFonts w:ascii="宋体" w:hAnsi="宋体"/>
          <w:szCs w:val="21"/>
        </w:rPr>
        <w:tab/>
      </w:r>
      <w:r>
        <w:rPr>
          <w:rFonts w:ascii="宋体" w:hAnsi="宋体"/>
          <w:szCs w:val="21"/>
        </w:rPr>
        <w:fldChar w:fldCharType="begin"/>
      </w:r>
      <w:r>
        <w:rPr>
          <w:rFonts w:ascii="宋体" w:hAnsi="宋体"/>
          <w:szCs w:val="21"/>
        </w:rPr>
        <w:instrText xml:space="preserve"> PAGEREF _Toc108514269 \h </w:instrText>
      </w:r>
      <w:r>
        <w:rPr>
          <w:rFonts w:ascii="宋体" w:hAnsi="宋体"/>
          <w:szCs w:val="21"/>
        </w:rPr>
        <w:fldChar w:fldCharType="separate"/>
      </w:r>
      <w:r>
        <w:rPr>
          <w:rFonts w:ascii="宋体" w:hAnsi="宋体"/>
          <w:szCs w:val="21"/>
        </w:rPr>
        <w:t>412</w:t>
      </w:r>
      <w:r>
        <w:rPr>
          <w:rFonts w:ascii="宋体" w:hAnsi="宋体"/>
          <w:szCs w:val="21"/>
        </w:rPr>
        <w:fldChar w:fldCharType="end"/>
      </w:r>
    </w:p>
    <w:p w14:paraId="24279E79">
      <w:pPr>
        <w:pStyle w:val="13"/>
        <w:tabs>
          <w:tab w:val="right" w:leader="dot" w:pos="8296"/>
        </w:tabs>
        <w:rPr>
          <w:rFonts w:ascii="宋体" w:hAnsi="宋体" w:eastAsia="宋体"/>
          <w:sz w:val="21"/>
          <w:szCs w:val="21"/>
        </w:rPr>
      </w:pPr>
      <w:r>
        <w:rPr>
          <w:rFonts w:hint="eastAsia" w:ascii="宋体" w:hAnsi="宋体" w:eastAsia="宋体"/>
          <w:sz w:val="21"/>
          <w:szCs w:val="21"/>
        </w:rPr>
        <w:t>十一、其他材料</w:t>
      </w:r>
      <w:r>
        <w:rPr>
          <w:rFonts w:ascii="宋体" w:hAnsi="宋体" w:eastAsia="宋体"/>
          <w:sz w:val="21"/>
          <w:szCs w:val="21"/>
        </w:rPr>
        <w:tab/>
      </w:r>
      <w:r>
        <w:rPr>
          <w:rFonts w:ascii="宋体" w:hAnsi="宋体" w:eastAsia="宋体"/>
          <w:sz w:val="21"/>
          <w:szCs w:val="21"/>
        </w:rPr>
        <w:fldChar w:fldCharType="begin"/>
      </w:r>
      <w:r>
        <w:rPr>
          <w:rFonts w:ascii="宋体" w:hAnsi="宋体" w:eastAsia="宋体"/>
          <w:sz w:val="21"/>
          <w:szCs w:val="21"/>
        </w:rPr>
        <w:instrText xml:space="preserve"> PAGEREF _Toc108514270 \h </w:instrText>
      </w:r>
      <w:r>
        <w:rPr>
          <w:rFonts w:ascii="宋体" w:hAnsi="宋体" w:eastAsia="宋体"/>
          <w:sz w:val="21"/>
          <w:szCs w:val="21"/>
        </w:rPr>
        <w:fldChar w:fldCharType="separate"/>
      </w:r>
      <w:r>
        <w:rPr>
          <w:rFonts w:ascii="宋体" w:hAnsi="宋体" w:eastAsia="宋体"/>
          <w:sz w:val="21"/>
          <w:szCs w:val="21"/>
        </w:rPr>
        <w:t>413</w:t>
      </w:r>
      <w:r>
        <w:rPr>
          <w:rFonts w:ascii="宋体" w:hAnsi="宋体" w:eastAsia="宋体"/>
          <w:sz w:val="21"/>
          <w:szCs w:val="21"/>
        </w:rPr>
        <w:fldChar w:fldCharType="end"/>
      </w:r>
    </w:p>
    <w:p w14:paraId="16A45874">
      <w:pPr>
        <w:rPr>
          <w:rFonts w:ascii="宋体" w:hAnsi="宋体"/>
          <w:szCs w:val="21"/>
        </w:rPr>
        <w:sectPr>
          <w:headerReference r:id="rId4" w:type="default"/>
          <w:footerReference r:id="rId5" w:type="default"/>
          <w:pgSz w:w="11906" w:h="16838"/>
          <w:pgMar w:top="1440" w:right="1800" w:bottom="1440" w:left="1800" w:header="851" w:footer="992" w:gutter="0"/>
          <w:pgNumType w:fmt="upperRoman" w:start="1"/>
          <w:cols w:space="720" w:num="1"/>
          <w:docGrid w:type="lines" w:linePitch="312" w:charSpace="0"/>
        </w:sectPr>
      </w:pPr>
      <w:r>
        <w:rPr>
          <w:rFonts w:ascii="宋体" w:hAnsi="宋体"/>
          <w:szCs w:val="21"/>
        </w:rPr>
        <w:fldChar w:fldCharType="end"/>
      </w:r>
    </w:p>
    <w:p w14:paraId="5B8B896D">
      <w:pPr>
        <w:rPr>
          <w:rFonts w:hint="eastAsia"/>
        </w:rPr>
      </w:pPr>
    </w:p>
    <w:p w14:paraId="20C05A82">
      <w:pPr>
        <w:ind w:firstLine="435"/>
        <w:jc w:val="center"/>
        <w:rPr>
          <w:rFonts w:hint="eastAsia"/>
        </w:rPr>
      </w:pPr>
    </w:p>
    <w:p w14:paraId="3F730D60">
      <w:pPr>
        <w:ind w:firstLine="435"/>
        <w:jc w:val="center"/>
        <w:rPr>
          <w:rFonts w:hint="eastAsia"/>
        </w:rPr>
      </w:pPr>
    </w:p>
    <w:p w14:paraId="48A92C86">
      <w:pPr>
        <w:ind w:firstLine="435"/>
        <w:jc w:val="center"/>
        <w:rPr>
          <w:rFonts w:hint="eastAsia"/>
        </w:rPr>
      </w:pPr>
    </w:p>
    <w:p w14:paraId="1409AD67">
      <w:pPr>
        <w:ind w:firstLine="435"/>
        <w:jc w:val="center"/>
        <w:rPr>
          <w:rFonts w:hint="eastAsia"/>
        </w:rPr>
      </w:pPr>
    </w:p>
    <w:p w14:paraId="7423A70F">
      <w:pPr>
        <w:ind w:firstLine="435"/>
        <w:jc w:val="center"/>
        <w:rPr>
          <w:rFonts w:hint="eastAsia"/>
        </w:rPr>
      </w:pPr>
    </w:p>
    <w:p w14:paraId="04B49AB3">
      <w:pPr>
        <w:ind w:firstLine="435"/>
        <w:jc w:val="center"/>
        <w:rPr>
          <w:rFonts w:hint="eastAsia"/>
        </w:rPr>
      </w:pPr>
    </w:p>
    <w:p w14:paraId="2B0C15B5">
      <w:pPr>
        <w:ind w:firstLine="435"/>
        <w:jc w:val="center"/>
        <w:rPr>
          <w:rFonts w:hint="eastAsia"/>
        </w:rPr>
      </w:pPr>
    </w:p>
    <w:p w14:paraId="30C2CEBC">
      <w:pPr>
        <w:ind w:firstLine="435"/>
        <w:jc w:val="center"/>
        <w:rPr>
          <w:rFonts w:hint="eastAsia"/>
        </w:rPr>
      </w:pPr>
    </w:p>
    <w:p w14:paraId="5523940F">
      <w:pPr>
        <w:ind w:firstLine="435"/>
        <w:jc w:val="center"/>
        <w:rPr>
          <w:rFonts w:hint="eastAsia"/>
        </w:rPr>
      </w:pPr>
    </w:p>
    <w:p w14:paraId="6CE9336A">
      <w:pPr>
        <w:pStyle w:val="2"/>
        <w:spacing w:before="120" w:after="120" w:line="400" w:lineRule="exact"/>
        <w:jc w:val="center"/>
        <w:rPr>
          <w:rFonts w:hint="eastAsia" w:ascii="黑体" w:hAnsi="黑体" w:eastAsia="黑体"/>
          <w:b w:val="0"/>
          <w:bCs w:val="0"/>
          <w:sz w:val="48"/>
          <w:szCs w:val="48"/>
        </w:rPr>
      </w:pPr>
      <w:bookmarkStart w:id="0" w:name="_Toc108513473"/>
      <w:r>
        <w:rPr>
          <w:rFonts w:hint="eastAsia" w:ascii="黑体" w:hAnsi="黑体" w:eastAsia="黑体"/>
          <w:b w:val="0"/>
          <w:bCs w:val="0"/>
          <w:sz w:val="48"/>
          <w:szCs w:val="48"/>
        </w:rPr>
        <w:t>第一卷</w:t>
      </w:r>
      <w:bookmarkEnd w:id="0"/>
    </w:p>
    <w:p w14:paraId="65291058">
      <w:pPr>
        <w:jc w:val="center"/>
        <w:rPr>
          <w:rFonts w:hint="eastAsia" w:ascii="黑体" w:eastAsia="黑体"/>
          <w:sz w:val="48"/>
          <w:szCs w:val="48"/>
        </w:rPr>
      </w:pPr>
    </w:p>
    <w:p w14:paraId="53613601">
      <w:pPr>
        <w:jc w:val="center"/>
        <w:rPr>
          <w:rFonts w:hint="eastAsia" w:ascii="黑体" w:eastAsia="黑体"/>
          <w:sz w:val="48"/>
          <w:szCs w:val="48"/>
        </w:rPr>
      </w:pPr>
    </w:p>
    <w:p w14:paraId="68F8FD59">
      <w:pPr>
        <w:jc w:val="center"/>
        <w:rPr>
          <w:rFonts w:hint="eastAsia" w:ascii="黑体" w:eastAsia="黑体"/>
          <w:sz w:val="48"/>
          <w:szCs w:val="48"/>
        </w:rPr>
      </w:pPr>
    </w:p>
    <w:p w14:paraId="40E83A19">
      <w:pPr>
        <w:jc w:val="center"/>
        <w:rPr>
          <w:rFonts w:hint="eastAsia" w:ascii="黑体" w:eastAsia="黑体"/>
          <w:sz w:val="48"/>
          <w:szCs w:val="48"/>
        </w:rPr>
      </w:pPr>
    </w:p>
    <w:p w14:paraId="361768F5">
      <w:pPr>
        <w:jc w:val="center"/>
        <w:rPr>
          <w:rFonts w:hint="eastAsia" w:ascii="黑体" w:eastAsia="黑体"/>
          <w:sz w:val="48"/>
          <w:szCs w:val="48"/>
        </w:rPr>
      </w:pPr>
    </w:p>
    <w:p w14:paraId="1F90AFA5">
      <w:pPr>
        <w:jc w:val="center"/>
        <w:rPr>
          <w:rFonts w:hint="eastAsia" w:ascii="黑体" w:eastAsia="黑体"/>
          <w:sz w:val="48"/>
          <w:szCs w:val="48"/>
        </w:rPr>
      </w:pPr>
    </w:p>
    <w:p w14:paraId="7B06E03F">
      <w:pPr>
        <w:jc w:val="center"/>
        <w:rPr>
          <w:rFonts w:hint="eastAsia" w:ascii="黑体" w:eastAsia="黑体"/>
          <w:sz w:val="48"/>
          <w:szCs w:val="48"/>
        </w:rPr>
      </w:pPr>
    </w:p>
    <w:p w14:paraId="272DBD4C">
      <w:pPr>
        <w:jc w:val="center"/>
        <w:rPr>
          <w:rFonts w:hint="eastAsia" w:ascii="黑体" w:eastAsia="黑体"/>
          <w:sz w:val="48"/>
          <w:szCs w:val="48"/>
        </w:rPr>
      </w:pPr>
    </w:p>
    <w:p w14:paraId="7F52097F">
      <w:pPr>
        <w:jc w:val="center"/>
        <w:rPr>
          <w:rFonts w:hint="eastAsia" w:ascii="黑体" w:eastAsia="黑体"/>
          <w:sz w:val="48"/>
          <w:szCs w:val="48"/>
        </w:rPr>
      </w:pPr>
    </w:p>
    <w:p w14:paraId="513D27DF">
      <w:pPr>
        <w:jc w:val="center"/>
        <w:rPr>
          <w:rFonts w:hint="eastAsia" w:ascii="黑体" w:eastAsia="黑体"/>
          <w:sz w:val="48"/>
          <w:szCs w:val="48"/>
        </w:rPr>
      </w:pPr>
    </w:p>
    <w:p w14:paraId="2BD9B5CD">
      <w:pPr>
        <w:jc w:val="center"/>
        <w:rPr>
          <w:rFonts w:hint="eastAsia" w:ascii="黑体" w:eastAsia="黑体"/>
          <w:sz w:val="48"/>
          <w:szCs w:val="48"/>
        </w:rPr>
      </w:pPr>
    </w:p>
    <w:p w14:paraId="4F0C921C">
      <w:pPr>
        <w:jc w:val="center"/>
        <w:rPr>
          <w:rFonts w:hint="eastAsia" w:ascii="黑体" w:eastAsia="黑体"/>
          <w:sz w:val="48"/>
          <w:szCs w:val="48"/>
        </w:rPr>
      </w:pPr>
    </w:p>
    <w:p w14:paraId="5217D194">
      <w:pPr>
        <w:jc w:val="center"/>
        <w:rPr>
          <w:rFonts w:hint="eastAsia" w:ascii="黑体" w:eastAsia="黑体"/>
          <w:sz w:val="48"/>
          <w:szCs w:val="48"/>
        </w:rPr>
      </w:pPr>
    </w:p>
    <w:p w14:paraId="7B2596CB">
      <w:pPr>
        <w:jc w:val="center"/>
        <w:rPr>
          <w:rFonts w:hint="eastAsia" w:ascii="黑体" w:eastAsia="黑体"/>
          <w:sz w:val="48"/>
          <w:szCs w:val="48"/>
        </w:rPr>
      </w:pPr>
    </w:p>
    <w:p w14:paraId="3E4F004A">
      <w:pPr>
        <w:jc w:val="center"/>
        <w:rPr>
          <w:rFonts w:hint="eastAsia" w:ascii="黑体" w:eastAsia="黑体"/>
          <w:sz w:val="48"/>
          <w:szCs w:val="48"/>
        </w:rPr>
      </w:pPr>
    </w:p>
    <w:p w14:paraId="3D28D277">
      <w:pPr>
        <w:jc w:val="center"/>
        <w:rPr>
          <w:rFonts w:hint="eastAsia" w:ascii="黑体" w:eastAsia="黑体"/>
          <w:sz w:val="48"/>
          <w:szCs w:val="48"/>
        </w:rPr>
      </w:pPr>
    </w:p>
    <w:p w14:paraId="0FB04F57">
      <w:pPr>
        <w:pStyle w:val="2"/>
        <w:spacing w:before="120" w:after="120" w:line="400" w:lineRule="exact"/>
        <w:jc w:val="center"/>
        <w:rPr>
          <w:rFonts w:hint="eastAsia" w:ascii="黑体" w:eastAsia="黑体"/>
          <w:sz w:val="32"/>
          <w:szCs w:val="32"/>
        </w:rPr>
      </w:pPr>
      <w:bookmarkStart w:id="1" w:name="_Toc108513474"/>
      <w:r>
        <w:rPr>
          <w:rFonts w:hint="eastAsia" w:ascii="黑体" w:hAnsi="黑体" w:eastAsia="黑体"/>
          <w:b w:val="0"/>
          <w:bCs w:val="0"/>
          <w:sz w:val="32"/>
        </w:rPr>
        <w:t>第一章  招标公告</w:t>
      </w:r>
      <w:bookmarkEnd w:id="1"/>
    </w:p>
    <w:p w14:paraId="290E4135">
      <w:pPr>
        <w:ind w:firstLine="435"/>
        <w:rPr>
          <w:rFonts w:hint="eastAsia"/>
        </w:rPr>
      </w:pPr>
    </w:p>
    <w:p w14:paraId="3FAB06BC">
      <w:pPr>
        <w:jc w:val="center"/>
        <w:rPr>
          <w:rFonts w:hint="eastAsia" w:ascii="黑体" w:eastAsia="黑体"/>
          <w:sz w:val="24"/>
        </w:rPr>
      </w:pPr>
      <w:bookmarkStart w:id="2689" w:name="_GoBack"/>
      <w:r>
        <w:rPr>
          <w:rFonts w:hint="eastAsia"/>
          <w:sz w:val="24"/>
          <w:u w:val="single"/>
          <w:lang w:eastAsia="zh-CN"/>
        </w:rPr>
        <w:t>浪河镇美丽移民村及基础设施提升项目</w:t>
      </w:r>
      <w:r>
        <w:rPr>
          <w:rFonts w:hint="eastAsia"/>
          <w:sz w:val="24"/>
        </w:rPr>
        <w:t>(项目名称)</w:t>
      </w:r>
      <w:r>
        <w:rPr>
          <w:rFonts w:hint="eastAsia"/>
          <w:sz w:val="24"/>
          <w:u w:val="single"/>
          <w:lang w:eastAsia="zh-CN"/>
        </w:rPr>
        <w:t>浪河镇美丽移民村及基础设施提升项目</w:t>
      </w:r>
      <w:r>
        <w:rPr>
          <w:rFonts w:hint="eastAsia"/>
          <w:sz w:val="24"/>
        </w:rPr>
        <w:t>（标段名称）</w:t>
      </w:r>
      <w:r>
        <w:rPr>
          <w:rFonts w:hint="eastAsia" w:ascii="黑体" w:eastAsia="黑体"/>
          <w:sz w:val="24"/>
        </w:rPr>
        <w:t>施工招标公告</w:t>
      </w:r>
    </w:p>
    <w:bookmarkEnd w:id="2689"/>
    <w:p w14:paraId="7A6E3A51">
      <w:pPr>
        <w:ind w:firstLine="3570" w:firstLineChars="1700"/>
        <w:rPr>
          <w:rFonts w:hint="eastAsia"/>
          <w:szCs w:val="21"/>
        </w:rPr>
      </w:pPr>
    </w:p>
    <w:p w14:paraId="1C614C31">
      <w:pPr>
        <w:ind w:firstLine="3570" w:firstLineChars="1700"/>
        <w:rPr>
          <w:rFonts w:hint="eastAsia"/>
          <w:szCs w:val="21"/>
          <w:u w:val="single"/>
        </w:rPr>
      </w:pPr>
      <w:r>
        <w:rPr>
          <w:rFonts w:hint="eastAsia"/>
          <w:szCs w:val="21"/>
        </w:rPr>
        <w:t>招标编号：</w:t>
      </w:r>
      <w:r>
        <w:rPr>
          <w:rFonts w:hint="eastAsia"/>
          <w:szCs w:val="21"/>
          <w:u w:val="single"/>
        </w:rPr>
        <w:t xml:space="preserve">        </w:t>
      </w:r>
    </w:p>
    <w:p w14:paraId="7742772B">
      <w:pPr>
        <w:ind w:firstLine="4080" w:firstLineChars="1700"/>
        <w:rPr>
          <w:rFonts w:hint="eastAsia"/>
          <w:sz w:val="24"/>
        </w:rPr>
      </w:pPr>
    </w:p>
    <w:p w14:paraId="310E6555">
      <w:pPr>
        <w:pStyle w:val="18"/>
        <w:rPr>
          <w:rFonts w:hint="eastAsia"/>
          <w:sz w:val="24"/>
          <w:szCs w:val="24"/>
        </w:rPr>
      </w:pPr>
      <w:bookmarkStart w:id="2" w:name="_Toc108513475"/>
      <w:r>
        <w:rPr>
          <w:rFonts w:hint="eastAsia"/>
          <w:sz w:val="24"/>
          <w:szCs w:val="24"/>
        </w:rPr>
        <w:t>1.招标条件</w:t>
      </w:r>
      <w:bookmarkEnd w:id="2"/>
    </w:p>
    <w:p w14:paraId="5F8C435B">
      <w:pPr>
        <w:spacing w:line="460" w:lineRule="exact"/>
        <w:ind w:firstLine="437"/>
        <w:rPr>
          <w:rFonts w:hint="eastAsia"/>
        </w:rPr>
      </w:pPr>
      <w:r>
        <w:rPr>
          <w:rFonts w:hint="eastAsia"/>
        </w:rPr>
        <w:t>本招标项目</w:t>
      </w:r>
      <w:r>
        <w:rPr>
          <w:rFonts w:hint="eastAsia"/>
          <w:u w:val="single"/>
          <w:lang w:eastAsia="zh-CN"/>
        </w:rPr>
        <w:t>浪河镇美丽移民村及基础设施提升项目</w:t>
      </w:r>
      <w:r>
        <w:rPr>
          <w:rFonts w:hint="eastAsia"/>
        </w:rPr>
        <w:t xml:space="preserve"> (项目名称)已由</w:t>
      </w:r>
      <w:r>
        <w:rPr>
          <w:rFonts w:hint="eastAsia"/>
          <w:u w:val="single"/>
          <w:lang w:val="en-US" w:eastAsia="zh-CN"/>
        </w:rPr>
        <w:t>丹江口市发展和改革局</w:t>
      </w:r>
      <w:r>
        <w:rPr>
          <w:rFonts w:hint="eastAsia"/>
        </w:rPr>
        <w:t xml:space="preserve"> (项目审批、核准或备案机关名称)以</w:t>
      </w:r>
      <w:r>
        <w:rPr>
          <w:rFonts w:hint="eastAsia"/>
          <w:u w:val="single"/>
        </w:rPr>
        <w:t>丹发改地区[2026]83号</w:t>
      </w:r>
      <w:r>
        <w:rPr>
          <w:rFonts w:hint="eastAsia"/>
        </w:rPr>
        <w:t xml:space="preserve"> (批文名称及编号)批准建设，项目业主为</w:t>
      </w:r>
      <w:r>
        <w:rPr>
          <w:rFonts w:hint="eastAsia"/>
          <w:u w:val="single"/>
          <w:lang w:eastAsia="zh-CN"/>
        </w:rPr>
        <w:t>丹江口市浪河镇人民政府</w:t>
      </w:r>
      <w:r>
        <w:rPr>
          <w:rFonts w:hint="eastAsia"/>
        </w:rPr>
        <w:t>，建设资金来自</w:t>
      </w:r>
      <w:r>
        <w:rPr>
          <w:rFonts w:hint="eastAsia"/>
          <w:u w:val="single"/>
        </w:rPr>
        <w:t>2026年移民后期扶持资金和自筹资金</w:t>
      </w:r>
      <w:r>
        <w:rPr>
          <w:rFonts w:hint="eastAsia"/>
        </w:rPr>
        <w:t>(资金来源)，项目出资比例为</w:t>
      </w:r>
      <w:r>
        <w:rPr>
          <w:rFonts w:hint="eastAsia"/>
          <w:u w:val="single"/>
          <w:lang w:val="en-US" w:eastAsia="zh-CN"/>
        </w:rPr>
        <w:t>88.26%为移民后扶资金、11.74%为自筹资金</w:t>
      </w:r>
      <w:r>
        <w:rPr>
          <w:rFonts w:hint="eastAsia"/>
        </w:rPr>
        <w:t>，招标人为</w:t>
      </w:r>
      <w:r>
        <w:rPr>
          <w:rFonts w:hint="eastAsia"/>
          <w:u w:val="single"/>
          <w:lang w:eastAsia="zh-CN"/>
        </w:rPr>
        <w:t>丹江口市浪河镇人民政府</w:t>
      </w:r>
      <w:r>
        <w:rPr>
          <w:rFonts w:hint="eastAsia"/>
        </w:rPr>
        <w:t>，</w:t>
      </w:r>
      <w:r>
        <w:rPr>
          <w:rFonts w:hint="eastAsia"/>
          <w:szCs w:val="21"/>
        </w:rPr>
        <w:t>招标代理机构为</w:t>
      </w:r>
      <w:r>
        <w:rPr>
          <w:rFonts w:hint="eastAsia"/>
          <w:szCs w:val="21"/>
          <w:u w:val="single"/>
          <w:lang w:val="en-US" w:eastAsia="zh-CN"/>
        </w:rPr>
        <w:t>中大嘉信项目管理有限公司</w:t>
      </w:r>
      <w:r>
        <w:rPr>
          <w:rFonts w:hint="eastAsia"/>
          <w:szCs w:val="21"/>
        </w:rPr>
        <w:t>。</w:t>
      </w:r>
      <w:r>
        <w:rPr>
          <w:rFonts w:hint="eastAsia"/>
        </w:rPr>
        <w:t>项目已具备招标条件，现对该项目的施工进行公开招标。</w:t>
      </w:r>
    </w:p>
    <w:p w14:paraId="72E60B56">
      <w:pPr>
        <w:pStyle w:val="18"/>
        <w:rPr>
          <w:rFonts w:hint="eastAsia"/>
          <w:sz w:val="24"/>
          <w:szCs w:val="24"/>
        </w:rPr>
      </w:pPr>
      <w:bookmarkStart w:id="3" w:name="_Toc108513476"/>
      <w:r>
        <w:rPr>
          <w:rFonts w:hint="eastAsia"/>
          <w:sz w:val="24"/>
          <w:szCs w:val="24"/>
        </w:rPr>
        <w:t>2.项目概况与招标范围</w:t>
      </w:r>
      <w:bookmarkEnd w:id="3"/>
    </w:p>
    <w:p w14:paraId="3CA64054">
      <w:pPr>
        <w:spacing w:line="480" w:lineRule="exact"/>
        <w:ind w:firstLine="420" w:firstLineChars="200"/>
        <w:rPr>
          <w:rFonts w:hint="eastAsia"/>
          <w:szCs w:val="21"/>
        </w:rPr>
      </w:pPr>
      <w:r>
        <w:rPr>
          <w:szCs w:val="21"/>
        </w:rPr>
        <w:t xml:space="preserve">2.1 </w:t>
      </w:r>
      <w:r>
        <w:rPr>
          <w:rFonts w:hint="eastAsia"/>
          <w:szCs w:val="21"/>
        </w:rPr>
        <w:t>项目概况</w:t>
      </w:r>
    </w:p>
    <w:p w14:paraId="48C419B0">
      <w:pPr>
        <w:spacing w:line="480" w:lineRule="exact"/>
        <w:ind w:firstLine="840" w:firstLineChars="400"/>
        <w:rPr>
          <w:rFonts w:hint="eastAsia"/>
          <w:szCs w:val="21"/>
          <w:u w:val="single"/>
        </w:rPr>
      </w:pPr>
      <w:r>
        <w:rPr>
          <w:rFonts w:hint="eastAsia"/>
          <w:szCs w:val="21"/>
        </w:rPr>
        <w:t>建设地点：</w:t>
      </w:r>
      <w:r>
        <w:rPr>
          <w:rFonts w:hint="eastAsia"/>
          <w:szCs w:val="21"/>
          <w:u w:val="single"/>
        </w:rPr>
        <w:t>丹江口市浪河镇小店子、代湾村</w:t>
      </w:r>
      <w:r>
        <w:rPr>
          <w:rFonts w:hint="eastAsia"/>
          <w:szCs w:val="21"/>
        </w:rPr>
        <w:t>。</w:t>
      </w:r>
    </w:p>
    <w:p w14:paraId="56726756">
      <w:pPr>
        <w:spacing w:line="480" w:lineRule="exact"/>
        <w:ind w:firstLine="840" w:firstLineChars="400"/>
        <w:rPr>
          <w:rFonts w:hint="eastAsia"/>
          <w:szCs w:val="21"/>
          <w:u w:val="single"/>
        </w:rPr>
      </w:pPr>
      <w:r>
        <w:rPr>
          <w:rFonts w:hint="eastAsia"/>
          <w:szCs w:val="21"/>
        </w:rPr>
        <w:t>建设规模：</w:t>
      </w:r>
      <w:r>
        <w:rPr>
          <w:rFonts w:hint="eastAsia"/>
          <w:szCs w:val="21"/>
          <w:u w:val="single"/>
        </w:rPr>
        <w:t>1.茶旅融合发展片区沿线环境整治。新建及改造户前花池总长346.23米，增设混凝土户间台阶86平方米，新建及提档砖砌矮墙662.34米;完成原有树池面层破损修补540平方米、水泥篱笆修补1000米、新增仿竹篱笆82米，完成3处广告牌保护性移位，对原有文化墙进行风貌改造升级;实施局部入户道路沥青黑化35.2平方米，新建碎石通行场地540.52平方米、青石板汀步82.5平方米，布设生态木桩1020根，补充花岗石路缘石202.5米，修建挡土墙217米;同步实施沿线全域绿化工程，栽植各类乔木、灌木及地被植被。2.代湾村道路及基础设施提升。新建浆砌石挡土墙1897.77米，破除修复原有混凝土破损路面4634.12平方米，新增混凝土路面2037.90平方米，道路沥青黑化路面3725.81平方米，硬化土路路面1226.44平方米;对2处原有桥梁实施拓宽改造，新建1座16米跨径涵管桥梁，所有改造及新建桥梁均配套设置波形防撞护栏</w:t>
      </w:r>
      <w:r>
        <w:rPr>
          <w:rFonts w:hint="eastAsia"/>
          <w:szCs w:val="21"/>
        </w:rPr>
        <w:t>。</w:t>
      </w:r>
    </w:p>
    <w:p w14:paraId="0E0B22C6">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1F01451B">
      <w:pPr>
        <w:spacing w:line="480" w:lineRule="exact"/>
        <w:ind w:firstLine="420" w:firstLineChars="200"/>
        <w:rPr>
          <w:rFonts w:hint="eastAsia"/>
          <w:szCs w:val="21"/>
        </w:rPr>
      </w:pPr>
      <w:r>
        <w:rPr>
          <w:szCs w:val="21"/>
        </w:rPr>
        <w:t>2.</w:t>
      </w:r>
      <w:r>
        <w:rPr>
          <w:rFonts w:hint="eastAsia"/>
          <w:szCs w:val="21"/>
        </w:rPr>
        <w:t>2 招标范围</w:t>
      </w:r>
    </w:p>
    <w:p w14:paraId="5357ED17">
      <w:pPr>
        <w:spacing w:line="480" w:lineRule="exact"/>
        <w:ind w:firstLine="840" w:firstLineChars="400"/>
        <w:rPr>
          <w:rFonts w:hint="eastAsia"/>
          <w:szCs w:val="21"/>
        </w:rPr>
      </w:pPr>
      <w:r>
        <w:rPr>
          <w:rFonts w:hint="eastAsia"/>
          <w:szCs w:val="21"/>
        </w:rPr>
        <w:t>招标范围：</w:t>
      </w:r>
      <w:r>
        <w:rPr>
          <w:rFonts w:hint="eastAsia"/>
          <w:szCs w:val="21"/>
          <w:u w:val="single"/>
        </w:rPr>
        <w:t>1.茶旅融合发展片区沿线环境整治。新建及改造户前花池总长346.23米，增设混凝土户间台阶86平方米，新建及提档砖砌矮墙662.34米;完成原有树池面层破损修补540平方米、水泥篱笆修补1000米、新增仿竹篱笆82米，完成3处广告牌保护性移位，对原有文化墙进行风貌改造升级;实施局部入户道路沥青黑化35.2平方米，新建碎石通行场地540.52平方米、青石板汀步82.5平方米，布设生态木桩1020根，补充花岗石路缘石202.5米，修建挡土墙217米;同步实施沿线全域绿化工程，栽植各类乔木、灌木及地被植被。2.代湾村道路及基础设施提升。新建浆砌石挡土墙1897.77米，破除修复原有混凝土破损路面4634.12平方米，新增混凝土路面2037.90平方米，道路沥青黑化路面3725.81平方米，硬化土路路面1226.44平方米;对2处原有桥梁实施拓宽改造，新建1座16米跨径涵管桥梁，所有改造及新建桥梁均配套设置波形防撞护栏</w:t>
      </w:r>
      <w:r>
        <w:rPr>
          <w:rFonts w:hint="eastAsia"/>
          <w:szCs w:val="21"/>
        </w:rPr>
        <w:t>。</w:t>
      </w:r>
    </w:p>
    <w:p w14:paraId="6D3EF521">
      <w:pPr>
        <w:spacing w:line="480" w:lineRule="exact"/>
        <w:ind w:firstLine="840" w:firstLineChars="400"/>
        <w:rPr>
          <w:rFonts w:hint="eastAsia"/>
          <w:szCs w:val="21"/>
          <w:u w:val="single"/>
        </w:rPr>
      </w:pPr>
      <w:r>
        <w:rPr>
          <w:rFonts w:hint="eastAsia"/>
          <w:szCs w:val="21"/>
        </w:rPr>
        <w:t>标段划分：</w:t>
      </w:r>
      <w:r>
        <w:rPr>
          <w:rFonts w:hint="eastAsia"/>
          <w:szCs w:val="21"/>
          <w:u w:val="single"/>
          <w:lang w:val="en-US" w:eastAsia="zh-CN"/>
        </w:rPr>
        <w:t>1个标段</w:t>
      </w:r>
      <w:r>
        <w:rPr>
          <w:rFonts w:hint="eastAsia"/>
          <w:szCs w:val="21"/>
        </w:rPr>
        <w:t>。</w:t>
      </w:r>
    </w:p>
    <w:p w14:paraId="577C7AE0">
      <w:pPr>
        <w:spacing w:line="480" w:lineRule="exact"/>
        <w:ind w:firstLine="840" w:firstLineChars="400"/>
        <w:rPr>
          <w:rFonts w:hint="eastAsia"/>
          <w:szCs w:val="21"/>
          <w:u w:val="single"/>
        </w:rPr>
      </w:pPr>
      <w:r>
        <w:rPr>
          <w:rFonts w:hint="eastAsia"/>
          <w:szCs w:val="21"/>
        </w:rPr>
        <w:t>计划工期：</w:t>
      </w:r>
      <w:r>
        <w:rPr>
          <w:rFonts w:hint="eastAsia"/>
          <w:szCs w:val="21"/>
          <w:u w:val="single"/>
          <w:lang w:val="en-US" w:eastAsia="zh-CN"/>
        </w:rPr>
        <w:t>90</w:t>
      </w:r>
      <w:r>
        <w:rPr>
          <w:rFonts w:hint="eastAsia"/>
          <w:szCs w:val="21"/>
        </w:rPr>
        <w:t>日历天，计划开工日期</w:t>
      </w:r>
      <w:r>
        <w:rPr>
          <w:rFonts w:hint="eastAsia"/>
          <w:szCs w:val="21"/>
          <w:u w:val="single"/>
        </w:rPr>
        <w:t xml:space="preserve"> </w:t>
      </w:r>
      <w:r>
        <w:rPr>
          <w:rFonts w:hint="eastAsia"/>
          <w:szCs w:val="21"/>
          <w:u w:val="single"/>
          <w:lang w:val="en-US" w:eastAsia="zh-CN"/>
        </w:rPr>
        <w:t>2026年   月  日</w:t>
      </w:r>
      <w:r>
        <w:rPr>
          <w:rFonts w:hint="eastAsia"/>
          <w:szCs w:val="21"/>
          <w:u w:val="single"/>
        </w:rPr>
        <w:t xml:space="preserve"> </w:t>
      </w:r>
      <w:r>
        <w:rPr>
          <w:rFonts w:hint="eastAsia"/>
          <w:szCs w:val="21"/>
        </w:rPr>
        <w:t>。</w:t>
      </w:r>
    </w:p>
    <w:p w14:paraId="673C2E26">
      <w:pPr>
        <w:spacing w:line="480" w:lineRule="exact"/>
        <w:ind w:firstLine="840" w:firstLineChars="400"/>
        <w:rPr>
          <w:rFonts w:hint="eastAsia"/>
          <w:szCs w:val="21"/>
        </w:rPr>
      </w:pPr>
      <w:r>
        <w:rPr>
          <w:rFonts w:hint="eastAsia"/>
          <w:szCs w:val="21"/>
        </w:rPr>
        <w:t>合同估算价：</w:t>
      </w:r>
      <w:r>
        <w:rPr>
          <w:rFonts w:hint="eastAsia"/>
          <w:szCs w:val="21"/>
          <w:u w:val="single"/>
          <w:lang w:val="en-US" w:eastAsia="zh-CN"/>
        </w:rPr>
        <w:t>5040800.00</w:t>
      </w:r>
      <w:r>
        <w:rPr>
          <w:rFonts w:hint="eastAsia"/>
          <w:szCs w:val="21"/>
          <w:u w:val="single"/>
        </w:rPr>
        <w:t>元</w:t>
      </w:r>
      <w:r>
        <w:rPr>
          <w:rFonts w:hint="eastAsia"/>
          <w:szCs w:val="21"/>
        </w:rPr>
        <w:t>。</w:t>
      </w:r>
    </w:p>
    <w:p w14:paraId="4C82B896">
      <w:pPr>
        <w:spacing w:line="460" w:lineRule="exact"/>
        <w:ind w:firstLine="437"/>
        <w:rPr>
          <w:rFonts w:hint="eastAsia"/>
        </w:rPr>
      </w:pPr>
      <w:r>
        <w:rPr>
          <w:szCs w:val="21"/>
        </w:rPr>
        <w:t>2.</w:t>
      </w:r>
      <w:r>
        <w:rPr>
          <w:rFonts w:hint="eastAsia"/>
          <w:szCs w:val="21"/>
        </w:rPr>
        <w:t>3 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49C6F1BD">
      <w:pPr>
        <w:pStyle w:val="18"/>
        <w:rPr>
          <w:rFonts w:hint="eastAsia"/>
          <w:sz w:val="24"/>
          <w:szCs w:val="24"/>
        </w:rPr>
      </w:pPr>
      <w:bookmarkStart w:id="4" w:name="_Toc108513477"/>
      <w:r>
        <w:rPr>
          <w:rFonts w:hint="eastAsia"/>
          <w:sz w:val="24"/>
          <w:szCs w:val="24"/>
        </w:rPr>
        <w:t>3.投标人资格要求</w:t>
      </w:r>
      <w:bookmarkEnd w:id="4"/>
    </w:p>
    <w:p w14:paraId="091A6F37">
      <w:pPr>
        <w:spacing w:line="460" w:lineRule="exact"/>
        <w:ind w:firstLine="437"/>
        <w:rPr>
          <w:rFonts w:hint="eastAsia"/>
        </w:rPr>
      </w:pPr>
      <w:r>
        <w:rPr>
          <w:rFonts w:hint="eastAsia"/>
        </w:rPr>
        <w:t>3.1本次招标要求投标人须具备</w:t>
      </w:r>
      <w:r>
        <w:rPr>
          <w:rFonts w:hint="eastAsia"/>
          <w:u w:val="single"/>
        </w:rPr>
        <w:t xml:space="preserve">（1）在中华人民共和国境内注册，具有有效的独立法人资格；（2）资质要求：具备建设行政主管部门颁发的有效的市政公用工程施工总承包叁级及以上资质证书或房屋建筑工程施工总承包叁级及以上资质证书，具有有效的安全生产许可证；（3）近五年（自投标截止时间往前推算 5 年，以合同签订时间为准)承接过1项投资金额不低于 </w:t>
      </w:r>
      <w:r>
        <w:rPr>
          <w:rFonts w:hint="eastAsia"/>
          <w:u w:val="single"/>
          <w:lang w:val="en-US" w:eastAsia="zh-CN"/>
        </w:rPr>
        <w:t>3</w:t>
      </w:r>
      <w:r>
        <w:rPr>
          <w:rFonts w:hint="eastAsia"/>
          <w:u w:val="single"/>
        </w:rPr>
        <w:t>00 万元市政工程</w:t>
      </w:r>
      <w:r>
        <w:rPr>
          <w:rFonts w:hint="eastAsia"/>
          <w:u w:val="single"/>
          <w:lang w:val="en-US" w:eastAsia="zh-CN"/>
        </w:rPr>
        <w:t>或</w:t>
      </w:r>
      <w:r>
        <w:rPr>
          <w:rFonts w:hint="eastAsia"/>
          <w:u w:val="single"/>
        </w:rPr>
        <w:t>房屋建筑工程项目施工业绩</w:t>
      </w:r>
      <w:r>
        <w:rPr>
          <w:rFonts w:hint="eastAsia"/>
          <w:u w:val="single"/>
          <w:lang w:val="en-US" w:eastAsia="zh-CN"/>
        </w:rPr>
        <w:tab/>
      </w:r>
      <w:r>
        <w:rPr>
          <w:rFonts w:hint="eastAsia"/>
          <w:u w:val="single"/>
        </w:rPr>
        <w:t>；（4）项目经理要求：具备建设行政主管部门核发市政公用工程或房屋建筑工程专业二级及以上注册建造师证书和有效的安全生产考核合格证书（B 证）,未担任其他在建建设工程项目的项目经理（需提供证书原件扫描件和项目经理无在建工程承诺）；（5）拟派技术负责人须具备市政工程或房屋建筑工程相关专业中级及以上技术职称；其他管理人员（施工员、质量员、资料员、材料员、安全员）须具备有效的岗位合格证书（其中安全员提供有效的安全生产考核合格证书（</w:t>
      </w:r>
      <w:r>
        <w:rPr>
          <w:rFonts w:hint="eastAsia"/>
          <w:u w:val="single"/>
          <w:lang w:val="en-US" w:eastAsia="zh-CN"/>
        </w:rPr>
        <w:t>C</w:t>
      </w:r>
      <w:r>
        <w:rPr>
          <w:rFonts w:hint="eastAsia"/>
          <w:u w:val="single"/>
        </w:rPr>
        <w:t>证）），项目班子所有成员须为本单位在职人员（提供近半年内任意连续 3 个月的社保缴纳证明），且在投标及施工全过程中不得随意更换；提供 2023、2024、2025 年度经审计的财务审计报告或报表（企业财务审计报告须由具有相应资质的单位对其进行出具，新成立的公司按实际年份提供）</w:t>
      </w:r>
      <w:r>
        <w:rPr>
          <w:rFonts w:hint="eastAsia"/>
        </w:rPr>
        <w:t>。</w:t>
      </w:r>
    </w:p>
    <w:p w14:paraId="2E70BAC5">
      <w:pPr>
        <w:spacing w:line="460" w:lineRule="exact"/>
        <w:ind w:firstLine="437"/>
        <w:rPr>
          <w:rFonts w:hint="eastAsia"/>
          <w:u w:val="single"/>
        </w:rPr>
      </w:pPr>
      <w:r>
        <w:rPr>
          <w:rFonts w:hint="eastAsia"/>
        </w:rPr>
        <w:t>3.2 本项目</w:t>
      </w:r>
      <w:r>
        <w:rPr>
          <w:rFonts w:hint="eastAsia"/>
          <w:u w:val="single"/>
        </w:rPr>
        <w:t>属于</w:t>
      </w:r>
      <w:r>
        <w:rPr>
          <w:rFonts w:hint="eastAsia"/>
        </w:rPr>
        <w:t>政府采购工程。</w:t>
      </w:r>
      <w:r>
        <w:rPr>
          <w:rFonts w:hint="eastAsia"/>
          <w:u w:val="single"/>
          <w:lang w:eastAsia="zh-CN"/>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u w:val="single"/>
        </w:rPr>
        <w:t>□项目未预留份额专门面向中小企业采购。</w:t>
      </w:r>
    </w:p>
    <w:p w14:paraId="63AA398F">
      <w:pPr>
        <w:spacing w:line="460" w:lineRule="exact"/>
        <w:ind w:firstLine="437"/>
        <w:rPr>
          <w:rFonts w:hint="eastAsia"/>
          <w:color w:val="auto"/>
        </w:rPr>
      </w:pPr>
      <w:r>
        <w:rPr>
          <w:rFonts w:hint="eastAsia"/>
          <w:color w:val="auto"/>
        </w:rPr>
        <w:t>3.3本次招标</w:t>
      </w:r>
      <w:r>
        <w:rPr>
          <w:rFonts w:hint="eastAsia"/>
          <w:color w:val="auto"/>
          <w:u w:val="single"/>
        </w:rPr>
        <w:t>不接受</w:t>
      </w:r>
      <w:r>
        <w:rPr>
          <w:rFonts w:hint="eastAsia"/>
          <w:color w:val="auto"/>
        </w:rPr>
        <w:t>联合体投标。</w:t>
      </w:r>
    </w:p>
    <w:p w14:paraId="32D73A43">
      <w:pPr>
        <w:adjustRightInd w:val="0"/>
        <w:spacing w:line="400" w:lineRule="exact"/>
        <w:ind w:firstLine="420" w:firstLineChars="200"/>
        <w:rPr>
          <w:rFonts w:hint="eastAsia" w:ascii="宋体" w:hAnsi="宋体"/>
          <w:color w:val="auto"/>
          <w:szCs w:val="21"/>
        </w:rPr>
      </w:pPr>
      <w:r>
        <w:rPr>
          <w:rFonts w:hint="eastAsia"/>
          <w:color w:val="auto"/>
        </w:rPr>
        <w:t>3.4各投标人均可就本招标项目上述标段中的</w:t>
      </w:r>
      <w:r>
        <w:rPr>
          <w:rFonts w:hint="eastAsia"/>
          <w:color w:val="auto"/>
          <w:u w:val="single"/>
        </w:rPr>
        <w:t xml:space="preserve"> </w:t>
      </w:r>
      <w:r>
        <w:rPr>
          <w:rFonts w:hint="eastAsia"/>
          <w:color w:val="auto"/>
          <w:u w:val="single"/>
          <w:lang w:val="en-US" w:eastAsia="zh-CN"/>
        </w:rPr>
        <w:t>1</w:t>
      </w:r>
      <w:r>
        <w:rPr>
          <w:rFonts w:hint="eastAsia"/>
          <w:color w:val="auto"/>
          <w:u w:val="single"/>
        </w:rPr>
        <w:t xml:space="preserve"> </w:t>
      </w:r>
      <w:r>
        <w:rPr>
          <w:rFonts w:hint="eastAsia"/>
          <w:color w:val="auto"/>
        </w:rPr>
        <w:t>(具体数量)个标段投标，</w:t>
      </w:r>
      <w:r>
        <w:rPr>
          <w:rFonts w:hint="eastAsia" w:ascii="宋体" w:hAnsi="宋体"/>
          <w:color w:val="auto"/>
          <w:szCs w:val="21"/>
        </w:rPr>
        <w:t>招标人按下列原则选择中标人：</w:t>
      </w:r>
    </w:p>
    <w:p w14:paraId="3093552F">
      <w:pPr>
        <w:adjustRightInd w:val="0"/>
        <w:spacing w:line="400" w:lineRule="exact"/>
        <w:ind w:firstLine="420" w:firstLineChars="200"/>
        <w:rPr>
          <w:rFonts w:hint="eastAsia"/>
          <w:color w:val="auto"/>
        </w:rPr>
      </w:pPr>
      <w:r>
        <w:rPr>
          <w:rFonts w:hint="eastAsia"/>
          <w:color w:val="auto"/>
        </w:rPr>
        <w:t>□招标人按标段择优选择中标人。</w:t>
      </w:r>
    </w:p>
    <w:p w14:paraId="0D9144DD">
      <w:pPr>
        <w:adjustRightInd w:val="0"/>
        <w:spacing w:line="400" w:lineRule="exact"/>
        <w:ind w:firstLine="420" w:firstLineChars="200"/>
        <w:rPr>
          <w:rFonts w:hint="eastAsia"/>
          <w:color w:val="auto"/>
        </w:rPr>
      </w:pPr>
      <w:r>
        <w:rPr>
          <w:rFonts w:hint="eastAsia"/>
          <w:color w:val="auto"/>
          <w:lang w:eastAsia="zh-CN"/>
        </w:rPr>
        <w:t>☑</w:t>
      </w:r>
      <w:r>
        <w:rPr>
          <w:rFonts w:hint="eastAsia"/>
          <w:color w:val="auto"/>
        </w:rPr>
        <w:t>投标人最多只允许中标</w:t>
      </w:r>
      <w:r>
        <w:rPr>
          <w:rFonts w:hint="eastAsia"/>
          <w:color w:val="auto"/>
          <w:u w:val="single"/>
        </w:rPr>
        <w:t xml:space="preserve"> </w:t>
      </w:r>
      <w:r>
        <w:rPr>
          <w:rFonts w:hint="eastAsia"/>
          <w:color w:val="auto"/>
          <w:u w:val="single"/>
          <w:lang w:val="en-US" w:eastAsia="zh-CN"/>
        </w:rPr>
        <w:t>1</w:t>
      </w:r>
      <w:r>
        <w:rPr>
          <w:rFonts w:hint="eastAsia"/>
          <w:color w:val="auto"/>
          <w:u w:val="single"/>
        </w:rPr>
        <w:t xml:space="preserve">  </w:t>
      </w:r>
      <w:r>
        <w:rPr>
          <w:rFonts w:hint="eastAsia"/>
          <w:color w:val="auto"/>
        </w:rPr>
        <w:t>个标段。如果同一投标人在多个标段中均排序第一，</w:t>
      </w:r>
      <w:r>
        <w:rPr>
          <w:color w:val="auto"/>
        </w:rPr>
        <w:t>推荐中标候选人顺序为：</w:t>
      </w:r>
    </w:p>
    <w:p w14:paraId="5B5D1E0B">
      <w:pPr>
        <w:adjustRightInd w:val="0"/>
        <w:spacing w:line="400" w:lineRule="exact"/>
        <w:ind w:firstLine="630" w:firstLineChars="300"/>
        <w:rPr>
          <w:rFonts w:hint="eastAsia"/>
          <w:color w:val="auto"/>
        </w:rPr>
      </w:pPr>
      <w:r>
        <w:rPr>
          <w:rFonts w:hint="eastAsia"/>
          <w:color w:val="auto"/>
        </w:rPr>
        <w:t>□</w:t>
      </w:r>
      <w:r>
        <w:rPr>
          <w:color w:val="auto"/>
        </w:rPr>
        <w:t>按照标段顺序，投标人在前面标段被推荐为第一中标候选人后，所投其他标段将不再被推荐为中标候选人。</w:t>
      </w:r>
    </w:p>
    <w:p w14:paraId="609EAC56">
      <w:pPr>
        <w:adjustRightInd w:val="0"/>
        <w:spacing w:line="400" w:lineRule="exact"/>
        <w:ind w:firstLine="630" w:firstLineChars="300"/>
        <w:rPr>
          <w:rFonts w:hint="eastAsia"/>
          <w:color w:val="auto"/>
        </w:rPr>
      </w:pPr>
      <w:r>
        <w:rPr>
          <w:rFonts w:hint="eastAsia"/>
          <w:color w:val="auto"/>
        </w:rPr>
        <w:t>□</w:t>
      </w:r>
      <w:r>
        <w:rPr>
          <w:color w:val="auto"/>
        </w:rPr>
        <w:t>按照标段</w:t>
      </w:r>
      <w:r>
        <w:rPr>
          <w:rFonts w:hint="eastAsia"/>
          <w:color w:val="auto"/>
        </w:rPr>
        <w:t>招标控制价</w:t>
      </w:r>
      <w:r>
        <w:rPr>
          <w:color w:val="auto"/>
        </w:rPr>
        <w:t>从大到小的顺序，投标人在</w:t>
      </w:r>
      <w:r>
        <w:rPr>
          <w:rFonts w:hint="eastAsia"/>
          <w:color w:val="auto"/>
        </w:rPr>
        <w:t>招标控制价</w:t>
      </w:r>
      <w:r>
        <w:rPr>
          <w:color w:val="auto"/>
        </w:rPr>
        <w:t>大的标段被推荐为第一中标候选人后，所投其他标段将不再被推荐为中标候选人。</w:t>
      </w:r>
    </w:p>
    <w:p w14:paraId="46D4A1E2">
      <w:pPr>
        <w:adjustRightInd w:val="0"/>
        <w:spacing w:line="400" w:lineRule="exact"/>
        <w:ind w:firstLine="630" w:firstLineChars="300"/>
        <w:rPr>
          <w:rFonts w:hint="eastAsia"/>
          <w:color w:val="auto"/>
        </w:rPr>
      </w:pPr>
      <w:r>
        <w:rPr>
          <w:rFonts w:hint="eastAsia"/>
          <w:color w:val="auto"/>
        </w:rPr>
        <w:t>□</w:t>
      </w:r>
      <w:r>
        <w:rPr>
          <w:rFonts w:hint="eastAsia"/>
          <w:color w:val="auto"/>
          <w:u w:val="single"/>
        </w:rPr>
        <w:t xml:space="preserve">                                           </w:t>
      </w:r>
      <w:r>
        <w:rPr>
          <w:rFonts w:hint="eastAsia"/>
          <w:color w:val="auto"/>
        </w:rPr>
        <w:t>。</w:t>
      </w:r>
    </w:p>
    <w:p w14:paraId="04FDED60">
      <w:pPr>
        <w:adjustRightInd w:val="0"/>
        <w:spacing w:line="400" w:lineRule="exact"/>
        <w:ind w:firstLine="420" w:firstLineChars="200"/>
        <w:rPr>
          <w:rFonts w:hint="eastAsia"/>
        </w:rPr>
      </w:pPr>
      <w:r>
        <w:t>3.</w:t>
      </w:r>
      <w:r>
        <w:rPr>
          <w:rFonts w:hint="eastAsia"/>
        </w:rPr>
        <w:t>5其他</w:t>
      </w:r>
      <w:r>
        <w:t>要求：</w:t>
      </w:r>
      <w:r>
        <w:rPr>
          <w:rFonts w:hint="eastAsia"/>
          <w:u w:val="single"/>
        </w:rPr>
        <w:t xml:space="preserve"> </w:t>
      </w:r>
      <w:r>
        <w:rPr>
          <w:u w:val="single"/>
        </w:rPr>
        <w:t xml:space="preserve"> </w:t>
      </w:r>
      <w:r>
        <w:rPr>
          <w:rFonts w:hint="eastAsia"/>
          <w:u w:val="single"/>
          <w:lang w:val="en-US" w:eastAsia="zh-CN"/>
        </w:rPr>
        <w:t>/</w:t>
      </w:r>
      <w:r>
        <w:rPr>
          <w:rFonts w:hint="eastAsia"/>
          <w:u w:val="single"/>
        </w:rPr>
        <w:t xml:space="preserve"> </w:t>
      </w:r>
      <w:r>
        <w:rPr>
          <w:u w:val="single"/>
        </w:rPr>
        <w:t xml:space="preserve"> </w:t>
      </w:r>
      <w:r>
        <w:rPr>
          <w:rFonts w:hint="eastAsia"/>
        </w:rPr>
        <w:t>。</w:t>
      </w:r>
    </w:p>
    <w:p w14:paraId="6CB6717A">
      <w:pPr>
        <w:pStyle w:val="18"/>
        <w:rPr>
          <w:rFonts w:hint="eastAsia"/>
          <w:sz w:val="24"/>
          <w:szCs w:val="24"/>
        </w:rPr>
      </w:pPr>
      <w:bookmarkStart w:id="5" w:name="_Toc108513478"/>
      <w:r>
        <w:rPr>
          <w:rFonts w:hint="eastAsia"/>
          <w:sz w:val="24"/>
          <w:szCs w:val="24"/>
        </w:rPr>
        <w:t>4.招标文件的获取</w:t>
      </w:r>
      <w:bookmarkEnd w:id="5"/>
    </w:p>
    <w:p w14:paraId="59CFC39F">
      <w:pPr>
        <w:spacing w:after="156" w:afterLines="50" w:line="460" w:lineRule="exact"/>
        <w:ind w:firstLine="437"/>
      </w:pPr>
      <w:r>
        <w:rPr>
          <w:rFonts w:hint="eastAsia"/>
        </w:rPr>
        <w:t>4.1 凡有意参加投标者（若为联合体投标，指联合体所有成员），应当在湖北省电子招投标交易平台（以下简称“电子交易平台”，下同）（网址：</w:t>
      </w:r>
      <w:r>
        <w:fldChar w:fldCharType="begin"/>
      </w:r>
      <w:r>
        <w:instrText xml:space="preserve"> HYPERLINK "http://www.hbbidcloud.c" </w:instrText>
      </w:r>
      <w:r>
        <w:fldChar w:fldCharType="separate"/>
      </w:r>
      <w:r>
        <w:t>www.hbbidcloud.c</w:t>
      </w:r>
      <w:r>
        <w:fldChar w:fldCharType="end"/>
      </w:r>
      <w:r>
        <w:rPr>
          <w:rFonts w:hint="eastAsia"/>
        </w:rPr>
        <w:t>n）进行注册登记，并办理CA数字证书（具体操作参见“电子交易平台”—办事指南—交易主体注册登记指南）。</w:t>
      </w:r>
    </w:p>
    <w:p w14:paraId="07D847A4">
      <w:pPr>
        <w:spacing w:after="156" w:afterLines="50" w:line="460" w:lineRule="exact"/>
        <w:ind w:firstLine="437"/>
        <w:rPr>
          <w:rFonts w:hint="eastAsia"/>
        </w:rPr>
      </w:pPr>
      <w:r>
        <w:rPr>
          <w:rFonts w:hint="eastAsia"/>
        </w:rPr>
        <w:t>4.2 完成注册登记后，请于</w:t>
      </w:r>
      <w:r>
        <w:rPr>
          <w:rFonts w:hint="eastAsia"/>
          <w:u w:val="single"/>
        </w:rPr>
        <w:t xml:space="preserve"> </w:t>
      </w:r>
      <w:r>
        <w:rPr>
          <w:rFonts w:hint="eastAsia"/>
          <w:u w:val="single"/>
          <w:lang w:val="en-US" w:eastAsia="zh-CN"/>
        </w:rPr>
        <w:t>2026</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日至</w:t>
      </w:r>
      <w:r>
        <w:rPr>
          <w:rFonts w:hint="eastAsia"/>
          <w:u w:val="single"/>
        </w:rPr>
        <w:t xml:space="preserve"> </w:t>
      </w:r>
      <w:r>
        <w:rPr>
          <w:rFonts w:hint="eastAsia"/>
          <w:u w:val="single"/>
          <w:lang w:val="en-US" w:eastAsia="zh-CN"/>
        </w:rPr>
        <w:t>2026</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w:t>
      </w:r>
      <w:r>
        <w:rPr>
          <w:rFonts w:hint="eastAsia" w:ascii="宋体" w:hAnsi="宋体"/>
          <w:kern w:val="0"/>
          <w:szCs w:val="21"/>
        </w:rPr>
        <w:t>在所投标段</w:t>
      </w:r>
      <w:r>
        <w:rPr>
          <w:rFonts w:hint="eastAsia"/>
        </w:rPr>
        <w:t>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66F3A88D">
      <w:pPr>
        <w:pStyle w:val="18"/>
        <w:rPr>
          <w:rFonts w:hint="eastAsia"/>
          <w:sz w:val="24"/>
          <w:szCs w:val="24"/>
        </w:rPr>
      </w:pPr>
      <w:bookmarkStart w:id="6" w:name="_Toc108513479"/>
      <w:r>
        <w:rPr>
          <w:rFonts w:hint="eastAsia"/>
          <w:sz w:val="24"/>
          <w:szCs w:val="24"/>
        </w:rPr>
        <w:t>5.投标文件的递交</w:t>
      </w:r>
      <w:bookmarkEnd w:id="6"/>
    </w:p>
    <w:p w14:paraId="5BA8C1AE">
      <w:pPr>
        <w:spacing w:after="156" w:afterLines="50" w:line="460" w:lineRule="exact"/>
        <w:ind w:firstLine="437"/>
        <w:rPr>
          <w:rFonts w:hint="eastAsia"/>
          <w:bdr w:val="single" w:color="auto" w:sz="4" w:space="0"/>
        </w:rPr>
      </w:pPr>
      <w:r>
        <w:t xml:space="preserve">5.1 </w:t>
      </w:r>
      <w:r>
        <w:rPr>
          <w:rFonts w:hint="eastAsia"/>
        </w:rPr>
        <w:t>投标文件递交截止时间为</w:t>
      </w:r>
      <w:r>
        <w:rPr>
          <w:rFonts w:hint="eastAsia"/>
          <w:u w:val="single"/>
        </w:rPr>
        <w:t xml:space="preserve"> </w:t>
      </w:r>
      <w:r>
        <w:rPr>
          <w:rFonts w:hint="eastAsia"/>
          <w:u w:val="single"/>
          <w:lang w:val="en-US" w:eastAsia="zh-CN"/>
        </w:rPr>
        <w:t>2026</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w:t>
      </w:r>
      <w:r>
        <w:rPr>
          <w:rFonts w:hint="eastAsia"/>
          <w:u w:val="single"/>
        </w:rPr>
        <w:t xml:space="preserve"> </w:t>
      </w:r>
      <w:r>
        <w:rPr>
          <w:rFonts w:hint="eastAsia"/>
          <w:u w:val="single"/>
          <w:lang w:val="en-US" w:eastAsia="zh-CN"/>
        </w:rPr>
        <w:t>09</w:t>
      </w:r>
      <w:r>
        <w:rPr>
          <w:rFonts w:hint="eastAsia"/>
          <w:u w:val="single"/>
        </w:rPr>
        <w:t xml:space="preserve"> </w:t>
      </w:r>
      <w:r>
        <w:rPr>
          <w:rFonts w:hint="eastAsia"/>
        </w:rPr>
        <w:t>时</w:t>
      </w:r>
      <w:r>
        <w:rPr>
          <w:rFonts w:hint="eastAsia"/>
          <w:u w:val="single"/>
        </w:rPr>
        <w:t xml:space="preserve"> </w:t>
      </w:r>
      <w:r>
        <w:rPr>
          <w:rFonts w:hint="eastAsia"/>
          <w:u w:val="single"/>
          <w:lang w:val="en-US" w:eastAsia="zh-CN"/>
        </w:rPr>
        <w:t>00</w:t>
      </w:r>
      <w:r>
        <w:rPr>
          <w:rFonts w:hint="eastAsia"/>
          <w:u w:val="single"/>
        </w:rPr>
        <w:t xml:space="preserve"> </w:t>
      </w:r>
      <w:r>
        <w:rPr>
          <w:rFonts w:hint="eastAsia"/>
        </w:rPr>
        <w:t>分。</w:t>
      </w:r>
    </w:p>
    <w:p w14:paraId="1FD2A632">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673F3074">
      <w:pPr>
        <w:pStyle w:val="18"/>
        <w:rPr>
          <w:rFonts w:hint="eastAsia"/>
          <w:sz w:val="24"/>
          <w:szCs w:val="24"/>
        </w:rPr>
      </w:pPr>
      <w:bookmarkStart w:id="7" w:name="_Toc108513480"/>
      <w:r>
        <w:rPr>
          <w:rFonts w:hint="eastAsia"/>
          <w:sz w:val="24"/>
          <w:szCs w:val="24"/>
        </w:rPr>
        <w:t>6.投标相关事宜</w:t>
      </w:r>
      <w:bookmarkEnd w:id="7"/>
    </w:p>
    <w:p w14:paraId="773775ED">
      <w:pPr>
        <w:spacing w:after="156" w:afterLines="50" w:line="460" w:lineRule="exact"/>
        <w:ind w:firstLine="437"/>
        <w:rPr>
          <w:rFonts w:hint="eastAsia"/>
        </w:rPr>
      </w:pPr>
      <w:r>
        <w:rPr>
          <w:rFonts w:hint="eastAsia"/>
          <w:u w:val="single"/>
        </w:rPr>
        <w:t xml:space="preserve">            </w:t>
      </w:r>
      <w:r>
        <w:rPr>
          <w:rFonts w:hint="eastAsia"/>
          <w:u w:val="single"/>
          <w:lang w:val="en-US" w:eastAsia="zh-CN"/>
        </w:rPr>
        <w:t>无</w:t>
      </w:r>
      <w:r>
        <w:rPr>
          <w:rFonts w:hint="eastAsia"/>
          <w:u w:val="single"/>
        </w:rPr>
        <w:t xml:space="preserve">                     </w:t>
      </w:r>
      <w:r>
        <w:rPr>
          <w:rFonts w:hint="eastAsia"/>
        </w:rPr>
        <w:t>。</w:t>
      </w:r>
    </w:p>
    <w:p w14:paraId="3B696575">
      <w:pPr>
        <w:pStyle w:val="18"/>
        <w:rPr>
          <w:rFonts w:hint="eastAsia"/>
          <w:sz w:val="24"/>
          <w:szCs w:val="24"/>
        </w:rPr>
      </w:pPr>
      <w:bookmarkStart w:id="8" w:name="_Toc108513481"/>
      <w:r>
        <w:rPr>
          <w:rFonts w:hint="eastAsia"/>
          <w:sz w:val="24"/>
          <w:szCs w:val="24"/>
        </w:rPr>
        <w:t>7.评标办法</w:t>
      </w:r>
      <w:bookmarkEnd w:id="8"/>
    </w:p>
    <w:p w14:paraId="2EAFDA61">
      <w:pPr>
        <w:spacing w:after="156" w:afterLines="50" w:line="460" w:lineRule="exact"/>
        <w:ind w:firstLine="437"/>
        <w:rPr>
          <w:rFonts w:hint="eastAsia"/>
        </w:rPr>
      </w:pPr>
      <w:r>
        <w:rPr>
          <w:rFonts w:hint="eastAsia"/>
        </w:rPr>
        <w:t>本次招标评标办法采用</w:t>
      </w:r>
      <w:r>
        <w:rPr>
          <w:rFonts w:hint="eastAsia"/>
          <w:u w:val="single"/>
        </w:rPr>
        <w:t xml:space="preserve"> 综合评估法 </w:t>
      </w:r>
      <w:r>
        <w:rPr>
          <w:rFonts w:hint="eastAsia"/>
        </w:rPr>
        <w:t>。</w:t>
      </w:r>
    </w:p>
    <w:p w14:paraId="27702133">
      <w:pPr>
        <w:pStyle w:val="18"/>
        <w:rPr>
          <w:rFonts w:hint="eastAsia"/>
          <w:sz w:val="24"/>
          <w:szCs w:val="24"/>
        </w:rPr>
      </w:pPr>
      <w:bookmarkStart w:id="9" w:name="_Toc108513482"/>
      <w:r>
        <w:rPr>
          <w:rFonts w:hint="eastAsia"/>
          <w:sz w:val="24"/>
          <w:szCs w:val="24"/>
        </w:rPr>
        <w:t>8.发布公告的媒介</w:t>
      </w:r>
      <w:bookmarkEnd w:id="9"/>
    </w:p>
    <w:p w14:paraId="109C1813">
      <w:pPr>
        <w:spacing w:line="440" w:lineRule="exact"/>
        <w:ind w:firstLine="437"/>
        <w:rPr>
          <w:rFonts w:hint="eastAsia"/>
        </w:rPr>
      </w:pPr>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1871EFA5">
      <w:pPr>
        <w:pStyle w:val="18"/>
        <w:rPr>
          <w:rFonts w:hint="eastAsia"/>
          <w:sz w:val="24"/>
          <w:szCs w:val="24"/>
        </w:rPr>
      </w:pPr>
      <w:bookmarkStart w:id="10" w:name="_Toc108513483"/>
      <w:r>
        <w:rPr>
          <w:rFonts w:hint="eastAsia"/>
          <w:sz w:val="24"/>
          <w:szCs w:val="24"/>
        </w:rPr>
        <w:t>9.联系方式</w:t>
      </w:r>
      <w:bookmarkEnd w:id="10"/>
    </w:p>
    <w:p w14:paraId="607079C9">
      <w:pPr>
        <w:spacing w:line="440" w:lineRule="exact"/>
        <w:ind w:firstLine="437"/>
        <w:rPr>
          <w:rFonts w:hint="default" w:eastAsia="宋体"/>
          <w:u w:val="single"/>
          <w:lang w:val="en-US" w:eastAsia="zh-CN"/>
        </w:rPr>
      </w:pPr>
      <w:r>
        <w:rPr>
          <w:rFonts w:hint="eastAsia"/>
        </w:rPr>
        <w:t>招 标 人：</w:t>
      </w:r>
      <w:r>
        <w:rPr>
          <w:rFonts w:hint="eastAsia"/>
          <w:u w:val="single"/>
          <w:lang w:eastAsia="zh-CN"/>
        </w:rPr>
        <w:t>丹江口市浪河镇人民政府</w:t>
      </w:r>
      <w:r>
        <w:rPr>
          <w:rFonts w:hint="eastAsia"/>
        </w:rPr>
        <w:t xml:space="preserve">   </w:t>
      </w:r>
      <w:r>
        <w:rPr>
          <w:rFonts w:hint="eastAsia"/>
          <w:lang w:val="en-US" w:eastAsia="zh-CN"/>
        </w:rPr>
        <w:t xml:space="preserve">  </w:t>
      </w:r>
      <w:r>
        <w:rPr>
          <w:rFonts w:hint="eastAsia"/>
        </w:rPr>
        <w:t>招标代理机构：</w:t>
      </w:r>
      <w:r>
        <w:rPr>
          <w:rFonts w:hint="eastAsia"/>
          <w:u w:val="single"/>
          <w:lang w:val="en-US" w:eastAsia="zh-CN"/>
        </w:rPr>
        <w:t>中大嘉信项目管理有限公司</w:t>
      </w:r>
    </w:p>
    <w:p w14:paraId="259672F7">
      <w:pPr>
        <w:spacing w:line="440" w:lineRule="exact"/>
        <w:ind w:left="5880" w:leftChars="200" w:hanging="5460" w:hangingChars="2600"/>
        <w:rPr>
          <w:rFonts w:hint="eastAsia"/>
          <w:u w:val="single"/>
        </w:rPr>
      </w:pPr>
      <w:r>
        <w:rPr>
          <w:rFonts w:hint="eastAsia"/>
        </w:rPr>
        <w:t>地    址：</w:t>
      </w:r>
      <w:r>
        <w:rPr>
          <w:rFonts w:hint="eastAsia"/>
          <w:u w:val="single"/>
        </w:rPr>
        <w:t>丹江口市浪河镇浪河大道12号</w:t>
      </w:r>
      <w:r>
        <w:rPr>
          <w:rFonts w:hint="eastAsia"/>
        </w:rPr>
        <w:t xml:space="preserve">   </w:t>
      </w:r>
      <w:r>
        <w:rPr>
          <w:rFonts w:hint="eastAsia"/>
          <w:lang w:val="en-US" w:eastAsia="zh-CN"/>
        </w:rPr>
        <w:t xml:space="preserve"> </w:t>
      </w:r>
      <w:r>
        <w:rPr>
          <w:rFonts w:hint="eastAsia"/>
        </w:rPr>
        <w:t>地    址：</w:t>
      </w:r>
      <w:r>
        <w:rPr>
          <w:rFonts w:hint="eastAsia"/>
          <w:u w:val="single"/>
          <w:lang w:val="en-US" w:eastAsia="zh-CN"/>
        </w:rPr>
        <w:t>丹江口市丹江大道天赐富汇国际1702室</w:t>
      </w:r>
      <w:r>
        <w:rPr>
          <w:rFonts w:hint="eastAsia"/>
          <w:u w:val="single"/>
        </w:rPr>
        <w:t xml:space="preserve">   </w:t>
      </w:r>
    </w:p>
    <w:p w14:paraId="33A04411">
      <w:pPr>
        <w:spacing w:line="440" w:lineRule="exact"/>
        <w:ind w:firstLine="437"/>
        <w:rPr>
          <w:rFonts w:hint="eastAsia"/>
        </w:rPr>
      </w:pPr>
      <w:r>
        <w:rPr>
          <w:rFonts w:hint="eastAsia"/>
        </w:rPr>
        <w:t>邮    编：</w:t>
      </w:r>
      <w:r>
        <w:rPr>
          <w:rFonts w:hint="eastAsia"/>
          <w:u w:val="single"/>
        </w:rPr>
        <w:t xml:space="preserve">   </w:t>
      </w:r>
      <w:r>
        <w:rPr>
          <w:rFonts w:hint="eastAsia"/>
          <w:u w:val="single"/>
          <w:lang w:val="en-US" w:eastAsia="zh-CN"/>
        </w:rPr>
        <w:t>442700</w:t>
      </w:r>
      <w:r>
        <w:rPr>
          <w:rFonts w:hint="eastAsia"/>
          <w:u w:val="single"/>
        </w:rPr>
        <w:t xml:space="preserve">        </w:t>
      </w:r>
      <w:r>
        <w:rPr>
          <w:rFonts w:hint="eastAsia"/>
        </w:rPr>
        <w:t xml:space="preserve">   </w:t>
      </w:r>
      <w:r>
        <w:rPr>
          <w:rFonts w:hint="eastAsia"/>
          <w:lang w:val="en-US" w:eastAsia="zh-CN"/>
        </w:rPr>
        <w:t xml:space="preserve">          </w:t>
      </w:r>
      <w:r>
        <w:rPr>
          <w:rFonts w:hint="eastAsia"/>
        </w:rPr>
        <w:t>邮    编：</w:t>
      </w:r>
      <w:r>
        <w:rPr>
          <w:rFonts w:hint="eastAsia"/>
          <w:u w:val="single"/>
        </w:rPr>
        <w:t xml:space="preserve">       </w:t>
      </w:r>
      <w:r>
        <w:rPr>
          <w:rFonts w:hint="eastAsia"/>
          <w:u w:val="single"/>
          <w:lang w:val="en-US" w:eastAsia="zh-CN"/>
        </w:rPr>
        <w:t>442700</w:t>
      </w:r>
      <w:r>
        <w:rPr>
          <w:rFonts w:hint="eastAsia"/>
          <w:u w:val="single"/>
        </w:rPr>
        <w:t xml:space="preserve">       </w:t>
      </w:r>
    </w:p>
    <w:p w14:paraId="2D14C931">
      <w:pPr>
        <w:spacing w:line="440" w:lineRule="exact"/>
        <w:ind w:firstLine="437"/>
        <w:rPr>
          <w:rFonts w:hint="eastAsia"/>
        </w:rPr>
      </w:pPr>
      <w:r>
        <w:rPr>
          <w:rFonts w:hint="eastAsia"/>
        </w:rPr>
        <w:t>联 系 人：</w:t>
      </w:r>
      <w:r>
        <w:rPr>
          <w:rFonts w:hint="eastAsia"/>
          <w:u w:val="single"/>
        </w:rPr>
        <w:t xml:space="preserve">   马永强           </w:t>
      </w:r>
      <w:r>
        <w:rPr>
          <w:rFonts w:hint="eastAsia"/>
        </w:rPr>
        <w:t xml:space="preserve">   </w:t>
      </w:r>
      <w:r>
        <w:rPr>
          <w:rFonts w:hint="eastAsia"/>
          <w:lang w:val="en-US" w:eastAsia="zh-CN"/>
        </w:rPr>
        <w:t xml:space="preserve">       </w:t>
      </w:r>
      <w:r>
        <w:rPr>
          <w:rFonts w:hint="eastAsia"/>
        </w:rPr>
        <w:t>联 系 人：</w:t>
      </w:r>
      <w:r>
        <w:rPr>
          <w:rFonts w:hint="eastAsia"/>
          <w:u w:val="single"/>
        </w:rPr>
        <w:t xml:space="preserve">    </w:t>
      </w:r>
      <w:r>
        <w:rPr>
          <w:rFonts w:hint="eastAsia"/>
          <w:u w:val="single"/>
          <w:lang w:val="en-US" w:eastAsia="zh-CN"/>
        </w:rPr>
        <w:t>杨嘉依</w:t>
      </w:r>
      <w:r>
        <w:rPr>
          <w:rFonts w:hint="eastAsia"/>
          <w:u w:val="single"/>
        </w:rPr>
        <w:t xml:space="preserve">             </w:t>
      </w:r>
    </w:p>
    <w:p w14:paraId="753266A0">
      <w:pPr>
        <w:spacing w:line="440" w:lineRule="exact"/>
        <w:ind w:firstLine="437"/>
        <w:rPr>
          <w:rFonts w:hint="eastAsia"/>
        </w:rPr>
      </w:pPr>
      <w:r>
        <w:rPr>
          <w:rFonts w:hint="eastAsia"/>
        </w:rPr>
        <w:t>电    话：</w:t>
      </w:r>
      <w:r>
        <w:rPr>
          <w:rFonts w:hint="eastAsia"/>
          <w:u w:val="single"/>
        </w:rPr>
        <w:t xml:space="preserve">  15872755057         </w:t>
      </w:r>
      <w:r>
        <w:rPr>
          <w:rFonts w:hint="eastAsia"/>
        </w:rPr>
        <w:t xml:space="preserve">   </w:t>
      </w:r>
      <w:r>
        <w:rPr>
          <w:rFonts w:hint="eastAsia"/>
          <w:lang w:val="en-US" w:eastAsia="zh-CN"/>
        </w:rPr>
        <w:t xml:space="preserve">     </w:t>
      </w:r>
      <w:r>
        <w:rPr>
          <w:rFonts w:hint="eastAsia"/>
        </w:rPr>
        <w:t>电    话：</w:t>
      </w:r>
      <w:r>
        <w:rPr>
          <w:rFonts w:hint="eastAsia"/>
          <w:u w:val="single"/>
        </w:rPr>
        <w:t xml:space="preserve">  </w:t>
      </w:r>
      <w:r>
        <w:rPr>
          <w:rFonts w:hint="eastAsia"/>
          <w:u w:val="single"/>
          <w:lang w:val="en-US" w:eastAsia="zh-CN"/>
        </w:rPr>
        <w:t>18272426232</w:t>
      </w:r>
      <w:r>
        <w:rPr>
          <w:rFonts w:hint="eastAsia"/>
          <w:u w:val="single"/>
        </w:rPr>
        <w:t xml:space="preserve">         </w:t>
      </w:r>
    </w:p>
    <w:p w14:paraId="7B3D23FF">
      <w:pPr>
        <w:spacing w:line="440" w:lineRule="exact"/>
        <w:ind w:firstLine="437"/>
        <w:rPr>
          <w:rFonts w:hint="eastAsia"/>
        </w:rPr>
      </w:pPr>
      <w:r>
        <w:rPr>
          <w:rFonts w:hint="eastAsia"/>
        </w:rPr>
        <w:t>传    真：</w:t>
      </w:r>
      <w:r>
        <w:rPr>
          <w:rFonts w:hint="eastAsia"/>
          <w:u w:val="single"/>
        </w:rPr>
        <w:t xml:space="preserve">           </w:t>
      </w:r>
      <w:r>
        <w:rPr>
          <w:rFonts w:hint="eastAsia"/>
          <w:u w:val="single"/>
          <w:lang w:val="en-US" w:eastAsia="zh-CN"/>
        </w:rPr>
        <w:t>/</w:t>
      </w:r>
      <w:r>
        <w:rPr>
          <w:rFonts w:hint="eastAsia"/>
          <w:u w:val="single"/>
        </w:rPr>
        <w:t xml:space="preserve">              </w:t>
      </w:r>
      <w:r>
        <w:rPr>
          <w:rFonts w:hint="eastAsia"/>
        </w:rPr>
        <w:t xml:space="preserve"> </w:t>
      </w:r>
      <w:r>
        <w:rPr>
          <w:rFonts w:hint="eastAsia"/>
          <w:lang w:val="en-US" w:eastAsia="zh-CN"/>
        </w:rPr>
        <w:t xml:space="preserve">  </w:t>
      </w:r>
      <w:r>
        <w:rPr>
          <w:rFonts w:hint="eastAsia"/>
        </w:rPr>
        <w:t xml:space="preserve"> 传    真：</w:t>
      </w:r>
      <w:r>
        <w:rPr>
          <w:rFonts w:hint="eastAsia"/>
          <w:u w:val="single"/>
        </w:rPr>
        <w:t xml:space="preserve">          </w:t>
      </w:r>
      <w:r>
        <w:rPr>
          <w:rFonts w:hint="eastAsia"/>
          <w:u w:val="single"/>
          <w:lang w:val="en-US" w:eastAsia="zh-CN"/>
        </w:rPr>
        <w:t>/</w:t>
      </w:r>
      <w:r>
        <w:rPr>
          <w:rFonts w:hint="eastAsia"/>
          <w:u w:val="single"/>
        </w:rPr>
        <w:t xml:space="preserve">                  </w:t>
      </w:r>
    </w:p>
    <w:p w14:paraId="6D2C9DA5">
      <w:pPr>
        <w:spacing w:line="440" w:lineRule="exact"/>
        <w:ind w:firstLine="437"/>
        <w:rPr>
          <w:rFonts w:hint="eastAsia"/>
        </w:rPr>
      </w:pPr>
      <w:r>
        <w:rPr>
          <w:rFonts w:hint="eastAsia"/>
        </w:rPr>
        <w:t>电子邮件：</w:t>
      </w:r>
      <w:r>
        <w:rPr>
          <w:rFonts w:hint="eastAsia"/>
          <w:u w:val="single"/>
        </w:rPr>
        <w:t xml:space="preserve">          </w:t>
      </w:r>
      <w:r>
        <w:rPr>
          <w:rFonts w:hint="eastAsia"/>
          <w:u w:val="single"/>
          <w:lang w:val="en-US" w:eastAsia="zh-CN"/>
        </w:rPr>
        <w:t>/</w:t>
      </w:r>
      <w:r>
        <w:rPr>
          <w:rFonts w:hint="eastAsia"/>
          <w:u w:val="single"/>
        </w:rPr>
        <w:t xml:space="preserve">               </w:t>
      </w:r>
      <w:r>
        <w:rPr>
          <w:rFonts w:hint="eastAsia"/>
        </w:rPr>
        <w:t xml:space="preserve"> </w:t>
      </w:r>
      <w:r>
        <w:rPr>
          <w:rFonts w:hint="eastAsia"/>
          <w:lang w:val="en-US" w:eastAsia="zh-CN"/>
        </w:rPr>
        <w:t xml:space="preserve">  </w:t>
      </w:r>
      <w:r>
        <w:rPr>
          <w:rFonts w:hint="eastAsia"/>
        </w:rPr>
        <w:t xml:space="preserve"> 电子邮件：</w:t>
      </w:r>
      <w:r>
        <w:rPr>
          <w:rFonts w:hint="eastAsia"/>
          <w:u w:val="single"/>
        </w:rPr>
        <w:t xml:space="preserve">          </w:t>
      </w:r>
      <w:r>
        <w:rPr>
          <w:rFonts w:hint="eastAsia"/>
          <w:u w:val="single"/>
          <w:lang w:val="en-US" w:eastAsia="zh-CN"/>
        </w:rPr>
        <w:t>/</w:t>
      </w:r>
      <w:r>
        <w:rPr>
          <w:rFonts w:hint="eastAsia"/>
          <w:u w:val="single"/>
        </w:rPr>
        <w:t xml:space="preserve">                  </w:t>
      </w:r>
    </w:p>
    <w:p w14:paraId="770B497F">
      <w:pPr>
        <w:spacing w:line="440" w:lineRule="exact"/>
        <w:ind w:firstLine="437"/>
        <w:rPr>
          <w:rFonts w:hint="eastAsia"/>
        </w:rPr>
      </w:pPr>
      <w:r>
        <w:rPr>
          <w:rFonts w:hint="eastAsia"/>
        </w:rPr>
        <w:t>网    址：</w:t>
      </w:r>
      <w:r>
        <w:rPr>
          <w:rFonts w:hint="eastAsia"/>
          <w:u w:val="single"/>
        </w:rPr>
        <w:t xml:space="preserve">          </w:t>
      </w:r>
      <w:r>
        <w:rPr>
          <w:rFonts w:hint="eastAsia"/>
          <w:u w:val="single"/>
          <w:lang w:val="en-US" w:eastAsia="zh-CN"/>
        </w:rPr>
        <w:t>/</w:t>
      </w:r>
      <w:r>
        <w:rPr>
          <w:rFonts w:hint="eastAsia"/>
          <w:u w:val="single"/>
        </w:rPr>
        <w:t xml:space="preserve">              </w:t>
      </w:r>
      <w:r>
        <w:rPr>
          <w:rFonts w:hint="eastAsia"/>
        </w:rPr>
        <w:t xml:space="preserve">  </w:t>
      </w:r>
      <w:r>
        <w:rPr>
          <w:rFonts w:hint="eastAsia"/>
          <w:lang w:val="en-US" w:eastAsia="zh-CN"/>
        </w:rPr>
        <w:t xml:space="preserve">  </w:t>
      </w:r>
      <w:r>
        <w:rPr>
          <w:rFonts w:hint="eastAsia"/>
        </w:rPr>
        <w:t xml:space="preserve"> 网    址：</w:t>
      </w:r>
      <w:r>
        <w:rPr>
          <w:rFonts w:hint="eastAsia"/>
          <w:u w:val="single"/>
        </w:rPr>
        <w:t xml:space="preserve">           </w:t>
      </w:r>
      <w:r>
        <w:rPr>
          <w:rFonts w:hint="eastAsia"/>
          <w:u w:val="single"/>
          <w:lang w:val="en-US" w:eastAsia="zh-CN"/>
        </w:rPr>
        <w:t>/</w:t>
      </w:r>
      <w:r>
        <w:rPr>
          <w:rFonts w:hint="eastAsia"/>
          <w:u w:val="single"/>
        </w:rPr>
        <w:t xml:space="preserve">                 </w:t>
      </w:r>
    </w:p>
    <w:p w14:paraId="67673343">
      <w:pPr>
        <w:spacing w:line="440" w:lineRule="exact"/>
        <w:ind w:firstLine="437"/>
        <w:rPr>
          <w:rFonts w:hint="eastAsia"/>
        </w:rPr>
      </w:pPr>
      <w:r>
        <w:rPr>
          <w:rFonts w:hint="eastAsia"/>
        </w:rPr>
        <w:t>开户银行：</w:t>
      </w:r>
      <w:r>
        <w:rPr>
          <w:rFonts w:hint="eastAsia"/>
          <w:u w:val="single"/>
        </w:rPr>
        <w:t xml:space="preserve">          </w:t>
      </w:r>
      <w:r>
        <w:rPr>
          <w:rFonts w:hint="eastAsia"/>
          <w:u w:val="single"/>
          <w:lang w:val="en-US" w:eastAsia="zh-CN"/>
        </w:rPr>
        <w:t>/</w:t>
      </w:r>
      <w:r>
        <w:rPr>
          <w:rFonts w:hint="eastAsia"/>
          <w:u w:val="single"/>
        </w:rPr>
        <w:t xml:space="preserve">              </w:t>
      </w:r>
      <w:r>
        <w:rPr>
          <w:rFonts w:hint="eastAsia"/>
        </w:rPr>
        <w:t xml:space="preserve"> </w:t>
      </w:r>
      <w:r>
        <w:rPr>
          <w:rFonts w:hint="eastAsia"/>
          <w:lang w:val="en-US" w:eastAsia="zh-CN"/>
        </w:rPr>
        <w:t xml:space="preserve">  </w:t>
      </w:r>
      <w:r>
        <w:rPr>
          <w:rFonts w:hint="eastAsia"/>
        </w:rPr>
        <w:t xml:space="preserve">  开户银行：</w:t>
      </w:r>
      <w:r>
        <w:rPr>
          <w:rFonts w:hint="eastAsia"/>
          <w:u w:val="single"/>
        </w:rPr>
        <w:t xml:space="preserve">          </w:t>
      </w:r>
      <w:r>
        <w:rPr>
          <w:rFonts w:hint="eastAsia"/>
          <w:u w:val="single"/>
          <w:lang w:val="en-US" w:eastAsia="zh-CN"/>
        </w:rPr>
        <w:t>/</w:t>
      </w:r>
      <w:r>
        <w:rPr>
          <w:rFonts w:hint="eastAsia"/>
          <w:u w:val="single"/>
        </w:rPr>
        <w:t xml:space="preserve">                  </w:t>
      </w:r>
    </w:p>
    <w:p w14:paraId="7593CF0A">
      <w:pPr>
        <w:spacing w:line="440" w:lineRule="exact"/>
        <w:ind w:firstLine="437"/>
        <w:rPr>
          <w:rFonts w:hint="eastAsia"/>
        </w:rPr>
      </w:pPr>
      <w:r>
        <w:rPr>
          <w:rFonts w:hint="eastAsia"/>
        </w:rPr>
        <w:t>账    号：</w:t>
      </w:r>
      <w:r>
        <w:rPr>
          <w:rFonts w:hint="eastAsia"/>
          <w:u w:val="single"/>
        </w:rPr>
        <w:t xml:space="preserve">         </w:t>
      </w:r>
      <w:r>
        <w:rPr>
          <w:rFonts w:hint="eastAsia"/>
          <w:u w:val="single"/>
          <w:lang w:val="en-US" w:eastAsia="zh-CN"/>
        </w:rPr>
        <w:t>/</w:t>
      </w:r>
      <w:r>
        <w:rPr>
          <w:rFonts w:hint="eastAsia"/>
          <w:u w:val="single"/>
        </w:rPr>
        <w:t xml:space="preserve">               </w:t>
      </w:r>
      <w:r>
        <w:rPr>
          <w:rFonts w:hint="eastAsia"/>
        </w:rPr>
        <w:t xml:space="preserve">  </w:t>
      </w:r>
      <w:r>
        <w:rPr>
          <w:rFonts w:hint="eastAsia"/>
          <w:lang w:val="en-US" w:eastAsia="zh-CN"/>
        </w:rPr>
        <w:t xml:space="preserve">  </w:t>
      </w:r>
      <w:r>
        <w:rPr>
          <w:rFonts w:hint="eastAsia"/>
        </w:rPr>
        <w:t xml:space="preserve"> 账    号：</w:t>
      </w:r>
      <w:r>
        <w:rPr>
          <w:rFonts w:hint="eastAsia"/>
          <w:u w:val="single"/>
        </w:rPr>
        <w:t xml:space="preserve">           </w:t>
      </w:r>
      <w:r>
        <w:rPr>
          <w:rFonts w:hint="eastAsia"/>
          <w:u w:val="single"/>
          <w:lang w:val="en-US" w:eastAsia="zh-CN"/>
        </w:rPr>
        <w:t>/</w:t>
      </w:r>
      <w:r>
        <w:rPr>
          <w:rFonts w:hint="eastAsia"/>
          <w:u w:val="single"/>
        </w:rPr>
        <w:t xml:space="preserve">                 </w:t>
      </w:r>
    </w:p>
    <w:p w14:paraId="0FF3D6E1">
      <w:pPr>
        <w:spacing w:after="312" w:afterLines="100" w:line="380" w:lineRule="exact"/>
        <w:ind w:firstLine="437"/>
        <w:jc w:val="right"/>
        <w:rPr>
          <w:rFonts w:hint="eastAsia" w:ascii="宋体" w:hAnsi="宋体"/>
          <w:szCs w:val="21"/>
          <w:u w:val="single"/>
        </w:rPr>
      </w:pPr>
    </w:p>
    <w:p w14:paraId="76C3AB60">
      <w:pPr>
        <w:spacing w:after="312" w:afterLines="100" w:line="380" w:lineRule="exact"/>
        <w:ind w:firstLine="437"/>
        <w:jc w:val="right"/>
        <w:rPr>
          <w:rFonts w:hint="eastAsia" w:ascii="宋体" w:hAnsi="宋体"/>
          <w:szCs w:val="21"/>
        </w:rPr>
      </w:pPr>
      <w:r>
        <w:rPr>
          <w:rFonts w:hint="eastAsia" w:ascii="宋体" w:hAnsi="宋体"/>
          <w:szCs w:val="21"/>
          <w:u w:val="single"/>
        </w:rPr>
        <w:t xml:space="preserve">  </w:t>
      </w:r>
      <w:r>
        <w:rPr>
          <w:rFonts w:hint="eastAsia" w:ascii="宋体" w:hAnsi="宋体"/>
          <w:szCs w:val="21"/>
          <w:u w:val="single"/>
          <w:lang w:val="en-US" w:eastAsia="zh-CN"/>
        </w:rPr>
        <w:t>2026</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日                     </w:t>
      </w:r>
    </w:p>
    <w:p w14:paraId="2060C3D3">
      <w:pPr>
        <w:spacing w:after="312" w:afterLines="100" w:line="380" w:lineRule="exact"/>
        <w:ind w:firstLine="437"/>
        <w:jc w:val="center"/>
        <w:rPr>
          <w:rFonts w:hint="eastAsia" w:ascii="黑体" w:eastAsia="黑体"/>
          <w:sz w:val="32"/>
          <w:szCs w:val="32"/>
        </w:rPr>
      </w:pPr>
    </w:p>
    <w:p w14:paraId="15BFE3D7">
      <w:pPr>
        <w:spacing w:after="312" w:afterLines="100"/>
        <w:ind w:left="840" w:hanging="840" w:hangingChars="400"/>
        <w:rPr>
          <w:rFonts w:hint="eastAsia"/>
          <w:szCs w:val="21"/>
        </w:rPr>
      </w:pPr>
      <w:r>
        <w:rPr>
          <w:rFonts w:hint="eastAsia"/>
          <w:szCs w:val="21"/>
        </w:rPr>
        <w:t>备注：1. 投标人拟派的项目经理（</w:t>
      </w:r>
      <w:r>
        <w:rPr>
          <w:szCs w:val="21"/>
        </w:rPr>
        <w:t>建造师</w:t>
      </w:r>
      <w:r>
        <w:rPr>
          <w:rFonts w:hint="eastAsia"/>
          <w:szCs w:val="21"/>
        </w:rPr>
        <w:t>）（下同）</w:t>
      </w:r>
      <w:r>
        <w:rPr>
          <w:szCs w:val="21"/>
        </w:rPr>
        <w:t>不得同时担任两个及以上建设工程</w:t>
      </w:r>
      <w:r>
        <w:rPr>
          <w:rFonts w:hint="eastAsia"/>
          <w:szCs w:val="21"/>
        </w:rPr>
        <w:t>项目的项目经理（项目负责人）</w:t>
      </w:r>
      <w:r>
        <w:rPr>
          <w:szCs w:val="21"/>
        </w:rPr>
        <w:t>。</w:t>
      </w:r>
      <w:r>
        <w:rPr>
          <w:rFonts w:hint="eastAsia"/>
          <w:szCs w:val="21"/>
        </w:rPr>
        <w:t>存在</w:t>
      </w:r>
      <w:r>
        <w:rPr>
          <w:szCs w:val="21"/>
        </w:rPr>
        <w:t>下列情形之一的</w:t>
      </w:r>
      <w:r>
        <w:rPr>
          <w:rFonts w:hint="eastAsia"/>
          <w:szCs w:val="21"/>
        </w:rPr>
        <w:t>，视为未担任其他在施建设工程项目的项目经理</w:t>
      </w:r>
      <w:r>
        <w:rPr>
          <w:szCs w:val="21"/>
        </w:rPr>
        <w:t>：（</w:t>
      </w:r>
      <w:r>
        <w:rPr>
          <w:rFonts w:hint="eastAsia"/>
          <w:szCs w:val="21"/>
        </w:rPr>
        <w:t>1</w:t>
      </w:r>
      <w:r>
        <w:rPr>
          <w:szCs w:val="21"/>
        </w:rPr>
        <w:t>）同一工程相邻分段发包或分期施工的</w:t>
      </w:r>
      <w:r>
        <w:rPr>
          <w:rFonts w:hint="eastAsia"/>
          <w:szCs w:val="21"/>
        </w:rPr>
        <w:t>;</w:t>
      </w:r>
      <w:r>
        <w:rPr>
          <w:szCs w:val="21"/>
        </w:rPr>
        <w:t>（</w:t>
      </w:r>
      <w:r>
        <w:rPr>
          <w:rFonts w:hint="eastAsia"/>
          <w:szCs w:val="21"/>
        </w:rPr>
        <w:t>2</w:t>
      </w:r>
      <w:r>
        <w:rPr>
          <w:szCs w:val="21"/>
        </w:rPr>
        <w:t>）合同约定的工程验收合格的；（</w:t>
      </w:r>
      <w:r>
        <w:rPr>
          <w:rFonts w:hint="eastAsia"/>
          <w:szCs w:val="21"/>
        </w:rPr>
        <w:t>3</w:t>
      </w:r>
      <w:r>
        <w:rPr>
          <w:szCs w:val="21"/>
        </w:rPr>
        <w:t>）因非承包方原因致使工程项目停工超过120天（含），经建设单位同意的。</w:t>
      </w:r>
    </w:p>
    <w:p w14:paraId="45C80C4C">
      <w:pPr>
        <w:ind w:left="945" w:leftChars="300" w:hanging="315" w:hangingChars="150"/>
        <w:jc w:val="left"/>
        <w:rPr>
          <w:rFonts w:hint="eastAsia"/>
        </w:rPr>
      </w:pPr>
      <w:r>
        <w:rPr>
          <w:rFonts w:hint="eastAsia"/>
        </w:rPr>
        <w:t>2. “在所投标段免费下载招标文件”是指投标人拟参加某标段投标的，应按规定下载该标段的招标文件。投标人的下载活动“</w:t>
      </w:r>
      <w:r>
        <w:t>电子</w:t>
      </w:r>
      <w:r>
        <w:rPr>
          <w:rFonts w:hint="eastAsia"/>
        </w:rPr>
        <w:t>交易</w:t>
      </w:r>
      <w:r>
        <w:t>平台</w:t>
      </w:r>
      <w:r>
        <w:rPr>
          <w:rFonts w:hint="eastAsia"/>
        </w:rPr>
        <w:t>”将予以记录，并可在“下载情况查询”中查看，该记录作为投标人是否下载该标段招标文件的依据。</w:t>
      </w:r>
    </w:p>
    <w:p w14:paraId="0D83F940">
      <w:pPr>
        <w:spacing w:after="312" w:afterLines="100" w:line="380" w:lineRule="exact"/>
        <w:ind w:firstLine="437"/>
        <w:jc w:val="center"/>
        <w:rPr>
          <w:rFonts w:hint="eastAsia" w:ascii="黑体" w:eastAsia="黑体"/>
          <w:sz w:val="32"/>
          <w:szCs w:val="32"/>
        </w:rPr>
      </w:pPr>
    </w:p>
    <w:p w14:paraId="624E44D2">
      <w:pPr>
        <w:spacing w:after="312" w:afterLines="100" w:line="380" w:lineRule="exact"/>
        <w:ind w:firstLine="437"/>
        <w:jc w:val="center"/>
        <w:rPr>
          <w:rFonts w:hint="eastAsia" w:ascii="黑体" w:eastAsia="黑体"/>
          <w:sz w:val="32"/>
          <w:szCs w:val="32"/>
        </w:rPr>
      </w:pPr>
    </w:p>
    <w:p w14:paraId="002124EE">
      <w:pPr>
        <w:pStyle w:val="2"/>
        <w:spacing w:before="120" w:after="120" w:line="400" w:lineRule="exact"/>
        <w:jc w:val="center"/>
        <w:rPr>
          <w:rFonts w:hint="eastAsia" w:ascii="黑体" w:hAnsi="黑体" w:eastAsia="黑体"/>
          <w:b w:val="0"/>
          <w:bCs w:val="0"/>
          <w:sz w:val="32"/>
        </w:rPr>
      </w:pPr>
      <w:bookmarkStart w:id="11" w:name="_Toc108513493"/>
      <w:r>
        <w:rPr>
          <w:rFonts w:hint="eastAsia" w:ascii="黑体" w:hAnsi="黑体" w:eastAsia="黑体"/>
          <w:b w:val="0"/>
          <w:bCs w:val="0"/>
          <w:sz w:val="32"/>
        </w:rPr>
        <w:t>第二章  投标人须知</w:t>
      </w:r>
      <w:bookmarkEnd w:id="11"/>
    </w:p>
    <w:p w14:paraId="0D03F285">
      <w:pPr>
        <w:pStyle w:val="18"/>
        <w:rPr>
          <w:rFonts w:hint="eastAsia"/>
        </w:rPr>
      </w:pPr>
      <w:bookmarkStart w:id="12" w:name="_Toc108513494"/>
      <w:r>
        <w:rPr>
          <w:rFonts w:hint="eastAsia"/>
        </w:rPr>
        <w:t>投标人须知前附表</w:t>
      </w:r>
      <w:bookmarkEnd w:id="12"/>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5295"/>
      </w:tblGrid>
      <w:tr w14:paraId="7EAF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51" w:type="dxa"/>
            <w:noWrap w:val="0"/>
            <w:vAlign w:val="center"/>
          </w:tcPr>
          <w:p w14:paraId="081F24D8">
            <w:pPr>
              <w:jc w:val="center"/>
              <w:rPr>
                <w:rFonts w:hint="eastAsia"/>
                <w:b/>
              </w:rPr>
            </w:pPr>
            <w:r>
              <w:rPr>
                <w:rFonts w:hint="eastAsia"/>
                <w:b/>
              </w:rPr>
              <w:t>条款号</w:t>
            </w:r>
          </w:p>
        </w:tc>
        <w:tc>
          <w:tcPr>
            <w:tcW w:w="2268" w:type="dxa"/>
            <w:noWrap w:val="0"/>
            <w:vAlign w:val="center"/>
          </w:tcPr>
          <w:p w14:paraId="107B45F9">
            <w:pPr>
              <w:jc w:val="center"/>
              <w:rPr>
                <w:rFonts w:hint="eastAsia"/>
                <w:b/>
              </w:rPr>
            </w:pPr>
            <w:r>
              <w:rPr>
                <w:rFonts w:hint="eastAsia"/>
                <w:b/>
              </w:rPr>
              <w:t>条  款  名  称</w:t>
            </w:r>
          </w:p>
        </w:tc>
        <w:tc>
          <w:tcPr>
            <w:tcW w:w="5295" w:type="dxa"/>
            <w:noWrap w:val="0"/>
            <w:vAlign w:val="center"/>
          </w:tcPr>
          <w:p w14:paraId="3D042659">
            <w:pPr>
              <w:jc w:val="center"/>
              <w:rPr>
                <w:rFonts w:hint="eastAsia"/>
                <w:b/>
              </w:rPr>
            </w:pPr>
            <w:r>
              <w:rPr>
                <w:rFonts w:hint="eastAsia"/>
                <w:b/>
              </w:rPr>
              <w:t>编  列  内  容</w:t>
            </w:r>
          </w:p>
        </w:tc>
      </w:tr>
      <w:tr w14:paraId="0B86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851" w:type="dxa"/>
            <w:noWrap w:val="0"/>
            <w:vAlign w:val="center"/>
          </w:tcPr>
          <w:p w14:paraId="6240A6C7">
            <w:pPr>
              <w:jc w:val="center"/>
              <w:rPr>
                <w:rFonts w:hint="eastAsia"/>
              </w:rPr>
            </w:pPr>
            <w:r>
              <w:rPr>
                <w:rFonts w:hint="eastAsia"/>
              </w:rPr>
              <w:t>1.1.2</w:t>
            </w:r>
          </w:p>
        </w:tc>
        <w:tc>
          <w:tcPr>
            <w:tcW w:w="2268" w:type="dxa"/>
            <w:noWrap w:val="0"/>
            <w:vAlign w:val="center"/>
          </w:tcPr>
          <w:p w14:paraId="3EDB9A07">
            <w:pPr>
              <w:rPr>
                <w:rFonts w:hint="eastAsia"/>
              </w:rPr>
            </w:pPr>
            <w:r>
              <w:rPr>
                <w:rFonts w:hint="eastAsia"/>
              </w:rPr>
              <w:t>招标人</w:t>
            </w:r>
          </w:p>
        </w:tc>
        <w:tc>
          <w:tcPr>
            <w:tcW w:w="5295" w:type="dxa"/>
            <w:noWrap w:val="0"/>
            <w:vAlign w:val="center"/>
          </w:tcPr>
          <w:p w14:paraId="5B918DD2">
            <w:pPr>
              <w:rPr>
                <w:rFonts w:hint="eastAsia" w:eastAsia="宋体"/>
                <w:lang w:eastAsia="zh-CN"/>
              </w:rPr>
            </w:pPr>
            <w:r>
              <w:rPr>
                <w:rFonts w:hint="eastAsia"/>
              </w:rPr>
              <w:t>名    称：</w:t>
            </w:r>
            <w:r>
              <w:rPr>
                <w:rFonts w:hint="eastAsia"/>
                <w:lang w:eastAsia="zh-CN"/>
              </w:rPr>
              <w:t>丹江口市浪河镇人民政府</w:t>
            </w:r>
          </w:p>
          <w:p w14:paraId="08BB440E">
            <w:pPr>
              <w:rPr>
                <w:rFonts w:hint="eastAsia"/>
              </w:rPr>
            </w:pPr>
            <w:r>
              <w:rPr>
                <w:rFonts w:hint="eastAsia"/>
              </w:rPr>
              <w:t>地    址：丹江口市浪河镇浪河大道12号</w:t>
            </w:r>
          </w:p>
          <w:p w14:paraId="2786E584">
            <w:pPr>
              <w:rPr>
                <w:rFonts w:hint="eastAsia"/>
              </w:rPr>
            </w:pPr>
            <w:r>
              <w:rPr>
                <w:rFonts w:hint="eastAsia"/>
              </w:rPr>
              <w:t>联 系 人：马永强</w:t>
            </w:r>
          </w:p>
          <w:p w14:paraId="173AF4C1">
            <w:pPr>
              <w:rPr>
                <w:rFonts w:hint="eastAsia"/>
              </w:rPr>
            </w:pPr>
            <w:r>
              <w:rPr>
                <w:rFonts w:hint="eastAsia"/>
              </w:rPr>
              <w:t>电    话：15872755057</w:t>
            </w:r>
          </w:p>
          <w:p w14:paraId="5D840B08">
            <w:pPr>
              <w:rPr>
                <w:rFonts w:hint="eastAsia" w:eastAsia="宋体"/>
                <w:lang w:val="en-US" w:eastAsia="zh-CN"/>
              </w:rPr>
            </w:pPr>
            <w:r>
              <w:rPr>
                <w:rFonts w:hint="eastAsia"/>
              </w:rPr>
              <w:t>电子邮件：</w:t>
            </w:r>
            <w:r>
              <w:rPr>
                <w:rFonts w:hint="eastAsia"/>
                <w:lang w:val="en-US" w:eastAsia="zh-CN"/>
              </w:rPr>
              <w:t>/</w:t>
            </w:r>
          </w:p>
        </w:tc>
      </w:tr>
      <w:tr w14:paraId="537D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851" w:type="dxa"/>
            <w:noWrap w:val="0"/>
            <w:vAlign w:val="center"/>
          </w:tcPr>
          <w:p w14:paraId="58467843">
            <w:pPr>
              <w:jc w:val="center"/>
              <w:rPr>
                <w:rFonts w:hint="eastAsia"/>
              </w:rPr>
            </w:pPr>
            <w:r>
              <w:rPr>
                <w:rFonts w:hint="eastAsia"/>
              </w:rPr>
              <w:t>1.1.3</w:t>
            </w:r>
          </w:p>
        </w:tc>
        <w:tc>
          <w:tcPr>
            <w:tcW w:w="2268" w:type="dxa"/>
            <w:noWrap w:val="0"/>
            <w:vAlign w:val="center"/>
          </w:tcPr>
          <w:p w14:paraId="5C804E1D">
            <w:pPr>
              <w:rPr>
                <w:rFonts w:hint="eastAsia"/>
              </w:rPr>
            </w:pPr>
            <w:r>
              <w:rPr>
                <w:rFonts w:hint="eastAsia"/>
              </w:rPr>
              <w:t>招标代理机构</w:t>
            </w:r>
          </w:p>
        </w:tc>
        <w:tc>
          <w:tcPr>
            <w:tcW w:w="5295" w:type="dxa"/>
            <w:noWrap w:val="0"/>
            <w:vAlign w:val="center"/>
          </w:tcPr>
          <w:p w14:paraId="0F8934E3">
            <w:pPr>
              <w:rPr>
                <w:rFonts w:hint="default" w:eastAsia="宋体"/>
                <w:lang w:val="en-US" w:eastAsia="zh-CN"/>
              </w:rPr>
            </w:pPr>
            <w:r>
              <w:rPr>
                <w:rFonts w:hint="eastAsia"/>
              </w:rPr>
              <w:t>名    称：</w:t>
            </w:r>
            <w:r>
              <w:rPr>
                <w:rFonts w:hint="eastAsia"/>
                <w:lang w:val="en-US" w:eastAsia="zh-CN"/>
              </w:rPr>
              <w:t>中大嘉信项目管理有限公司</w:t>
            </w:r>
          </w:p>
          <w:p w14:paraId="5D54D421">
            <w:pPr>
              <w:rPr>
                <w:rFonts w:hint="eastAsia"/>
              </w:rPr>
            </w:pPr>
            <w:r>
              <w:rPr>
                <w:rFonts w:hint="eastAsia"/>
              </w:rPr>
              <w:t>地    址：丹江口市丹江大道天赐富汇国际1702室</w:t>
            </w:r>
          </w:p>
          <w:p w14:paraId="47B0A86E">
            <w:pPr>
              <w:rPr>
                <w:rFonts w:hint="eastAsia" w:eastAsia="宋体"/>
                <w:lang w:val="en-US" w:eastAsia="zh-CN"/>
              </w:rPr>
            </w:pPr>
            <w:r>
              <w:rPr>
                <w:rFonts w:hint="eastAsia"/>
              </w:rPr>
              <w:t>联 系 人：</w:t>
            </w:r>
            <w:r>
              <w:rPr>
                <w:rFonts w:hint="eastAsia"/>
                <w:lang w:val="en-US" w:eastAsia="zh-CN"/>
              </w:rPr>
              <w:t>杨嘉依</w:t>
            </w:r>
          </w:p>
          <w:p w14:paraId="1892D353">
            <w:pPr>
              <w:rPr>
                <w:rFonts w:hint="default" w:eastAsia="宋体"/>
                <w:lang w:val="en-US" w:eastAsia="zh-CN"/>
              </w:rPr>
            </w:pPr>
            <w:r>
              <w:rPr>
                <w:rFonts w:hint="eastAsia"/>
              </w:rPr>
              <w:t>电    话：</w:t>
            </w:r>
            <w:r>
              <w:rPr>
                <w:rFonts w:hint="eastAsia"/>
                <w:lang w:val="en-US" w:eastAsia="zh-CN"/>
              </w:rPr>
              <w:t>18272426232</w:t>
            </w:r>
          </w:p>
          <w:p w14:paraId="32F6DC5A">
            <w:pPr>
              <w:rPr>
                <w:rFonts w:hint="eastAsia" w:eastAsia="宋体"/>
                <w:lang w:val="en-US" w:eastAsia="zh-CN"/>
              </w:rPr>
            </w:pPr>
            <w:r>
              <w:rPr>
                <w:rFonts w:hint="eastAsia"/>
              </w:rPr>
              <w:t>电子邮件：</w:t>
            </w:r>
            <w:r>
              <w:rPr>
                <w:rFonts w:hint="eastAsia"/>
                <w:lang w:val="en-US" w:eastAsia="zh-CN"/>
              </w:rPr>
              <w:t>/</w:t>
            </w:r>
          </w:p>
        </w:tc>
      </w:tr>
      <w:tr w14:paraId="25C5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15368B1D">
            <w:pPr>
              <w:jc w:val="center"/>
              <w:rPr>
                <w:rFonts w:hint="eastAsia"/>
              </w:rPr>
            </w:pPr>
            <w:r>
              <w:rPr>
                <w:rFonts w:hint="eastAsia"/>
              </w:rPr>
              <w:t>1.1.4</w:t>
            </w:r>
          </w:p>
        </w:tc>
        <w:tc>
          <w:tcPr>
            <w:tcW w:w="2268" w:type="dxa"/>
            <w:noWrap w:val="0"/>
            <w:vAlign w:val="center"/>
          </w:tcPr>
          <w:p w14:paraId="6E9108FD">
            <w:pPr>
              <w:rPr>
                <w:rFonts w:hint="eastAsia"/>
              </w:rPr>
            </w:pPr>
            <w:r>
              <w:rPr>
                <w:rFonts w:hint="eastAsia"/>
              </w:rPr>
              <w:t>项目名称</w:t>
            </w:r>
          </w:p>
        </w:tc>
        <w:tc>
          <w:tcPr>
            <w:tcW w:w="5295" w:type="dxa"/>
            <w:noWrap w:val="0"/>
            <w:vAlign w:val="center"/>
          </w:tcPr>
          <w:p w14:paraId="61BC9DEA">
            <w:pPr>
              <w:rPr>
                <w:rFonts w:hint="eastAsia" w:eastAsia="宋体"/>
                <w:lang w:eastAsia="zh-CN"/>
              </w:rPr>
            </w:pPr>
            <w:r>
              <w:rPr>
                <w:rFonts w:hint="eastAsia"/>
                <w:lang w:eastAsia="zh-CN"/>
              </w:rPr>
              <w:t>浪河镇美丽移民村及基础设施提升项目</w:t>
            </w:r>
          </w:p>
        </w:tc>
      </w:tr>
      <w:tr w14:paraId="09A9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5F0B5912">
            <w:pPr>
              <w:jc w:val="center"/>
              <w:rPr>
                <w:rFonts w:hint="eastAsia"/>
              </w:rPr>
            </w:pPr>
            <w:r>
              <w:rPr>
                <w:rFonts w:hint="eastAsia"/>
              </w:rPr>
              <w:t>1.1.5</w:t>
            </w:r>
          </w:p>
        </w:tc>
        <w:tc>
          <w:tcPr>
            <w:tcW w:w="2268" w:type="dxa"/>
            <w:noWrap w:val="0"/>
            <w:vAlign w:val="center"/>
          </w:tcPr>
          <w:p w14:paraId="691EF838">
            <w:pPr>
              <w:rPr>
                <w:rFonts w:hint="eastAsia"/>
              </w:rPr>
            </w:pPr>
            <w:r>
              <w:rPr>
                <w:rFonts w:hint="eastAsia"/>
              </w:rPr>
              <w:t>建设地点</w:t>
            </w:r>
          </w:p>
        </w:tc>
        <w:tc>
          <w:tcPr>
            <w:tcW w:w="5295" w:type="dxa"/>
            <w:noWrap w:val="0"/>
            <w:vAlign w:val="center"/>
          </w:tcPr>
          <w:p w14:paraId="79ED252F">
            <w:pPr>
              <w:rPr>
                <w:rFonts w:hint="eastAsia"/>
              </w:rPr>
            </w:pPr>
            <w:r>
              <w:rPr>
                <w:rFonts w:hint="eastAsia"/>
              </w:rPr>
              <w:t>丹江口市浪河镇小店子、代湾村</w:t>
            </w:r>
          </w:p>
        </w:tc>
      </w:tr>
      <w:tr w14:paraId="060C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22537B9F">
            <w:pPr>
              <w:spacing w:line="400" w:lineRule="exact"/>
              <w:jc w:val="center"/>
              <w:rPr>
                <w:rFonts w:hint="eastAsia"/>
                <w:szCs w:val="21"/>
              </w:rPr>
            </w:pPr>
            <w:r>
              <w:rPr>
                <w:rFonts w:hint="eastAsia"/>
                <w:szCs w:val="21"/>
              </w:rPr>
              <w:t>1.1.6</w:t>
            </w:r>
          </w:p>
        </w:tc>
        <w:tc>
          <w:tcPr>
            <w:tcW w:w="2268" w:type="dxa"/>
            <w:noWrap w:val="0"/>
            <w:vAlign w:val="center"/>
          </w:tcPr>
          <w:p w14:paraId="17A959BC">
            <w:pPr>
              <w:spacing w:line="400" w:lineRule="exact"/>
              <w:rPr>
                <w:rFonts w:hint="eastAsia"/>
                <w:szCs w:val="21"/>
              </w:rPr>
            </w:pPr>
            <w:r>
              <w:rPr>
                <w:rFonts w:hint="eastAsia"/>
              </w:rPr>
              <w:t>设计人</w:t>
            </w:r>
          </w:p>
        </w:tc>
        <w:tc>
          <w:tcPr>
            <w:tcW w:w="5295" w:type="dxa"/>
            <w:noWrap w:val="0"/>
            <w:vAlign w:val="center"/>
          </w:tcPr>
          <w:p w14:paraId="67AE1A1F">
            <w:pPr>
              <w:rPr>
                <w:rFonts w:hint="eastAsia" w:eastAsia="宋体"/>
                <w:lang w:val="en-US" w:eastAsia="zh-CN"/>
              </w:rPr>
            </w:pPr>
            <w:r>
              <w:rPr>
                <w:rFonts w:hint="eastAsia"/>
                <w:lang w:val="en-US" w:eastAsia="zh-CN"/>
              </w:rPr>
              <w:t>/</w:t>
            </w:r>
          </w:p>
        </w:tc>
      </w:tr>
      <w:tr w14:paraId="6A33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3CC92978">
            <w:pPr>
              <w:spacing w:line="400" w:lineRule="exact"/>
              <w:jc w:val="center"/>
              <w:rPr>
                <w:rFonts w:hint="eastAsia"/>
                <w:szCs w:val="21"/>
              </w:rPr>
            </w:pPr>
            <w:r>
              <w:rPr>
                <w:rFonts w:hint="eastAsia"/>
                <w:szCs w:val="21"/>
              </w:rPr>
              <w:t>1.1.7</w:t>
            </w:r>
          </w:p>
        </w:tc>
        <w:tc>
          <w:tcPr>
            <w:tcW w:w="2268" w:type="dxa"/>
            <w:noWrap w:val="0"/>
            <w:vAlign w:val="center"/>
          </w:tcPr>
          <w:p w14:paraId="54BACDEF">
            <w:pPr>
              <w:spacing w:line="400" w:lineRule="exact"/>
              <w:rPr>
                <w:rFonts w:hint="eastAsia"/>
                <w:szCs w:val="21"/>
              </w:rPr>
            </w:pPr>
            <w:r>
              <w:rPr>
                <w:rFonts w:hint="eastAsia"/>
                <w:szCs w:val="21"/>
              </w:rPr>
              <w:t>监理人</w:t>
            </w:r>
          </w:p>
        </w:tc>
        <w:tc>
          <w:tcPr>
            <w:tcW w:w="5295" w:type="dxa"/>
            <w:noWrap w:val="0"/>
            <w:vAlign w:val="center"/>
          </w:tcPr>
          <w:p w14:paraId="774EDED4">
            <w:pPr>
              <w:rPr>
                <w:rFonts w:hint="eastAsia" w:eastAsia="宋体"/>
                <w:lang w:val="en-US" w:eastAsia="zh-CN"/>
              </w:rPr>
            </w:pPr>
            <w:r>
              <w:rPr>
                <w:rFonts w:hint="eastAsia"/>
                <w:lang w:val="en-US" w:eastAsia="zh-CN"/>
              </w:rPr>
              <w:t>/</w:t>
            </w:r>
          </w:p>
        </w:tc>
      </w:tr>
      <w:tr w14:paraId="6469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39770608">
            <w:pPr>
              <w:spacing w:line="400" w:lineRule="exact"/>
              <w:jc w:val="center"/>
              <w:rPr>
                <w:rFonts w:hint="eastAsia"/>
                <w:szCs w:val="21"/>
              </w:rPr>
            </w:pPr>
            <w:r>
              <w:rPr>
                <w:rFonts w:hint="eastAsia"/>
                <w:szCs w:val="21"/>
              </w:rPr>
              <w:t>1.1.8</w:t>
            </w:r>
          </w:p>
        </w:tc>
        <w:tc>
          <w:tcPr>
            <w:tcW w:w="2268" w:type="dxa"/>
            <w:noWrap w:val="0"/>
            <w:vAlign w:val="center"/>
          </w:tcPr>
          <w:p w14:paraId="4DF062F4">
            <w:pPr>
              <w:spacing w:line="400" w:lineRule="exact"/>
              <w:rPr>
                <w:rFonts w:hint="eastAsia"/>
                <w:szCs w:val="21"/>
              </w:rPr>
            </w:pPr>
            <w:r>
              <w:rPr>
                <w:rFonts w:hint="eastAsia"/>
                <w:szCs w:val="21"/>
              </w:rPr>
              <w:t>代建人</w:t>
            </w:r>
          </w:p>
        </w:tc>
        <w:tc>
          <w:tcPr>
            <w:tcW w:w="5295" w:type="dxa"/>
            <w:noWrap w:val="0"/>
            <w:vAlign w:val="center"/>
          </w:tcPr>
          <w:p w14:paraId="689342D8">
            <w:pPr>
              <w:rPr>
                <w:rFonts w:hint="eastAsia" w:eastAsia="宋体"/>
                <w:lang w:val="en-US" w:eastAsia="zh-CN"/>
              </w:rPr>
            </w:pPr>
            <w:r>
              <w:rPr>
                <w:rFonts w:hint="eastAsia"/>
                <w:lang w:val="en-US" w:eastAsia="zh-CN"/>
              </w:rPr>
              <w:t>/</w:t>
            </w:r>
          </w:p>
        </w:tc>
      </w:tr>
      <w:tr w14:paraId="05F5D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7F05DAAA">
            <w:pPr>
              <w:jc w:val="center"/>
              <w:rPr>
                <w:rFonts w:hint="eastAsia"/>
              </w:rPr>
            </w:pPr>
            <w:r>
              <w:rPr>
                <w:rFonts w:hint="eastAsia"/>
              </w:rPr>
              <w:t>1.2.1</w:t>
            </w:r>
          </w:p>
        </w:tc>
        <w:tc>
          <w:tcPr>
            <w:tcW w:w="2268" w:type="dxa"/>
            <w:noWrap w:val="0"/>
            <w:vAlign w:val="center"/>
          </w:tcPr>
          <w:p w14:paraId="28C17C95">
            <w:pPr>
              <w:rPr>
                <w:rFonts w:hint="eastAsia"/>
              </w:rPr>
            </w:pPr>
            <w:r>
              <w:rPr>
                <w:rFonts w:hint="eastAsia"/>
              </w:rPr>
              <w:t>资金来源</w:t>
            </w:r>
          </w:p>
        </w:tc>
        <w:tc>
          <w:tcPr>
            <w:tcW w:w="5295" w:type="dxa"/>
            <w:noWrap w:val="0"/>
            <w:vAlign w:val="center"/>
          </w:tcPr>
          <w:p w14:paraId="028D9D4C">
            <w:pPr>
              <w:rPr>
                <w:rFonts w:hint="eastAsia"/>
              </w:rPr>
            </w:pPr>
            <w:r>
              <w:rPr>
                <w:rFonts w:hint="eastAsia"/>
              </w:rPr>
              <w:t>2026年移民后期扶持资金和自筹资金</w:t>
            </w:r>
          </w:p>
        </w:tc>
      </w:tr>
      <w:tr w14:paraId="10FC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5C7D5F89">
            <w:pPr>
              <w:jc w:val="center"/>
              <w:rPr>
                <w:rFonts w:hint="eastAsia"/>
              </w:rPr>
            </w:pPr>
            <w:r>
              <w:rPr>
                <w:rFonts w:hint="eastAsia"/>
              </w:rPr>
              <w:t>1.2.2</w:t>
            </w:r>
          </w:p>
        </w:tc>
        <w:tc>
          <w:tcPr>
            <w:tcW w:w="2268" w:type="dxa"/>
            <w:noWrap w:val="0"/>
            <w:vAlign w:val="center"/>
          </w:tcPr>
          <w:p w14:paraId="6E767980">
            <w:pPr>
              <w:rPr>
                <w:rFonts w:hint="eastAsia"/>
              </w:rPr>
            </w:pPr>
            <w:r>
              <w:rPr>
                <w:rFonts w:hint="eastAsia"/>
              </w:rPr>
              <w:t>出资比例</w:t>
            </w:r>
          </w:p>
        </w:tc>
        <w:tc>
          <w:tcPr>
            <w:tcW w:w="5295" w:type="dxa"/>
            <w:noWrap w:val="0"/>
            <w:vAlign w:val="center"/>
          </w:tcPr>
          <w:p w14:paraId="2CC6151A">
            <w:pPr>
              <w:rPr>
                <w:rFonts w:hint="default" w:eastAsia="宋体"/>
                <w:lang w:val="en-US" w:eastAsia="zh-CN"/>
              </w:rPr>
            </w:pPr>
            <w:r>
              <w:rPr>
                <w:rFonts w:hint="eastAsia"/>
                <w:u w:val="none"/>
                <w:lang w:val="en-US" w:eastAsia="zh-CN"/>
              </w:rPr>
              <w:t>88.26%为移民后扶资金、11.74%为自筹资金</w:t>
            </w:r>
          </w:p>
        </w:tc>
      </w:tr>
      <w:tr w14:paraId="0B17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51" w:type="dxa"/>
            <w:noWrap w:val="0"/>
            <w:vAlign w:val="center"/>
          </w:tcPr>
          <w:p w14:paraId="173E5AB7">
            <w:pPr>
              <w:jc w:val="center"/>
              <w:rPr>
                <w:rFonts w:hint="eastAsia"/>
              </w:rPr>
            </w:pPr>
            <w:r>
              <w:rPr>
                <w:rFonts w:hint="eastAsia"/>
              </w:rPr>
              <w:t>1.2.3</w:t>
            </w:r>
          </w:p>
        </w:tc>
        <w:tc>
          <w:tcPr>
            <w:tcW w:w="2268" w:type="dxa"/>
            <w:noWrap w:val="0"/>
            <w:vAlign w:val="center"/>
          </w:tcPr>
          <w:p w14:paraId="04D46B27">
            <w:pPr>
              <w:rPr>
                <w:rFonts w:hint="eastAsia"/>
              </w:rPr>
            </w:pPr>
            <w:r>
              <w:rPr>
                <w:rFonts w:hint="eastAsia"/>
              </w:rPr>
              <w:t>资金落实情况</w:t>
            </w:r>
          </w:p>
        </w:tc>
        <w:tc>
          <w:tcPr>
            <w:tcW w:w="5295" w:type="dxa"/>
            <w:noWrap w:val="0"/>
            <w:vAlign w:val="center"/>
          </w:tcPr>
          <w:p w14:paraId="3832F71C">
            <w:pPr>
              <w:rPr>
                <w:rFonts w:hint="eastAsia" w:eastAsia="宋体"/>
                <w:lang w:val="en-US" w:eastAsia="zh-CN"/>
              </w:rPr>
            </w:pPr>
            <w:r>
              <w:rPr>
                <w:rFonts w:hint="eastAsia"/>
                <w:lang w:val="en-US" w:eastAsia="zh-CN"/>
              </w:rPr>
              <w:t>已落实</w:t>
            </w:r>
          </w:p>
        </w:tc>
      </w:tr>
      <w:tr w14:paraId="77AC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51" w:type="dxa"/>
            <w:noWrap w:val="0"/>
            <w:vAlign w:val="center"/>
          </w:tcPr>
          <w:p w14:paraId="3A6AD3BB">
            <w:pPr>
              <w:jc w:val="center"/>
              <w:rPr>
                <w:rFonts w:hint="eastAsia"/>
              </w:rPr>
            </w:pPr>
            <w:r>
              <w:rPr>
                <w:rFonts w:hint="eastAsia"/>
              </w:rPr>
              <w:t>1.2.4</w:t>
            </w:r>
          </w:p>
        </w:tc>
        <w:tc>
          <w:tcPr>
            <w:tcW w:w="2268" w:type="dxa"/>
            <w:noWrap w:val="0"/>
            <w:vAlign w:val="center"/>
          </w:tcPr>
          <w:p w14:paraId="79E4F388">
            <w:pPr>
              <w:rPr>
                <w:rFonts w:hint="eastAsia"/>
              </w:rPr>
            </w:pPr>
            <w:r>
              <w:rPr>
                <w:rFonts w:hint="eastAsia"/>
              </w:rPr>
              <w:t>项目性质</w:t>
            </w:r>
          </w:p>
        </w:tc>
        <w:tc>
          <w:tcPr>
            <w:tcW w:w="5295" w:type="dxa"/>
            <w:noWrap w:val="0"/>
            <w:vAlign w:val="center"/>
          </w:tcPr>
          <w:p w14:paraId="28979235">
            <w:r>
              <w:rPr>
                <w:rFonts w:ascii="宋体" w:hAnsi="宋体"/>
              </w:rPr>
              <w:t>□</w:t>
            </w:r>
            <w:r>
              <w:rPr>
                <w:rFonts w:hint="eastAsia"/>
              </w:rPr>
              <w:t>本项目不属于政府采购工程，不执行政府采购政策。</w:t>
            </w:r>
          </w:p>
          <w:p w14:paraId="4D32F0BE">
            <w:pPr>
              <w:ind w:left="210" w:hanging="210" w:hangingChars="100"/>
              <w:rPr>
                <w:rFonts w:hint="eastAsia"/>
              </w:rPr>
            </w:pPr>
            <w:r>
              <w:rPr>
                <w:rFonts w:hint="eastAsia" w:ascii="宋体" w:hAnsi="宋体"/>
                <w:lang w:eastAsia="zh-CN"/>
              </w:rPr>
              <w:t>☑</w:t>
            </w:r>
            <w:r>
              <w:rPr>
                <w:rFonts w:hint="eastAsia"/>
              </w:rPr>
              <w:t>本项目属于政府采购工程，执行支持中小企业发展政策。</w:t>
            </w:r>
            <w:r>
              <w:rPr>
                <w:rFonts w:hint="eastAsia"/>
                <w:u w:val="single"/>
              </w:rPr>
              <w:t>采购标的对应的中小企业划型标准所属行业为建筑业</w:t>
            </w:r>
            <w:r>
              <w:rPr>
                <w:rFonts w:hint="eastAsia"/>
              </w:rPr>
              <w:t>。</w:t>
            </w:r>
          </w:p>
        </w:tc>
      </w:tr>
      <w:tr w14:paraId="781AF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851" w:type="dxa"/>
            <w:noWrap w:val="0"/>
            <w:vAlign w:val="center"/>
          </w:tcPr>
          <w:p w14:paraId="25A18842">
            <w:pPr>
              <w:jc w:val="center"/>
              <w:rPr>
                <w:rFonts w:hint="eastAsia"/>
              </w:rPr>
            </w:pPr>
            <w:r>
              <w:rPr>
                <w:rFonts w:hint="eastAsia"/>
              </w:rPr>
              <w:t>1.3.1</w:t>
            </w:r>
          </w:p>
        </w:tc>
        <w:tc>
          <w:tcPr>
            <w:tcW w:w="2268" w:type="dxa"/>
            <w:noWrap w:val="0"/>
            <w:vAlign w:val="center"/>
          </w:tcPr>
          <w:p w14:paraId="0B10889E">
            <w:pPr>
              <w:rPr>
                <w:rFonts w:hint="eastAsia"/>
              </w:rPr>
            </w:pPr>
            <w:r>
              <w:rPr>
                <w:rFonts w:hint="eastAsia"/>
              </w:rPr>
              <w:t>招标范围</w:t>
            </w:r>
          </w:p>
        </w:tc>
        <w:tc>
          <w:tcPr>
            <w:tcW w:w="5295" w:type="dxa"/>
            <w:noWrap w:val="0"/>
            <w:vAlign w:val="center"/>
          </w:tcPr>
          <w:p w14:paraId="302D1916">
            <w:pPr>
              <w:rPr>
                <w:rFonts w:hint="eastAsia"/>
              </w:rPr>
            </w:pPr>
            <w:r>
              <w:rPr>
                <w:rFonts w:hint="eastAsia"/>
                <w:u w:val="single"/>
              </w:rPr>
              <w:t>完成图纸及工程量清单内所有内容。</w:t>
            </w:r>
            <w:r>
              <w:rPr>
                <w:rFonts w:hint="eastAsia"/>
              </w:rPr>
              <w:t>关于招标范围的详细说明见第七章“技术标准和要求”。</w:t>
            </w:r>
          </w:p>
        </w:tc>
      </w:tr>
      <w:tr w14:paraId="6296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51" w:type="dxa"/>
            <w:noWrap w:val="0"/>
            <w:vAlign w:val="center"/>
          </w:tcPr>
          <w:p w14:paraId="1252F2FD">
            <w:pPr>
              <w:jc w:val="center"/>
              <w:rPr>
                <w:rFonts w:hint="eastAsia"/>
              </w:rPr>
            </w:pPr>
            <w:r>
              <w:rPr>
                <w:rFonts w:hint="eastAsia"/>
              </w:rPr>
              <w:t>1.3.2</w:t>
            </w:r>
          </w:p>
        </w:tc>
        <w:tc>
          <w:tcPr>
            <w:tcW w:w="2268" w:type="dxa"/>
            <w:noWrap w:val="0"/>
            <w:vAlign w:val="center"/>
          </w:tcPr>
          <w:p w14:paraId="51E507AD">
            <w:pPr>
              <w:rPr>
                <w:rFonts w:hint="eastAsia"/>
              </w:rPr>
            </w:pPr>
            <w:r>
              <w:rPr>
                <w:rFonts w:hint="eastAsia"/>
              </w:rPr>
              <w:t>计划工期</w:t>
            </w:r>
          </w:p>
        </w:tc>
        <w:tc>
          <w:tcPr>
            <w:tcW w:w="5295" w:type="dxa"/>
            <w:noWrap w:val="0"/>
            <w:vAlign w:val="center"/>
          </w:tcPr>
          <w:p w14:paraId="40DDA152">
            <w:pPr>
              <w:rPr>
                <w:rFonts w:hint="eastAsia"/>
              </w:rPr>
            </w:pPr>
            <w:r>
              <w:rPr>
                <w:rFonts w:hint="eastAsia"/>
              </w:rPr>
              <w:t>计划工期：</w:t>
            </w:r>
            <w:r>
              <w:rPr>
                <w:rFonts w:hint="eastAsia"/>
                <w:u w:val="single"/>
                <w:lang w:val="en-US" w:eastAsia="zh-CN"/>
              </w:rPr>
              <w:t>90</w:t>
            </w:r>
            <w:r>
              <w:rPr>
                <w:rFonts w:hint="eastAsia"/>
              </w:rPr>
              <w:t>日历天</w:t>
            </w:r>
          </w:p>
          <w:p w14:paraId="7A1CD569">
            <w:pPr>
              <w:rPr>
                <w:rFonts w:hint="eastAsia"/>
              </w:rPr>
            </w:pPr>
            <w:r>
              <w:rPr>
                <w:rFonts w:hint="eastAsia"/>
              </w:rPr>
              <w:t>计划开工日期：</w:t>
            </w:r>
            <w:r>
              <w:rPr>
                <w:rFonts w:hint="eastAsia"/>
                <w:u w:val="single"/>
              </w:rPr>
              <w:t xml:space="preserve"> </w:t>
            </w:r>
            <w:r>
              <w:rPr>
                <w:rFonts w:hint="eastAsia"/>
                <w:u w:val="single"/>
                <w:lang w:val="en-US" w:eastAsia="zh-CN"/>
              </w:rPr>
              <w:t>2026</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w:t>
            </w:r>
          </w:p>
          <w:p w14:paraId="3A29C495">
            <w:pPr>
              <w:rPr>
                <w:rFonts w:hint="eastAsia"/>
              </w:rPr>
            </w:pPr>
            <w:r>
              <w:rPr>
                <w:rFonts w:hint="eastAsia"/>
              </w:rPr>
              <w:t>计划竣工日期：</w:t>
            </w:r>
            <w:r>
              <w:rPr>
                <w:rFonts w:hint="eastAsia"/>
                <w:u w:val="single"/>
              </w:rPr>
              <w:t xml:space="preserve"> </w:t>
            </w:r>
            <w:r>
              <w:rPr>
                <w:rFonts w:hint="eastAsia"/>
                <w:u w:val="single"/>
                <w:lang w:val="en-US" w:eastAsia="zh-CN"/>
              </w:rPr>
              <w:t>2026</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w:t>
            </w:r>
          </w:p>
          <w:p w14:paraId="623C4872">
            <w:pPr>
              <w:rPr>
                <w:rFonts w:hint="eastAsia"/>
              </w:rPr>
            </w:pPr>
            <w:r>
              <w:rPr>
                <w:rFonts w:hint="eastAsia"/>
              </w:rPr>
              <w:t>除上述总工期外，发包人还要求以下区段工期：</w:t>
            </w:r>
          </w:p>
          <w:p w14:paraId="04817F0F">
            <w:pPr>
              <w:rPr>
                <w:rFonts w:hint="eastAsia"/>
                <w:u w:val="single"/>
              </w:rPr>
            </w:pPr>
            <w:r>
              <w:rPr>
                <w:rFonts w:hint="eastAsia"/>
                <w:u w:val="single"/>
              </w:rPr>
              <w:t xml:space="preserve">                </w:t>
            </w:r>
            <w:r>
              <w:rPr>
                <w:rFonts w:hint="eastAsia"/>
                <w:u w:val="single"/>
                <w:lang w:val="en-US" w:eastAsia="zh-CN"/>
              </w:rPr>
              <w:t>/</w:t>
            </w:r>
            <w:r>
              <w:rPr>
                <w:rFonts w:hint="eastAsia"/>
                <w:u w:val="single"/>
              </w:rPr>
              <w:t xml:space="preserve">                     </w:t>
            </w:r>
          </w:p>
          <w:p w14:paraId="450D5621">
            <w:pPr>
              <w:rPr>
                <w:rFonts w:hint="eastAsia"/>
                <w:u w:val="single"/>
              </w:rPr>
            </w:pPr>
            <w:r>
              <w:rPr>
                <w:rFonts w:hint="eastAsia"/>
              </w:rPr>
              <w:t>有关工期的详细要求见第七章“技术标准和要求”。</w:t>
            </w:r>
          </w:p>
        </w:tc>
      </w:tr>
      <w:tr w14:paraId="5911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51" w:type="dxa"/>
            <w:noWrap w:val="0"/>
            <w:vAlign w:val="center"/>
          </w:tcPr>
          <w:p w14:paraId="5FAC1264">
            <w:pPr>
              <w:jc w:val="center"/>
              <w:rPr>
                <w:rFonts w:hint="eastAsia"/>
              </w:rPr>
            </w:pPr>
            <w:r>
              <w:rPr>
                <w:rFonts w:hint="eastAsia"/>
              </w:rPr>
              <w:t>1.3.3</w:t>
            </w:r>
          </w:p>
        </w:tc>
        <w:tc>
          <w:tcPr>
            <w:tcW w:w="2268" w:type="dxa"/>
            <w:noWrap w:val="0"/>
            <w:vAlign w:val="center"/>
          </w:tcPr>
          <w:p w14:paraId="4C9B3556">
            <w:pPr>
              <w:rPr>
                <w:rFonts w:hint="eastAsia"/>
              </w:rPr>
            </w:pPr>
            <w:r>
              <w:rPr>
                <w:rFonts w:hint="eastAsia"/>
              </w:rPr>
              <w:t>质量要求</w:t>
            </w:r>
          </w:p>
        </w:tc>
        <w:tc>
          <w:tcPr>
            <w:tcW w:w="5295" w:type="dxa"/>
            <w:noWrap w:val="0"/>
            <w:vAlign w:val="center"/>
          </w:tcPr>
          <w:p w14:paraId="37FEAF48">
            <w:pPr>
              <w:rPr>
                <w:rFonts w:hint="eastAsia"/>
              </w:rPr>
            </w:pPr>
            <w:r>
              <w:rPr>
                <w:rFonts w:hint="eastAsia"/>
              </w:rPr>
              <w:t>质量目标：</w:t>
            </w:r>
            <w:r>
              <w:rPr>
                <w:rFonts w:hint="eastAsia"/>
                <w:u w:val="single"/>
              </w:rPr>
              <w:t>施工质量达到国家、行业及地方现行的相关标准及规范与招标人要求一次性验收合格</w:t>
            </w:r>
          </w:p>
          <w:p w14:paraId="4A2C19C4">
            <w:pPr>
              <w:rPr>
                <w:rFonts w:hint="eastAsia"/>
              </w:rPr>
            </w:pPr>
            <w:r>
              <w:rPr>
                <w:rFonts w:hint="eastAsia"/>
              </w:rPr>
              <w:t>关于质量要求的详细说明见第七章“技术标准和要求”。</w:t>
            </w:r>
          </w:p>
        </w:tc>
      </w:tr>
      <w:tr w14:paraId="5003D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51" w:type="dxa"/>
            <w:noWrap w:val="0"/>
            <w:vAlign w:val="center"/>
          </w:tcPr>
          <w:p w14:paraId="76E1355F">
            <w:pPr>
              <w:jc w:val="center"/>
              <w:rPr>
                <w:rFonts w:hint="eastAsia"/>
              </w:rPr>
            </w:pPr>
            <w:r>
              <w:rPr>
                <w:rFonts w:hint="eastAsia"/>
              </w:rPr>
              <w:t>1.3.4</w:t>
            </w:r>
          </w:p>
        </w:tc>
        <w:tc>
          <w:tcPr>
            <w:tcW w:w="2268" w:type="dxa"/>
            <w:noWrap w:val="0"/>
            <w:vAlign w:val="center"/>
          </w:tcPr>
          <w:p w14:paraId="09C8E8B9">
            <w:pPr>
              <w:rPr>
                <w:rFonts w:hint="eastAsia"/>
              </w:rPr>
            </w:pPr>
            <w:r>
              <w:rPr>
                <w:rFonts w:hint="eastAsia"/>
              </w:rPr>
              <w:t>政府采购政策</w:t>
            </w:r>
          </w:p>
        </w:tc>
        <w:tc>
          <w:tcPr>
            <w:tcW w:w="5295" w:type="dxa"/>
            <w:noWrap w:val="0"/>
            <w:vAlign w:val="center"/>
          </w:tcPr>
          <w:p w14:paraId="4818E506">
            <w:pPr>
              <w:rPr>
                <w:rFonts w:hint="eastAsia" w:ascii="宋体" w:hAnsi="宋体"/>
                <w:u w:val="single"/>
              </w:rPr>
            </w:pPr>
            <w:r>
              <w:rPr>
                <w:rFonts w:hint="eastAsia" w:ascii="宋体" w:hAnsi="宋体"/>
                <w:u w:val="single"/>
              </w:rPr>
              <w:t>根据相关规定，本项目采用以下方式支持中小企业发展</w:t>
            </w:r>
          </w:p>
          <w:p w14:paraId="07EE5080">
            <w:pPr>
              <w:rPr>
                <w:rFonts w:hint="eastAsia" w:ascii="宋体" w:hAnsi="宋体"/>
                <w:u w:val="single"/>
              </w:rPr>
            </w:pPr>
            <w:r>
              <w:rPr>
                <w:rFonts w:hint="eastAsia" w:ascii="宋体" w:hAnsi="宋体"/>
                <w:u w:val="single"/>
                <w:lang w:eastAsia="zh-CN"/>
              </w:rPr>
              <w:t>☑</w:t>
            </w:r>
            <w:r>
              <w:rPr>
                <w:rFonts w:hint="eastAsia" w:ascii="宋体" w:hAnsi="宋体"/>
                <w:u w:val="single"/>
              </w:rPr>
              <w:t>项目整体预留专门面向中小企业采购。</w:t>
            </w:r>
          </w:p>
          <w:p w14:paraId="56EA30FA">
            <w:pPr>
              <w:rPr>
                <w:rFonts w:hint="eastAsia" w:ascii="宋体" w:hAnsi="宋体"/>
                <w:u w:val="single"/>
              </w:rPr>
            </w:pPr>
            <w:r>
              <w:rPr>
                <w:rFonts w:hint="eastAsia" w:ascii="宋体" w:hAnsi="宋体"/>
                <w:u w:val="single"/>
                <w:lang w:eastAsia="zh-CN"/>
              </w:rPr>
              <w:t>□</w:t>
            </w:r>
            <w:r>
              <w:rPr>
                <w:rFonts w:hint="eastAsia" w:ascii="宋体" w:hAnsi="宋体"/>
                <w:u w:val="single"/>
              </w:rPr>
              <w:t>项目整体预留专门面向小微企业采购。</w:t>
            </w:r>
          </w:p>
          <w:p w14:paraId="32E82071">
            <w:pPr>
              <w:rPr>
                <w:rFonts w:hint="eastAsia" w:ascii="宋体" w:hAnsi="宋体"/>
                <w:u w:val="single"/>
              </w:rPr>
            </w:pPr>
            <w:r>
              <w:rPr>
                <w:rFonts w:hint="eastAsia" w:ascii="宋体" w:hAnsi="宋体"/>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01C11C9A">
            <w:pPr>
              <w:rPr>
                <w:rFonts w:hint="eastAsia" w:ascii="宋体" w:hAnsi="宋体"/>
                <w:u w:val="single"/>
              </w:rPr>
            </w:pPr>
          </w:p>
          <w:p w14:paraId="1CAF838D">
            <w:pPr>
              <w:rPr>
                <w:rFonts w:hint="eastAsia"/>
              </w:rPr>
            </w:pPr>
            <w:r>
              <w:rPr>
                <w:rFonts w:hint="eastAsia" w:ascii="宋体" w:hAnsi="宋体"/>
                <w:u w:val="single"/>
              </w:rPr>
              <w:t>根据相关规定，本项目未预留份额专门面向中小企业采购，但对符合政府采购特别资格要求（详见第二章投标人须知附录一“投标人资质条件、能力和信誉”）且满足一定条件的投标人（详见第三章评标办法“</w:t>
            </w:r>
            <w:r>
              <w:rPr>
                <w:rFonts w:hint="eastAsia" w:ascii="宋体" w:hAnsi="宋体"/>
                <w:szCs w:val="21"/>
                <w:u w:val="single"/>
              </w:rPr>
              <w:t>政府采购工程价格评审优惠”</w:t>
            </w:r>
            <w:r>
              <w:rPr>
                <w:rFonts w:hint="eastAsia" w:ascii="宋体" w:hAnsi="宋体"/>
                <w:u w:val="single"/>
              </w:rPr>
              <w:t>），</w:t>
            </w:r>
            <w:r>
              <w:rPr>
                <w:rFonts w:hint="eastAsia"/>
                <w:u w:val="single"/>
              </w:rPr>
              <w:t>在评标时享受价格扣除或增加价格分的优惠政策。</w:t>
            </w:r>
          </w:p>
          <w:p w14:paraId="7E8EC362">
            <w:pPr>
              <w:rPr>
                <w:rFonts w:hint="eastAsia"/>
              </w:rPr>
            </w:pPr>
            <w:r>
              <w:rPr>
                <w:rFonts w:hint="eastAsia"/>
                <w:u w:val="single"/>
              </w:rPr>
              <w:t>　　　　　　　／　　　　　　　。</w:t>
            </w:r>
            <w:r>
              <w:rPr>
                <w:rFonts w:hint="eastAsia"/>
              </w:rPr>
              <w:t>　　　</w:t>
            </w:r>
          </w:p>
        </w:tc>
      </w:tr>
      <w:tr w14:paraId="3611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851" w:type="dxa"/>
            <w:noWrap w:val="0"/>
            <w:vAlign w:val="center"/>
          </w:tcPr>
          <w:p w14:paraId="1E3F4716">
            <w:pPr>
              <w:jc w:val="center"/>
              <w:rPr>
                <w:rFonts w:hint="eastAsia"/>
              </w:rPr>
            </w:pPr>
            <w:r>
              <w:rPr>
                <w:rFonts w:hint="eastAsia"/>
              </w:rPr>
              <w:t>1.4.1</w:t>
            </w:r>
          </w:p>
        </w:tc>
        <w:tc>
          <w:tcPr>
            <w:tcW w:w="2268" w:type="dxa"/>
            <w:noWrap w:val="0"/>
            <w:vAlign w:val="center"/>
          </w:tcPr>
          <w:p w14:paraId="64152013">
            <w:pPr>
              <w:rPr>
                <w:rFonts w:hint="eastAsia"/>
              </w:rPr>
            </w:pPr>
            <w:r>
              <w:rPr>
                <w:rFonts w:hint="eastAsia"/>
              </w:rPr>
              <w:t>投标人资质条件、</w:t>
            </w:r>
          </w:p>
          <w:p w14:paraId="70C7B259">
            <w:pPr>
              <w:rPr>
                <w:rFonts w:hint="eastAsia"/>
              </w:rPr>
            </w:pPr>
            <w:r>
              <w:rPr>
                <w:rFonts w:hint="eastAsia"/>
              </w:rPr>
              <w:t>能力和信誉</w:t>
            </w:r>
          </w:p>
        </w:tc>
        <w:tc>
          <w:tcPr>
            <w:tcW w:w="5295" w:type="dxa"/>
            <w:noWrap w:val="0"/>
            <w:vAlign w:val="center"/>
          </w:tcPr>
          <w:p w14:paraId="3E3CF4CE">
            <w:pPr>
              <w:keepNext w:val="0"/>
              <w:keepLines w:val="0"/>
              <w:widowControl/>
              <w:suppressLineNumbers w:val="0"/>
              <w:jc w:val="left"/>
            </w:pPr>
            <w:r>
              <w:rPr>
                <w:rFonts w:ascii="瀹嬩綋" w:hAnsi="瀹嬩綋" w:eastAsia="瀹嬩綋" w:cs="瀹嬩綋"/>
                <w:b/>
                <w:bCs/>
                <w:color w:val="000000"/>
                <w:kern w:val="0"/>
                <w:sz w:val="21"/>
                <w:szCs w:val="21"/>
                <w:lang w:val="en-US" w:eastAsia="zh-CN" w:bidi="ar"/>
              </w:rPr>
              <w:t>资质条件：</w:t>
            </w:r>
            <w:r>
              <w:rPr>
                <w:rFonts w:hint="default" w:ascii="瀹嬩綋" w:hAnsi="瀹嬩綋" w:eastAsia="瀹嬩綋" w:cs="瀹嬩綋"/>
                <w:color w:val="000000"/>
                <w:kern w:val="0"/>
                <w:sz w:val="21"/>
                <w:szCs w:val="21"/>
                <w:lang w:val="en-US" w:eastAsia="zh-CN" w:bidi="ar"/>
              </w:rPr>
              <w:t xml:space="preserve">见本章附录一 </w:t>
            </w:r>
          </w:p>
          <w:p w14:paraId="4307E3C4">
            <w:pPr>
              <w:keepNext w:val="0"/>
              <w:keepLines w:val="0"/>
              <w:widowControl/>
              <w:suppressLineNumbers w:val="0"/>
              <w:jc w:val="left"/>
            </w:pPr>
            <w:r>
              <w:rPr>
                <w:rFonts w:hint="default" w:ascii="瀹嬩綋" w:hAnsi="瀹嬩綋" w:eastAsia="瀹嬩綋" w:cs="瀹嬩綋"/>
                <w:b/>
                <w:bCs/>
                <w:color w:val="000000"/>
                <w:kern w:val="0"/>
                <w:sz w:val="21"/>
                <w:szCs w:val="21"/>
                <w:lang w:val="en-US" w:eastAsia="zh-CN" w:bidi="ar"/>
              </w:rPr>
              <w:t>财务要求：</w:t>
            </w:r>
            <w:r>
              <w:rPr>
                <w:rFonts w:hint="default" w:ascii="瀹嬩綋" w:hAnsi="瀹嬩綋" w:eastAsia="瀹嬩綋" w:cs="瀹嬩綋"/>
                <w:color w:val="000000"/>
                <w:kern w:val="0"/>
                <w:sz w:val="21"/>
                <w:szCs w:val="21"/>
                <w:lang w:val="en-US" w:eastAsia="zh-CN" w:bidi="ar"/>
              </w:rPr>
              <w:t xml:space="preserve">见本章附录一 </w:t>
            </w:r>
          </w:p>
          <w:p w14:paraId="27B30983">
            <w:pPr>
              <w:keepNext w:val="0"/>
              <w:keepLines w:val="0"/>
              <w:widowControl/>
              <w:suppressLineNumbers w:val="0"/>
              <w:jc w:val="left"/>
            </w:pPr>
            <w:r>
              <w:rPr>
                <w:rFonts w:hint="default" w:ascii="瀹嬩綋" w:hAnsi="瀹嬩綋" w:eastAsia="瀹嬩綋" w:cs="瀹嬩綋"/>
                <w:b/>
                <w:bCs/>
                <w:color w:val="000000"/>
                <w:kern w:val="0"/>
                <w:sz w:val="21"/>
                <w:szCs w:val="21"/>
                <w:lang w:val="en-US" w:eastAsia="zh-CN" w:bidi="ar"/>
              </w:rPr>
              <w:t>业绩要求：</w:t>
            </w:r>
            <w:r>
              <w:rPr>
                <w:rFonts w:hint="default" w:ascii="瀹嬩綋" w:hAnsi="瀹嬩綋" w:eastAsia="瀹嬩綋" w:cs="瀹嬩綋"/>
                <w:color w:val="000000"/>
                <w:kern w:val="0"/>
                <w:sz w:val="21"/>
                <w:szCs w:val="21"/>
                <w:lang w:val="en-US" w:eastAsia="zh-CN" w:bidi="ar"/>
              </w:rPr>
              <w:t xml:space="preserve">见本章附录一且与招标公告或投标邀请书要 </w:t>
            </w:r>
          </w:p>
          <w:p w14:paraId="5660E39E">
            <w:pPr>
              <w:keepNext w:val="0"/>
              <w:keepLines w:val="0"/>
              <w:widowControl/>
              <w:suppressLineNumbers w:val="0"/>
              <w:jc w:val="left"/>
            </w:pPr>
            <w:r>
              <w:rPr>
                <w:rFonts w:hint="default" w:ascii="瀹嬩綋" w:hAnsi="瀹嬩綋" w:eastAsia="瀹嬩綋" w:cs="瀹嬩綋"/>
                <w:color w:val="000000"/>
                <w:kern w:val="0"/>
                <w:sz w:val="21"/>
                <w:szCs w:val="21"/>
                <w:lang w:val="en-US" w:eastAsia="zh-CN" w:bidi="ar"/>
              </w:rPr>
              <w:t xml:space="preserve">求一致 </w:t>
            </w:r>
          </w:p>
          <w:p w14:paraId="0FE9F2CA">
            <w:pPr>
              <w:keepNext w:val="0"/>
              <w:keepLines w:val="0"/>
              <w:widowControl/>
              <w:suppressLineNumbers w:val="0"/>
              <w:jc w:val="left"/>
            </w:pPr>
            <w:r>
              <w:rPr>
                <w:rFonts w:hint="default" w:ascii="瀹嬩綋" w:hAnsi="瀹嬩綋" w:eastAsia="瀹嬩綋" w:cs="瀹嬩綋"/>
                <w:b/>
                <w:bCs/>
                <w:color w:val="000000"/>
                <w:kern w:val="0"/>
                <w:sz w:val="21"/>
                <w:szCs w:val="21"/>
                <w:lang w:val="en-US" w:eastAsia="zh-CN" w:bidi="ar"/>
              </w:rPr>
              <w:t>信誉要求：</w:t>
            </w:r>
            <w:r>
              <w:rPr>
                <w:rFonts w:hint="default" w:ascii="瀹嬩綋" w:hAnsi="瀹嬩綋" w:eastAsia="瀹嬩綋" w:cs="瀹嬩綋"/>
                <w:color w:val="000000"/>
                <w:kern w:val="0"/>
                <w:sz w:val="21"/>
                <w:szCs w:val="21"/>
                <w:lang w:val="en-US" w:eastAsia="zh-CN" w:bidi="ar"/>
              </w:rPr>
              <w:t xml:space="preserve">见本章附录一 </w:t>
            </w:r>
          </w:p>
          <w:p w14:paraId="0D5A1E3D">
            <w:pPr>
              <w:keepNext w:val="0"/>
              <w:keepLines w:val="0"/>
              <w:widowControl/>
              <w:suppressLineNumbers w:val="0"/>
              <w:jc w:val="left"/>
            </w:pPr>
            <w:r>
              <w:rPr>
                <w:rFonts w:hint="default" w:ascii="瀹嬩綋" w:hAnsi="瀹嬩綋" w:eastAsia="瀹嬩綋" w:cs="瀹嬩綋"/>
                <w:b/>
                <w:bCs/>
                <w:color w:val="000000"/>
                <w:kern w:val="0"/>
                <w:sz w:val="21"/>
                <w:szCs w:val="21"/>
                <w:lang w:val="en-US" w:eastAsia="zh-CN" w:bidi="ar"/>
              </w:rPr>
              <w:t>项目经理资格：</w:t>
            </w:r>
            <w:r>
              <w:rPr>
                <w:rFonts w:hint="default" w:ascii="瀹嬩綋" w:hAnsi="瀹嬩綋" w:eastAsia="瀹嬩綋" w:cs="瀹嬩綋"/>
                <w:color w:val="000000"/>
                <w:kern w:val="0"/>
                <w:sz w:val="21"/>
                <w:szCs w:val="21"/>
                <w:lang w:val="en-US" w:eastAsia="zh-CN" w:bidi="ar"/>
              </w:rPr>
              <w:t xml:space="preserve">见本章附录一 </w:t>
            </w:r>
          </w:p>
          <w:p w14:paraId="076B23C5">
            <w:pPr>
              <w:keepNext w:val="0"/>
              <w:keepLines w:val="0"/>
              <w:widowControl/>
              <w:suppressLineNumbers w:val="0"/>
              <w:jc w:val="left"/>
              <w:rPr>
                <w:rFonts w:hint="eastAsia"/>
              </w:rPr>
            </w:pPr>
            <w:r>
              <w:rPr>
                <w:rFonts w:hint="default" w:ascii="瀹嬩綋" w:hAnsi="瀹嬩綋" w:eastAsia="瀹嬩綋" w:cs="瀹嬩綋"/>
                <w:b/>
                <w:bCs/>
                <w:color w:val="000000"/>
                <w:kern w:val="0"/>
                <w:sz w:val="21"/>
                <w:szCs w:val="21"/>
                <w:lang w:val="en-US" w:eastAsia="zh-CN" w:bidi="ar"/>
              </w:rPr>
              <w:t>其他要求：</w:t>
            </w:r>
            <w:r>
              <w:rPr>
                <w:rFonts w:hint="default" w:ascii="瀹嬩綋" w:hAnsi="瀹嬩綋" w:eastAsia="瀹嬩綋" w:cs="瀹嬩綋"/>
                <w:color w:val="000000"/>
                <w:kern w:val="0"/>
                <w:sz w:val="21"/>
                <w:szCs w:val="21"/>
                <w:lang w:val="en-US" w:eastAsia="zh-CN" w:bidi="ar"/>
              </w:rPr>
              <w:t>见本章附录一</w:t>
            </w:r>
          </w:p>
        </w:tc>
      </w:tr>
      <w:tr w14:paraId="6098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851" w:type="dxa"/>
            <w:noWrap w:val="0"/>
            <w:vAlign w:val="center"/>
          </w:tcPr>
          <w:p w14:paraId="6E11EBEF">
            <w:pPr>
              <w:jc w:val="center"/>
              <w:rPr>
                <w:rFonts w:hint="eastAsia"/>
              </w:rPr>
            </w:pPr>
            <w:r>
              <w:rPr>
                <w:rFonts w:hint="eastAsia"/>
              </w:rPr>
              <w:t>1.4.2</w:t>
            </w:r>
          </w:p>
        </w:tc>
        <w:tc>
          <w:tcPr>
            <w:tcW w:w="2268" w:type="dxa"/>
            <w:noWrap w:val="0"/>
            <w:vAlign w:val="center"/>
          </w:tcPr>
          <w:p w14:paraId="2DC02A80">
            <w:pPr>
              <w:rPr>
                <w:rFonts w:hint="eastAsia"/>
              </w:rPr>
            </w:pPr>
            <w:r>
              <w:rPr>
                <w:rFonts w:hint="eastAsia"/>
              </w:rPr>
              <w:t>是否接受联合体投标</w:t>
            </w:r>
          </w:p>
        </w:tc>
        <w:tc>
          <w:tcPr>
            <w:tcW w:w="5295" w:type="dxa"/>
            <w:noWrap w:val="0"/>
            <w:vAlign w:val="center"/>
          </w:tcPr>
          <w:p w14:paraId="5D11F386">
            <w:pPr>
              <w:spacing w:line="312" w:lineRule="auto"/>
              <w:rPr>
                <w:rFonts w:hint="eastAsia"/>
              </w:rPr>
            </w:pPr>
            <w:r>
              <w:rPr>
                <w:rFonts w:hint="eastAsia"/>
                <w:lang w:eastAsia="zh-CN"/>
              </w:rPr>
              <w:t>☑</w:t>
            </w:r>
            <w:r>
              <w:rPr>
                <w:rFonts w:hint="eastAsia"/>
              </w:rPr>
              <w:t>不接受</w:t>
            </w:r>
          </w:p>
          <w:p w14:paraId="497239AA">
            <w:pPr>
              <w:rPr>
                <w:rFonts w:hint="eastAsia"/>
              </w:rPr>
            </w:pPr>
            <w:r>
              <w:rPr>
                <w:rFonts w:hint="eastAsia"/>
              </w:rPr>
              <w:t>□接受，应满足下列要求：</w:t>
            </w:r>
            <w:r>
              <w:rPr>
                <w:rFonts w:hint="eastAsia"/>
                <w:u w:val="single"/>
              </w:rPr>
              <w:t xml:space="preserve">                      </w:t>
            </w:r>
          </w:p>
          <w:p w14:paraId="06FBC0AD">
            <w:pPr>
              <w:rPr>
                <w:rFonts w:hint="eastAsia"/>
              </w:rPr>
            </w:pPr>
            <w:r>
              <w:rPr>
                <w:rFonts w:hint="eastAsia"/>
                <w:szCs w:val="21"/>
              </w:rPr>
              <w:t>其中：</w:t>
            </w:r>
            <w:r>
              <w:rPr>
                <w:rFonts w:hint="eastAsia"/>
                <w:szCs w:val="21"/>
                <w:u w:val="single"/>
              </w:rPr>
              <w:t>联合体资质按照联合体协议约定的分工认定，其他审查标准按联合体协议中约定的各成员分工所占合同工作量的比例，进行加权折算。</w:t>
            </w:r>
          </w:p>
        </w:tc>
      </w:tr>
      <w:tr w14:paraId="2032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851" w:type="dxa"/>
            <w:noWrap w:val="0"/>
            <w:vAlign w:val="center"/>
          </w:tcPr>
          <w:p w14:paraId="667ABEF4">
            <w:pPr>
              <w:jc w:val="center"/>
              <w:rPr>
                <w:rFonts w:hint="eastAsia"/>
              </w:rPr>
            </w:pPr>
            <w:r>
              <w:rPr>
                <w:rFonts w:hint="eastAsia"/>
              </w:rPr>
              <w:t>1.4.3（19）</w:t>
            </w:r>
          </w:p>
        </w:tc>
        <w:tc>
          <w:tcPr>
            <w:tcW w:w="2268" w:type="dxa"/>
            <w:noWrap w:val="0"/>
            <w:vAlign w:val="center"/>
          </w:tcPr>
          <w:p w14:paraId="7BC3E06E">
            <w:pPr>
              <w:rPr>
                <w:rFonts w:hint="eastAsia"/>
              </w:rPr>
            </w:pPr>
            <w:r>
              <w:rPr>
                <w:rFonts w:hint="eastAsia"/>
                <w:szCs w:val="21"/>
              </w:rPr>
              <w:t>不得存在</w:t>
            </w:r>
            <w:r>
              <w:rPr>
                <w:szCs w:val="21"/>
              </w:rPr>
              <w:t>的其他</w:t>
            </w:r>
            <w:r>
              <w:rPr>
                <w:rFonts w:hint="eastAsia"/>
                <w:szCs w:val="21"/>
              </w:rPr>
              <w:t>情形</w:t>
            </w:r>
          </w:p>
        </w:tc>
        <w:tc>
          <w:tcPr>
            <w:tcW w:w="5295" w:type="dxa"/>
            <w:noWrap w:val="0"/>
            <w:vAlign w:val="center"/>
          </w:tcPr>
          <w:p w14:paraId="5E26956E">
            <w:pPr>
              <w:spacing w:line="312" w:lineRule="auto"/>
              <w:rPr>
                <w:rFonts w:hint="eastAsia" w:eastAsia="宋体"/>
                <w:lang w:val="en-US" w:eastAsia="zh-CN"/>
              </w:rPr>
            </w:pPr>
            <w:r>
              <w:rPr>
                <w:rFonts w:hint="eastAsia" w:eastAsia="宋体"/>
                <w:lang w:val="en-US" w:eastAsia="zh-CN"/>
              </w:rPr>
              <w:t>①投标人近三年（自投标截止时间往前推算 3 年）在参加招投标活动中存在围标、串标、挂靠、出借资质、弄虚作假、贿赂评委或其他当事人情形，被相关行政主管</w:t>
            </w:r>
          </w:p>
          <w:p w14:paraId="4A10C62F">
            <w:pPr>
              <w:spacing w:line="312" w:lineRule="auto"/>
              <w:rPr>
                <w:rFonts w:hint="eastAsia" w:eastAsia="宋体"/>
                <w:lang w:val="en-US" w:eastAsia="zh-CN"/>
              </w:rPr>
            </w:pPr>
            <w:r>
              <w:rPr>
                <w:rFonts w:hint="eastAsia" w:eastAsia="宋体"/>
                <w:lang w:val="en-US" w:eastAsia="zh-CN"/>
              </w:rPr>
              <w:t>部门行政处罚的（含警告、通报、批评、公示、记（扣）分、记为不良行为、限制准入、列入黑名单、罚款等）。</w:t>
            </w:r>
          </w:p>
          <w:p w14:paraId="78871A83">
            <w:pPr>
              <w:spacing w:line="312" w:lineRule="auto"/>
              <w:rPr>
                <w:rFonts w:hint="eastAsia" w:eastAsia="宋体"/>
                <w:lang w:val="en-US" w:eastAsia="zh-CN"/>
              </w:rPr>
            </w:pPr>
            <w:r>
              <w:rPr>
                <w:rFonts w:hint="eastAsia" w:eastAsia="宋体"/>
                <w:lang w:val="en-US" w:eastAsia="zh-CN"/>
              </w:rPr>
              <w:t xml:space="preserve"> ②投标人近三年（自投标截止时间往前推算 3 年）因发生拖欠农民工工资行为，被相关行政主管部门限制准入、列入黑名单或失信名单、记为重大违法行为、罚款的；或因拖欠农民工工资引发群体性事件或造成重大社会影响，被相关行政主管部门行政处罚的（含警告、通报、批评、公示、记（扣）分、记为不良行为、限制准入、列入黑名单、罚款等）。 </w:t>
            </w:r>
          </w:p>
          <w:p w14:paraId="306D94AA">
            <w:pPr>
              <w:spacing w:line="312" w:lineRule="auto"/>
              <w:rPr>
                <w:rFonts w:hint="eastAsia" w:eastAsia="宋体"/>
                <w:lang w:val="en-US" w:eastAsia="zh-CN"/>
              </w:rPr>
            </w:pPr>
            <w:r>
              <w:rPr>
                <w:rFonts w:hint="eastAsia" w:eastAsia="宋体"/>
                <w:lang w:val="en-US" w:eastAsia="zh-CN"/>
              </w:rPr>
              <w:t>③投标人近三年（自投标截止时间往前推算 3 年）因发生转包、违法分包情形，被相关行政主管部门行政处罚的（含警告、通报、批评、公示、记（扣）分、记为不</w:t>
            </w:r>
          </w:p>
          <w:p w14:paraId="1704021A">
            <w:pPr>
              <w:spacing w:line="312" w:lineRule="auto"/>
              <w:rPr>
                <w:rFonts w:hint="eastAsia" w:eastAsia="宋体"/>
                <w:lang w:val="en-US" w:eastAsia="zh-CN"/>
              </w:rPr>
            </w:pPr>
            <w:r>
              <w:rPr>
                <w:rFonts w:hint="eastAsia" w:eastAsia="宋体"/>
                <w:lang w:val="en-US" w:eastAsia="zh-CN"/>
              </w:rPr>
              <w:t xml:space="preserve">良行为、限制准入、列入黑名单、罚款等）。 </w:t>
            </w:r>
          </w:p>
          <w:p w14:paraId="74B58AE6">
            <w:pPr>
              <w:spacing w:line="312" w:lineRule="auto"/>
              <w:rPr>
                <w:rFonts w:hint="eastAsia" w:eastAsia="宋体"/>
                <w:lang w:val="en-US" w:eastAsia="zh-CN"/>
              </w:rPr>
            </w:pPr>
            <w:r>
              <w:rPr>
                <w:rFonts w:hint="eastAsia" w:eastAsia="宋体"/>
                <w:lang w:val="en-US" w:eastAsia="zh-CN"/>
              </w:rPr>
              <w:t>④投标人近三年（自投标截止时间往前推算 3 年）因发生安全生产（死亡）事故并被相关行政主管部门行政处罚的（含警告、通报、批评、公示、记（扣）分、记为</w:t>
            </w:r>
          </w:p>
          <w:p w14:paraId="6765C208">
            <w:pPr>
              <w:spacing w:line="312" w:lineRule="auto"/>
              <w:rPr>
                <w:rFonts w:hint="eastAsia" w:eastAsia="宋体"/>
                <w:lang w:val="en-US" w:eastAsia="zh-CN"/>
              </w:rPr>
            </w:pPr>
            <w:r>
              <w:rPr>
                <w:rFonts w:hint="eastAsia" w:eastAsia="宋体"/>
                <w:lang w:val="en-US" w:eastAsia="zh-CN"/>
              </w:rPr>
              <w:t xml:space="preserve">不良行为、限制准入、列入黑名单、罚款等）。 </w:t>
            </w:r>
          </w:p>
          <w:p w14:paraId="1DE5A7BA">
            <w:pPr>
              <w:spacing w:line="312" w:lineRule="auto"/>
              <w:rPr>
                <w:rFonts w:hint="eastAsia" w:eastAsia="宋体"/>
                <w:lang w:val="en-US" w:eastAsia="zh-CN"/>
              </w:rPr>
            </w:pPr>
            <w:r>
              <w:rPr>
                <w:rFonts w:hint="eastAsia" w:eastAsia="宋体"/>
                <w:lang w:val="en-US" w:eastAsia="zh-CN"/>
              </w:rPr>
              <w:t>注：以上①②③④项以政府相关部门（或含网址链接的政府网站）发布的有关情形处理定性文件（信息）为准。招标人、招标代理机构和评标委员会将保留对本项内容进行查询核实的权利。投标人提交的“5-1 企业信誉声明”，若有不实，视为弄虚作假，将直接取消其投标或中标资格，并报有关主管部门。</w:t>
            </w:r>
          </w:p>
          <w:p w14:paraId="6A678420">
            <w:pPr>
              <w:spacing w:line="312" w:lineRule="auto"/>
              <w:rPr>
                <w:rFonts w:hint="eastAsia" w:eastAsia="宋体"/>
                <w:lang w:val="en-US" w:eastAsia="zh-CN"/>
              </w:rPr>
            </w:pPr>
            <w:r>
              <w:rPr>
                <w:rFonts w:hint="eastAsia" w:eastAsia="宋体"/>
                <w:lang w:val="en-US" w:eastAsia="zh-CN"/>
              </w:rPr>
              <w:t>与招标人存在利害关系可能影响招标公正性的法人、其他组织或者个人，不得参加投标。</w:t>
            </w:r>
          </w:p>
        </w:tc>
      </w:tr>
      <w:tr w14:paraId="3FD5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851" w:type="dxa"/>
            <w:noWrap w:val="0"/>
            <w:vAlign w:val="center"/>
          </w:tcPr>
          <w:p w14:paraId="09BDD388">
            <w:pPr>
              <w:jc w:val="center"/>
              <w:rPr>
                <w:rFonts w:hint="eastAsia"/>
              </w:rPr>
            </w:pPr>
            <w:r>
              <w:rPr>
                <w:rFonts w:hint="eastAsia"/>
              </w:rPr>
              <w:t>1.9.1</w:t>
            </w:r>
          </w:p>
        </w:tc>
        <w:tc>
          <w:tcPr>
            <w:tcW w:w="2268" w:type="dxa"/>
            <w:noWrap w:val="0"/>
            <w:vAlign w:val="center"/>
          </w:tcPr>
          <w:p w14:paraId="46641C43">
            <w:pPr>
              <w:rPr>
                <w:rFonts w:hint="eastAsia"/>
              </w:rPr>
            </w:pPr>
            <w:r>
              <w:rPr>
                <w:rFonts w:hint="eastAsia"/>
              </w:rPr>
              <w:t>踏勘现场</w:t>
            </w:r>
          </w:p>
        </w:tc>
        <w:tc>
          <w:tcPr>
            <w:tcW w:w="5295" w:type="dxa"/>
            <w:noWrap w:val="0"/>
            <w:vAlign w:val="center"/>
          </w:tcPr>
          <w:p w14:paraId="1DBE2DDF">
            <w:pPr>
              <w:spacing w:line="312" w:lineRule="auto"/>
              <w:rPr>
                <w:rFonts w:hint="eastAsia"/>
              </w:rPr>
            </w:pPr>
            <w:r>
              <w:rPr>
                <w:rFonts w:hint="eastAsia"/>
                <w:lang w:eastAsia="zh-CN"/>
              </w:rPr>
              <w:t>☑</w:t>
            </w:r>
            <w:r>
              <w:rPr>
                <w:rFonts w:hint="eastAsia"/>
              </w:rPr>
              <w:t>不组织</w:t>
            </w:r>
          </w:p>
          <w:p w14:paraId="6CBDE9D0">
            <w:pPr>
              <w:rPr>
                <w:rFonts w:hint="eastAsia"/>
              </w:rPr>
            </w:pPr>
            <w:r>
              <w:rPr>
                <w:rFonts w:hint="eastAsia"/>
              </w:rPr>
              <w:t>□组织，踏勘时间：</w:t>
            </w:r>
            <w:r>
              <w:rPr>
                <w:rFonts w:hint="eastAsia"/>
                <w:u w:val="single"/>
              </w:rPr>
              <w:t xml:space="preserve">                            </w:t>
            </w:r>
          </w:p>
          <w:p w14:paraId="4137DD8A">
            <w:pPr>
              <w:rPr>
                <w:rFonts w:hint="eastAsia"/>
              </w:rPr>
            </w:pPr>
            <w:r>
              <w:rPr>
                <w:rFonts w:hint="eastAsia"/>
              </w:rPr>
              <w:t xml:space="preserve">        踏勘集中地点：</w:t>
            </w:r>
            <w:r>
              <w:rPr>
                <w:rFonts w:hint="eastAsia"/>
                <w:u w:val="single"/>
              </w:rPr>
              <w:t xml:space="preserve">                        </w:t>
            </w:r>
          </w:p>
        </w:tc>
      </w:tr>
      <w:tr w14:paraId="73F7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851" w:type="dxa"/>
            <w:noWrap w:val="0"/>
            <w:vAlign w:val="center"/>
          </w:tcPr>
          <w:p w14:paraId="6987EBAA">
            <w:pPr>
              <w:jc w:val="center"/>
              <w:rPr>
                <w:rFonts w:hint="eastAsia"/>
              </w:rPr>
            </w:pPr>
            <w:r>
              <w:rPr>
                <w:rFonts w:hint="eastAsia"/>
              </w:rPr>
              <w:t>1.10.1</w:t>
            </w:r>
          </w:p>
        </w:tc>
        <w:tc>
          <w:tcPr>
            <w:tcW w:w="2268" w:type="dxa"/>
            <w:noWrap w:val="0"/>
            <w:vAlign w:val="center"/>
          </w:tcPr>
          <w:p w14:paraId="17366652">
            <w:pPr>
              <w:rPr>
                <w:rFonts w:hint="eastAsia"/>
              </w:rPr>
            </w:pPr>
            <w:r>
              <w:rPr>
                <w:rFonts w:hint="eastAsia"/>
              </w:rPr>
              <w:t>投标预备会</w:t>
            </w:r>
          </w:p>
        </w:tc>
        <w:tc>
          <w:tcPr>
            <w:tcW w:w="5295" w:type="dxa"/>
            <w:noWrap w:val="0"/>
            <w:vAlign w:val="center"/>
          </w:tcPr>
          <w:p w14:paraId="018B6AD3">
            <w:pPr>
              <w:spacing w:line="312" w:lineRule="auto"/>
              <w:rPr>
                <w:rFonts w:hint="eastAsia"/>
              </w:rPr>
            </w:pPr>
            <w:r>
              <w:rPr>
                <w:rFonts w:hint="eastAsia"/>
                <w:lang w:eastAsia="zh-CN"/>
              </w:rPr>
              <w:t>☑</w:t>
            </w:r>
            <w:r>
              <w:rPr>
                <w:rFonts w:hint="eastAsia"/>
              </w:rPr>
              <w:t>不召开</w:t>
            </w:r>
          </w:p>
          <w:p w14:paraId="4163BC21">
            <w:pPr>
              <w:rPr>
                <w:rFonts w:hint="eastAsia"/>
              </w:rPr>
            </w:pPr>
            <w:r>
              <w:rPr>
                <w:rFonts w:hint="eastAsia"/>
              </w:rPr>
              <w:t>□召开，召开时间：</w:t>
            </w:r>
            <w:r>
              <w:rPr>
                <w:rFonts w:hint="eastAsia"/>
                <w:u w:val="single"/>
              </w:rPr>
              <w:t xml:space="preserve">                            </w:t>
            </w:r>
          </w:p>
          <w:p w14:paraId="26E21435">
            <w:pPr>
              <w:rPr>
                <w:rFonts w:hint="eastAsia"/>
              </w:rPr>
            </w:pPr>
            <w:r>
              <w:rPr>
                <w:rFonts w:hint="eastAsia"/>
              </w:rPr>
              <w:t xml:space="preserve">        召开地点：</w:t>
            </w:r>
            <w:r>
              <w:rPr>
                <w:rFonts w:hint="eastAsia"/>
                <w:u w:val="single"/>
              </w:rPr>
              <w:t xml:space="preserve">                            </w:t>
            </w:r>
          </w:p>
        </w:tc>
      </w:tr>
      <w:tr w14:paraId="3633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51" w:type="dxa"/>
            <w:noWrap w:val="0"/>
            <w:vAlign w:val="center"/>
          </w:tcPr>
          <w:p w14:paraId="29F35996">
            <w:pPr>
              <w:jc w:val="center"/>
              <w:rPr>
                <w:rFonts w:hint="eastAsia"/>
              </w:rPr>
            </w:pPr>
            <w:r>
              <w:rPr>
                <w:rFonts w:hint="eastAsia"/>
              </w:rPr>
              <w:t>1.10.2</w:t>
            </w:r>
          </w:p>
        </w:tc>
        <w:tc>
          <w:tcPr>
            <w:tcW w:w="2268" w:type="dxa"/>
            <w:noWrap w:val="0"/>
            <w:vAlign w:val="center"/>
          </w:tcPr>
          <w:p w14:paraId="1F528793">
            <w:pPr>
              <w:rPr>
                <w:rFonts w:hint="eastAsia"/>
              </w:rPr>
            </w:pPr>
            <w:r>
              <w:rPr>
                <w:rFonts w:hint="eastAsia"/>
              </w:rPr>
              <w:t>投标人提出问题的</w:t>
            </w:r>
          </w:p>
          <w:p w14:paraId="6F1D0CD4">
            <w:pPr>
              <w:rPr>
                <w:rFonts w:hint="eastAsia"/>
              </w:rPr>
            </w:pPr>
            <w:r>
              <w:rPr>
                <w:rFonts w:hint="eastAsia"/>
              </w:rPr>
              <w:t>截止时间</w:t>
            </w:r>
          </w:p>
        </w:tc>
        <w:tc>
          <w:tcPr>
            <w:tcW w:w="5295" w:type="dxa"/>
            <w:noWrap w:val="0"/>
            <w:vAlign w:val="center"/>
          </w:tcPr>
          <w:p w14:paraId="061F0A90">
            <w:pPr>
              <w:spacing w:line="312" w:lineRule="auto"/>
              <w:rPr>
                <w:rFonts w:hint="eastAsia"/>
              </w:rPr>
            </w:pPr>
            <w:r>
              <w:rPr>
                <w:rFonts w:hint="eastAsia"/>
              </w:rPr>
              <w:t>召开投标预备会</w:t>
            </w:r>
            <w:r>
              <w:rPr>
                <w:rFonts w:hint="eastAsia"/>
                <w:szCs w:val="21"/>
              </w:rPr>
              <w:t>之日</w:t>
            </w:r>
            <w:r>
              <w:rPr>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日前</w:t>
            </w:r>
          </w:p>
        </w:tc>
      </w:tr>
      <w:tr w14:paraId="707F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trPr>
        <w:tc>
          <w:tcPr>
            <w:tcW w:w="851" w:type="dxa"/>
            <w:noWrap w:val="0"/>
            <w:vAlign w:val="center"/>
          </w:tcPr>
          <w:p w14:paraId="164868B8">
            <w:pPr>
              <w:jc w:val="center"/>
              <w:rPr>
                <w:rFonts w:hint="eastAsia"/>
              </w:rPr>
            </w:pPr>
            <w:r>
              <w:rPr>
                <w:rFonts w:hint="eastAsia"/>
              </w:rPr>
              <w:t>1.11</w:t>
            </w:r>
          </w:p>
        </w:tc>
        <w:tc>
          <w:tcPr>
            <w:tcW w:w="2268" w:type="dxa"/>
            <w:noWrap w:val="0"/>
            <w:vAlign w:val="center"/>
          </w:tcPr>
          <w:p w14:paraId="7D3A3D95">
            <w:pPr>
              <w:rPr>
                <w:rFonts w:hint="eastAsia"/>
              </w:rPr>
            </w:pPr>
            <w:r>
              <w:rPr>
                <w:rFonts w:hint="eastAsia"/>
              </w:rPr>
              <w:t>分  包</w:t>
            </w:r>
          </w:p>
        </w:tc>
        <w:tc>
          <w:tcPr>
            <w:tcW w:w="5295" w:type="dxa"/>
            <w:noWrap w:val="0"/>
            <w:vAlign w:val="center"/>
          </w:tcPr>
          <w:p w14:paraId="272F871D">
            <w:pPr>
              <w:spacing w:line="312" w:lineRule="auto"/>
              <w:rPr>
                <w:rFonts w:hint="eastAsia"/>
              </w:rPr>
            </w:pPr>
            <w:r>
              <w:rPr>
                <w:rFonts w:hint="eastAsia"/>
                <w:lang w:eastAsia="zh-CN"/>
              </w:rPr>
              <w:t>☑</w:t>
            </w:r>
            <w:r>
              <w:rPr>
                <w:rFonts w:hint="eastAsia"/>
              </w:rPr>
              <w:t>不允许</w:t>
            </w:r>
          </w:p>
          <w:p w14:paraId="1A16CAEE">
            <w:pPr>
              <w:rPr>
                <w:rFonts w:hint="eastAsia"/>
              </w:rPr>
            </w:pPr>
            <w:r>
              <w:rPr>
                <w:rFonts w:hint="eastAsia"/>
              </w:rPr>
              <w:t>□允许，分包内容要求：</w:t>
            </w:r>
            <w:r>
              <w:rPr>
                <w:rFonts w:hint="eastAsia"/>
                <w:u w:val="single"/>
              </w:rPr>
              <w:t xml:space="preserve">                        </w:t>
            </w:r>
            <w:r>
              <w:rPr>
                <w:rFonts w:hint="eastAsia"/>
              </w:rPr>
              <w:t xml:space="preserve"> </w:t>
            </w:r>
          </w:p>
          <w:p w14:paraId="07B7D1AE">
            <w:pPr>
              <w:rPr>
                <w:rFonts w:hint="eastAsia"/>
              </w:rPr>
            </w:pPr>
            <w:r>
              <w:rPr>
                <w:rFonts w:hint="eastAsia"/>
              </w:rPr>
              <w:t xml:space="preserve">        分包金额要求：</w:t>
            </w:r>
            <w:r>
              <w:rPr>
                <w:rFonts w:hint="eastAsia"/>
                <w:u w:val="single"/>
              </w:rPr>
              <w:t xml:space="preserve">                         </w:t>
            </w:r>
          </w:p>
          <w:p w14:paraId="1BEEA3B7">
            <w:pPr>
              <w:rPr>
                <w:rFonts w:hint="eastAsia"/>
              </w:rPr>
            </w:pPr>
            <w:r>
              <w:rPr>
                <w:rFonts w:hint="eastAsia"/>
              </w:rPr>
              <w:t xml:space="preserve">        接受分包的第三人资质要求：</w:t>
            </w:r>
            <w:r>
              <w:rPr>
                <w:rFonts w:hint="eastAsia"/>
                <w:u w:val="single"/>
              </w:rPr>
              <w:t xml:space="preserve">             </w:t>
            </w:r>
          </w:p>
        </w:tc>
      </w:tr>
      <w:tr w14:paraId="6F57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851" w:type="dxa"/>
            <w:noWrap w:val="0"/>
            <w:vAlign w:val="center"/>
          </w:tcPr>
          <w:p w14:paraId="01C455DA">
            <w:pPr>
              <w:jc w:val="center"/>
              <w:rPr>
                <w:rFonts w:hint="eastAsia"/>
              </w:rPr>
            </w:pPr>
            <w:r>
              <w:rPr>
                <w:rFonts w:hint="eastAsia"/>
              </w:rPr>
              <w:t>1.12</w:t>
            </w:r>
          </w:p>
        </w:tc>
        <w:tc>
          <w:tcPr>
            <w:tcW w:w="2268" w:type="dxa"/>
            <w:noWrap w:val="0"/>
            <w:vAlign w:val="center"/>
          </w:tcPr>
          <w:p w14:paraId="5FB5C1CC">
            <w:pPr>
              <w:rPr>
                <w:rFonts w:hint="eastAsia"/>
              </w:rPr>
            </w:pPr>
            <w:r>
              <w:rPr>
                <w:rFonts w:hint="eastAsia"/>
              </w:rPr>
              <w:t>偏  离</w:t>
            </w:r>
          </w:p>
        </w:tc>
        <w:tc>
          <w:tcPr>
            <w:tcW w:w="5295" w:type="dxa"/>
            <w:noWrap w:val="0"/>
            <w:vAlign w:val="center"/>
          </w:tcPr>
          <w:p w14:paraId="6A4464C2">
            <w:pPr>
              <w:spacing w:line="288" w:lineRule="auto"/>
              <w:rPr>
                <w:rFonts w:hint="eastAsia"/>
              </w:rPr>
            </w:pPr>
            <w:r>
              <w:rPr>
                <w:rFonts w:hint="eastAsia"/>
                <w:lang w:eastAsia="zh-CN"/>
              </w:rPr>
              <w:t>☑</w:t>
            </w:r>
            <w:r>
              <w:rPr>
                <w:rFonts w:hint="eastAsia"/>
              </w:rPr>
              <w:t>不允许，不允许偏离的范围：</w:t>
            </w:r>
          </w:p>
          <w:p w14:paraId="1966C492">
            <w:pPr>
              <w:spacing w:line="288" w:lineRule="auto"/>
              <w:rPr>
                <w:rFonts w:hint="eastAsia"/>
                <w:u w:val="single"/>
              </w:rPr>
            </w:pPr>
            <w:r>
              <w:rPr>
                <w:rFonts w:hint="eastAsia"/>
              </w:rPr>
              <w:t xml:space="preserve">         </w:t>
            </w:r>
            <w:r>
              <w:rPr>
                <w:rFonts w:hint="eastAsia"/>
                <w:u w:val="single"/>
              </w:rPr>
              <w:t xml:space="preserve">                            </w:t>
            </w:r>
          </w:p>
          <w:p w14:paraId="2625CCBC">
            <w:pPr>
              <w:rPr>
                <w:rFonts w:hint="eastAsia"/>
              </w:rPr>
            </w:pPr>
            <w:r>
              <w:rPr>
                <w:rFonts w:hint="eastAsia"/>
              </w:rPr>
              <w:t>□允许，可偏离的项目和范围见第七章</w:t>
            </w:r>
          </w:p>
          <w:p w14:paraId="159F6E63">
            <w:pPr>
              <w:rPr>
                <w:rFonts w:hint="eastAsia"/>
              </w:rPr>
            </w:pPr>
            <w:r>
              <w:rPr>
                <w:rFonts w:hint="eastAsia"/>
              </w:rPr>
              <w:t xml:space="preserve">       “技术标准和要求”：</w:t>
            </w:r>
          </w:p>
          <w:p w14:paraId="044D5BCA">
            <w:pPr>
              <w:rPr>
                <w:rFonts w:hint="eastAsia"/>
              </w:rPr>
            </w:pPr>
            <w:r>
              <w:rPr>
                <w:rFonts w:hint="eastAsia"/>
              </w:rPr>
              <w:t xml:space="preserve">        允许偏离最高项数：</w:t>
            </w:r>
            <w:r>
              <w:rPr>
                <w:rFonts w:hint="eastAsia"/>
                <w:u w:val="single"/>
              </w:rPr>
              <w:t xml:space="preserve">           </w:t>
            </w:r>
          </w:p>
          <w:p w14:paraId="6FB53131">
            <w:pPr>
              <w:rPr>
                <w:rFonts w:hint="eastAsia"/>
              </w:rPr>
            </w:pPr>
            <w:r>
              <w:rPr>
                <w:rFonts w:hint="eastAsia"/>
              </w:rPr>
              <w:t xml:space="preserve">        偏差调整方法：</w:t>
            </w:r>
            <w:r>
              <w:rPr>
                <w:rFonts w:hint="eastAsia"/>
                <w:u w:val="single"/>
              </w:rPr>
              <w:t xml:space="preserve">               </w:t>
            </w:r>
          </w:p>
        </w:tc>
      </w:tr>
      <w:tr w14:paraId="2EED5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5D2A6012">
            <w:pPr>
              <w:jc w:val="center"/>
              <w:rPr>
                <w:rFonts w:hint="eastAsia"/>
              </w:rPr>
            </w:pPr>
            <w:r>
              <w:rPr>
                <w:rFonts w:hint="eastAsia"/>
              </w:rPr>
              <w:t>2.1.1</w:t>
            </w:r>
          </w:p>
        </w:tc>
        <w:tc>
          <w:tcPr>
            <w:tcW w:w="2268" w:type="dxa"/>
            <w:noWrap w:val="0"/>
            <w:vAlign w:val="center"/>
          </w:tcPr>
          <w:p w14:paraId="71773ED9">
            <w:pPr>
              <w:rPr>
                <w:rFonts w:hint="eastAsia"/>
              </w:rPr>
            </w:pPr>
            <w:r>
              <w:rPr>
                <w:rFonts w:hint="eastAsia"/>
              </w:rPr>
              <w:t>构成招标文件的其他材料</w:t>
            </w:r>
          </w:p>
        </w:tc>
        <w:tc>
          <w:tcPr>
            <w:tcW w:w="5295" w:type="dxa"/>
            <w:noWrap w:val="0"/>
            <w:vAlign w:val="center"/>
          </w:tcPr>
          <w:p w14:paraId="0B570A3C">
            <w:pPr>
              <w:rPr>
                <w:rFonts w:hint="eastAsia" w:eastAsia="宋体"/>
                <w:lang w:val="en-US" w:eastAsia="zh-CN"/>
              </w:rPr>
            </w:pPr>
            <w:r>
              <w:rPr>
                <w:rFonts w:hint="eastAsia" w:ascii="Times New Roman" w:hAnsi="Times New Roman" w:eastAsia="宋体" w:cs="Times New Roman"/>
                <w:lang w:val="en-US" w:eastAsia="zh-CN"/>
              </w:rPr>
              <w:t>招标人发出的补充文件、答疑、澄清等文件（如有）</w:t>
            </w:r>
          </w:p>
        </w:tc>
      </w:tr>
      <w:tr w14:paraId="21235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73D48CE6">
            <w:pPr>
              <w:jc w:val="center"/>
              <w:rPr>
                <w:rFonts w:hint="eastAsia"/>
              </w:rPr>
            </w:pPr>
            <w:r>
              <w:rPr>
                <w:rFonts w:hint="eastAsia"/>
              </w:rPr>
              <w:t>2.1.2（1）</w:t>
            </w:r>
          </w:p>
        </w:tc>
        <w:tc>
          <w:tcPr>
            <w:tcW w:w="2268" w:type="dxa"/>
            <w:noWrap w:val="0"/>
            <w:vAlign w:val="center"/>
          </w:tcPr>
          <w:p w14:paraId="49B53CA9">
            <w:pPr>
              <w:rPr>
                <w:rFonts w:hint="eastAsia"/>
              </w:rPr>
            </w:pPr>
            <w:r>
              <w:rPr>
                <w:rFonts w:hint="eastAsia"/>
              </w:rPr>
              <w:t>本工程的计税方法</w:t>
            </w:r>
          </w:p>
        </w:tc>
        <w:tc>
          <w:tcPr>
            <w:tcW w:w="5295" w:type="dxa"/>
            <w:noWrap w:val="0"/>
            <w:vAlign w:val="center"/>
          </w:tcPr>
          <w:p w14:paraId="60E4D1BC">
            <w:pPr>
              <w:spacing w:line="288" w:lineRule="auto"/>
              <w:rPr>
                <w:rFonts w:hint="eastAsia"/>
              </w:rPr>
            </w:pPr>
            <w:r>
              <w:rPr>
                <w:rFonts w:hint="eastAsia"/>
                <w:lang w:eastAsia="zh-CN"/>
              </w:rPr>
              <w:t>☑</w:t>
            </w:r>
            <w:r>
              <w:rPr>
                <w:rFonts w:hint="eastAsia"/>
              </w:rPr>
              <w:t xml:space="preserve"> 一般计税方法        </w:t>
            </w:r>
          </w:p>
          <w:p w14:paraId="4F451C14">
            <w:pPr>
              <w:spacing w:line="288" w:lineRule="auto"/>
              <w:rPr>
                <w:rFonts w:hint="eastAsia"/>
              </w:rPr>
            </w:pPr>
            <w:r>
              <w:rPr>
                <w:rFonts w:hint="eastAsia"/>
              </w:rPr>
              <w:t>□ 简易计税方法</w:t>
            </w:r>
          </w:p>
          <w:p w14:paraId="6E7AE80F">
            <w:pPr>
              <w:spacing w:line="288" w:lineRule="auto"/>
              <w:rPr>
                <w:rFonts w:hint="eastAsia"/>
              </w:rPr>
            </w:pPr>
            <w:r>
              <w:rPr>
                <w:rFonts w:hint="eastAsia"/>
              </w:rPr>
              <w:t>（清包工工程、甲供工程的建设工程适用简易计税方法）</w:t>
            </w:r>
          </w:p>
        </w:tc>
      </w:tr>
      <w:tr w14:paraId="0CB9D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59A44F82">
            <w:pPr>
              <w:jc w:val="center"/>
              <w:rPr>
                <w:rFonts w:hint="eastAsia"/>
              </w:rPr>
            </w:pPr>
            <w:r>
              <w:rPr>
                <w:rFonts w:hint="eastAsia"/>
              </w:rPr>
              <w:t>2.1.2（2）</w:t>
            </w:r>
          </w:p>
        </w:tc>
        <w:tc>
          <w:tcPr>
            <w:tcW w:w="2268" w:type="dxa"/>
            <w:noWrap w:val="0"/>
            <w:vAlign w:val="center"/>
          </w:tcPr>
          <w:p w14:paraId="6B98CA89">
            <w:pPr>
              <w:spacing w:line="312" w:lineRule="auto"/>
              <w:rPr>
                <w:rFonts w:hint="eastAsia"/>
              </w:rPr>
            </w:pPr>
            <w:r>
              <w:rPr>
                <w:rFonts w:hint="eastAsia"/>
              </w:rPr>
              <w:t>招标控制价</w:t>
            </w:r>
          </w:p>
        </w:tc>
        <w:tc>
          <w:tcPr>
            <w:tcW w:w="5295" w:type="dxa"/>
            <w:noWrap w:val="0"/>
            <w:vAlign w:val="center"/>
          </w:tcPr>
          <w:p w14:paraId="3CE590CB">
            <w:pPr>
              <w:spacing w:line="312" w:lineRule="auto"/>
              <w:rPr>
                <w:rFonts w:hint="eastAsia"/>
              </w:rPr>
            </w:pPr>
            <w:r>
              <w:rPr>
                <w:rFonts w:hint="eastAsia"/>
              </w:rPr>
              <w:t>招标控制价总价为：</w:t>
            </w:r>
            <w:r>
              <w:rPr>
                <w:rFonts w:hint="eastAsia"/>
                <w:u w:val="single"/>
                <w:lang w:val="en-US" w:eastAsia="zh-CN"/>
              </w:rPr>
              <w:t>5040800.00</w:t>
            </w:r>
            <w:r>
              <w:rPr>
                <w:rFonts w:hint="eastAsia"/>
              </w:rPr>
              <w:t>元</w:t>
            </w:r>
          </w:p>
          <w:p w14:paraId="1493C33E">
            <w:pPr>
              <w:autoSpaceDE w:val="0"/>
              <w:autoSpaceDN w:val="0"/>
              <w:adjustRightInd w:val="0"/>
              <w:snapToGrid w:val="0"/>
              <w:jc w:val="left"/>
              <w:rPr>
                <w:rFonts w:hint="eastAsia"/>
              </w:rPr>
            </w:pPr>
            <w:r>
              <w:t>详见本须知附表</w:t>
            </w:r>
            <w:r>
              <w:rPr>
                <w:rFonts w:hint="eastAsia"/>
              </w:rPr>
              <w:t>十二</w:t>
            </w:r>
            <w:r>
              <w:t>： “招标控制价明细”。</w:t>
            </w:r>
          </w:p>
        </w:tc>
      </w:tr>
      <w:tr w14:paraId="62FE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51" w:type="dxa"/>
            <w:noWrap w:val="0"/>
            <w:vAlign w:val="center"/>
          </w:tcPr>
          <w:p w14:paraId="003AF5FE">
            <w:pPr>
              <w:jc w:val="center"/>
              <w:rPr>
                <w:rFonts w:hint="eastAsia"/>
              </w:rPr>
            </w:pPr>
            <w:r>
              <w:rPr>
                <w:rFonts w:hint="eastAsia"/>
              </w:rPr>
              <w:t>2.2.1</w:t>
            </w:r>
          </w:p>
        </w:tc>
        <w:tc>
          <w:tcPr>
            <w:tcW w:w="2268" w:type="dxa"/>
            <w:noWrap w:val="0"/>
            <w:vAlign w:val="center"/>
          </w:tcPr>
          <w:p w14:paraId="1AF10B95">
            <w:pPr>
              <w:rPr>
                <w:rFonts w:hint="eastAsia"/>
              </w:rPr>
            </w:pPr>
            <w:r>
              <w:rPr>
                <w:rFonts w:hint="eastAsia"/>
              </w:rPr>
              <w:t>投标人要求澄清招标文件的截止时间</w:t>
            </w:r>
          </w:p>
        </w:tc>
        <w:tc>
          <w:tcPr>
            <w:tcW w:w="5295" w:type="dxa"/>
            <w:noWrap w:val="0"/>
            <w:vAlign w:val="center"/>
          </w:tcPr>
          <w:p w14:paraId="31B4DB69">
            <w:pPr>
              <w:spacing w:line="288" w:lineRule="auto"/>
              <w:rPr>
                <w:rFonts w:hint="eastAsia"/>
              </w:rPr>
            </w:pPr>
            <w:r>
              <w:rPr>
                <w:rFonts w:hint="eastAsia"/>
                <w:szCs w:val="21"/>
              </w:rPr>
              <w:t>递交投标文件截止之日</w:t>
            </w:r>
            <w:r>
              <w:rPr>
                <w:szCs w:val="21"/>
                <w:u w:val="single"/>
              </w:rPr>
              <w:t xml:space="preserve"> </w:t>
            </w:r>
            <w:r>
              <w:rPr>
                <w:rFonts w:hint="eastAsia"/>
                <w:szCs w:val="21"/>
                <w:u w:val="single"/>
                <w:lang w:val="en-US" w:eastAsia="zh-CN"/>
              </w:rPr>
              <w:t>15</w:t>
            </w:r>
            <w:r>
              <w:rPr>
                <w:rFonts w:hint="eastAsia"/>
                <w:szCs w:val="21"/>
                <w:u w:val="single"/>
              </w:rPr>
              <w:t xml:space="preserve"> </w:t>
            </w:r>
            <w:r>
              <w:rPr>
                <w:rFonts w:hint="eastAsia"/>
                <w:szCs w:val="21"/>
              </w:rPr>
              <w:t>日前</w:t>
            </w:r>
          </w:p>
        </w:tc>
      </w:tr>
      <w:tr w14:paraId="4914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4DFCEA4F">
            <w:pPr>
              <w:jc w:val="center"/>
              <w:rPr>
                <w:rFonts w:hint="eastAsia"/>
              </w:rPr>
            </w:pPr>
            <w:r>
              <w:rPr>
                <w:rFonts w:hint="eastAsia"/>
              </w:rPr>
              <w:t>3.1.1</w:t>
            </w:r>
          </w:p>
        </w:tc>
        <w:tc>
          <w:tcPr>
            <w:tcW w:w="2268" w:type="dxa"/>
            <w:noWrap w:val="0"/>
            <w:vAlign w:val="center"/>
          </w:tcPr>
          <w:p w14:paraId="2FC2E462">
            <w:pPr>
              <w:rPr>
                <w:rFonts w:hint="eastAsia"/>
              </w:rPr>
            </w:pPr>
            <w:r>
              <w:rPr>
                <w:rFonts w:hint="eastAsia"/>
              </w:rPr>
              <w:t>构成投标文件的其他材料</w:t>
            </w:r>
          </w:p>
        </w:tc>
        <w:tc>
          <w:tcPr>
            <w:tcW w:w="5295" w:type="dxa"/>
            <w:noWrap w:val="0"/>
            <w:vAlign w:val="center"/>
          </w:tcPr>
          <w:p w14:paraId="25C99779">
            <w:pPr>
              <w:rPr>
                <w:rFonts w:hint="eastAsia" w:ascii="Times New Roman" w:hAnsi="Times New Roman" w:eastAsia="宋体" w:cs="Times New Roman"/>
              </w:rPr>
            </w:pPr>
            <w:r>
              <w:rPr>
                <w:rFonts w:hint="eastAsia" w:ascii="Times New Roman" w:hAnsi="Times New Roman" w:eastAsia="宋体" w:cs="Times New Roman"/>
                <w:lang w:val="en-US" w:eastAsia="zh-CN"/>
              </w:rPr>
              <w:t xml:space="preserve">按各项评审条件提交的各项证明材料和投标人认为有必 </w:t>
            </w:r>
          </w:p>
          <w:p w14:paraId="24556C9E">
            <w:pPr>
              <w:rPr>
                <w:rFonts w:hint="eastAsia" w:eastAsia="宋体"/>
                <w:lang w:val="en-US" w:eastAsia="zh-CN"/>
              </w:rPr>
            </w:pPr>
            <w:r>
              <w:rPr>
                <w:rFonts w:hint="default" w:ascii="Times New Roman" w:hAnsi="Times New Roman" w:eastAsia="宋体" w:cs="Times New Roman"/>
                <w:lang w:val="en-US" w:eastAsia="zh-CN"/>
              </w:rPr>
              <w:t>要提供的其他资料</w:t>
            </w:r>
          </w:p>
        </w:tc>
      </w:tr>
      <w:tr w14:paraId="6B67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27B4A8FE">
            <w:pPr>
              <w:jc w:val="center"/>
              <w:rPr>
                <w:rFonts w:hint="eastAsia"/>
              </w:rPr>
            </w:pPr>
            <w:r>
              <w:rPr>
                <w:rFonts w:hint="eastAsia"/>
              </w:rPr>
              <w:t>3.3.1</w:t>
            </w:r>
          </w:p>
        </w:tc>
        <w:tc>
          <w:tcPr>
            <w:tcW w:w="2268" w:type="dxa"/>
            <w:noWrap w:val="0"/>
            <w:vAlign w:val="center"/>
          </w:tcPr>
          <w:p w14:paraId="14B2BC76">
            <w:pPr>
              <w:rPr>
                <w:rFonts w:hint="eastAsia"/>
              </w:rPr>
            </w:pPr>
            <w:r>
              <w:rPr>
                <w:rFonts w:hint="eastAsia"/>
              </w:rPr>
              <w:t>投标有效期</w:t>
            </w:r>
          </w:p>
        </w:tc>
        <w:tc>
          <w:tcPr>
            <w:tcW w:w="5295" w:type="dxa"/>
            <w:noWrap w:val="0"/>
            <w:vAlign w:val="center"/>
          </w:tcPr>
          <w:p w14:paraId="2EE58FE9">
            <w:pPr>
              <w:spacing w:line="288" w:lineRule="auto"/>
              <w:rPr>
                <w:rFonts w:hint="eastAsia"/>
              </w:rPr>
            </w:pPr>
            <w:r>
              <w:rPr>
                <w:rFonts w:hint="eastAsia"/>
              </w:rPr>
              <w:t>自投标截止</w:t>
            </w:r>
            <w:r>
              <w:rPr>
                <w:rFonts w:hint="eastAsia"/>
                <w:szCs w:val="21"/>
              </w:rPr>
              <w:t>之日</w:t>
            </w:r>
            <w:r>
              <w:rPr>
                <w:rFonts w:hint="eastAsia"/>
              </w:rPr>
              <w:t>起</w:t>
            </w:r>
            <w:r>
              <w:rPr>
                <w:rFonts w:hint="eastAsia"/>
                <w:u w:val="single"/>
              </w:rPr>
              <w:t xml:space="preserve"> </w:t>
            </w:r>
            <w:r>
              <w:rPr>
                <w:rFonts w:hint="eastAsia"/>
                <w:u w:val="single"/>
                <w:lang w:val="en-US" w:eastAsia="zh-CN"/>
              </w:rPr>
              <w:t>90</w:t>
            </w:r>
            <w:r>
              <w:rPr>
                <w:rFonts w:hint="eastAsia"/>
                <w:u w:val="single"/>
              </w:rPr>
              <w:t xml:space="preserve"> </w:t>
            </w:r>
            <w:r>
              <w:rPr>
                <w:rFonts w:hint="eastAsia"/>
              </w:rPr>
              <w:t>日内有效</w:t>
            </w:r>
          </w:p>
        </w:tc>
      </w:tr>
      <w:tr w14:paraId="6C15A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851" w:type="dxa"/>
            <w:noWrap w:val="0"/>
            <w:vAlign w:val="center"/>
          </w:tcPr>
          <w:p w14:paraId="1A091EA1">
            <w:pPr>
              <w:jc w:val="center"/>
              <w:rPr>
                <w:rFonts w:hint="eastAsia"/>
              </w:rPr>
            </w:pPr>
            <w:r>
              <w:rPr>
                <w:rFonts w:hint="eastAsia"/>
              </w:rPr>
              <w:t>3.4.1</w:t>
            </w:r>
          </w:p>
        </w:tc>
        <w:tc>
          <w:tcPr>
            <w:tcW w:w="2268" w:type="dxa"/>
            <w:noWrap w:val="0"/>
            <w:vAlign w:val="center"/>
          </w:tcPr>
          <w:p w14:paraId="0AEDDF1A">
            <w:pPr>
              <w:rPr>
                <w:rFonts w:hint="eastAsia"/>
              </w:rPr>
            </w:pPr>
            <w:r>
              <w:rPr>
                <w:rFonts w:hint="eastAsia"/>
              </w:rPr>
              <w:t>投标保证金</w:t>
            </w:r>
          </w:p>
        </w:tc>
        <w:tc>
          <w:tcPr>
            <w:tcW w:w="5295" w:type="dxa"/>
            <w:noWrap w:val="0"/>
            <w:vAlign w:val="center"/>
          </w:tcPr>
          <w:p w14:paraId="14D696F9">
            <w:pPr>
              <w:spacing w:line="440" w:lineRule="exact"/>
              <w:rPr>
                <w:rFonts w:hint="eastAsia"/>
                <w:szCs w:val="21"/>
              </w:rPr>
            </w:pPr>
            <w:r>
              <w:rPr>
                <w:rFonts w:hint="eastAsia"/>
                <w:sz w:val="32"/>
                <w:szCs w:val="32"/>
                <w:lang w:eastAsia="zh-CN"/>
              </w:rPr>
              <w:t>☑</w:t>
            </w:r>
            <w:r>
              <w:rPr>
                <w:rFonts w:hint="eastAsia"/>
                <w:szCs w:val="21"/>
              </w:rPr>
              <w:t>不提交</w:t>
            </w:r>
          </w:p>
          <w:p w14:paraId="03E6325B">
            <w:pPr>
              <w:adjustRightInd w:val="0"/>
              <w:snapToGrid w:val="0"/>
              <w:jc w:val="left"/>
              <w:rPr>
                <w:rFonts w:hint="eastAsia"/>
                <w:szCs w:val="21"/>
              </w:rPr>
            </w:pPr>
            <w:r>
              <w:rPr>
                <w:sz w:val="32"/>
                <w:szCs w:val="32"/>
              </w:rPr>
              <w:t>□</w:t>
            </w:r>
            <w:r>
              <w:rPr>
                <w:rFonts w:hint="eastAsia"/>
                <w:szCs w:val="21"/>
              </w:rPr>
              <w:t>提交，</w:t>
            </w:r>
          </w:p>
          <w:p w14:paraId="200F10D3">
            <w:pPr>
              <w:widowControl/>
              <w:jc w:val="left"/>
              <w:rPr>
                <w:rFonts w:hint="eastAsia" w:ascii="宋体" w:hAnsi="宋体" w:cs="宋体"/>
                <w:kern w:val="0"/>
                <w:szCs w:val="21"/>
              </w:rPr>
            </w:pPr>
            <w:r>
              <w:rPr>
                <w:rFonts w:ascii="宋体" w:hAnsi="宋体" w:cs="宋体"/>
                <w:kern w:val="0"/>
                <w:szCs w:val="21"/>
              </w:rPr>
              <w:t>1.递交截止时间（到账时间）：</w:t>
            </w:r>
          </w:p>
          <w:p w14:paraId="5551D023">
            <w:pPr>
              <w:widowControl/>
              <w:ind w:firstLine="211" w:firstLineChars="100"/>
              <w:jc w:val="left"/>
              <w:rPr>
                <w:rFonts w:hint="eastAsia" w:ascii="宋体" w:hAnsi="宋体" w:cs="宋体"/>
                <w:b/>
                <w:kern w:val="0"/>
                <w:szCs w:val="21"/>
              </w:rPr>
            </w:pPr>
            <w:r>
              <w:rPr>
                <w:rFonts w:ascii="宋体" w:hAnsi="宋体" w:cs="宋体"/>
                <w:b/>
                <w:kern w:val="0"/>
                <w:szCs w:val="21"/>
              </w:rPr>
              <w:t>同</w:t>
            </w:r>
            <w:r>
              <w:rPr>
                <w:rFonts w:hint="eastAsia" w:ascii="宋体" w:hAnsi="宋体" w:cs="宋体"/>
                <w:b/>
                <w:kern w:val="0"/>
                <w:szCs w:val="21"/>
              </w:rPr>
              <w:t>本标段</w:t>
            </w:r>
            <w:r>
              <w:rPr>
                <w:rFonts w:ascii="宋体" w:hAnsi="宋体" w:cs="宋体"/>
                <w:b/>
                <w:kern w:val="0"/>
                <w:szCs w:val="21"/>
              </w:rPr>
              <w:t>投标截止时间。</w:t>
            </w:r>
          </w:p>
          <w:p w14:paraId="1C2A330C">
            <w:pPr>
              <w:widowControl/>
              <w:jc w:val="left"/>
              <w:rPr>
                <w:rFonts w:hint="eastAsia" w:ascii="宋体" w:hAnsi="宋体" w:cs="宋体"/>
                <w:kern w:val="0"/>
                <w:szCs w:val="21"/>
              </w:rPr>
            </w:pPr>
            <w:r>
              <w:rPr>
                <w:rFonts w:ascii="宋体" w:hAnsi="宋体" w:cs="宋体"/>
                <w:kern w:val="0"/>
                <w:szCs w:val="21"/>
              </w:rPr>
              <w:t>2.</w:t>
            </w:r>
            <w:r>
              <w:rPr>
                <w:rFonts w:hint="eastAsia" w:ascii="宋体" w:hAnsi="宋体" w:cs="宋体"/>
                <w:kern w:val="0"/>
                <w:szCs w:val="21"/>
              </w:rPr>
              <w:t xml:space="preserve"> </w:t>
            </w:r>
            <w:r>
              <w:rPr>
                <w:rFonts w:ascii="宋体" w:hAnsi="宋体" w:cs="宋体"/>
                <w:kern w:val="0"/>
                <w:szCs w:val="21"/>
              </w:rPr>
              <w:t>金额：</w:t>
            </w:r>
          </w:p>
          <w:p w14:paraId="4E072A74">
            <w:pPr>
              <w:widowControl/>
              <w:jc w:val="left"/>
              <w:rPr>
                <w:rFonts w:hint="eastAsia" w:ascii="宋体" w:hAnsi="宋体" w:cs="宋体"/>
                <w:kern w:val="0"/>
                <w:szCs w:val="21"/>
              </w:rPr>
            </w:pPr>
          </w:p>
          <w:p w14:paraId="6C735976">
            <w:pPr>
              <w:rPr>
                <w:rFonts w:hint="eastAsia" w:ascii="宋体" w:hAnsi="宋体" w:cs="宋体"/>
                <w:kern w:val="0"/>
                <w:szCs w:val="21"/>
              </w:rPr>
            </w:pPr>
            <w:r>
              <w:rPr>
                <w:rFonts w:hint="eastAsia" w:ascii="宋体" w:hAnsi="宋体" w:cs="宋体"/>
                <w:kern w:val="0"/>
                <w:szCs w:val="21"/>
              </w:rPr>
              <w:t xml:space="preserve">3. </w:t>
            </w:r>
            <w:r>
              <w:rPr>
                <w:rFonts w:ascii="宋体" w:hAnsi="宋体" w:cs="宋体"/>
                <w:kern w:val="0"/>
                <w:szCs w:val="21"/>
              </w:rPr>
              <w:t>形式</w:t>
            </w:r>
            <w:r>
              <w:rPr>
                <w:rFonts w:hint="eastAsia" w:ascii="宋体" w:hAnsi="宋体" w:cs="宋体"/>
                <w:kern w:val="0"/>
                <w:szCs w:val="21"/>
              </w:rPr>
              <w:t>：</w:t>
            </w:r>
            <w:r>
              <w:rPr>
                <w:rFonts w:hint="eastAsia"/>
              </w:rPr>
              <w:t>□现金 □银行保函 □保证保险 □其他形式</w:t>
            </w:r>
          </w:p>
          <w:p w14:paraId="723F2157">
            <w:pPr>
              <w:rPr>
                <w:rFonts w:hint="eastAsia" w:ascii="宋体" w:hAnsi="宋体" w:cs="宋体"/>
                <w:kern w:val="0"/>
                <w:szCs w:val="21"/>
              </w:rPr>
            </w:pPr>
          </w:p>
          <w:p w14:paraId="191875EC">
            <w:pPr>
              <w:widowControl/>
              <w:jc w:val="left"/>
              <w:rPr>
                <w:rFonts w:hint="eastAsia"/>
              </w:rPr>
            </w:pPr>
            <w:r>
              <w:rPr>
                <w:rFonts w:hint="eastAsia" w:ascii="宋体" w:hAnsi="宋体" w:cs="宋体"/>
                <w:kern w:val="0"/>
                <w:szCs w:val="21"/>
              </w:rPr>
              <w:t>4. 递交方</w:t>
            </w:r>
            <w:r>
              <w:rPr>
                <w:rFonts w:hint="eastAsia"/>
              </w:rPr>
              <w:t>式：</w:t>
            </w:r>
          </w:p>
          <w:p w14:paraId="5079D1C4">
            <w:pPr>
              <w:widowControl/>
              <w:jc w:val="left"/>
              <w:rPr>
                <w:rFonts w:hint="eastAsia" w:ascii="宋体" w:hAnsi="宋体" w:cs="宋体"/>
                <w:kern w:val="0"/>
                <w:szCs w:val="21"/>
              </w:rPr>
            </w:pPr>
            <w:r>
              <w:rPr>
                <w:rFonts w:hint="eastAsia" w:ascii="宋体" w:hAnsi="宋体" w:cs="宋体"/>
                <w:kern w:val="0"/>
                <w:szCs w:val="21"/>
              </w:rPr>
              <w:t>1）采用现金方式</w:t>
            </w:r>
          </w:p>
          <w:p w14:paraId="73EAC6FA">
            <w:pPr>
              <w:widowControl/>
              <w:jc w:val="left"/>
              <w:rPr>
                <w:rFonts w:hint="eastAsia" w:ascii="宋体" w:hAnsi="宋体" w:cs="宋体"/>
                <w:kern w:val="0"/>
                <w:szCs w:val="21"/>
              </w:rPr>
            </w:pPr>
            <w:r>
              <w:rPr>
                <w:rFonts w:hint="eastAsia" w:ascii="宋体" w:hAnsi="宋体" w:cs="宋体"/>
                <w:kern w:val="0"/>
                <w:szCs w:val="21"/>
              </w:rPr>
              <w:t>1）必须从投标人的基本账户汇至招标人指定的账户及账</w:t>
            </w:r>
          </w:p>
          <w:p w14:paraId="5EAA6390">
            <w:pPr>
              <w:widowControl/>
              <w:jc w:val="left"/>
              <w:rPr>
                <w:rFonts w:hint="eastAsia" w:ascii="宋体" w:hAnsi="宋体" w:cs="宋体"/>
                <w:kern w:val="0"/>
                <w:szCs w:val="21"/>
              </w:rPr>
            </w:pPr>
            <w:r>
              <w:rPr>
                <w:rFonts w:hint="eastAsia" w:ascii="宋体" w:hAnsi="宋体" w:cs="宋体"/>
                <w:kern w:val="0"/>
                <w:szCs w:val="21"/>
              </w:rPr>
              <w:t>号。</w:t>
            </w:r>
          </w:p>
          <w:p w14:paraId="24927697">
            <w:pPr>
              <w:widowControl/>
              <w:jc w:val="left"/>
              <w:rPr>
                <w:rFonts w:hint="eastAsia" w:ascii="宋体" w:hAnsi="宋体" w:cs="宋体"/>
                <w:kern w:val="0"/>
                <w:szCs w:val="21"/>
              </w:rPr>
            </w:pPr>
            <w:r>
              <w:rPr>
                <w:rFonts w:hint="eastAsia" w:ascii="宋体" w:hAnsi="宋体" w:cs="宋体"/>
                <w:kern w:val="0"/>
                <w:szCs w:val="21"/>
              </w:rPr>
              <w:t>保证金账号：；</w:t>
            </w:r>
          </w:p>
          <w:p w14:paraId="0A71F2AC">
            <w:pPr>
              <w:widowControl/>
              <w:jc w:val="left"/>
              <w:rPr>
                <w:rFonts w:hint="eastAsia" w:ascii="宋体" w:hAnsi="宋体" w:cs="宋体"/>
                <w:kern w:val="0"/>
                <w:szCs w:val="21"/>
              </w:rPr>
            </w:pPr>
            <w:r>
              <w:rPr>
                <w:rFonts w:hint="eastAsia" w:ascii="宋体" w:hAnsi="宋体" w:cs="宋体"/>
                <w:kern w:val="0"/>
                <w:szCs w:val="21"/>
              </w:rPr>
              <w:t>账户名称：；</w:t>
            </w:r>
          </w:p>
          <w:p w14:paraId="6157CF97">
            <w:pPr>
              <w:widowControl/>
              <w:jc w:val="left"/>
              <w:rPr>
                <w:rFonts w:hint="eastAsia" w:ascii="宋体" w:hAnsi="宋体" w:cs="宋体"/>
                <w:kern w:val="0"/>
                <w:szCs w:val="21"/>
              </w:rPr>
            </w:pPr>
            <w:r>
              <w:rPr>
                <w:rFonts w:hint="eastAsia" w:ascii="宋体" w:hAnsi="宋体" w:cs="宋体"/>
                <w:kern w:val="0"/>
                <w:szCs w:val="21"/>
              </w:rPr>
              <w:t>开户银行：；</w:t>
            </w:r>
          </w:p>
          <w:p w14:paraId="078092B9">
            <w:pPr>
              <w:widowControl/>
              <w:jc w:val="left"/>
              <w:rPr>
                <w:rFonts w:hint="eastAsia" w:ascii="宋体" w:hAnsi="宋体" w:cs="宋体"/>
                <w:kern w:val="0"/>
                <w:szCs w:val="21"/>
              </w:rPr>
            </w:pPr>
            <w:r>
              <w:rPr>
                <w:rFonts w:hint="eastAsia" w:ascii="宋体" w:hAnsi="宋体" w:cs="宋体"/>
                <w:kern w:val="0"/>
                <w:szCs w:val="21"/>
              </w:rPr>
              <w:t>其他要求：。</w:t>
            </w:r>
          </w:p>
          <w:p w14:paraId="3AD65921">
            <w:pPr>
              <w:widowControl/>
              <w:jc w:val="left"/>
              <w:rPr>
                <w:rFonts w:hint="eastAsia" w:ascii="宋体" w:hAnsi="宋体" w:cs="宋体"/>
                <w:kern w:val="0"/>
                <w:szCs w:val="21"/>
              </w:rPr>
            </w:pPr>
            <w:r>
              <w:rPr>
                <w:rFonts w:hint="eastAsia" w:ascii="宋体" w:hAnsi="宋体" w:cs="宋体"/>
                <w:kern w:val="0"/>
                <w:szCs w:val="21"/>
              </w:rPr>
              <w:t>2）基本账户信息将以投标人办理交易主体注册登记所填基本账户信息为准，若投标人汇款账户与注册登记时的基本账户信息不相符，由此造成投标保证金递交失败的</w:t>
            </w:r>
          </w:p>
          <w:p w14:paraId="0997E93C">
            <w:pPr>
              <w:widowControl/>
              <w:jc w:val="left"/>
              <w:rPr>
                <w:rFonts w:hint="eastAsia" w:ascii="宋体" w:hAnsi="宋体" w:cs="宋体"/>
                <w:kern w:val="0"/>
                <w:szCs w:val="21"/>
              </w:rPr>
            </w:pPr>
            <w:r>
              <w:rPr>
                <w:rFonts w:hint="eastAsia" w:ascii="宋体" w:hAnsi="宋体" w:cs="宋体"/>
                <w:kern w:val="0"/>
                <w:szCs w:val="21"/>
              </w:rPr>
              <w:t>责任由投标人自行承担。</w:t>
            </w:r>
          </w:p>
          <w:p w14:paraId="186465C8">
            <w:pPr>
              <w:widowControl/>
              <w:jc w:val="left"/>
              <w:rPr>
                <w:rFonts w:hint="eastAsia" w:ascii="宋体" w:hAnsi="宋体" w:cs="宋体"/>
                <w:kern w:val="0"/>
                <w:szCs w:val="21"/>
              </w:rPr>
            </w:pPr>
            <w:r>
              <w:rPr>
                <w:rFonts w:hint="eastAsia" w:ascii="宋体" w:hAnsi="宋体" w:cs="宋体"/>
                <w:kern w:val="0"/>
                <w:szCs w:val="21"/>
              </w:rPr>
              <w:t>3）投标保证金到账查询方法及其它要求：。</w:t>
            </w:r>
          </w:p>
          <w:p w14:paraId="05503520">
            <w:pPr>
              <w:widowControl/>
              <w:jc w:val="left"/>
              <w:rPr>
                <w:rFonts w:hint="eastAsia" w:ascii="宋体" w:hAnsi="宋体" w:cs="宋体"/>
                <w:kern w:val="0"/>
                <w:szCs w:val="21"/>
              </w:rPr>
            </w:pPr>
            <w:r>
              <w:rPr>
                <w:rFonts w:hint="eastAsia" w:ascii="宋体" w:hAnsi="宋体" w:cs="宋体"/>
                <w:kern w:val="0"/>
                <w:szCs w:val="21"/>
              </w:rPr>
              <w:t>（2）采用电子银行保函、电子担保保函、电子保险保单方式（以下简称保函、保单）</w:t>
            </w:r>
          </w:p>
          <w:p w14:paraId="1CFBE786">
            <w:pPr>
              <w:widowControl/>
              <w:jc w:val="left"/>
              <w:rPr>
                <w:rFonts w:hint="eastAsia" w:ascii="宋体" w:hAnsi="宋体" w:cs="宋体"/>
                <w:kern w:val="0"/>
                <w:szCs w:val="21"/>
              </w:rPr>
            </w:pPr>
            <w:r>
              <w:rPr>
                <w:rFonts w:hint="eastAsia" w:ascii="宋体" w:hAnsi="宋体" w:cs="宋体"/>
                <w:kern w:val="0"/>
                <w:szCs w:val="21"/>
              </w:rPr>
              <w:t>1）投标人须及时登录“电子交易平台”选择所投标段按系统引导的程序申请电子保函或保单。</w:t>
            </w:r>
          </w:p>
          <w:p w14:paraId="135E670E">
            <w:pPr>
              <w:widowControl/>
              <w:jc w:val="left"/>
              <w:rPr>
                <w:rFonts w:hint="eastAsia" w:ascii="宋体" w:hAnsi="宋体" w:cs="宋体"/>
                <w:kern w:val="0"/>
                <w:szCs w:val="21"/>
              </w:rPr>
            </w:pPr>
            <w:r>
              <w:rPr>
                <w:rFonts w:hint="eastAsia" w:ascii="宋体" w:hAnsi="宋体" w:cs="宋体"/>
                <w:kern w:val="0"/>
                <w:szCs w:val="21"/>
              </w:rPr>
              <w:t>2）投标人可在“电子交易平台”查询保函或保单是否申请成功，开具成功后可下载电子保函或保单。电子保函或保单应载明：保函或保单受益人（招标人）、标段名</w:t>
            </w:r>
          </w:p>
          <w:p w14:paraId="42B8B78E">
            <w:pPr>
              <w:widowControl/>
              <w:jc w:val="left"/>
              <w:rPr>
                <w:rFonts w:hint="eastAsia" w:ascii="宋体" w:hAnsi="宋体" w:cs="宋体"/>
                <w:kern w:val="0"/>
                <w:szCs w:val="21"/>
              </w:rPr>
            </w:pPr>
            <w:r>
              <w:rPr>
                <w:rFonts w:hint="eastAsia" w:ascii="宋体" w:hAnsi="宋体" w:cs="宋体"/>
                <w:kern w:val="0"/>
                <w:szCs w:val="21"/>
              </w:rPr>
              <w:t>称、标段编号、担保内容、担保金额、保函或保单有效期等信息，检查其内容符合招标文件的相关约定后，上传至投标文件的“投标保证金”栏目中。</w:t>
            </w:r>
          </w:p>
          <w:p w14:paraId="0452703C">
            <w:pPr>
              <w:widowControl/>
              <w:jc w:val="left"/>
              <w:rPr>
                <w:rFonts w:hint="eastAsia" w:ascii="宋体" w:hAnsi="宋体" w:cs="宋体"/>
                <w:kern w:val="0"/>
                <w:szCs w:val="21"/>
              </w:rPr>
            </w:pPr>
            <w:r>
              <w:rPr>
                <w:rFonts w:hint="eastAsia" w:ascii="宋体" w:hAnsi="宋体" w:cs="宋体"/>
                <w:kern w:val="0"/>
                <w:szCs w:val="21"/>
              </w:rPr>
              <w:t>3）开标后，电子交易平台将自动比对投标截止时间前收到的电子保函或保单情况；评标时评标委员会可以直接在投标文件中查验电子保函或保单。</w:t>
            </w:r>
          </w:p>
        </w:tc>
      </w:tr>
      <w:tr w14:paraId="2EC9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1" w:type="dxa"/>
            <w:noWrap w:val="0"/>
            <w:vAlign w:val="center"/>
          </w:tcPr>
          <w:p w14:paraId="351B2B9C">
            <w:pPr>
              <w:spacing w:line="288" w:lineRule="auto"/>
              <w:jc w:val="center"/>
              <w:rPr>
                <w:rFonts w:hint="eastAsia"/>
              </w:rPr>
            </w:pPr>
            <w:r>
              <w:rPr>
                <w:rFonts w:hint="eastAsia"/>
              </w:rPr>
              <w:t>3.4.3</w:t>
            </w:r>
          </w:p>
        </w:tc>
        <w:tc>
          <w:tcPr>
            <w:tcW w:w="2268" w:type="dxa"/>
            <w:noWrap w:val="0"/>
            <w:vAlign w:val="center"/>
          </w:tcPr>
          <w:p w14:paraId="21EA429D">
            <w:pPr>
              <w:spacing w:line="288" w:lineRule="auto"/>
              <w:rPr>
                <w:rFonts w:hint="eastAsia"/>
              </w:rPr>
            </w:pPr>
            <w:r>
              <w:rPr>
                <w:rFonts w:hint="eastAsia"/>
              </w:rPr>
              <w:t>退还投标保证金</w:t>
            </w:r>
          </w:p>
          <w:p w14:paraId="0455D8E1">
            <w:pPr>
              <w:spacing w:line="288" w:lineRule="auto"/>
              <w:rPr>
                <w:rFonts w:hint="eastAsia"/>
              </w:rPr>
            </w:pPr>
            <w:r>
              <w:rPr>
                <w:rFonts w:hint="eastAsia"/>
              </w:rPr>
              <w:t>及利息</w:t>
            </w:r>
          </w:p>
        </w:tc>
        <w:tc>
          <w:tcPr>
            <w:tcW w:w="5295" w:type="dxa"/>
            <w:noWrap w:val="0"/>
            <w:vAlign w:val="center"/>
          </w:tcPr>
          <w:p w14:paraId="1CB610B8">
            <w:pPr>
              <w:rPr>
                <w:rFonts w:hint="eastAsia"/>
              </w:rPr>
            </w:pPr>
            <w:r>
              <w:rPr>
                <w:rFonts w:hint="eastAsia"/>
              </w:rPr>
              <w:t>计息标准：</w:t>
            </w:r>
            <w:r>
              <w:rPr>
                <w:rFonts w:hint="eastAsia"/>
                <w:u w:val="single"/>
              </w:rPr>
              <w:t>人民银行同期活期存款利率</w:t>
            </w:r>
          </w:p>
          <w:p w14:paraId="2ACF5B06">
            <w:pPr>
              <w:rPr>
                <w:rFonts w:hint="eastAsia"/>
              </w:rPr>
            </w:pPr>
            <w:r>
              <w:rPr>
                <w:rFonts w:hint="eastAsia"/>
              </w:rPr>
              <w:t>计息时间：</w:t>
            </w:r>
            <w:r>
              <w:rPr>
                <w:rFonts w:hint="eastAsia"/>
                <w:u w:val="single"/>
              </w:rPr>
              <w:t>投标保证金到账之日至退还的前一日</w:t>
            </w:r>
          </w:p>
          <w:p w14:paraId="3BEE250A">
            <w:pPr>
              <w:ind w:left="1050" w:hanging="1050" w:hangingChars="500"/>
              <w:rPr>
                <w:rFonts w:hint="eastAsia" w:ascii="宋体" w:hAnsi="宋体" w:cs="宋体"/>
                <w:kern w:val="0"/>
                <w:szCs w:val="21"/>
              </w:rPr>
            </w:pPr>
            <w:r>
              <w:rPr>
                <w:rFonts w:hint="eastAsia"/>
              </w:rPr>
              <w:t>退还办法：</w:t>
            </w:r>
            <w:r>
              <w:rPr>
                <w:rFonts w:hint="eastAsia" w:ascii="宋体" w:hAnsi="宋体" w:cs="宋体"/>
                <w:kern w:val="0"/>
                <w:szCs w:val="21"/>
                <w:u w:val="single"/>
              </w:rPr>
              <w:t>评标结果公示期满后次日，非中标候选人的投标保证金按原路径自动退回；中标通知书发放（打印）次日，第二、三名投标人的投标保证金按原路径自动退回；合同归档次日，中标人的投标保证金按原路径自动退回。</w:t>
            </w:r>
          </w:p>
          <w:p w14:paraId="528C2CD1">
            <w:pPr>
              <w:ind w:left="1054" w:hanging="1054" w:hangingChars="500"/>
              <w:jc w:val="left"/>
              <w:rPr>
                <w:rFonts w:hint="eastAsia"/>
              </w:rPr>
            </w:pPr>
            <w:r>
              <w:rPr>
                <w:b/>
              </w:rPr>
              <w:t>特别说明</w:t>
            </w:r>
            <w:r>
              <w:t>：</w:t>
            </w:r>
            <w:r>
              <w:rPr>
                <w:rFonts w:ascii="宋体" w:hAnsi="宋体" w:cs="宋体"/>
                <w:kern w:val="0"/>
                <w:szCs w:val="21"/>
                <w:u w:val="single"/>
              </w:rPr>
              <w:t>上述</w:t>
            </w:r>
            <w:r>
              <w:rPr>
                <w:rFonts w:hint="eastAsia" w:ascii="宋体" w:hAnsi="宋体" w:cs="宋体"/>
                <w:kern w:val="0"/>
                <w:szCs w:val="21"/>
                <w:u w:val="single"/>
              </w:rPr>
              <w:t>几种情况</w:t>
            </w:r>
            <w:r>
              <w:rPr>
                <w:rFonts w:ascii="宋体" w:hAnsi="宋体" w:cs="宋体"/>
                <w:kern w:val="0"/>
                <w:szCs w:val="21"/>
                <w:u w:val="single"/>
              </w:rPr>
              <w:t>，投标保证金</w:t>
            </w:r>
            <w:r>
              <w:rPr>
                <w:rFonts w:hint="eastAsia" w:ascii="宋体" w:hAnsi="宋体" w:cs="宋体"/>
                <w:kern w:val="0"/>
                <w:szCs w:val="21"/>
                <w:u w:val="single"/>
              </w:rPr>
              <w:t>的</w:t>
            </w:r>
            <w:r>
              <w:rPr>
                <w:rFonts w:ascii="宋体" w:hAnsi="宋体" w:cs="宋体"/>
                <w:kern w:val="0"/>
                <w:szCs w:val="21"/>
                <w:u w:val="single"/>
              </w:rPr>
              <w:t>退还</w:t>
            </w:r>
            <w:r>
              <w:rPr>
                <w:rFonts w:hint="eastAsia" w:ascii="宋体" w:hAnsi="宋体" w:cs="宋体"/>
                <w:kern w:val="0"/>
                <w:szCs w:val="21"/>
                <w:u w:val="single"/>
              </w:rPr>
              <w:t>无需招标人或招标代理机构提交申请，遇特殊情况不能及时退还的，招标人或招标代理机构将</w:t>
            </w:r>
            <w:r>
              <w:rPr>
                <w:rFonts w:ascii="宋体" w:hAnsi="宋体" w:cs="宋体"/>
                <w:kern w:val="0"/>
                <w:szCs w:val="21"/>
                <w:u w:val="single"/>
              </w:rPr>
              <w:t>及时通过“电子交易平台”“</w:t>
            </w:r>
            <w:r>
              <w:rPr>
                <w:rFonts w:hint="eastAsia" w:ascii="宋体" w:hAnsi="宋体" w:cs="宋体"/>
                <w:kern w:val="0"/>
                <w:szCs w:val="21"/>
                <w:u w:val="single"/>
              </w:rPr>
              <w:t>投标保证金管理</w:t>
            </w:r>
            <w:r>
              <w:rPr>
                <w:rFonts w:ascii="宋体" w:hAnsi="宋体" w:cs="宋体"/>
                <w:kern w:val="0"/>
                <w:szCs w:val="21"/>
                <w:u w:val="single"/>
              </w:rPr>
              <w:t>”</w:t>
            </w:r>
            <w:r>
              <w:rPr>
                <w:rFonts w:hint="eastAsia"/>
                <w:u w:val="single"/>
              </w:rPr>
              <w:t>菜单</w:t>
            </w:r>
            <w:r>
              <w:rPr>
                <w:rFonts w:ascii="宋体" w:hAnsi="宋体" w:cs="宋体"/>
                <w:kern w:val="0"/>
                <w:szCs w:val="21"/>
                <w:u w:val="single"/>
              </w:rPr>
              <w:t>提交书面情况说明</w:t>
            </w:r>
            <w:r>
              <w:rPr>
                <w:rFonts w:hint="eastAsia" w:ascii="宋体" w:hAnsi="宋体" w:cs="宋体"/>
                <w:kern w:val="0"/>
                <w:szCs w:val="21"/>
                <w:u w:val="single"/>
              </w:rPr>
              <w:t>（详见投标保证金收退指南）。</w:t>
            </w:r>
          </w:p>
        </w:tc>
      </w:tr>
      <w:tr w14:paraId="3416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51" w:type="dxa"/>
            <w:noWrap w:val="0"/>
            <w:vAlign w:val="center"/>
          </w:tcPr>
          <w:p w14:paraId="4C72BBD4">
            <w:pPr>
              <w:spacing w:line="312" w:lineRule="auto"/>
              <w:jc w:val="center"/>
              <w:rPr>
                <w:rFonts w:hint="eastAsia"/>
              </w:rPr>
            </w:pPr>
            <w:r>
              <w:rPr>
                <w:rFonts w:hint="eastAsia"/>
              </w:rPr>
              <w:t>3.5.1</w:t>
            </w:r>
          </w:p>
        </w:tc>
        <w:tc>
          <w:tcPr>
            <w:tcW w:w="2268" w:type="dxa"/>
            <w:noWrap w:val="0"/>
            <w:vAlign w:val="center"/>
          </w:tcPr>
          <w:p w14:paraId="63826579">
            <w:pPr>
              <w:spacing w:line="312" w:lineRule="auto"/>
              <w:rPr>
                <w:rFonts w:hint="eastAsia"/>
              </w:rPr>
            </w:pPr>
            <w:r>
              <w:rPr>
                <w:rFonts w:hint="eastAsia"/>
              </w:rPr>
              <w:t>类似项目</w:t>
            </w:r>
          </w:p>
        </w:tc>
        <w:tc>
          <w:tcPr>
            <w:tcW w:w="5295" w:type="dxa"/>
            <w:noWrap w:val="0"/>
            <w:vAlign w:val="center"/>
          </w:tcPr>
          <w:p w14:paraId="056DF640">
            <w:pPr>
              <w:spacing w:line="312" w:lineRule="auto"/>
              <w:rPr>
                <w:rFonts w:hint="eastAsia"/>
              </w:rPr>
            </w:pPr>
            <w:r>
              <w:rPr>
                <w:rFonts w:hint="eastAsia"/>
              </w:rPr>
              <w:t xml:space="preserve">类似项目是指：近 5 年（自投标截止之日往前推算的 5 年，以合同签订时间或中标通知书发放时间为准）至少承接过 1 项投资额不低于 </w:t>
            </w:r>
            <w:r>
              <w:rPr>
                <w:rFonts w:hint="eastAsia"/>
                <w:lang w:val="en-US" w:eastAsia="zh-CN"/>
              </w:rPr>
              <w:t>3</w:t>
            </w:r>
            <w:r>
              <w:rPr>
                <w:rFonts w:hint="eastAsia"/>
              </w:rPr>
              <w:t>00 万元市政或房屋建筑工程项目施工业绩（提供中标通知书及合同协议书扫描件）</w:t>
            </w:r>
          </w:p>
        </w:tc>
      </w:tr>
      <w:tr w14:paraId="62B9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1" w:type="dxa"/>
            <w:noWrap w:val="0"/>
            <w:vAlign w:val="center"/>
          </w:tcPr>
          <w:p w14:paraId="39B64305">
            <w:pPr>
              <w:jc w:val="center"/>
              <w:rPr>
                <w:rFonts w:hint="eastAsia"/>
              </w:rPr>
            </w:pPr>
            <w:r>
              <w:rPr>
                <w:rFonts w:hint="eastAsia"/>
              </w:rPr>
              <w:t>3.6</w:t>
            </w:r>
          </w:p>
        </w:tc>
        <w:tc>
          <w:tcPr>
            <w:tcW w:w="2268" w:type="dxa"/>
            <w:noWrap w:val="0"/>
            <w:vAlign w:val="center"/>
          </w:tcPr>
          <w:p w14:paraId="52BC7F80">
            <w:pPr>
              <w:rPr>
                <w:rFonts w:hint="eastAsia"/>
              </w:rPr>
            </w:pPr>
            <w:r>
              <w:rPr>
                <w:rFonts w:hint="eastAsia"/>
              </w:rPr>
              <w:t>是否允许递交</w:t>
            </w:r>
          </w:p>
          <w:p w14:paraId="48CC7286">
            <w:pPr>
              <w:rPr>
                <w:rFonts w:hint="eastAsia"/>
              </w:rPr>
            </w:pPr>
            <w:r>
              <w:rPr>
                <w:rFonts w:hint="eastAsia"/>
              </w:rPr>
              <w:t>备选投标方案</w:t>
            </w:r>
          </w:p>
        </w:tc>
        <w:tc>
          <w:tcPr>
            <w:tcW w:w="5295" w:type="dxa"/>
            <w:noWrap w:val="0"/>
            <w:vAlign w:val="center"/>
          </w:tcPr>
          <w:p w14:paraId="4E884EA6">
            <w:pPr>
              <w:spacing w:line="288" w:lineRule="auto"/>
              <w:rPr>
                <w:rFonts w:hint="eastAsia"/>
              </w:rPr>
            </w:pPr>
            <w:r>
              <w:rPr>
                <w:rFonts w:hint="eastAsia"/>
              </w:rPr>
              <w:t>不允许</w:t>
            </w:r>
          </w:p>
        </w:tc>
      </w:tr>
      <w:tr w14:paraId="1F8DF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noWrap w:val="0"/>
            <w:vAlign w:val="center"/>
          </w:tcPr>
          <w:p w14:paraId="1F22EE97">
            <w:pPr>
              <w:jc w:val="center"/>
              <w:rPr>
                <w:rFonts w:hint="eastAsia"/>
              </w:rPr>
            </w:pPr>
            <w:r>
              <w:rPr>
                <w:rFonts w:hint="eastAsia"/>
              </w:rPr>
              <w:t>3.7.4</w:t>
            </w:r>
          </w:p>
        </w:tc>
        <w:tc>
          <w:tcPr>
            <w:tcW w:w="2268" w:type="dxa"/>
            <w:noWrap w:val="0"/>
            <w:vAlign w:val="center"/>
          </w:tcPr>
          <w:p w14:paraId="317783FA">
            <w:pPr>
              <w:rPr>
                <w:rFonts w:hint="eastAsia"/>
              </w:rPr>
            </w:pPr>
            <w:r>
              <w:rPr>
                <w:rFonts w:hint="eastAsia"/>
                <w:szCs w:val="21"/>
              </w:rPr>
              <w:t>是否采用“技术暗标”</w:t>
            </w:r>
          </w:p>
        </w:tc>
        <w:tc>
          <w:tcPr>
            <w:tcW w:w="5295" w:type="dxa"/>
            <w:noWrap w:val="0"/>
            <w:vAlign w:val="center"/>
          </w:tcPr>
          <w:p w14:paraId="32B1CD9E">
            <w:pPr>
              <w:rPr>
                <w:rFonts w:hint="eastAsia" w:ascii="宋体" w:hAnsi="宋体"/>
                <w:szCs w:val="21"/>
              </w:rPr>
            </w:pPr>
            <w:r>
              <w:rPr>
                <w:rFonts w:hint="eastAsia"/>
                <w:szCs w:val="21"/>
              </w:rPr>
              <w:t>采用</w:t>
            </w:r>
          </w:p>
        </w:tc>
      </w:tr>
      <w:tr w14:paraId="3968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851" w:type="dxa"/>
            <w:noWrap w:val="0"/>
            <w:vAlign w:val="center"/>
          </w:tcPr>
          <w:p w14:paraId="5CFB50DA">
            <w:pPr>
              <w:jc w:val="center"/>
              <w:rPr>
                <w:rFonts w:hint="eastAsia"/>
              </w:rPr>
            </w:pPr>
            <w:r>
              <w:rPr>
                <w:rFonts w:hint="eastAsia"/>
              </w:rPr>
              <w:t>4.2.1</w:t>
            </w:r>
          </w:p>
        </w:tc>
        <w:tc>
          <w:tcPr>
            <w:tcW w:w="2268" w:type="dxa"/>
            <w:noWrap w:val="0"/>
            <w:vAlign w:val="center"/>
          </w:tcPr>
          <w:p w14:paraId="72C201E6">
            <w:pPr>
              <w:rPr>
                <w:rFonts w:hint="eastAsia"/>
              </w:rPr>
            </w:pPr>
            <w:r>
              <w:rPr>
                <w:rFonts w:hint="eastAsia"/>
              </w:rPr>
              <w:t>投标截止时间</w:t>
            </w:r>
          </w:p>
        </w:tc>
        <w:tc>
          <w:tcPr>
            <w:tcW w:w="5295" w:type="dxa"/>
            <w:noWrap w:val="0"/>
            <w:vAlign w:val="center"/>
          </w:tcPr>
          <w:p w14:paraId="51A8060D">
            <w:pPr>
              <w:spacing w:line="288" w:lineRule="auto"/>
              <w:rPr>
                <w:rFonts w:hint="eastAsia"/>
              </w:rPr>
            </w:pPr>
            <w:r>
              <w:rPr>
                <w:rFonts w:hint="eastAsia"/>
                <w:u w:val="single"/>
              </w:rPr>
              <w:t xml:space="preserve"> </w:t>
            </w:r>
            <w:r>
              <w:rPr>
                <w:rFonts w:hint="eastAsia"/>
                <w:u w:val="single"/>
                <w:lang w:val="en-US" w:eastAsia="zh-CN"/>
              </w:rPr>
              <w:t>2026</w:t>
            </w:r>
            <w:r>
              <w:rPr>
                <w:rFonts w:hint="eastAsia"/>
                <w:u w:val="single"/>
              </w:rPr>
              <w:t xml:space="preserve"> </w:t>
            </w:r>
            <w:r>
              <w:rPr>
                <w:rFonts w:hint="eastAsia"/>
              </w:rPr>
              <w:t>年</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w:t>
            </w:r>
            <w:r>
              <w:rPr>
                <w:rFonts w:hint="eastAsia"/>
                <w:u w:val="single"/>
              </w:rPr>
              <w:t xml:space="preserve"> </w:t>
            </w:r>
            <w:r>
              <w:rPr>
                <w:rFonts w:hint="eastAsia"/>
                <w:u w:val="single"/>
                <w:lang w:val="en-US" w:eastAsia="zh-CN"/>
              </w:rPr>
              <w:t>09</w:t>
            </w:r>
            <w:r>
              <w:rPr>
                <w:rFonts w:hint="eastAsia"/>
                <w:u w:val="single"/>
              </w:rPr>
              <w:t xml:space="preserve"> </w:t>
            </w:r>
            <w:r>
              <w:rPr>
                <w:rFonts w:hint="eastAsia"/>
              </w:rPr>
              <w:t>时</w:t>
            </w:r>
            <w:r>
              <w:rPr>
                <w:rFonts w:hint="eastAsia"/>
                <w:u w:val="single"/>
              </w:rPr>
              <w:t xml:space="preserve"> </w:t>
            </w:r>
            <w:r>
              <w:rPr>
                <w:rFonts w:hint="eastAsia"/>
                <w:u w:val="single"/>
                <w:lang w:val="en-US" w:eastAsia="zh-CN"/>
              </w:rPr>
              <w:t>00</w:t>
            </w:r>
            <w:r>
              <w:rPr>
                <w:rFonts w:hint="eastAsia"/>
                <w:u w:val="single"/>
              </w:rPr>
              <w:t xml:space="preserve"> </w:t>
            </w:r>
            <w:r>
              <w:rPr>
                <w:rFonts w:hint="eastAsia"/>
              </w:rPr>
              <w:t>分</w:t>
            </w:r>
          </w:p>
        </w:tc>
      </w:tr>
      <w:tr w14:paraId="0821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851" w:type="dxa"/>
            <w:noWrap w:val="0"/>
            <w:vAlign w:val="center"/>
          </w:tcPr>
          <w:p w14:paraId="07836291">
            <w:pPr>
              <w:jc w:val="center"/>
              <w:rPr>
                <w:rFonts w:hint="eastAsia"/>
              </w:rPr>
            </w:pPr>
            <w:r>
              <w:rPr>
                <w:rFonts w:hint="eastAsia"/>
              </w:rPr>
              <w:t>4.2.3</w:t>
            </w:r>
          </w:p>
        </w:tc>
        <w:tc>
          <w:tcPr>
            <w:tcW w:w="2268" w:type="dxa"/>
            <w:noWrap w:val="0"/>
            <w:vAlign w:val="center"/>
          </w:tcPr>
          <w:p w14:paraId="03E9A386">
            <w:pPr>
              <w:rPr>
                <w:rFonts w:hint="eastAsia"/>
              </w:rPr>
            </w:pPr>
            <w:r>
              <w:rPr>
                <w:rFonts w:hint="eastAsia"/>
              </w:rPr>
              <w:t>是否退还投标文件</w:t>
            </w:r>
          </w:p>
        </w:tc>
        <w:tc>
          <w:tcPr>
            <w:tcW w:w="5295" w:type="dxa"/>
            <w:noWrap w:val="0"/>
            <w:vAlign w:val="center"/>
          </w:tcPr>
          <w:p w14:paraId="03DCEC17">
            <w:pPr>
              <w:spacing w:line="288" w:lineRule="auto"/>
              <w:rPr>
                <w:rFonts w:hint="eastAsia"/>
              </w:rPr>
            </w:pPr>
            <w:r>
              <w:rPr>
                <w:rFonts w:hint="eastAsia"/>
                <w:lang w:eastAsia="zh-CN"/>
              </w:rPr>
              <w:t>☑</w:t>
            </w:r>
            <w:r>
              <w:rPr>
                <w:rFonts w:hint="eastAsia"/>
              </w:rPr>
              <w:t>否</w:t>
            </w:r>
          </w:p>
          <w:p w14:paraId="43624D15">
            <w:pPr>
              <w:spacing w:line="288" w:lineRule="auto"/>
              <w:rPr>
                <w:rFonts w:hint="eastAsia"/>
                <w:u w:val="single"/>
              </w:rPr>
            </w:pPr>
            <w:r>
              <w:rPr>
                <w:rFonts w:hint="eastAsia"/>
              </w:rPr>
              <w:t>□是，退还安排：</w:t>
            </w:r>
          </w:p>
        </w:tc>
      </w:tr>
      <w:tr w14:paraId="4584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51" w:type="dxa"/>
            <w:noWrap w:val="0"/>
            <w:vAlign w:val="center"/>
          </w:tcPr>
          <w:p w14:paraId="323A234E">
            <w:pPr>
              <w:jc w:val="center"/>
              <w:rPr>
                <w:rFonts w:hint="eastAsia"/>
              </w:rPr>
            </w:pPr>
            <w:r>
              <w:t>5.1.</w:t>
            </w:r>
            <w:r>
              <w:rPr>
                <w:rFonts w:hint="eastAsia"/>
              </w:rPr>
              <w:t>2</w:t>
            </w:r>
          </w:p>
        </w:tc>
        <w:tc>
          <w:tcPr>
            <w:tcW w:w="2268" w:type="dxa"/>
            <w:noWrap w:val="0"/>
            <w:vAlign w:val="center"/>
          </w:tcPr>
          <w:p w14:paraId="23BC94B9">
            <w:pPr>
              <w:rPr>
                <w:rFonts w:hint="eastAsia"/>
                <w:bdr w:val="single" w:color="auto" w:sz="4" w:space="0"/>
              </w:rPr>
            </w:pPr>
            <w:r>
              <w:rPr>
                <w:rFonts w:hint="eastAsia"/>
              </w:rPr>
              <w:t>组织开标地点</w:t>
            </w:r>
          </w:p>
        </w:tc>
        <w:tc>
          <w:tcPr>
            <w:tcW w:w="5295" w:type="dxa"/>
            <w:noWrap w:val="0"/>
            <w:vAlign w:val="center"/>
          </w:tcPr>
          <w:p w14:paraId="776D6A3A">
            <w:pPr>
              <w:spacing w:line="288" w:lineRule="auto"/>
              <w:rPr>
                <w:rFonts w:hint="eastAsia"/>
                <w:bdr w:val="single" w:color="auto" w:sz="4" w:space="0"/>
              </w:rPr>
            </w:pPr>
            <w:r>
              <w:rPr>
                <w:rFonts w:hint="eastAsia"/>
                <w:szCs w:val="21"/>
                <w:u w:val="single"/>
              </w:rPr>
              <w:t>丹江口市公共资源交易中心开标厅</w:t>
            </w:r>
          </w:p>
        </w:tc>
      </w:tr>
      <w:tr w14:paraId="6F76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51" w:type="dxa"/>
            <w:noWrap w:val="0"/>
            <w:vAlign w:val="center"/>
          </w:tcPr>
          <w:p w14:paraId="1979C93A">
            <w:pPr>
              <w:jc w:val="center"/>
              <w:rPr>
                <w:rFonts w:ascii="宋体" w:hAnsi="宋体"/>
                <w:szCs w:val="21"/>
              </w:rPr>
            </w:pPr>
            <w:r>
              <w:rPr>
                <w:rFonts w:hint="eastAsia"/>
              </w:rPr>
              <w:t>5.2.1（5）</w:t>
            </w:r>
          </w:p>
        </w:tc>
        <w:tc>
          <w:tcPr>
            <w:tcW w:w="2268" w:type="dxa"/>
            <w:noWrap w:val="0"/>
            <w:vAlign w:val="center"/>
          </w:tcPr>
          <w:p w14:paraId="50465AA8">
            <w:pPr>
              <w:rPr>
                <w:rFonts w:hint="eastAsia" w:ascii="宋体" w:hAnsi="宋体"/>
                <w:szCs w:val="21"/>
              </w:rPr>
            </w:pPr>
            <w:r>
              <w:rPr>
                <w:rFonts w:hint="eastAsia" w:ascii="宋体" w:hAnsi="宋体"/>
                <w:szCs w:val="21"/>
              </w:rPr>
              <w:t>解密时间</w:t>
            </w:r>
          </w:p>
        </w:tc>
        <w:tc>
          <w:tcPr>
            <w:tcW w:w="5295" w:type="dxa"/>
            <w:noWrap w:val="0"/>
            <w:vAlign w:val="center"/>
          </w:tcPr>
          <w:p w14:paraId="503AAEEC">
            <w:pPr>
              <w:rPr>
                <w:rFonts w:hint="eastAsia" w:ascii="宋体" w:hAnsi="宋体"/>
                <w:szCs w:val="21"/>
              </w:rPr>
            </w:pPr>
            <w:r>
              <w:rPr>
                <w:rFonts w:hint="eastAsia" w:ascii="宋体" w:hAnsi="宋体"/>
                <w:szCs w:val="21"/>
              </w:rPr>
              <w:t>招标人发出解密提示后</w:t>
            </w:r>
            <w:r>
              <w:rPr>
                <w:rFonts w:hint="eastAsia" w:ascii="宋体" w:hAnsi="宋体"/>
                <w:szCs w:val="21"/>
                <w:u w:val="single"/>
              </w:rPr>
              <w:t xml:space="preserve">  30  </w:t>
            </w:r>
            <w:r>
              <w:rPr>
                <w:rFonts w:hint="eastAsia" w:ascii="宋体" w:hAnsi="宋体"/>
                <w:szCs w:val="21"/>
              </w:rPr>
              <w:t>分钟内</w:t>
            </w:r>
          </w:p>
          <w:p w14:paraId="5C6DF01B">
            <w:pPr>
              <w:rPr>
                <w:rFonts w:hint="eastAsia" w:ascii="宋体" w:hAnsi="宋体"/>
                <w:szCs w:val="21"/>
              </w:rPr>
            </w:pPr>
            <w:r>
              <w:rPr>
                <w:rFonts w:hint="eastAsia" w:ascii="宋体" w:hAnsi="宋体"/>
                <w:szCs w:val="21"/>
              </w:rPr>
              <w:t>（招标人应充分考虑标段数和投标人数量，合理设置解密时间，该时间不应少于20分钟）</w:t>
            </w:r>
          </w:p>
        </w:tc>
      </w:tr>
      <w:tr w14:paraId="3AE2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51" w:type="dxa"/>
            <w:noWrap w:val="0"/>
            <w:vAlign w:val="center"/>
          </w:tcPr>
          <w:p w14:paraId="0CD38B72">
            <w:pPr>
              <w:jc w:val="center"/>
              <w:rPr>
                <w:rFonts w:hint="eastAsia"/>
              </w:rPr>
            </w:pPr>
            <w:r>
              <w:rPr>
                <w:rFonts w:hint="eastAsia"/>
              </w:rPr>
              <w:t>6.1.1</w:t>
            </w:r>
          </w:p>
        </w:tc>
        <w:tc>
          <w:tcPr>
            <w:tcW w:w="2268" w:type="dxa"/>
            <w:noWrap w:val="0"/>
            <w:vAlign w:val="center"/>
          </w:tcPr>
          <w:p w14:paraId="03D21C4A">
            <w:pPr>
              <w:rPr>
                <w:rFonts w:hint="eastAsia"/>
              </w:rPr>
            </w:pPr>
            <w:r>
              <w:rPr>
                <w:rFonts w:hint="eastAsia"/>
              </w:rPr>
              <w:t>评标委员会的组建</w:t>
            </w:r>
          </w:p>
        </w:tc>
        <w:tc>
          <w:tcPr>
            <w:tcW w:w="5295" w:type="dxa"/>
            <w:noWrap w:val="0"/>
            <w:vAlign w:val="center"/>
          </w:tcPr>
          <w:p w14:paraId="05A46B74">
            <w:pPr>
              <w:rPr>
                <w:rFonts w:hint="eastAsia"/>
              </w:rPr>
            </w:pPr>
            <w:r>
              <w:rPr>
                <w:rFonts w:hint="eastAsia"/>
              </w:rPr>
              <w:t>评标委员会构成：</w:t>
            </w:r>
            <w:r>
              <w:rPr>
                <w:rFonts w:hint="eastAsia"/>
                <w:u w:val="single"/>
              </w:rPr>
              <w:t xml:space="preserve"> </w:t>
            </w:r>
            <w:r>
              <w:rPr>
                <w:rFonts w:hint="eastAsia"/>
                <w:u w:val="single"/>
                <w:lang w:val="en-US" w:eastAsia="zh-CN"/>
              </w:rPr>
              <w:t>5</w:t>
            </w:r>
            <w:r>
              <w:rPr>
                <w:rFonts w:hint="eastAsia"/>
                <w:u w:val="single"/>
              </w:rPr>
              <w:t>人，其中招标人代表</w:t>
            </w:r>
            <w:r>
              <w:rPr>
                <w:rFonts w:hint="eastAsia"/>
                <w:u w:val="single"/>
                <w:lang w:val="en-US" w:eastAsia="zh-CN"/>
              </w:rPr>
              <w:t>1</w:t>
            </w:r>
            <w:r>
              <w:rPr>
                <w:rFonts w:hint="eastAsia"/>
                <w:u w:val="single"/>
              </w:rPr>
              <w:t>人，专家</w:t>
            </w:r>
            <w:r>
              <w:rPr>
                <w:rFonts w:hint="eastAsia"/>
                <w:u w:val="single"/>
                <w:lang w:val="en-US" w:eastAsia="zh-CN"/>
              </w:rPr>
              <w:t>4</w:t>
            </w:r>
            <w:r>
              <w:rPr>
                <w:rFonts w:hint="eastAsia"/>
                <w:u w:val="single"/>
              </w:rPr>
              <w:t>人；</w:t>
            </w:r>
          </w:p>
          <w:p w14:paraId="7A670F1E">
            <w:pPr>
              <w:rPr>
                <w:rFonts w:hint="eastAsia"/>
              </w:rPr>
            </w:pPr>
            <w:r>
              <w:rPr>
                <w:rFonts w:hint="eastAsia"/>
              </w:rPr>
              <w:t>评标专家确定方式：</w:t>
            </w:r>
            <w:r>
              <w:rPr>
                <w:rFonts w:hint="eastAsia"/>
                <w:u w:val="single"/>
              </w:rPr>
              <w:t>从湖北省综合评标专家总库相应专业中随机抽取产生。</w:t>
            </w:r>
          </w:p>
        </w:tc>
      </w:tr>
      <w:tr w14:paraId="5888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atLeast"/>
        </w:trPr>
        <w:tc>
          <w:tcPr>
            <w:tcW w:w="851" w:type="dxa"/>
            <w:noWrap w:val="0"/>
            <w:vAlign w:val="center"/>
          </w:tcPr>
          <w:p w14:paraId="4B05BA5F">
            <w:pPr>
              <w:spacing w:line="440" w:lineRule="exact"/>
              <w:jc w:val="center"/>
              <w:rPr>
                <w:rFonts w:hint="eastAsia"/>
                <w:szCs w:val="21"/>
              </w:rPr>
            </w:pPr>
            <w:r>
              <w:rPr>
                <w:rFonts w:hint="eastAsia"/>
              </w:rPr>
              <w:t>6</w:t>
            </w:r>
            <w:r>
              <w:t>.</w:t>
            </w:r>
            <w:r>
              <w:rPr>
                <w:rFonts w:hint="eastAsia"/>
              </w:rPr>
              <w:t>4</w:t>
            </w:r>
          </w:p>
        </w:tc>
        <w:tc>
          <w:tcPr>
            <w:tcW w:w="2268" w:type="dxa"/>
            <w:noWrap w:val="0"/>
            <w:vAlign w:val="center"/>
          </w:tcPr>
          <w:p w14:paraId="6D276ECB">
            <w:pPr>
              <w:spacing w:line="440" w:lineRule="exact"/>
            </w:pPr>
            <w:r>
              <w:rPr>
                <w:rFonts w:hint="eastAsia"/>
              </w:rPr>
              <w:t>评标结果公示媒介</w:t>
            </w:r>
          </w:p>
        </w:tc>
        <w:tc>
          <w:tcPr>
            <w:tcW w:w="5295" w:type="dxa"/>
            <w:noWrap w:val="0"/>
            <w:vAlign w:val="center"/>
          </w:tcPr>
          <w:p w14:paraId="15DDA5FD">
            <w:pPr>
              <w:rPr>
                <w:rFonts w:hint="eastAsia"/>
                <w:u w:val="single"/>
              </w:rPr>
            </w:pPr>
            <w:r>
              <w:rPr>
                <w:u w:val="single"/>
              </w:rPr>
              <w:t>湖北省电子</w:t>
            </w:r>
            <w:r>
              <w:rPr>
                <w:rFonts w:hint="eastAsia"/>
                <w:u w:val="single"/>
              </w:rPr>
              <w:t>招投标</w:t>
            </w:r>
            <w:r>
              <w:rPr>
                <w:u w:val="single"/>
              </w:rPr>
              <w:t>交易平台</w:t>
            </w:r>
          </w:p>
          <w:p w14:paraId="0291F106">
            <w:pPr>
              <w:rPr>
                <w:rFonts w:hint="eastAsia"/>
                <w:u w:val="single"/>
              </w:rPr>
            </w:pPr>
            <w:r>
              <w:rPr>
                <w:rFonts w:hint="eastAsia"/>
                <w:u w:val="single"/>
              </w:rPr>
              <w:t>网址：</w:t>
            </w:r>
            <w:r>
              <w:rPr>
                <w:u w:val="single"/>
              </w:rPr>
              <w:fldChar w:fldCharType="begin"/>
            </w:r>
            <w:r>
              <w:rPr>
                <w:u w:val="single"/>
              </w:rPr>
              <w:instrText xml:space="preserve"> HYPERLINK "http://www.hbbidcloud.c" </w:instrText>
            </w:r>
            <w:r>
              <w:rPr>
                <w:u w:val="single"/>
              </w:rPr>
              <w:fldChar w:fldCharType="separate"/>
            </w:r>
            <w:r>
              <w:rPr>
                <w:u w:val="single"/>
              </w:rPr>
              <w:t>www.hbbidcloud.c</w:t>
            </w:r>
            <w:r>
              <w:rPr>
                <w:u w:val="single"/>
              </w:rPr>
              <w:fldChar w:fldCharType="end"/>
            </w:r>
            <w:r>
              <w:rPr>
                <w:rFonts w:hint="eastAsia"/>
                <w:u w:val="single"/>
              </w:rPr>
              <w:t>n</w:t>
            </w:r>
          </w:p>
          <w:p w14:paraId="701A71D5">
            <w:pPr>
              <w:rPr>
                <w:rFonts w:hint="eastAsia"/>
                <w:u w:val="single"/>
              </w:rPr>
            </w:pPr>
            <w:r>
              <w:rPr>
                <w:rFonts w:hint="eastAsia"/>
                <w:u w:val="single"/>
              </w:rPr>
              <w:t>湖北省公共资源交易电子服务系统</w:t>
            </w:r>
          </w:p>
          <w:p w14:paraId="5DCB9C10">
            <w:pPr>
              <w:rPr>
                <w:rFonts w:hint="eastAsia"/>
                <w:u w:val="single"/>
              </w:rPr>
            </w:pPr>
            <w:r>
              <w:rPr>
                <w:rFonts w:hint="eastAsia"/>
                <w:u w:val="single"/>
              </w:rPr>
              <w:t>网址：</w:t>
            </w:r>
            <w:r>
              <w:rPr>
                <w:u w:val="single"/>
              </w:rPr>
              <w:fldChar w:fldCharType="begin"/>
            </w:r>
            <w:r>
              <w:rPr>
                <w:u w:val="single"/>
              </w:rPr>
              <w:instrText xml:space="preserve"> HYPERLINK "http://www.hbggzyfwpt.cn" </w:instrText>
            </w:r>
            <w:r>
              <w:rPr>
                <w:u w:val="single"/>
              </w:rPr>
              <w:fldChar w:fldCharType="separate"/>
            </w:r>
            <w:r>
              <w:rPr>
                <w:u w:val="single"/>
              </w:rPr>
              <w:t>www.hbggzyfwpt.cn</w:t>
            </w:r>
            <w:r>
              <w:rPr>
                <w:u w:val="single"/>
              </w:rPr>
              <w:fldChar w:fldCharType="end"/>
            </w:r>
          </w:p>
          <w:p w14:paraId="22122B7B">
            <w:pPr>
              <w:rPr>
                <w:rFonts w:hint="eastAsia"/>
                <w:u w:val="single"/>
              </w:rPr>
            </w:pPr>
            <w:r>
              <w:rPr>
                <w:rFonts w:hint="eastAsia"/>
                <w:u w:val="single"/>
              </w:rPr>
              <w:t xml:space="preserve">                       </w:t>
            </w:r>
          </w:p>
        </w:tc>
      </w:tr>
      <w:tr w14:paraId="2969B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851" w:type="dxa"/>
            <w:noWrap w:val="0"/>
            <w:vAlign w:val="center"/>
          </w:tcPr>
          <w:p w14:paraId="2A0A23EA">
            <w:pPr>
              <w:jc w:val="center"/>
              <w:rPr>
                <w:rFonts w:hint="eastAsia"/>
              </w:rPr>
            </w:pPr>
            <w:r>
              <w:rPr>
                <w:rFonts w:hint="eastAsia"/>
              </w:rPr>
              <w:t>7.1</w:t>
            </w:r>
          </w:p>
        </w:tc>
        <w:tc>
          <w:tcPr>
            <w:tcW w:w="2268" w:type="dxa"/>
            <w:noWrap w:val="0"/>
            <w:vAlign w:val="center"/>
          </w:tcPr>
          <w:p w14:paraId="3CECE4B0">
            <w:pPr>
              <w:rPr>
                <w:rFonts w:hint="eastAsia"/>
              </w:rPr>
            </w:pPr>
            <w:r>
              <w:rPr>
                <w:rFonts w:hint="eastAsia"/>
              </w:rPr>
              <w:t>是否授权评标委员会确定中标人</w:t>
            </w:r>
          </w:p>
        </w:tc>
        <w:tc>
          <w:tcPr>
            <w:tcW w:w="5295" w:type="dxa"/>
            <w:noWrap w:val="0"/>
            <w:vAlign w:val="center"/>
          </w:tcPr>
          <w:p w14:paraId="74F6E3C1">
            <w:pPr>
              <w:spacing w:line="288" w:lineRule="auto"/>
              <w:rPr>
                <w:rFonts w:hint="eastAsia"/>
              </w:rPr>
            </w:pPr>
            <w:r>
              <w:rPr>
                <w:rFonts w:hint="eastAsia"/>
              </w:rPr>
              <w:t>□是</w:t>
            </w:r>
          </w:p>
          <w:p w14:paraId="7712CF51">
            <w:pPr>
              <w:keepNext w:val="0"/>
              <w:keepLines w:val="0"/>
              <w:widowControl/>
              <w:suppressLineNumbers w:val="0"/>
              <w:jc w:val="left"/>
              <w:rPr>
                <w:rFonts w:hint="eastAsia"/>
                <w:u w:val="single"/>
              </w:rPr>
            </w:pPr>
            <w:r>
              <w:rPr>
                <w:rFonts w:hint="eastAsia"/>
                <w:lang w:eastAsia="zh-CN"/>
              </w:rPr>
              <w:t>☑</w:t>
            </w:r>
            <w:r>
              <w:rPr>
                <w:rFonts w:hint="eastAsia"/>
              </w:rPr>
              <w:t>否，推荐的中标候</w:t>
            </w:r>
            <w:r>
              <w:rPr>
                <w:rFonts w:hint="eastAsia" w:ascii="Times New Roman" w:hAnsi="Times New Roman" w:eastAsia="宋体" w:cs="Times New Roman"/>
              </w:rPr>
              <w:t>选人数：</w:t>
            </w:r>
            <w:r>
              <w:rPr>
                <w:rFonts w:hint="eastAsia" w:ascii="Times New Roman" w:hAnsi="Times New Roman" w:eastAsia="宋体" w:cs="Times New Roman"/>
                <w:u w:val="single"/>
                <w:lang w:val="en-US" w:eastAsia="zh-CN"/>
              </w:rPr>
              <w:t>具体详见评定分离方案。</w:t>
            </w:r>
          </w:p>
        </w:tc>
      </w:tr>
      <w:tr w14:paraId="47C0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51" w:type="dxa"/>
            <w:noWrap w:val="0"/>
            <w:vAlign w:val="center"/>
          </w:tcPr>
          <w:p w14:paraId="33BBEC49">
            <w:pPr>
              <w:jc w:val="center"/>
              <w:rPr>
                <w:rFonts w:hint="eastAsia"/>
              </w:rPr>
            </w:pPr>
            <w:r>
              <w:rPr>
                <w:rFonts w:hint="eastAsia"/>
              </w:rPr>
              <w:t>7.3.1</w:t>
            </w:r>
          </w:p>
        </w:tc>
        <w:tc>
          <w:tcPr>
            <w:tcW w:w="2268" w:type="dxa"/>
            <w:noWrap w:val="0"/>
            <w:vAlign w:val="center"/>
          </w:tcPr>
          <w:p w14:paraId="089F0D43">
            <w:pPr>
              <w:rPr>
                <w:rFonts w:hint="eastAsia"/>
              </w:rPr>
            </w:pPr>
            <w:r>
              <w:rPr>
                <w:rFonts w:hint="eastAsia"/>
              </w:rPr>
              <w:t>履约</w:t>
            </w:r>
            <w:r>
              <w:rPr>
                <w:szCs w:val="21"/>
              </w:rPr>
              <w:t>保证金</w:t>
            </w:r>
          </w:p>
        </w:tc>
        <w:tc>
          <w:tcPr>
            <w:tcW w:w="5295" w:type="dxa"/>
            <w:noWrap w:val="0"/>
            <w:vAlign w:val="center"/>
          </w:tcPr>
          <w:p w14:paraId="2EB9B9EE">
            <w:pPr>
              <w:spacing w:line="440" w:lineRule="exact"/>
              <w:rPr>
                <w:rFonts w:hint="eastAsia"/>
              </w:rPr>
            </w:pPr>
            <w:r>
              <w:rPr>
                <w:rFonts w:hint="eastAsia"/>
                <w:lang w:eastAsia="zh-CN"/>
              </w:rPr>
              <w:t>☑</w:t>
            </w:r>
            <w:r>
              <w:rPr>
                <w:rFonts w:hint="eastAsia"/>
              </w:rPr>
              <w:t>不提交</w:t>
            </w:r>
          </w:p>
          <w:p w14:paraId="6CECEB28">
            <w:pPr>
              <w:spacing w:line="288" w:lineRule="auto"/>
              <w:rPr>
                <w:rFonts w:hint="eastAsia"/>
              </w:rPr>
            </w:pPr>
            <w:r>
              <w:rPr>
                <w:rFonts w:hint="eastAsia"/>
              </w:rPr>
              <w:t>□提交，履约</w:t>
            </w:r>
            <w:r>
              <w:rPr>
                <w:szCs w:val="21"/>
              </w:rPr>
              <w:t>保证金</w:t>
            </w:r>
            <w:r>
              <w:rPr>
                <w:rFonts w:hint="eastAsia"/>
              </w:rPr>
              <w:t>的形式：</w:t>
            </w:r>
          </w:p>
          <w:p w14:paraId="6087C455">
            <w:pPr>
              <w:spacing w:line="288" w:lineRule="auto"/>
              <w:ind w:firstLine="840" w:firstLineChars="400"/>
              <w:rPr>
                <w:rFonts w:hint="eastAsia"/>
              </w:rPr>
            </w:pPr>
            <w:r>
              <w:rPr>
                <w:rFonts w:hint="eastAsia"/>
              </w:rPr>
              <w:t xml:space="preserve">□银行保函 </w:t>
            </w:r>
            <w:r>
              <w:rPr>
                <w:rFonts w:hint="eastAsia"/>
                <w:u w:val="single"/>
              </w:rPr>
              <w:t xml:space="preserve">                        </w:t>
            </w:r>
          </w:p>
          <w:p w14:paraId="38C475F8">
            <w:pPr>
              <w:spacing w:line="288" w:lineRule="auto"/>
              <w:ind w:firstLine="840" w:firstLineChars="400"/>
              <w:rPr>
                <w:rFonts w:hint="eastAsia"/>
              </w:rPr>
            </w:pPr>
            <w:r>
              <w:rPr>
                <w:rFonts w:hint="eastAsia"/>
              </w:rPr>
              <w:t xml:space="preserve">□保证保险 </w:t>
            </w:r>
            <w:r>
              <w:rPr>
                <w:rFonts w:hint="eastAsia"/>
                <w:u w:val="single"/>
              </w:rPr>
              <w:t xml:space="preserve">                        </w:t>
            </w:r>
          </w:p>
          <w:p w14:paraId="052C46D1">
            <w:pPr>
              <w:spacing w:line="288" w:lineRule="auto"/>
              <w:ind w:firstLine="840" w:firstLineChars="400"/>
              <w:rPr>
                <w:rFonts w:hint="eastAsia"/>
              </w:rPr>
            </w:pPr>
            <w:r>
              <w:rPr>
                <w:rFonts w:hint="eastAsia"/>
              </w:rPr>
              <w:t xml:space="preserve">□其他形式 </w:t>
            </w:r>
            <w:r>
              <w:rPr>
                <w:rFonts w:hint="eastAsia"/>
                <w:u w:val="single"/>
              </w:rPr>
              <w:t xml:space="preserve">                        </w:t>
            </w:r>
          </w:p>
          <w:p w14:paraId="66272199">
            <w:pPr>
              <w:spacing w:line="288" w:lineRule="auto"/>
              <w:ind w:firstLine="840" w:firstLineChars="400"/>
              <w:rPr>
                <w:rFonts w:hint="eastAsia"/>
                <w:szCs w:val="21"/>
              </w:rPr>
            </w:pPr>
            <w:r>
              <w:rPr>
                <w:rFonts w:hint="eastAsia"/>
              </w:rPr>
              <w:t>履约</w:t>
            </w:r>
            <w:r>
              <w:rPr>
                <w:szCs w:val="21"/>
              </w:rPr>
              <w:t>保证金</w:t>
            </w:r>
            <w:r>
              <w:rPr>
                <w:rFonts w:hint="eastAsia"/>
              </w:rPr>
              <w:t>的金额：</w:t>
            </w:r>
            <w:r>
              <w:rPr>
                <w:rFonts w:hint="eastAsia"/>
                <w:szCs w:val="21"/>
              </w:rPr>
              <w:t>合同总价的</w:t>
            </w:r>
            <w:r>
              <w:rPr>
                <w:rFonts w:hint="eastAsia"/>
                <w:szCs w:val="21"/>
                <w:u w:val="single"/>
              </w:rPr>
              <w:t xml:space="preserve">       </w:t>
            </w:r>
            <w:r>
              <w:rPr>
                <w:rFonts w:hint="eastAsia"/>
                <w:szCs w:val="21"/>
              </w:rPr>
              <w:t xml:space="preserve"> %</w:t>
            </w:r>
          </w:p>
        </w:tc>
      </w:tr>
      <w:tr w14:paraId="217B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51" w:type="dxa"/>
            <w:vMerge w:val="restart"/>
            <w:noWrap w:val="0"/>
            <w:vAlign w:val="center"/>
          </w:tcPr>
          <w:p w14:paraId="28B62746">
            <w:pPr>
              <w:spacing w:line="440" w:lineRule="exact"/>
              <w:jc w:val="center"/>
              <w:rPr>
                <w:rFonts w:hint="eastAsia"/>
              </w:rPr>
            </w:pPr>
            <w:r>
              <w:rPr>
                <w:rFonts w:hint="eastAsia"/>
              </w:rPr>
              <w:t>9</w:t>
            </w:r>
            <w:r>
              <w:t>.</w:t>
            </w:r>
            <w:r>
              <w:rPr>
                <w:rFonts w:hint="eastAsia"/>
              </w:rPr>
              <w:t>5</w:t>
            </w:r>
          </w:p>
        </w:tc>
        <w:tc>
          <w:tcPr>
            <w:tcW w:w="2268" w:type="dxa"/>
            <w:noWrap w:val="0"/>
            <w:vAlign w:val="center"/>
          </w:tcPr>
          <w:p w14:paraId="3933B708">
            <w:pPr>
              <w:rPr>
                <w:rFonts w:hint="eastAsia"/>
              </w:rPr>
            </w:pPr>
            <w:r>
              <w:rPr>
                <w:rFonts w:hint="eastAsia"/>
              </w:rPr>
              <w:t>工程造价管理机构</w:t>
            </w:r>
          </w:p>
        </w:tc>
        <w:tc>
          <w:tcPr>
            <w:tcW w:w="5295" w:type="dxa"/>
            <w:noWrap w:val="0"/>
            <w:vAlign w:val="center"/>
          </w:tcPr>
          <w:p w14:paraId="6B50E5C7">
            <w:pPr>
              <w:spacing w:line="400" w:lineRule="atLeast"/>
              <w:rPr>
                <w:szCs w:val="21"/>
                <w:u w:val="single"/>
              </w:rPr>
            </w:pPr>
            <w:r>
              <w:rPr>
                <w:rFonts w:hint="eastAsia"/>
                <w:szCs w:val="21"/>
              </w:rPr>
              <w:t>名</w:t>
            </w:r>
            <w:r>
              <w:rPr>
                <w:szCs w:val="21"/>
              </w:rPr>
              <w:t xml:space="preserve">    </w:t>
            </w:r>
            <w:r>
              <w:rPr>
                <w:rFonts w:hint="eastAsia"/>
                <w:szCs w:val="21"/>
              </w:rPr>
              <w:t>称：</w:t>
            </w:r>
            <w:r>
              <w:rPr>
                <w:szCs w:val="21"/>
                <w:u w:val="single"/>
              </w:rPr>
              <w:t xml:space="preserve">      </w:t>
            </w:r>
            <w:r>
              <w:rPr>
                <w:rFonts w:hint="eastAsia"/>
                <w:szCs w:val="21"/>
                <w:u w:val="single"/>
                <w:lang w:val="en-US" w:eastAsia="zh-CN"/>
              </w:rPr>
              <w:t>/</w:t>
            </w:r>
            <w:r>
              <w:rPr>
                <w:szCs w:val="21"/>
                <w:u w:val="single"/>
              </w:rPr>
              <w:t xml:space="preserve">             </w:t>
            </w:r>
          </w:p>
          <w:p w14:paraId="261EEB98">
            <w:pPr>
              <w:spacing w:line="400" w:lineRule="atLeast"/>
              <w:rPr>
                <w:szCs w:val="21"/>
              </w:rPr>
            </w:pPr>
            <w:r>
              <w:rPr>
                <w:rFonts w:hint="eastAsia"/>
                <w:szCs w:val="21"/>
              </w:rPr>
              <w:t>地</w:t>
            </w:r>
            <w:r>
              <w:rPr>
                <w:szCs w:val="21"/>
              </w:rPr>
              <w:t xml:space="preserve">    </w:t>
            </w:r>
            <w:r>
              <w:rPr>
                <w:rFonts w:hint="eastAsia"/>
                <w:szCs w:val="21"/>
              </w:rPr>
              <w:t>址：</w:t>
            </w:r>
            <w:r>
              <w:rPr>
                <w:szCs w:val="21"/>
                <w:u w:val="single"/>
              </w:rPr>
              <w:t xml:space="preserve">      </w:t>
            </w:r>
            <w:r>
              <w:rPr>
                <w:rFonts w:hint="eastAsia"/>
                <w:szCs w:val="21"/>
                <w:u w:val="single"/>
                <w:lang w:val="en-US" w:eastAsia="zh-CN"/>
              </w:rPr>
              <w:t>/</w:t>
            </w:r>
            <w:r>
              <w:rPr>
                <w:szCs w:val="21"/>
                <w:u w:val="single"/>
              </w:rPr>
              <w:t xml:space="preserve">             </w:t>
            </w:r>
            <w:r>
              <w:rPr>
                <w:szCs w:val="21"/>
              </w:rPr>
              <w:t xml:space="preserve"> </w:t>
            </w:r>
          </w:p>
          <w:p w14:paraId="7880F98D">
            <w:pPr>
              <w:spacing w:line="400" w:lineRule="atLeast"/>
              <w:rPr>
                <w:szCs w:val="21"/>
              </w:rPr>
            </w:pPr>
            <w:r>
              <w:rPr>
                <w:rFonts w:hint="eastAsia"/>
                <w:szCs w:val="21"/>
              </w:rPr>
              <w:t>电</w:t>
            </w:r>
            <w:r>
              <w:rPr>
                <w:szCs w:val="21"/>
              </w:rPr>
              <w:t xml:space="preserve">    </w:t>
            </w:r>
            <w:r>
              <w:rPr>
                <w:rFonts w:hint="eastAsia"/>
                <w:szCs w:val="21"/>
              </w:rPr>
              <w:t>话：</w:t>
            </w:r>
            <w:r>
              <w:rPr>
                <w:szCs w:val="21"/>
                <w:u w:val="single"/>
              </w:rPr>
              <w:t xml:space="preserve">      </w:t>
            </w:r>
            <w:r>
              <w:rPr>
                <w:rFonts w:hint="eastAsia"/>
                <w:szCs w:val="21"/>
                <w:u w:val="single"/>
                <w:lang w:val="en-US" w:eastAsia="zh-CN"/>
              </w:rPr>
              <w:t>/</w:t>
            </w:r>
            <w:r>
              <w:rPr>
                <w:szCs w:val="21"/>
                <w:u w:val="single"/>
              </w:rPr>
              <w:t xml:space="preserve">             </w:t>
            </w:r>
          </w:p>
          <w:p w14:paraId="5D05206F">
            <w:pPr>
              <w:spacing w:line="400" w:lineRule="atLeast"/>
              <w:rPr>
                <w:szCs w:val="21"/>
                <w:u w:val="single"/>
              </w:rPr>
            </w:pPr>
            <w:r>
              <w:rPr>
                <w:rFonts w:hint="eastAsia"/>
                <w:szCs w:val="21"/>
              </w:rPr>
              <w:t>传</w:t>
            </w:r>
            <w:r>
              <w:rPr>
                <w:szCs w:val="21"/>
              </w:rPr>
              <w:t xml:space="preserve">    </w:t>
            </w:r>
            <w:r>
              <w:rPr>
                <w:rFonts w:hint="eastAsia"/>
                <w:szCs w:val="21"/>
              </w:rPr>
              <w:t>真：</w:t>
            </w:r>
            <w:r>
              <w:rPr>
                <w:szCs w:val="21"/>
                <w:u w:val="single"/>
              </w:rPr>
              <w:t xml:space="preserve">     </w:t>
            </w:r>
            <w:r>
              <w:rPr>
                <w:rFonts w:hint="eastAsia"/>
                <w:szCs w:val="21"/>
                <w:u w:val="single"/>
                <w:lang w:val="en-US" w:eastAsia="zh-CN"/>
              </w:rPr>
              <w:t>/</w:t>
            </w:r>
            <w:r>
              <w:rPr>
                <w:szCs w:val="21"/>
                <w:u w:val="single"/>
              </w:rPr>
              <w:t xml:space="preserve">              </w:t>
            </w:r>
          </w:p>
          <w:p w14:paraId="1EE77656">
            <w:pPr>
              <w:rPr>
                <w:rFonts w:hint="eastAsia"/>
              </w:rPr>
            </w:pPr>
            <w:r>
              <w:rPr>
                <w:rFonts w:hint="eastAsia"/>
                <w:szCs w:val="21"/>
              </w:rPr>
              <w:t>邮政编码：</w:t>
            </w:r>
            <w:r>
              <w:rPr>
                <w:szCs w:val="21"/>
                <w:u w:val="single"/>
              </w:rPr>
              <w:t xml:space="preserve">      </w:t>
            </w:r>
            <w:r>
              <w:rPr>
                <w:rFonts w:hint="eastAsia"/>
                <w:szCs w:val="21"/>
                <w:u w:val="single"/>
                <w:lang w:val="en-US" w:eastAsia="zh-CN"/>
              </w:rPr>
              <w:t>/</w:t>
            </w:r>
            <w:r>
              <w:rPr>
                <w:szCs w:val="21"/>
                <w:u w:val="single"/>
              </w:rPr>
              <w:t xml:space="preserve">             </w:t>
            </w:r>
          </w:p>
        </w:tc>
      </w:tr>
      <w:tr w14:paraId="434D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trPr>
        <w:tc>
          <w:tcPr>
            <w:tcW w:w="851" w:type="dxa"/>
            <w:vMerge w:val="continue"/>
            <w:noWrap w:val="0"/>
            <w:vAlign w:val="center"/>
          </w:tcPr>
          <w:p w14:paraId="4D2F32CB">
            <w:pPr>
              <w:spacing w:line="440" w:lineRule="exact"/>
              <w:jc w:val="center"/>
              <w:rPr>
                <w:rFonts w:hint="eastAsia"/>
                <w:szCs w:val="21"/>
              </w:rPr>
            </w:pPr>
          </w:p>
        </w:tc>
        <w:tc>
          <w:tcPr>
            <w:tcW w:w="2268" w:type="dxa"/>
            <w:noWrap w:val="0"/>
            <w:vAlign w:val="center"/>
          </w:tcPr>
          <w:p w14:paraId="27FD83FF">
            <w:pPr>
              <w:spacing w:line="440" w:lineRule="exact"/>
              <w:rPr>
                <w:szCs w:val="21"/>
              </w:rPr>
            </w:pPr>
            <w:r>
              <w:rPr>
                <w:rFonts w:hint="eastAsia"/>
              </w:rPr>
              <w:t>行政监督部门</w:t>
            </w:r>
          </w:p>
        </w:tc>
        <w:tc>
          <w:tcPr>
            <w:tcW w:w="5295" w:type="dxa"/>
            <w:noWrap w:val="0"/>
            <w:vAlign w:val="center"/>
          </w:tcPr>
          <w:p w14:paraId="769824C5">
            <w:pPr>
              <w:spacing w:line="400" w:lineRule="atLeast"/>
              <w:rPr>
                <w:rFonts w:hint="default" w:eastAsia="宋体"/>
                <w:color w:val="auto"/>
                <w:szCs w:val="21"/>
                <w:u w:val="single"/>
                <w:lang w:val="en-US" w:eastAsia="zh-CN"/>
              </w:rPr>
            </w:pPr>
            <w:r>
              <w:rPr>
                <w:rFonts w:hint="eastAsia"/>
                <w:color w:val="auto"/>
                <w:szCs w:val="21"/>
              </w:rPr>
              <w:t>名</w:t>
            </w:r>
            <w:r>
              <w:rPr>
                <w:color w:val="auto"/>
                <w:szCs w:val="21"/>
              </w:rPr>
              <w:t xml:space="preserve">    </w:t>
            </w:r>
            <w:r>
              <w:rPr>
                <w:rFonts w:hint="eastAsia"/>
                <w:color w:val="auto"/>
                <w:szCs w:val="21"/>
              </w:rPr>
              <w:t>称：</w:t>
            </w:r>
            <w:r>
              <w:rPr>
                <w:rFonts w:hint="eastAsia"/>
                <w:color w:val="auto"/>
                <w:szCs w:val="21"/>
                <w:u w:val="single"/>
                <w:lang w:val="en-US" w:eastAsia="zh-CN"/>
              </w:rPr>
              <w:t>丹江口市住房和城乡建设局</w:t>
            </w:r>
          </w:p>
          <w:p w14:paraId="579B277A">
            <w:pPr>
              <w:spacing w:line="400" w:lineRule="atLeast"/>
              <w:rPr>
                <w:color w:val="auto"/>
                <w:szCs w:val="21"/>
                <w:u w:val="single"/>
              </w:rPr>
            </w:pPr>
            <w:r>
              <w:rPr>
                <w:rFonts w:hint="eastAsia"/>
                <w:color w:val="auto"/>
                <w:szCs w:val="21"/>
              </w:rPr>
              <w:t>地</w:t>
            </w:r>
            <w:r>
              <w:rPr>
                <w:color w:val="auto"/>
                <w:szCs w:val="21"/>
              </w:rPr>
              <w:t xml:space="preserve">    </w:t>
            </w:r>
            <w:r>
              <w:rPr>
                <w:rFonts w:hint="eastAsia"/>
                <w:color w:val="auto"/>
                <w:szCs w:val="21"/>
              </w:rPr>
              <w:t>址：</w:t>
            </w:r>
            <w:r>
              <w:rPr>
                <w:rFonts w:hint="eastAsia"/>
                <w:color w:val="auto"/>
                <w:szCs w:val="21"/>
                <w:u w:val="single"/>
                <w:lang w:val="en-US" w:eastAsia="zh-CN"/>
              </w:rPr>
              <w:t>丹江口市均州一路49号</w:t>
            </w:r>
            <w:r>
              <w:rPr>
                <w:color w:val="auto"/>
                <w:szCs w:val="21"/>
                <w:u w:val="single"/>
              </w:rPr>
              <w:t xml:space="preserve"> </w:t>
            </w:r>
          </w:p>
          <w:p w14:paraId="046BB40E">
            <w:pPr>
              <w:spacing w:line="400" w:lineRule="atLeast"/>
              <w:rPr>
                <w:rFonts w:hint="default" w:eastAsia="宋体"/>
                <w:color w:val="auto"/>
                <w:szCs w:val="21"/>
                <w:lang w:val="en-US" w:eastAsia="zh-CN"/>
              </w:rPr>
            </w:pPr>
            <w:r>
              <w:rPr>
                <w:rFonts w:hint="eastAsia"/>
                <w:color w:val="auto"/>
                <w:szCs w:val="21"/>
              </w:rPr>
              <w:t>电</w:t>
            </w:r>
            <w:r>
              <w:rPr>
                <w:color w:val="auto"/>
                <w:szCs w:val="21"/>
              </w:rPr>
              <w:t xml:space="preserve">    </w:t>
            </w:r>
            <w:r>
              <w:rPr>
                <w:rFonts w:hint="eastAsia"/>
                <w:color w:val="auto"/>
                <w:szCs w:val="21"/>
              </w:rPr>
              <w:t>话：</w:t>
            </w:r>
            <w:r>
              <w:rPr>
                <w:rFonts w:hint="eastAsia"/>
                <w:color w:val="auto"/>
                <w:szCs w:val="21"/>
                <w:u w:val="single"/>
                <w:lang w:val="en-US" w:eastAsia="zh-CN"/>
              </w:rPr>
              <w:t xml:space="preserve">0719-5222970     </w:t>
            </w:r>
          </w:p>
          <w:p w14:paraId="0E30D816">
            <w:pPr>
              <w:spacing w:line="400" w:lineRule="atLeast"/>
              <w:rPr>
                <w:color w:val="auto"/>
                <w:szCs w:val="21"/>
                <w:u w:val="single"/>
              </w:rPr>
            </w:pPr>
            <w:r>
              <w:rPr>
                <w:rFonts w:hint="eastAsia"/>
                <w:color w:val="auto"/>
                <w:szCs w:val="21"/>
              </w:rPr>
              <w:t>传</w:t>
            </w:r>
            <w:r>
              <w:rPr>
                <w:color w:val="auto"/>
                <w:szCs w:val="21"/>
              </w:rPr>
              <w:t xml:space="preserve">    </w:t>
            </w:r>
            <w:r>
              <w:rPr>
                <w:rFonts w:hint="eastAsia"/>
                <w:color w:val="auto"/>
                <w:szCs w:val="21"/>
              </w:rPr>
              <w:t>真：</w:t>
            </w:r>
            <w:r>
              <w:rPr>
                <w:color w:val="auto"/>
                <w:szCs w:val="21"/>
                <w:u w:val="single"/>
              </w:rPr>
              <w:t xml:space="preserve">   </w:t>
            </w:r>
            <w:r>
              <w:rPr>
                <w:rFonts w:hint="eastAsia"/>
                <w:color w:val="auto"/>
                <w:szCs w:val="21"/>
                <w:u w:val="single"/>
                <w:lang w:val="en-US" w:eastAsia="zh-CN"/>
              </w:rPr>
              <w:t>/</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p>
          <w:p w14:paraId="1BDF2EA5">
            <w:pPr>
              <w:rPr>
                <w:rFonts w:hint="eastAsia"/>
                <w:szCs w:val="21"/>
              </w:rPr>
            </w:pPr>
            <w:r>
              <w:rPr>
                <w:rFonts w:hint="eastAsia"/>
                <w:color w:val="auto"/>
                <w:szCs w:val="21"/>
              </w:rPr>
              <w:t>邮政编码：</w:t>
            </w:r>
            <w:r>
              <w:rPr>
                <w:rFonts w:hint="eastAsia"/>
                <w:color w:val="auto"/>
                <w:szCs w:val="21"/>
                <w:u w:val="single"/>
                <w:lang w:val="en-US" w:eastAsia="zh-CN"/>
              </w:rPr>
              <w:t xml:space="preserve">  442700</w:t>
            </w:r>
            <w:r>
              <w:rPr>
                <w:color w:val="auto"/>
                <w:szCs w:val="21"/>
                <w:u w:val="single"/>
              </w:rPr>
              <w:t xml:space="preserve">     </w:t>
            </w:r>
          </w:p>
        </w:tc>
      </w:tr>
      <w:tr w14:paraId="69CE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trPr>
        <w:tc>
          <w:tcPr>
            <w:tcW w:w="851" w:type="dxa"/>
            <w:vMerge w:val="continue"/>
            <w:noWrap w:val="0"/>
            <w:vAlign w:val="center"/>
          </w:tcPr>
          <w:p w14:paraId="46E7B014">
            <w:pPr>
              <w:jc w:val="center"/>
              <w:rPr>
                <w:rFonts w:hint="eastAsia"/>
              </w:rPr>
            </w:pPr>
          </w:p>
        </w:tc>
        <w:tc>
          <w:tcPr>
            <w:tcW w:w="2268" w:type="dxa"/>
            <w:noWrap w:val="0"/>
            <w:vAlign w:val="center"/>
          </w:tcPr>
          <w:p w14:paraId="1B5D3504">
            <w:pPr>
              <w:spacing w:line="400" w:lineRule="exact"/>
              <w:rPr>
                <w:rFonts w:cs="宋体"/>
                <w:spacing w:val="4"/>
                <w:kern w:val="0"/>
                <w:sz w:val="22"/>
                <w:szCs w:val="22"/>
              </w:rPr>
            </w:pPr>
            <w:r>
              <w:rPr>
                <w:rFonts w:hint="eastAsia" w:cs="宋体"/>
                <w:spacing w:val="4"/>
                <w:kern w:val="0"/>
                <w:sz w:val="22"/>
                <w:szCs w:val="22"/>
              </w:rPr>
              <w:t>公共资源交易</w:t>
            </w:r>
          </w:p>
          <w:p w14:paraId="1C03147B">
            <w:pPr>
              <w:rPr>
                <w:rFonts w:hint="eastAsia"/>
              </w:rPr>
            </w:pPr>
            <w:r>
              <w:rPr>
                <w:rFonts w:hint="eastAsia" w:cs="宋体"/>
                <w:spacing w:val="4"/>
                <w:kern w:val="0"/>
                <w:sz w:val="22"/>
                <w:szCs w:val="22"/>
              </w:rPr>
              <w:t>综合监管机构</w:t>
            </w:r>
          </w:p>
        </w:tc>
        <w:tc>
          <w:tcPr>
            <w:tcW w:w="5295" w:type="dxa"/>
            <w:noWrap w:val="0"/>
            <w:vAlign w:val="center"/>
          </w:tcPr>
          <w:p w14:paraId="29607B24">
            <w:pPr>
              <w:spacing w:line="400" w:lineRule="atLeast"/>
              <w:rPr>
                <w:rFonts w:hint="default" w:eastAsia="宋体"/>
                <w:szCs w:val="21"/>
                <w:u w:val="single"/>
                <w:lang w:val="en-US" w:eastAsia="zh-CN"/>
              </w:rPr>
            </w:pPr>
            <w:r>
              <w:rPr>
                <w:rFonts w:hint="eastAsia"/>
                <w:szCs w:val="21"/>
              </w:rPr>
              <w:t>名</w:t>
            </w:r>
            <w:r>
              <w:rPr>
                <w:szCs w:val="21"/>
              </w:rPr>
              <w:t xml:space="preserve">    </w:t>
            </w:r>
            <w:r>
              <w:rPr>
                <w:rFonts w:hint="eastAsia"/>
                <w:szCs w:val="21"/>
              </w:rPr>
              <w:t>称：</w:t>
            </w:r>
            <w:r>
              <w:rPr>
                <w:rFonts w:hint="eastAsia"/>
                <w:szCs w:val="21"/>
                <w:u w:val="single"/>
                <w:lang w:val="en-US" w:eastAsia="zh-CN"/>
              </w:rPr>
              <w:t>/</w:t>
            </w:r>
          </w:p>
          <w:p w14:paraId="05851C0D">
            <w:pPr>
              <w:spacing w:line="400" w:lineRule="atLeast"/>
              <w:rPr>
                <w:szCs w:val="21"/>
              </w:rPr>
            </w:pPr>
            <w:r>
              <w:rPr>
                <w:rFonts w:hint="eastAsia"/>
                <w:szCs w:val="21"/>
              </w:rPr>
              <w:t>地</w:t>
            </w:r>
            <w:r>
              <w:rPr>
                <w:szCs w:val="21"/>
              </w:rPr>
              <w:t xml:space="preserve">    </w:t>
            </w:r>
            <w:r>
              <w:rPr>
                <w:rFonts w:hint="eastAsia"/>
                <w:szCs w:val="21"/>
              </w:rPr>
              <w:t>址：</w:t>
            </w:r>
            <w:r>
              <w:rPr>
                <w:rFonts w:hint="eastAsia"/>
                <w:szCs w:val="21"/>
                <w:u w:val="single"/>
                <w:lang w:val="en-US" w:eastAsia="zh-CN"/>
              </w:rPr>
              <w:t>/</w:t>
            </w:r>
            <w:r>
              <w:rPr>
                <w:szCs w:val="21"/>
              </w:rPr>
              <w:t xml:space="preserve"> </w:t>
            </w:r>
          </w:p>
          <w:p w14:paraId="674E4F6B">
            <w:pPr>
              <w:spacing w:line="400" w:lineRule="atLeast"/>
              <w:rPr>
                <w:rFonts w:hint="eastAsia" w:eastAsia="宋体"/>
                <w:szCs w:val="21"/>
                <w:lang w:eastAsia="zh-CN"/>
              </w:rPr>
            </w:pPr>
            <w:r>
              <w:rPr>
                <w:rFonts w:hint="eastAsia"/>
                <w:szCs w:val="21"/>
              </w:rPr>
              <w:t>电</w:t>
            </w:r>
            <w:r>
              <w:rPr>
                <w:szCs w:val="21"/>
              </w:rPr>
              <w:t xml:space="preserve">    </w:t>
            </w:r>
            <w:r>
              <w:rPr>
                <w:rFonts w:hint="eastAsia"/>
                <w:szCs w:val="21"/>
              </w:rPr>
              <w:t>话：</w:t>
            </w:r>
            <w:r>
              <w:rPr>
                <w:rFonts w:hint="eastAsia"/>
                <w:szCs w:val="21"/>
                <w:u w:val="single"/>
                <w:lang w:val="en-US" w:eastAsia="zh-CN"/>
              </w:rPr>
              <w:t>/</w:t>
            </w:r>
          </w:p>
          <w:p w14:paraId="5B1BDE1F">
            <w:pPr>
              <w:spacing w:line="400" w:lineRule="atLeast"/>
              <w:rPr>
                <w:szCs w:val="21"/>
                <w:u w:val="single"/>
              </w:rPr>
            </w:pPr>
            <w:r>
              <w:rPr>
                <w:rFonts w:hint="eastAsia"/>
                <w:szCs w:val="21"/>
              </w:rPr>
              <w:t>传</w:t>
            </w:r>
            <w:r>
              <w:rPr>
                <w:szCs w:val="21"/>
              </w:rPr>
              <w:t xml:space="preserve">    </w:t>
            </w:r>
            <w:r>
              <w:rPr>
                <w:rFonts w:hint="eastAsia"/>
                <w:szCs w:val="21"/>
              </w:rPr>
              <w:t>真：</w:t>
            </w:r>
            <w:r>
              <w:rPr>
                <w:szCs w:val="21"/>
                <w:u w:val="single"/>
              </w:rPr>
              <w:t xml:space="preserve">     </w:t>
            </w:r>
            <w:r>
              <w:rPr>
                <w:rFonts w:hint="eastAsia"/>
                <w:szCs w:val="21"/>
                <w:u w:val="single"/>
                <w:lang w:val="en-US" w:eastAsia="zh-CN"/>
              </w:rPr>
              <w:t>/</w:t>
            </w:r>
            <w:r>
              <w:rPr>
                <w:szCs w:val="21"/>
                <w:u w:val="single"/>
              </w:rPr>
              <w:t xml:space="preserve">              </w:t>
            </w:r>
          </w:p>
          <w:p w14:paraId="77EEEE30">
            <w:pPr>
              <w:rPr>
                <w:rFonts w:hint="eastAsia"/>
              </w:rPr>
            </w:pPr>
            <w:r>
              <w:rPr>
                <w:rFonts w:hint="eastAsia"/>
                <w:szCs w:val="21"/>
              </w:rPr>
              <w:t>邮政编码：</w:t>
            </w:r>
            <w:r>
              <w:rPr>
                <w:szCs w:val="21"/>
                <w:u w:val="single"/>
              </w:rPr>
              <w:t xml:space="preserve">       </w:t>
            </w:r>
            <w:r>
              <w:rPr>
                <w:rFonts w:hint="eastAsia"/>
                <w:szCs w:val="21"/>
                <w:u w:val="single"/>
                <w:lang w:val="en-US" w:eastAsia="zh-CN"/>
              </w:rPr>
              <w:t>/</w:t>
            </w:r>
            <w:r>
              <w:rPr>
                <w:szCs w:val="21"/>
                <w:u w:val="single"/>
              </w:rPr>
              <w:t xml:space="preserve">            </w:t>
            </w:r>
          </w:p>
        </w:tc>
      </w:tr>
      <w:tr w14:paraId="0AFBD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851" w:type="dxa"/>
            <w:noWrap w:val="0"/>
            <w:vAlign w:val="center"/>
          </w:tcPr>
          <w:p w14:paraId="5CBA8287">
            <w:pPr>
              <w:spacing w:line="440" w:lineRule="exact"/>
              <w:jc w:val="center"/>
            </w:pPr>
            <w:r>
              <w:rPr>
                <w:rFonts w:hint="eastAsia"/>
              </w:rPr>
              <w:t>10.1</w:t>
            </w:r>
          </w:p>
        </w:tc>
        <w:tc>
          <w:tcPr>
            <w:tcW w:w="2268" w:type="dxa"/>
            <w:noWrap w:val="0"/>
            <w:vAlign w:val="center"/>
          </w:tcPr>
          <w:p w14:paraId="7F0AC7C7">
            <w:pPr>
              <w:spacing w:line="400" w:lineRule="exact"/>
              <w:rPr>
                <w:rFonts w:hint="eastAsia" w:ascii="宋体" w:cs="宋体"/>
                <w:spacing w:val="4"/>
                <w:kern w:val="0"/>
                <w:sz w:val="22"/>
                <w:szCs w:val="22"/>
              </w:rPr>
            </w:pPr>
            <w:r>
              <w:rPr>
                <w:rFonts w:hint="eastAsia" w:ascii="宋体" w:cs="宋体"/>
                <w:spacing w:val="4"/>
                <w:kern w:val="0"/>
                <w:sz w:val="22"/>
                <w:szCs w:val="22"/>
              </w:rPr>
              <w:t>多标段投标</w:t>
            </w:r>
          </w:p>
        </w:tc>
        <w:tc>
          <w:tcPr>
            <w:tcW w:w="5295" w:type="dxa"/>
            <w:noWrap w:val="0"/>
            <w:vAlign w:val="center"/>
          </w:tcPr>
          <w:p w14:paraId="0AECE0E3">
            <w:pPr>
              <w:rPr>
                <w:rFonts w:hint="eastAsia"/>
              </w:rPr>
            </w:pPr>
            <w:r>
              <w:rPr>
                <w:rFonts w:hint="eastAsia"/>
              </w:rPr>
              <w:t>投标人可同时对本次招标标段中的</w:t>
            </w:r>
            <w:r>
              <w:rPr>
                <w:rFonts w:hint="eastAsia"/>
                <w:u w:val="single"/>
              </w:rPr>
              <w:t xml:space="preserve">   </w:t>
            </w:r>
            <w:r>
              <w:rPr>
                <w:rFonts w:hint="eastAsia"/>
                <w:u w:val="single"/>
                <w:lang w:val="en-US" w:eastAsia="zh-CN"/>
              </w:rPr>
              <w:t>1</w:t>
            </w:r>
            <w:r>
              <w:rPr>
                <w:rFonts w:hint="eastAsia"/>
                <w:u w:val="single"/>
              </w:rPr>
              <w:t xml:space="preserve">  </w:t>
            </w:r>
            <w:r>
              <w:rPr>
                <w:rFonts w:hint="eastAsia"/>
              </w:rPr>
              <w:t>个标段投标。招标人按下列原则选择中标人：</w:t>
            </w:r>
          </w:p>
          <w:p w14:paraId="497DDED7">
            <w:pPr>
              <w:rPr>
                <w:rFonts w:hint="eastAsia"/>
              </w:rPr>
            </w:pPr>
            <w:r>
              <w:rPr>
                <w:rFonts w:hint="eastAsia"/>
                <w:lang w:eastAsia="zh-CN"/>
              </w:rPr>
              <w:t>☑</w:t>
            </w:r>
            <w:r>
              <w:rPr>
                <w:rFonts w:hint="eastAsia"/>
              </w:rPr>
              <w:t xml:space="preserve"> 招标人按标段择优选择中标人。</w:t>
            </w:r>
          </w:p>
          <w:p w14:paraId="68A37A52">
            <w:pPr>
              <w:adjustRightInd w:val="0"/>
              <w:spacing w:line="400" w:lineRule="exact"/>
              <w:rPr>
                <w:rFonts w:hint="eastAsia"/>
              </w:rPr>
            </w:pPr>
            <w:r>
              <w:rPr>
                <w:rFonts w:hint="eastAsia"/>
              </w:rPr>
              <w:t>□ 投标人最多只允许中标</w:t>
            </w:r>
            <w:r>
              <w:rPr>
                <w:rFonts w:hint="eastAsia"/>
                <w:u w:val="single"/>
              </w:rPr>
              <w:t xml:space="preserve">     </w:t>
            </w:r>
            <w:r>
              <w:rPr>
                <w:rFonts w:hint="eastAsia"/>
              </w:rPr>
              <w:t>个标段。如果同一投标人在多个标段中均排序第一，</w:t>
            </w:r>
            <w:r>
              <w:t>推荐中标候选人顺序为：</w:t>
            </w:r>
          </w:p>
          <w:p w14:paraId="1D2FB94E">
            <w:pPr>
              <w:adjustRightInd w:val="0"/>
              <w:spacing w:line="400" w:lineRule="exact"/>
              <w:ind w:firstLine="315" w:firstLineChars="150"/>
              <w:rPr>
                <w:rFonts w:hint="eastAsia"/>
              </w:rPr>
            </w:pPr>
            <w:r>
              <w:rPr>
                <w:rFonts w:hint="eastAsia"/>
              </w:rPr>
              <w:t>□</w:t>
            </w:r>
            <w:r>
              <w:t>按照标段顺序，投标人在前面标段被推荐为第一中标候选人后，所投其他标段将不再被推荐为中标候选人。</w:t>
            </w:r>
          </w:p>
          <w:p w14:paraId="57E24A65">
            <w:pPr>
              <w:adjustRightInd w:val="0"/>
              <w:spacing w:line="400" w:lineRule="exact"/>
              <w:ind w:firstLine="315" w:firstLineChars="150"/>
              <w:rPr>
                <w:rFonts w:hint="eastAsia"/>
              </w:rPr>
            </w:pPr>
            <w:r>
              <w:rPr>
                <w:rFonts w:hint="eastAsia"/>
              </w:rPr>
              <w:t>□</w:t>
            </w:r>
            <w:r>
              <w:t>按照标段</w:t>
            </w:r>
            <w:r>
              <w:rPr>
                <w:rFonts w:hint="eastAsia"/>
              </w:rPr>
              <w:t>招标控制价</w:t>
            </w:r>
            <w:r>
              <w:t>从大到小的顺序，投标人在</w:t>
            </w:r>
            <w:r>
              <w:rPr>
                <w:rFonts w:hint="eastAsia"/>
              </w:rPr>
              <w:t>招标控制价</w:t>
            </w:r>
            <w:r>
              <w:t>大的标段被推荐为第一中标候选人后，所投其他标段将不再被推荐为中标候选人。</w:t>
            </w:r>
          </w:p>
          <w:p w14:paraId="6CD388DC">
            <w:pPr>
              <w:ind w:left="315" w:leftChars="150"/>
              <w:rPr>
                <w:rFonts w:hint="eastAsia"/>
              </w:rPr>
            </w:pPr>
            <w:r>
              <w:rPr>
                <w:rFonts w:hint="eastAsia"/>
              </w:rPr>
              <w:t>□</w:t>
            </w:r>
            <w:r>
              <w:rPr>
                <w:rFonts w:hint="eastAsia"/>
                <w:u w:val="single"/>
              </w:rPr>
              <w:t xml:space="preserve">         </w:t>
            </w:r>
            <w:r>
              <w:rPr>
                <w:rFonts w:hint="eastAsia"/>
                <w:u w:val="single"/>
                <w:lang w:val="en-US" w:eastAsia="zh-CN"/>
              </w:rPr>
              <w:t>/</w:t>
            </w:r>
            <w:r>
              <w:rPr>
                <w:rFonts w:hint="eastAsia"/>
                <w:u w:val="single"/>
              </w:rPr>
              <w:t xml:space="preserve">                               </w:t>
            </w:r>
            <w:r>
              <w:rPr>
                <w:rFonts w:hint="eastAsia"/>
              </w:rPr>
              <w:t>。</w:t>
            </w:r>
          </w:p>
        </w:tc>
      </w:tr>
      <w:tr w14:paraId="54BA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2CFF1095">
            <w:pPr>
              <w:spacing w:line="440" w:lineRule="exact"/>
              <w:jc w:val="center"/>
              <w:rPr>
                <w:rFonts w:hint="eastAsia"/>
              </w:rPr>
            </w:pPr>
            <w:r>
              <w:rPr>
                <w:rFonts w:hint="eastAsia"/>
              </w:rPr>
              <w:t>10.2.1</w:t>
            </w:r>
          </w:p>
        </w:tc>
        <w:tc>
          <w:tcPr>
            <w:tcW w:w="2268" w:type="dxa"/>
            <w:noWrap w:val="0"/>
            <w:vAlign w:val="center"/>
          </w:tcPr>
          <w:p w14:paraId="2CA594F1">
            <w:pPr>
              <w:spacing w:line="400" w:lineRule="exact"/>
              <w:rPr>
                <w:rFonts w:hint="eastAsia" w:ascii="宋体" w:hAnsi="宋体"/>
                <w:szCs w:val="21"/>
              </w:rPr>
            </w:pPr>
            <w:r>
              <w:rPr>
                <w:rFonts w:hint="eastAsia" w:ascii="宋体" w:hAnsi="宋体"/>
                <w:szCs w:val="21"/>
              </w:rPr>
              <w:t>评标基准价下浮系数</w:t>
            </w:r>
          </w:p>
        </w:tc>
        <w:tc>
          <w:tcPr>
            <w:tcW w:w="5295" w:type="dxa"/>
            <w:noWrap w:val="0"/>
            <w:vAlign w:val="center"/>
          </w:tcPr>
          <w:p w14:paraId="5BD8C98F">
            <w:pPr>
              <w:spacing w:line="440" w:lineRule="exact"/>
              <w:rPr>
                <w:rFonts w:hint="eastAsia"/>
                <w:color w:val="auto"/>
                <w:szCs w:val="21"/>
              </w:rPr>
            </w:pPr>
            <w:r>
              <w:rPr>
                <w:rFonts w:hint="eastAsia" w:ascii="宋体" w:hAnsi="宋体"/>
                <w:color w:val="auto"/>
                <w:szCs w:val="21"/>
              </w:rPr>
              <w:t>E的取值：</w:t>
            </w:r>
            <w:r>
              <w:rPr>
                <w:rFonts w:hint="eastAsia" w:ascii="宋体" w:hAnsi="宋体"/>
                <w:color w:val="auto"/>
                <w:szCs w:val="21"/>
                <w:u w:val="single"/>
              </w:rPr>
              <w:t xml:space="preserve">   </w:t>
            </w:r>
            <w:r>
              <w:rPr>
                <w:rFonts w:hint="eastAsia" w:ascii="宋体" w:hAnsi="宋体"/>
                <w:color w:val="auto"/>
                <w:szCs w:val="21"/>
                <w:u w:val="single"/>
                <w:lang w:val="en-US" w:eastAsia="zh-CN"/>
              </w:rPr>
              <w:t>1</w:t>
            </w:r>
            <w:r>
              <w:rPr>
                <w:rFonts w:hint="eastAsia" w:ascii="宋体" w:hAnsi="宋体"/>
                <w:color w:val="auto"/>
                <w:szCs w:val="21"/>
                <w:u w:val="single"/>
              </w:rPr>
              <w:t xml:space="preserve">     </w:t>
            </w:r>
          </w:p>
        </w:tc>
      </w:tr>
      <w:tr w14:paraId="4AFF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7563B416">
            <w:pPr>
              <w:spacing w:line="440" w:lineRule="exact"/>
              <w:jc w:val="center"/>
              <w:rPr>
                <w:rFonts w:hint="eastAsia"/>
              </w:rPr>
            </w:pPr>
            <w:r>
              <w:rPr>
                <w:rFonts w:hint="eastAsia"/>
              </w:rPr>
              <w:t>10.2.2</w:t>
            </w:r>
          </w:p>
        </w:tc>
        <w:tc>
          <w:tcPr>
            <w:tcW w:w="2268" w:type="dxa"/>
            <w:noWrap w:val="0"/>
            <w:vAlign w:val="center"/>
          </w:tcPr>
          <w:p w14:paraId="03A0D4A3">
            <w:pPr>
              <w:rPr>
                <w:rFonts w:hint="eastAsia"/>
              </w:rPr>
            </w:pPr>
            <w:r>
              <w:rPr>
                <w:rFonts w:hint="eastAsia"/>
              </w:rPr>
              <w:t>不平衡报价系数</w:t>
            </w:r>
          </w:p>
          <w:p w14:paraId="0F276B5C">
            <w:pPr>
              <w:rPr>
                <w:rFonts w:hint="eastAsia"/>
              </w:rPr>
            </w:pPr>
            <w:r>
              <w:rPr>
                <w:rFonts w:hint="eastAsia"/>
              </w:rPr>
              <w:t>（启动成本评审工作的前提条件）</w:t>
            </w:r>
          </w:p>
        </w:tc>
        <w:tc>
          <w:tcPr>
            <w:tcW w:w="5295" w:type="dxa"/>
            <w:noWrap w:val="0"/>
            <w:vAlign w:val="center"/>
          </w:tcPr>
          <w:p w14:paraId="560CAD3F">
            <w:pPr>
              <w:spacing w:line="400" w:lineRule="exact"/>
              <w:rPr>
                <w:rFonts w:hint="eastAsia"/>
                <w:color w:val="auto"/>
              </w:rPr>
            </w:pPr>
            <w:r>
              <w:rPr>
                <w:rFonts w:hint="eastAsia" w:ascii="宋体" w:hAnsi="宋体"/>
                <w:color w:val="auto"/>
                <w:szCs w:val="21"/>
              </w:rPr>
              <w:t>H的取值：</w:t>
            </w:r>
            <w:r>
              <w:rPr>
                <w:rFonts w:hint="eastAsia" w:ascii="宋体" w:hAnsi="宋体"/>
                <w:color w:val="auto"/>
                <w:szCs w:val="21"/>
                <w:u w:val="single"/>
              </w:rPr>
              <w:t xml:space="preserve">    </w:t>
            </w:r>
            <w:r>
              <w:rPr>
                <w:rFonts w:hint="eastAsia" w:ascii="宋体" w:hAnsi="宋体"/>
                <w:color w:val="auto"/>
                <w:szCs w:val="21"/>
                <w:u w:val="single"/>
                <w:lang w:val="en-US" w:eastAsia="zh-CN"/>
              </w:rPr>
              <w:t>80</w:t>
            </w:r>
            <w:r>
              <w:rPr>
                <w:rFonts w:hint="eastAsia" w:ascii="宋体" w:hAnsi="宋体"/>
                <w:color w:val="auto"/>
                <w:szCs w:val="21"/>
                <w:u w:val="single"/>
              </w:rPr>
              <w:t xml:space="preserve">    </w:t>
            </w:r>
          </w:p>
        </w:tc>
      </w:tr>
      <w:tr w14:paraId="42357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1B4D1148">
            <w:pPr>
              <w:spacing w:line="440" w:lineRule="exact"/>
              <w:jc w:val="center"/>
              <w:rPr>
                <w:rFonts w:hint="eastAsia"/>
              </w:rPr>
            </w:pPr>
            <w:r>
              <w:rPr>
                <w:rFonts w:hint="eastAsia"/>
              </w:rPr>
              <w:t>10.2.3</w:t>
            </w:r>
          </w:p>
        </w:tc>
        <w:tc>
          <w:tcPr>
            <w:tcW w:w="2268" w:type="dxa"/>
            <w:noWrap w:val="0"/>
            <w:vAlign w:val="center"/>
          </w:tcPr>
          <w:p w14:paraId="1DA43726">
            <w:pPr>
              <w:rPr>
                <w:rFonts w:hint="eastAsia"/>
              </w:rPr>
            </w:pPr>
            <w:r>
              <w:rPr>
                <w:rFonts w:hint="eastAsia" w:ascii="宋体" w:hAnsi="宋体"/>
                <w:szCs w:val="21"/>
              </w:rPr>
              <w:t>期望合理价系数</w:t>
            </w:r>
          </w:p>
        </w:tc>
        <w:tc>
          <w:tcPr>
            <w:tcW w:w="5295" w:type="dxa"/>
            <w:noWrap w:val="0"/>
            <w:vAlign w:val="center"/>
          </w:tcPr>
          <w:p w14:paraId="3C309859">
            <w:pPr>
              <w:spacing w:line="400" w:lineRule="exact"/>
              <w:rPr>
                <w:rFonts w:hint="eastAsia" w:ascii="宋体" w:hAnsi="宋体"/>
                <w:color w:val="auto"/>
                <w:szCs w:val="21"/>
              </w:rPr>
            </w:pPr>
            <w:r>
              <w:rPr>
                <w:rFonts w:hint="eastAsia" w:ascii="宋体" w:hAnsi="宋体"/>
                <w:color w:val="auto"/>
                <w:szCs w:val="21"/>
              </w:rPr>
              <w:t>D的取值：</w:t>
            </w:r>
            <w:r>
              <w:rPr>
                <w:rFonts w:hint="eastAsia" w:ascii="宋体" w:hAnsi="宋体"/>
                <w:color w:val="auto"/>
                <w:szCs w:val="21"/>
                <w:u w:val="single"/>
              </w:rPr>
              <w:t xml:space="preserve">   </w:t>
            </w:r>
            <w:r>
              <w:rPr>
                <w:rFonts w:hint="eastAsia" w:ascii="宋体" w:hAnsi="宋体"/>
                <w:color w:val="auto"/>
                <w:szCs w:val="21"/>
                <w:u w:val="single"/>
                <w:lang w:val="en-US" w:eastAsia="zh-CN"/>
              </w:rPr>
              <w:t>/</w:t>
            </w:r>
            <w:r>
              <w:rPr>
                <w:rFonts w:hint="eastAsia" w:ascii="宋体" w:hAnsi="宋体"/>
                <w:color w:val="auto"/>
                <w:szCs w:val="21"/>
                <w:u w:val="single"/>
              </w:rPr>
              <w:t xml:space="preserve">     </w:t>
            </w:r>
          </w:p>
        </w:tc>
      </w:tr>
      <w:tr w14:paraId="3960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1C439AE7">
            <w:pPr>
              <w:spacing w:line="440" w:lineRule="exact"/>
              <w:jc w:val="center"/>
              <w:rPr>
                <w:rFonts w:hint="eastAsia"/>
              </w:rPr>
            </w:pPr>
            <w:r>
              <w:rPr>
                <w:rFonts w:hint="eastAsia"/>
              </w:rPr>
              <w:t>10.2.4</w:t>
            </w:r>
          </w:p>
        </w:tc>
        <w:tc>
          <w:tcPr>
            <w:tcW w:w="2268" w:type="dxa"/>
            <w:noWrap w:val="0"/>
            <w:vAlign w:val="center"/>
          </w:tcPr>
          <w:p w14:paraId="71703F2D">
            <w:pPr>
              <w:rPr>
                <w:rFonts w:hint="eastAsia" w:ascii="宋体" w:hAnsi="宋体"/>
                <w:szCs w:val="21"/>
              </w:rPr>
            </w:pPr>
            <w:r>
              <w:rPr>
                <w:rFonts w:hint="eastAsia" w:ascii="宋体" w:hAnsi="宋体"/>
                <w:szCs w:val="21"/>
              </w:rPr>
              <w:t>小微企业报价优惠（扣除）系数</w:t>
            </w:r>
          </w:p>
        </w:tc>
        <w:tc>
          <w:tcPr>
            <w:tcW w:w="5295" w:type="dxa"/>
            <w:noWrap w:val="0"/>
            <w:vAlign w:val="center"/>
          </w:tcPr>
          <w:p w14:paraId="68D552DB">
            <w:pPr>
              <w:spacing w:line="400" w:lineRule="exact"/>
              <w:rPr>
                <w:rFonts w:hint="eastAsia" w:ascii="宋体" w:hAnsi="宋体"/>
                <w:color w:val="auto"/>
                <w:szCs w:val="21"/>
              </w:rPr>
            </w:pPr>
            <w:r>
              <w:rPr>
                <w:rFonts w:hint="eastAsia" w:ascii="宋体" w:hAnsi="宋体"/>
                <w:color w:val="auto"/>
                <w:szCs w:val="21"/>
              </w:rPr>
              <w:t>P的取值：</w:t>
            </w:r>
            <w:r>
              <w:rPr>
                <w:rFonts w:hint="eastAsia" w:ascii="宋体" w:hAnsi="宋体"/>
                <w:color w:val="auto"/>
                <w:szCs w:val="21"/>
                <w:u w:val="single"/>
              </w:rPr>
              <w:t xml:space="preserve">    </w:t>
            </w:r>
            <w:r>
              <w:rPr>
                <w:rFonts w:hint="eastAsia" w:ascii="宋体" w:hAnsi="宋体"/>
                <w:color w:val="auto"/>
                <w:szCs w:val="21"/>
                <w:u w:val="single"/>
                <w:lang w:val="en-US" w:eastAsia="zh-CN"/>
              </w:rPr>
              <w:t>/</w:t>
            </w:r>
            <w:r>
              <w:rPr>
                <w:rFonts w:hint="eastAsia" w:ascii="宋体" w:hAnsi="宋体"/>
                <w:color w:val="auto"/>
                <w:szCs w:val="21"/>
                <w:u w:val="single"/>
              </w:rPr>
              <w:t xml:space="preserve">    </w:t>
            </w:r>
          </w:p>
        </w:tc>
      </w:tr>
      <w:tr w14:paraId="23ACF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184CF6DD">
            <w:pPr>
              <w:spacing w:line="440" w:lineRule="exact"/>
              <w:jc w:val="center"/>
              <w:rPr>
                <w:rFonts w:hint="eastAsia"/>
              </w:rPr>
            </w:pPr>
            <w:r>
              <w:rPr>
                <w:rFonts w:hint="eastAsia"/>
              </w:rPr>
              <w:t>10.2.5</w:t>
            </w:r>
          </w:p>
        </w:tc>
        <w:tc>
          <w:tcPr>
            <w:tcW w:w="2268" w:type="dxa"/>
            <w:noWrap w:val="0"/>
            <w:vAlign w:val="center"/>
          </w:tcPr>
          <w:p w14:paraId="12FB257C">
            <w:pPr>
              <w:rPr>
                <w:rFonts w:hint="eastAsia" w:ascii="宋体" w:hAnsi="宋体"/>
                <w:szCs w:val="21"/>
              </w:rPr>
            </w:pPr>
            <w:r>
              <w:rPr>
                <w:rFonts w:hint="eastAsia" w:ascii="宋体" w:hAnsi="宋体"/>
                <w:szCs w:val="21"/>
              </w:rPr>
              <w:t>满足条件的联合体或者分包企业报价优惠(扣除)系数</w:t>
            </w:r>
          </w:p>
        </w:tc>
        <w:tc>
          <w:tcPr>
            <w:tcW w:w="5295" w:type="dxa"/>
            <w:noWrap w:val="0"/>
            <w:vAlign w:val="center"/>
          </w:tcPr>
          <w:p w14:paraId="15BE4341">
            <w:pPr>
              <w:spacing w:line="400" w:lineRule="exact"/>
              <w:rPr>
                <w:rFonts w:hint="eastAsia" w:ascii="宋体" w:hAnsi="宋体"/>
                <w:color w:val="auto"/>
                <w:szCs w:val="21"/>
              </w:rPr>
            </w:pPr>
            <w:r>
              <w:rPr>
                <w:rFonts w:hint="eastAsia" w:ascii="宋体" w:hAnsi="宋体"/>
                <w:color w:val="auto"/>
                <w:szCs w:val="21"/>
              </w:rPr>
              <w:t>Q的取值：</w:t>
            </w:r>
            <w:r>
              <w:rPr>
                <w:rFonts w:hint="eastAsia" w:ascii="宋体" w:hAnsi="宋体"/>
                <w:color w:val="auto"/>
                <w:szCs w:val="21"/>
                <w:u w:val="single"/>
              </w:rPr>
              <w:t xml:space="preserve">   </w:t>
            </w:r>
            <w:r>
              <w:rPr>
                <w:rFonts w:hint="eastAsia" w:ascii="宋体" w:hAnsi="宋体"/>
                <w:color w:val="auto"/>
                <w:szCs w:val="21"/>
                <w:u w:val="single"/>
                <w:lang w:val="en-US" w:eastAsia="zh-CN"/>
              </w:rPr>
              <w:t>/</w:t>
            </w:r>
            <w:r>
              <w:rPr>
                <w:rFonts w:hint="eastAsia" w:ascii="宋体" w:hAnsi="宋体"/>
                <w:color w:val="auto"/>
                <w:szCs w:val="21"/>
                <w:u w:val="single"/>
              </w:rPr>
              <w:t xml:space="preserve">     </w:t>
            </w:r>
          </w:p>
        </w:tc>
      </w:tr>
      <w:tr w14:paraId="5C2A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1" w:type="dxa"/>
            <w:noWrap w:val="0"/>
            <w:vAlign w:val="center"/>
          </w:tcPr>
          <w:p w14:paraId="32664456">
            <w:pPr>
              <w:spacing w:line="440" w:lineRule="exact"/>
              <w:jc w:val="center"/>
              <w:rPr>
                <w:rFonts w:hint="eastAsia"/>
              </w:rPr>
            </w:pPr>
            <w:r>
              <w:rPr>
                <w:rFonts w:hint="eastAsia"/>
              </w:rPr>
              <w:t>10.3</w:t>
            </w:r>
          </w:p>
        </w:tc>
        <w:tc>
          <w:tcPr>
            <w:tcW w:w="2268" w:type="dxa"/>
            <w:noWrap w:val="0"/>
            <w:vAlign w:val="center"/>
          </w:tcPr>
          <w:p w14:paraId="1AA397C8">
            <w:pPr>
              <w:rPr>
                <w:rFonts w:hint="eastAsia" w:ascii="宋体" w:hAnsi="宋体"/>
                <w:szCs w:val="21"/>
              </w:rPr>
            </w:pPr>
            <w:r>
              <w:rPr>
                <w:rFonts w:hint="eastAsia" w:ascii="宋体" w:hAnsi="宋体"/>
                <w:szCs w:val="21"/>
              </w:rPr>
              <w:t>中标后须提交的</w:t>
            </w:r>
          </w:p>
          <w:p w14:paraId="5AA788E2">
            <w:pPr>
              <w:rPr>
                <w:rFonts w:hint="eastAsia" w:ascii="宋体" w:hAnsi="宋体"/>
                <w:szCs w:val="21"/>
              </w:rPr>
            </w:pPr>
            <w:r>
              <w:rPr>
                <w:rFonts w:hint="eastAsia" w:ascii="宋体" w:hAnsi="宋体"/>
                <w:szCs w:val="21"/>
              </w:rPr>
              <w:t>纸质投标文件</w:t>
            </w:r>
          </w:p>
        </w:tc>
        <w:tc>
          <w:tcPr>
            <w:tcW w:w="5295" w:type="dxa"/>
            <w:noWrap w:val="0"/>
            <w:vAlign w:val="center"/>
          </w:tcPr>
          <w:p w14:paraId="76C47817">
            <w:pPr>
              <w:jc w:val="left"/>
              <w:rPr>
                <w:rFonts w:hint="eastAsia" w:ascii="宋体" w:hAnsi="宋体"/>
                <w:szCs w:val="21"/>
                <w:u w:val="single"/>
              </w:rPr>
            </w:pPr>
            <w:r>
              <w:rPr>
                <w:rFonts w:hint="eastAsia" w:ascii="宋体" w:hAnsi="宋体"/>
                <w:szCs w:val="21"/>
              </w:rPr>
              <w:t>份数：</w:t>
            </w:r>
            <w:r>
              <w:rPr>
                <w:rFonts w:hint="eastAsia" w:ascii="宋体" w:hAnsi="宋体"/>
                <w:szCs w:val="21"/>
                <w:u w:val="single"/>
              </w:rPr>
              <w:t xml:space="preserve"> </w:t>
            </w:r>
            <w:r>
              <w:rPr>
                <w:rFonts w:hint="eastAsia" w:ascii="宋体" w:hAnsi="宋体"/>
                <w:szCs w:val="21"/>
                <w:u w:val="single"/>
                <w:lang w:val="en-US" w:eastAsia="zh-CN"/>
              </w:rPr>
              <w:t>3份</w:t>
            </w:r>
            <w:r>
              <w:rPr>
                <w:rFonts w:hint="eastAsia" w:ascii="宋体" w:hAnsi="宋体"/>
                <w:szCs w:val="21"/>
                <w:u w:val="single"/>
              </w:rPr>
              <w:t xml:space="preserve"> </w:t>
            </w:r>
            <w:r>
              <w:rPr>
                <w:rFonts w:hint="eastAsia" w:ascii="宋体" w:hAnsi="宋体"/>
                <w:szCs w:val="21"/>
              </w:rPr>
              <w:t xml:space="preserve"> ，中标人提交的纸质投标文件应当与投标时的电子投标文件内容一致。</w:t>
            </w:r>
          </w:p>
        </w:tc>
      </w:tr>
      <w:tr w14:paraId="32A1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851" w:type="dxa"/>
            <w:noWrap w:val="0"/>
            <w:vAlign w:val="center"/>
          </w:tcPr>
          <w:p w14:paraId="3A6F2F7A">
            <w:pPr>
              <w:spacing w:line="312" w:lineRule="auto"/>
              <w:jc w:val="center"/>
              <w:rPr>
                <w:rFonts w:hint="eastAsia"/>
              </w:rPr>
            </w:pPr>
            <w:r>
              <w:rPr>
                <w:rFonts w:hint="eastAsia"/>
              </w:rPr>
              <w:t>10.4</w:t>
            </w:r>
          </w:p>
        </w:tc>
        <w:tc>
          <w:tcPr>
            <w:tcW w:w="2268" w:type="dxa"/>
            <w:noWrap w:val="0"/>
            <w:vAlign w:val="center"/>
          </w:tcPr>
          <w:p w14:paraId="6A45C306">
            <w:pPr>
              <w:spacing w:line="312" w:lineRule="auto"/>
              <w:rPr>
                <w:rFonts w:hint="eastAsia"/>
              </w:rPr>
            </w:pPr>
            <w:r>
              <w:rPr>
                <w:rFonts w:hint="eastAsia"/>
              </w:rPr>
              <w:t>知识产权</w:t>
            </w:r>
          </w:p>
        </w:tc>
        <w:tc>
          <w:tcPr>
            <w:tcW w:w="5295" w:type="dxa"/>
            <w:noWrap w:val="0"/>
            <w:vAlign w:val="center"/>
          </w:tcPr>
          <w:p w14:paraId="07DD0548">
            <w:pPr>
              <w:rPr>
                <w:rFonts w:hint="eastAsia"/>
              </w:rPr>
            </w:pPr>
            <w:r>
              <w:rPr>
                <w:rFonts w:hint="eastAsia"/>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2560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851" w:type="dxa"/>
            <w:noWrap w:val="0"/>
            <w:vAlign w:val="center"/>
          </w:tcPr>
          <w:p w14:paraId="5EA577FB">
            <w:pPr>
              <w:spacing w:line="312" w:lineRule="auto"/>
              <w:jc w:val="center"/>
              <w:rPr>
                <w:rFonts w:hint="eastAsia"/>
              </w:rPr>
            </w:pPr>
            <w:r>
              <w:rPr>
                <w:rFonts w:hint="eastAsia"/>
              </w:rPr>
              <w:t>10.5</w:t>
            </w:r>
          </w:p>
        </w:tc>
        <w:tc>
          <w:tcPr>
            <w:tcW w:w="2268" w:type="dxa"/>
            <w:noWrap w:val="0"/>
            <w:vAlign w:val="center"/>
          </w:tcPr>
          <w:p w14:paraId="32751C4C">
            <w:pPr>
              <w:rPr>
                <w:rFonts w:hint="eastAsia"/>
              </w:rPr>
            </w:pPr>
            <w:r>
              <w:rPr>
                <w:rFonts w:hint="eastAsia"/>
              </w:rPr>
              <w:t>同义词语</w:t>
            </w:r>
          </w:p>
        </w:tc>
        <w:tc>
          <w:tcPr>
            <w:tcW w:w="5295" w:type="dxa"/>
            <w:noWrap w:val="0"/>
            <w:vAlign w:val="center"/>
          </w:tcPr>
          <w:p w14:paraId="31ED445F">
            <w:pPr>
              <w:rPr>
                <w:rFonts w:hint="eastAsia"/>
              </w:rPr>
            </w:pPr>
            <w:r>
              <w:rPr>
                <w:rFonts w:hint="eastAsia"/>
              </w:rPr>
              <w:t>构成招标文件组成部分的“通用合同条款”、“专用合同条款”、“技术标准和要求”和“工程量清单”等章节中出现的措辞“发包人”和“承包人”，在招标投标阶段应当分别按“招标人”和“投标人”进行理解。</w:t>
            </w:r>
          </w:p>
        </w:tc>
      </w:tr>
      <w:tr w14:paraId="64F8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0" w:hRule="atLeast"/>
        </w:trPr>
        <w:tc>
          <w:tcPr>
            <w:tcW w:w="851" w:type="dxa"/>
            <w:noWrap w:val="0"/>
            <w:vAlign w:val="center"/>
          </w:tcPr>
          <w:p w14:paraId="0DF14CE5">
            <w:pPr>
              <w:spacing w:line="312" w:lineRule="auto"/>
              <w:jc w:val="center"/>
              <w:rPr>
                <w:rFonts w:hint="eastAsia"/>
              </w:rPr>
            </w:pPr>
            <w:r>
              <w:rPr>
                <w:rFonts w:hint="eastAsia"/>
              </w:rPr>
              <w:t>10.6</w:t>
            </w:r>
          </w:p>
        </w:tc>
        <w:tc>
          <w:tcPr>
            <w:tcW w:w="2268" w:type="dxa"/>
            <w:noWrap w:val="0"/>
            <w:vAlign w:val="center"/>
          </w:tcPr>
          <w:p w14:paraId="012A17CE">
            <w:pPr>
              <w:spacing w:line="312" w:lineRule="auto"/>
              <w:rPr>
                <w:rFonts w:hint="eastAsia"/>
              </w:rPr>
            </w:pPr>
            <w:r>
              <w:rPr>
                <w:rFonts w:hint="eastAsia"/>
              </w:rPr>
              <w:t>解释权</w:t>
            </w:r>
          </w:p>
        </w:tc>
        <w:tc>
          <w:tcPr>
            <w:tcW w:w="5295" w:type="dxa"/>
            <w:noWrap w:val="0"/>
            <w:vAlign w:val="center"/>
          </w:tcPr>
          <w:p w14:paraId="26168360">
            <w:pPr>
              <w:rPr>
                <w:rFonts w:hint="eastAsia"/>
              </w:rPr>
            </w:pPr>
            <w:r>
              <w:rPr>
                <w:rFonts w:hint="eastAsia"/>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05365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51" w:type="dxa"/>
            <w:noWrap w:val="0"/>
            <w:vAlign w:val="center"/>
          </w:tcPr>
          <w:p w14:paraId="15B2949A">
            <w:pPr>
              <w:spacing w:line="312" w:lineRule="auto"/>
              <w:jc w:val="center"/>
              <w:rPr>
                <w:rFonts w:hint="eastAsia"/>
              </w:rPr>
            </w:pPr>
            <w:r>
              <w:rPr>
                <w:rFonts w:hint="eastAsia"/>
              </w:rPr>
              <w:t>10.7</w:t>
            </w:r>
          </w:p>
        </w:tc>
        <w:tc>
          <w:tcPr>
            <w:tcW w:w="2268" w:type="dxa"/>
            <w:noWrap w:val="0"/>
            <w:vAlign w:val="center"/>
          </w:tcPr>
          <w:p w14:paraId="01F3F83D">
            <w:pPr>
              <w:rPr>
                <w:rFonts w:hint="eastAsia"/>
              </w:rPr>
            </w:pPr>
            <w:r>
              <w:rPr>
                <w:rFonts w:hint="eastAsia"/>
              </w:rPr>
              <w:t>交易平台信息服务费</w:t>
            </w:r>
          </w:p>
        </w:tc>
        <w:tc>
          <w:tcPr>
            <w:tcW w:w="5295" w:type="dxa"/>
            <w:noWrap w:val="0"/>
            <w:vAlign w:val="center"/>
          </w:tcPr>
          <w:p w14:paraId="04669BE4">
            <w:pPr>
              <w:rPr>
                <w:rFonts w:hint="eastAsia"/>
                <w:u w:val="single"/>
              </w:rPr>
            </w:pPr>
            <w:r>
              <w:rPr>
                <w:rFonts w:hint="eastAsia"/>
                <w:u w:val="single"/>
              </w:rPr>
              <w:t xml:space="preserve">           /            </w:t>
            </w:r>
          </w:p>
        </w:tc>
      </w:tr>
      <w:tr w14:paraId="76E0C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851" w:type="dxa"/>
            <w:noWrap w:val="0"/>
            <w:vAlign w:val="center"/>
          </w:tcPr>
          <w:p w14:paraId="4DCA03A8">
            <w:pPr>
              <w:spacing w:line="312" w:lineRule="auto"/>
              <w:jc w:val="center"/>
              <w:rPr>
                <w:rFonts w:hint="eastAsia"/>
              </w:rPr>
            </w:pPr>
            <w:r>
              <w:rPr>
                <w:rFonts w:hint="eastAsia"/>
              </w:rPr>
              <w:t>10.8</w:t>
            </w:r>
          </w:p>
        </w:tc>
        <w:tc>
          <w:tcPr>
            <w:tcW w:w="2268" w:type="dxa"/>
            <w:noWrap w:val="0"/>
            <w:vAlign w:val="center"/>
          </w:tcPr>
          <w:p w14:paraId="395916E7">
            <w:pPr>
              <w:spacing w:line="312" w:lineRule="auto"/>
              <w:rPr>
                <w:rFonts w:hint="eastAsia" w:ascii="宋体" w:hAnsi="宋体"/>
                <w:szCs w:val="21"/>
              </w:rPr>
            </w:pPr>
            <w:r>
              <w:rPr>
                <w:rFonts w:hint="eastAsia" w:ascii="宋体" w:cs="宋体"/>
                <w:spacing w:val="4"/>
                <w:kern w:val="0"/>
                <w:sz w:val="22"/>
                <w:szCs w:val="22"/>
              </w:rPr>
              <w:t>招标代理服务费</w:t>
            </w:r>
          </w:p>
        </w:tc>
        <w:tc>
          <w:tcPr>
            <w:tcW w:w="5295" w:type="dxa"/>
            <w:noWrap w:val="0"/>
            <w:vAlign w:val="center"/>
          </w:tcPr>
          <w:p w14:paraId="13827D11">
            <w:pPr>
              <w:spacing w:line="440" w:lineRule="exact"/>
              <w:rPr>
                <w:rFonts w:hint="eastAsia"/>
                <w:szCs w:val="21"/>
              </w:rPr>
            </w:pPr>
            <w:r>
              <w:rPr>
                <w:sz w:val="32"/>
                <w:szCs w:val="32"/>
              </w:rPr>
              <w:t>□</w:t>
            </w:r>
            <w:r>
              <w:rPr>
                <w:rFonts w:hint="eastAsia"/>
                <w:szCs w:val="21"/>
              </w:rPr>
              <w:t>本次招标没有招标代理服务费。</w:t>
            </w:r>
          </w:p>
          <w:p w14:paraId="23AE453D">
            <w:pPr>
              <w:adjustRightInd w:val="0"/>
              <w:snapToGrid w:val="0"/>
              <w:jc w:val="left"/>
              <w:rPr>
                <w:rFonts w:hint="eastAsia"/>
                <w:szCs w:val="21"/>
              </w:rPr>
            </w:pPr>
            <w:r>
              <w:rPr>
                <w:rFonts w:hint="eastAsia"/>
                <w:sz w:val="32"/>
                <w:szCs w:val="32"/>
                <w:lang w:eastAsia="zh-CN"/>
              </w:rPr>
              <w:t>☑</w:t>
            </w:r>
            <w:r>
              <w:rPr>
                <w:rFonts w:hint="eastAsia"/>
                <w:szCs w:val="21"/>
              </w:rPr>
              <w:t>本次招标有招标代理服务费。根据</w:t>
            </w:r>
            <w:r>
              <w:rPr>
                <w:szCs w:val="21"/>
              </w:rPr>
              <w:t>招标人</w:t>
            </w:r>
            <w:r>
              <w:rPr>
                <w:rFonts w:hint="eastAsia"/>
                <w:szCs w:val="21"/>
              </w:rPr>
              <w:t>和</w:t>
            </w:r>
            <w:r>
              <w:rPr>
                <w:szCs w:val="21"/>
              </w:rPr>
              <w:t>招标代理机构</w:t>
            </w:r>
            <w:r>
              <w:rPr>
                <w:rFonts w:hint="eastAsia"/>
                <w:szCs w:val="21"/>
              </w:rPr>
              <w:t>委托代理合同的约定，本项目招标代理服务费：</w:t>
            </w:r>
          </w:p>
          <w:p w14:paraId="3AE60CE2">
            <w:pPr>
              <w:spacing w:line="350" w:lineRule="exact"/>
              <w:ind w:firstLine="320" w:firstLineChars="100"/>
              <w:rPr>
                <w:rFonts w:hint="eastAsia"/>
                <w:szCs w:val="21"/>
              </w:rPr>
            </w:pPr>
            <w:r>
              <w:rPr>
                <w:sz w:val="32"/>
                <w:szCs w:val="32"/>
              </w:rPr>
              <w:t>□</w:t>
            </w:r>
            <w:r>
              <w:rPr>
                <w:rFonts w:hint="eastAsia"/>
                <w:szCs w:val="21"/>
              </w:rPr>
              <w:t>由招标人支付。</w:t>
            </w:r>
          </w:p>
          <w:p w14:paraId="3A3FA6F8">
            <w:pPr>
              <w:spacing w:line="360" w:lineRule="exact"/>
              <w:ind w:firstLine="320" w:firstLineChars="100"/>
              <w:rPr>
                <w:rFonts w:hint="eastAsia"/>
                <w:szCs w:val="21"/>
              </w:rPr>
            </w:pPr>
            <w:r>
              <w:rPr>
                <w:rFonts w:hint="eastAsia"/>
                <w:sz w:val="32"/>
                <w:szCs w:val="32"/>
                <w:lang w:eastAsia="zh-CN"/>
              </w:rPr>
              <w:t>☑</w:t>
            </w:r>
            <w:r>
              <w:rPr>
                <w:rFonts w:hint="eastAsia"/>
                <w:szCs w:val="21"/>
              </w:rPr>
              <w:t>由中标人支付。</w:t>
            </w:r>
          </w:p>
          <w:p w14:paraId="384663AA">
            <w:pPr>
              <w:rPr>
                <w:rFonts w:hint="eastAsia"/>
                <w:szCs w:val="21"/>
              </w:rPr>
            </w:pPr>
            <w:r>
              <w:rPr>
                <w:rFonts w:hint="eastAsia"/>
                <w:szCs w:val="21"/>
              </w:rPr>
              <w:t xml:space="preserve">     支付标准：</w:t>
            </w:r>
            <w:r>
              <w:rPr>
                <w:rFonts w:hint="eastAsia"/>
                <w:szCs w:val="21"/>
                <w:u w:val="single"/>
              </w:rPr>
              <w:t>参照湖北省住房和城乡建设厅《湖北省招标代理服务收费参考标准（试行）》（鄂建文〔2023〕35 号）规定的收费标准收取</w:t>
            </w:r>
            <w:r>
              <w:rPr>
                <w:rFonts w:hint="eastAsia"/>
                <w:szCs w:val="21"/>
              </w:rPr>
              <w:t xml:space="preserve"> ；</w:t>
            </w:r>
          </w:p>
          <w:p w14:paraId="693408B5">
            <w:pPr>
              <w:rPr>
                <w:rFonts w:hint="eastAsia"/>
                <w:szCs w:val="21"/>
              </w:rPr>
            </w:pPr>
            <w:r>
              <w:rPr>
                <w:rFonts w:hint="eastAsia"/>
                <w:szCs w:val="21"/>
              </w:rPr>
              <w:t xml:space="preserve">     支付方式：</w:t>
            </w:r>
            <w:r>
              <w:rPr>
                <w:rFonts w:hint="eastAsia"/>
                <w:szCs w:val="21"/>
                <w:u w:val="single"/>
              </w:rPr>
              <w:t>现金或转账</w:t>
            </w:r>
            <w:r>
              <w:rPr>
                <w:rFonts w:hint="eastAsia"/>
                <w:szCs w:val="21"/>
              </w:rPr>
              <w:t xml:space="preserve"> ；</w:t>
            </w:r>
          </w:p>
          <w:p w14:paraId="2E69BF47">
            <w:pPr>
              <w:rPr>
                <w:rFonts w:hint="eastAsia"/>
              </w:rPr>
            </w:pPr>
            <w:r>
              <w:rPr>
                <w:rFonts w:hint="eastAsia"/>
                <w:szCs w:val="21"/>
              </w:rPr>
              <w:t xml:space="preserve">     支付时间：</w:t>
            </w:r>
            <w:r>
              <w:rPr>
                <w:rFonts w:hint="eastAsia"/>
                <w:szCs w:val="21"/>
                <w:u w:val="single"/>
              </w:rPr>
              <w:t>由投标人在领取</w:t>
            </w:r>
            <w:r>
              <w:rPr>
                <w:rFonts w:hint="eastAsia"/>
                <w:szCs w:val="21"/>
                <w:u w:val="single"/>
                <w:lang w:val="en-US" w:eastAsia="zh-CN"/>
              </w:rPr>
              <w:t>中标</w:t>
            </w:r>
            <w:r>
              <w:rPr>
                <w:rFonts w:hint="eastAsia"/>
                <w:szCs w:val="21"/>
                <w:u w:val="single"/>
              </w:rPr>
              <w:t>通知书的同时，向代理机构支付</w:t>
            </w:r>
            <w:r>
              <w:rPr>
                <w:rFonts w:hint="eastAsia"/>
                <w:szCs w:val="21"/>
              </w:rPr>
              <w:t>。</w:t>
            </w:r>
          </w:p>
        </w:tc>
      </w:tr>
      <w:tr w14:paraId="72B6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851" w:type="dxa"/>
            <w:noWrap w:val="0"/>
            <w:vAlign w:val="center"/>
          </w:tcPr>
          <w:p w14:paraId="53593AAF">
            <w:pPr>
              <w:jc w:val="center"/>
              <w:rPr>
                <w:rFonts w:hint="eastAsia"/>
              </w:rPr>
            </w:pPr>
            <w:r>
              <w:rPr>
                <w:rFonts w:hint="eastAsia"/>
              </w:rPr>
              <w:t>10.9</w:t>
            </w:r>
          </w:p>
        </w:tc>
        <w:tc>
          <w:tcPr>
            <w:tcW w:w="2268" w:type="dxa"/>
            <w:noWrap w:val="0"/>
            <w:vAlign w:val="center"/>
          </w:tcPr>
          <w:p w14:paraId="2289F3C0">
            <w:pPr>
              <w:rPr>
                <w:rFonts w:hint="eastAsia"/>
              </w:rPr>
            </w:pPr>
            <w:r>
              <w:rPr>
                <w:rFonts w:hint="eastAsia"/>
              </w:rPr>
              <w:t>政府采购</w:t>
            </w:r>
          </w:p>
          <w:p w14:paraId="682708D4">
            <w:pPr>
              <w:rPr>
                <w:rFonts w:hint="eastAsia"/>
              </w:rPr>
            </w:pPr>
            <w:r>
              <w:rPr>
                <w:rFonts w:hint="eastAsia"/>
              </w:rPr>
              <w:t>合同融资政策</w:t>
            </w:r>
          </w:p>
        </w:tc>
        <w:tc>
          <w:tcPr>
            <w:tcW w:w="5295" w:type="dxa"/>
            <w:noWrap w:val="0"/>
            <w:vAlign w:val="center"/>
          </w:tcPr>
          <w:p w14:paraId="09E85D0B">
            <w:pPr>
              <w:rPr>
                <w:rFonts w:hint="eastAsia"/>
              </w:rPr>
            </w:pPr>
            <w:r>
              <w:rPr>
                <w:rFonts w:hint="eastAsia"/>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1BB627AE">
            <w:pPr>
              <w:rPr>
                <w:rFonts w:hint="eastAsia"/>
                <w:u w:val="single"/>
              </w:rPr>
            </w:pPr>
            <w:r>
              <w:rPr>
                <w:rFonts w:hint="eastAsia"/>
                <w:u w:val="single"/>
              </w:rPr>
              <w:t>“政采贷”业务政策：《湖北省政府采购合同融资实施方案》（鄂财采发[2020]5号）</w:t>
            </w:r>
          </w:p>
          <w:p w14:paraId="1EC84B8C">
            <w:r>
              <w:rPr>
                <w:rFonts w:hint="eastAsia"/>
                <w:u w:val="single"/>
              </w:rPr>
              <w:t>“政采贷”业务申请：湖北省政府采购合同融资平台（https://czt.hubei.gov.cn/zcd/homepage）</w:t>
            </w:r>
          </w:p>
        </w:tc>
      </w:tr>
      <w:tr w14:paraId="4F9D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rPr>
        <w:tc>
          <w:tcPr>
            <w:tcW w:w="851" w:type="dxa"/>
            <w:noWrap w:val="0"/>
            <w:vAlign w:val="center"/>
          </w:tcPr>
          <w:p w14:paraId="6ACA00E9">
            <w:pPr>
              <w:spacing w:line="312" w:lineRule="auto"/>
              <w:jc w:val="center"/>
              <w:rPr>
                <w:rFonts w:hint="eastAsia"/>
              </w:rPr>
            </w:pPr>
            <w:r>
              <w:rPr>
                <w:rFonts w:hint="eastAsia"/>
              </w:rPr>
              <w:t>10.10</w:t>
            </w:r>
          </w:p>
        </w:tc>
        <w:tc>
          <w:tcPr>
            <w:tcW w:w="2268" w:type="dxa"/>
            <w:noWrap w:val="0"/>
            <w:vAlign w:val="center"/>
          </w:tcPr>
          <w:p w14:paraId="4E1F1CF1">
            <w:pPr>
              <w:rPr>
                <w:rFonts w:hint="eastAsia"/>
              </w:rPr>
            </w:pPr>
            <w:r>
              <w:rPr>
                <w:rFonts w:hint="eastAsia"/>
              </w:rPr>
              <w:t>招标人补充的其他内</w:t>
            </w:r>
          </w:p>
          <w:p w14:paraId="6B93FBD2">
            <w:pPr>
              <w:rPr>
                <w:rFonts w:hint="eastAsia"/>
              </w:rPr>
            </w:pPr>
            <w:r>
              <w:rPr>
                <w:rFonts w:hint="eastAsia"/>
              </w:rPr>
              <w:t>容</w:t>
            </w:r>
          </w:p>
        </w:tc>
        <w:tc>
          <w:tcPr>
            <w:tcW w:w="5295" w:type="dxa"/>
            <w:noWrap w:val="0"/>
            <w:vAlign w:val="center"/>
          </w:tcPr>
          <w:p w14:paraId="234396F8">
            <w:pPr>
              <w:rPr>
                <w:rFonts w:hint="eastAsia"/>
              </w:rPr>
            </w:pPr>
            <w:r>
              <w:rPr>
                <w:rFonts w:hint="eastAsia"/>
              </w:rPr>
              <w:t>本项目采用“评定分离”办法确定中标人，评标完成后，评标委员会应向招标人提交书面评标报告，投标人数量少于或等于 10 家时，评标委员会推荐 3 家中标候选人(不排序):投标人数量大于 10 家时，推荐 5 家中标候选人(不排序)。并对中标候选人予以公示，公示期 3 日。若通过详细评审的投标人小于 3 家，由评标委员会作出</w:t>
            </w:r>
          </w:p>
          <w:p w14:paraId="7D890AAB">
            <w:pPr>
              <w:rPr>
                <w:rFonts w:hint="eastAsia"/>
              </w:rPr>
            </w:pPr>
            <w:r>
              <w:rPr>
                <w:rFonts w:hint="eastAsia"/>
              </w:rPr>
              <w:t>是否具备竞争性判定，如具备竞争性，可继续推荐定标候选人。否则，招标人重新招标。 定标规则:定标候选人公示期结束后无异议的，招标人原则上应在定标候选</w:t>
            </w:r>
          </w:p>
          <w:p w14:paraId="6B98D01C">
            <w:pPr>
              <w:rPr>
                <w:rFonts w:hint="eastAsia"/>
              </w:rPr>
            </w:pPr>
            <w:r>
              <w:rPr>
                <w:rFonts w:hint="eastAsia"/>
              </w:rPr>
              <w:t>人公示结束后 3 个工作日内召开定标会议确定中标人，如有特殊情况,最迟应当在定标候选人公示结束后 5 个工作日内召开定标会。招标人负责组建定标委员会，数量为 5 人或 5 人以上的单数。确有需要的，招标人可以指定个别外聘人员参与定标。招标人直接指定的外聘人员不得超过定标委员会成员总数的三分之一，定标委员会成员名单在定标会议结束前应当保密。定标委员会成员应客观、公正地履行定标职责， 对所提出的定标意见承担相应责任。定标委员会成员有下列情形之一的，应当回避：(1)投标人的主要负责人的近亲属； (2)与投标人有经济利益关系，可能影响对投标公正评审的；（3）曾因在招标、评标以及其他与招标投标有关活动中存在</w:t>
            </w:r>
          </w:p>
          <w:p w14:paraId="69F73BAD">
            <w:pPr>
              <w:rPr>
                <w:rFonts w:hint="eastAsia"/>
              </w:rPr>
            </w:pPr>
            <w:r>
              <w:rPr>
                <w:rFonts w:hint="eastAsia"/>
              </w:rPr>
              <w:t>违法违规行为而受到通报批评、行政处罚或刑事处罚的；(4)法律法规规定的其他情形。招标人可以对定标候选人进行定标前考察，并将考察结果提交定标委员会参考。招标人组织考察的，定标时间可以适当延迟，但延迟一般不超过 5 个工作日。 招标人负责组织召开定标会议，定标会议在招标人会议室召开，具体时间电话通知，在定标前向定标委员会介绍项目基本情况、定标候选人情况、评标委员会的评审意见、定标前考察情况(如有)以及定标规则等内容，不得出现明示或暗示中标单位的内容。定标委员会应结合项目实际和评标委员会的评审意见，采用票决定标法确定中标人。上述定标因素的参考依据为投标人递交的投标文件、评标委员会评审意见以及定标候选人考察报告(如有) 。定标委员会采用下列方法确定中标人：定标原则：定标委员会依据招标文件的要求、投标文件的响应、定标候选人的企业资质、财务能力、类似业绩、技术人员等情况，结合本项目的特点，最终采用票决数量法评选出中标人。票决数量法:定标委员会成员对定标候选人进行记名投票，得票最高的即为中标人。当最高得票相同时,对得票 最高的定标候选人再次进行记名投票，直至选出中标人。 定标委员会应从评标委员会推荐的定标候选人中确定 1 名中标人，并向招标人提交定标报告。定标活动应全程录音录像，建立全过程档案，便于过后进行追溯。 确定中标人、定标程序 (1)签到，宣读定标委员会成员名单；(2)定标监督小组监督员宣读定标纪律；(3)招标人向定标委员会介绍项目基本情况、定标候选人情况、评标委员会的评审意见、定标前考察情况(如有)以及定标规则； (4)定标委员会审阅相关资料；(5)定标委员会依据招标文件中明确的定标规则和定标程序进行定标，形成定标报告； (6)定标委员会成员签署定标报告，会议结束； (7)定标监督小组对定标活动全过程进行监督。中标结果公告招标人应在确定中标人后 3 日内，在项目所属交易信息网上发布中标结果公告，告知所有未中标的投标人，并向中标人发出中标通知书。 投标人或者其他利害关系人对依法必须进行招标的项目有异议或投诉的，按照《中华人民共和国招标投标法实施条例》有关规定进行处理。中标人放弃中标、不可抗力不能履行合同、不按照招标文件要求提交履约保证金（如有）或因异议、投诉查实被取消中标资格的,招标人可以在剩余中标候选人中重新组织定标，也可以重新招标。若重新组织定标，当剩余中标候选人小于 3家时，可以选择递补至 3 家(由评标委员会按投标人得分由高到低依序推荐递补单位，无法递补)时不再递补)后继续定标。投标人须严格按照招标文件要求对招标文件中相关事项做出实质性响应。投标人未按招标文件要求编制投标文件、不响应或者响应内容不完整的，均视为未响应招标文件实质性要求，由评标委员会或招标人按无效投标文件处理, 取消投标或中标资格。</w:t>
            </w:r>
          </w:p>
        </w:tc>
      </w:tr>
    </w:tbl>
    <w:p w14:paraId="383C5D08">
      <w:pPr>
        <w:rPr>
          <w:rFonts w:hint="eastAsia"/>
        </w:rPr>
      </w:pPr>
    </w:p>
    <w:p w14:paraId="318A5F4C">
      <w:pPr>
        <w:bidi w:val="0"/>
        <w:rPr>
          <w:rFonts w:hint="eastAsia"/>
        </w:rPr>
      </w:pPr>
      <w:bookmarkStart w:id="13" w:name="_Toc108513495"/>
    </w:p>
    <w:p w14:paraId="4E9643DD">
      <w:pPr>
        <w:bidi w:val="0"/>
        <w:rPr>
          <w:rFonts w:hint="eastAsia"/>
        </w:rPr>
      </w:pPr>
    </w:p>
    <w:p w14:paraId="35745F01">
      <w:pPr>
        <w:bidi w:val="0"/>
        <w:rPr>
          <w:rFonts w:hint="eastAsia"/>
        </w:rPr>
      </w:pPr>
    </w:p>
    <w:p w14:paraId="45F38729">
      <w:pPr>
        <w:bidi w:val="0"/>
        <w:rPr>
          <w:rFonts w:hint="eastAsia"/>
        </w:rPr>
      </w:pPr>
    </w:p>
    <w:p w14:paraId="2669A1E0">
      <w:pPr>
        <w:bidi w:val="0"/>
        <w:rPr>
          <w:rFonts w:hint="eastAsia"/>
        </w:rPr>
      </w:pPr>
    </w:p>
    <w:p w14:paraId="779C9765">
      <w:pPr>
        <w:bidi w:val="0"/>
        <w:rPr>
          <w:rFonts w:hint="eastAsia"/>
        </w:rPr>
      </w:pPr>
    </w:p>
    <w:p w14:paraId="0FD39FD4">
      <w:pPr>
        <w:bidi w:val="0"/>
        <w:rPr>
          <w:rFonts w:hint="eastAsia"/>
        </w:rPr>
      </w:pPr>
    </w:p>
    <w:p w14:paraId="5A246E59">
      <w:pPr>
        <w:bidi w:val="0"/>
        <w:rPr>
          <w:rFonts w:hint="eastAsia"/>
        </w:rPr>
      </w:pPr>
    </w:p>
    <w:p w14:paraId="7A8925FD">
      <w:pPr>
        <w:bidi w:val="0"/>
        <w:rPr>
          <w:rFonts w:hint="eastAsia"/>
        </w:rPr>
      </w:pPr>
    </w:p>
    <w:p w14:paraId="72A9761D">
      <w:pPr>
        <w:bidi w:val="0"/>
        <w:rPr>
          <w:rFonts w:hint="eastAsia"/>
        </w:rPr>
      </w:pPr>
    </w:p>
    <w:p w14:paraId="28092D90">
      <w:pPr>
        <w:bidi w:val="0"/>
        <w:rPr>
          <w:rFonts w:hint="eastAsia"/>
        </w:rPr>
      </w:pPr>
    </w:p>
    <w:p w14:paraId="0F22F4BB">
      <w:pPr>
        <w:bidi w:val="0"/>
        <w:rPr>
          <w:rFonts w:hint="eastAsia"/>
        </w:rPr>
      </w:pPr>
    </w:p>
    <w:p w14:paraId="0756EABE">
      <w:pPr>
        <w:bidi w:val="0"/>
        <w:rPr>
          <w:rFonts w:hint="eastAsia"/>
        </w:rPr>
      </w:pPr>
    </w:p>
    <w:p w14:paraId="5312F950">
      <w:pPr>
        <w:bidi w:val="0"/>
        <w:rPr>
          <w:rFonts w:hint="eastAsia"/>
        </w:rPr>
      </w:pPr>
    </w:p>
    <w:p w14:paraId="525BA5FD">
      <w:pPr>
        <w:bidi w:val="0"/>
        <w:rPr>
          <w:rFonts w:hint="eastAsia"/>
        </w:rPr>
      </w:pPr>
    </w:p>
    <w:p w14:paraId="01F564D3">
      <w:pPr>
        <w:bidi w:val="0"/>
        <w:rPr>
          <w:rFonts w:hint="eastAsia"/>
        </w:rPr>
      </w:pPr>
    </w:p>
    <w:p w14:paraId="26C6696D">
      <w:pPr>
        <w:bidi w:val="0"/>
        <w:rPr>
          <w:rFonts w:hint="eastAsia"/>
        </w:rPr>
      </w:pPr>
    </w:p>
    <w:p w14:paraId="3A16C91A">
      <w:pPr>
        <w:bidi w:val="0"/>
        <w:rPr>
          <w:rFonts w:hint="eastAsia"/>
        </w:rPr>
      </w:pPr>
    </w:p>
    <w:p w14:paraId="4B0CFC93">
      <w:pPr>
        <w:bidi w:val="0"/>
        <w:rPr>
          <w:rFonts w:hint="eastAsia"/>
        </w:rPr>
      </w:pPr>
    </w:p>
    <w:p w14:paraId="5B338AE1">
      <w:pPr>
        <w:bidi w:val="0"/>
        <w:rPr>
          <w:rFonts w:hint="eastAsia"/>
        </w:rPr>
      </w:pPr>
    </w:p>
    <w:p w14:paraId="375075A5">
      <w:pPr>
        <w:bidi w:val="0"/>
        <w:rPr>
          <w:rFonts w:hint="eastAsia"/>
        </w:rPr>
      </w:pPr>
    </w:p>
    <w:p w14:paraId="07C91B30">
      <w:pPr>
        <w:bidi w:val="0"/>
        <w:rPr>
          <w:rFonts w:hint="eastAsia"/>
        </w:rPr>
      </w:pPr>
    </w:p>
    <w:p w14:paraId="218038D2">
      <w:pPr>
        <w:bidi w:val="0"/>
        <w:rPr>
          <w:rFonts w:hint="eastAsia"/>
        </w:rPr>
      </w:pPr>
    </w:p>
    <w:p w14:paraId="37F6E909">
      <w:pPr>
        <w:bidi w:val="0"/>
        <w:rPr>
          <w:rFonts w:hint="eastAsia"/>
        </w:rPr>
      </w:pPr>
    </w:p>
    <w:p w14:paraId="690EAF22">
      <w:pPr>
        <w:bidi w:val="0"/>
        <w:rPr>
          <w:rFonts w:hint="eastAsia"/>
        </w:rPr>
      </w:pPr>
    </w:p>
    <w:p w14:paraId="4BBDB67A">
      <w:pPr>
        <w:pStyle w:val="19"/>
        <w:bidi w:val="0"/>
        <w:rPr>
          <w:rFonts w:hint="eastAsia"/>
        </w:rPr>
      </w:pPr>
      <w:r>
        <w:rPr>
          <w:rFonts w:hint="eastAsia"/>
        </w:rPr>
        <w:t>投标人须知正文部分</w:t>
      </w:r>
      <w:bookmarkEnd w:id="13"/>
    </w:p>
    <w:p w14:paraId="118D1CF0">
      <w:pPr>
        <w:pStyle w:val="18"/>
        <w:rPr>
          <w:rFonts w:hint="eastAsia"/>
        </w:rPr>
      </w:pPr>
      <w:bookmarkStart w:id="14" w:name="_Toc108513496"/>
      <w:bookmarkStart w:id="15" w:name="_Toc144974497"/>
      <w:bookmarkStart w:id="16" w:name="_Toc152045529"/>
      <w:bookmarkStart w:id="17" w:name="_Toc152042305"/>
      <w:bookmarkStart w:id="18" w:name="_Toc179632546"/>
      <w:r>
        <w:rPr>
          <w:rFonts w:hint="eastAsia"/>
        </w:rPr>
        <w:t>1. 总则</w:t>
      </w:r>
      <w:bookmarkEnd w:id="14"/>
      <w:bookmarkEnd w:id="15"/>
      <w:bookmarkEnd w:id="16"/>
      <w:bookmarkEnd w:id="17"/>
      <w:bookmarkEnd w:id="18"/>
    </w:p>
    <w:p w14:paraId="3F2BA5D6">
      <w:pPr>
        <w:pStyle w:val="20"/>
        <w:rPr>
          <w:rFonts w:hint="eastAsia"/>
        </w:rPr>
      </w:pPr>
      <w:bookmarkStart w:id="19" w:name="_Toc108513497"/>
      <w:bookmarkStart w:id="20" w:name="_Toc144974498"/>
      <w:bookmarkStart w:id="21" w:name="_Toc152045530"/>
      <w:bookmarkStart w:id="22" w:name="_Toc152042306"/>
      <w:bookmarkStart w:id="23" w:name="_Toc179632547"/>
      <w:r>
        <w:rPr>
          <w:rFonts w:hint="eastAsia"/>
        </w:rPr>
        <w:t>1.1 项目概况</w:t>
      </w:r>
      <w:bookmarkEnd w:id="19"/>
      <w:bookmarkEnd w:id="20"/>
      <w:bookmarkEnd w:id="21"/>
      <w:bookmarkEnd w:id="22"/>
      <w:bookmarkEnd w:id="23"/>
    </w:p>
    <w:p w14:paraId="724DCAA0">
      <w:pPr>
        <w:spacing w:line="400" w:lineRule="exact"/>
        <w:ind w:firstLine="420" w:firstLineChars="200"/>
        <w:rPr>
          <w:rFonts w:hint="eastAsia"/>
        </w:rPr>
      </w:pPr>
      <w:r>
        <w:rPr>
          <w:rFonts w:hint="eastAsia"/>
        </w:rPr>
        <w:t>1.1.1根据《中华人民共和国招标投标法》等有关法律、法规和规章的规定，本招标项目已具备招标条件，现对本标段施工进行招标。</w:t>
      </w:r>
    </w:p>
    <w:p w14:paraId="10D60152">
      <w:pPr>
        <w:spacing w:line="400" w:lineRule="exact"/>
        <w:ind w:firstLine="420" w:firstLineChars="200"/>
        <w:rPr>
          <w:rFonts w:hint="eastAsia"/>
        </w:rPr>
      </w:pPr>
      <w:r>
        <w:rPr>
          <w:rFonts w:hint="eastAsia"/>
        </w:rPr>
        <w:t>1.1.2 本招标项目招标人：见投标人须知前附表。</w:t>
      </w:r>
    </w:p>
    <w:p w14:paraId="5E60D108">
      <w:pPr>
        <w:spacing w:line="400" w:lineRule="exact"/>
        <w:ind w:firstLine="420" w:firstLineChars="200"/>
        <w:rPr>
          <w:rFonts w:hint="eastAsia"/>
        </w:rPr>
      </w:pPr>
      <w:r>
        <w:rPr>
          <w:rFonts w:hint="eastAsia"/>
        </w:rPr>
        <w:t>1.1.3 本标段招标代理机构：见投标人须知前附表。</w:t>
      </w:r>
    </w:p>
    <w:p w14:paraId="783F68C4">
      <w:pPr>
        <w:spacing w:line="400" w:lineRule="exact"/>
        <w:ind w:firstLine="420" w:firstLineChars="200"/>
        <w:rPr>
          <w:rFonts w:hint="eastAsia"/>
        </w:rPr>
      </w:pPr>
      <w:r>
        <w:rPr>
          <w:rFonts w:hint="eastAsia"/>
        </w:rPr>
        <w:t>1.1.4 本招标项目名称：见投标人须知前附表。</w:t>
      </w:r>
    </w:p>
    <w:p w14:paraId="352B3CBB">
      <w:pPr>
        <w:spacing w:line="400" w:lineRule="exact"/>
        <w:ind w:firstLine="420" w:firstLineChars="200"/>
        <w:rPr>
          <w:rFonts w:hint="eastAsia"/>
        </w:rPr>
      </w:pPr>
      <w:r>
        <w:rPr>
          <w:rFonts w:hint="eastAsia"/>
        </w:rPr>
        <w:t>1.1.5 本标段建设地点：见投标人须知前附表。</w:t>
      </w:r>
    </w:p>
    <w:p w14:paraId="6F5D7107">
      <w:pPr>
        <w:spacing w:line="400" w:lineRule="exact"/>
        <w:ind w:firstLine="420" w:firstLineChars="200"/>
        <w:rPr>
          <w:rFonts w:hint="eastAsia"/>
        </w:rPr>
      </w:pPr>
      <w:r>
        <w:rPr>
          <w:rFonts w:hint="eastAsia"/>
        </w:rPr>
        <w:t>1.1.6 本标段设计人：见申请人须知前附表。</w:t>
      </w:r>
    </w:p>
    <w:p w14:paraId="685E441C">
      <w:pPr>
        <w:spacing w:line="400" w:lineRule="exact"/>
        <w:ind w:firstLine="420" w:firstLineChars="200"/>
        <w:rPr>
          <w:rFonts w:hint="eastAsia"/>
        </w:rPr>
      </w:pPr>
      <w:r>
        <w:rPr>
          <w:rFonts w:hint="eastAsia"/>
        </w:rPr>
        <w:t>1.1.7 本标段监理人：见申请人须知前附表。</w:t>
      </w:r>
    </w:p>
    <w:p w14:paraId="745FD8AB">
      <w:pPr>
        <w:spacing w:line="400" w:lineRule="exact"/>
        <w:ind w:firstLine="420" w:firstLineChars="200"/>
        <w:rPr>
          <w:rFonts w:hint="eastAsia"/>
        </w:rPr>
      </w:pPr>
      <w:r>
        <w:rPr>
          <w:rFonts w:hint="eastAsia"/>
        </w:rPr>
        <w:t>1.1.8 本标段代建人：见申请人须知前附表。</w:t>
      </w:r>
    </w:p>
    <w:p w14:paraId="444612E4">
      <w:pPr>
        <w:pStyle w:val="20"/>
        <w:rPr>
          <w:rFonts w:hint="eastAsia"/>
        </w:rPr>
      </w:pPr>
      <w:bookmarkStart w:id="24" w:name="_Toc144974499"/>
      <w:bookmarkStart w:id="25" w:name="_Toc108513498"/>
      <w:bookmarkStart w:id="26" w:name="_Toc179632548"/>
      <w:bookmarkStart w:id="27" w:name="_Toc152045531"/>
      <w:bookmarkStart w:id="28" w:name="_Toc152042307"/>
      <w:r>
        <w:rPr>
          <w:rFonts w:hint="eastAsia"/>
        </w:rPr>
        <w:t>1.2 资金来源和落实情况</w:t>
      </w:r>
      <w:bookmarkEnd w:id="24"/>
      <w:bookmarkEnd w:id="25"/>
      <w:bookmarkEnd w:id="26"/>
      <w:bookmarkEnd w:id="27"/>
      <w:bookmarkEnd w:id="28"/>
    </w:p>
    <w:p w14:paraId="47DE0209">
      <w:pPr>
        <w:spacing w:line="400" w:lineRule="exact"/>
        <w:ind w:firstLine="420" w:firstLineChars="200"/>
        <w:rPr>
          <w:rFonts w:hint="eastAsia"/>
        </w:rPr>
      </w:pPr>
      <w:r>
        <w:rPr>
          <w:rFonts w:hint="eastAsia"/>
        </w:rPr>
        <w:t>1.2.1 本招标项目的资金来源：见投标人须知前附表。</w:t>
      </w:r>
    </w:p>
    <w:p w14:paraId="0B344AD8">
      <w:pPr>
        <w:spacing w:line="400" w:lineRule="exact"/>
        <w:ind w:firstLine="420" w:firstLineChars="200"/>
        <w:rPr>
          <w:rFonts w:hint="eastAsia"/>
        </w:rPr>
      </w:pPr>
      <w:r>
        <w:rPr>
          <w:rFonts w:hint="eastAsia"/>
        </w:rPr>
        <w:t>1.2.2 本招标项目的出资比例：见投标人须知前附表。</w:t>
      </w:r>
    </w:p>
    <w:p w14:paraId="6713F8D8">
      <w:pPr>
        <w:spacing w:line="400" w:lineRule="exact"/>
        <w:ind w:firstLine="420" w:firstLineChars="200"/>
        <w:rPr>
          <w:rFonts w:hint="eastAsia"/>
        </w:rPr>
      </w:pPr>
      <w:r>
        <w:rPr>
          <w:rFonts w:hint="eastAsia"/>
        </w:rPr>
        <w:t>1.2.3 本招标项目的资金落实情况：见投标人须知前附表。</w:t>
      </w:r>
    </w:p>
    <w:p w14:paraId="5F2FBCEF">
      <w:pPr>
        <w:spacing w:line="400" w:lineRule="exact"/>
        <w:ind w:firstLine="420" w:firstLineChars="200"/>
        <w:rPr>
          <w:rFonts w:hint="eastAsia"/>
        </w:rPr>
      </w:pPr>
      <w:r>
        <w:rPr>
          <w:rFonts w:hint="eastAsia"/>
        </w:rPr>
        <w:t>1.2.4 本招标项目性质：见投标人须知前附表。</w:t>
      </w:r>
    </w:p>
    <w:p w14:paraId="3D1B929E">
      <w:pPr>
        <w:pStyle w:val="20"/>
        <w:rPr>
          <w:rFonts w:hint="eastAsia"/>
        </w:rPr>
      </w:pPr>
      <w:bookmarkStart w:id="29" w:name="_Toc152042308"/>
      <w:bookmarkStart w:id="30" w:name="_Toc144974500"/>
      <w:bookmarkStart w:id="31" w:name="_Toc152045532"/>
      <w:bookmarkStart w:id="32" w:name="_Toc179632549"/>
      <w:bookmarkStart w:id="33" w:name="_Toc108513499"/>
      <w:r>
        <w:rPr>
          <w:rFonts w:hint="eastAsia"/>
        </w:rPr>
        <w:t>1.3 招标范围、计划工期和质量要求</w:t>
      </w:r>
      <w:bookmarkEnd w:id="29"/>
      <w:bookmarkEnd w:id="30"/>
      <w:bookmarkEnd w:id="31"/>
      <w:bookmarkEnd w:id="32"/>
      <w:bookmarkEnd w:id="33"/>
    </w:p>
    <w:p w14:paraId="20243FCE">
      <w:pPr>
        <w:spacing w:line="400" w:lineRule="exact"/>
        <w:ind w:firstLine="420" w:firstLineChars="200"/>
        <w:rPr>
          <w:rFonts w:hint="eastAsia"/>
        </w:rPr>
      </w:pPr>
      <w:r>
        <w:rPr>
          <w:rFonts w:hint="eastAsia"/>
        </w:rPr>
        <w:t>1.3.1 本次招标范围：见投标人须知前附表。</w:t>
      </w:r>
    </w:p>
    <w:p w14:paraId="4A2B6A72">
      <w:pPr>
        <w:spacing w:line="400" w:lineRule="exact"/>
        <w:ind w:firstLine="420" w:firstLineChars="200"/>
        <w:rPr>
          <w:rFonts w:hint="eastAsia"/>
        </w:rPr>
      </w:pPr>
      <w:r>
        <w:rPr>
          <w:rFonts w:hint="eastAsia"/>
        </w:rPr>
        <w:t>1.3.2 本标段的计划工期：见投标人须知前附表。</w:t>
      </w:r>
    </w:p>
    <w:p w14:paraId="0684344D">
      <w:pPr>
        <w:spacing w:line="400" w:lineRule="exact"/>
        <w:ind w:firstLine="420" w:firstLineChars="200"/>
        <w:rPr>
          <w:rFonts w:hint="eastAsia"/>
        </w:rPr>
      </w:pPr>
      <w:r>
        <w:rPr>
          <w:rFonts w:hint="eastAsia"/>
        </w:rPr>
        <w:t>1.3.3 本标段的质量要求：见投标人须知前附表。</w:t>
      </w:r>
    </w:p>
    <w:p w14:paraId="31D0E35D">
      <w:pPr>
        <w:spacing w:line="400" w:lineRule="exact"/>
        <w:ind w:firstLine="420" w:firstLineChars="200"/>
        <w:rPr>
          <w:rFonts w:hint="eastAsia"/>
        </w:rPr>
      </w:pPr>
      <w:r>
        <w:rPr>
          <w:rFonts w:hint="eastAsia"/>
        </w:rPr>
        <w:t>1.3.4 本标段执行的政府采购政策：见投标人须知前附表。</w:t>
      </w:r>
    </w:p>
    <w:p w14:paraId="7C350CA2">
      <w:pPr>
        <w:pStyle w:val="20"/>
        <w:rPr>
          <w:rFonts w:hint="eastAsia"/>
        </w:rPr>
      </w:pPr>
      <w:bookmarkStart w:id="34" w:name="_Toc152045534"/>
      <w:bookmarkStart w:id="35" w:name="_Toc179632551"/>
      <w:bookmarkStart w:id="36" w:name="_Toc108513500"/>
      <w:bookmarkStart w:id="37" w:name="_Toc144974502"/>
      <w:bookmarkStart w:id="38" w:name="_Toc152042310"/>
      <w:r>
        <w:rPr>
          <w:rFonts w:hint="eastAsia"/>
        </w:rPr>
        <w:t>1.4 投标人资格要求（适用于未进行资格预审的）</w:t>
      </w:r>
      <w:bookmarkEnd w:id="34"/>
      <w:bookmarkEnd w:id="35"/>
      <w:bookmarkEnd w:id="36"/>
      <w:bookmarkEnd w:id="37"/>
      <w:bookmarkEnd w:id="38"/>
    </w:p>
    <w:p w14:paraId="52BB9EF0">
      <w:pPr>
        <w:spacing w:line="400" w:lineRule="exact"/>
        <w:ind w:firstLine="420" w:firstLineChars="200"/>
        <w:rPr>
          <w:rFonts w:hint="eastAsia"/>
        </w:rPr>
      </w:pPr>
      <w:r>
        <w:rPr>
          <w:rFonts w:hint="eastAsia"/>
        </w:rPr>
        <w:t>1.4.1投标人应具备承担本标段施工的资质条件、能力和信誉。</w:t>
      </w:r>
    </w:p>
    <w:p w14:paraId="12C25ABA">
      <w:pPr>
        <w:spacing w:line="400" w:lineRule="exact"/>
        <w:ind w:firstLine="718" w:firstLineChars="342"/>
        <w:rPr>
          <w:rFonts w:hint="eastAsia"/>
        </w:rPr>
      </w:pPr>
      <w:r>
        <w:rPr>
          <w:rFonts w:hint="eastAsia"/>
        </w:rPr>
        <w:t>（1）资质条件：见投标人须知前附表；</w:t>
      </w:r>
    </w:p>
    <w:p w14:paraId="552C3737">
      <w:pPr>
        <w:spacing w:line="400" w:lineRule="exact"/>
        <w:ind w:firstLine="718" w:firstLineChars="342"/>
        <w:rPr>
          <w:rFonts w:hint="eastAsia"/>
        </w:rPr>
      </w:pPr>
      <w:r>
        <w:rPr>
          <w:rFonts w:hint="eastAsia"/>
        </w:rPr>
        <w:t>（2）财务要求：见投标人须知前附表；</w:t>
      </w:r>
    </w:p>
    <w:p w14:paraId="76F12C58">
      <w:pPr>
        <w:spacing w:line="400" w:lineRule="exact"/>
        <w:ind w:firstLine="718" w:firstLineChars="342"/>
        <w:rPr>
          <w:rFonts w:hint="eastAsia"/>
        </w:rPr>
      </w:pPr>
      <w:r>
        <w:rPr>
          <w:rFonts w:hint="eastAsia"/>
        </w:rPr>
        <w:t>（3）业绩要求：见投标人须知前附表；</w:t>
      </w:r>
    </w:p>
    <w:p w14:paraId="43E675CA">
      <w:pPr>
        <w:spacing w:line="400" w:lineRule="exact"/>
        <w:ind w:firstLine="718" w:firstLineChars="342"/>
        <w:rPr>
          <w:rFonts w:hint="eastAsia"/>
        </w:rPr>
      </w:pPr>
      <w:r>
        <w:rPr>
          <w:rFonts w:hint="eastAsia"/>
        </w:rPr>
        <w:t>（4）信誉要求：见投标人须知前附表;</w:t>
      </w:r>
    </w:p>
    <w:p w14:paraId="0F51C820">
      <w:pPr>
        <w:spacing w:line="400" w:lineRule="exact"/>
        <w:ind w:firstLine="735" w:firstLineChars="350"/>
        <w:rPr>
          <w:rFonts w:hint="eastAsia"/>
        </w:rPr>
      </w:pPr>
      <w:r>
        <w:rPr>
          <w:rFonts w:hint="eastAsia"/>
        </w:rPr>
        <w:t>（5）项目经理资格：见投标人须知前附表；</w:t>
      </w:r>
    </w:p>
    <w:p w14:paraId="1950828B">
      <w:pPr>
        <w:spacing w:line="400" w:lineRule="exact"/>
        <w:ind w:firstLine="735" w:firstLineChars="350"/>
        <w:rPr>
          <w:rFonts w:hint="eastAsia"/>
        </w:rPr>
      </w:pPr>
      <w:r>
        <w:rPr>
          <w:rFonts w:hint="eastAsia"/>
        </w:rPr>
        <w:t>（6）其他要求：见投标人须知前附表。</w:t>
      </w:r>
    </w:p>
    <w:p w14:paraId="74C44337">
      <w:pPr>
        <w:spacing w:line="400" w:lineRule="exact"/>
        <w:ind w:firstLine="420" w:firstLineChars="200"/>
        <w:rPr>
          <w:rFonts w:hint="eastAsia"/>
        </w:rPr>
      </w:pPr>
      <w:r>
        <w:rPr>
          <w:rFonts w:hint="eastAsia"/>
        </w:rPr>
        <w:t xml:space="preserve">1.4.2 投标人须知前附表规定接受联合体投标的，除应符合本章第1.4.1项和投标人须知前附表的要求外，还应遵守以下规定： </w:t>
      </w:r>
    </w:p>
    <w:p w14:paraId="43C5089B">
      <w:pPr>
        <w:spacing w:line="400" w:lineRule="exact"/>
        <w:ind w:firstLine="718" w:firstLineChars="342"/>
        <w:rPr>
          <w:rFonts w:hint="eastAsia"/>
        </w:rPr>
      </w:pPr>
      <w:r>
        <w:rPr>
          <w:rFonts w:hint="eastAsia"/>
        </w:rPr>
        <w:t>（1）联合体各方应按招标文件提供的格式签订联合体协议书，明确联合体牵头人和各方权利义务；</w:t>
      </w:r>
    </w:p>
    <w:p w14:paraId="2FFD6FB1">
      <w:pPr>
        <w:spacing w:line="400" w:lineRule="exact"/>
        <w:ind w:firstLine="718" w:firstLineChars="342"/>
        <w:rPr>
          <w:rFonts w:hint="eastAsia"/>
        </w:rPr>
      </w:pPr>
      <w:r>
        <w:rPr>
          <w:rFonts w:hint="eastAsia"/>
        </w:rPr>
        <w:t xml:space="preserve">（2）由同一专业的单位组成的联合体，按照资质等级较低的单位确定资质等级； </w:t>
      </w:r>
    </w:p>
    <w:p w14:paraId="6E339FCF">
      <w:pPr>
        <w:spacing w:line="400" w:lineRule="exact"/>
        <w:ind w:firstLine="718" w:firstLineChars="342"/>
        <w:rPr>
          <w:rFonts w:hint="eastAsia"/>
        </w:rPr>
      </w:pPr>
      <w:r>
        <w:rPr>
          <w:rFonts w:hint="eastAsia"/>
        </w:rPr>
        <w:t>（3）联合体各方不得再以自己名义单独或参加其他联合体在同一标段中投标。</w:t>
      </w:r>
    </w:p>
    <w:p w14:paraId="174D97A7">
      <w:pPr>
        <w:spacing w:line="400" w:lineRule="exact"/>
        <w:ind w:firstLine="420" w:firstLineChars="200"/>
        <w:rPr>
          <w:rFonts w:hint="eastAsia"/>
        </w:rPr>
      </w:pPr>
      <w:r>
        <w:rPr>
          <w:rFonts w:hint="eastAsia"/>
        </w:rPr>
        <w:t>1.4.3 投标人不得存在下列情形之一：</w:t>
      </w:r>
    </w:p>
    <w:p w14:paraId="48C5AD3C">
      <w:pPr>
        <w:spacing w:line="400" w:lineRule="exact"/>
        <w:ind w:firstLine="718" w:firstLineChars="342"/>
        <w:rPr>
          <w:rFonts w:hint="eastAsia"/>
        </w:rPr>
      </w:pPr>
      <w:r>
        <w:rPr>
          <w:rFonts w:hint="eastAsia"/>
        </w:rPr>
        <w:t xml:space="preserve">（1）为招标人不具有独立法人资格的附属机构（单位）； </w:t>
      </w:r>
    </w:p>
    <w:p w14:paraId="3DDB25C8">
      <w:pPr>
        <w:spacing w:line="400" w:lineRule="exact"/>
        <w:ind w:firstLine="735" w:firstLineChars="350"/>
        <w:rPr>
          <w:rFonts w:hint="eastAsia"/>
        </w:rPr>
      </w:pPr>
      <w:r>
        <w:rPr>
          <w:rFonts w:hint="eastAsia"/>
        </w:rPr>
        <w:t>（</w:t>
      </w:r>
      <w:r>
        <w:t>2</w:t>
      </w:r>
      <w:r>
        <w:rPr>
          <w:rFonts w:hint="eastAsia"/>
        </w:rPr>
        <w:t>）与招标人存在利害关系且可能影响招标公正性；</w:t>
      </w:r>
    </w:p>
    <w:p w14:paraId="3C74FC22">
      <w:pPr>
        <w:spacing w:line="400" w:lineRule="exact"/>
        <w:ind w:firstLine="735" w:firstLineChars="350"/>
      </w:pPr>
      <w:r>
        <w:rPr>
          <w:rFonts w:hint="eastAsia"/>
        </w:rPr>
        <w:t>（</w:t>
      </w:r>
      <w:r>
        <w:t>3</w:t>
      </w:r>
      <w:r>
        <w:rPr>
          <w:rFonts w:hint="eastAsia"/>
        </w:rPr>
        <w:t>）与本标段的其他投标人为同一个单位负责人；</w:t>
      </w:r>
    </w:p>
    <w:p w14:paraId="5EF9EE0A">
      <w:pPr>
        <w:spacing w:line="400" w:lineRule="exact"/>
        <w:ind w:firstLine="735" w:firstLineChars="350"/>
        <w:rPr>
          <w:rFonts w:hint="eastAsia"/>
        </w:rPr>
      </w:pPr>
      <w:r>
        <w:rPr>
          <w:rFonts w:hint="eastAsia"/>
        </w:rPr>
        <w:t>（</w:t>
      </w:r>
      <w:r>
        <w:t>4</w:t>
      </w:r>
      <w:r>
        <w:rPr>
          <w:rFonts w:hint="eastAsia"/>
        </w:rPr>
        <w:t>）与本标段的其他投标人存在控股、管理关系；</w:t>
      </w:r>
    </w:p>
    <w:p w14:paraId="4AFF8E3D">
      <w:pPr>
        <w:spacing w:line="400" w:lineRule="exact"/>
        <w:ind w:firstLine="735" w:firstLineChars="350"/>
        <w:rPr>
          <w:rFonts w:hint="eastAsia"/>
        </w:rPr>
      </w:pPr>
      <w:r>
        <w:rPr>
          <w:rFonts w:hint="eastAsia"/>
        </w:rPr>
        <w:t xml:space="preserve">（5）为本标段前期准备提供设计或咨询服务的； </w:t>
      </w:r>
    </w:p>
    <w:p w14:paraId="4B0D503D">
      <w:pPr>
        <w:spacing w:line="400" w:lineRule="exact"/>
        <w:ind w:firstLine="735" w:firstLineChars="350"/>
        <w:rPr>
          <w:rFonts w:hint="eastAsia"/>
        </w:rPr>
      </w:pPr>
      <w:r>
        <w:rPr>
          <w:rFonts w:hint="eastAsia"/>
        </w:rPr>
        <w:t>（6）为本标段的监理人；</w:t>
      </w:r>
    </w:p>
    <w:p w14:paraId="6432A2D1">
      <w:pPr>
        <w:spacing w:line="400" w:lineRule="exact"/>
        <w:ind w:firstLine="735" w:firstLineChars="350"/>
        <w:rPr>
          <w:rFonts w:hint="eastAsia"/>
        </w:rPr>
      </w:pPr>
      <w:r>
        <w:rPr>
          <w:rFonts w:hint="eastAsia"/>
        </w:rPr>
        <w:t xml:space="preserve">（7）为本标段的代建人； </w:t>
      </w:r>
    </w:p>
    <w:p w14:paraId="5062C128">
      <w:pPr>
        <w:spacing w:line="400" w:lineRule="exact"/>
        <w:ind w:firstLine="735" w:firstLineChars="350"/>
        <w:rPr>
          <w:rFonts w:hint="eastAsia"/>
        </w:rPr>
      </w:pPr>
      <w:r>
        <w:rPr>
          <w:rFonts w:hint="eastAsia"/>
        </w:rPr>
        <w:t xml:space="preserve">（8）为本标段提供招标代理服务； </w:t>
      </w:r>
    </w:p>
    <w:p w14:paraId="680AC4D8">
      <w:pPr>
        <w:spacing w:line="400" w:lineRule="exact"/>
        <w:ind w:firstLine="735" w:firstLineChars="350"/>
        <w:rPr>
          <w:rFonts w:hint="eastAsia"/>
        </w:rPr>
      </w:pPr>
      <w:r>
        <w:rPr>
          <w:rFonts w:hint="eastAsia"/>
        </w:rPr>
        <w:t>（9）与本标段的监理人或代建人或招标代理机构同为一个法定代表人；</w:t>
      </w:r>
    </w:p>
    <w:p w14:paraId="28E6AA30">
      <w:pPr>
        <w:spacing w:line="400" w:lineRule="exact"/>
        <w:ind w:firstLine="735" w:firstLineChars="350"/>
        <w:rPr>
          <w:rFonts w:hint="eastAsia"/>
        </w:rPr>
      </w:pPr>
      <w:r>
        <w:rPr>
          <w:rFonts w:hint="eastAsia"/>
        </w:rPr>
        <w:t>（10）与本标段的监理人或代建人或招标代理机构相互控股或参股；</w:t>
      </w:r>
    </w:p>
    <w:p w14:paraId="20A1E100">
      <w:pPr>
        <w:spacing w:line="400" w:lineRule="exact"/>
        <w:ind w:firstLine="735" w:firstLineChars="350"/>
        <w:rPr>
          <w:rFonts w:hint="eastAsia"/>
        </w:rPr>
      </w:pPr>
      <w:r>
        <w:rPr>
          <w:rFonts w:hint="eastAsia"/>
        </w:rPr>
        <w:t>（11）与本标段的监理人或代建人或招标代理机构相互任职或工作；</w:t>
      </w:r>
    </w:p>
    <w:p w14:paraId="493CD146">
      <w:pPr>
        <w:spacing w:line="400" w:lineRule="exact"/>
        <w:ind w:firstLine="735" w:firstLineChars="350"/>
        <w:rPr>
          <w:rFonts w:hint="eastAsia"/>
        </w:rPr>
      </w:pPr>
      <w:r>
        <w:rPr>
          <w:rFonts w:hint="eastAsia"/>
        </w:rPr>
        <w:t>（</w:t>
      </w:r>
      <w:r>
        <w:t>1</w:t>
      </w:r>
      <w:r>
        <w:rPr>
          <w:rFonts w:hint="eastAsia"/>
        </w:rPr>
        <w:t>2）被依法暂停或取消投标资格（指被本招标项目所在地县级及以上</w:t>
      </w:r>
      <w:r>
        <w:rPr>
          <w:rFonts w:hint="eastAsia"/>
          <w:szCs w:val="21"/>
        </w:rPr>
        <w:t>住房城乡建设</w:t>
      </w:r>
      <w:r>
        <w:rPr>
          <w:rFonts w:hint="eastAsia"/>
        </w:rPr>
        <w:t>主管部门或其他行政主管部门暂停或取消投标资格或禁止进入该区域建设市场且处于有效期内）；</w:t>
      </w:r>
    </w:p>
    <w:p w14:paraId="3108E60D">
      <w:pPr>
        <w:spacing w:line="400" w:lineRule="exact"/>
        <w:ind w:firstLine="735" w:firstLineChars="350"/>
        <w:rPr>
          <w:rFonts w:hint="eastAsia"/>
        </w:rPr>
      </w:pPr>
      <w:r>
        <w:rPr>
          <w:rFonts w:hint="eastAsia"/>
        </w:rPr>
        <w:t xml:space="preserve">（13）被责令停产停业、暂扣或者吊销许可证、暂扣或者吊销执照； </w:t>
      </w:r>
    </w:p>
    <w:p w14:paraId="7F24547B">
      <w:pPr>
        <w:spacing w:line="400" w:lineRule="exact"/>
        <w:ind w:firstLine="735" w:firstLineChars="350"/>
        <w:rPr>
          <w:rFonts w:hint="eastAsia"/>
        </w:rPr>
      </w:pPr>
      <w:r>
        <w:rPr>
          <w:rFonts w:hint="eastAsia"/>
        </w:rPr>
        <w:t>（14）进入清算程序，或被宣告破产，或其他丧失履约能力的情形；</w:t>
      </w:r>
    </w:p>
    <w:p w14:paraId="16F09CA6">
      <w:pPr>
        <w:spacing w:line="400" w:lineRule="exact"/>
        <w:ind w:firstLine="735" w:firstLineChars="350"/>
        <w:rPr>
          <w:rFonts w:hint="eastAsia"/>
        </w:rPr>
      </w:pPr>
      <w:r>
        <w:rPr>
          <w:rFonts w:hint="eastAsia"/>
        </w:rPr>
        <w:t>（15）在最近三年内发生重大工程质量问题（以相关行业主管部门的行政处罚决定或司法机关出具的有关法律文书为准）；</w:t>
      </w:r>
    </w:p>
    <w:p w14:paraId="1DFF6409">
      <w:pPr>
        <w:spacing w:line="400" w:lineRule="exact"/>
        <w:ind w:firstLine="735" w:firstLineChars="350"/>
      </w:pPr>
      <w:r>
        <w:rPr>
          <w:rFonts w:hint="eastAsia"/>
        </w:rPr>
        <w:t>（</w:t>
      </w:r>
      <w:r>
        <w:t>1</w:t>
      </w:r>
      <w:r>
        <w:rPr>
          <w:rFonts w:hint="eastAsia"/>
        </w:rPr>
        <w:t>6）在“国家企业信用信息公示系统”（</w:t>
      </w:r>
      <w:r>
        <w:t xml:space="preserve"> www.gsxt.gov.cn</w:t>
      </w:r>
      <w:r>
        <w:rPr>
          <w:rFonts w:hint="eastAsia"/>
        </w:rPr>
        <w:t>）中被列入严重违法失信企业名单；</w:t>
      </w:r>
    </w:p>
    <w:p w14:paraId="533F29E1">
      <w:pPr>
        <w:spacing w:line="400" w:lineRule="exact"/>
        <w:ind w:firstLine="735" w:firstLineChars="350"/>
      </w:pPr>
      <w:r>
        <w:rPr>
          <w:rFonts w:hint="eastAsia"/>
        </w:rPr>
        <w:t>（</w:t>
      </w:r>
      <w:r>
        <w:t>1</w:t>
      </w:r>
      <w:r>
        <w:rPr>
          <w:rFonts w:hint="eastAsia"/>
        </w:rPr>
        <w:t>7）在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）或“中国执行信息公开网”（http://zxgk.court.gov.cn/shixin/）被列入失信被执行人名单；</w:t>
      </w:r>
    </w:p>
    <w:p w14:paraId="1BAA9E30">
      <w:pPr>
        <w:spacing w:line="400" w:lineRule="exact"/>
        <w:ind w:firstLine="735" w:firstLineChars="350"/>
      </w:pPr>
      <w:r>
        <w:rPr>
          <w:rFonts w:hint="eastAsia"/>
        </w:rPr>
        <w:t>（</w:t>
      </w:r>
      <w:r>
        <w:t>1</w:t>
      </w:r>
      <w:r>
        <w:rPr>
          <w:rFonts w:hint="eastAsia"/>
        </w:rPr>
        <w:t>8）在近三年内投标人或其法定代表人、拟委任的项目经理有行贿犯罪行为；</w:t>
      </w:r>
    </w:p>
    <w:p w14:paraId="16824C1F">
      <w:pPr>
        <w:spacing w:line="400" w:lineRule="exact"/>
        <w:ind w:firstLine="718" w:firstLineChars="342"/>
        <w:rPr>
          <w:rFonts w:hint="eastAsia"/>
        </w:rPr>
      </w:pPr>
      <w:r>
        <w:rPr>
          <w:rFonts w:hint="eastAsia"/>
        </w:rPr>
        <w:t>（</w:t>
      </w:r>
      <w:r>
        <w:t>1</w:t>
      </w:r>
      <w:r>
        <w:rPr>
          <w:rFonts w:hint="eastAsia"/>
        </w:rPr>
        <w:t>9）法律法规或投标人须知前附表规定的其他情形。</w:t>
      </w:r>
    </w:p>
    <w:p w14:paraId="7FCA129C">
      <w:pPr>
        <w:pStyle w:val="20"/>
        <w:rPr>
          <w:rFonts w:hint="eastAsia"/>
        </w:rPr>
      </w:pPr>
      <w:bookmarkStart w:id="39" w:name="_Toc108513501"/>
      <w:bookmarkStart w:id="40" w:name="_Toc179632552"/>
      <w:bookmarkStart w:id="41" w:name="_Toc152042311"/>
      <w:bookmarkStart w:id="42" w:name="_Toc144974503"/>
      <w:bookmarkStart w:id="43" w:name="_Toc152045535"/>
      <w:r>
        <w:rPr>
          <w:rFonts w:hint="eastAsia"/>
        </w:rPr>
        <w:t>1.5 费用承担</w:t>
      </w:r>
      <w:bookmarkEnd w:id="39"/>
      <w:bookmarkEnd w:id="40"/>
      <w:bookmarkEnd w:id="41"/>
      <w:bookmarkEnd w:id="42"/>
      <w:bookmarkEnd w:id="43"/>
    </w:p>
    <w:p w14:paraId="668D6E54">
      <w:pPr>
        <w:spacing w:line="400" w:lineRule="exact"/>
        <w:ind w:firstLine="420" w:firstLineChars="200"/>
        <w:rPr>
          <w:rFonts w:hint="eastAsia"/>
        </w:rPr>
      </w:pPr>
      <w:r>
        <w:rPr>
          <w:rFonts w:hint="eastAsia"/>
        </w:rPr>
        <w:t>投标人准备和参加投标活动发生的费用自理。</w:t>
      </w:r>
    </w:p>
    <w:p w14:paraId="201448A1">
      <w:pPr>
        <w:pStyle w:val="20"/>
        <w:rPr>
          <w:rFonts w:hint="eastAsia"/>
        </w:rPr>
      </w:pPr>
      <w:bookmarkStart w:id="44" w:name="_Toc152042312"/>
      <w:bookmarkStart w:id="45" w:name="_Toc108513502"/>
      <w:bookmarkStart w:id="46" w:name="_Toc179632553"/>
      <w:bookmarkStart w:id="47" w:name="_Toc152045536"/>
      <w:bookmarkStart w:id="48" w:name="_Toc144974504"/>
      <w:r>
        <w:rPr>
          <w:rFonts w:hint="eastAsia"/>
        </w:rPr>
        <w:t>1.6 保密</w:t>
      </w:r>
      <w:bookmarkEnd w:id="44"/>
      <w:bookmarkEnd w:id="45"/>
      <w:bookmarkEnd w:id="46"/>
      <w:bookmarkEnd w:id="47"/>
      <w:bookmarkEnd w:id="48"/>
    </w:p>
    <w:p w14:paraId="0979BEC5">
      <w:pPr>
        <w:spacing w:line="400" w:lineRule="exact"/>
        <w:ind w:firstLine="420" w:firstLineChars="200"/>
        <w:rPr>
          <w:rFonts w:hint="eastAsia"/>
        </w:rPr>
      </w:pPr>
      <w:r>
        <w:rPr>
          <w:rFonts w:hint="eastAsia"/>
        </w:rPr>
        <w:t xml:space="preserve">参与招标投标活动的各方应对招标文件和投标文件中的商业和技术等秘密保密，违者应对由此造成的后果承担法律责任。 </w:t>
      </w:r>
    </w:p>
    <w:p w14:paraId="67DA965C">
      <w:pPr>
        <w:pStyle w:val="20"/>
        <w:rPr>
          <w:rFonts w:hint="eastAsia"/>
        </w:rPr>
      </w:pPr>
      <w:bookmarkStart w:id="49" w:name="_Toc144974505"/>
      <w:bookmarkStart w:id="50" w:name="_Toc152042313"/>
      <w:bookmarkStart w:id="51" w:name="_Toc152045537"/>
      <w:bookmarkStart w:id="52" w:name="_Toc108513503"/>
      <w:bookmarkStart w:id="53" w:name="_Toc179632554"/>
      <w:r>
        <w:rPr>
          <w:rFonts w:hint="eastAsia"/>
        </w:rPr>
        <w:t>1.7 语言</w:t>
      </w:r>
      <w:bookmarkEnd w:id="49"/>
      <w:r>
        <w:rPr>
          <w:rFonts w:hint="eastAsia"/>
        </w:rPr>
        <w:t>文字</w:t>
      </w:r>
      <w:bookmarkEnd w:id="50"/>
      <w:bookmarkEnd w:id="51"/>
      <w:bookmarkEnd w:id="52"/>
      <w:bookmarkEnd w:id="53"/>
    </w:p>
    <w:p w14:paraId="59513E28">
      <w:pPr>
        <w:spacing w:line="400" w:lineRule="exact"/>
        <w:ind w:firstLine="420" w:firstLineChars="200"/>
        <w:rPr>
          <w:rFonts w:hint="eastAsia"/>
        </w:rPr>
      </w:pPr>
      <w:r>
        <w:rPr>
          <w:rFonts w:hint="eastAsia"/>
        </w:rPr>
        <w:t>除专用术语外，与招标投标有关的语言均使用中文。必要时专用术语应附有中文注释。</w:t>
      </w:r>
    </w:p>
    <w:p w14:paraId="3B0B9BD3">
      <w:pPr>
        <w:pStyle w:val="20"/>
        <w:rPr>
          <w:rFonts w:hint="eastAsia"/>
        </w:rPr>
      </w:pPr>
      <w:bookmarkStart w:id="54" w:name="_Toc179632555"/>
      <w:bookmarkStart w:id="55" w:name="_Toc152042314"/>
      <w:bookmarkStart w:id="56" w:name="_Toc152045538"/>
      <w:bookmarkStart w:id="57" w:name="_Toc108513504"/>
      <w:bookmarkStart w:id="58" w:name="_Toc144974506"/>
      <w:r>
        <w:rPr>
          <w:rFonts w:hint="eastAsia"/>
        </w:rPr>
        <w:t>1.8 计量单位</w:t>
      </w:r>
      <w:bookmarkEnd w:id="54"/>
      <w:bookmarkEnd w:id="55"/>
      <w:bookmarkEnd w:id="56"/>
      <w:bookmarkEnd w:id="57"/>
      <w:bookmarkEnd w:id="58"/>
    </w:p>
    <w:p w14:paraId="3E9F505B">
      <w:pPr>
        <w:spacing w:line="400" w:lineRule="exact"/>
        <w:ind w:firstLine="420" w:firstLineChars="200"/>
        <w:rPr>
          <w:rFonts w:hint="eastAsia"/>
        </w:rPr>
      </w:pPr>
      <w:r>
        <w:rPr>
          <w:rFonts w:hint="eastAsia"/>
        </w:rPr>
        <w:t>所有计量均采用中华人民共和国法定计量单位。</w:t>
      </w:r>
    </w:p>
    <w:p w14:paraId="2C22AFDA">
      <w:pPr>
        <w:pStyle w:val="20"/>
        <w:rPr>
          <w:rFonts w:hint="eastAsia"/>
        </w:rPr>
      </w:pPr>
      <w:bookmarkStart w:id="59" w:name="_Toc152045539"/>
      <w:bookmarkStart w:id="60" w:name="_Toc179632556"/>
      <w:bookmarkStart w:id="61" w:name="_Toc152042315"/>
      <w:bookmarkStart w:id="62" w:name="_Toc144974507"/>
      <w:bookmarkStart w:id="63" w:name="_Toc108513505"/>
      <w:r>
        <w:rPr>
          <w:rFonts w:hint="eastAsia"/>
        </w:rPr>
        <w:t>1.9 踏勘现场</w:t>
      </w:r>
      <w:bookmarkEnd w:id="59"/>
      <w:bookmarkEnd w:id="60"/>
      <w:bookmarkEnd w:id="61"/>
      <w:bookmarkEnd w:id="62"/>
      <w:bookmarkEnd w:id="63"/>
    </w:p>
    <w:p w14:paraId="7D2DE0D6">
      <w:pPr>
        <w:spacing w:line="400" w:lineRule="exact"/>
        <w:ind w:firstLine="420" w:firstLineChars="200"/>
        <w:rPr>
          <w:rFonts w:hint="eastAsia"/>
        </w:rPr>
      </w:pPr>
      <w:r>
        <w:rPr>
          <w:rFonts w:hint="eastAsia"/>
        </w:rPr>
        <w:t xml:space="preserve">1.9.1 投标人须知前附表规定组织踏勘现场的，招标人按投标人须知前附表规定的时间、地点组织投标人踏勘项目现场。 </w:t>
      </w:r>
    </w:p>
    <w:p w14:paraId="732C7DC9">
      <w:pPr>
        <w:spacing w:line="400" w:lineRule="exact"/>
        <w:ind w:firstLine="420" w:firstLineChars="200"/>
        <w:rPr>
          <w:rFonts w:hint="eastAsia"/>
        </w:rPr>
      </w:pPr>
      <w:r>
        <w:rPr>
          <w:rFonts w:hint="eastAsia"/>
        </w:rPr>
        <w:t>1.9.2 投标人踏勘现场发生的费用自理。</w:t>
      </w:r>
    </w:p>
    <w:p w14:paraId="618C464D">
      <w:pPr>
        <w:spacing w:line="400" w:lineRule="exact"/>
        <w:ind w:firstLine="420" w:firstLineChars="200"/>
        <w:rPr>
          <w:rFonts w:hint="eastAsia"/>
        </w:rPr>
      </w:pPr>
      <w:r>
        <w:rPr>
          <w:rFonts w:hint="eastAsia"/>
        </w:rPr>
        <w:t>1.9.3 除招标人的原因外，投标人自行负责在踏勘现场中所发生的人员伤亡和财产损失。</w:t>
      </w:r>
    </w:p>
    <w:p w14:paraId="7E91E4FD">
      <w:pPr>
        <w:spacing w:line="400" w:lineRule="exact"/>
        <w:ind w:firstLine="420" w:firstLineChars="200"/>
        <w:rPr>
          <w:rFonts w:hint="eastAsia"/>
        </w:rPr>
      </w:pPr>
      <w:r>
        <w:rPr>
          <w:rFonts w:hint="eastAsia"/>
        </w:rPr>
        <w:t>1.9.4 招标人在踏勘现场中介绍的工程场地和相关的周边环境情况，供投标人在编制投标文件时参考，招标人不对投标人据此作出的判断和决策负责。</w:t>
      </w:r>
    </w:p>
    <w:p w14:paraId="5C0A7209">
      <w:pPr>
        <w:pStyle w:val="20"/>
        <w:rPr>
          <w:rFonts w:hint="eastAsia"/>
        </w:rPr>
      </w:pPr>
      <w:bookmarkStart w:id="64" w:name="_Toc108513506"/>
      <w:bookmarkStart w:id="65" w:name="_Toc144974508"/>
      <w:bookmarkStart w:id="66" w:name="_Toc152045540"/>
      <w:bookmarkStart w:id="67" w:name="_Toc152042316"/>
      <w:bookmarkStart w:id="68" w:name="_Toc179632557"/>
      <w:r>
        <w:rPr>
          <w:rFonts w:hint="eastAsia"/>
        </w:rPr>
        <w:t>1.10 投标预备会</w:t>
      </w:r>
      <w:bookmarkEnd w:id="64"/>
      <w:bookmarkEnd w:id="65"/>
      <w:bookmarkEnd w:id="66"/>
      <w:bookmarkEnd w:id="67"/>
      <w:bookmarkEnd w:id="68"/>
    </w:p>
    <w:p w14:paraId="322C29FF">
      <w:pPr>
        <w:spacing w:line="400" w:lineRule="exact"/>
        <w:ind w:firstLine="420" w:firstLineChars="200"/>
        <w:rPr>
          <w:rFonts w:hint="eastAsia"/>
        </w:rPr>
      </w:pPr>
      <w:r>
        <w:rPr>
          <w:rFonts w:hint="eastAsia"/>
        </w:rPr>
        <w:t>1.10.1 投标人须知前附表规定召开投标预备会的，招标人按投标人须知前附表规定的时间和地点召开投标预备会，澄清投标人提出的问题。</w:t>
      </w:r>
    </w:p>
    <w:p w14:paraId="6243CCC1">
      <w:pPr>
        <w:spacing w:line="400" w:lineRule="exact"/>
        <w:ind w:firstLine="420" w:firstLineChars="200"/>
        <w:rPr>
          <w:rFonts w:hint="eastAsia"/>
        </w:rPr>
      </w:pPr>
      <w:r>
        <w:rPr>
          <w:rFonts w:hint="eastAsia"/>
        </w:rPr>
        <w:t>1.10.2 在投标人须知前附表规定的时间前，投标人应使用CA数字证书</w:t>
      </w:r>
      <w:r>
        <w:t>登录</w:t>
      </w:r>
      <w:r>
        <w:rPr>
          <w:rFonts w:hint="eastAsia"/>
        </w:rPr>
        <w:t>“电子交易平台”，在“投标答疑”菜单以书面形式将提出的问题送达招标人，以便招标人在会议期间澄清。</w:t>
      </w:r>
    </w:p>
    <w:p w14:paraId="7A5C0809">
      <w:pPr>
        <w:spacing w:line="400" w:lineRule="exact"/>
        <w:ind w:firstLine="420" w:firstLineChars="200"/>
        <w:rPr>
          <w:rFonts w:hint="eastAsia"/>
        </w:rPr>
      </w:pPr>
      <w:r>
        <w:rPr>
          <w:rFonts w:hint="eastAsia"/>
        </w:rPr>
        <w:t>1.10.3 投标预备会后，招标人在本章第2.2.2项规定的时间内，将对投标人所提问题的澄清，以书面形式通过“电子交易平台”通知所有下载招标文件的投标人。该澄清内容为招标文件的组成部分。</w:t>
      </w:r>
    </w:p>
    <w:p w14:paraId="3C944738">
      <w:pPr>
        <w:pStyle w:val="20"/>
        <w:rPr>
          <w:rFonts w:hint="eastAsia"/>
        </w:rPr>
      </w:pPr>
      <w:bookmarkStart w:id="69" w:name="_Toc152045541"/>
      <w:bookmarkStart w:id="70" w:name="_Toc108513507"/>
      <w:bookmarkStart w:id="71" w:name="_Toc152042317"/>
      <w:bookmarkStart w:id="72" w:name="_Toc179632558"/>
      <w:bookmarkStart w:id="73" w:name="_Toc144974509"/>
      <w:r>
        <w:rPr>
          <w:rFonts w:hint="eastAsia"/>
        </w:rPr>
        <w:t>1.11 分包</w:t>
      </w:r>
      <w:bookmarkEnd w:id="69"/>
      <w:bookmarkEnd w:id="70"/>
      <w:bookmarkEnd w:id="71"/>
      <w:bookmarkEnd w:id="72"/>
      <w:bookmarkEnd w:id="73"/>
    </w:p>
    <w:p w14:paraId="05B4F688">
      <w:pPr>
        <w:spacing w:line="400" w:lineRule="exact"/>
        <w:ind w:firstLine="567" w:firstLineChars="270"/>
        <w:rPr>
          <w:rFonts w:hint="eastAsia"/>
        </w:rPr>
      </w:pPr>
      <w:r>
        <w:rPr>
          <w:rFonts w:hint="eastAsia"/>
        </w:rPr>
        <w:t>投标人拟在中标后将中标项目的部分非主体、非关键性工作进行分包的，应符合投标人须知前附表规定的分包内容、分包金额和接受分包的第三人资质要求等限制性条件。</w:t>
      </w:r>
    </w:p>
    <w:p w14:paraId="1864BEAC">
      <w:pPr>
        <w:pStyle w:val="20"/>
        <w:rPr>
          <w:rFonts w:hint="eastAsia"/>
        </w:rPr>
      </w:pPr>
      <w:bookmarkStart w:id="74" w:name="_Toc179632559"/>
      <w:bookmarkStart w:id="75" w:name="_Toc108513508"/>
      <w:r>
        <w:rPr>
          <w:rFonts w:hint="eastAsia"/>
        </w:rPr>
        <w:t>1.12 偏离</w:t>
      </w:r>
      <w:bookmarkEnd w:id="74"/>
      <w:bookmarkEnd w:id="75"/>
    </w:p>
    <w:p w14:paraId="2A46769C">
      <w:pPr>
        <w:spacing w:line="400" w:lineRule="exact"/>
        <w:ind w:firstLine="359" w:firstLineChars="171"/>
        <w:rPr>
          <w:rFonts w:hint="eastAsia"/>
        </w:rPr>
      </w:pPr>
      <w:r>
        <w:rPr>
          <w:rFonts w:hint="eastAsia"/>
        </w:rPr>
        <w:t>投标人须知前附表允许投标文件偏离招标文件某些要求的，偏离应当符合招标文件规定的偏离范围和幅度。</w:t>
      </w:r>
    </w:p>
    <w:p w14:paraId="55B41244">
      <w:pPr>
        <w:pStyle w:val="18"/>
        <w:rPr>
          <w:rFonts w:hint="eastAsia"/>
        </w:rPr>
      </w:pPr>
      <w:bookmarkStart w:id="76" w:name="_Toc152045542"/>
      <w:bookmarkStart w:id="77" w:name="_Toc179632560"/>
      <w:bookmarkStart w:id="78" w:name="_Toc108513509"/>
      <w:bookmarkStart w:id="79" w:name="_Toc152042318"/>
      <w:bookmarkStart w:id="80" w:name="_Toc144974510"/>
      <w:r>
        <w:rPr>
          <w:rFonts w:hint="eastAsia"/>
        </w:rPr>
        <w:t>2. 招标文件</w:t>
      </w:r>
      <w:bookmarkEnd w:id="76"/>
      <w:bookmarkEnd w:id="77"/>
      <w:bookmarkEnd w:id="78"/>
      <w:bookmarkEnd w:id="79"/>
      <w:bookmarkEnd w:id="80"/>
    </w:p>
    <w:p w14:paraId="6E5DB15A">
      <w:pPr>
        <w:pStyle w:val="20"/>
        <w:rPr>
          <w:rFonts w:hint="eastAsia"/>
        </w:rPr>
      </w:pPr>
      <w:bookmarkStart w:id="81" w:name="_Toc144974511"/>
      <w:bookmarkStart w:id="82" w:name="_Toc152045543"/>
      <w:bookmarkStart w:id="83" w:name="_Toc179632561"/>
      <w:bookmarkStart w:id="84" w:name="_Toc152042319"/>
      <w:bookmarkStart w:id="85" w:name="_Toc108513510"/>
      <w:r>
        <w:rPr>
          <w:rFonts w:hint="eastAsia"/>
        </w:rPr>
        <w:t>2.1 招标文件的组成</w:t>
      </w:r>
      <w:bookmarkEnd w:id="81"/>
      <w:bookmarkEnd w:id="82"/>
      <w:bookmarkEnd w:id="83"/>
      <w:bookmarkEnd w:id="84"/>
      <w:bookmarkEnd w:id="85"/>
    </w:p>
    <w:p w14:paraId="11054509">
      <w:pPr>
        <w:spacing w:line="400" w:lineRule="exact"/>
        <w:rPr>
          <w:rFonts w:hint="eastAsia"/>
        </w:rPr>
      </w:pPr>
      <w:r>
        <w:rPr>
          <w:rFonts w:hint="eastAsia"/>
        </w:rPr>
        <w:t>　　2.1.1本招标文件包括：</w:t>
      </w:r>
    </w:p>
    <w:p w14:paraId="62D14551">
      <w:pPr>
        <w:spacing w:line="400" w:lineRule="exact"/>
        <w:ind w:firstLine="359" w:firstLineChars="171"/>
        <w:rPr>
          <w:rFonts w:hint="eastAsia"/>
        </w:rPr>
      </w:pPr>
      <w:r>
        <w:rPr>
          <w:rFonts w:hint="eastAsia"/>
        </w:rPr>
        <w:t>（1）招标公告（或投标邀请书）；</w:t>
      </w:r>
    </w:p>
    <w:p w14:paraId="60285447">
      <w:pPr>
        <w:spacing w:line="400" w:lineRule="exact"/>
        <w:ind w:firstLine="359" w:firstLineChars="171"/>
        <w:rPr>
          <w:rFonts w:hint="eastAsia"/>
        </w:rPr>
      </w:pPr>
      <w:r>
        <w:rPr>
          <w:rFonts w:hint="eastAsia"/>
        </w:rPr>
        <w:t>（2）投标人须知；</w:t>
      </w:r>
    </w:p>
    <w:p w14:paraId="7EAB65EC">
      <w:pPr>
        <w:spacing w:line="400" w:lineRule="exact"/>
        <w:ind w:firstLine="359" w:firstLineChars="171"/>
        <w:rPr>
          <w:rFonts w:hint="eastAsia"/>
        </w:rPr>
      </w:pPr>
      <w:r>
        <w:rPr>
          <w:rFonts w:hint="eastAsia"/>
        </w:rPr>
        <w:t>（3）评标办法；</w:t>
      </w:r>
    </w:p>
    <w:p w14:paraId="514C54F2">
      <w:pPr>
        <w:spacing w:line="400" w:lineRule="exact"/>
        <w:ind w:firstLine="359" w:firstLineChars="171"/>
        <w:rPr>
          <w:rFonts w:hint="eastAsia"/>
        </w:rPr>
      </w:pPr>
      <w:r>
        <w:rPr>
          <w:rFonts w:hint="eastAsia"/>
        </w:rPr>
        <w:t>（4）合同条款及格式；</w:t>
      </w:r>
    </w:p>
    <w:p w14:paraId="4E5ED5A7">
      <w:pPr>
        <w:spacing w:line="400" w:lineRule="exact"/>
        <w:ind w:firstLine="359" w:firstLineChars="171"/>
        <w:rPr>
          <w:rFonts w:hint="eastAsia"/>
        </w:rPr>
      </w:pPr>
      <w:r>
        <w:rPr>
          <w:rFonts w:hint="eastAsia"/>
        </w:rPr>
        <w:t xml:space="preserve">（5）工程量清单； </w:t>
      </w:r>
    </w:p>
    <w:p w14:paraId="2C4972A0">
      <w:pPr>
        <w:spacing w:line="400" w:lineRule="exact"/>
        <w:ind w:firstLine="359" w:firstLineChars="171"/>
        <w:rPr>
          <w:rFonts w:hint="eastAsia"/>
        </w:rPr>
      </w:pPr>
      <w:r>
        <w:rPr>
          <w:rFonts w:hint="eastAsia"/>
        </w:rPr>
        <w:t xml:space="preserve">（6）图纸； </w:t>
      </w:r>
    </w:p>
    <w:p w14:paraId="1BA94D41">
      <w:pPr>
        <w:spacing w:line="400" w:lineRule="exact"/>
        <w:ind w:firstLine="359" w:firstLineChars="171"/>
        <w:rPr>
          <w:rFonts w:hint="eastAsia"/>
        </w:rPr>
      </w:pPr>
      <w:r>
        <w:rPr>
          <w:rFonts w:hint="eastAsia"/>
        </w:rPr>
        <w:t xml:space="preserve">（7）技术标准和要求； </w:t>
      </w:r>
    </w:p>
    <w:p w14:paraId="1A8A4622">
      <w:pPr>
        <w:spacing w:line="400" w:lineRule="exact"/>
        <w:ind w:firstLine="359" w:firstLineChars="171"/>
        <w:rPr>
          <w:rFonts w:hint="eastAsia"/>
        </w:rPr>
      </w:pPr>
      <w:r>
        <w:rPr>
          <w:rFonts w:hint="eastAsia"/>
        </w:rPr>
        <w:t>（8）投标文件格式；</w:t>
      </w:r>
    </w:p>
    <w:p w14:paraId="45E914F5">
      <w:pPr>
        <w:spacing w:line="400" w:lineRule="exact"/>
        <w:ind w:firstLine="359" w:firstLineChars="171"/>
        <w:rPr>
          <w:rFonts w:hint="eastAsia"/>
        </w:rPr>
      </w:pPr>
      <w:r>
        <w:rPr>
          <w:rFonts w:hint="eastAsia"/>
        </w:rPr>
        <w:t>（9）投标人须知前附表规定的其他材料。</w:t>
      </w:r>
    </w:p>
    <w:p w14:paraId="0F2ABF98">
      <w:pPr>
        <w:spacing w:line="400" w:lineRule="exact"/>
        <w:ind w:firstLine="420" w:firstLineChars="200"/>
        <w:rPr>
          <w:rFonts w:hint="eastAsia"/>
        </w:rPr>
      </w:pPr>
      <w:r>
        <w:rPr>
          <w:rFonts w:hint="eastAsia"/>
        </w:rPr>
        <w:t>根据本章第1.10款、第2.2款和第2.3款对招标文件所作的澄清、修改，构成招标文件的组成部分。</w:t>
      </w:r>
    </w:p>
    <w:p w14:paraId="73524E4D">
      <w:pPr>
        <w:spacing w:line="400" w:lineRule="exact"/>
        <w:ind w:firstLine="420" w:firstLineChars="200"/>
        <w:rPr>
          <w:rFonts w:hint="eastAsia"/>
        </w:rPr>
      </w:pPr>
      <w:r>
        <w:rPr>
          <w:rFonts w:hint="eastAsia"/>
        </w:rPr>
        <w:t>2.1.2 招标控制价</w:t>
      </w:r>
    </w:p>
    <w:p w14:paraId="30E45F0F">
      <w:pPr>
        <w:spacing w:line="400" w:lineRule="exact"/>
        <w:ind w:firstLine="420" w:firstLineChars="200"/>
        <w:rPr>
          <w:rFonts w:hint="eastAsia"/>
        </w:rPr>
      </w:pPr>
      <w:r>
        <w:rPr>
          <w:rFonts w:hint="eastAsia"/>
        </w:rPr>
        <w:t>（1）本工程的计税方法见投标人须知前附表。</w:t>
      </w:r>
    </w:p>
    <w:p w14:paraId="69528853">
      <w:pPr>
        <w:spacing w:line="400" w:lineRule="exact"/>
        <w:ind w:firstLine="420" w:firstLineChars="200"/>
        <w:rPr>
          <w:rFonts w:hint="eastAsia"/>
        </w:rPr>
      </w:pPr>
      <w:r>
        <w:rPr>
          <w:rFonts w:hint="eastAsia"/>
        </w:rPr>
        <w:t>（2）招标人将设置</w:t>
      </w:r>
      <w:r>
        <w:t>招标控制价</w:t>
      </w:r>
      <w:r>
        <w:rPr>
          <w:rFonts w:hint="eastAsia"/>
        </w:rPr>
        <w:t>，</w:t>
      </w:r>
      <w:r>
        <w:t>招标控制价</w:t>
      </w:r>
      <w:r>
        <w:rPr>
          <w:rFonts w:hint="eastAsia"/>
        </w:rPr>
        <w:t>总价见投标人须知前附表，</w:t>
      </w:r>
      <w:r>
        <w:t>招标控制价明细应随</w:t>
      </w:r>
      <w:r>
        <w:rPr>
          <w:rFonts w:hint="eastAsia"/>
        </w:rPr>
        <w:t>招标文件发给所有下载招标文件的投标人。</w:t>
      </w:r>
    </w:p>
    <w:p w14:paraId="27229CBF">
      <w:pPr>
        <w:spacing w:line="400" w:lineRule="exact"/>
        <w:ind w:firstLine="420" w:firstLineChars="200"/>
        <w:rPr>
          <w:rFonts w:hint="eastAsia"/>
        </w:rPr>
      </w:pPr>
      <w:r>
        <w:rPr>
          <w:rFonts w:hint="eastAsia"/>
        </w:rPr>
        <w:t>（3）招标控制价按照《建设工程工程量清单计价规范》（GB50500-201</w:t>
      </w:r>
      <w:r>
        <w:rPr>
          <w:rFonts w:hint="eastAsia" w:ascii="宋体" w:hAnsi="宋体"/>
          <w:szCs w:val="21"/>
        </w:rPr>
        <w:t>3）</w:t>
      </w:r>
      <w:r>
        <w:rPr>
          <w:rFonts w:ascii="宋体" w:hAnsi="宋体"/>
          <w:szCs w:val="21"/>
        </w:rPr>
        <w:t>和配套的工程量计算规范（GB50854-2013 ～GB50862-2013）</w:t>
      </w:r>
      <w:r>
        <w:rPr>
          <w:rFonts w:hint="eastAsia" w:ascii="宋体" w:hAnsi="宋体"/>
          <w:szCs w:val="21"/>
        </w:rPr>
        <w:t>、鄂建文[2013]39号《</w:t>
      </w:r>
      <w:r>
        <w:rPr>
          <w:rFonts w:ascii="宋体" w:hAnsi="宋体"/>
          <w:szCs w:val="21"/>
        </w:rPr>
        <w:t>关于执行</w:t>
      </w:r>
      <w:r>
        <w:rPr>
          <w:rFonts w:hint="eastAsia" w:ascii="宋体" w:hAnsi="宋体"/>
          <w:szCs w:val="21"/>
        </w:rPr>
        <w:t>&lt;</w:t>
      </w:r>
      <w:r>
        <w:rPr>
          <w:rFonts w:ascii="宋体" w:hAnsi="宋体"/>
          <w:szCs w:val="21"/>
        </w:rPr>
        <w:t>房屋建筑与装饰工程工程量计算规范</w:t>
      </w:r>
      <w:r>
        <w:rPr>
          <w:rFonts w:hint="eastAsia" w:ascii="宋体" w:hAnsi="宋体"/>
          <w:szCs w:val="21"/>
        </w:rPr>
        <w:t>&gt;</w:t>
      </w:r>
      <w:r>
        <w:rPr>
          <w:rFonts w:ascii="宋体" w:hAnsi="宋体"/>
          <w:szCs w:val="21"/>
        </w:rPr>
        <w:t>（GB50584-2013）等9项工程量计算规范有关问题的通知</w:t>
      </w:r>
      <w:r>
        <w:rPr>
          <w:rFonts w:hint="eastAsia" w:ascii="宋体" w:hAnsi="宋体"/>
          <w:szCs w:val="21"/>
        </w:rPr>
        <w:t>》、</w:t>
      </w:r>
      <w:r>
        <w:rPr>
          <w:rFonts w:hint="eastAsia"/>
        </w:rPr>
        <w:t>鄂建办[2018]27号《关于发布</w:t>
      </w:r>
      <w:r>
        <w:rPr>
          <w:rFonts w:hint="eastAsia" w:ascii="宋体" w:hAnsi="宋体"/>
          <w:szCs w:val="21"/>
        </w:rPr>
        <w:t>&lt;</w:t>
      </w:r>
      <w:r>
        <w:rPr>
          <w:rFonts w:hint="eastAsia"/>
        </w:rPr>
        <w:t>湖北省房屋建筑与装饰工程消耗量定额及全费用基价表</w:t>
      </w:r>
      <w:r>
        <w:rPr>
          <w:rFonts w:hint="eastAsia" w:ascii="宋体" w:hAnsi="宋体"/>
          <w:szCs w:val="21"/>
        </w:rPr>
        <w:t>&gt;</w:t>
      </w:r>
      <w:r>
        <w:rPr>
          <w:rFonts w:hint="eastAsia"/>
        </w:rPr>
        <w:t>等8项定额的通知》、</w:t>
      </w:r>
      <w:r>
        <w:rPr>
          <w:rFonts w:hint="eastAsia" w:ascii="宋体" w:hAnsi="宋体"/>
          <w:szCs w:val="21"/>
        </w:rPr>
        <w:t>鄂建办〔2019〕93号《关于调整湖北省建设工程计价依据的通知》</w:t>
      </w:r>
      <w:r>
        <w:rPr>
          <w:rFonts w:hint="eastAsia"/>
        </w:rPr>
        <w:t>的规定进行编制，具体内容依据第五章工程量清单的说明。</w:t>
      </w:r>
    </w:p>
    <w:p w14:paraId="721564C8">
      <w:pPr>
        <w:pStyle w:val="20"/>
        <w:rPr>
          <w:rFonts w:hint="eastAsia"/>
        </w:rPr>
      </w:pPr>
      <w:bookmarkStart w:id="86" w:name="_Toc152042320"/>
      <w:bookmarkStart w:id="87" w:name="_Toc108513511"/>
      <w:bookmarkStart w:id="88" w:name="_Toc152045544"/>
      <w:bookmarkStart w:id="89" w:name="_Toc179632562"/>
      <w:bookmarkStart w:id="90" w:name="_Toc144974512"/>
      <w:r>
        <w:rPr>
          <w:rFonts w:hint="eastAsia"/>
        </w:rPr>
        <w:t>2.2 招标文件的澄清</w:t>
      </w:r>
      <w:bookmarkEnd w:id="86"/>
      <w:bookmarkEnd w:id="87"/>
      <w:bookmarkEnd w:id="88"/>
      <w:bookmarkEnd w:id="89"/>
      <w:bookmarkEnd w:id="90"/>
    </w:p>
    <w:p w14:paraId="1CDCDF29">
      <w:pPr>
        <w:spacing w:line="400" w:lineRule="exact"/>
        <w:ind w:firstLine="420" w:firstLineChars="200"/>
        <w:rPr>
          <w:rFonts w:hint="eastAsia"/>
        </w:rPr>
      </w:pPr>
      <w:r>
        <w:rPr>
          <w:rFonts w:hint="eastAsia"/>
        </w:rPr>
        <w:t>2.2.1投标人应仔细阅读和检查招标文件的全部内容。</w:t>
      </w:r>
      <w:r>
        <w:rPr>
          <w:rFonts w:hint="eastAsia" w:ascii="宋体" w:hAnsi="宋体"/>
          <w:szCs w:val="21"/>
        </w:rPr>
        <w:t>如发现缺页或附件不全，应及时向招标人提出，以便补齐。</w:t>
      </w:r>
      <w:r>
        <w:rPr>
          <w:rFonts w:hint="eastAsia"/>
        </w:rPr>
        <w:t>如有疑问，应在投标人须知前附表规定的时间前，使用CA数字证书</w:t>
      </w:r>
      <w:r>
        <w:t>登录</w:t>
      </w:r>
      <w:r>
        <w:rPr>
          <w:rFonts w:hint="eastAsia"/>
        </w:rPr>
        <w:t>“电子交易平台”，在“投标答疑”菜单以书面形式要求招标人对招标文件予以澄清。</w:t>
      </w:r>
    </w:p>
    <w:p w14:paraId="60014260">
      <w:pPr>
        <w:spacing w:line="400" w:lineRule="exact"/>
        <w:ind w:firstLine="420" w:firstLineChars="200"/>
        <w:rPr>
          <w:rFonts w:hint="eastAsia"/>
        </w:rPr>
      </w:pPr>
      <w:r>
        <w:rPr>
          <w:rFonts w:hint="eastAsia"/>
        </w:rPr>
        <w:t xml:space="preserve">2.2.2 </w:t>
      </w:r>
      <w:r>
        <w:t>招标人</w:t>
      </w:r>
      <w:r>
        <w:rPr>
          <w:rFonts w:hint="eastAsia"/>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66DB14F8">
      <w:pPr>
        <w:spacing w:line="400" w:lineRule="exact"/>
        <w:ind w:firstLine="420" w:firstLineChars="200"/>
        <w:rPr>
          <w:rFonts w:hint="eastAsia"/>
        </w:rPr>
      </w:pPr>
      <w:r>
        <w:rPr>
          <w:rFonts w:hint="eastAsia"/>
        </w:rPr>
        <w:t>2.2.3</w:t>
      </w:r>
      <w:r>
        <w:t>投标人应</w:t>
      </w:r>
      <w:r>
        <w:rPr>
          <w:rFonts w:hint="eastAsia"/>
          <w:b/>
        </w:rPr>
        <w:t>实时关注</w:t>
      </w:r>
      <w:r>
        <w:rPr>
          <w:rFonts w:hint="eastAsia"/>
        </w:rPr>
        <w:t>“电子交易平台”</w:t>
      </w:r>
      <w:r>
        <w:t>上</w:t>
      </w:r>
      <w:r>
        <w:rPr>
          <w:rFonts w:hint="eastAsia"/>
        </w:rPr>
        <w:t>发出</w:t>
      </w:r>
      <w:r>
        <w:t>的澄清通知，因投标人</w:t>
      </w:r>
      <w:r>
        <w:rPr>
          <w:rFonts w:hint="eastAsia"/>
        </w:rPr>
        <w:t>自身</w:t>
      </w:r>
      <w:r>
        <w:t>原因未及时获知澄清内容而导致的任何后果将由投标人自行承担。</w:t>
      </w:r>
    </w:p>
    <w:p w14:paraId="22C1CFDD">
      <w:pPr>
        <w:pStyle w:val="20"/>
        <w:rPr>
          <w:rFonts w:hint="eastAsia"/>
        </w:rPr>
      </w:pPr>
      <w:bookmarkStart w:id="91" w:name="_Toc144974513"/>
      <w:bookmarkStart w:id="92" w:name="_Toc179632563"/>
      <w:bookmarkStart w:id="93" w:name="_Toc152042321"/>
      <w:bookmarkStart w:id="94" w:name="_Toc108513512"/>
      <w:bookmarkStart w:id="95" w:name="_Toc152045545"/>
      <w:r>
        <w:rPr>
          <w:rFonts w:hint="eastAsia"/>
        </w:rPr>
        <w:t>2.3 招标文件的修改</w:t>
      </w:r>
      <w:bookmarkEnd w:id="91"/>
      <w:bookmarkEnd w:id="92"/>
      <w:bookmarkEnd w:id="93"/>
      <w:bookmarkEnd w:id="94"/>
      <w:bookmarkEnd w:id="95"/>
    </w:p>
    <w:p w14:paraId="3F427E31">
      <w:pPr>
        <w:spacing w:line="400" w:lineRule="exact"/>
        <w:ind w:firstLine="420" w:firstLineChars="200"/>
        <w:rPr>
          <w:rFonts w:hint="eastAsia"/>
        </w:rPr>
      </w:pPr>
      <w:r>
        <w:rPr>
          <w:rFonts w:hint="eastAsia"/>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58C869F6">
      <w:pPr>
        <w:spacing w:line="400" w:lineRule="exact"/>
        <w:ind w:firstLine="420" w:firstLineChars="200"/>
        <w:rPr>
          <w:rFonts w:hint="eastAsia"/>
        </w:rPr>
      </w:pPr>
      <w:r>
        <w:rPr>
          <w:rFonts w:hint="eastAsia"/>
        </w:rPr>
        <w:t>2.3.2</w:t>
      </w:r>
      <w:r>
        <w:t>投标人应</w:t>
      </w:r>
      <w:r>
        <w:rPr>
          <w:rFonts w:hint="eastAsia"/>
          <w:b/>
        </w:rPr>
        <w:t>实时关注</w:t>
      </w:r>
      <w:r>
        <w:rPr>
          <w:rFonts w:hint="eastAsia"/>
        </w:rPr>
        <w:t>“电子交易平台”</w:t>
      </w:r>
      <w:r>
        <w:t>上</w:t>
      </w:r>
      <w:r>
        <w:rPr>
          <w:rFonts w:hint="eastAsia"/>
        </w:rPr>
        <w:t>发出</w:t>
      </w:r>
      <w:r>
        <w:t>的</w:t>
      </w:r>
      <w:r>
        <w:rPr>
          <w:rFonts w:hint="eastAsia"/>
        </w:rPr>
        <w:t>修改</w:t>
      </w:r>
      <w:r>
        <w:t>通知，因投标人</w:t>
      </w:r>
      <w:r>
        <w:rPr>
          <w:rFonts w:hint="eastAsia"/>
        </w:rPr>
        <w:t>自身</w:t>
      </w:r>
      <w:r>
        <w:t>原因未及时获知</w:t>
      </w:r>
      <w:r>
        <w:rPr>
          <w:rFonts w:hint="eastAsia"/>
        </w:rPr>
        <w:t>修改</w:t>
      </w:r>
      <w:r>
        <w:t>内容而导致的任何后果将由投标人自行承担。</w:t>
      </w:r>
    </w:p>
    <w:p w14:paraId="101AC0C9">
      <w:pPr>
        <w:pStyle w:val="20"/>
        <w:rPr>
          <w:rFonts w:hint="eastAsia"/>
        </w:rPr>
      </w:pPr>
      <w:bookmarkStart w:id="96" w:name="_Toc108513513"/>
      <w:r>
        <w:rPr>
          <w:rFonts w:hint="eastAsia"/>
        </w:rPr>
        <w:t>2.4 招标文件的异议</w:t>
      </w:r>
      <w:bookmarkEnd w:id="96"/>
    </w:p>
    <w:p w14:paraId="2E6FE0B8">
      <w:pPr>
        <w:spacing w:line="400" w:lineRule="exact"/>
        <w:ind w:firstLine="420" w:firstLineChars="200"/>
        <w:rPr>
          <w:rFonts w:hint="eastAsia"/>
        </w:rPr>
      </w:pPr>
      <w:r>
        <w:rPr>
          <w:rFonts w:hint="eastAsia"/>
        </w:rPr>
        <w:t>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w:t>
      </w:r>
      <w:r>
        <w:t>不予受理</w:t>
      </w:r>
      <w:r>
        <w:rPr>
          <w:rFonts w:hint="eastAsia"/>
        </w:rPr>
        <w:t>。异议与答复应通过“电子交易平台”在“异议与答复”菜单以书面形式进行。</w:t>
      </w:r>
    </w:p>
    <w:p w14:paraId="3545B248">
      <w:pPr>
        <w:spacing w:line="400" w:lineRule="exact"/>
        <w:ind w:firstLine="420" w:firstLineChars="200"/>
        <w:rPr>
          <w:rFonts w:hint="eastAsia"/>
        </w:rPr>
      </w:pPr>
      <w:r>
        <w:rPr>
          <w:rFonts w:hint="eastAsia"/>
        </w:rPr>
        <w:t>本处所称异议是指投标人或者其他利害关系人认为招标文件的内容违反法律、法规、规章的强制性规定，违反公开、公平、公正和诚实信用原则，影响投标人投标而向招标人提出的质疑。</w:t>
      </w:r>
    </w:p>
    <w:p w14:paraId="64687595">
      <w:pPr>
        <w:spacing w:line="400" w:lineRule="exact"/>
        <w:ind w:firstLine="420" w:firstLineChars="200"/>
        <w:rPr>
          <w:rFonts w:hint="eastAsia"/>
        </w:rPr>
      </w:pPr>
      <w:r>
        <w:rPr>
          <w:rFonts w:hint="eastAsia"/>
        </w:rPr>
        <w:t>2.4.2招标人对异议的答复构成对招标文件澄清或者修改的，招标人将按照本章第2.2款、第2.3款规定办理。</w:t>
      </w:r>
    </w:p>
    <w:p w14:paraId="3DE0A629">
      <w:pPr>
        <w:pStyle w:val="18"/>
        <w:rPr>
          <w:rFonts w:hint="eastAsia"/>
        </w:rPr>
      </w:pPr>
      <w:bookmarkStart w:id="97" w:name="_Toc152042322"/>
      <w:bookmarkStart w:id="98" w:name="_Toc144974514"/>
      <w:bookmarkStart w:id="99" w:name="_Toc152045546"/>
      <w:bookmarkStart w:id="100" w:name="_Toc179632564"/>
      <w:bookmarkStart w:id="101" w:name="_Toc108513514"/>
      <w:r>
        <w:rPr>
          <w:rFonts w:hint="eastAsia"/>
        </w:rPr>
        <w:t>3. 投标文件</w:t>
      </w:r>
      <w:bookmarkEnd w:id="97"/>
      <w:bookmarkEnd w:id="98"/>
      <w:bookmarkEnd w:id="99"/>
      <w:bookmarkEnd w:id="100"/>
      <w:bookmarkEnd w:id="101"/>
    </w:p>
    <w:p w14:paraId="73CFAE99">
      <w:pPr>
        <w:pStyle w:val="20"/>
        <w:rPr>
          <w:rFonts w:hint="eastAsia"/>
        </w:rPr>
      </w:pPr>
      <w:bookmarkStart w:id="102" w:name="_Toc179632565"/>
      <w:bookmarkStart w:id="103" w:name="_Toc152045547"/>
      <w:bookmarkStart w:id="104" w:name="_Toc108513515"/>
      <w:bookmarkStart w:id="105" w:name="_Toc152042323"/>
      <w:bookmarkStart w:id="106" w:name="_Toc144974515"/>
      <w:r>
        <w:rPr>
          <w:rFonts w:hint="eastAsia"/>
        </w:rPr>
        <w:t>3.1 投标文件的组成</w:t>
      </w:r>
      <w:bookmarkEnd w:id="102"/>
      <w:bookmarkEnd w:id="103"/>
      <w:bookmarkEnd w:id="104"/>
      <w:bookmarkEnd w:id="105"/>
      <w:bookmarkEnd w:id="106"/>
    </w:p>
    <w:p w14:paraId="2B41C11C">
      <w:pPr>
        <w:spacing w:line="400" w:lineRule="exact"/>
        <w:rPr>
          <w:rFonts w:hint="eastAsia"/>
        </w:rPr>
      </w:pPr>
      <w:r>
        <w:rPr>
          <w:rFonts w:hint="eastAsia"/>
        </w:rPr>
        <w:t>　　3.1.1投标文件应包括下列内容：</w:t>
      </w:r>
    </w:p>
    <w:p w14:paraId="338C16C8">
      <w:pPr>
        <w:spacing w:line="400" w:lineRule="exact"/>
        <w:ind w:firstLine="359" w:firstLineChars="171"/>
        <w:rPr>
          <w:rFonts w:hint="eastAsia"/>
        </w:rPr>
      </w:pPr>
      <w:r>
        <w:rPr>
          <w:rFonts w:hint="eastAsia"/>
        </w:rPr>
        <w:t>（1）投标函及投标函附录；</w:t>
      </w:r>
    </w:p>
    <w:p w14:paraId="2C4B4DF7">
      <w:pPr>
        <w:spacing w:line="400" w:lineRule="exact"/>
        <w:ind w:firstLine="359" w:firstLineChars="171"/>
        <w:rPr>
          <w:rFonts w:hint="eastAsia"/>
        </w:rPr>
      </w:pPr>
      <w:r>
        <w:rPr>
          <w:rFonts w:hint="eastAsia"/>
        </w:rPr>
        <w:t>（2）法定代表人身份证明；</w:t>
      </w:r>
    </w:p>
    <w:p w14:paraId="4BB311DB">
      <w:pPr>
        <w:spacing w:line="400" w:lineRule="exact"/>
        <w:ind w:firstLine="359" w:firstLineChars="171"/>
        <w:rPr>
          <w:rFonts w:hint="eastAsia"/>
        </w:rPr>
      </w:pPr>
      <w:r>
        <w:rPr>
          <w:rFonts w:hint="eastAsia"/>
        </w:rPr>
        <w:t>（3）投标保证金；</w:t>
      </w:r>
    </w:p>
    <w:p w14:paraId="3A1A0F72">
      <w:pPr>
        <w:spacing w:line="400" w:lineRule="exact"/>
        <w:ind w:firstLine="359" w:firstLineChars="171"/>
        <w:rPr>
          <w:rFonts w:hint="eastAsia"/>
        </w:rPr>
      </w:pPr>
      <w:r>
        <w:rPr>
          <w:rFonts w:hint="eastAsia"/>
        </w:rPr>
        <w:t>（4）联合体协议书；</w:t>
      </w:r>
    </w:p>
    <w:p w14:paraId="1AD8839B">
      <w:pPr>
        <w:spacing w:line="400" w:lineRule="exact"/>
        <w:ind w:firstLine="359" w:firstLineChars="171"/>
        <w:rPr>
          <w:rFonts w:hint="eastAsia"/>
        </w:rPr>
      </w:pPr>
      <w:r>
        <w:rPr>
          <w:rFonts w:hint="eastAsia"/>
        </w:rPr>
        <w:t>（5）</w:t>
      </w:r>
      <w:r>
        <w:rPr>
          <w:rFonts w:hint="eastAsia" w:ascii="宋体" w:hAnsi="宋体"/>
          <w:szCs w:val="21"/>
        </w:rPr>
        <w:t>拟分包项目情况表</w:t>
      </w:r>
      <w:r>
        <w:rPr>
          <w:rFonts w:hint="eastAsia"/>
        </w:rPr>
        <w:t>（适用于非政府采购工程）；</w:t>
      </w:r>
    </w:p>
    <w:p w14:paraId="02A16FC4">
      <w:pPr>
        <w:spacing w:line="400" w:lineRule="exact"/>
        <w:ind w:firstLine="359" w:firstLineChars="171"/>
        <w:rPr>
          <w:rFonts w:hint="eastAsia"/>
        </w:rPr>
      </w:pPr>
      <w:r>
        <w:rPr>
          <w:rFonts w:hint="eastAsia"/>
        </w:rPr>
        <w:t>（5）</w:t>
      </w:r>
      <w:r>
        <w:rPr>
          <w:rFonts w:hint="eastAsia" w:ascii="宋体" w:hAnsi="宋体"/>
          <w:szCs w:val="21"/>
        </w:rPr>
        <w:t>分包意向协议书</w:t>
      </w:r>
      <w:r>
        <w:rPr>
          <w:rFonts w:hint="eastAsia"/>
        </w:rPr>
        <w:t xml:space="preserve">（适用于政府采购工程）； </w:t>
      </w:r>
    </w:p>
    <w:p w14:paraId="60090848">
      <w:pPr>
        <w:spacing w:line="400" w:lineRule="exact"/>
        <w:ind w:firstLine="359" w:firstLineChars="171"/>
        <w:rPr>
          <w:rFonts w:hint="eastAsia"/>
        </w:rPr>
      </w:pPr>
      <w:r>
        <w:rPr>
          <w:rFonts w:hint="eastAsia"/>
        </w:rPr>
        <w:t>（6）</w:t>
      </w:r>
      <w:r>
        <w:rPr>
          <w:rFonts w:hint="eastAsia" w:ascii="宋体" w:hAnsi="宋体"/>
          <w:szCs w:val="21"/>
        </w:rPr>
        <w:t>中小企业声明函</w:t>
      </w:r>
      <w:r>
        <w:rPr>
          <w:rFonts w:hint="eastAsia"/>
        </w:rPr>
        <w:t>（适用于政府采购工程）；</w:t>
      </w:r>
    </w:p>
    <w:p w14:paraId="6A3E4F9B">
      <w:pPr>
        <w:spacing w:line="400" w:lineRule="exact"/>
        <w:ind w:firstLine="359" w:firstLineChars="171"/>
        <w:rPr>
          <w:rFonts w:hint="eastAsia"/>
        </w:rPr>
      </w:pPr>
      <w:r>
        <w:rPr>
          <w:rFonts w:hint="eastAsia"/>
        </w:rPr>
        <w:t>（7）项目管理机构；</w:t>
      </w:r>
    </w:p>
    <w:p w14:paraId="31550D56">
      <w:pPr>
        <w:spacing w:line="400" w:lineRule="exact"/>
        <w:ind w:firstLine="359" w:firstLineChars="171"/>
        <w:rPr>
          <w:rFonts w:hint="eastAsia"/>
        </w:rPr>
      </w:pPr>
      <w:r>
        <w:rPr>
          <w:rFonts w:hint="eastAsia"/>
        </w:rPr>
        <w:t>（8）资格审查资料；</w:t>
      </w:r>
    </w:p>
    <w:p w14:paraId="69E442DF">
      <w:pPr>
        <w:spacing w:line="400" w:lineRule="exact"/>
        <w:ind w:firstLine="359" w:firstLineChars="171"/>
        <w:rPr>
          <w:rFonts w:hint="eastAsia"/>
        </w:rPr>
      </w:pPr>
      <w:r>
        <w:rPr>
          <w:rFonts w:hint="eastAsia"/>
        </w:rPr>
        <w:t>（9）</w:t>
      </w:r>
      <w:r>
        <w:rPr>
          <w:rFonts w:hint="eastAsia" w:ascii="宋体" w:hAnsi="宋体"/>
          <w:szCs w:val="21"/>
        </w:rPr>
        <w:t>已标价工程量清单</w:t>
      </w:r>
      <w:r>
        <w:rPr>
          <w:rFonts w:hint="eastAsia"/>
        </w:rPr>
        <w:t>；</w:t>
      </w:r>
    </w:p>
    <w:p w14:paraId="2C0626B0">
      <w:pPr>
        <w:spacing w:line="400" w:lineRule="exact"/>
        <w:ind w:firstLine="359" w:firstLineChars="171"/>
        <w:rPr>
          <w:rFonts w:hint="eastAsia"/>
        </w:rPr>
      </w:pPr>
      <w:r>
        <w:rPr>
          <w:rFonts w:hint="eastAsia"/>
        </w:rPr>
        <w:t>（10）施工组织设计；</w:t>
      </w:r>
    </w:p>
    <w:p w14:paraId="3535A89F">
      <w:pPr>
        <w:spacing w:line="400" w:lineRule="exact"/>
        <w:ind w:firstLine="359" w:firstLineChars="171"/>
        <w:rPr>
          <w:rFonts w:hint="eastAsia"/>
        </w:rPr>
      </w:pPr>
      <w:r>
        <w:rPr>
          <w:rFonts w:hint="eastAsia"/>
        </w:rPr>
        <w:t>（11）投标人须知前附表规定的其他材料。</w:t>
      </w:r>
    </w:p>
    <w:p w14:paraId="6E993817">
      <w:pPr>
        <w:spacing w:line="400" w:lineRule="exact"/>
        <w:ind w:firstLine="359" w:firstLineChars="171"/>
        <w:rPr>
          <w:rFonts w:hint="eastAsia"/>
        </w:rPr>
      </w:pPr>
      <w:r>
        <w:rPr>
          <w:rFonts w:hint="eastAsia"/>
        </w:rPr>
        <w:t xml:space="preserve">3.1.2 投标人须知前附表规定不接受联合体投标的，或投标人没有组成联合体的，投标文件不包括本章第3.1.1（3）目所指的联合体协议书。 </w:t>
      </w:r>
    </w:p>
    <w:p w14:paraId="775C115A">
      <w:pPr>
        <w:pStyle w:val="20"/>
        <w:rPr>
          <w:rFonts w:hint="eastAsia"/>
        </w:rPr>
      </w:pPr>
      <w:bookmarkStart w:id="107" w:name="_Toc144974516"/>
      <w:bookmarkStart w:id="108" w:name="_Toc108513516"/>
      <w:bookmarkStart w:id="109" w:name="_Toc152045548"/>
      <w:bookmarkStart w:id="110" w:name="_Toc179632566"/>
      <w:bookmarkStart w:id="111" w:name="_Toc152042324"/>
      <w:r>
        <w:rPr>
          <w:rFonts w:hint="eastAsia"/>
        </w:rPr>
        <w:t>3.2 投标报价</w:t>
      </w:r>
      <w:bookmarkEnd w:id="107"/>
      <w:bookmarkEnd w:id="108"/>
      <w:bookmarkEnd w:id="109"/>
      <w:bookmarkEnd w:id="110"/>
      <w:bookmarkEnd w:id="111"/>
    </w:p>
    <w:p w14:paraId="5A0DECA9">
      <w:pPr>
        <w:spacing w:line="400" w:lineRule="exact"/>
        <w:ind w:firstLine="420" w:firstLineChars="200"/>
        <w:rPr>
          <w:rFonts w:hint="eastAsia"/>
        </w:rPr>
      </w:pPr>
      <w:r>
        <w:rPr>
          <w:rFonts w:hint="eastAsia"/>
        </w:rPr>
        <w:t>3.2.1 投标人应按第五章“工程量清单”的要求填写相应表格，并按本章第2.1.2（1）目约定的计税方法计税。未按约定的计税方法计税的，</w:t>
      </w:r>
      <w:r>
        <w:t>其投标</w:t>
      </w:r>
      <w:r>
        <w:rPr>
          <w:rFonts w:hint="eastAsia"/>
        </w:rPr>
        <w:t>将被否决。</w:t>
      </w:r>
    </w:p>
    <w:p w14:paraId="0F22FB84">
      <w:pPr>
        <w:spacing w:line="400" w:lineRule="exact"/>
        <w:ind w:firstLine="420" w:firstLineChars="200"/>
        <w:rPr>
          <w:rFonts w:hint="eastAsia"/>
        </w:rPr>
      </w:pPr>
      <w:r>
        <w:rPr>
          <w:rFonts w:hint="eastAsia"/>
        </w:rPr>
        <w:t>3.2.2 投标人经复核认为招标人公布的招标控制价未按本章第2.1.2（1）目、第2.1.2（3）目的规定编制，可按本章第2.4款的规定向招标人提出异议。对异议的答复</w:t>
      </w:r>
      <w:r>
        <w:t>仍持有异议</w:t>
      </w:r>
      <w:r>
        <w:rPr>
          <w:rFonts w:hint="eastAsia"/>
        </w:rPr>
        <w:t>，可按本章第9.5款的规定在投标截止时间前，向有关行政监督部门和工程造价管理机构投诉。</w:t>
      </w:r>
    </w:p>
    <w:p w14:paraId="1B5176FC">
      <w:pPr>
        <w:spacing w:line="400" w:lineRule="exact"/>
        <w:ind w:firstLine="420" w:firstLineChars="200"/>
        <w:rPr>
          <w:rFonts w:hint="eastAsia"/>
        </w:rPr>
      </w:pPr>
      <w:r>
        <w:rPr>
          <w:rFonts w:hint="eastAsia"/>
        </w:rPr>
        <w:t>3.2.3 投标人在投标截止时间前修改投标函中的投标总报价，应同时修改第五章“工程量清单”中的相应报价。此修改须符合本章第4.3款的有关要求。</w:t>
      </w:r>
    </w:p>
    <w:p w14:paraId="33A21608">
      <w:pPr>
        <w:spacing w:line="400" w:lineRule="exact"/>
        <w:ind w:firstLine="420" w:firstLineChars="200"/>
        <w:rPr>
          <w:rFonts w:hint="eastAsia"/>
        </w:rPr>
      </w:pPr>
      <w:r>
        <w:rPr>
          <w:rFonts w:hint="eastAsia"/>
        </w:rPr>
        <w:t>3.2.4投标人投标函中的大写报价或算术错误修正后的投标总报价大于招标控制价总价的，</w:t>
      </w:r>
      <w:r>
        <w:t>其投标</w:t>
      </w:r>
      <w:r>
        <w:rPr>
          <w:rFonts w:hint="eastAsia"/>
        </w:rPr>
        <w:t>将被否决</w:t>
      </w:r>
      <w:r>
        <w:t>。</w:t>
      </w:r>
    </w:p>
    <w:p w14:paraId="0C440DBC">
      <w:pPr>
        <w:pStyle w:val="20"/>
        <w:rPr>
          <w:rFonts w:hint="eastAsia"/>
        </w:rPr>
      </w:pPr>
      <w:bookmarkStart w:id="112" w:name="_Toc144974517"/>
      <w:bookmarkStart w:id="113" w:name="_Toc108513517"/>
      <w:bookmarkStart w:id="114" w:name="_Toc152045549"/>
      <w:bookmarkStart w:id="115" w:name="_Toc179632567"/>
      <w:bookmarkStart w:id="116" w:name="_Toc152042325"/>
      <w:r>
        <w:rPr>
          <w:rFonts w:hint="eastAsia"/>
        </w:rPr>
        <w:t>3.3 投标有效期</w:t>
      </w:r>
      <w:bookmarkEnd w:id="112"/>
      <w:bookmarkEnd w:id="113"/>
      <w:bookmarkEnd w:id="114"/>
      <w:bookmarkEnd w:id="115"/>
      <w:bookmarkEnd w:id="116"/>
    </w:p>
    <w:p w14:paraId="49C3778B">
      <w:pPr>
        <w:spacing w:line="400" w:lineRule="exact"/>
        <w:ind w:firstLine="420" w:firstLineChars="200"/>
        <w:rPr>
          <w:rFonts w:hint="eastAsia"/>
        </w:rPr>
      </w:pPr>
      <w:r>
        <w:rPr>
          <w:rFonts w:hint="eastAsia"/>
        </w:rPr>
        <w:t>3.3.1 在投标人须知前附表规定的投标有效期内，投标人不得要求撤销或修改其投标文件。</w:t>
      </w:r>
    </w:p>
    <w:p w14:paraId="349FF95C">
      <w:pPr>
        <w:spacing w:line="400" w:lineRule="exact"/>
        <w:ind w:firstLine="420" w:firstLineChars="200"/>
        <w:rPr>
          <w:rFonts w:hint="eastAsia"/>
        </w:rPr>
      </w:pPr>
      <w:r>
        <w:rPr>
          <w:rFonts w:hint="eastAsia"/>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4511C179">
      <w:pPr>
        <w:pStyle w:val="20"/>
        <w:rPr>
          <w:rFonts w:hint="eastAsia"/>
        </w:rPr>
      </w:pPr>
      <w:bookmarkStart w:id="117" w:name="_Toc108513518"/>
      <w:bookmarkStart w:id="118" w:name="_Toc152042326"/>
      <w:bookmarkStart w:id="119" w:name="_Toc152045550"/>
      <w:bookmarkStart w:id="120" w:name="_Toc179632568"/>
      <w:bookmarkStart w:id="121" w:name="_Toc144974518"/>
      <w:r>
        <w:rPr>
          <w:rFonts w:hint="eastAsia"/>
        </w:rPr>
        <w:t>3.4 投标保证金</w:t>
      </w:r>
      <w:bookmarkEnd w:id="117"/>
      <w:bookmarkEnd w:id="118"/>
      <w:bookmarkEnd w:id="119"/>
      <w:bookmarkEnd w:id="120"/>
      <w:bookmarkEnd w:id="121"/>
    </w:p>
    <w:p w14:paraId="32498674">
      <w:pPr>
        <w:spacing w:line="400" w:lineRule="exact"/>
        <w:ind w:firstLine="420" w:firstLineChars="200"/>
        <w:rPr>
          <w:rFonts w:hint="eastAsia"/>
        </w:rPr>
      </w:pPr>
      <w:r>
        <w:rPr>
          <w:rFonts w:hint="eastAsia"/>
        </w:rPr>
        <w:t>3.4.1投标人须知前附表规定提交投标保证金的，投标人在递交投标文件的同时，应按投标人须知前附表规定的</w:t>
      </w:r>
      <w:r>
        <w:t>形式</w:t>
      </w:r>
      <w:r>
        <w:rPr>
          <w:rFonts w:hint="eastAsia"/>
        </w:rPr>
        <w:t>、</w:t>
      </w:r>
      <w:r>
        <w:t>金额</w:t>
      </w:r>
      <w:r>
        <w:rPr>
          <w:rFonts w:hint="eastAsia"/>
        </w:rPr>
        <w:t>、递交截止时间、递交方式提交投标保证金，并作为其投标文件的组成部分。联合体投标的，其投标保证金由牵头人递交，并应符合投标人须知前附表的规定。</w:t>
      </w:r>
    </w:p>
    <w:p w14:paraId="02A7374C">
      <w:pPr>
        <w:spacing w:line="400" w:lineRule="exact"/>
        <w:ind w:firstLine="420" w:firstLineChars="200"/>
        <w:rPr>
          <w:rFonts w:hint="eastAsia"/>
        </w:rPr>
      </w:pPr>
      <w:r>
        <w:rPr>
          <w:rFonts w:hint="eastAsia"/>
        </w:rPr>
        <w:t>3.4.2 投标人不按本章第3.4.1项要求提交投标保证金的，</w:t>
      </w:r>
      <w:r>
        <w:t>其投标</w:t>
      </w:r>
      <w:r>
        <w:rPr>
          <w:rFonts w:hint="eastAsia"/>
        </w:rPr>
        <w:t>将被否决</w:t>
      </w:r>
      <w:r>
        <w:t>。</w:t>
      </w:r>
    </w:p>
    <w:p w14:paraId="2E6B7DA0">
      <w:pPr>
        <w:spacing w:line="400" w:lineRule="exact"/>
        <w:ind w:firstLine="420" w:firstLineChars="200"/>
        <w:rPr>
          <w:rFonts w:hint="eastAsia"/>
        </w:rPr>
      </w:pPr>
      <w:r>
        <w:rPr>
          <w:rFonts w:hint="eastAsia"/>
        </w:rPr>
        <w:t>3.4.3 招标人最迟在与中标人签订合同后5日内，向未中标的投标人和中标人退还投标保证金。招标人同时退还投标保证金的银行同期存款利息。投标保证金及利息的计息标准和退还方式见投标人须知前附表。</w:t>
      </w:r>
    </w:p>
    <w:p w14:paraId="7D7EE74F">
      <w:pPr>
        <w:spacing w:line="400" w:lineRule="exact"/>
        <w:ind w:firstLine="420" w:firstLineChars="200"/>
        <w:rPr>
          <w:rFonts w:hint="eastAsia"/>
        </w:rPr>
      </w:pPr>
      <w:r>
        <w:rPr>
          <w:rFonts w:hint="eastAsia"/>
        </w:rPr>
        <w:t xml:space="preserve">3.4.4 有下列情形之一的，投标保证金将不予退还： </w:t>
      </w:r>
    </w:p>
    <w:p w14:paraId="5707B238">
      <w:pPr>
        <w:spacing w:line="400" w:lineRule="exact"/>
        <w:ind w:firstLine="718" w:firstLineChars="342"/>
        <w:rPr>
          <w:rFonts w:hint="eastAsia"/>
        </w:rPr>
      </w:pPr>
      <w:r>
        <w:rPr>
          <w:rFonts w:hint="eastAsia"/>
        </w:rPr>
        <w:t>（1）投标人在规定的投标有效期内撤销或修改其投标文件；</w:t>
      </w:r>
    </w:p>
    <w:p w14:paraId="0D082EF5">
      <w:pPr>
        <w:spacing w:line="400" w:lineRule="exact"/>
        <w:ind w:firstLine="718" w:firstLineChars="342"/>
        <w:rPr>
          <w:rFonts w:hint="eastAsia"/>
        </w:rPr>
      </w:pPr>
      <w:r>
        <w:rPr>
          <w:rFonts w:hint="eastAsia"/>
        </w:rPr>
        <w:t>（2）中标人在收到中标通知书后，无正当理由拒签合同、在签订合同时向招标人提出附加条件或未按招标文件规定提交履约保证金。</w:t>
      </w:r>
    </w:p>
    <w:p w14:paraId="408FD6FD">
      <w:pPr>
        <w:pStyle w:val="20"/>
        <w:rPr>
          <w:rFonts w:hint="eastAsia"/>
        </w:rPr>
      </w:pPr>
      <w:bookmarkStart w:id="122" w:name="_Toc179632570"/>
      <w:bookmarkStart w:id="123" w:name="_Toc152045552"/>
      <w:bookmarkStart w:id="124" w:name="_Toc108513519"/>
      <w:bookmarkStart w:id="125" w:name="_Toc144974520"/>
      <w:bookmarkStart w:id="126" w:name="_Toc152042328"/>
      <w:r>
        <w:rPr>
          <w:rFonts w:hint="eastAsia"/>
        </w:rPr>
        <w:t>3.5 资格审查资料（适用于未进行资格预审的）</w:t>
      </w:r>
      <w:bookmarkEnd w:id="122"/>
      <w:bookmarkEnd w:id="123"/>
      <w:bookmarkEnd w:id="124"/>
      <w:bookmarkEnd w:id="125"/>
      <w:bookmarkEnd w:id="126"/>
    </w:p>
    <w:p w14:paraId="2BF2F2F2">
      <w:pPr>
        <w:spacing w:line="400" w:lineRule="exact"/>
        <w:ind w:firstLine="420" w:firstLineChars="200"/>
        <w:rPr>
          <w:rFonts w:hint="eastAsia"/>
        </w:rPr>
      </w:pPr>
      <w:r>
        <w:rPr>
          <w:rFonts w:hint="eastAsia"/>
        </w:rPr>
        <w:t>3.5.1投标人应按招标文件第八章“投标文件格式”中规定的表格内容填写资格审查表，并按各资格审查表的具体要求提供相关证件及证明材料。</w:t>
      </w:r>
    </w:p>
    <w:p w14:paraId="3DDC4821">
      <w:pPr>
        <w:spacing w:line="400" w:lineRule="exact"/>
        <w:ind w:firstLine="420" w:firstLineChars="200"/>
        <w:rPr>
          <w:rFonts w:hint="eastAsia"/>
        </w:rPr>
      </w:pPr>
      <w:r>
        <w:rPr>
          <w:rFonts w:hint="eastAsia"/>
        </w:rPr>
        <w:t>本招标文件中“类似项目”的定义见投标人须知前附表。</w:t>
      </w:r>
    </w:p>
    <w:p w14:paraId="6E212408">
      <w:pPr>
        <w:spacing w:line="400" w:lineRule="exact"/>
        <w:ind w:firstLine="420" w:firstLineChars="200"/>
        <w:rPr>
          <w:rFonts w:hint="eastAsia"/>
        </w:rPr>
      </w:pPr>
      <w:r>
        <w:rPr>
          <w:rFonts w:hint="eastAsia"/>
        </w:rPr>
        <w:t>3.5.2投标人须知前附表第1.4.2项规定接受联合体投标的，本章第3.5.1项规定的表格和资料应包括联合体各方相关情况。</w:t>
      </w:r>
    </w:p>
    <w:p w14:paraId="12205543">
      <w:pPr>
        <w:pStyle w:val="20"/>
        <w:rPr>
          <w:rFonts w:hint="eastAsia"/>
        </w:rPr>
      </w:pPr>
      <w:bookmarkStart w:id="127" w:name="_Toc179632571"/>
      <w:bookmarkStart w:id="128" w:name="_Toc108513520"/>
      <w:bookmarkStart w:id="129" w:name="_Toc152042329"/>
      <w:bookmarkStart w:id="130" w:name="_Toc152045553"/>
      <w:bookmarkStart w:id="131" w:name="_Toc144974521"/>
      <w:r>
        <w:rPr>
          <w:rFonts w:hint="eastAsia"/>
        </w:rPr>
        <w:t>3.6 备选投标方案</w:t>
      </w:r>
      <w:bookmarkEnd w:id="127"/>
      <w:bookmarkEnd w:id="128"/>
      <w:bookmarkEnd w:id="129"/>
      <w:bookmarkEnd w:id="130"/>
      <w:bookmarkEnd w:id="131"/>
    </w:p>
    <w:p w14:paraId="4553B072">
      <w:pPr>
        <w:spacing w:line="400" w:lineRule="exact"/>
        <w:ind w:firstLine="420" w:firstLineChars="200"/>
        <w:rPr>
          <w:rFonts w:hint="eastAsia"/>
        </w:rPr>
      </w:pPr>
      <w:r>
        <w:rPr>
          <w:rFonts w:hint="eastAsia"/>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30F3FA22">
      <w:pPr>
        <w:pStyle w:val="20"/>
        <w:rPr>
          <w:rFonts w:hint="eastAsia"/>
        </w:rPr>
      </w:pPr>
      <w:bookmarkStart w:id="132" w:name="_Toc144974522"/>
      <w:bookmarkStart w:id="133" w:name="_Toc152045554"/>
      <w:bookmarkStart w:id="134" w:name="_Toc152042330"/>
      <w:bookmarkStart w:id="135" w:name="_Toc179632572"/>
      <w:bookmarkStart w:id="136" w:name="_Toc108513521"/>
      <w:r>
        <w:rPr>
          <w:rFonts w:hint="eastAsia"/>
        </w:rPr>
        <w:t>3.7 投标文件的编制</w:t>
      </w:r>
      <w:bookmarkEnd w:id="132"/>
      <w:bookmarkEnd w:id="133"/>
      <w:bookmarkEnd w:id="134"/>
      <w:bookmarkEnd w:id="135"/>
      <w:bookmarkEnd w:id="136"/>
    </w:p>
    <w:p w14:paraId="39E5D720">
      <w:pPr>
        <w:spacing w:line="400" w:lineRule="exact"/>
        <w:ind w:firstLine="420" w:firstLineChars="200"/>
        <w:rPr>
          <w:rFonts w:hint="eastAsia"/>
        </w:rPr>
      </w:pPr>
      <w:r>
        <w:rPr>
          <w:rFonts w:hint="eastAsia"/>
        </w:rPr>
        <w:t>3.7.1投标文件应按第八章“投标文件格式”进行编写，如有必要，可以增加附页，作为投标文件的组成部分。其中，投标函附录在满足招标文件实质性要求的基础上，可以提出比招标文件要求更有利于招标人的承诺。</w:t>
      </w:r>
    </w:p>
    <w:p w14:paraId="7259C76D">
      <w:pPr>
        <w:spacing w:line="400" w:lineRule="exact"/>
        <w:ind w:firstLine="420" w:firstLineChars="200"/>
        <w:rPr>
          <w:rFonts w:hint="eastAsia"/>
          <w:szCs w:val="21"/>
        </w:rPr>
      </w:pPr>
      <w:r>
        <w:rPr>
          <w:rFonts w:hint="eastAsia"/>
        </w:rPr>
        <w:t>3.7.2 投标文件应当对招标文件有关</w:t>
      </w:r>
      <w:r>
        <w:rPr>
          <w:rFonts w:hint="eastAsia"/>
          <w:szCs w:val="21"/>
        </w:rPr>
        <w:t>工期、投标有效期、质量要求、技术标准和要求、招标范围等实质性内容作出响应。</w:t>
      </w:r>
    </w:p>
    <w:p w14:paraId="4A1FBEEF">
      <w:pPr>
        <w:spacing w:line="400" w:lineRule="exact"/>
        <w:ind w:firstLine="420" w:firstLineChars="200"/>
        <w:rPr>
          <w:rFonts w:hint="eastAsia"/>
        </w:rPr>
      </w:pPr>
      <w:r>
        <w:rPr>
          <w:rFonts w:hint="eastAsia"/>
        </w:rPr>
        <w:t xml:space="preserve">3.7.3 </w:t>
      </w:r>
      <w:r>
        <w:t>电子投标文件制作</w:t>
      </w:r>
    </w:p>
    <w:p w14:paraId="3D870508">
      <w:pPr>
        <w:spacing w:line="400" w:lineRule="exact"/>
        <w:ind w:firstLine="420" w:firstLineChars="200"/>
        <w:rPr>
          <w:rFonts w:hint="eastAsia"/>
        </w:rPr>
      </w:pPr>
      <w:r>
        <w:rPr>
          <w:rFonts w:hint="eastAsia"/>
        </w:rPr>
        <w:t>（1）</w:t>
      </w:r>
      <w:r>
        <w:t>电子投标文件</w:t>
      </w:r>
      <w:r>
        <w:rPr>
          <w:rFonts w:hint="eastAsia"/>
        </w:rPr>
        <w:t>由</w:t>
      </w:r>
      <w:r>
        <w:t>投标人</w:t>
      </w:r>
      <w:r>
        <w:rPr>
          <w:rFonts w:hint="eastAsia"/>
        </w:rPr>
        <w:t>使用“</w:t>
      </w:r>
      <w:r>
        <w:t>电子</w:t>
      </w:r>
      <w:r>
        <w:rPr>
          <w:rFonts w:hint="eastAsia"/>
        </w:rPr>
        <w:t>交易</w:t>
      </w:r>
      <w:r>
        <w:t>平台</w:t>
      </w:r>
      <w:r>
        <w:rPr>
          <w:rFonts w:hint="eastAsia"/>
        </w:rPr>
        <w:t>”</w:t>
      </w:r>
      <w:r>
        <w:t>提供</w:t>
      </w:r>
      <w:r>
        <w:rPr>
          <w:rFonts w:hint="eastAsia"/>
        </w:rPr>
        <w:t>的“电子</w:t>
      </w:r>
      <w:r>
        <w:t>投标文件制作软件</w:t>
      </w:r>
      <w:r>
        <w:rPr>
          <w:rFonts w:hint="eastAsia"/>
        </w:rPr>
        <w:t>”</w:t>
      </w:r>
      <w:r>
        <w:t>制作生成。</w:t>
      </w:r>
    </w:p>
    <w:p w14:paraId="55C51F62">
      <w:pPr>
        <w:spacing w:line="400" w:lineRule="exact"/>
        <w:ind w:firstLine="420" w:firstLineChars="200"/>
        <w:rPr>
          <w:rFonts w:hint="eastAsia"/>
        </w:rPr>
      </w:pPr>
      <w:r>
        <w:rPr>
          <w:rFonts w:hint="eastAsia"/>
        </w:rPr>
        <w:t>（2）</w:t>
      </w:r>
      <w:r>
        <w:t>投标人在编制电子投标文件时应当建立分级目录，并按照标签提示导入相关内容。</w:t>
      </w:r>
    </w:p>
    <w:p w14:paraId="36D00B7A">
      <w:pPr>
        <w:spacing w:line="400" w:lineRule="exact"/>
        <w:ind w:firstLine="420" w:firstLineChars="200"/>
        <w:rPr>
          <w:rFonts w:hint="eastAsia"/>
        </w:rPr>
      </w:pPr>
      <w:r>
        <w:rPr>
          <w:rFonts w:hint="eastAsia"/>
        </w:rPr>
        <w:t>（3）</w:t>
      </w:r>
      <w:r>
        <w:t>电子投标文件中的证明资料均为</w:t>
      </w:r>
      <w:r>
        <w:rPr>
          <w:rFonts w:hint="eastAsia"/>
        </w:rPr>
        <w:t>“扫描件”</w:t>
      </w:r>
      <w:r>
        <w:t>，</w:t>
      </w:r>
      <w:r>
        <w:rPr>
          <w:rFonts w:hint="eastAsia"/>
        </w:rPr>
        <w:t>应从“</w:t>
      </w:r>
      <w:r>
        <w:t>电子</w:t>
      </w:r>
      <w:r>
        <w:rPr>
          <w:rFonts w:hint="eastAsia"/>
        </w:rPr>
        <w:t>交易</w:t>
      </w:r>
      <w:r>
        <w:t>平台”</w:t>
      </w:r>
      <w:r>
        <w:rPr>
          <w:rFonts w:hint="eastAsia"/>
        </w:rPr>
        <w:t>交易主体诚信库中选择，交易主体诚信库中没有的“扫描件”，应以附件形式直接导入，</w:t>
      </w:r>
      <w:r>
        <w:t>未标示</w:t>
      </w:r>
      <w:r>
        <w:rPr>
          <w:rFonts w:hint="eastAsia"/>
        </w:rPr>
        <w:t>“扫描件”</w:t>
      </w:r>
      <w:r>
        <w:t>的证明资料均应直接制作生成。</w:t>
      </w:r>
    </w:p>
    <w:p w14:paraId="7DF4095A">
      <w:pPr>
        <w:spacing w:line="400" w:lineRule="exact"/>
        <w:ind w:firstLine="420" w:firstLineChars="200"/>
        <w:rPr>
          <w:rFonts w:hint="eastAsia"/>
        </w:rPr>
      </w:pPr>
      <w:r>
        <w:rPr>
          <w:rFonts w:hint="eastAsia"/>
        </w:rPr>
        <w:t>（4）</w:t>
      </w:r>
      <w:r>
        <w:t>电子投标文件中</w:t>
      </w:r>
      <w:r>
        <w:rPr>
          <w:rFonts w:hint="eastAsia"/>
        </w:rPr>
        <w:t>的已标价工程量清单数据文件</w:t>
      </w:r>
      <w:r>
        <w:rPr>
          <w:rFonts w:hint="eastAsia"/>
          <w:szCs w:val="21"/>
        </w:rPr>
        <w:t>应符合《湖北省建设工程造价应用软件数据交换规范》和</w:t>
      </w:r>
      <w:r>
        <w:rPr>
          <w:rFonts w:hint="eastAsia"/>
        </w:rPr>
        <w:t>《关于增加湖北省建设工程造价数据接口内容的通知》（鄂建标函[2018]6号）</w:t>
      </w:r>
      <w:r>
        <w:rPr>
          <w:rFonts w:hint="eastAsia"/>
          <w:szCs w:val="21"/>
        </w:rPr>
        <w:t>的要求，采用</w:t>
      </w:r>
      <w:r>
        <w:rPr>
          <w:szCs w:val="21"/>
        </w:rPr>
        <w:t>XML</w:t>
      </w:r>
      <w:r>
        <w:rPr>
          <w:rFonts w:hint="eastAsia"/>
          <w:szCs w:val="21"/>
        </w:rPr>
        <w:t>格式。</w:t>
      </w:r>
      <w:r>
        <w:t>电子投标文件中</w:t>
      </w:r>
      <w:r>
        <w:rPr>
          <w:rFonts w:hint="eastAsia"/>
          <w:szCs w:val="21"/>
        </w:rPr>
        <w:t>只能包含一个</w:t>
      </w:r>
      <w:r>
        <w:rPr>
          <w:szCs w:val="21"/>
        </w:rPr>
        <w:t>X</w:t>
      </w:r>
      <w:r>
        <w:t>ML或</w:t>
      </w:r>
      <w:r>
        <w:rPr>
          <w:rFonts w:hint="eastAsia"/>
        </w:rPr>
        <w:t>HBTB</w:t>
      </w:r>
      <w:r>
        <w:rPr>
          <w:rFonts w:hint="eastAsia"/>
          <w:szCs w:val="21"/>
        </w:rPr>
        <w:t>文件，多个专业分别编制时，应汇总合并为一个</w:t>
      </w:r>
      <w:r>
        <w:rPr>
          <w:szCs w:val="21"/>
        </w:rPr>
        <w:t>XM</w:t>
      </w:r>
      <w:r>
        <w:t>L或</w:t>
      </w:r>
      <w:r>
        <w:rPr>
          <w:rFonts w:hint="eastAsia"/>
        </w:rPr>
        <w:t>HBTB</w:t>
      </w:r>
      <w:r>
        <w:rPr>
          <w:rFonts w:hint="eastAsia"/>
          <w:szCs w:val="21"/>
        </w:rPr>
        <w:t>文件</w:t>
      </w:r>
      <w:r>
        <w:t>导入</w:t>
      </w:r>
      <w:r>
        <w:rPr>
          <w:rFonts w:hint="eastAsia"/>
          <w:szCs w:val="21"/>
        </w:rPr>
        <w:t>。</w:t>
      </w:r>
    </w:p>
    <w:p w14:paraId="5235946B">
      <w:pPr>
        <w:spacing w:line="400" w:lineRule="exact"/>
        <w:ind w:firstLine="420" w:firstLineChars="200"/>
        <w:rPr>
          <w:rFonts w:hint="eastAsia"/>
        </w:rPr>
      </w:pPr>
      <w:r>
        <w:rPr>
          <w:rFonts w:hint="eastAsia"/>
        </w:rPr>
        <w:t>（5）第八章投标文件格式文件要求“盖单位章”的地方，投标人应使用CA 数字证书加盖投标人的单位电子印章；要求“签字”的地方，投标人应使用CA 数字证书加盖法定代表人的个人电子印章或电子签名章。</w:t>
      </w:r>
      <w:r>
        <w:rPr>
          <w:rFonts w:hint="eastAsia" w:ascii="宋体" w:hAnsi="宋体"/>
        </w:rPr>
        <w:t>联合体投标的，投标文件由联合体牵头人按上述规定在</w:t>
      </w:r>
      <w:r>
        <w:rPr>
          <w:rFonts w:ascii="宋体" w:hAnsi="宋体"/>
        </w:rPr>
        <w:t>要求</w:t>
      </w:r>
      <w:r>
        <w:rPr>
          <w:rFonts w:hint="eastAsia"/>
        </w:rPr>
        <w:t>“盖单位章”的地方</w:t>
      </w:r>
      <w:r>
        <w:rPr>
          <w:rFonts w:hint="eastAsia" w:ascii="宋体" w:hAnsi="宋体"/>
        </w:rPr>
        <w:t>加盖联合体牵头人单位电子印章；在</w:t>
      </w:r>
      <w:r>
        <w:rPr>
          <w:rFonts w:hint="eastAsia"/>
        </w:rPr>
        <w:t>要求“签字”的地方加盖</w:t>
      </w:r>
      <w:r>
        <w:rPr>
          <w:rFonts w:hint="eastAsia" w:ascii="宋体" w:hAnsi="宋体"/>
        </w:rPr>
        <w:t>联合体牵头人法定代表人的个人电子印章或电子签名章。</w:t>
      </w:r>
      <w:r>
        <w:rPr>
          <w:rFonts w:hint="eastAsia"/>
        </w:rPr>
        <w:t>招标文件有特别说明的除外。</w:t>
      </w:r>
    </w:p>
    <w:p w14:paraId="496075E3">
      <w:pPr>
        <w:spacing w:line="400" w:lineRule="exact"/>
        <w:ind w:firstLine="420" w:firstLineChars="200"/>
        <w:rPr>
          <w:rFonts w:hint="eastAsia"/>
        </w:rPr>
      </w:pPr>
      <w:r>
        <w:rPr>
          <w:rFonts w:hint="eastAsia"/>
        </w:rPr>
        <w:t>（6）</w:t>
      </w:r>
      <w:r>
        <w:t>电子投标文件</w:t>
      </w:r>
      <w:r>
        <w:rPr>
          <w:rFonts w:hint="eastAsia"/>
        </w:rPr>
        <w:t>制作完成后</w:t>
      </w:r>
      <w:r>
        <w:t>，</w:t>
      </w:r>
      <w:r>
        <w:rPr>
          <w:rFonts w:hint="eastAsia"/>
        </w:rPr>
        <w:t>将生成一份加密的电子投标文件（后缀名为.HBSTF）和一份不加密的电子投标文件（后缀名为.NHBSTF）。</w:t>
      </w:r>
    </w:p>
    <w:p w14:paraId="28C43F50">
      <w:pPr>
        <w:spacing w:line="400" w:lineRule="exact"/>
        <w:ind w:firstLine="420" w:firstLineChars="200"/>
        <w:rPr>
          <w:rFonts w:hint="eastAsia"/>
        </w:rPr>
      </w:pPr>
      <w:r>
        <w:rPr>
          <w:rFonts w:hint="eastAsia"/>
        </w:rPr>
        <w:t>（7）</w:t>
      </w:r>
      <w:r>
        <w:t>电子投标文件制作</w:t>
      </w:r>
      <w:r>
        <w:rPr>
          <w:rFonts w:hint="eastAsia"/>
        </w:rPr>
        <w:t>的具体方法详见“电子投标文件制作软件”中的帮助文档。</w:t>
      </w:r>
    </w:p>
    <w:p w14:paraId="1D7B9E2D">
      <w:pPr>
        <w:spacing w:line="420" w:lineRule="exact"/>
        <w:ind w:firstLine="420" w:firstLineChars="200"/>
        <w:rPr>
          <w:rFonts w:hint="eastAsia"/>
          <w:szCs w:val="21"/>
        </w:rPr>
      </w:pPr>
      <w:r>
        <w:rPr>
          <w:rFonts w:hint="eastAsia"/>
        </w:rPr>
        <w:t>3.7.4</w:t>
      </w:r>
      <w:r>
        <w:rPr>
          <w:rFonts w:hint="eastAsia"/>
          <w:szCs w:val="21"/>
        </w:rPr>
        <w:t xml:space="preserve"> 投标人须知前附表规定“施工组织设计”采用无标识“技术暗标”时，则“施工组织设计”按本章第3.7.3项制作</w:t>
      </w:r>
      <w:r>
        <w:t>电子投标文件</w:t>
      </w:r>
      <w:r>
        <w:rPr>
          <w:rFonts w:hint="eastAsia"/>
          <w:szCs w:val="21"/>
        </w:rPr>
        <w:t>时应满足下列要求：</w:t>
      </w:r>
    </w:p>
    <w:p w14:paraId="10DC087A">
      <w:pPr>
        <w:spacing w:line="400" w:lineRule="exact"/>
        <w:ind w:firstLine="420" w:firstLineChars="200"/>
        <w:rPr>
          <w:rFonts w:hint="eastAsia"/>
        </w:rPr>
      </w:pPr>
      <w:r>
        <w:rPr>
          <w:rFonts w:hint="eastAsia"/>
          <w:szCs w:val="21"/>
        </w:rPr>
        <w:t>（1）</w:t>
      </w:r>
      <w:r>
        <w:rPr>
          <w:rFonts w:hint="eastAsia" w:ascii="宋体" w:hAnsi="宋体"/>
          <w:szCs w:val="21"/>
        </w:rPr>
        <w:t xml:space="preserve"> 封面设置要求：</w:t>
      </w:r>
      <w:r>
        <w:rPr>
          <w:rFonts w:hint="eastAsia"/>
          <w:szCs w:val="21"/>
        </w:rPr>
        <w:t>采用A4规格白色底色，</w:t>
      </w:r>
      <w:r>
        <w:rPr>
          <w:rFonts w:hint="eastAsia"/>
        </w:rPr>
        <w:t>写明“</w:t>
      </w:r>
      <w:r>
        <w:rPr>
          <w:rFonts w:hint="eastAsia"/>
          <w:u w:val="single"/>
        </w:rPr>
        <w:t xml:space="preserve">     </w:t>
      </w:r>
      <w:r>
        <w:rPr>
          <w:rFonts w:hint="eastAsia"/>
        </w:rPr>
        <w:t>（项目名称）</w:t>
      </w:r>
      <w:r>
        <w:rPr>
          <w:rFonts w:hint="eastAsia"/>
          <w:u w:val="single"/>
        </w:rPr>
        <w:t xml:space="preserve">   </w:t>
      </w:r>
      <w:r>
        <w:rPr>
          <w:rFonts w:hint="eastAsia"/>
        </w:rPr>
        <w:t xml:space="preserve"> (标</w:t>
      </w:r>
      <w:r>
        <w:rPr>
          <w:rFonts w:hint="eastAsia"/>
          <w:szCs w:val="21"/>
        </w:rPr>
        <w:t>段名称)施工组织设计”</w:t>
      </w:r>
      <w:r>
        <w:rPr>
          <w:rFonts w:hint="eastAsia"/>
        </w:rPr>
        <w:t>字样，</w:t>
      </w:r>
      <w:r>
        <w:rPr>
          <w:rFonts w:hint="eastAsia"/>
          <w:szCs w:val="21"/>
        </w:rPr>
        <w:t>文字为黑色二号宋体，可加粗</w:t>
      </w:r>
      <w:r>
        <w:rPr>
          <w:rFonts w:hint="eastAsia"/>
        </w:rPr>
        <w:t>；</w:t>
      </w:r>
    </w:p>
    <w:p w14:paraId="7A5D1504">
      <w:pPr>
        <w:spacing w:line="420" w:lineRule="exact"/>
        <w:ind w:firstLine="420" w:firstLineChars="200"/>
        <w:rPr>
          <w:rFonts w:hint="eastAsia"/>
          <w:szCs w:val="21"/>
        </w:rPr>
      </w:pPr>
      <w:r>
        <w:rPr>
          <w:rFonts w:hint="eastAsia"/>
          <w:szCs w:val="21"/>
        </w:rPr>
        <w:t xml:space="preserve">（2） </w:t>
      </w:r>
      <w:r>
        <w:rPr>
          <w:rFonts w:hint="eastAsia" w:ascii="宋体" w:hAnsi="宋体"/>
          <w:szCs w:val="21"/>
        </w:rPr>
        <w:t>目录、正文标题（包括章、节、条、款、项）、正文要求：</w:t>
      </w:r>
      <w:r>
        <w:rPr>
          <w:rFonts w:hint="eastAsia"/>
          <w:szCs w:val="21"/>
        </w:rPr>
        <w:t>采用A4规格白色底色，文字为黑色小四号宋体，标题可加粗；</w:t>
      </w:r>
    </w:p>
    <w:p w14:paraId="43E2BC50">
      <w:pPr>
        <w:spacing w:line="420" w:lineRule="exact"/>
        <w:ind w:firstLine="420" w:firstLineChars="200"/>
        <w:rPr>
          <w:rFonts w:hint="eastAsia"/>
          <w:szCs w:val="21"/>
        </w:rPr>
      </w:pPr>
      <w:r>
        <w:rPr>
          <w:rFonts w:hint="eastAsia"/>
          <w:szCs w:val="21"/>
        </w:rPr>
        <w:t>（3） 图表要求：</w:t>
      </w:r>
      <w:r>
        <w:rPr>
          <w:rFonts w:hint="eastAsia" w:ascii="宋体" w:hAnsi="宋体"/>
          <w:szCs w:val="21"/>
        </w:rPr>
        <w:t>图表应尽可能采用</w:t>
      </w:r>
      <w:r>
        <w:rPr>
          <w:rFonts w:hint="eastAsia"/>
          <w:szCs w:val="21"/>
        </w:rPr>
        <w:t>A4规格白色底色，</w:t>
      </w:r>
      <w:r>
        <w:rPr>
          <w:rFonts w:hint="eastAsia" w:ascii="宋体" w:hAnsi="宋体"/>
          <w:szCs w:val="21"/>
        </w:rPr>
        <w:t>对于比较大的图表可使用A3</w:t>
      </w:r>
      <w:r>
        <w:rPr>
          <w:rFonts w:hint="eastAsia"/>
          <w:szCs w:val="21"/>
        </w:rPr>
        <w:t>规格白色底色。</w:t>
      </w:r>
      <w:r>
        <w:rPr>
          <w:rFonts w:hint="eastAsia" w:ascii="宋体" w:hAnsi="宋体"/>
          <w:szCs w:val="21"/>
        </w:rPr>
        <w:t>图表中的文字采用</w:t>
      </w:r>
      <w:r>
        <w:rPr>
          <w:rFonts w:hint="eastAsia"/>
          <w:szCs w:val="21"/>
        </w:rPr>
        <w:t>黑色</w:t>
      </w:r>
      <w:r>
        <w:rPr>
          <w:rFonts w:hint="eastAsia" w:ascii="宋体" w:hAnsi="宋体"/>
          <w:szCs w:val="21"/>
        </w:rPr>
        <w:t>，字体、字号不限；</w:t>
      </w:r>
    </w:p>
    <w:p w14:paraId="63C824DB">
      <w:pPr>
        <w:spacing w:line="420" w:lineRule="exact"/>
        <w:ind w:firstLine="420" w:firstLineChars="200"/>
        <w:rPr>
          <w:rFonts w:hint="eastAsia"/>
          <w:szCs w:val="21"/>
        </w:rPr>
      </w:pPr>
      <w:r>
        <w:rPr>
          <w:rFonts w:hint="eastAsia"/>
          <w:szCs w:val="21"/>
        </w:rPr>
        <w:t xml:space="preserve">（4） </w:t>
      </w:r>
      <w:r>
        <w:rPr>
          <w:rFonts w:ascii="宋体" w:hAnsi="宋体"/>
          <w:szCs w:val="21"/>
        </w:rPr>
        <w:t>页眉和页脚</w:t>
      </w:r>
      <w:r>
        <w:rPr>
          <w:rFonts w:hint="eastAsia" w:ascii="宋体" w:hAnsi="宋体"/>
          <w:szCs w:val="21"/>
        </w:rPr>
        <w:t>（包括页码）设置要求：不允许出现页眉，且页脚只准出现页码，页码格式采用阿拉伯数字格式，字体为五号宋体，设在页脚居中位置，页码应当连续</w:t>
      </w:r>
      <w:r>
        <w:rPr>
          <w:rFonts w:hint="eastAsia"/>
          <w:szCs w:val="21"/>
        </w:rPr>
        <w:t>；</w:t>
      </w:r>
    </w:p>
    <w:p w14:paraId="2B9DE42F">
      <w:pPr>
        <w:spacing w:line="420" w:lineRule="exact"/>
        <w:ind w:firstLine="420" w:firstLineChars="200"/>
        <w:rPr>
          <w:rFonts w:hint="eastAsia"/>
          <w:szCs w:val="21"/>
        </w:rPr>
      </w:pPr>
      <w:r>
        <w:rPr>
          <w:rFonts w:hint="eastAsia"/>
          <w:szCs w:val="21"/>
        </w:rPr>
        <w:t>（5） 任何情况下，施工组织设计中不得出现投标人的名称和其它可识别投标人身份的字符、徽标、人员名称等。</w:t>
      </w:r>
    </w:p>
    <w:p w14:paraId="3F6B82A7">
      <w:pPr>
        <w:pStyle w:val="18"/>
        <w:rPr>
          <w:rFonts w:hint="eastAsia"/>
        </w:rPr>
      </w:pPr>
      <w:bookmarkStart w:id="137" w:name="_Toc152042331"/>
      <w:bookmarkStart w:id="138" w:name="_Toc152045555"/>
      <w:bookmarkStart w:id="139" w:name="_Toc179632573"/>
      <w:bookmarkStart w:id="140" w:name="_Toc144974523"/>
      <w:bookmarkStart w:id="141" w:name="_Toc108513522"/>
      <w:r>
        <w:rPr>
          <w:rFonts w:hint="eastAsia"/>
        </w:rPr>
        <w:t>4. 投标</w:t>
      </w:r>
      <w:bookmarkEnd w:id="137"/>
      <w:bookmarkEnd w:id="138"/>
      <w:bookmarkEnd w:id="139"/>
      <w:bookmarkEnd w:id="140"/>
      <w:bookmarkEnd w:id="141"/>
    </w:p>
    <w:p w14:paraId="6240920C">
      <w:pPr>
        <w:pStyle w:val="20"/>
        <w:rPr>
          <w:rFonts w:hint="eastAsia"/>
        </w:rPr>
      </w:pPr>
      <w:bookmarkStart w:id="142" w:name="_Toc179632574"/>
      <w:bookmarkStart w:id="143" w:name="_Toc152042332"/>
      <w:bookmarkStart w:id="144" w:name="_Toc152045556"/>
      <w:bookmarkStart w:id="145" w:name="_Toc144974524"/>
      <w:bookmarkStart w:id="146" w:name="_Toc108513523"/>
      <w:r>
        <w:rPr>
          <w:rFonts w:hint="eastAsia"/>
        </w:rPr>
        <w:t>4.1 投标文件的</w:t>
      </w:r>
      <w:bookmarkEnd w:id="142"/>
      <w:bookmarkEnd w:id="143"/>
      <w:bookmarkEnd w:id="144"/>
      <w:bookmarkEnd w:id="145"/>
      <w:r>
        <w:rPr>
          <w:rFonts w:hint="eastAsia"/>
        </w:rPr>
        <w:t>加密</w:t>
      </w:r>
      <w:bookmarkEnd w:id="146"/>
    </w:p>
    <w:p w14:paraId="1B3BCD8C">
      <w:pPr>
        <w:spacing w:line="400" w:lineRule="exact"/>
        <w:ind w:firstLine="420" w:firstLineChars="200"/>
      </w:pPr>
      <w:r>
        <w:rPr>
          <w:rFonts w:hint="eastAsia"/>
        </w:rPr>
        <w:t>投标人应当按照</w:t>
      </w:r>
      <w:r>
        <w:t>本章第3.</w:t>
      </w:r>
      <w:r>
        <w:rPr>
          <w:rFonts w:hint="eastAsia"/>
        </w:rPr>
        <w:t>7.3</w:t>
      </w:r>
      <w:r>
        <w:t>项要求制作</w:t>
      </w:r>
      <w:r>
        <w:rPr>
          <w:rFonts w:hint="eastAsia"/>
        </w:rPr>
        <w:t>电子投标文件，并在投标时上传</w:t>
      </w:r>
      <w:r>
        <w:rPr>
          <w:rFonts w:hint="eastAsia"/>
          <w:b/>
        </w:rPr>
        <w:t>加密的电子投标文件</w:t>
      </w:r>
      <w:r>
        <w:rPr>
          <w:rFonts w:hint="eastAsia"/>
        </w:rPr>
        <w:t>，未</w:t>
      </w:r>
      <w:r>
        <w:t>加密的</w:t>
      </w:r>
      <w:r>
        <w:rPr>
          <w:rFonts w:hint="eastAsia"/>
        </w:rPr>
        <w:t>电子</w:t>
      </w:r>
      <w:r>
        <w:t>投标文件，</w:t>
      </w:r>
      <w:r>
        <w:rPr>
          <w:rFonts w:hint="eastAsia"/>
        </w:rPr>
        <w:t>招标人（“</w:t>
      </w:r>
      <w:r>
        <w:t>电子</w:t>
      </w:r>
      <w:r>
        <w:rPr>
          <w:rFonts w:hint="eastAsia"/>
        </w:rPr>
        <w:t>交易平台”）将拒收并提示。</w:t>
      </w:r>
    </w:p>
    <w:p w14:paraId="2A6A587D">
      <w:pPr>
        <w:pStyle w:val="20"/>
        <w:rPr>
          <w:rFonts w:hint="eastAsia"/>
        </w:rPr>
      </w:pPr>
      <w:bookmarkStart w:id="147" w:name="_Toc144974525"/>
      <w:bookmarkStart w:id="148" w:name="_Toc108513524"/>
      <w:bookmarkStart w:id="149" w:name="_Toc152042333"/>
      <w:bookmarkStart w:id="150" w:name="_Toc152045557"/>
      <w:bookmarkStart w:id="151" w:name="_Toc179632575"/>
      <w:r>
        <w:rPr>
          <w:rFonts w:hint="eastAsia"/>
        </w:rPr>
        <w:t>4.2 投标文件的递交</w:t>
      </w:r>
      <w:bookmarkEnd w:id="147"/>
      <w:bookmarkEnd w:id="148"/>
      <w:bookmarkEnd w:id="149"/>
      <w:bookmarkEnd w:id="150"/>
      <w:bookmarkEnd w:id="151"/>
    </w:p>
    <w:p w14:paraId="478AB98C">
      <w:pPr>
        <w:spacing w:line="400" w:lineRule="exact"/>
        <w:ind w:firstLine="420" w:firstLineChars="200"/>
        <w:rPr>
          <w:rFonts w:hint="eastAsia"/>
        </w:rPr>
      </w:pPr>
      <w:r>
        <w:rPr>
          <w:rFonts w:hint="eastAsia"/>
        </w:rPr>
        <w:t>4.2.1 投标人递交投标文件的截止时间（投标截止时间）：见投标人须知前附表。</w:t>
      </w:r>
    </w:p>
    <w:p w14:paraId="751C2743">
      <w:pPr>
        <w:spacing w:line="400" w:lineRule="exact"/>
        <w:ind w:firstLine="420" w:firstLineChars="200"/>
        <w:rPr>
          <w:rFonts w:hint="eastAsia"/>
        </w:rPr>
      </w:pPr>
      <w:r>
        <w:t>4.</w:t>
      </w:r>
      <w:r>
        <w:rPr>
          <w:rFonts w:hint="eastAsia"/>
        </w:rPr>
        <w:t>2</w:t>
      </w:r>
      <w:r>
        <w:t>.</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载明的传输完成时间为准。投标人应充分考虑上传文件时的不可预见因素，投标文件</w:t>
      </w:r>
      <w:r>
        <w:t>未在投标截止时间前完成上传</w:t>
      </w:r>
      <w:r>
        <w:rPr>
          <w:rFonts w:hint="eastAsia"/>
        </w:rPr>
        <w:t>的，</w:t>
      </w:r>
      <w:r>
        <w:t>视为逾期送达</w:t>
      </w:r>
      <w:r>
        <w:rPr>
          <w:rFonts w:hint="eastAsia"/>
        </w:rPr>
        <w:t>，招标人（“</w:t>
      </w:r>
      <w:r>
        <w:t>电子</w:t>
      </w:r>
      <w:r>
        <w:rPr>
          <w:rFonts w:hint="eastAsia"/>
        </w:rPr>
        <w:t>交易平台”）</w:t>
      </w:r>
      <w:r>
        <w:t>将拒收。</w:t>
      </w:r>
    </w:p>
    <w:p w14:paraId="7ECBB687">
      <w:pPr>
        <w:spacing w:line="400" w:lineRule="exact"/>
        <w:ind w:firstLine="420" w:firstLineChars="200"/>
        <w:rPr>
          <w:rFonts w:hint="eastAsia"/>
        </w:rPr>
      </w:pPr>
      <w:r>
        <w:rPr>
          <w:rFonts w:hint="eastAsia"/>
        </w:rPr>
        <w:t>4.2.3 除投标人须知前附表另有规定外，投标人所递交的投标文件不予退还。</w:t>
      </w:r>
    </w:p>
    <w:p w14:paraId="51D586A0">
      <w:pPr>
        <w:pStyle w:val="20"/>
        <w:rPr>
          <w:rFonts w:hint="eastAsia"/>
        </w:rPr>
      </w:pPr>
      <w:bookmarkStart w:id="152" w:name="_Toc108513525"/>
      <w:bookmarkStart w:id="153" w:name="_Toc152042334"/>
      <w:bookmarkStart w:id="154" w:name="_Toc152045558"/>
      <w:bookmarkStart w:id="155" w:name="_Toc144974526"/>
      <w:bookmarkStart w:id="156" w:name="_Toc179632576"/>
      <w:r>
        <w:rPr>
          <w:rFonts w:hint="eastAsia"/>
        </w:rPr>
        <w:t>4.3 投标文件的修改与撤回</w:t>
      </w:r>
      <w:bookmarkEnd w:id="152"/>
      <w:bookmarkEnd w:id="153"/>
      <w:bookmarkEnd w:id="154"/>
      <w:bookmarkEnd w:id="155"/>
      <w:bookmarkEnd w:id="156"/>
    </w:p>
    <w:p w14:paraId="59085D09">
      <w:pPr>
        <w:spacing w:line="400" w:lineRule="exact"/>
        <w:ind w:firstLine="420" w:firstLineChars="200"/>
        <w:rPr>
          <w:rFonts w:hint="eastAsia"/>
        </w:rPr>
      </w:pPr>
      <w:r>
        <w:t>4.3.1</w:t>
      </w:r>
      <w:r>
        <w:rPr>
          <w:rFonts w:hint="eastAsia"/>
        </w:rPr>
        <w:t xml:space="preserve"> 在本章第4.2.1项规定的投标截止时间前，投标人可以修改或撤回已递交的投标文件。</w:t>
      </w:r>
    </w:p>
    <w:p w14:paraId="6919D236">
      <w:pPr>
        <w:spacing w:line="400" w:lineRule="exact"/>
        <w:ind w:firstLine="420" w:firstLineChars="200"/>
      </w:pPr>
      <w:r>
        <w:rPr>
          <w:rFonts w:hint="eastAsia"/>
        </w:rPr>
        <w:t>4.3.2 投标人撤回投标文件的，在“电子交易平台”直接进行撤回操作</w:t>
      </w:r>
      <w:r>
        <w:t>。</w:t>
      </w:r>
    </w:p>
    <w:p w14:paraId="11DDE2E2">
      <w:pPr>
        <w:spacing w:line="400" w:lineRule="exact"/>
        <w:ind w:firstLine="420" w:firstLineChars="200"/>
        <w:rPr>
          <w:rFonts w:hint="eastAsia"/>
        </w:rPr>
      </w:pPr>
      <w:r>
        <w:rPr>
          <w:rFonts w:hint="eastAsia"/>
        </w:rPr>
        <w:t>4.3.3 投标人修改投标文件的，</w:t>
      </w:r>
      <w:r>
        <w:t>应当</w:t>
      </w:r>
      <w:r>
        <w:rPr>
          <w:rFonts w:hint="eastAsia"/>
        </w:rPr>
        <w:t>先按本章第</w:t>
      </w:r>
      <w:r>
        <w:t>4.3.2</w:t>
      </w:r>
      <w:r>
        <w:rPr>
          <w:rFonts w:hint="eastAsia"/>
        </w:rPr>
        <w:t>项的规定撤回投标文件，再</w:t>
      </w:r>
      <w:r>
        <w:t>使用</w:t>
      </w:r>
      <w:r>
        <w:rPr>
          <w:rFonts w:hint="eastAsia"/>
        </w:rPr>
        <w:t>“电子</w:t>
      </w:r>
      <w:r>
        <w:t>投标文件制作软件”制作成完整的投标文件</w:t>
      </w:r>
      <w:r>
        <w:rPr>
          <w:rFonts w:hint="eastAsia"/>
        </w:rPr>
        <w:t>，并按照本章第3条、第4条规定进行编制和递交。</w:t>
      </w:r>
    </w:p>
    <w:p w14:paraId="415A9A60">
      <w:pPr>
        <w:pStyle w:val="18"/>
        <w:rPr>
          <w:rFonts w:hint="eastAsia"/>
        </w:rPr>
      </w:pPr>
      <w:bookmarkStart w:id="157" w:name="_Toc108513526"/>
      <w:bookmarkStart w:id="158" w:name="_Toc152045559"/>
      <w:bookmarkStart w:id="159" w:name="_Toc144974527"/>
      <w:bookmarkStart w:id="160" w:name="_Toc179632577"/>
      <w:bookmarkStart w:id="161" w:name="_Toc152042335"/>
      <w:r>
        <w:rPr>
          <w:rFonts w:hint="eastAsia"/>
        </w:rPr>
        <w:t>5. 开标</w:t>
      </w:r>
      <w:bookmarkEnd w:id="157"/>
      <w:bookmarkEnd w:id="158"/>
      <w:bookmarkEnd w:id="159"/>
      <w:bookmarkEnd w:id="160"/>
      <w:bookmarkEnd w:id="161"/>
    </w:p>
    <w:p w14:paraId="3F0009C4">
      <w:pPr>
        <w:pStyle w:val="20"/>
        <w:rPr>
          <w:rFonts w:hint="eastAsia"/>
        </w:rPr>
      </w:pPr>
      <w:bookmarkStart w:id="162" w:name="_Toc152042336"/>
      <w:bookmarkStart w:id="163" w:name="_Toc152045560"/>
      <w:bookmarkStart w:id="164" w:name="_Toc179632578"/>
      <w:bookmarkStart w:id="165" w:name="_Toc144974528"/>
      <w:bookmarkStart w:id="166" w:name="_Toc108513527"/>
      <w:r>
        <w:rPr>
          <w:rFonts w:hint="eastAsia"/>
        </w:rPr>
        <w:t>5.1 开标时间和地点</w:t>
      </w:r>
      <w:bookmarkEnd w:id="162"/>
      <w:bookmarkEnd w:id="163"/>
      <w:bookmarkEnd w:id="164"/>
      <w:bookmarkEnd w:id="165"/>
      <w:bookmarkEnd w:id="166"/>
    </w:p>
    <w:p w14:paraId="2D65AB92">
      <w:pPr>
        <w:spacing w:line="400" w:lineRule="exact"/>
        <w:ind w:firstLine="420" w:firstLineChars="200"/>
        <w:rPr>
          <w:rFonts w:hint="eastAsia"/>
        </w:rPr>
      </w:pPr>
      <w:r>
        <w:rPr>
          <w:rFonts w:hint="eastAsia"/>
        </w:rPr>
        <w:t>5.1.1 招标人在本章第4.2.1项规定的投标截止时间（开标时间）</w:t>
      </w:r>
      <w:r>
        <w:rPr>
          <w:rFonts w:hint="eastAsia"/>
          <w:bCs/>
          <w:iCs/>
        </w:rPr>
        <w:t>在</w:t>
      </w:r>
      <w:r>
        <w:rPr>
          <w:rFonts w:hint="eastAsia"/>
        </w:rPr>
        <w:t>“电子交易平台”</w:t>
      </w:r>
      <w:r>
        <w:rPr>
          <w:rFonts w:hint="eastAsia"/>
          <w:bCs/>
          <w:iCs/>
        </w:rPr>
        <w:t>上</w:t>
      </w:r>
      <w:r>
        <w:rPr>
          <w:rFonts w:hint="eastAsia"/>
        </w:rPr>
        <w:t>公开进行开标，</w:t>
      </w:r>
      <w:r>
        <w:rPr>
          <w:rFonts w:hint="eastAsia"/>
          <w:bCs/>
          <w:iCs/>
        </w:rPr>
        <w:t>所有投标人均</w:t>
      </w:r>
      <w:r>
        <w:rPr>
          <w:rFonts w:hint="eastAsia"/>
          <w:b/>
          <w:bCs/>
          <w:iCs/>
        </w:rPr>
        <w:t>应当准时在线参加开标</w:t>
      </w:r>
      <w:r>
        <w:rPr>
          <w:rFonts w:hint="eastAsia"/>
        </w:rPr>
        <w:t>。</w:t>
      </w:r>
    </w:p>
    <w:p w14:paraId="695A0A07">
      <w:pPr>
        <w:spacing w:line="400" w:lineRule="exact"/>
        <w:ind w:firstLine="420" w:firstLineChars="200"/>
        <w:rPr>
          <w:rFonts w:hint="eastAsia"/>
        </w:rPr>
      </w:pPr>
      <w:r>
        <w:rPr>
          <w:rFonts w:hint="eastAsia"/>
        </w:rPr>
        <w:t>5.1.2招标人通过互联网在投标人须知前附表规定的地点组织开标，并在投标截止时间30分钟前，</w:t>
      </w:r>
      <w:r>
        <w:t>使用</w:t>
      </w:r>
      <w:r>
        <w:rPr>
          <w:rFonts w:hint="eastAsia"/>
        </w:rPr>
        <w:t>CA数字证书登录“电子交易平台”，进入“开标大厅”选择相应标段作在线开标的准备工作。</w:t>
      </w:r>
    </w:p>
    <w:p w14:paraId="28DE10CA">
      <w:pPr>
        <w:spacing w:line="400" w:lineRule="exact"/>
        <w:ind w:firstLine="420" w:firstLineChars="200"/>
        <w:rPr>
          <w:rFonts w:hint="eastAsia"/>
        </w:rPr>
      </w:pPr>
      <w:r>
        <w:rPr>
          <w:rFonts w:hint="eastAsia"/>
        </w:rPr>
        <w:t>5.1.3 投标人应当在能够保证设施设备可靠、互联网畅通的</w:t>
      </w:r>
      <w:r>
        <w:rPr>
          <w:rFonts w:hint="eastAsia"/>
          <w:b/>
        </w:rPr>
        <w:t>任意地点</w:t>
      </w:r>
      <w:r>
        <w:rPr>
          <w:rFonts w:hint="eastAsia"/>
        </w:rPr>
        <w:t>，通过互联网在线参加开标</w:t>
      </w:r>
      <w:r>
        <w:rPr>
          <w:rFonts w:hint="eastAsia"/>
          <w:szCs w:val="21"/>
        </w:rPr>
        <w:t>。在</w:t>
      </w:r>
      <w:r>
        <w:rPr>
          <w:rFonts w:hint="eastAsia"/>
        </w:rPr>
        <w:t>投标截止时间前，</w:t>
      </w:r>
      <w:r>
        <w:rPr>
          <w:b/>
        </w:rPr>
        <w:t>使用</w:t>
      </w:r>
      <w:r>
        <w:rPr>
          <w:rFonts w:hint="eastAsia"/>
          <w:b/>
        </w:rPr>
        <w:t>加密其投标文件的CA数字证书</w:t>
      </w:r>
      <w:r>
        <w:rPr>
          <w:rFonts w:hint="eastAsia"/>
        </w:rPr>
        <w:t>登录“电子交易平台”，进入“开标大厅”选择所投标段进行签到，并实时在线关注招标人的操作情况。</w:t>
      </w:r>
    </w:p>
    <w:p w14:paraId="4050EBA6">
      <w:pPr>
        <w:pStyle w:val="20"/>
        <w:rPr>
          <w:rFonts w:hint="eastAsia"/>
        </w:rPr>
      </w:pPr>
      <w:bookmarkStart w:id="167" w:name="_Toc152045561"/>
      <w:bookmarkStart w:id="168" w:name="_Toc179632579"/>
      <w:bookmarkStart w:id="169" w:name="_Toc108513528"/>
      <w:bookmarkStart w:id="170" w:name="_Toc152042337"/>
      <w:bookmarkStart w:id="171" w:name="_Toc144974529"/>
      <w:r>
        <w:rPr>
          <w:rFonts w:hint="eastAsia"/>
        </w:rPr>
        <w:t>5.2 开标程序</w:t>
      </w:r>
      <w:bookmarkEnd w:id="167"/>
      <w:bookmarkEnd w:id="168"/>
      <w:bookmarkEnd w:id="169"/>
      <w:bookmarkEnd w:id="170"/>
      <w:bookmarkEnd w:id="171"/>
    </w:p>
    <w:p w14:paraId="7C73C1B6">
      <w:pPr>
        <w:spacing w:line="400" w:lineRule="exact"/>
        <w:ind w:firstLine="420" w:firstLineChars="200"/>
        <w:rPr>
          <w:rFonts w:hint="eastAsia"/>
        </w:rPr>
      </w:pPr>
      <w:r>
        <w:rPr>
          <w:rFonts w:hint="eastAsia"/>
        </w:rPr>
        <w:t>5.2.1 主持人按下列程序在“电子交易平台”的“开标大厅”进行在线开标：</w:t>
      </w:r>
    </w:p>
    <w:p w14:paraId="60DC2A91">
      <w:pPr>
        <w:spacing w:line="400" w:lineRule="exact"/>
        <w:ind w:firstLine="420" w:firstLineChars="200"/>
      </w:pPr>
      <w:r>
        <w:t>（1）宣布开标纪律；</w:t>
      </w:r>
    </w:p>
    <w:p w14:paraId="76650BAC">
      <w:pPr>
        <w:spacing w:line="400" w:lineRule="exact"/>
        <w:ind w:firstLine="420" w:firstLineChars="200"/>
      </w:pPr>
      <w:r>
        <w:t>（2）公布</w:t>
      </w:r>
      <w:r>
        <w:rPr>
          <w:rFonts w:hint="eastAsia"/>
        </w:rPr>
        <w:t>主持人、招标人代表、监标人</w:t>
      </w:r>
      <w:r>
        <w:t>等有关人员</w:t>
      </w:r>
      <w:r>
        <w:rPr>
          <w:rFonts w:hint="eastAsia"/>
        </w:rPr>
        <w:t>姓</w:t>
      </w:r>
      <w:r>
        <w:t xml:space="preserve">名； </w:t>
      </w:r>
    </w:p>
    <w:p w14:paraId="53AEB941">
      <w:pPr>
        <w:spacing w:line="400" w:lineRule="exact"/>
        <w:ind w:firstLine="420" w:firstLineChars="200"/>
      </w:pPr>
      <w:r>
        <w:t>（</w:t>
      </w:r>
      <w:r>
        <w:rPr>
          <w:rFonts w:hint="eastAsia"/>
        </w:rPr>
        <w:t>3</w:t>
      </w:r>
      <w:r>
        <w:t>）</w:t>
      </w:r>
      <w:r>
        <w:rPr>
          <w:rFonts w:hint="eastAsia"/>
        </w:rPr>
        <w:t>公布在投标截止时间前投标文件的递交情况；</w:t>
      </w:r>
    </w:p>
    <w:p w14:paraId="08C4C150">
      <w:pPr>
        <w:spacing w:line="400" w:lineRule="exact"/>
        <w:ind w:firstLine="420" w:firstLineChars="200"/>
      </w:pPr>
      <w:r>
        <w:t>（</w:t>
      </w:r>
      <w:r>
        <w:rPr>
          <w:rFonts w:hint="eastAsia"/>
        </w:rPr>
        <w:t>4</w:t>
      </w:r>
      <w:r>
        <w:t>）</w:t>
      </w:r>
      <w:r>
        <w:rPr>
          <w:rFonts w:hint="eastAsia"/>
          <w:szCs w:val="21"/>
        </w:rPr>
        <w:t>公布投标保证金递交情况；</w:t>
      </w:r>
    </w:p>
    <w:p w14:paraId="693DE8E3">
      <w:pPr>
        <w:spacing w:line="400" w:lineRule="exact"/>
        <w:ind w:firstLine="420" w:firstLineChars="200"/>
        <w:rPr>
          <w:rFonts w:hint="eastAsia"/>
        </w:rPr>
      </w:pPr>
      <w:r>
        <w:t>（</w:t>
      </w:r>
      <w:r>
        <w:rPr>
          <w:rFonts w:hint="eastAsia"/>
        </w:rPr>
        <w:t>5</w:t>
      </w:r>
      <w:r>
        <w:t>）</w:t>
      </w:r>
      <w:r>
        <w:rPr>
          <w:szCs w:val="21"/>
        </w:rPr>
        <w:t>投标人</w:t>
      </w:r>
      <w:r>
        <w:rPr>
          <w:rFonts w:hint="eastAsia"/>
          <w:szCs w:val="21"/>
        </w:rPr>
        <w:t>根据提示</w:t>
      </w:r>
      <w:r>
        <w:rPr>
          <w:szCs w:val="21"/>
        </w:rPr>
        <w:t>在</w:t>
      </w:r>
      <w:r>
        <w:rPr>
          <w:rFonts w:hint="eastAsia"/>
          <w:szCs w:val="21"/>
        </w:rPr>
        <w:t>投标人须知前附表规定的时间内</w:t>
      </w:r>
      <w:r>
        <w:rPr>
          <w:szCs w:val="21"/>
        </w:rPr>
        <w:t>解密投标文件</w:t>
      </w:r>
      <w:r>
        <w:rPr>
          <w:rFonts w:hint="eastAsia"/>
          <w:szCs w:val="21"/>
        </w:rPr>
        <w:t>；</w:t>
      </w:r>
    </w:p>
    <w:p w14:paraId="1F86AF4C">
      <w:pPr>
        <w:spacing w:line="400" w:lineRule="exact"/>
        <w:ind w:firstLine="420" w:firstLineChars="200"/>
      </w:pPr>
      <w:r>
        <w:rPr>
          <w:rFonts w:hint="eastAsia"/>
        </w:rPr>
        <w:t>（6）读取已解密</w:t>
      </w:r>
      <w:r>
        <w:rPr>
          <w:rFonts w:hint="eastAsia"/>
          <w:szCs w:val="21"/>
        </w:rPr>
        <w:t>的投标文件的内容</w:t>
      </w:r>
      <w:r>
        <w:rPr>
          <w:rFonts w:hint="eastAsia"/>
        </w:rPr>
        <w:t>；</w:t>
      </w:r>
    </w:p>
    <w:p w14:paraId="1DA13089">
      <w:pPr>
        <w:spacing w:line="400" w:lineRule="exact"/>
        <w:ind w:firstLine="420" w:firstLineChars="200"/>
        <w:rPr>
          <w:rFonts w:hint="eastAsia"/>
        </w:rPr>
      </w:pPr>
      <w:r>
        <w:t>（</w:t>
      </w:r>
      <w:r>
        <w:rPr>
          <w:rFonts w:hint="eastAsia"/>
        </w:rPr>
        <w:t>7</w:t>
      </w:r>
      <w:r>
        <w:t>）</w:t>
      </w:r>
      <w:r>
        <w:rPr>
          <w:rFonts w:hint="eastAsia"/>
        </w:rPr>
        <w:t>公布</w:t>
      </w:r>
      <w:r>
        <w:t>投标人名称、</w:t>
      </w:r>
      <w:r>
        <w:rPr>
          <w:rFonts w:hint="eastAsia"/>
        </w:rPr>
        <w:t>标段名称、投标保证金的递交情况、</w:t>
      </w:r>
      <w:r>
        <w:t>投标报价</w:t>
      </w:r>
      <w:r>
        <w:rPr>
          <w:rFonts w:hint="eastAsia"/>
        </w:rPr>
        <w:t>、项目经理姓名及其他内容，并</w:t>
      </w:r>
      <w:r>
        <w:rPr>
          <w:rFonts w:hint="eastAsia"/>
          <w:bCs/>
          <w:iCs/>
        </w:rPr>
        <w:t>生成开标记录</w:t>
      </w:r>
      <w:r>
        <w:rPr>
          <w:rFonts w:hint="eastAsia"/>
        </w:rPr>
        <w:t>；</w:t>
      </w:r>
    </w:p>
    <w:p w14:paraId="72C015CD">
      <w:pPr>
        <w:spacing w:line="400" w:lineRule="exact"/>
        <w:ind w:firstLine="420" w:firstLineChars="200"/>
        <w:rPr>
          <w:rFonts w:hint="eastAsia"/>
        </w:rPr>
      </w:pPr>
      <w:r>
        <w:t>（</w:t>
      </w:r>
      <w:r>
        <w:rPr>
          <w:rFonts w:hint="eastAsia"/>
        </w:rPr>
        <w:t>8</w:t>
      </w:r>
      <w:r>
        <w:t>）开标结束。</w:t>
      </w:r>
    </w:p>
    <w:p w14:paraId="77B12D69">
      <w:pPr>
        <w:spacing w:line="400" w:lineRule="exact"/>
        <w:ind w:firstLine="420" w:firstLineChars="200"/>
        <w:rPr>
          <w:rFonts w:hint="eastAsia"/>
        </w:rPr>
      </w:pPr>
      <w:r>
        <w:rPr>
          <w:rFonts w:hint="eastAsia"/>
        </w:rPr>
        <w:t xml:space="preserve">5.2.2 </w:t>
      </w:r>
      <w:r>
        <w:rPr>
          <w:rFonts w:hint="eastAsia"/>
          <w:bCs/>
          <w:iCs/>
        </w:rPr>
        <w:t>在本章第</w:t>
      </w:r>
      <w:r>
        <w:rPr>
          <w:rFonts w:hint="eastAsia"/>
        </w:rPr>
        <w:t>5.2.1</w:t>
      </w:r>
      <w:r>
        <w:t>（</w:t>
      </w:r>
      <w:r>
        <w:rPr>
          <w:rFonts w:hint="eastAsia"/>
        </w:rPr>
        <w:t>5</w:t>
      </w:r>
      <w:r>
        <w:t>）</w:t>
      </w:r>
      <w:r>
        <w:rPr>
          <w:rFonts w:hint="eastAsia"/>
        </w:rPr>
        <w:t>目规定的</w:t>
      </w:r>
      <w:r>
        <w:rPr>
          <w:rFonts w:hint="eastAsia"/>
          <w:szCs w:val="21"/>
        </w:rPr>
        <w:t>时间内</w:t>
      </w:r>
      <w:r>
        <w:rPr>
          <w:rFonts w:hint="eastAsia"/>
          <w:bCs/>
          <w:iCs/>
        </w:rPr>
        <w:t>，非因“电子交易平台”原因造成投标文件未解密的，视为投标人撤回投标文件。已解密的投标文件少于三个的，招标失败；已解密的投标文件不少于三个，开标继续进行。</w:t>
      </w:r>
    </w:p>
    <w:p w14:paraId="1C3CC310">
      <w:pPr>
        <w:pStyle w:val="20"/>
        <w:rPr>
          <w:rFonts w:hint="eastAsia"/>
        </w:rPr>
      </w:pPr>
      <w:bookmarkStart w:id="172" w:name="_Toc108513529"/>
      <w:bookmarkStart w:id="173" w:name="_Toc300834983"/>
      <w:r>
        <w:rPr>
          <w:rFonts w:hint="eastAsia"/>
        </w:rPr>
        <w:t>5.3 开标异议</w:t>
      </w:r>
      <w:bookmarkEnd w:id="172"/>
      <w:bookmarkEnd w:id="173"/>
    </w:p>
    <w:p w14:paraId="3E3340FC">
      <w:pPr>
        <w:spacing w:line="400" w:lineRule="exact"/>
        <w:ind w:firstLine="420" w:firstLineChars="200"/>
        <w:rPr>
          <w:rFonts w:hint="eastAsia"/>
        </w:rPr>
      </w:pPr>
      <w:r>
        <w:rPr>
          <w:rFonts w:hint="eastAsia"/>
        </w:rPr>
        <w:t>5.3.1投标人对开标有异议的，应当在开标过程中提出；招标人当场对异议作出答复，并记入开标记录。异议与答复应通过 “开标大厅”在“异议与答复”菜单以书面形式进行。</w:t>
      </w:r>
    </w:p>
    <w:p w14:paraId="6AEF5568">
      <w:pPr>
        <w:spacing w:line="400" w:lineRule="exact"/>
        <w:ind w:firstLine="420" w:firstLineChars="200"/>
        <w:rPr>
          <w:rFonts w:hint="eastAsia"/>
        </w:rPr>
      </w:pPr>
      <w:r>
        <w:rPr>
          <w:rFonts w:hint="eastAsia"/>
        </w:rPr>
        <w:t>本处所称异议是指投标人在</w:t>
      </w:r>
      <w:r>
        <w:t>开标</w:t>
      </w:r>
      <w:r>
        <w:rPr>
          <w:rFonts w:hint="eastAsia"/>
        </w:rPr>
        <w:t>过程中</w:t>
      </w:r>
      <w:r>
        <w:t>对投标文件提交、</w:t>
      </w:r>
      <w:r>
        <w:rPr>
          <w:rFonts w:hint="eastAsia"/>
        </w:rPr>
        <w:t>投标</w:t>
      </w:r>
      <w:r>
        <w:t>截</w:t>
      </w:r>
      <w:r>
        <w:rPr>
          <w:rFonts w:hint="eastAsia"/>
        </w:rPr>
        <w:t>止</w:t>
      </w:r>
      <w:r>
        <w:t>时间、开标程序、开标记录以及投标人和招标人或者投标人相互之间存在利益冲突的情形等</w:t>
      </w:r>
      <w:r>
        <w:rPr>
          <w:rFonts w:hint="eastAsia"/>
        </w:rPr>
        <w:t>提出的质疑。</w:t>
      </w:r>
    </w:p>
    <w:p w14:paraId="5751359B">
      <w:pPr>
        <w:spacing w:line="400" w:lineRule="exact"/>
        <w:ind w:firstLine="420" w:firstLineChars="200"/>
        <w:rPr>
          <w:rFonts w:hint="eastAsia"/>
        </w:rPr>
      </w:pPr>
      <w:r>
        <w:rPr>
          <w:rFonts w:hint="eastAsia"/>
        </w:rPr>
        <w:t xml:space="preserve">5.3.2 </w:t>
      </w:r>
      <w:r>
        <w:t>投标人异议成立的，招标人</w:t>
      </w:r>
      <w:r>
        <w:rPr>
          <w:rFonts w:hint="eastAsia"/>
        </w:rPr>
        <w:t>将</w:t>
      </w:r>
      <w:r>
        <w:t>及时采取纠正措施，或者提交评标委员会评审确认；投标人异议不成立的，招标人</w:t>
      </w:r>
      <w:r>
        <w:rPr>
          <w:rFonts w:hint="eastAsia"/>
        </w:rPr>
        <w:t>将</w:t>
      </w:r>
      <w:r>
        <w:t>当场给予解释说明。</w:t>
      </w:r>
    </w:p>
    <w:p w14:paraId="03AFBE83">
      <w:pPr>
        <w:pStyle w:val="20"/>
      </w:pPr>
      <w:bookmarkStart w:id="174" w:name="_Toc108513530"/>
      <w:bookmarkStart w:id="175" w:name="_Toc402465011"/>
      <w:bookmarkStart w:id="176" w:name="_Toc400530224"/>
      <w:r>
        <w:t>5.</w:t>
      </w:r>
      <w:r>
        <w:rPr>
          <w:rFonts w:hint="eastAsia"/>
        </w:rPr>
        <w:t xml:space="preserve">4 </w:t>
      </w:r>
      <w:r>
        <w:t>特殊情况的处置</w:t>
      </w:r>
      <w:bookmarkEnd w:id="174"/>
    </w:p>
    <w:p w14:paraId="1EAFD3AE">
      <w:pPr>
        <w:spacing w:line="400" w:lineRule="exact"/>
        <w:ind w:firstLine="420" w:firstLineChars="200"/>
        <w:rPr>
          <w:rFonts w:hint="eastAsia"/>
        </w:rPr>
      </w:pPr>
      <w:r>
        <w:rPr>
          <w:rFonts w:hint="eastAsia"/>
        </w:rPr>
        <w:t>5.4.1</w:t>
      </w:r>
      <w:r>
        <w:t>因</w:t>
      </w:r>
      <w:r>
        <w:rPr>
          <w:rFonts w:hint="eastAsia"/>
        </w:rPr>
        <w:t>“电子交易平台”</w:t>
      </w:r>
      <w:r>
        <w:t>系统</w:t>
      </w:r>
      <w:r>
        <w:rPr>
          <w:rFonts w:hint="eastAsia"/>
        </w:rPr>
        <w:t>故障</w:t>
      </w:r>
      <w:r>
        <w:t>导致</w:t>
      </w:r>
      <w:r>
        <w:rPr>
          <w:rFonts w:hint="eastAsia"/>
        </w:rPr>
        <w:t>无法投标的，交易中心及时通知招标人，招标人视情况决定是否顺延投标截止时间。</w:t>
      </w:r>
      <w:r>
        <w:t>因投标人自身</w:t>
      </w:r>
      <w:r>
        <w:rPr>
          <w:rFonts w:hint="eastAsia"/>
        </w:rPr>
        <w:t>原因</w:t>
      </w:r>
      <w:r>
        <w:t>导致无法完成投标的，由投标人自行承担后果。</w:t>
      </w:r>
    </w:p>
    <w:p w14:paraId="5DA67681">
      <w:pPr>
        <w:spacing w:line="400" w:lineRule="exact"/>
        <w:ind w:firstLine="420" w:firstLineChars="200"/>
        <w:rPr>
          <w:rFonts w:hint="eastAsia"/>
        </w:rPr>
      </w:pPr>
      <w:r>
        <w:rPr>
          <w:rFonts w:hint="eastAsia"/>
        </w:rPr>
        <w:t xml:space="preserve">5.4.2 </w:t>
      </w:r>
      <w:r>
        <w:t>因</w:t>
      </w:r>
      <w:r>
        <w:rPr>
          <w:rFonts w:hint="eastAsia"/>
        </w:rPr>
        <w:t>“电子交易平台”</w:t>
      </w:r>
      <w:r>
        <w:t>系统</w:t>
      </w:r>
      <w:r>
        <w:rPr>
          <w:rFonts w:hint="eastAsia"/>
        </w:rPr>
        <w:t>故障</w:t>
      </w:r>
      <w:r>
        <w:t>导致</w:t>
      </w:r>
      <w:r>
        <w:rPr>
          <w:rFonts w:hint="eastAsia"/>
        </w:rPr>
        <w:t>无法正常开标的，招标人将</w:t>
      </w:r>
      <w:r>
        <w:t>暂停开标</w:t>
      </w:r>
      <w:r>
        <w:rPr>
          <w:rFonts w:hint="eastAsia"/>
        </w:rPr>
        <w:t>，待系统恢复</w:t>
      </w:r>
      <w:r>
        <w:t>正常</w:t>
      </w:r>
      <w:r>
        <w:rPr>
          <w:rFonts w:hint="eastAsia"/>
        </w:rPr>
        <w:t>后继续开标。</w:t>
      </w:r>
    </w:p>
    <w:p w14:paraId="6031640A">
      <w:pPr>
        <w:spacing w:line="400" w:lineRule="exact"/>
        <w:ind w:firstLine="420" w:firstLineChars="200"/>
        <w:rPr>
          <w:rFonts w:hint="eastAsia"/>
        </w:rPr>
      </w:pPr>
      <w:r>
        <w:rPr>
          <w:rFonts w:hint="eastAsia"/>
        </w:rPr>
        <w:t>5.4.3 “电子交易平台”</w:t>
      </w:r>
      <w:r>
        <w:t>系统</w:t>
      </w:r>
      <w:r>
        <w:rPr>
          <w:rFonts w:hint="eastAsia"/>
        </w:rPr>
        <w:t>故障是指下列情形：</w:t>
      </w:r>
    </w:p>
    <w:p w14:paraId="6D2F4BFF">
      <w:pPr>
        <w:spacing w:line="400" w:lineRule="exact"/>
        <w:ind w:firstLine="420" w:firstLineChars="200"/>
      </w:pPr>
      <w:r>
        <w:t>（1）系统服务器发生故障，无法访问或无法使用系统；</w:t>
      </w:r>
    </w:p>
    <w:p w14:paraId="065BB764">
      <w:pPr>
        <w:spacing w:line="400" w:lineRule="exact"/>
        <w:ind w:firstLine="420" w:firstLineChars="200"/>
      </w:pPr>
      <w:r>
        <w:t>（2）系统的软件或数据库出现错误，不能进行正常操作；</w:t>
      </w:r>
    </w:p>
    <w:p w14:paraId="0FF59CD2">
      <w:pPr>
        <w:spacing w:line="400" w:lineRule="exact"/>
        <w:ind w:firstLine="420" w:firstLineChars="200"/>
      </w:pPr>
      <w:r>
        <w:t>（3）系统发现有安全漏洞，有潜在的泄密危险；</w:t>
      </w:r>
    </w:p>
    <w:p w14:paraId="3370C2D8">
      <w:pPr>
        <w:spacing w:line="400" w:lineRule="exact"/>
        <w:ind w:firstLine="420" w:firstLineChars="200"/>
        <w:rPr>
          <w:rFonts w:hint="eastAsia"/>
        </w:rPr>
      </w:pPr>
      <w:r>
        <w:rPr>
          <w:rFonts w:hint="eastAsia"/>
        </w:rPr>
        <w:t>（4）出现断电、断网事故；</w:t>
      </w:r>
    </w:p>
    <w:p w14:paraId="1D0E508B">
      <w:pPr>
        <w:spacing w:line="400" w:lineRule="exact"/>
        <w:ind w:firstLine="420" w:firstLineChars="200"/>
        <w:rPr>
          <w:rFonts w:hint="eastAsia"/>
        </w:rPr>
      </w:pPr>
      <w:r>
        <w:t>（</w:t>
      </w:r>
      <w:r>
        <w:rPr>
          <w:rFonts w:hint="eastAsia"/>
        </w:rPr>
        <w:t>5</w:t>
      </w:r>
      <w:r>
        <w:t>）其他无法保证招投标过程</w:t>
      </w:r>
      <w:r>
        <w:rPr>
          <w:rFonts w:hint="eastAsia"/>
        </w:rPr>
        <w:t>正常进行</w:t>
      </w:r>
      <w:r>
        <w:t>的情形。</w:t>
      </w:r>
      <w:bookmarkEnd w:id="175"/>
      <w:bookmarkEnd w:id="176"/>
    </w:p>
    <w:p w14:paraId="27BDC6E4">
      <w:pPr>
        <w:pStyle w:val="18"/>
        <w:rPr>
          <w:rFonts w:hint="eastAsia"/>
        </w:rPr>
      </w:pPr>
      <w:bookmarkStart w:id="177" w:name="_Toc152045562"/>
      <w:bookmarkStart w:id="178" w:name="_Toc179632580"/>
      <w:bookmarkStart w:id="179" w:name="_Toc144974530"/>
      <w:bookmarkStart w:id="180" w:name="_Toc152042338"/>
      <w:bookmarkStart w:id="181" w:name="_Toc108513531"/>
      <w:r>
        <w:rPr>
          <w:rFonts w:hint="eastAsia"/>
        </w:rPr>
        <w:t>6. 评标</w:t>
      </w:r>
      <w:bookmarkEnd w:id="177"/>
      <w:bookmarkEnd w:id="178"/>
      <w:bookmarkEnd w:id="179"/>
      <w:bookmarkEnd w:id="180"/>
      <w:bookmarkEnd w:id="181"/>
    </w:p>
    <w:p w14:paraId="4670F693">
      <w:pPr>
        <w:pStyle w:val="20"/>
        <w:rPr>
          <w:rFonts w:hint="eastAsia"/>
        </w:rPr>
      </w:pPr>
      <w:bookmarkStart w:id="182" w:name="_Toc108513532"/>
      <w:bookmarkStart w:id="183" w:name="_Toc179632581"/>
      <w:bookmarkStart w:id="184" w:name="_Toc152045563"/>
      <w:bookmarkStart w:id="185" w:name="_Toc144974531"/>
      <w:bookmarkStart w:id="186" w:name="_Toc152042339"/>
      <w:r>
        <w:rPr>
          <w:rFonts w:hint="eastAsia"/>
        </w:rPr>
        <w:t>6.1 评标委员会</w:t>
      </w:r>
      <w:bookmarkEnd w:id="182"/>
      <w:bookmarkEnd w:id="183"/>
      <w:bookmarkEnd w:id="184"/>
      <w:bookmarkEnd w:id="185"/>
      <w:bookmarkEnd w:id="186"/>
    </w:p>
    <w:p w14:paraId="3C0BAF03">
      <w:pPr>
        <w:spacing w:line="400" w:lineRule="exact"/>
        <w:ind w:firstLine="420" w:firstLineChars="200"/>
        <w:rPr>
          <w:rFonts w:hint="eastAsia"/>
        </w:rPr>
      </w:pPr>
      <w:r>
        <w:rPr>
          <w:rFonts w:hint="eastAsia"/>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599DF44">
      <w:pPr>
        <w:spacing w:line="400" w:lineRule="exact"/>
        <w:ind w:firstLine="420" w:firstLineChars="200"/>
        <w:rPr>
          <w:rFonts w:hint="eastAsia"/>
        </w:rPr>
      </w:pPr>
      <w:r>
        <w:rPr>
          <w:rFonts w:hint="eastAsia"/>
        </w:rPr>
        <w:t>6.1.2 评标委员会成员有下列情形之一的，应当回避：</w:t>
      </w:r>
    </w:p>
    <w:p w14:paraId="7A43721A">
      <w:pPr>
        <w:spacing w:line="400" w:lineRule="exact"/>
        <w:ind w:firstLine="420" w:firstLineChars="200"/>
        <w:rPr>
          <w:rFonts w:hint="eastAsia"/>
        </w:rPr>
      </w:pPr>
      <w:r>
        <w:rPr>
          <w:rFonts w:hint="eastAsia"/>
        </w:rPr>
        <w:t>（1）投标人或投标人的主要负责人的近亲属；</w:t>
      </w:r>
    </w:p>
    <w:p w14:paraId="73652E75">
      <w:pPr>
        <w:spacing w:line="400" w:lineRule="exact"/>
        <w:ind w:firstLine="420" w:firstLineChars="200"/>
        <w:rPr>
          <w:rFonts w:hint="eastAsia"/>
        </w:rPr>
      </w:pPr>
      <w:r>
        <w:rPr>
          <w:rFonts w:hint="eastAsia"/>
        </w:rPr>
        <w:t>（2）项目主管部门或者行政监督部门的人员；</w:t>
      </w:r>
    </w:p>
    <w:p w14:paraId="7162917C">
      <w:pPr>
        <w:spacing w:line="400" w:lineRule="exact"/>
        <w:ind w:firstLine="420" w:firstLineChars="200"/>
        <w:rPr>
          <w:rFonts w:hint="eastAsia"/>
        </w:rPr>
      </w:pPr>
      <w:r>
        <w:rPr>
          <w:rFonts w:hint="eastAsia"/>
        </w:rPr>
        <w:t>（3）与投标人有经济利益关系或其他利害关系，可能影响对投标公正评审的；</w:t>
      </w:r>
    </w:p>
    <w:p w14:paraId="1F6BEEB8">
      <w:pPr>
        <w:spacing w:line="400" w:lineRule="exact"/>
        <w:ind w:firstLine="420" w:firstLineChars="200"/>
        <w:rPr>
          <w:rFonts w:hint="eastAsia"/>
        </w:rPr>
      </w:pPr>
      <w:r>
        <w:rPr>
          <w:rFonts w:hint="eastAsia"/>
        </w:rPr>
        <w:t>（4）曾因在招标、评标以及其他与招标投标有关活动中从事违法行为而受过行政处罚或刑事处罚的。</w:t>
      </w:r>
    </w:p>
    <w:p w14:paraId="211A1B16">
      <w:pPr>
        <w:pStyle w:val="20"/>
        <w:tabs>
          <w:tab w:val="left" w:pos="2620"/>
        </w:tabs>
        <w:rPr>
          <w:rFonts w:hint="eastAsia"/>
        </w:rPr>
      </w:pPr>
      <w:bookmarkStart w:id="187" w:name="_Toc108513533"/>
      <w:bookmarkStart w:id="188" w:name="_Toc152045564"/>
      <w:bookmarkStart w:id="189" w:name="_Toc152042340"/>
      <w:bookmarkStart w:id="190" w:name="_Toc144974532"/>
      <w:bookmarkStart w:id="191" w:name="_Toc179632582"/>
      <w:r>
        <w:rPr>
          <w:rFonts w:hint="eastAsia"/>
        </w:rPr>
        <w:t>6.2 评标原则</w:t>
      </w:r>
      <w:bookmarkEnd w:id="187"/>
      <w:bookmarkEnd w:id="188"/>
      <w:bookmarkEnd w:id="189"/>
      <w:bookmarkEnd w:id="190"/>
      <w:bookmarkEnd w:id="191"/>
      <w:r>
        <w:tab/>
      </w:r>
    </w:p>
    <w:p w14:paraId="0A792655">
      <w:pPr>
        <w:spacing w:line="400" w:lineRule="exact"/>
        <w:ind w:firstLine="420" w:firstLineChars="200"/>
        <w:rPr>
          <w:rFonts w:hint="eastAsia"/>
        </w:rPr>
      </w:pPr>
      <w:r>
        <w:rPr>
          <w:rFonts w:hint="eastAsia"/>
        </w:rPr>
        <w:t>评标活动遵循公平、公正、科学和择优的原则。</w:t>
      </w:r>
    </w:p>
    <w:p w14:paraId="394C31F2">
      <w:pPr>
        <w:pStyle w:val="20"/>
        <w:rPr>
          <w:rFonts w:hint="eastAsia"/>
        </w:rPr>
      </w:pPr>
      <w:bookmarkStart w:id="192" w:name="_Toc179632583"/>
      <w:bookmarkStart w:id="193" w:name="_Toc152045565"/>
      <w:bookmarkStart w:id="194" w:name="_Toc152042341"/>
      <w:bookmarkStart w:id="195" w:name="_Toc144974533"/>
      <w:bookmarkStart w:id="196" w:name="_Toc108513534"/>
      <w:r>
        <w:rPr>
          <w:rFonts w:hint="eastAsia"/>
        </w:rPr>
        <w:t>6.3 评标</w:t>
      </w:r>
      <w:bookmarkEnd w:id="192"/>
      <w:bookmarkEnd w:id="193"/>
      <w:bookmarkEnd w:id="194"/>
      <w:bookmarkEnd w:id="195"/>
      <w:bookmarkEnd w:id="196"/>
    </w:p>
    <w:p w14:paraId="25A7D203">
      <w:pPr>
        <w:spacing w:line="400" w:lineRule="exact"/>
        <w:ind w:firstLine="420" w:firstLineChars="200"/>
        <w:rPr>
          <w:rFonts w:hint="eastAsia"/>
        </w:rPr>
      </w:pPr>
      <w:r>
        <w:rPr>
          <w:rFonts w:hint="eastAsia"/>
        </w:rPr>
        <w:t>评标委员会按照第三章“评标办法”规定的方法、评审因素、标准和程序对投标文件进行评审。第三章“评标办法”没有规定的方法、评审因素和标准，不作为评标依据。</w:t>
      </w:r>
    </w:p>
    <w:p w14:paraId="6AB6C111">
      <w:pPr>
        <w:pStyle w:val="20"/>
        <w:rPr>
          <w:rFonts w:hint="eastAsia"/>
        </w:rPr>
      </w:pPr>
      <w:bookmarkStart w:id="197" w:name="_Toc426495249"/>
      <w:bookmarkStart w:id="198" w:name="_Toc108513535"/>
      <w:r>
        <w:rPr>
          <w:rFonts w:hint="eastAsia"/>
        </w:rPr>
        <w:t>6.4 评标结果公示</w:t>
      </w:r>
      <w:bookmarkEnd w:id="197"/>
      <w:bookmarkEnd w:id="198"/>
    </w:p>
    <w:p w14:paraId="1F983E46">
      <w:pPr>
        <w:spacing w:line="400" w:lineRule="exact"/>
        <w:ind w:firstLine="420" w:firstLineChars="200"/>
        <w:rPr>
          <w:rFonts w:hint="eastAsia"/>
        </w:rPr>
      </w:pPr>
      <w:r>
        <w:rPr>
          <w:rFonts w:hint="eastAsia"/>
        </w:rPr>
        <w:t>招标人将自收到评标报告之日起3日内，在投标人须知前附表规定的媒介公示中标候选人。公示期不少于3日。</w:t>
      </w:r>
    </w:p>
    <w:p w14:paraId="0EC876A3">
      <w:pPr>
        <w:spacing w:line="400" w:lineRule="exact"/>
        <w:ind w:firstLine="420" w:firstLineChars="200"/>
        <w:rPr>
          <w:rFonts w:hint="eastAsia"/>
        </w:rPr>
      </w:pPr>
      <w:r>
        <w:rPr>
          <w:rFonts w:hint="eastAsia"/>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4E64CCB0">
      <w:pPr>
        <w:pStyle w:val="20"/>
        <w:rPr>
          <w:rFonts w:hint="eastAsia"/>
        </w:rPr>
      </w:pPr>
      <w:bookmarkStart w:id="199" w:name="_Toc108513536"/>
      <w:bookmarkStart w:id="200" w:name="_Toc426495250"/>
      <w:r>
        <w:rPr>
          <w:rFonts w:hint="eastAsia"/>
        </w:rPr>
        <w:t>6</w:t>
      </w:r>
      <w:r>
        <w:t>.</w:t>
      </w:r>
      <w:r>
        <w:rPr>
          <w:rFonts w:hint="eastAsia"/>
        </w:rPr>
        <w:t>5</w:t>
      </w:r>
      <w:r>
        <w:t xml:space="preserve"> </w:t>
      </w:r>
      <w:r>
        <w:rPr>
          <w:rFonts w:hint="eastAsia"/>
        </w:rPr>
        <w:t>履约能力的审查（如有）</w:t>
      </w:r>
      <w:bookmarkEnd w:id="199"/>
      <w:bookmarkEnd w:id="200"/>
    </w:p>
    <w:p w14:paraId="3DA3A413">
      <w:pPr>
        <w:spacing w:line="400" w:lineRule="exact"/>
        <w:ind w:firstLine="420" w:firstLineChars="200"/>
        <w:rPr>
          <w:rFonts w:hint="eastAsia"/>
        </w:rPr>
      </w:pPr>
      <w:r>
        <w:rPr>
          <w:rFonts w:hint="eastAsia"/>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1D061D12">
      <w:pPr>
        <w:pStyle w:val="18"/>
        <w:rPr>
          <w:rFonts w:hint="eastAsia"/>
        </w:rPr>
      </w:pPr>
      <w:bookmarkStart w:id="201" w:name="_Toc108513537"/>
      <w:bookmarkStart w:id="202" w:name="_Toc152045566"/>
      <w:bookmarkStart w:id="203" w:name="_Toc179632584"/>
      <w:bookmarkStart w:id="204" w:name="_Toc152042342"/>
      <w:bookmarkStart w:id="205" w:name="_Toc144974534"/>
      <w:r>
        <w:rPr>
          <w:rFonts w:hint="eastAsia"/>
        </w:rPr>
        <w:t>7. 合同授予</w:t>
      </w:r>
      <w:bookmarkEnd w:id="201"/>
      <w:bookmarkEnd w:id="202"/>
      <w:bookmarkEnd w:id="203"/>
      <w:bookmarkEnd w:id="204"/>
      <w:bookmarkEnd w:id="205"/>
    </w:p>
    <w:p w14:paraId="4636DA53">
      <w:pPr>
        <w:pStyle w:val="20"/>
        <w:rPr>
          <w:rFonts w:hint="eastAsia"/>
        </w:rPr>
      </w:pPr>
      <w:bookmarkStart w:id="206" w:name="_Toc144974535"/>
      <w:bookmarkStart w:id="207" w:name="_Toc152042343"/>
      <w:bookmarkStart w:id="208" w:name="_Toc179632585"/>
      <w:bookmarkStart w:id="209" w:name="_Toc152045567"/>
      <w:bookmarkStart w:id="210" w:name="_Toc108513538"/>
      <w:r>
        <w:rPr>
          <w:rFonts w:hint="eastAsia"/>
        </w:rPr>
        <w:t>7.1 定标方式</w:t>
      </w:r>
      <w:bookmarkEnd w:id="206"/>
      <w:bookmarkEnd w:id="207"/>
      <w:bookmarkEnd w:id="208"/>
      <w:bookmarkEnd w:id="209"/>
      <w:bookmarkEnd w:id="210"/>
    </w:p>
    <w:p w14:paraId="7480D735">
      <w:pPr>
        <w:spacing w:line="400" w:lineRule="exact"/>
        <w:ind w:firstLine="420" w:firstLineChars="200"/>
        <w:rPr>
          <w:rFonts w:hint="eastAsia"/>
        </w:rPr>
      </w:pPr>
      <w:r>
        <w:rPr>
          <w:rFonts w:hint="eastAsia"/>
        </w:rPr>
        <w:t>除投标人须知前附表规定评标委员会直接确定中标人外，招标人依据评标委员会推荐的中标候选人确定中标人，评标委员会推荐中标候选人的人数见投标人须知前附表。</w:t>
      </w:r>
    </w:p>
    <w:p w14:paraId="0184F84A">
      <w:pPr>
        <w:pStyle w:val="20"/>
        <w:rPr>
          <w:rFonts w:hint="eastAsia"/>
        </w:rPr>
      </w:pPr>
      <w:bookmarkStart w:id="211" w:name="_Toc179632586"/>
      <w:bookmarkStart w:id="212" w:name="_Toc152042344"/>
      <w:bookmarkStart w:id="213" w:name="_Toc144974536"/>
      <w:bookmarkStart w:id="214" w:name="_Toc152045568"/>
      <w:bookmarkStart w:id="215" w:name="_Toc108513539"/>
      <w:r>
        <w:rPr>
          <w:rFonts w:hint="eastAsia"/>
        </w:rPr>
        <w:t>7.2 中标通知</w:t>
      </w:r>
      <w:bookmarkEnd w:id="211"/>
      <w:bookmarkEnd w:id="212"/>
      <w:bookmarkEnd w:id="213"/>
      <w:bookmarkEnd w:id="214"/>
      <w:bookmarkEnd w:id="215"/>
    </w:p>
    <w:p w14:paraId="13F9E87A">
      <w:pPr>
        <w:spacing w:line="400" w:lineRule="exact"/>
        <w:ind w:firstLine="420" w:firstLineChars="200"/>
        <w:rPr>
          <w:rFonts w:hint="eastAsia"/>
        </w:rPr>
      </w:pPr>
      <w:r>
        <w:rPr>
          <w:rFonts w:hint="eastAsia"/>
        </w:rPr>
        <w:t>评标结果公示期满后，在本章第3.3款规定的投标有效期内，招标人通过“电子交易平台”以书面形式向中标人发出中标通知书，同时将中标结果通知未中标的投标人。</w:t>
      </w:r>
    </w:p>
    <w:p w14:paraId="4DF21434">
      <w:pPr>
        <w:spacing w:line="400" w:lineRule="exact"/>
        <w:ind w:firstLine="420" w:firstLineChars="200"/>
        <w:rPr>
          <w:rFonts w:hint="eastAsia"/>
        </w:rPr>
      </w:pPr>
      <w:r>
        <w:rPr>
          <w:rFonts w:hint="eastAsia"/>
        </w:rPr>
        <w:t>中标通知书发出的同时，招标人将在投标人须知前附表第6.4款规定的媒介发布中标结果公示。</w:t>
      </w:r>
    </w:p>
    <w:p w14:paraId="7170335C">
      <w:pPr>
        <w:pStyle w:val="20"/>
        <w:rPr>
          <w:rFonts w:hint="eastAsia"/>
        </w:rPr>
      </w:pPr>
      <w:bookmarkStart w:id="216" w:name="_Toc152042345"/>
      <w:bookmarkStart w:id="217" w:name="_Toc152045569"/>
      <w:bookmarkStart w:id="218" w:name="_Toc179632587"/>
      <w:bookmarkStart w:id="219" w:name="_Toc144974537"/>
      <w:bookmarkStart w:id="220" w:name="_Toc108513540"/>
      <w:r>
        <w:rPr>
          <w:rFonts w:hint="eastAsia"/>
        </w:rPr>
        <w:t>7.3 履约</w:t>
      </w:r>
      <w:bookmarkEnd w:id="216"/>
      <w:bookmarkEnd w:id="217"/>
      <w:bookmarkEnd w:id="218"/>
      <w:bookmarkEnd w:id="219"/>
      <w:r>
        <w:rPr>
          <w:rFonts w:hint="eastAsia"/>
        </w:rPr>
        <w:t>保证金</w:t>
      </w:r>
      <w:bookmarkEnd w:id="220"/>
    </w:p>
    <w:p w14:paraId="51881DDA">
      <w:pPr>
        <w:spacing w:line="400" w:lineRule="exact"/>
        <w:ind w:firstLine="420" w:firstLineChars="200"/>
        <w:rPr>
          <w:rFonts w:hint="eastAsia"/>
        </w:rPr>
      </w:pPr>
      <w:r>
        <w:rPr>
          <w:rFonts w:hint="eastAsia"/>
        </w:rPr>
        <w:t>7.3.1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76911F4E">
      <w:pPr>
        <w:spacing w:line="400" w:lineRule="exact"/>
        <w:ind w:firstLine="420" w:firstLineChars="200"/>
        <w:rPr>
          <w:rFonts w:hint="eastAsia"/>
        </w:rPr>
      </w:pPr>
      <w:r>
        <w:rPr>
          <w:rFonts w:hint="eastAsia"/>
        </w:rPr>
        <w:t>7.3.2 中标人不能按本章第7.3.1项要求提交履约保证金的，视为放弃中标，其投标保证金不予退还，给招标人造成的损失超过投标保证金数额的，中标人还应当对超过部分予以赔偿。</w:t>
      </w:r>
    </w:p>
    <w:p w14:paraId="1D00E5B3">
      <w:pPr>
        <w:pStyle w:val="20"/>
        <w:rPr>
          <w:rFonts w:hint="eastAsia"/>
        </w:rPr>
      </w:pPr>
      <w:bookmarkStart w:id="221" w:name="_Toc152045570"/>
      <w:bookmarkStart w:id="222" w:name="_Toc179632588"/>
      <w:bookmarkStart w:id="223" w:name="_Toc144974538"/>
      <w:bookmarkStart w:id="224" w:name="_Toc152042346"/>
      <w:bookmarkStart w:id="225" w:name="_Toc108513541"/>
      <w:r>
        <w:rPr>
          <w:rFonts w:hint="eastAsia"/>
        </w:rPr>
        <w:t>7.4 签订合同</w:t>
      </w:r>
      <w:bookmarkEnd w:id="221"/>
      <w:bookmarkEnd w:id="222"/>
      <w:bookmarkEnd w:id="223"/>
      <w:bookmarkEnd w:id="224"/>
      <w:bookmarkEnd w:id="225"/>
    </w:p>
    <w:p w14:paraId="49CFA5D2">
      <w:pPr>
        <w:spacing w:line="400" w:lineRule="exact"/>
        <w:ind w:firstLine="420" w:firstLineChars="200"/>
        <w:rPr>
          <w:rFonts w:hint="eastAsia"/>
        </w:rPr>
      </w:pPr>
      <w:r>
        <w:rPr>
          <w:rFonts w:hint="eastAsia"/>
        </w:rPr>
        <w:t>7.4.1招标人和中标人应当在投标有效期内并自中标通知书发出之日起30日内，根据招标文件和中标人的投标文件</w:t>
      </w:r>
      <w:r>
        <w:rPr>
          <w:rFonts w:hint="eastAsia" w:ascii="宋体" w:hAnsi="宋体"/>
          <w:szCs w:val="21"/>
        </w:rPr>
        <w:t>（</w:t>
      </w:r>
      <w:r>
        <w:rPr>
          <w:rFonts w:ascii="宋体" w:hAnsi="宋体"/>
          <w:szCs w:val="21"/>
        </w:rPr>
        <w:t>以</w:t>
      </w:r>
      <w:r>
        <w:rPr>
          <w:rFonts w:hint="eastAsia" w:ascii="宋体" w:hAnsi="宋体"/>
          <w:szCs w:val="21"/>
        </w:rPr>
        <w:t>经评标委员会</w:t>
      </w:r>
      <w:r>
        <w:rPr>
          <w:rFonts w:ascii="宋体" w:hAnsi="宋体"/>
          <w:szCs w:val="21"/>
        </w:rPr>
        <w:t>评审的文件</w:t>
      </w:r>
      <w:r>
        <w:rPr>
          <w:rFonts w:hint="eastAsia" w:ascii="宋体" w:hAnsi="宋体"/>
          <w:szCs w:val="21"/>
        </w:rPr>
        <w:t>版本</w:t>
      </w:r>
      <w:r>
        <w:rPr>
          <w:rFonts w:ascii="宋体" w:hAnsi="宋体"/>
          <w:szCs w:val="21"/>
        </w:rPr>
        <w:t>为准）</w:t>
      </w:r>
      <w:r>
        <w:rPr>
          <w:rFonts w:hint="eastAsia"/>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683DA82B">
      <w:pPr>
        <w:spacing w:line="400" w:lineRule="exact"/>
        <w:ind w:firstLine="420" w:firstLineChars="200"/>
        <w:rPr>
          <w:rFonts w:hint="eastAsia"/>
        </w:rPr>
      </w:pPr>
      <w:r>
        <w:rPr>
          <w:rFonts w:hint="eastAsia"/>
        </w:rPr>
        <w:t xml:space="preserve">7.4.2 发出中标通知书后，招标人无正当理由拒签合同的，招标人向中标人退还投标保证金；给中标人造成损失的，还应当赔偿损失。 </w:t>
      </w:r>
    </w:p>
    <w:p w14:paraId="1196EC4B">
      <w:pPr>
        <w:spacing w:line="400" w:lineRule="exact"/>
        <w:ind w:firstLine="420" w:firstLineChars="200"/>
        <w:rPr>
          <w:rFonts w:hint="eastAsia"/>
        </w:rPr>
      </w:pPr>
      <w:r>
        <w:rPr>
          <w:rFonts w:hint="eastAsia"/>
        </w:rPr>
        <w:t>7.4.3 签约合同价的确定原则如下：</w:t>
      </w:r>
    </w:p>
    <w:p w14:paraId="47A7B937">
      <w:pPr>
        <w:spacing w:line="400" w:lineRule="exact"/>
        <w:ind w:firstLine="420" w:firstLineChars="200"/>
        <w:rPr>
          <w:rFonts w:hint="eastAsia"/>
        </w:rPr>
      </w:pPr>
      <w:r>
        <w:rPr>
          <w:rFonts w:hint="eastAsia"/>
        </w:rPr>
        <w:t>开标时投标函中大写投标总价应为签约合同价。按照第三章“评标办法”的规定，如投标报价有算术错误的，修正的价格经投标人书面确认后，以修正后的投标总价为签约合同价。</w:t>
      </w:r>
    </w:p>
    <w:p w14:paraId="07492616">
      <w:pPr>
        <w:spacing w:line="400" w:lineRule="exact"/>
        <w:ind w:firstLine="420" w:firstLineChars="200"/>
        <w:rPr>
          <w:rFonts w:hint="eastAsia"/>
        </w:rPr>
      </w:pPr>
      <w:r>
        <w:rPr>
          <w:rFonts w:hint="eastAsia"/>
        </w:rPr>
        <w:t>7.4.4 中标人应当在合同签订后15日内，登录“电子交易平台”</w:t>
      </w:r>
      <w:r>
        <w:rPr>
          <w:rFonts w:hint="eastAsia"/>
          <w:shd w:val="clear" w:color="auto" w:fill="FFFFFF"/>
        </w:rPr>
        <w:t>提交电子合同文件归档</w:t>
      </w:r>
      <w:r>
        <w:rPr>
          <w:rFonts w:hint="eastAsia"/>
          <w:sz w:val="19"/>
          <w:szCs w:val="19"/>
          <w:shd w:val="clear" w:color="auto" w:fill="FFFFFF"/>
        </w:rPr>
        <w:t>。</w:t>
      </w:r>
    </w:p>
    <w:p w14:paraId="5BC2D051">
      <w:pPr>
        <w:pStyle w:val="18"/>
        <w:rPr>
          <w:rFonts w:hint="eastAsia"/>
        </w:rPr>
      </w:pPr>
      <w:bookmarkStart w:id="226" w:name="_Toc152042347"/>
      <w:bookmarkStart w:id="227" w:name="_Toc152045571"/>
      <w:bookmarkStart w:id="228" w:name="_Toc179632589"/>
      <w:bookmarkStart w:id="229" w:name="_Toc144974539"/>
      <w:bookmarkStart w:id="230" w:name="_Toc108513542"/>
      <w:r>
        <w:rPr>
          <w:rFonts w:hint="eastAsia"/>
        </w:rPr>
        <w:t>8. 重新招标、不再招标</w:t>
      </w:r>
      <w:bookmarkEnd w:id="226"/>
      <w:bookmarkEnd w:id="227"/>
      <w:bookmarkEnd w:id="228"/>
      <w:bookmarkEnd w:id="229"/>
      <w:r>
        <w:rPr>
          <w:rFonts w:hint="eastAsia"/>
        </w:rPr>
        <w:t>和终止招标</w:t>
      </w:r>
      <w:bookmarkEnd w:id="230"/>
    </w:p>
    <w:p w14:paraId="3EA2B003">
      <w:pPr>
        <w:pStyle w:val="20"/>
        <w:rPr>
          <w:rFonts w:hint="eastAsia"/>
        </w:rPr>
      </w:pPr>
      <w:bookmarkStart w:id="231" w:name="_Toc152042348"/>
      <w:bookmarkStart w:id="232" w:name="_Toc144974540"/>
      <w:bookmarkStart w:id="233" w:name="_Toc179632590"/>
      <w:bookmarkStart w:id="234" w:name="_Toc108513543"/>
      <w:bookmarkStart w:id="235" w:name="_Toc152045572"/>
      <w:r>
        <w:rPr>
          <w:rFonts w:hint="eastAsia"/>
        </w:rPr>
        <w:t>8.1 重新招标</w:t>
      </w:r>
      <w:bookmarkEnd w:id="231"/>
      <w:bookmarkEnd w:id="232"/>
      <w:bookmarkEnd w:id="233"/>
      <w:bookmarkEnd w:id="234"/>
      <w:bookmarkEnd w:id="235"/>
    </w:p>
    <w:p w14:paraId="71FA78D6">
      <w:pPr>
        <w:spacing w:line="400" w:lineRule="exact"/>
        <w:ind w:firstLine="420" w:firstLineChars="200"/>
        <w:rPr>
          <w:rFonts w:hint="eastAsia"/>
        </w:rPr>
      </w:pPr>
      <w:r>
        <w:rPr>
          <w:rFonts w:hint="eastAsia"/>
        </w:rPr>
        <w:t>有下列情形之一的，招标人将重新招标：</w:t>
      </w:r>
    </w:p>
    <w:p w14:paraId="0D33B9E1">
      <w:pPr>
        <w:spacing w:line="400" w:lineRule="exact"/>
        <w:ind w:firstLine="359" w:firstLineChars="171"/>
        <w:rPr>
          <w:rFonts w:hint="eastAsia"/>
        </w:rPr>
      </w:pPr>
      <w:r>
        <w:rPr>
          <w:rFonts w:hint="eastAsia"/>
        </w:rPr>
        <w:t>（1）投标截止时间止，投标人少于3个的；</w:t>
      </w:r>
    </w:p>
    <w:p w14:paraId="2B696F3E">
      <w:pPr>
        <w:spacing w:line="400" w:lineRule="exact"/>
        <w:ind w:firstLine="359" w:firstLineChars="171"/>
        <w:rPr>
          <w:rFonts w:hint="eastAsia"/>
        </w:rPr>
      </w:pPr>
      <w:r>
        <w:rPr>
          <w:rFonts w:hint="eastAsia"/>
        </w:rPr>
        <w:t>（2）经评标委员会评审后否决所有投标的；</w:t>
      </w:r>
    </w:p>
    <w:p w14:paraId="184BAABB">
      <w:pPr>
        <w:spacing w:line="400" w:lineRule="exact"/>
        <w:ind w:firstLine="359" w:firstLineChars="171"/>
        <w:rPr>
          <w:rFonts w:hint="eastAsia"/>
        </w:rPr>
      </w:pPr>
      <w:r>
        <w:rPr>
          <w:rFonts w:hint="eastAsia"/>
        </w:rPr>
        <w:t>（3）第一中标候选人或所有中标候选人均未与招标人签订合同的；</w:t>
      </w:r>
    </w:p>
    <w:p w14:paraId="4EE0BD43">
      <w:pPr>
        <w:spacing w:line="400" w:lineRule="exact"/>
        <w:ind w:firstLine="359" w:firstLineChars="171"/>
        <w:rPr>
          <w:rFonts w:hint="eastAsia"/>
        </w:rPr>
      </w:pPr>
      <w:r>
        <w:rPr>
          <w:rFonts w:hint="eastAsia"/>
        </w:rPr>
        <w:t>（4）法律、法规规定的其他情形。</w:t>
      </w:r>
    </w:p>
    <w:p w14:paraId="7567CA70">
      <w:pPr>
        <w:pStyle w:val="20"/>
        <w:rPr>
          <w:rFonts w:hint="eastAsia"/>
        </w:rPr>
      </w:pPr>
      <w:bookmarkStart w:id="236" w:name="_Toc108513544"/>
      <w:bookmarkStart w:id="237" w:name="_Toc152045573"/>
      <w:bookmarkStart w:id="238" w:name="_Toc179632591"/>
      <w:bookmarkStart w:id="239" w:name="_Toc152042349"/>
      <w:bookmarkStart w:id="240" w:name="_Toc144974541"/>
      <w:r>
        <w:rPr>
          <w:rFonts w:hint="eastAsia"/>
        </w:rPr>
        <w:t>8.2 不再招标</w:t>
      </w:r>
      <w:bookmarkEnd w:id="236"/>
      <w:bookmarkEnd w:id="237"/>
      <w:bookmarkEnd w:id="238"/>
      <w:bookmarkEnd w:id="239"/>
      <w:bookmarkEnd w:id="240"/>
    </w:p>
    <w:p w14:paraId="22E25766">
      <w:pPr>
        <w:spacing w:line="400" w:lineRule="exact"/>
        <w:ind w:firstLine="420" w:firstLineChars="200"/>
        <w:rPr>
          <w:rFonts w:hint="eastAsia"/>
        </w:rPr>
      </w:pPr>
      <w:r>
        <w:rPr>
          <w:rFonts w:hint="eastAsia"/>
        </w:rPr>
        <w:t>重新招标后投标人仍少于3个或者所有投标被否决的，属于必须审批或核准的工程建设项目，经原审批或核准部门批准后不再进行招标。</w:t>
      </w:r>
    </w:p>
    <w:p w14:paraId="53885C44">
      <w:pPr>
        <w:pStyle w:val="20"/>
        <w:rPr>
          <w:rFonts w:hint="eastAsia"/>
        </w:rPr>
      </w:pPr>
      <w:bookmarkStart w:id="241" w:name="_Toc108513545"/>
      <w:r>
        <w:rPr>
          <w:rFonts w:hint="eastAsia"/>
        </w:rPr>
        <w:t>8.3 终止招标</w:t>
      </w:r>
      <w:bookmarkEnd w:id="241"/>
    </w:p>
    <w:p w14:paraId="1E90A06A">
      <w:pPr>
        <w:spacing w:line="400" w:lineRule="exact"/>
        <w:ind w:firstLine="420" w:firstLineChars="200"/>
        <w:rPr>
          <w:rFonts w:hint="eastAsia"/>
        </w:rPr>
      </w:pPr>
      <w:r>
        <w:rPr>
          <w:rFonts w:hint="eastAsia"/>
        </w:rPr>
        <w:t>因不可抗力等原因，招标人终止招标的，将通过“电子交易平台”及时发布公告，或者以书面形式通知被邀请的或者已经获取招标文件的潜在投标人。已经发出招标文件或者已经收取投标保证金的，招标人将及时退还所收取的招标文件的费用，以及所收取的投标保证金及银行同期存款利息。</w:t>
      </w:r>
    </w:p>
    <w:p w14:paraId="59068991">
      <w:pPr>
        <w:pStyle w:val="18"/>
        <w:rPr>
          <w:rFonts w:hint="eastAsia"/>
        </w:rPr>
      </w:pPr>
      <w:bookmarkStart w:id="242" w:name="_Toc144974542"/>
      <w:bookmarkStart w:id="243" w:name="_Toc152042350"/>
      <w:bookmarkStart w:id="244" w:name="_Toc152045574"/>
      <w:bookmarkStart w:id="245" w:name="_Toc108513546"/>
      <w:bookmarkStart w:id="246" w:name="_Toc179632592"/>
      <w:r>
        <w:rPr>
          <w:rFonts w:hint="eastAsia"/>
        </w:rPr>
        <w:t>9. 纪律和监督</w:t>
      </w:r>
      <w:bookmarkEnd w:id="242"/>
      <w:bookmarkEnd w:id="243"/>
      <w:bookmarkEnd w:id="244"/>
      <w:bookmarkEnd w:id="245"/>
      <w:bookmarkEnd w:id="246"/>
    </w:p>
    <w:p w14:paraId="5D916102">
      <w:pPr>
        <w:pStyle w:val="20"/>
        <w:rPr>
          <w:rFonts w:hint="eastAsia"/>
        </w:rPr>
      </w:pPr>
      <w:bookmarkStart w:id="247" w:name="_Toc108513547"/>
      <w:bookmarkStart w:id="248" w:name="_Toc152045575"/>
      <w:bookmarkStart w:id="249" w:name="_Toc144974543"/>
      <w:bookmarkStart w:id="250" w:name="_Toc152042351"/>
      <w:bookmarkStart w:id="251" w:name="_Toc179632593"/>
      <w:r>
        <w:rPr>
          <w:rFonts w:hint="eastAsia"/>
        </w:rPr>
        <w:t>9.1 对招标人的纪律要求</w:t>
      </w:r>
      <w:bookmarkEnd w:id="247"/>
      <w:bookmarkEnd w:id="248"/>
      <w:bookmarkEnd w:id="249"/>
      <w:bookmarkEnd w:id="250"/>
      <w:bookmarkEnd w:id="251"/>
    </w:p>
    <w:p w14:paraId="29E4D994">
      <w:pPr>
        <w:spacing w:line="400" w:lineRule="exact"/>
        <w:ind w:firstLine="420" w:firstLineChars="200"/>
        <w:rPr>
          <w:rFonts w:hint="eastAsia"/>
        </w:rPr>
      </w:pPr>
      <w:r>
        <w:rPr>
          <w:rFonts w:hint="eastAsia"/>
        </w:rPr>
        <w:t>招标人不得泄漏招标投标活动中应当保密的情况和资料，不得与投标人串通损害国家利益、社会公共利益或者他人合法权益。</w:t>
      </w:r>
    </w:p>
    <w:p w14:paraId="4250B830">
      <w:pPr>
        <w:pStyle w:val="20"/>
        <w:rPr>
          <w:rFonts w:hint="eastAsia"/>
        </w:rPr>
      </w:pPr>
      <w:bookmarkStart w:id="252" w:name="_Toc152042352"/>
      <w:bookmarkStart w:id="253" w:name="_Toc108513548"/>
      <w:bookmarkStart w:id="254" w:name="_Toc152045576"/>
      <w:bookmarkStart w:id="255" w:name="_Toc144974544"/>
      <w:bookmarkStart w:id="256" w:name="_Toc179632594"/>
      <w:r>
        <w:rPr>
          <w:rFonts w:hint="eastAsia"/>
        </w:rPr>
        <w:t>9.2 对投标人的纪律要求</w:t>
      </w:r>
      <w:bookmarkEnd w:id="252"/>
      <w:bookmarkEnd w:id="253"/>
      <w:bookmarkEnd w:id="254"/>
      <w:bookmarkEnd w:id="255"/>
      <w:bookmarkEnd w:id="256"/>
    </w:p>
    <w:p w14:paraId="79B3A627">
      <w:pPr>
        <w:spacing w:line="400" w:lineRule="exact"/>
        <w:ind w:firstLine="420" w:firstLineChars="200"/>
        <w:rPr>
          <w:rFonts w:hint="eastAsia"/>
        </w:rPr>
      </w:pPr>
      <w:r>
        <w:rPr>
          <w:rFonts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34E6510">
      <w:pPr>
        <w:pStyle w:val="20"/>
        <w:rPr>
          <w:rFonts w:hint="eastAsia"/>
        </w:rPr>
      </w:pPr>
      <w:bookmarkStart w:id="257" w:name="_Toc179632595"/>
      <w:bookmarkStart w:id="258" w:name="_Toc152042353"/>
      <w:bookmarkStart w:id="259" w:name="_Toc108513549"/>
      <w:bookmarkStart w:id="260" w:name="_Toc152045577"/>
      <w:bookmarkStart w:id="261" w:name="_Toc144974545"/>
      <w:r>
        <w:rPr>
          <w:rFonts w:hint="eastAsia"/>
        </w:rPr>
        <w:t>9.3 对评标委员会成员的纪律要求</w:t>
      </w:r>
      <w:bookmarkEnd w:id="257"/>
      <w:bookmarkEnd w:id="258"/>
      <w:bookmarkEnd w:id="259"/>
      <w:bookmarkEnd w:id="260"/>
      <w:bookmarkEnd w:id="261"/>
    </w:p>
    <w:p w14:paraId="698C00ED">
      <w:pPr>
        <w:spacing w:line="400" w:lineRule="exact"/>
        <w:ind w:firstLine="420" w:firstLineChars="200"/>
        <w:rPr>
          <w:rFonts w:hint="eastAsia"/>
        </w:rPr>
      </w:pPr>
      <w:r>
        <w:rPr>
          <w:rFonts w:hint="eastAsia"/>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37150B8F">
      <w:pPr>
        <w:pStyle w:val="20"/>
        <w:rPr>
          <w:rFonts w:hint="eastAsia"/>
        </w:rPr>
      </w:pPr>
      <w:bookmarkStart w:id="262" w:name="_Toc152045578"/>
      <w:bookmarkStart w:id="263" w:name="_Toc179632596"/>
      <w:bookmarkStart w:id="264" w:name="_Toc152042354"/>
      <w:bookmarkStart w:id="265" w:name="_Toc108513550"/>
      <w:bookmarkStart w:id="266" w:name="_Toc144974546"/>
      <w:r>
        <w:rPr>
          <w:rFonts w:hint="eastAsia"/>
        </w:rPr>
        <w:t>9.4 对与评标活动有关的工作人员的纪律要求</w:t>
      </w:r>
      <w:bookmarkEnd w:id="262"/>
      <w:bookmarkEnd w:id="263"/>
      <w:bookmarkEnd w:id="264"/>
      <w:bookmarkEnd w:id="265"/>
    </w:p>
    <w:p w14:paraId="342240C4">
      <w:pPr>
        <w:spacing w:line="400" w:lineRule="exact"/>
        <w:ind w:firstLine="420" w:firstLineChars="200"/>
        <w:rPr>
          <w:rFonts w:hint="eastAsia"/>
        </w:rPr>
      </w:pPr>
      <w:bookmarkStart w:id="267" w:name="_Toc152042355"/>
      <w:r>
        <w:rPr>
          <w:rFonts w:hint="eastAsia"/>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67"/>
    </w:p>
    <w:p w14:paraId="11E42FD3">
      <w:pPr>
        <w:pStyle w:val="20"/>
        <w:rPr>
          <w:rFonts w:hint="eastAsia"/>
        </w:rPr>
      </w:pPr>
      <w:bookmarkStart w:id="268" w:name="_Toc152045579"/>
      <w:bookmarkStart w:id="269" w:name="_Toc152042356"/>
      <w:bookmarkStart w:id="270" w:name="_Toc108513551"/>
      <w:bookmarkStart w:id="271" w:name="_Toc179632597"/>
      <w:r>
        <w:rPr>
          <w:rFonts w:hint="eastAsia"/>
        </w:rPr>
        <w:t>9.5 投诉</w:t>
      </w:r>
      <w:bookmarkEnd w:id="266"/>
      <w:bookmarkEnd w:id="268"/>
      <w:bookmarkEnd w:id="269"/>
      <w:bookmarkEnd w:id="270"/>
      <w:bookmarkEnd w:id="271"/>
    </w:p>
    <w:p w14:paraId="092A6D62">
      <w:pPr>
        <w:spacing w:line="400" w:lineRule="exact"/>
        <w:ind w:firstLine="420" w:firstLineChars="200"/>
        <w:rPr>
          <w:rFonts w:hint="eastAsia"/>
          <w:szCs w:val="21"/>
        </w:rPr>
      </w:pPr>
      <w:r>
        <w:rPr>
          <w:rFonts w:hint="eastAsia"/>
          <w:szCs w:val="21"/>
        </w:rPr>
        <w:t>本次招标投标活动及其相关当事人应当接受</w:t>
      </w:r>
      <w:r>
        <w:rPr>
          <w:rFonts w:hint="eastAsia" w:ascii="宋体" w:cs="宋体"/>
          <w:spacing w:val="4"/>
          <w:kern w:val="0"/>
          <w:sz w:val="22"/>
          <w:szCs w:val="22"/>
        </w:rPr>
        <w:t>有关</w:t>
      </w:r>
      <w:r>
        <w:rPr>
          <w:rFonts w:hint="eastAsia"/>
          <w:szCs w:val="21"/>
        </w:rPr>
        <w:t>行政监督部门依法实施的监督。</w:t>
      </w:r>
    </w:p>
    <w:p w14:paraId="1C322A75">
      <w:pPr>
        <w:spacing w:line="400" w:lineRule="exact"/>
        <w:ind w:firstLine="420" w:firstLineChars="200"/>
        <w:rPr>
          <w:rFonts w:hint="eastAsia"/>
        </w:rPr>
      </w:pPr>
      <w:r>
        <w:rPr>
          <w:rFonts w:hint="eastAsia"/>
          <w:szCs w:val="21"/>
        </w:rPr>
        <w:t>依据《中华人民共和国招标投标法实施条例》第四条第三款的规定，财政部门依法对实行招标投标的政府采购工程建设项目的政府采购政策执行情况实施监督。</w:t>
      </w:r>
    </w:p>
    <w:p w14:paraId="329C56A9">
      <w:pPr>
        <w:spacing w:line="400" w:lineRule="exact"/>
        <w:ind w:firstLine="420" w:firstLineChars="200"/>
        <w:rPr>
          <w:rFonts w:hint="eastAsia"/>
          <w:bdr w:val="single" w:color="auto" w:sz="4" w:space="0"/>
        </w:rPr>
      </w:pPr>
      <w:r>
        <w:rPr>
          <w:rFonts w:hint="eastAsia"/>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w:t>
      </w:r>
      <w:r>
        <w:t>投诉时效</w:t>
      </w:r>
      <w:r>
        <w:rPr>
          <w:rFonts w:hint="eastAsia"/>
        </w:rPr>
        <w:t>期限内。</w:t>
      </w:r>
    </w:p>
    <w:p w14:paraId="1AE6304E">
      <w:pPr>
        <w:spacing w:line="400" w:lineRule="exact"/>
        <w:ind w:firstLine="420" w:firstLineChars="200"/>
        <w:rPr>
          <w:rFonts w:hint="eastAsia" w:ascii="宋体" w:cs="宋体"/>
          <w:spacing w:val="4"/>
          <w:kern w:val="0"/>
          <w:sz w:val="22"/>
          <w:szCs w:val="22"/>
        </w:rPr>
      </w:pPr>
      <w:r>
        <w:rPr>
          <w:rFonts w:hint="eastAsia"/>
        </w:rPr>
        <w:t>投标人和其他利害关系人的</w:t>
      </w:r>
      <w:r>
        <w:rPr>
          <w:rFonts w:hint="eastAsia" w:ascii="宋体" w:cs="宋体"/>
          <w:spacing w:val="4"/>
          <w:kern w:val="0"/>
          <w:sz w:val="22"/>
          <w:szCs w:val="22"/>
        </w:rPr>
        <w:t>投诉应按照《工程建设项目招标投标活动投诉处理办法》或</w:t>
      </w:r>
      <w:r>
        <w:rPr>
          <w:rFonts w:ascii="宋体" w:cs="宋体"/>
          <w:spacing w:val="4"/>
          <w:kern w:val="0"/>
          <w:sz w:val="22"/>
          <w:szCs w:val="22"/>
        </w:rPr>
        <w:t>《湖北省</w:t>
      </w:r>
      <w:r>
        <w:rPr>
          <w:rFonts w:hint="eastAsia" w:ascii="宋体" w:cs="宋体"/>
          <w:spacing w:val="4"/>
          <w:kern w:val="0"/>
          <w:sz w:val="22"/>
          <w:szCs w:val="22"/>
        </w:rPr>
        <w:t>公共资源</w:t>
      </w:r>
      <w:r>
        <w:rPr>
          <w:rFonts w:ascii="宋体" w:cs="宋体"/>
          <w:spacing w:val="4"/>
          <w:kern w:val="0"/>
          <w:sz w:val="22"/>
          <w:szCs w:val="22"/>
        </w:rPr>
        <w:t>招标投标投诉处理办法》</w:t>
      </w:r>
      <w:r>
        <w:rPr>
          <w:rFonts w:hint="eastAsia" w:ascii="宋体" w:cs="宋体"/>
          <w:spacing w:val="4"/>
          <w:kern w:val="0"/>
          <w:sz w:val="22"/>
          <w:szCs w:val="22"/>
        </w:rPr>
        <w:t>的规定进行。</w:t>
      </w:r>
    </w:p>
    <w:p w14:paraId="5F68970B">
      <w:pPr>
        <w:spacing w:line="400" w:lineRule="exact"/>
        <w:ind w:firstLine="420" w:firstLineChars="200"/>
        <w:rPr>
          <w:rFonts w:hint="eastAsia"/>
        </w:rPr>
      </w:pPr>
      <w:r>
        <w:rPr>
          <w:rFonts w:hint="eastAsia"/>
        </w:rPr>
        <w:t>有关行政监督部门和工程造价管理机构的联系方式见投标人须知前附表。</w:t>
      </w:r>
    </w:p>
    <w:p w14:paraId="29E01B60">
      <w:pPr>
        <w:pStyle w:val="18"/>
        <w:rPr>
          <w:rFonts w:hint="eastAsia"/>
        </w:rPr>
      </w:pPr>
      <w:bookmarkStart w:id="272" w:name="_Toc152042357"/>
      <w:bookmarkStart w:id="273" w:name="_Toc108513552"/>
      <w:bookmarkStart w:id="274" w:name="_Toc179632598"/>
      <w:bookmarkStart w:id="275" w:name="_Toc144974547"/>
      <w:bookmarkStart w:id="276" w:name="_Toc152045580"/>
      <w:r>
        <w:rPr>
          <w:rFonts w:hint="eastAsia"/>
        </w:rPr>
        <w:t>10. 需要补充的其他内容</w:t>
      </w:r>
      <w:bookmarkEnd w:id="272"/>
      <w:bookmarkEnd w:id="273"/>
      <w:bookmarkEnd w:id="274"/>
      <w:bookmarkEnd w:id="275"/>
      <w:bookmarkEnd w:id="276"/>
    </w:p>
    <w:p w14:paraId="3E9E35A6">
      <w:pPr>
        <w:pStyle w:val="20"/>
        <w:rPr>
          <w:rFonts w:hint="eastAsia"/>
        </w:rPr>
      </w:pPr>
      <w:bookmarkStart w:id="277" w:name="_Toc108513553"/>
      <w:bookmarkStart w:id="278" w:name="_Toc426495265"/>
      <w:r>
        <w:rPr>
          <w:rFonts w:hint="eastAsia"/>
        </w:rPr>
        <w:t>10.1 多标段投标</w:t>
      </w:r>
      <w:bookmarkEnd w:id="277"/>
      <w:bookmarkEnd w:id="278"/>
    </w:p>
    <w:p w14:paraId="5D7E6F21">
      <w:pPr>
        <w:spacing w:line="400" w:lineRule="exact"/>
        <w:ind w:firstLine="420" w:firstLineChars="200"/>
        <w:rPr>
          <w:rFonts w:hint="eastAsia"/>
        </w:rPr>
      </w:pPr>
      <w:r>
        <w:rPr>
          <w:rFonts w:hint="eastAsia"/>
        </w:rPr>
        <w:t>多标段投标规定：见投标人须知前附表。</w:t>
      </w:r>
    </w:p>
    <w:p w14:paraId="71888ED9">
      <w:pPr>
        <w:pStyle w:val="20"/>
        <w:rPr>
          <w:rFonts w:hint="eastAsia"/>
        </w:rPr>
      </w:pPr>
      <w:bookmarkStart w:id="279" w:name="_Toc108513554"/>
      <w:r>
        <w:rPr>
          <w:rFonts w:hint="eastAsia"/>
        </w:rPr>
        <w:t>10.2 评标办法中的有关系数的取值和评分因素设置</w:t>
      </w:r>
      <w:bookmarkEnd w:id="279"/>
    </w:p>
    <w:p w14:paraId="20A9BECD">
      <w:pPr>
        <w:spacing w:line="400" w:lineRule="exact"/>
        <w:ind w:firstLine="420" w:firstLineChars="200"/>
        <w:rPr>
          <w:rFonts w:hint="eastAsia"/>
        </w:rPr>
      </w:pPr>
      <w:r>
        <w:rPr>
          <w:rFonts w:hint="eastAsia"/>
        </w:rPr>
        <w:t>10.2.1 第三章评标办法前附表中“</w:t>
      </w:r>
      <w:r>
        <w:rPr>
          <w:rFonts w:hint="eastAsia" w:ascii="宋体" w:hAnsi="宋体"/>
          <w:szCs w:val="21"/>
        </w:rPr>
        <w:t>评标基准价下浮系数”E的取值：</w:t>
      </w:r>
      <w:r>
        <w:rPr>
          <w:rFonts w:hint="eastAsia"/>
        </w:rPr>
        <w:t>见投标人须知前附表。</w:t>
      </w:r>
    </w:p>
    <w:p w14:paraId="33E090BB">
      <w:pPr>
        <w:spacing w:line="400" w:lineRule="exact"/>
        <w:ind w:firstLine="420" w:firstLineChars="200"/>
        <w:rPr>
          <w:rFonts w:hint="eastAsia"/>
        </w:rPr>
      </w:pPr>
      <w:r>
        <w:rPr>
          <w:rFonts w:hint="eastAsia"/>
        </w:rPr>
        <w:t>10.2.2 第三章评标办法前附表中“</w:t>
      </w:r>
      <w:r>
        <w:rPr>
          <w:rFonts w:hint="eastAsia" w:ascii="宋体" w:hAnsi="宋体"/>
          <w:szCs w:val="21"/>
        </w:rPr>
        <w:t>不平衡报价系数”</w:t>
      </w:r>
      <w:r>
        <w:rPr>
          <w:rFonts w:hint="eastAsia"/>
        </w:rPr>
        <w:t>以及评标办法附件D“投标人成本评审办法”中“启动成本评审工作的前提条件”</w:t>
      </w:r>
      <w:r>
        <w:rPr>
          <w:rFonts w:hint="eastAsia" w:ascii="宋体" w:hAnsi="宋体"/>
          <w:szCs w:val="21"/>
        </w:rPr>
        <w:t>H的取值：</w:t>
      </w:r>
      <w:r>
        <w:rPr>
          <w:rFonts w:hint="eastAsia"/>
        </w:rPr>
        <w:t>见投标人须知前附表。</w:t>
      </w:r>
    </w:p>
    <w:p w14:paraId="13507ECB">
      <w:pPr>
        <w:spacing w:line="400" w:lineRule="exact"/>
        <w:ind w:firstLine="420" w:firstLineChars="200"/>
        <w:rPr>
          <w:rFonts w:hint="eastAsia" w:ascii="宋体" w:hAnsi="宋体"/>
          <w:szCs w:val="21"/>
        </w:rPr>
      </w:pPr>
      <w:r>
        <w:rPr>
          <w:rFonts w:hint="eastAsia"/>
        </w:rPr>
        <w:t>10.2.3第三章评标办法前附表中“</w:t>
      </w:r>
      <w:r>
        <w:rPr>
          <w:rFonts w:hint="eastAsia" w:ascii="宋体" w:hAnsi="宋体"/>
          <w:szCs w:val="21"/>
        </w:rPr>
        <w:t>期望合理价系数</w:t>
      </w:r>
      <w:r>
        <w:rPr>
          <w:rFonts w:hint="eastAsia"/>
        </w:rPr>
        <w:t>”</w:t>
      </w:r>
      <w:r>
        <w:rPr>
          <w:rFonts w:hint="eastAsia" w:ascii="宋体" w:hAnsi="宋体"/>
          <w:szCs w:val="21"/>
        </w:rPr>
        <w:t>D的取值：见投标人须知前附表。（适用于办法八）</w:t>
      </w:r>
    </w:p>
    <w:p w14:paraId="79B8D56D">
      <w:pPr>
        <w:spacing w:line="400" w:lineRule="exact"/>
        <w:ind w:firstLine="420" w:firstLineChars="200"/>
        <w:rPr>
          <w:rFonts w:hint="eastAsia"/>
        </w:rPr>
      </w:pPr>
      <w:r>
        <w:rPr>
          <w:rFonts w:hint="eastAsia"/>
        </w:rPr>
        <w:t>10.2.4 第三章评标办法前附表中“</w:t>
      </w:r>
      <w:r>
        <w:rPr>
          <w:rFonts w:hint="eastAsia" w:ascii="宋体" w:hAnsi="宋体"/>
          <w:szCs w:val="21"/>
        </w:rPr>
        <w:t>小微企业报价优惠（扣除）系数” P的取值：</w:t>
      </w:r>
      <w:r>
        <w:rPr>
          <w:rFonts w:hint="eastAsia"/>
        </w:rPr>
        <w:t>见投标人须知前附表。</w:t>
      </w:r>
    </w:p>
    <w:p w14:paraId="4569E54A">
      <w:pPr>
        <w:spacing w:line="400" w:lineRule="exact"/>
        <w:ind w:firstLine="420" w:firstLineChars="200"/>
        <w:rPr>
          <w:rFonts w:hint="eastAsia"/>
        </w:rPr>
      </w:pPr>
      <w:r>
        <w:rPr>
          <w:rFonts w:hint="eastAsia"/>
        </w:rPr>
        <w:t>10.2.5 第三章评标办法前附表中“</w:t>
      </w:r>
      <w:r>
        <w:rPr>
          <w:rFonts w:hint="eastAsia" w:ascii="宋体" w:hAnsi="宋体"/>
          <w:szCs w:val="21"/>
        </w:rPr>
        <w:t>满足条件的联合体或者分包企业报价优惠（扣除）系数” Q的取值：</w:t>
      </w:r>
      <w:r>
        <w:rPr>
          <w:rFonts w:hint="eastAsia"/>
        </w:rPr>
        <w:t>见投标人须知前附表。</w:t>
      </w:r>
    </w:p>
    <w:p w14:paraId="2F362AE5">
      <w:pPr>
        <w:pStyle w:val="20"/>
        <w:rPr>
          <w:rFonts w:hint="eastAsia"/>
        </w:rPr>
      </w:pPr>
      <w:bookmarkStart w:id="280" w:name="_Toc456173253"/>
      <w:bookmarkStart w:id="281" w:name="_Toc108513555"/>
      <w:bookmarkStart w:id="282" w:name="_Toc387753565"/>
      <w:r>
        <w:rPr>
          <w:rFonts w:hint="eastAsia"/>
        </w:rPr>
        <w:t>10.3 中标人的投标文件</w:t>
      </w:r>
      <w:bookmarkEnd w:id="280"/>
      <w:bookmarkEnd w:id="281"/>
      <w:bookmarkEnd w:id="282"/>
    </w:p>
    <w:p w14:paraId="7DF009FC">
      <w:pPr>
        <w:spacing w:line="360" w:lineRule="auto"/>
        <w:ind w:firstLine="420" w:firstLineChars="200"/>
        <w:rPr>
          <w:rFonts w:hint="eastAsia" w:ascii="宋体" w:hAnsi="宋体"/>
          <w:szCs w:val="21"/>
        </w:rPr>
      </w:pPr>
      <w:r>
        <w:rPr>
          <w:rFonts w:hint="eastAsia" w:ascii="宋体" w:hAnsi="宋体"/>
          <w:szCs w:val="21"/>
        </w:rPr>
        <w:t>中标人在签订合同前须向招标人另行提交的纸质投标文件份数：见投标人须知前附表。</w:t>
      </w:r>
    </w:p>
    <w:p w14:paraId="7C94A176">
      <w:pPr>
        <w:pStyle w:val="20"/>
        <w:rPr>
          <w:rFonts w:hint="eastAsia"/>
        </w:rPr>
      </w:pPr>
      <w:bookmarkStart w:id="283" w:name="_Toc426495266"/>
      <w:bookmarkStart w:id="284" w:name="_Toc108513556"/>
      <w:r>
        <w:rPr>
          <w:rFonts w:hint="eastAsia"/>
        </w:rPr>
        <w:t>10.4 知识产权</w:t>
      </w:r>
      <w:bookmarkEnd w:id="283"/>
      <w:bookmarkEnd w:id="284"/>
    </w:p>
    <w:p w14:paraId="117AA9E9">
      <w:pPr>
        <w:spacing w:line="400" w:lineRule="exact"/>
        <w:ind w:firstLine="420" w:firstLineChars="200"/>
        <w:rPr>
          <w:rFonts w:hint="eastAsia"/>
        </w:rPr>
      </w:pPr>
      <w:r>
        <w:rPr>
          <w:rFonts w:hint="eastAsia"/>
        </w:rPr>
        <w:t>有关知识产权的规定：见投标人须知前附表。</w:t>
      </w:r>
    </w:p>
    <w:p w14:paraId="5360B4EF">
      <w:pPr>
        <w:pStyle w:val="20"/>
        <w:rPr>
          <w:rFonts w:hint="eastAsia"/>
        </w:rPr>
      </w:pPr>
      <w:bookmarkStart w:id="285" w:name="_Toc426495267"/>
      <w:bookmarkStart w:id="286" w:name="_Toc108513557"/>
      <w:r>
        <w:rPr>
          <w:rFonts w:hint="eastAsia"/>
        </w:rPr>
        <w:t>10.5 同义词语</w:t>
      </w:r>
      <w:bookmarkEnd w:id="285"/>
      <w:bookmarkEnd w:id="286"/>
    </w:p>
    <w:p w14:paraId="6896EA7C">
      <w:pPr>
        <w:spacing w:line="400" w:lineRule="exact"/>
        <w:ind w:firstLine="420" w:firstLineChars="200"/>
        <w:rPr>
          <w:rFonts w:hint="eastAsia"/>
        </w:rPr>
      </w:pPr>
      <w:r>
        <w:rPr>
          <w:rFonts w:hint="eastAsia"/>
        </w:rPr>
        <w:t>本招标文件的同义词语：见投标人须知前附表。</w:t>
      </w:r>
    </w:p>
    <w:p w14:paraId="20E1E9AD">
      <w:pPr>
        <w:pStyle w:val="20"/>
        <w:rPr>
          <w:rFonts w:hint="eastAsia"/>
        </w:rPr>
      </w:pPr>
      <w:bookmarkStart w:id="287" w:name="_Toc426495268"/>
      <w:bookmarkStart w:id="288" w:name="_Toc108513558"/>
      <w:r>
        <w:rPr>
          <w:rFonts w:hint="eastAsia"/>
        </w:rPr>
        <w:t>10.6 解释权</w:t>
      </w:r>
      <w:bookmarkEnd w:id="287"/>
      <w:bookmarkEnd w:id="288"/>
    </w:p>
    <w:p w14:paraId="4E657CAD">
      <w:pPr>
        <w:spacing w:line="400" w:lineRule="exact"/>
        <w:ind w:firstLine="420" w:firstLineChars="200"/>
        <w:rPr>
          <w:rFonts w:hint="eastAsia"/>
        </w:rPr>
      </w:pPr>
      <w:r>
        <w:rPr>
          <w:rFonts w:hint="eastAsia"/>
        </w:rPr>
        <w:t>有关招标文件的解释权：见投标人须知前附表。</w:t>
      </w:r>
    </w:p>
    <w:p w14:paraId="753E148A">
      <w:pPr>
        <w:pStyle w:val="20"/>
      </w:pPr>
      <w:bookmarkStart w:id="289" w:name="_Toc108513559"/>
      <w:bookmarkStart w:id="290" w:name="_Toc517172358"/>
      <w:r>
        <w:rPr>
          <w:rFonts w:hint="eastAsia"/>
        </w:rPr>
        <w:t>1</w:t>
      </w:r>
      <w:r>
        <w:t>0.</w:t>
      </w:r>
      <w:r>
        <w:rPr>
          <w:rFonts w:hint="eastAsia"/>
        </w:rPr>
        <w:t>7</w:t>
      </w:r>
      <w:r>
        <w:t xml:space="preserve"> 交易平台信息服务费</w:t>
      </w:r>
      <w:bookmarkEnd w:id="289"/>
      <w:bookmarkEnd w:id="290"/>
    </w:p>
    <w:p w14:paraId="5D3532C4">
      <w:pPr>
        <w:spacing w:line="360" w:lineRule="auto"/>
        <w:ind w:firstLine="420" w:firstLineChars="200"/>
        <w:rPr>
          <w:rFonts w:hint="eastAsia" w:ascii="宋体" w:hAnsi="宋体"/>
          <w:szCs w:val="21"/>
        </w:rPr>
      </w:pPr>
      <w:r>
        <w:rPr>
          <w:rFonts w:ascii="宋体" w:hAnsi="宋体"/>
          <w:szCs w:val="21"/>
        </w:rPr>
        <w:t>交易平台信息服务费缴费</w:t>
      </w:r>
      <w:r>
        <w:rPr>
          <w:rFonts w:hint="eastAsia" w:ascii="宋体" w:hAnsi="宋体"/>
          <w:szCs w:val="21"/>
        </w:rPr>
        <w:t>规定：</w:t>
      </w:r>
      <w:r>
        <w:rPr>
          <w:rFonts w:ascii="宋体" w:hAnsi="宋体"/>
          <w:szCs w:val="21"/>
        </w:rPr>
        <w:t>见投标人须知前附表</w:t>
      </w:r>
      <w:r>
        <w:rPr>
          <w:rFonts w:hint="eastAsia" w:ascii="宋体" w:hAnsi="宋体"/>
          <w:szCs w:val="21"/>
        </w:rPr>
        <w:t>。</w:t>
      </w:r>
    </w:p>
    <w:p w14:paraId="1EEA0B90">
      <w:pPr>
        <w:pStyle w:val="20"/>
      </w:pPr>
      <w:bookmarkStart w:id="291" w:name="_Toc108513560"/>
      <w:bookmarkStart w:id="292" w:name="_Toc517172359"/>
      <w:r>
        <w:rPr>
          <w:rFonts w:hint="eastAsia"/>
        </w:rPr>
        <w:t>1</w:t>
      </w:r>
      <w:r>
        <w:t>0.</w:t>
      </w:r>
      <w:r>
        <w:rPr>
          <w:rFonts w:hint="eastAsia"/>
        </w:rPr>
        <w:t>8</w:t>
      </w:r>
      <w:r>
        <w:t xml:space="preserve"> 招标代理服务费</w:t>
      </w:r>
      <w:bookmarkEnd w:id="291"/>
      <w:bookmarkEnd w:id="292"/>
    </w:p>
    <w:p w14:paraId="7912E04B">
      <w:pPr>
        <w:spacing w:line="360" w:lineRule="auto"/>
        <w:ind w:firstLine="420" w:firstLineChars="200"/>
        <w:rPr>
          <w:rFonts w:hint="eastAsia" w:ascii="宋体" w:hAnsi="宋体"/>
          <w:szCs w:val="21"/>
        </w:rPr>
      </w:pPr>
      <w:r>
        <w:rPr>
          <w:rFonts w:hint="eastAsia" w:ascii="宋体" w:hAnsi="宋体"/>
          <w:szCs w:val="21"/>
        </w:rPr>
        <w:t>招标代理服务费收取约定：</w:t>
      </w:r>
      <w:r>
        <w:rPr>
          <w:rFonts w:ascii="宋体" w:hAnsi="宋体"/>
          <w:szCs w:val="21"/>
        </w:rPr>
        <w:t>见投标人须知前附表</w:t>
      </w:r>
      <w:r>
        <w:rPr>
          <w:rFonts w:hint="eastAsia" w:ascii="宋体" w:hAnsi="宋体"/>
          <w:szCs w:val="21"/>
        </w:rPr>
        <w:t>。</w:t>
      </w:r>
    </w:p>
    <w:p w14:paraId="475226F2">
      <w:pPr>
        <w:pStyle w:val="20"/>
        <w:rPr>
          <w:rFonts w:hint="eastAsia"/>
        </w:rPr>
      </w:pPr>
      <w:bookmarkStart w:id="293" w:name="_Toc108513561"/>
      <w:r>
        <w:rPr>
          <w:rFonts w:hint="eastAsia"/>
        </w:rPr>
        <w:t>10.9政府采购合同融资政策</w:t>
      </w:r>
      <w:bookmarkEnd w:id="293"/>
    </w:p>
    <w:p w14:paraId="5DA13276">
      <w:pPr>
        <w:spacing w:line="360" w:lineRule="auto"/>
        <w:ind w:firstLine="420" w:firstLineChars="200"/>
        <w:rPr>
          <w:rFonts w:hint="eastAsia" w:ascii="宋体" w:hAnsi="宋体"/>
          <w:szCs w:val="21"/>
        </w:rPr>
      </w:pPr>
      <w:r>
        <w:rPr>
          <w:rFonts w:hint="eastAsia" w:ascii="宋体" w:hAnsi="宋体"/>
          <w:szCs w:val="21"/>
        </w:rPr>
        <w:t>政府采购合同融资政策：</w:t>
      </w:r>
      <w:r>
        <w:rPr>
          <w:rFonts w:ascii="宋体" w:hAnsi="宋体"/>
          <w:szCs w:val="21"/>
        </w:rPr>
        <w:t>见投标人须知前附表</w:t>
      </w:r>
      <w:r>
        <w:rPr>
          <w:rFonts w:hint="eastAsia" w:ascii="宋体" w:hAnsi="宋体"/>
          <w:szCs w:val="21"/>
        </w:rPr>
        <w:t>。</w:t>
      </w:r>
    </w:p>
    <w:p w14:paraId="5025F094">
      <w:pPr>
        <w:pStyle w:val="20"/>
        <w:rPr>
          <w:rFonts w:hint="eastAsia"/>
        </w:rPr>
      </w:pPr>
      <w:bookmarkStart w:id="294" w:name="_Toc108513562"/>
      <w:bookmarkStart w:id="295" w:name="_Toc426495269"/>
      <w:r>
        <w:rPr>
          <w:rFonts w:hint="eastAsia"/>
        </w:rPr>
        <w:t>10.10 招标人补充的其他内容</w:t>
      </w:r>
      <w:bookmarkEnd w:id="294"/>
      <w:bookmarkEnd w:id="295"/>
    </w:p>
    <w:p w14:paraId="408099E6">
      <w:pPr>
        <w:spacing w:line="400" w:lineRule="exact"/>
        <w:ind w:firstLine="420" w:firstLineChars="200"/>
        <w:rPr>
          <w:rFonts w:hint="eastAsia"/>
        </w:rPr>
      </w:pPr>
      <w:r>
        <w:rPr>
          <w:rFonts w:hint="eastAsia"/>
        </w:rPr>
        <w:t>招标人补充的其他内容：见投标人须知前附表。</w:t>
      </w:r>
    </w:p>
    <w:p w14:paraId="6C361442">
      <w:pPr>
        <w:spacing w:line="400" w:lineRule="exact"/>
        <w:ind w:firstLine="420" w:firstLineChars="200"/>
        <w:rPr>
          <w:rFonts w:hint="eastAsia"/>
        </w:rPr>
      </w:pPr>
    </w:p>
    <w:p w14:paraId="7E51ED44">
      <w:pPr>
        <w:spacing w:line="400" w:lineRule="exact"/>
        <w:ind w:firstLine="420" w:firstLineChars="200"/>
        <w:rPr>
          <w:rFonts w:hint="eastAsia"/>
        </w:rPr>
      </w:pPr>
    </w:p>
    <w:p w14:paraId="3C7963B5">
      <w:pPr>
        <w:spacing w:line="400" w:lineRule="exact"/>
        <w:ind w:firstLine="420" w:firstLineChars="200"/>
        <w:rPr>
          <w:rFonts w:hint="eastAsia"/>
        </w:rPr>
      </w:pPr>
    </w:p>
    <w:p w14:paraId="7A1DA091">
      <w:pPr>
        <w:spacing w:line="400" w:lineRule="exact"/>
        <w:ind w:firstLine="420" w:firstLineChars="200"/>
        <w:rPr>
          <w:rFonts w:hint="eastAsia"/>
        </w:rPr>
      </w:pPr>
    </w:p>
    <w:p w14:paraId="4C772E0B">
      <w:pPr>
        <w:spacing w:line="400" w:lineRule="exact"/>
        <w:ind w:firstLine="420" w:firstLineChars="200"/>
        <w:rPr>
          <w:rFonts w:hint="eastAsia"/>
        </w:rPr>
      </w:pPr>
    </w:p>
    <w:p w14:paraId="79CEF31E">
      <w:pPr>
        <w:spacing w:line="400" w:lineRule="exact"/>
        <w:ind w:firstLine="420" w:firstLineChars="200"/>
        <w:rPr>
          <w:rFonts w:hint="eastAsia"/>
        </w:rPr>
      </w:pPr>
    </w:p>
    <w:p w14:paraId="74DE10B4">
      <w:pPr>
        <w:spacing w:line="400" w:lineRule="exact"/>
        <w:ind w:firstLine="420" w:firstLineChars="200"/>
        <w:rPr>
          <w:rFonts w:hint="eastAsia"/>
        </w:rPr>
      </w:pPr>
    </w:p>
    <w:p w14:paraId="056C799D">
      <w:pPr>
        <w:spacing w:line="400" w:lineRule="exact"/>
        <w:ind w:firstLine="420" w:firstLineChars="200"/>
        <w:rPr>
          <w:rFonts w:hint="eastAsia"/>
        </w:rPr>
      </w:pPr>
    </w:p>
    <w:p w14:paraId="1AE8098C">
      <w:pPr>
        <w:spacing w:line="400" w:lineRule="exact"/>
        <w:rPr>
          <w:rFonts w:hint="eastAsia"/>
        </w:rPr>
      </w:pPr>
    </w:p>
    <w:p w14:paraId="6C432F30">
      <w:pPr>
        <w:pStyle w:val="20"/>
        <w:outlineLvl w:val="1"/>
        <w:rPr>
          <w:rFonts w:hint="eastAsia"/>
        </w:rPr>
      </w:pPr>
      <w:bookmarkStart w:id="296" w:name="_Toc108513563"/>
      <w:bookmarkStart w:id="297" w:name="_Toc415779179"/>
      <w:bookmarkStart w:id="298" w:name="_Toc412661731"/>
      <w:r>
        <w:rPr>
          <w:rFonts w:hint="eastAsia"/>
        </w:rPr>
        <w:t>附录一：投标</w:t>
      </w:r>
      <w:r>
        <w:t>人资质条件、能力和信誉</w:t>
      </w:r>
      <w:bookmarkEnd w:id="296"/>
      <w:bookmarkEnd w:id="297"/>
      <w:bookmarkEnd w:id="298"/>
    </w:p>
    <w:p w14:paraId="7A304B53">
      <w:pPr>
        <w:spacing w:line="400" w:lineRule="exact"/>
        <w:rPr>
          <w:rFonts w:hint="eastAsia" w:ascii="Times New Roman" w:hAnsi="Times New Roman" w:eastAsia="宋体" w:cs="Times New Roman"/>
          <w:szCs w:val="21"/>
          <w:u w:val="single"/>
        </w:rPr>
      </w:pPr>
      <w:r>
        <w:rPr>
          <w:rFonts w:hint="eastAsia"/>
          <w:szCs w:val="21"/>
          <w:u w:val="single"/>
          <w:lang w:eastAsia="zh-CN"/>
        </w:rPr>
        <w:t>浪河镇美丽移民村及基础设施提升项目</w:t>
      </w:r>
      <w:r>
        <w:rPr>
          <w:szCs w:val="21"/>
        </w:rPr>
        <w:t>（项目名称）</w:t>
      </w:r>
      <w:r>
        <w:rPr>
          <w:rFonts w:hint="eastAsia" w:cs="Times New Roman"/>
          <w:szCs w:val="21"/>
          <w:u w:val="single"/>
          <w:lang w:val="en-US" w:eastAsia="zh-CN"/>
        </w:rPr>
        <w:t>浪河镇美丽移民村及基础设施提升项目</w:t>
      </w:r>
      <w:r>
        <w:rPr>
          <w:rFonts w:hint="eastAsia" w:ascii="Times New Roman" w:hAnsi="Times New Roman" w:eastAsia="宋体" w:cs="Times New Roman"/>
          <w:szCs w:val="21"/>
          <w:u w:val="single"/>
        </w:rPr>
        <w:t>（标段名称）</w:t>
      </w:r>
    </w:p>
    <w:tbl>
      <w:tblPr>
        <w:tblStyle w:val="15"/>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720"/>
        <w:gridCol w:w="1080"/>
        <w:gridCol w:w="4680"/>
        <w:gridCol w:w="720"/>
        <w:gridCol w:w="900"/>
      </w:tblGrid>
      <w:tr w14:paraId="2E91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0AD75E81">
            <w:pPr>
              <w:spacing w:line="440" w:lineRule="exact"/>
              <w:jc w:val="center"/>
              <w:rPr>
                <w:rFonts w:hint="eastAsia"/>
                <w:szCs w:val="21"/>
              </w:rPr>
            </w:pPr>
            <w:r>
              <w:rPr>
                <w:rFonts w:hint="eastAsia"/>
                <w:szCs w:val="21"/>
              </w:rPr>
              <w:t>项目</w:t>
            </w:r>
          </w:p>
        </w:tc>
        <w:tc>
          <w:tcPr>
            <w:tcW w:w="7200" w:type="dxa"/>
            <w:gridSpan w:val="4"/>
            <w:noWrap w:val="0"/>
            <w:vAlign w:val="top"/>
          </w:tcPr>
          <w:p w14:paraId="68487945">
            <w:pPr>
              <w:spacing w:line="440" w:lineRule="exact"/>
              <w:jc w:val="center"/>
              <w:rPr>
                <w:rFonts w:hint="eastAsia"/>
                <w:szCs w:val="21"/>
              </w:rPr>
            </w:pPr>
            <w:r>
              <w:rPr>
                <w:rFonts w:hint="eastAsia"/>
                <w:szCs w:val="21"/>
              </w:rPr>
              <w:t>要求</w:t>
            </w:r>
          </w:p>
        </w:tc>
        <w:tc>
          <w:tcPr>
            <w:tcW w:w="900" w:type="dxa"/>
            <w:noWrap w:val="0"/>
            <w:vAlign w:val="top"/>
          </w:tcPr>
          <w:p w14:paraId="55B52F1A">
            <w:pPr>
              <w:spacing w:line="440" w:lineRule="exact"/>
              <w:jc w:val="center"/>
              <w:rPr>
                <w:rFonts w:hint="eastAsia"/>
                <w:szCs w:val="21"/>
              </w:rPr>
            </w:pPr>
            <w:r>
              <w:rPr>
                <w:rFonts w:hint="eastAsia"/>
                <w:szCs w:val="21"/>
              </w:rPr>
              <w:t>备注</w:t>
            </w:r>
          </w:p>
        </w:tc>
      </w:tr>
      <w:tr w14:paraId="0373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48" w:type="dxa"/>
            <w:noWrap w:val="0"/>
            <w:vAlign w:val="center"/>
          </w:tcPr>
          <w:p w14:paraId="1C2DFF76">
            <w:pPr>
              <w:spacing w:line="440" w:lineRule="exact"/>
              <w:jc w:val="center"/>
              <w:rPr>
                <w:rFonts w:hint="eastAsia"/>
                <w:szCs w:val="21"/>
              </w:rPr>
            </w:pPr>
            <w:r>
              <w:rPr>
                <w:szCs w:val="21"/>
              </w:rPr>
              <w:t>资质条件</w:t>
            </w:r>
          </w:p>
        </w:tc>
        <w:tc>
          <w:tcPr>
            <w:tcW w:w="7200" w:type="dxa"/>
            <w:gridSpan w:val="4"/>
            <w:noWrap w:val="0"/>
            <w:vAlign w:val="top"/>
          </w:tcPr>
          <w:p w14:paraId="0A7921A4">
            <w:pPr>
              <w:rPr>
                <w:rFonts w:hint="eastAsia"/>
                <w:szCs w:val="21"/>
                <w:u w:val="single"/>
              </w:rPr>
            </w:pPr>
            <w:r>
              <w:rPr>
                <w:rFonts w:hint="eastAsia"/>
                <w:szCs w:val="21"/>
                <w:u w:val="single"/>
              </w:rPr>
              <w:t>具备住房城乡建设主管部门颁发的有效的[施工总承包·市政公用工程</w:t>
            </w:r>
            <w:r>
              <w:rPr>
                <w:rFonts w:hint="eastAsia"/>
                <w:szCs w:val="21"/>
                <w:u w:val="single"/>
                <w:lang w:val="en-US" w:eastAsia="zh-CN"/>
              </w:rPr>
              <w:t>或房屋建筑工程</w:t>
            </w:r>
            <w:r>
              <w:rPr>
                <w:rFonts w:hint="eastAsia"/>
                <w:szCs w:val="21"/>
                <w:u w:val="single"/>
              </w:rPr>
              <w:t>·市政公用工程三级及以上资质</w:t>
            </w:r>
            <w:r>
              <w:rPr>
                <w:rFonts w:hint="eastAsia"/>
                <w:szCs w:val="21"/>
                <w:u w:val="single"/>
                <w:lang w:val="en-US" w:eastAsia="zh-CN"/>
              </w:rPr>
              <w:t>或房屋建筑工程</w:t>
            </w:r>
            <w:r>
              <w:rPr>
                <w:rFonts w:hint="eastAsia"/>
                <w:szCs w:val="21"/>
                <w:u w:val="single"/>
              </w:rPr>
              <w:t>三级及以上资质]级资质证书，具备有效的安全生产许可证，具备市场监督管理部门核发的有效企业法人营业执照。</w:t>
            </w:r>
          </w:p>
        </w:tc>
        <w:tc>
          <w:tcPr>
            <w:tcW w:w="900" w:type="dxa"/>
            <w:noWrap w:val="0"/>
            <w:vAlign w:val="top"/>
          </w:tcPr>
          <w:p w14:paraId="7C1184AA">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0656D04D">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417F187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4F637BC0">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描件</w:t>
            </w:r>
          </w:p>
        </w:tc>
      </w:tr>
      <w:tr w14:paraId="00EC7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60E75553">
            <w:pPr>
              <w:spacing w:line="440" w:lineRule="exact"/>
              <w:jc w:val="center"/>
              <w:rPr>
                <w:rFonts w:hint="eastAsia"/>
                <w:szCs w:val="21"/>
              </w:rPr>
            </w:pPr>
            <w:r>
              <w:rPr>
                <w:szCs w:val="21"/>
              </w:rPr>
              <w:t>财务要求</w:t>
            </w:r>
          </w:p>
        </w:tc>
        <w:tc>
          <w:tcPr>
            <w:tcW w:w="7200" w:type="dxa"/>
            <w:gridSpan w:val="4"/>
            <w:noWrap w:val="0"/>
            <w:vAlign w:val="top"/>
          </w:tcPr>
          <w:p w14:paraId="1F001D64">
            <w:pPr>
              <w:numPr>
                <w:ilvl w:val="0"/>
                <w:numId w:val="1"/>
              </w:numPr>
              <w:spacing w:line="440" w:lineRule="exact"/>
              <w:rPr>
                <w:rFonts w:hint="eastAsia" w:ascii="宋体" w:hAnsi="宋体"/>
                <w:szCs w:val="21"/>
                <w:u w:val="single"/>
              </w:rPr>
            </w:pPr>
            <w:r>
              <w:rPr>
                <w:rFonts w:hint="eastAsia" w:ascii="宋体" w:hAnsi="宋体"/>
                <w:szCs w:val="21"/>
                <w:u w:val="single"/>
              </w:rPr>
              <w:t>投标人</w:t>
            </w:r>
            <w:r>
              <w:rPr>
                <w:rFonts w:ascii="宋体" w:hAnsi="宋体"/>
                <w:szCs w:val="21"/>
                <w:u w:val="single"/>
              </w:rPr>
              <w:t>近</w:t>
            </w:r>
            <w:r>
              <w:rPr>
                <w:rFonts w:hint="eastAsia" w:ascii="宋体" w:hAnsi="宋体"/>
                <w:szCs w:val="21"/>
                <w:u w:val="single"/>
              </w:rPr>
              <w:t>三</w:t>
            </w:r>
            <w:r>
              <w:rPr>
                <w:rFonts w:ascii="宋体" w:hAnsi="宋体"/>
                <w:szCs w:val="21"/>
                <w:u w:val="single"/>
              </w:rPr>
              <w:t>年</w:t>
            </w:r>
            <w:r>
              <w:rPr>
                <w:rFonts w:hint="eastAsia" w:ascii="宋体" w:hAnsi="宋体"/>
                <w:szCs w:val="21"/>
                <w:u w:val="single"/>
              </w:rPr>
              <w:t>平</w:t>
            </w:r>
            <w:r>
              <w:rPr>
                <w:rFonts w:ascii="宋体" w:hAnsi="宋体"/>
                <w:szCs w:val="21"/>
                <w:u w:val="single"/>
              </w:rPr>
              <w:t>均利润</w:t>
            </w:r>
            <w:r>
              <w:rPr>
                <w:rFonts w:hint="eastAsia" w:ascii="宋体" w:hAnsi="宋体"/>
                <w:szCs w:val="21"/>
                <w:u w:val="single"/>
              </w:rPr>
              <w:t>大于0元。</w:t>
            </w:r>
          </w:p>
          <w:p w14:paraId="10129641">
            <w:pPr>
              <w:numPr>
                <w:ilvl w:val="0"/>
                <w:numId w:val="1"/>
              </w:numPr>
              <w:spacing w:line="440" w:lineRule="exact"/>
              <w:rPr>
                <w:rFonts w:hint="eastAsia"/>
                <w:szCs w:val="21"/>
              </w:rPr>
            </w:pPr>
            <w:r>
              <w:rPr>
                <w:rFonts w:hint="eastAsia" w:ascii="宋体" w:hAnsi="宋体"/>
                <w:szCs w:val="21"/>
                <w:u w:val="single"/>
              </w:rPr>
              <w:t xml:space="preserve">投标人用于投标项目（标段）的流动资金不应少于  </w:t>
            </w:r>
            <w:r>
              <w:rPr>
                <w:rFonts w:hint="eastAsia" w:ascii="宋体" w:hAnsi="宋体"/>
                <w:szCs w:val="21"/>
                <w:u w:val="single"/>
                <w:lang w:val="en-US" w:eastAsia="zh-CN"/>
              </w:rPr>
              <w:t>0</w:t>
            </w:r>
            <w:r>
              <w:rPr>
                <w:rFonts w:hint="eastAsia" w:ascii="宋体" w:hAnsi="宋体"/>
                <w:szCs w:val="21"/>
                <w:u w:val="single"/>
              </w:rPr>
              <w:t xml:space="preserve">  万元。</w:t>
            </w:r>
          </w:p>
        </w:tc>
        <w:tc>
          <w:tcPr>
            <w:tcW w:w="900" w:type="dxa"/>
            <w:noWrap w:val="0"/>
            <w:vAlign w:val="top"/>
          </w:tcPr>
          <w:p w14:paraId="43128B70">
            <w:pPr>
              <w:spacing w:line="440" w:lineRule="exact"/>
              <w:rPr>
                <w:rFonts w:hint="eastAsia"/>
                <w:szCs w:val="21"/>
              </w:rPr>
            </w:pPr>
            <w:r>
              <w:rPr>
                <w:rFonts w:hint="eastAsia"/>
                <w:szCs w:val="21"/>
                <w:lang w:val="en-US" w:eastAsia="zh-CN"/>
              </w:rPr>
              <w:t>提</w:t>
            </w:r>
            <w:r>
              <w:rPr>
                <w:rFonts w:hint="eastAsia"/>
                <w:szCs w:val="21"/>
              </w:rPr>
              <w:t>供2023、2024、2025 年度经审计的财务审计报告或报表（企业财务审计报告须由具有相应资质的单位对其进行出具，新成立的公司按实际年份提供）</w:t>
            </w:r>
          </w:p>
        </w:tc>
      </w:tr>
      <w:tr w14:paraId="414C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318516EE">
            <w:pPr>
              <w:spacing w:line="440" w:lineRule="exact"/>
              <w:jc w:val="center"/>
              <w:rPr>
                <w:szCs w:val="21"/>
              </w:rPr>
            </w:pPr>
            <w:r>
              <w:rPr>
                <w:szCs w:val="21"/>
              </w:rPr>
              <w:t>业绩要求</w:t>
            </w:r>
          </w:p>
        </w:tc>
        <w:tc>
          <w:tcPr>
            <w:tcW w:w="7200" w:type="dxa"/>
            <w:gridSpan w:val="4"/>
            <w:noWrap w:val="0"/>
            <w:vAlign w:val="center"/>
          </w:tcPr>
          <w:p w14:paraId="5E251481">
            <w:pPr>
              <w:spacing w:line="440" w:lineRule="exact"/>
              <w:rPr>
                <w:rFonts w:hint="eastAsia"/>
                <w:szCs w:val="21"/>
                <w:u w:val="single"/>
              </w:rPr>
            </w:pPr>
            <w:r>
              <w:rPr>
                <w:rFonts w:hint="eastAsia" w:ascii="宋体" w:hAnsi="宋体"/>
                <w:szCs w:val="21"/>
                <w:u w:val="single"/>
              </w:rPr>
              <w:t>投标</w:t>
            </w:r>
            <w:r>
              <w:rPr>
                <w:rFonts w:hint="eastAsia"/>
                <w:szCs w:val="21"/>
                <w:u w:val="single"/>
              </w:rPr>
              <w:t>人</w:t>
            </w:r>
            <w:r>
              <w:rPr>
                <w:szCs w:val="21"/>
                <w:u w:val="single"/>
              </w:rPr>
              <w:t>近</w:t>
            </w:r>
            <w:r>
              <w:rPr>
                <w:rFonts w:hint="eastAsia"/>
                <w:szCs w:val="21"/>
                <w:u w:val="single"/>
              </w:rPr>
              <w:t>五</w:t>
            </w:r>
            <w:r>
              <w:rPr>
                <w:szCs w:val="21"/>
                <w:u w:val="single"/>
              </w:rPr>
              <w:t>年完成过</w:t>
            </w:r>
            <w:r>
              <w:rPr>
                <w:rFonts w:hint="eastAsia"/>
                <w:szCs w:val="21"/>
                <w:u w:val="single"/>
              </w:rPr>
              <w:t>1</w:t>
            </w:r>
            <w:r>
              <w:rPr>
                <w:szCs w:val="21"/>
                <w:u w:val="single"/>
              </w:rPr>
              <w:t xml:space="preserve"> 项</w:t>
            </w:r>
            <w:r>
              <w:rPr>
                <w:rFonts w:hint="eastAsia"/>
                <w:szCs w:val="21"/>
                <w:u w:val="single"/>
              </w:rPr>
              <w:t>（类似项目描述）</w:t>
            </w:r>
            <w:r>
              <w:rPr>
                <w:szCs w:val="21"/>
                <w:u w:val="single"/>
              </w:rPr>
              <w:t>的</w:t>
            </w:r>
            <w:r>
              <w:rPr>
                <w:rFonts w:hint="eastAsia"/>
                <w:szCs w:val="21"/>
                <w:u w:val="single"/>
              </w:rPr>
              <w:t>业绩</w:t>
            </w:r>
            <w:r>
              <w:rPr>
                <w:szCs w:val="21"/>
                <w:u w:val="single"/>
              </w:rPr>
              <w:t>。</w:t>
            </w:r>
          </w:p>
        </w:tc>
        <w:tc>
          <w:tcPr>
            <w:tcW w:w="900" w:type="dxa"/>
            <w:noWrap w:val="0"/>
            <w:vAlign w:val="top"/>
          </w:tcPr>
          <w:p w14:paraId="569B96EE">
            <w:pPr>
              <w:spacing w:line="440" w:lineRule="exact"/>
              <w:rPr>
                <w:rFonts w:hint="eastAsia"/>
                <w:szCs w:val="21"/>
              </w:rPr>
            </w:pPr>
            <w:r>
              <w:rPr>
                <w:rFonts w:hint="eastAsia"/>
                <w:u w:val="single"/>
              </w:rPr>
              <w:t xml:space="preserve">近五年（自投标截止时间往前推算 5 年，以合同签订时间为准)承接过 1 项投资金额不低于 </w:t>
            </w:r>
            <w:r>
              <w:rPr>
                <w:rFonts w:hint="eastAsia"/>
                <w:u w:val="single"/>
                <w:lang w:val="en-US" w:eastAsia="zh-CN"/>
              </w:rPr>
              <w:t>3</w:t>
            </w:r>
            <w:r>
              <w:rPr>
                <w:rFonts w:hint="eastAsia"/>
                <w:u w:val="single"/>
              </w:rPr>
              <w:t>00 万元市政或房屋建筑工程项目施工业绩（提供中标通知书及合同协议书扫描件</w:t>
            </w:r>
          </w:p>
        </w:tc>
      </w:tr>
      <w:tr w14:paraId="702E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412986D8">
            <w:pPr>
              <w:spacing w:line="440" w:lineRule="exact"/>
              <w:jc w:val="center"/>
              <w:rPr>
                <w:rFonts w:hint="eastAsia"/>
                <w:szCs w:val="21"/>
              </w:rPr>
            </w:pPr>
            <w:r>
              <w:rPr>
                <w:szCs w:val="21"/>
              </w:rPr>
              <w:t>信誉要求</w:t>
            </w:r>
          </w:p>
        </w:tc>
        <w:tc>
          <w:tcPr>
            <w:tcW w:w="7200" w:type="dxa"/>
            <w:gridSpan w:val="4"/>
            <w:noWrap w:val="0"/>
            <w:vAlign w:val="top"/>
          </w:tcPr>
          <w:p w14:paraId="3B112F79">
            <w:pPr>
              <w:spacing w:line="400" w:lineRule="exact"/>
              <w:rPr>
                <w:rFonts w:hint="eastAsia"/>
                <w:u w:val="single"/>
              </w:rPr>
            </w:pPr>
            <w:r>
              <w:rPr>
                <w:rFonts w:hint="eastAsia"/>
                <w:u w:val="single"/>
              </w:rPr>
              <w:t>1.没有被依法暂停或取消投标资格；</w:t>
            </w:r>
          </w:p>
          <w:p w14:paraId="15E70C1B">
            <w:pPr>
              <w:spacing w:line="400" w:lineRule="exact"/>
              <w:rPr>
                <w:rFonts w:hint="eastAsia"/>
                <w:u w:val="single"/>
              </w:rPr>
            </w:pPr>
            <w:r>
              <w:rPr>
                <w:rFonts w:hint="eastAsia"/>
                <w:u w:val="single"/>
              </w:rPr>
              <w:t xml:space="preserve">2.没有被责令停产停业、暂扣或者吊销许可证、暂扣或者吊销执照； </w:t>
            </w:r>
          </w:p>
          <w:p w14:paraId="39DD3BEA">
            <w:pPr>
              <w:spacing w:line="400" w:lineRule="exact"/>
              <w:rPr>
                <w:rFonts w:hint="eastAsia"/>
                <w:u w:val="single"/>
              </w:rPr>
            </w:pPr>
            <w:r>
              <w:rPr>
                <w:rFonts w:hint="eastAsia"/>
                <w:u w:val="single"/>
              </w:rPr>
              <w:t>3.没有进入清算程序，或被宣告破产，或其他丧失履约能力的情形；</w:t>
            </w:r>
          </w:p>
          <w:p w14:paraId="7402C51D">
            <w:pPr>
              <w:spacing w:line="400" w:lineRule="exact"/>
              <w:rPr>
                <w:rFonts w:hint="eastAsia"/>
                <w:u w:val="single"/>
              </w:rPr>
            </w:pPr>
            <w:r>
              <w:rPr>
                <w:rFonts w:hint="eastAsia"/>
                <w:u w:val="single"/>
              </w:rPr>
              <w:t>4.在最近三年内没有发生重大工程质量问题；</w:t>
            </w:r>
          </w:p>
          <w:p w14:paraId="41B80586">
            <w:pPr>
              <w:spacing w:line="400" w:lineRule="exact"/>
              <w:rPr>
                <w:u w:val="single"/>
              </w:rPr>
            </w:pPr>
            <w:r>
              <w:rPr>
                <w:rFonts w:hint="eastAsia"/>
                <w:u w:val="single"/>
              </w:rPr>
              <w:t>5.在“国家企业信用信息公示系统”（</w:t>
            </w:r>
            <w:r>
              <w:rPr>
                <w:u w:val="single"/>
              </w:rPr>
              <w:t xml:space="preserve"> www.gsxt.gov.cn</w:t>
            </w:r>
            <w:r>
              <w:rPr>
                <w:rFonts w:hint="eastAsia"/>
                <w:u w:val="single"/>
              </w:rPr>
              <w:t>）没有被列入严重违法失信企业名单；</w:t>
            </w:r>
          </w:p>
          <w:p w14:paraId="3C38F615">
            <w:pPr>
              <w:spacing w:line="400" w:lineRule="exact"/>
              <w:rPr>
                <w:u w:val="single"/>
              </w:rPr>
            </w:pPr>
            <w:r>
              <w:rPr>
                <w:rFonts w:hint="eastAsia"/>
                <w:u w:val="single"/>
              </w:rPr>
              <w:t>6.在</w:t>
            </w:r>
            <w:r>
              <w:rPr>
                <w:u w:val="single"/>
              </w:rPr>
              <w:t>“</w:t>
            </w:r>
            <w:r>
              <w:rPr>
                <w:rFonts w:hint="eastAsia"/>
                <w:u w:val="single"/>
              </w:rPr>
              <w:t>信用中国</w:t>
            </w:r>
            <w:r>
              <w:rPr>
                <w:u w:val="single"/>
              </w:rPr>
              <w:t>”</w:t>
            </w:r>
            <w:r>
              <w:rPr>
                <w:rFonts w:hint="eastAsia"/>
                <w:u w:val="single"/>
              </w:rPr>
              <w:t>网站（</w:t>
            </w:r>
            <w:r>
              <w:rPr>
                <w:u w:val="single"/>
              </w:rPr>
              <w:fldChar w:fldCharType="begin"/>
            </w:r>
            <w:r>
              <w:rPr>
                <w:u w:val="single"/>
              </w:rPr>
              <w:instrText xml:space="preserve"> HYPERLINK http://www.creditchina.gov.cn/ </w:instrText>
            </w:r>
            <w:r>
              <w:rPr>
                <w:u w:val="single"/>
              </w:rPr>
              <w:fldChar w:fldCharType="separate"/>
            </w:r>
            <w:r>
              <w:rPr>
                <w:u w:val="single"/>
              </w:rPr>
              <w:t>www.creditchina.gov.cn</w:t>
            </w:r>
            <w:r>
              <w:rPr>
                <w:u w:val="single"/>
              </w:rPr>
              <w:fldChar w:fldCharType="end"/>
            </w:r>
            <w:r>
              <w:rPr>
                <w:rFonts w:hint="eastAsia"/>
                <w:u w:val="single"/>
              </w:rPr>
              <w:t>）或“中国执行信息公开网”（http://zxgk.court.gov.cn/shixin/）没有被列入失信被执行人名单；</w:t>
            </w:r>
          </w:p>
          <w:p w14:paraId="2C6A36B0">
            <w:pPr>
              <w:spacing w:line="400" w:lineRule="exact"/>
              <w:rPr>
                <w:u w:val="single"/>
              </w:rPr>
            </w:pPr>
            <w:r>
              <w:rPr>
                <w:rFonts w:hint="eastAsia"/>
                <w:u w:val="single"/>
              </w:rPr>
              <w:t>7.在近三年内投标人或其法定代表人、拟委任的项目经理没有行贿犯罪行为；</w:t>
            </w:r>
          </w:p>
          <w:p w14:paraId="669D8BEA">
            <w:pPr>
              <w:spacing w:line="440" w:lineRule="exact"/>
              <w:rPr>
                <w:rFonts w:hint="eastAsia"/>
                <w:szCs w:val="21"/>
              </w:rPr>
            </w:pPr>
            <w:r>
              <w:rPr>
                <w:rFonts w:hint="eastAsia"/>
                <w:u w:val="single"/>
              </w:rPr>
              <w:t>8.不存在法律法规或投标人须知前附表第1.4.3（19）目规定的不得存在的其他情形。</w:t>
            </w:r>
          </w:p>
        </w:tc>
        <w:tc>
          <w:tcPr>
            <w:tcW w:w="900" w:type="dxa"/>
            <w:noWrap w:val="0"/>
            <w:vAlign w:val="top"/>
          </w:tcPr>
          <w:p w14:paraId="6E7A7063">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w:t>
            </w:r>
            <w:r>
              <w:rPr>
                <w:rFonts w:ascii="Calibri" w:hAnsi="Calibri" w:eastAsia="宋体" w:cs="Calibri"/>
                <w:color w:val="auto"/>
                <w:kern w:val="0"/>
                <w:sz w:val="21"/>
                <w:szCs w:val="21"/>
                <w:lang w:val="en-US" w:eastAsia="zh-CN" w:bidi="ar"/>
              </w:rPr>
              <w:t>1</w:t>
            </w:r>
            <w:r>
              <w:rPr>
                <w:rFonts w:hint="default" w:ascii="瀹嬩綋" w:hAnsi="瀹嬩綋" w:eastAsia="瀹嬩綋" w:cs="瀹嬩綋"/>
                <w:color w:val="auto"/>
                <w:kern w:val="0"/>
                <w:sz w:val="21"/>
                <w:szCs w:val="21"/>
                <w:lang w:val="en-US" w:eastAsia="zh-CN" w:bidi="ar"/>
              </w:rPr>
              <w:t xml:space="preserve">）投 </w:t>
            </w:r>
          </w:p>
          <w:p w14:paraId="65BE03A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标人应 </w:t>
            </w:r>
          </w:p>
          <w:p w14:paraId="01766254">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结合本 </w:t>
            </w:r>
          </w:p>
          <w:p w14:paraId="3D9C3BF4">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项信誉</w:t>
            </w:r>
          </w:p>
          <w:p w14:paraId="6DF435CB">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要求及 </w:t>
            </w:r>
          </w:p>
          <w:p w14:paraId="2F2F8F2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投标人 </w:t>
            </w:r>
          </w:p>
          <w:p w14:paraId="79CA9211">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须知前 </w:t>
            </w:r>
          </w:p>
          <w:p w14:paraId="279AAFAF">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附表 </w:t>
            </w:r>
          </w:p>
          <w:p w14:paraId="595D674B">
            <w:pPr>
              <w:keepNext w:val="0"/>
              <w:keepLines w:val="0"/>
              <w:widowControl/>
              <w:suppressLineNumbers w:val="0"/>
              <w:jc w:val="left"/>
              <w:rPr>
                <w:color w:val="auto"/>
              </w:rPr>
            </w:pPr>
            <w:r>
              <w:rPr>
                <w:rFonts w:ascii="Calibri" w:hAnsi="Calibri" w:eastAsia="宋体" w:cs="Calibri"/>
                <w:color w:val="auto"/>
                <w:kern w:val="0"/>
                <w:sz w:val="21"/>
                <w:szCs w:val="21"/>
                <w:lang w:val="en-US" w:eastAsia="zh-CN" w:bidi="ar"/>
              </w:rPr>
              <w:t xml:space="preserve">1.4.3 </w:t>
            </w:r>
          </w:p>
          <w:p w14:paraId="5D10B690">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w:t>
            </w:r>
            <w:r>
              <w:rPr>
                <w:rFonts w:hint="default" w:ascii="Calibri" w:hAnsi="Calibri" w:eastAsia="宋体" w:cs="Calibri"/>
                <w:color w:val="auto"/>
                <w:kern w:val="0"/>
                <w:sz w:val="21"/>
                <w:szCs w:val="21"/>
                <w:lang w:val="en-US" w:eastAsia="zh-CN" w:bidi="ar"/>
              </w:rPr>
              <w:t>19</w:t>
            </w:r>
            <w:r>
              <w:rPr>
                <w:rFonts w:hint="default" w:ascii="瀹嬩綋" w:hAnsi="瀹嬩綋" w:eastAsia="瀹嬩綋" w:cs="瀹嬩綋"/>
                <w:color w:val="auto"/>
                <w:kern w:val="0"/>
                <w:sz w:val="21"/>
                <w:szCs w:val="21"/>
                <w:lang w:val="en-US" w:eastAsia="zh-CN" w:bidi="ar"/>
              </w:rPr>
              <w:t xml:space="preserve">） </w:t>
            </w:r>
          </w:p>
          <w:p w14:paraId="2889A56D">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目规定 </w:t>
            </w:r>
          </w:p>
          <w:p w14:paraId="05BE267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的不得 </w:t>
            </w:r>
          </w:p>
          <w:p w14:paraId="7AC15F73">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存在的 </w:t>
            </w:r>
          </w:p>
          <w:p w14:paraId="5D6FF189">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其他情 </w:t>
            </w:r>
          </w:p>
          <w:p w14:paraId="276A8F99">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形逐一 </w:t>
            </w:r>
          </w:p>
          <w:p w14:paraId="70540C1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提供承 </w:t>
            </w:r>
          </w:p>
          <w:p w14:paraId="0BB264E7">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诺书和 </w:t>
            </w:r>
          </w:p>
          <w:p w14:paraId="2D5631B5">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相关官 </w:t>
            </w:r>
          </w:p>
          <w:p w14:paraId="32436AC3">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方网站 </w:t>
            </w:r>
          </w:p>
          <w:p w14:paraId="080AABC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查询页 </w:t>
            </w:r>
          </w:p>
          <w:p w14:paraId="21D3437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面截图，并 </w:t>
            </w:r>
          </w:p>
          <w:p w14:paraId="144B337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将以上 </w:t>
            </w:r>
          </w:p>
          <w:p w14:paraId="13E5823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相关内 </w:t>
            </w:r>
          </w:p>
          <w:p w14:paraId="0CAA2836">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容编制 </w:t>
            </w:r>
          </w:p>
          <w:p w14:paraId="7DCE7595">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在投标 </w:t>
            </w:r>
          </w:p>
          <w:p w14:paraId="39EBC43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文件其 </w:t>
            </w:r>
          </w:p>
          <w:p w14:paraId="020A11C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他资料 </w:t>
            </w:r>
          </w:p>
          <w:p w14:paraId="5271AF5B">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中，（</w:t>
            </w:r>
            <w:r>
              <w:rPr>
                <w:rFonts w:hint="default" w:ascii="Calibri" w:hAnsi="Calibri" w:eastAsia="宋体" w:cs="Calibri"/>
                <w:color w:val="auto"/>
                <w:kern w:val="0"/>
                <w:sz w:val="21"/>
                <w:szCs w:val="21"/>
                <w:lang w:val="en-US" w:eastAsia="zh-CN" w:bidi="ar"/>
              </w:rPr>
              <w:t>2</w:t>
            </w:r>
            <w:r>
              <w:rPr>
                <w:rFonts w:hint="default" w:ascii="瀹嬩綋" w:hAnsi="瀹嬩綋" w:eastAsia="瀹嬩綋" w:cs="瀹嬩綋"/>
                <w:color w:val="auto"/>
                <w:kern w:val="0"/>
                <w:sz w:val="21"/>
                <w:szCs w:val="21"/>
                <w:lang w:val="en-US" w:eastAsia="zh-CN" w:bidi="ar"/>
              </w:rPr>
              <w:t xml:space="preserve">） </w:t>
            </w:r>
          </w:p>
          <w:p w14:paraId="4CC43E2A">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招标 </w:t>
            </w:r>
          </w:p>
          <w:p w14:paraId="110EE399">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人、招 </w:t>
            </w:r>
          </w:p>
          <w:p w14:paraId="494AD197">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标代理 </w:t>
            </w:r>
          </w:p>
          <w:p w14:paraId="7CC30F84">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机构和 </w:t>
            </w:r>
          </w:p>
          <w:p w14:paraId="508F0E3F">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评标委</w:t>
            </w:r>
          </w:p>
          <w:p w14:paraId="1CFD31E9">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员会将 </w:t>
            </w:r>
          </w:p>
          <w:p w14:paraId="1A2927E4">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保留对 </w:t>
            </w:r>
          </w:p>
          <w:p w14:paraId="55E226B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本项内 </w:t>
            </w:r>
          </w:p>
          <w:p w14:paraId="3ADFFF04">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容进行 </w:t>
            </w:r>
          </w:p>
          <w:p w14:paraId="5C224EF5">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查询的 </w:t>
            </w:r>
          </w:p>
          <w:p w14:paraId="6BCAB77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权利一 </w:t>
            </w:r>
          </w:p>
          <w:p w14:paraId="5A42ABD9">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经发现 </w:t>
            </w:r>
          </w:p>
          <w:p w14:paraId="1A347E71">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存在上 </w:t>
            </w:r>
          </w:p>
          <w:p w14:paraId="5F20DC9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述任何 </w:t>
            </w:r>
          </w:p>
          <w:p w14:paraId="48B6DD57">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一项情 </w:t>
            </w:r>
          </w:p>
          <w:p w14:paraId="72EF0EC1">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形的， </w:t>
            </w:r>
          </w:p>
          <w:p w14:paraId="6DBD14E9">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将取消 </w:t>
            </w:r>
          </w:p>
          <w:p w14:paraId="4EF546A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其投标 </w:t>
            </w:r>
          </w:p>
          <w:p w14:paraId="2CE38747">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或中标 </w:t>
            </w:r>
          </w:p>
          <w:p w14:paraId="47608522">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资格， </w:t>
            </w:r>
          </w:p>
          <w:p w14:paraId="6034433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并报相 </w:t>
            </w:r>
          </w:p>
          <w:p w14:paraId="2CBB30D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关部门 </w:t>
            </w:r>
          </w:p>
          <w:p w14:paraId="4B3577B4">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予以处 </w:t>
            </w:r>
          </w:p>
          <w:p w14:paraId="22A8666D">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罚</w:t>
            </w:r>
          </w:p>
        </w:tc>
      </w:tr>
      <w:tr w14:paraId="5304B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48" w:type="dxa"/>
            <w:noWrap w:val="0"/>
            <w:vAlign w:val="center"/>
          </w:tcPr>
          <w:p w14:paraId="4CEEB129">
            <w:pPr>
              <w:spacing w:line="440" w:lineRule="exact"/>
              <w:jc w:val="center"/>
              <w:rPr>
                <w:rFonts w:hint="eastAsia"/>
                <w:szCs w:val="21"/>
              </w:rPr>
            </w:pPr>
          </w:p>
        </w:tc>
        <w:tc>
          <w:tcPr>
            <w:tcW w:w="1800" w:type="dxa"/>
            <w:gridSpan w:val="2"/>
            <w:noWrap w:val="0"/>
            <w:vAlign w:val="top"/>
          </w:tcPr>
          <w:p w14:paraId="5CBD619A">
            <w:pPr>
              <w:spacing w:line="440" w:lineRule="exact"/>
              <w:jc w:val="center"/>
              <w:rPr>
                <w:rFonts w:hint="eastAsia"/>
                <w:szCs w:val="21"/>
              </w:rPr>
            </w:pPr>
            <w:r>
              <w:rPr>
                <w:rFonts w:hint="eastAsia"/>
                <w:szCs w:val="21"/>
              </w:rPr>
              <w:t>岗位</w:t>
            </w:r>
          </w:p>
        </w:tc>
        <w:tc>
          <w:tcPr>
            <w:tcW w:w="4680" w:type="dxa"/>
            <w:noWrap w:val="0"/>
            <w:vAlign w:val="top"/>
          </w:tcPr>
          <w:p w14:paraId="0E784C92">
            <w:pPr>
              <w:spacing w:line="440" w:lineRule="exact"/>
              <w:jc w:val="center"/>
              <w:rPr>
                <w:rFonts w:hint="eastAsia"/>
                <w:szCs w:val="21"/>
              </w:rPr>
            </w:pPr>
            <w:r>
              <w:rPr>
                <w:rFonts w:hint="eastAsia"/>
                <w:szCs w:val="21"/>
              </w:rPr>
              <w:t>资格要求</w:t>
            </w:r>
          </w:p>
        </w:tc>
        <w:tc>
          <w:tcPr>
            <w:tcW w:w="720" w:type="dxa"/>
            <w:noWrap w:val="0"/>
            <w:vAlign w:val="top"/>
          </w:tcPr>
          <w:p w14:paraId="12AAA1B7">
            <w:pPr>
              <w:spacing w:line="440" w:lineRule="exact"/>
              <w:jc w:val="center"/>
              <w:rPr>
                <w:rFonts w:hint="eastAsia"/>
                <w:szCs w:val="21"/>
              </w:rPr>
            </w:pPr>
            <w:r>
              <w:rPr>
                <w:rFonts w:hint="eastAsia"/>
                <w:szCs w:val="21"/>
              </w:rPr>
              <w:t>数量</w:t>
            </w:r>
          </w:p>
        </w:tc>
        <w:tc>
          <w:tcPr>
            <w:tcW w:w="900" w:type="dxa"/>
            <w:noWrap w:val="0"/>
            <w:vAlign w:val="top"/>
          </w:tcPr>
          <w:p w14:paraId="5E42C704">
            <w:pPr>
              <w:spacing w:line="440" w:lineRule="exact"/>
              <w:rPr>
                <w:rFonts w:hint="eastAsia"/>
                <w:szCs w:val="21"/>
              </w:rPr>
            </w:pPr>
          </w:p>
        </w:tc>
      </w:tr>
      <w:tr w14:paraId="1274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648" w:type="dxa"/>
            <w:noWrap w:val="0"/>
            <w:vAlign w:val="center"/>
          </w:tcPr>
          <w:p w14:paraId="238B1E72">
            <w:pPr>
              <w:spacing w:line="440" w:lineRule="exact"/>
              <w:jc w:val="center"/>
              <w:rPr>
                <w:rFonts w:hint="eastAsia"/>
                <w:szCs w:val="21"/>
              </w:rPr>
            </w:pPr>
            <w:r>
              <w:rPr>
                <w:rFonts w:hint="eastAsia"/>
                <w:szCs w:val="21"/>
              </w:rPr>
              <w:t>项目</w:t>
            </w:r>
          </w:p>
          <w:p w14:paraId="6BA54999">
            <w:pPr>
              <w:spacing w:line="440" w:lineRule="exact"/>
              <w:jc w:val="center"/>
              <w:rPr>
                <w:rFonts w:hint="eastAsia"/>
                <w:szCs w:val="21"/>
              </w:rPr>
            </w:pPr>
            <w:r>
              <w:rPr>
                <w:rFonts w:hint="eastAsia"/>
                <w:szCs w:val="21"/>
              </w:rPr>
              <w:t>经理</w:t>
            </w:r>
          </w:p>
          <w:p w14:paraId="6AEC25C1">
            <w:pPr>
              <w:spacing w:line="440" w:lineRule="exact"/>
              <w:jc w:val="center"/>
              <w:rPr>
                <w:rFonts w:hint="eastAsia"/>
                <w:szCs w:val="21"/>
              </w:rPr>
            </w:pPr>
            <w:r>
              <w:rPr>
                <w:rFonts w:hint="eastAsia"/>
                <w:szCs w:val="21"/>
              </w:rPr>
              <w:t>资格</w:t>
            </w:r>
          </w:p>
        </w:tc>
        <w:tc>
          <w:tcPr>
            <w:tcW w:w="1800" w:type="dxa"/>
            <w:gridSpan w:val="2"/>
            <w:noWrap w:val="0"/>
            <w:vAlign w:val="center"/>
          </w:tcPr>
          <w:p w14:paraId="1A1AD771">
            <w:pPr>
              <w:autoSpaceDE w:val="0"/>
              <w:autoSpaceDN w:val="0"/>
              <w:spacing w:line="319" w:lineRule="exact"/>
              <w:jc w:val="center"/>
              <w:rPr>
                <w:rFonts w:hint="eastAsia"/>
              </w:rPr>
            </w:pPr>
            <w:r>
              <w:rPr>
                <w:rFonts w:hint="eastAsia"/>
              </w:rPr>
              <w:t>项目</w:t>
            </w:r>
          </w:p>
          <w:p w14:paraId="746E0241">
            <w:pPr>
              <w:autoSpaceDE w:val="0"/>
              <w:autoSpaceDN w:val="0"/>
              <w:spacing w:line="319" w:lineRule="exact"/>
              <w:jc w:val="center"/>
              <w:rPr>
                <w:rFonts w:hint="eastAsia"/>
                <w:szCs w:val="21"/>
              </w:rPr>
            </w:pPr>
            <w:r>
              <w:rPr>
                <w:rFonts w:hint="eastAsia"/>
              </w:rPr>
              <w:t>经理</w:t>
            </w:r>
          </w:p>
        </w:tc>
        <w:tc>
          <w:tcPr>
            <w:tcW w:w="4680" w:type="dxa"/>
            <w:noWrap w:val="0"/>
            <w:vAlign w:val="center"/>
          </w:tcPr>
          <w:p w14:paraId="4FE977F5">
            <w:pPr>
              <w:autoSpaceDE w:val="0"/>
              <w:autoSpaceDN w:val="0"/>
              <w:adjustRightInd w:val="0"/>
              <w:rPr>
                <w:rFonts w:hint="eastAsia"/>
                <w:u w:val="single"/>
              </w:rPr>
            </w:pPr>
            <w:r>
              <w:rPr>
                <w:rFonts w:hint="eastAsia"/>
                <w:u w:val="single"/>
              </w:rPr>
              <w:t>具备[注册二级建造师·市政公用工程及以上资质</w:t>
            </w:r>
            <w:r>
              <w:rPr>
                <w:rFonts w:hint="eastAsia"/>
                <w:u w:val="single"/>
                <w:lang w:val="en-US" w:eastAsia="zh-CN"/>
              </w:rPr>
              <w:t>或房屋建筑工程</w:t>
            </w:r>
            <w:r>
              <w:rPr>
                <w:rFonts w:hint="eastAsia"/>
                <w:u w:val="single"/>
              </w:rPr>
              <w:t>及以上资质]资格和有效的安全生产考核合格证书（B证），且未担任其他在施建设工程项目的项目经理。</w:t>
            </w:r>
          </w:p>
        </w:tc>
        <w:tc>
          <w:tcPr>
            <w:tcW w:w="720" w:type="dxa"/>
            <w:noWrap w:val="0"/>
            <w:vAlign w:val="center"/>
          </w:tcPr>
          <w:p w14:paraId="77E8D1BE">
            <w:pPr>
              <w:spacing w:line="440" w:lineRule="exact"/>
              <w:jc w:val="center"/>
              <w:rPr>
                <w:rFonts w:hint="eastAsia"/>
                <w:szCs w:val="21"/>
              </w:rPr>
            </w:pPr>
            <w:r>
              <w:rPr>
                <w:rFonts w:hint="eastAsia"/>
                <w:szCs w:val="21"/>
              </w:rPr>
              <w:t>1人</w:t>
            </w:r>
          </w:p>
        </w:tc>
        <w:tc>
          <w:tcPr>
            <w:tcW w:w="900" w:type="dxa"/>
            <w:noWrap w:val="0"/>
            <w:vAlign w:val="top"/>
          </w:tcPr>
          <w:p w14:paraId="0A84AEE3">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00ABF8A5">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446A05D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3686DA1C">
            <w:pPr>
              <w:keepNext w:val="0"/>
              <w:keepLines w:val="0"/>
              <w:widowControl/>
              <w:suppressLineNumbers w:val="0"/>
              <w:jc w:val="left"/>
              <w:rPr>
                <w:rFonts w:hint="eastAsia"/>
                <w:color w:val="auto"/>
                <w:szCs w:val="21"/>
              </w:rPr>
            </w:pPr>
            <w:r>
              <w:rPr>
                <w:rFonts w:hint="default" w:ascii="瀹嬩綋" w:hAnsi="瀹嬩綋" w:eastAsia="瀹嬩綋" w:cs="瀹嬩綋"/>
                <w:color w:val="auto"/>
                <w:kern w:val="0"/>
                <w:sz w:val="21"/>
                <w:szCs w:val="21"/>
                <w:lang w:val="en-US" w:eastAsia="zh-CN" w:bidi="ar"/>
              </w:rPr>
              <w:t>描件</w:t>
            </w:r>
          </w:p>
        </w:tc>
      </w:tr>
      <w:tr w14:paraId="0AC1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648" w:type="dxa"/>
            <w:vMerge w:val="restart"/>
            <w:noWrap w:val="0"/>
            <w:vAlign w:val="top"/>
          </w:tcPr>
          <w:p w14:paraId="75A6DE60">
            <w:pPr>
              <w:spacing w:line="440" w:lineRule="exact"/>
              <w:jc w:val="center"/>
              <w:rPr>
                <w:rFonts w:hint="eastAsia"/>
                <w:szCs w:val="21"/>
              </w:rPr>
            </w:pPr>
          </w:p>
          <w:p w14:paraId="37FD5E6D">
            <w:pPr>
              <w:spacing w:line="440" w:lineRule="exact"/>
              <w:jc w:val="center"/>
              <w:rPr>
                <w:rFonts w:hint="eastAsia"/>
                <w:szCs w:val="21"/>
              </w:rPr>
            </w:pPr>
          </w:p>
          <w:p w14:paraId="1EADFAA1">
            <w:pPr>
              <w:spacing w:line="440" w:lineRule="exact"/>
              <w:jc w:val="center"/>
              <w:rPr>
                <w:rFonts w:hint="eastAsia"/>
                <w:szCs w:val="21"/>
              </w:rPr>
            </w:pPr>
          </w:p>
          <w:p w14:paraId="251BE2ED">
            <w:pPr>
              <w:spacing w:line="440" w:lineRule="exact"/>
              <w:rPr>
                <w:rFonts w:hint="eastAsia"/>
                <w:szCs w:val="21"/>
              </w:rPr>
            </w:pPr>
            <w:r>
              <w:rPr>
                <w:rFonts w:hint="eastAsia"/>
                <w:szCs w:val="21"/>
              </w:rPr>
              <w:t xml:space="preserve">  </w:t>
            </w:r>
          </w:p>
          <w:p w14:paraId="45521D3A">
            <w:pPr>
              <w:spacing w:line="440" w:lineRule="exact"/>
              <w:jc w:val="center"/>
              <w:rPr>
                <w:rFonts w:hint="eastAsia"/>
                <w:szCs w:val="21"/>
              </w:rPr>
            </w:pPr>
            <w:r>
              <w:rPr>
                <w:rFonts w:hint="eastAsia"/>
                <w:szCs w:val="21"/>
              </w:rPr>
              <w:t>其他</w:t>
            </w:r>
          </w:p>
          <w:p w14:paraId="161358DA">
            <w:pPr>
              <w:spacing w:line="440" w:lineRule="exact"/>
              <w:jc w:val="center"/>
              <w:rPr>
                <w:szCs w:val="21"/>
              </w:rPr>
            </w:pPr>
            <w:r>
              <w:rPr>
                <w:rFonts w:hint="eastAsia"/>
                <w:szCs w:val="21"/>
              </w:rPr>
              <w:t>要求</w:t>
            </w:r>
          </w:p>
          <w:p w14:paraId="5F5E7B71">
            <w:pPr>
              <w:spacing w:line="440" w:lineRule="exact"/>
              <w:rPr>
                <w:rFonts w:hint="eastAsia"/>
                <w:szCs w:val="21"/>
              </w:rPr>
            </w:pPr>
          </w:p>
        </w:tc>
        <w:tc>
          <w:tcPr>
            <w:tcW w:w="720" w:type="dxa"/>
            <w:vMerge w:val="restart"/>
            <w:noWrap w:val="0"/>
            <w:vAlign w:val="center"/>
          </w:tcPr>
          <w:p w14:paraId="2906A9D3">
            <w:pPr>
              <w:spacing w:line="440" w:lineRule="exact"/>
              <w:jc w:val="center"/>
              <w:rPr>
                <w:rFonts w:hint="eastAsia"/>
                <w:szCs w:val="21"/>
              </w:rPr>
            </w:pPr>
            <w:r>
              <w:rPr>
                <w:rFonts w:hint="eastAsia"/>
                <w:szCs w:val="21"/>
              </w:rPr>
              <w:t>项目</w:t>
            </w:r>
          </w:p>
          <w:p w14:paraId="757DA7E6">
            <w:pPr>
              <w:spacing w:line="440" w:lineRule="exact"/>
              <w:jc w:val="center"/>
              <w:rPr>
                <w:rFonts w:hint="eastAsia"/>
                <w:szCs w:val="21"/>
              </w:rPr>
            </w:pPr>
            <w:r>
              <w:rPr>
                <w:rFonts w:hint="eastAsia"/>
                <w:szCs w:val="21"/>
              </w:rPr>
              <w:t>管理</w:t>
            </w:r>
          </w:p>
          <w:p w14:paraId="36B1E657">
            <w:pPr>
              <w:spacing w:line="440" w:lineRule="exact"/>
              <w:jc w:val="center"/>
              <w:rPr>
                <w:rFonts w:hint="eastAsia"/>
                <w:szCs w:val="21"/>
              </w:rPr>
            </w:pPr>
            <w:r>
              <w:rPr>
                <w:rFonts w:hint="eastAsia"/>
                <w:szCs w:val="21"/>
              </w:rPr>
              <w:t>机构</w:t>
            </w:r>
          </w:p>
          <w:p w14:paraId="0C6B0105">
            <w:pPr>
              <w:spacing w:line="440" w:lineRule="exact"/>
              <w:jc w:val="center"/>
              <w:rPr>
                <w:rFonts w:hint="eastAsia"/>
                <w:szCs w:val="21"/>
              </w:rPr>
            </w:pPr>
            <w:r>
              <w:rPr>
                <w:rFonts w:hint="eastAsia"/>
                <w:szCs w:val="21"/>
              </w:rPr>
              <w:t>其他</w:t>
            </w:r>
          </w:p>
          <w:p w14:paraId="48DC2DD5">
            <w:pPr>
              <w:spacing w:line="440" w:lineRule="exact"/>
              <w:jc w:val="center"/>
              <w:rPr>
                <w:rFonts w:hint="eastAsia"/>
                <w:szCs w:val="21"/>
              </w:rPr>
            </w:pPr>
            <w:r>
              <w:rPr>
                <w:rFonts w:hint="eastAsia"/>
                <w:szCs w:val="21"/>
              </w:rPr>
              <w:t>主要</w:t>
            </w:r>
          </w:p>
          <w:p w14:paraId="46E403C4">
            <w:pPr>
              <w:spacing w:line="440" w:lineRule="exact"/>
              <w:jc w:val="center"/>
              <w:rPr>
                <w:rFonts w:hint="eastAsia"/>
                <w:szCs w:val="21"/>
              </w:rPr>
            </w:pPr>
            <w:r>
              <w:rPr>
                <w:rFonts w:hint="eastAsia"/>
                <w:szCs w:val="21"/>
              </w:rPr>
              <w:t>人员</w:t>
            </w:r>
          </w:p>
        </w:tc>
        <w:tc>
          <w:tcPr>
            <w:tcW w:w="1080" w:type="dxa"/>
            <w:noWrap w:val="0"/>
            <w:vAlign w:val="center"/>
          </w:tcPr>
          <w:p w14:paraId="23CE2156">
            <w:pPr>
              <w:autoSpaceDE w:val="0"/>
              <w:autoSpaceDN w:val="0"/>
              <w:spacing w:line="319" w:lineRule="exact"/>
              <w:jc w:val="center"/>
              <w:rPr>
                <w:rFonts w:hint="eastAsia"/>
              </w:rPr>
            </w:pPr>
            <w:r>
              <w:rPr>
                <w:rFonts w:hint="eastAsia"/>
              </w:rPr>
              <w:t>项目技术</w:t>
            </w:r>
          </w:p>
          <w:p w14:paraId="0371A1B2">
            <w:pPr>
              <w:autoSpaceDE w:val="0"/>
              <w:autoSpaceDN w:val="0"/>
              <w:spacing w:line="319" w:lineRule="exact"/>
              <w:jc w:val="center"/>
              <w:rPr>
                <w:rFonts w:hint="eastAsia"/>
              </w:rPr>
            </w:pPr>
            <w:r>
              <w:rPr>
                <w:rFonts w:hint="eastAsia"/>
              </w:rPr>
              <w:t>负责人</w:t>
            </w:r>
          </w:p>
        </w:tc>
        <w:tc>
          <w:tcPr>
            <w:tcW w:w="4680" w:type="dxa"/>
            <w:noWrap w:val="0"/>
            <w:vAlign w:val="center"/>
          </w:tcPr>
          <w:p w14:paraId="26E9822D">
            <w:pPr>
              <w:autoSpaceDE w:val="0"/>
              <w:autoSpaceDN w:val="0"/>
              <w:spacing w:line="319" w:lineRule="exact"/>
              <w:jc w:val="left"/>
              <w:rPr>
                <w:rFonts w:hint="eastAsia" w:eastAsia="宋体"/>
                <w:szCs w:val="21"/>
                <w:u w:val="single"/>
                <w:lang w:eastAsia="zh-CN"/>
              </w:rPr>
            </w:pPr>
            <w:r>
              <w:rPr>
                <w:rFonts w:hint="eastAsia"/>
                <w:u w:val="single"/>
              </w:rPr>
              <w:t>具备市政工程</w:t>
            </w:r>
            <w:r>
              <w:rPr>
                <w:rFonts w:hint="eastAsia"/>
                <w:u w:val="single"/>
                <w:lang w:val="en-US" w:eastAsia="zh-CN"/>
              </w:rPr>
              <w:t>或房屋建筑工程</w:t>
            </w:r>
            <w:r>
              <w:rPr>
                <w:rFonts w:hint="eastAsia"/>
                <w:u w:val="single"/>
              </w:rPr>
              <w:t>相关专业中级及以上职称证书，10 年以上主管施工技术经验</w:t>
            </w:r>
            <w:r>
              <w:rPr>
                <w:rFonts w:hint="eastAsia"/>
                <w:u w:val="single"/>
                <w:lang w:eastAsia="zh-CN"/>
              </w:rPr>
              <w:t>。</w:t>
            </w:r>
          </w:p>
        </w:tc>
        <w:tc>
          <w:tcPr>
            <w:tcW w:w="720" w:type="dxa"/>
            <w:noWrap w:val="0"/>
            <w:vAlign w:val="center"/>
          </w:tcPr>
          <w:p w14:paraId="423FE16F">
            <w:pPr>
              <w:autoSpaceDE w:val="0"/>
              <w:autoSpaceDN w:val="0"/>
              <w:adjustRightInd w:val="0"/>
              <w:jc w:val="center"/>
              <w:rPr>
                <w:rFonts w:hint="eastAsia"/>
              </w:rPr>
            </w:pPr>
            <w:r>
              <w:rPr>
                <w:rFonts w:hint="eastAsia"/>
                <w:szCs w:val="21"/>
              </w:rPr>
              <w:t>1人</w:t>
            </w:r>
          </w:p>
        </w:tc>
        <w:tc>
          <w:tcPr>
            <w:tcW w:w="900" w:type="dxa"/>
            <w:noWrap w:val="0"/>
            <w:vAlign w:val="top"/>
          </w:tcPr>
          <w:p w14:paraId="1DB4D057">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731BFBBC">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6F00738D">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372F6D88">
            <w:pPr>
              <w:keepNext w:val="0"/>
              <w:keepLines w:val="0"/>
              <w:widowControl/>
              <w:suppressLineNumbers w:val="0"/>
              <w:jc w:val="left"/>
              <w:rPr>
                <w:rFonts w:hint="eastAsia"/>
                <w:color w:val="auto"/>
                <w:szCs w:val="21"/>
              </w:rPr>
            </w:pPr>
            <w:r>
              <w:rPr>
                <w:rFonts w:hint="default" w:ascii="瀹嬩綋" w:hAnsi="瀹嬩綋" w:eastAsia="瀹嬩綋" w:cs="瀹嬩綋"/>
                <w:color w:val="auto"/>
                <w:kern w:val="0"/>
                <w:sz w:val="21"/>
                <w:szCs w:val="21"/>
                <w:lang w:val="en-US" w:eastAsia="zh-CN" w:bidi="ar"/>
              </w:rPr>
              <w:t>描件</w:t>
            </w:r>
          </w:p>
        </w:tc>
      </w:tr>
      <w:tr w14:paraId="1442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442167C5">
            <w:pPr>
              <w:spacing w:line="440" w:lineRule="exact"/>
              <w:rPr>
                <w:rFonts w:hint="eastAsia"/>
                <w:szCs w:val="21"/>
              </w:rPr>
            </w:pPr>
          </w:p>
        </w:tc>
        <w:tc>
          <w:tcPr>
            <w:tcW w:w="720" w:type="dxa"/>
            <w:vMerge w:val="continue"/>
            <w:noWrap w:val="0"/>
            <w:vAlign w:val="top"/>
          </w:tcPr>
          <w:p w14:paraId="1B5092A6">
            <w:pPr>
              <w:spacing w:line="440" w:lineRule="exact"/>
              <w:jc w:val="center"/>
              <w:rPr>
                <w:rFonts w:hint="eastAsia"/>
                <w:szCs w:val="21"/>
              </w:rPr>
            </w:pPr>
          </w:p>
        </w:tc>
        <w:tc>
          <w:tcPr>
            <w:tcW w:w="1080" w:type="dxa"/>
            <w:noWrap w:val="0"/>
            <w:vAlign w:val="center"/>
          </w:tcPr>
          <w:p w14:paraId="36719FA8">
            <w:pPr>
              <w:autoSpaceDE w:val="0"/>
              <w:autoSpaceDN w:val="0"/>
              <w:spacing w:line="319" w:lineRule="exact"/>
              <w:jc w:val="left"/>
              <w:rPr>
                <w:rFonts w:hint="eastAsia"/>
              </w:rPr>
            </w:pPr>
            <w:r>
              <w:rPr>
                <w:rFonts w:hint="eastAsia"/>
              </w:rPr>
              <w:t>施工</w:t>
            </w:r>
            <w:r>
              <w:t>管理</w:t>
            </w:r>
          </w:p>
        </w:tc>
        <w:tc>
          <w:tcPr>
            <w:tcW w:w="4680" w:type="dxa"/>
            <w:noWrap w:val="0"/>
            <w:vAlign w:val="center"/>
          </w:tcPr>
          <w:p w14:paraId="15B714CC">
            <w:pPr>
              <w:autoSpaceDE w:val="0"/>
              <w:autoSpaceDN w:val="0"/>
              <w:spacing w:line="319" w:lineRule="exact"/>
              <w:jc w:val="left"/>
              <w:rPr>
                <w:rFonts w:hint="eastAsia"/>
                <w:u w:val="single"/>
              </w:rPr>
            </w:pPr>
            <w:r>
              <w:rPr>
                <w:rFonts w:hint="eastAsia"/>
                <w:u w:val="single"/>
              </w:rPr>
              <w:t>持有市政工程施工员</w:t>
            </w:r>
            <w:r>
              <w:rPr>
                <w:rFonts w:hint="eastAsia"/>
                <w:u w:val="single"/>
                <w:lang w:val="en-US" w:eastAsia="zh-CN"/>
              </w:rPr>
              <w:t>或房屋建筑工程</w:t>
            </w:r>
            <w:r>
              <w:rPr>
                <w:rFonts w:hint="eastAsia"/>
                <w:u w:val="single"/>
              </w:rPr>
              <w:t>施工员岗位培训考核合格证书。</w:t>
            </w:r>
          </w:p>
        </w:tc>
        <w:tc>
          <w:tcPr>
            <w:tcW w:w="720" w:type="dxa"/>
            <w:noWrap w:val="0"/>
            <w:vAlign w:val="center"/>
          </w:tcPr>
          <w:p w14:paraId="410125CF">
            <w:pPr>
              <w:spacing w:line="440" w:lineRule="exact"/>
              <w:jc w:val="center"/>
              <w:rPr>
                <w:rFonts w:hint="default" w:eastAsia="宋体"/>
                <w:szCs w:val="21"/>
                <w:lang w:val="en-US" w:eastAsia="zh-CN"/>
              </w:rPr>
            </w:pPr>
            <w:r>
              <w:rPr>
                <w:rFonts w:hint="eastAsia"/>
                <w:szCs w:val="21"/>
                <w:lang w:val="en-US" w:eastAsia="zh-CN"/>
              </w:rPr>
              <w:t>1人</w:t>
            </w:r>
          </w:p>
        </w:tc>
        <w:tc>
          <w:tcPr>
            <w:tcW w:w="900" w:type="dxa"/>
            <w:noWrap w:val="0"/>
            <w:vAlign w:val="top"/>
          </w:tcPr>
          <w:p w14:paraId="24BDA8F9">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2C4D10CB">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564A1D48">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371FEBF1">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描件</w:t>
            </w:r>
          </w:p>
        </w:tc>
      </w:tr>
      <w:tr w14:paraId="0E4D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6DA84329">
            <w:pPr>
              <w:spacing w:line="440" w:lineRule="exact"/>
              <w:rPr>
                <w:rFonts w:hint="eastAsia"/>
                <w:szCs w:val="21"/>
              </w:rPr>
            </w:pPr>
          </w:p>
        </w:tc>
        <w:tc>
          <w:tcPr>
            <w:tcW w:w="720" w:type="dxa"/>
            <w:vMerge w:val="continue"/>
            <w:noWrap w:val="0"/>
            <w:vAlign w:val="top"/>
          </w:tcPr>
          <w:p w14:paraId="3948DFAD">
            <w:pPr>
              <w:spacing w:line="440" w:lineRule="exact"/>
              <w:jc w:val="center"/>
              <w:rPr>
                <w:rFonts w:hint="eastAsia"/>
                <w:szCs w:val="21"/>
              </w:rPr>
            </w:pPr>
          </w:p>
        </w:tc>
        <w:tc>
          <w:tcPr>
            <w:tcW w:w="1080" w:type="dxa"/>
            <w:noWrap w:val="0"/>
            <w:vAlign w:val="center"/>
          </w:tcPr>
          <w:p w14:paraId="3A0E5260">
            <w:pPr>
              <w:spacing w:line="440" w:lineRule="exact"/>
              <w:jc w:val="center"/>
              <w:rPr>
                <w:rFonts w:hint="eastAsia" w:ascii="宋体" w:hAnsi="宋体" w:cs="宋体"/>
                <w:kern w:val="0"/>
                <w:szCs w:val="21"/>
              </w:rPr>
            </w:pPr>
            <w:r>
              <w:rPr>
                <w:rFonts w:ascii="宋体" w:hAnsi="宋体" w:cs="宋体"/>
                <w:kern w:val="0"/>
                <w:szCs w:val="21"/>
              </w:rPr>
              <w:t>质量管理</w:t>
            </w:r>
          </w:p>
        </w:tc>
        <w:tc>
          <w:tcPr>
            <w:tcW w:w="4680" w:type="dxa"/>
            <w:noWrap w:val="0"/>
            <w:vAlign w:val="center"/>
          </w:tcPr>
          <w:p w14:paraId="5374A51F">
            <w:pPr>
              <w:autoSpaceDE w:val="0"/>
              <w:autoSpaceDN w:val="0"/>
              <w:spacing w:line="319" w:lineRule="exact"/>
              <w:jc w:val="left"/>
              <w:rPr>
                <w:rFonts w:hint="eastAsia"/>
                <w:u w:val="single"/>
              </w:rPr>
            </w:pPr>
            <w:r>
              <w:rPr>
                <w:rFonts w:hint="eastAsia"/>
                <w:u w:val="single"/>
              </w:rPr>
              <w:t>持有市政工程质量员</w:t>
            </w:r>
            <w:r>
              <w:rPr>
                <w:rFonts w:hint="eastAsia"/>
                <w:u w:val="single"/>
                <w:lang w:val="en-US" w:eastAsia="zh-CN"/>
              </w:rPr>
              <w:t>或房屋建筑工程</w:t>
            </w:r>
            <w:r>
              <w:rPr>
                <w:rFonts w:hint="eastAsia"/>
                <w:u w:val="single"/>
              </w:rPr>
              <w:t>质量员岗位培训考核合格证书。</w:t>
            </w:r>
          </w:p>
        </w:tc>
        <w:tc>
          <w:tcPr>
            <w:tcW w:w="720" w:type="dxa"/>
            <w:noWrap w:val="0"/>
            <w:vAlign w:val="center"/>
          </w:tcPr>
          <w:p w14:paraId="5DB54FD6">
            <w:pPr>
              <w:spacing w:line="440" w:lineRule="exact"/>
              <w:jc w:val="center"/>
              <w:rPr>
                <w:rFonts w:hint="default" w:eastAsia="宋体"/>
                <w:szCs w:val="21"/>
                <w:lang w:val="en-US" w:eastAsia="zh-CN"/>
              </w:rPr>
            </w:pPr>
            <w:r>
              <w:rPr>
                <w:rFonts w:hint="eastAsia"/>
                <w:szCs w:val="21"/>
                <w:lang w:val="en-US" w:eastAsia="zh-CN"/>
              </w:rPr>
              <w:t>1人</w:t>
            </w:r>
          </w:p>
        </w:tc>
        <w:tc>
          <w:tcPr>
            <w:tcW w:w="900" w:type="dxa"/>
            <w:noWrap w:val="0"/>
            <w:vAlign w:val="top"/>
          </w:tcPr>
          <w:p w14:paraId="3909DC0B">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557FC261">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77788DF0">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4379A7F4">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描件</w:t>
            </w:r>
          </w:p>
        </w:tc>
      </w:tr>
      <w:tr w14:paraId="2E37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0FF1537A">
            <w:pPr>
              <w:spacing w:line="440" w:lineRule="exact"/>
              <w:rPr>
                <w:rFonts w:hint="eastAsia"/>
                <w:szCs w:val="21"/>
              </w:rPr>
            </w:pPr>
          </w:p>
        </w:tc>
        <w:tc>
          <w:tcPr>
            <w:tcW w:w="720" w:type="dxa"/>
            <w:vMerge w:val="continue"/>
            <w:noWrap w:val="0"/>
            <w:vAlign w:val="top"/>
          </w:tcPr>
          <w:p w14:paraId="0395FFE9">
            <w:pPr>
              <w:spacing w:line="440" w:lineRule="exact"/>
              <w:jc w:val="center"/>
              <w:rPr>
                <w:rFonts w:hint="eastAsia"/>
                <w:szCs w:val="21"/>
              </w:rPr>
            </w:pPr>
          </w:p>
        </w:tc>
        <w:tc>
          <w:tcPr>
            <w:tcW w:w="1080" w:type="dxa"/>
            <w:noWrap w:val="0"/>
            <w:vAlign w:val="center"/>
          </w:tcPr>
          <w:p w14:paraId="161F3EA7">
            <w:pPr>
              <w:spacing w:line="440" w:lineRule="exact"/>
              <w:rPr>
                <w:rFonts w:hint="eastAsia" w:ascii="宋体" w:hAnsi="宋体" w:cs="宋体"/>
                <w:kern w:val="0"/>
                <w:szCs w:val="21"/>
              </w:rPr>
            </w:pPr>
            <w:r>
              <w:rPr>
                <w:rFonts w:ascii="宋体" w:hAnsi="宋体" w:cs="宋体"/>
                <w:kern w:val="0"/>
                <w:szCs w:val="21"/>
              </w:rPr>
              <w:t>安全管理</w:t>
            </w:r>
          </w:p>
        </w:tc>
        <w:tc>
          <w:tcPr>
            <w:tcW w:w="4680" w:type="dxa"/>
            <w:noWrap w:val="0"/>
            <w:vAlign w:val="center"/>
          </w:tcPr>
          <w:p w14:paraId="2887DDA9">
            <w:pPr>
              <w:autoSpaceDE w:val="0"/>
              <w:autoSpaceDN w:val="0"/>
              <w:spacing w:line="319" w:lineRule="exact"/>
              <w:rPr>
                <w:rFonts w:hint="eastAsia"/>
                <w:u w:val="single"/>
              </w:rPr>
            </w:pPr>
            <w:r>
              <w:rPr>
                <w:rFonts w:hint="eastAsia"/>
                <w:u w:val="single"/>
              </w:rPr>
              <w:t>持有</w:t>
            </w:r>
            <w:r>
              <w:rPr>
                <w:u w:val="single"/>
              </w:rPr>
              <w:t>有效</w:t>
            </w:r>
            <w:r>
              <w:rPr>
                <w:rFonts w:hint="eastAsia"/>
                <w:u w:val="single"/>
              </w:rPr>
              <w:t>的</w:t>
            </w:r>
            <w:r>
              <w:rPr>
                <w:u w:val="single"/>
              </w:rPr>
              <w:t>安全生产考核合格证书（C证）</w:t>
            </w:r>
            <w:r>
              <w:rPr>
                <w:rFonts w:hint="eastAsia"/>
                <w:u w:val="single"/>
              </w:rPr>
              <w:t>。</w:t>
            </w:r>
          </w:p>
        </w:tc>
        <w:tc>
          <w:tcPr>
            <w:tcW w:w="720" w:type="dxa"/>
            <w:noWrap w:val="0"/>
            <w:vAlign w:val="center"/>
          </w:tcPr>
          <w:p w14:paraId="42533DE9">
            <w:pPr>
              <w:spacing w:line="440" w:lineRule="exact"/>
              <w:jc w:val="center"/>
              <w:rPr>
                <w:rFonts w:hint="default" w:eastAsia="宋体"/>
                <w:szCs w:val="21"/>
                <w:lang w:val="en-US" w:eastAsia="zh-CN"/>
              </w:rPr>
            </w:pPr>
            <w:r>
              <w:rPr>
                <w:rFonts w:hint="eastAsia"/>
                <w:szCs w:val="21"/>
                <w:lang w:val="en-US" w:eastAsia="zh-CN"/>
              </w:rPr>
              <w:t>1人</w:t>
            </w:r>
          </w:p>
        </w:tc>
        <w:tc>
          <w:tcPr>
            <w:tcW w:w="900" w:type="dxa"/>
            <w:noWrap w:val="0"/>
            <w:vAlign w:val="top"/>
          </w:tcPr>
          <w:p w14:paraId="3693AF68">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296C6A17">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020A64AE">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05AC1ADF">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描件</w:t>
            </w:r>
          </w:p>
        </w:tc>
      </w:tr>
      <w:tr w14:paraId="1EFE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211F892A">
            <w:pPr>
              <w:spacing w:line="440" w:lineRule="exact"/>
              <w:rPr>
                <w:rFonts w:hint="eastAsia"/>
                <w:szCs w:val="21"/>
              </w:rPr>
            </w:pPr>
          </w:p>
        </w:tc>
        <w:tc>
          <w:tcPr>
            <w:tcW w:w="720" w:type="dxa"/>
            <w:vMerge w:val="continue"/>
            <w:noWrap w:val="0"/>
            <w:vAlign w:val="top"/>
          </w:tcPr>
          <w:p w14:paraId="2B746527">
            <w:pPr>
              <w:spacing w:line="440" w:lineRule="exact"/>
              <w:jc w:val="center"/>
              <w:rPr>
                <w:rFonts w:hint="eastAsia"/>
                <w:szCs w:val="21"/>
              </w:rPr>
            </w:pPr>
          </w:p>
        </w:tc>
        <w:tc>
          <w:tcPr>
            <w:tcW w:w="1080" w:type="dxa"/>
            <w:noWrap w:val="0"/>
            <w:vAlign w:val="center"/>
          </w:tcPr>
          <w:p w14:paraId="026E686D">
            <w:pPr>
              <w:keepNext w:val="0"/>
              <w:keepLines w:val="0"/>
              <w:widowControl/>
              <w:suppressLineNumbers w:val="0"/>
              <w:jc w:val="left"/>
              <w:rPr>
                <w:rFonts w:hint="eastAsia" w:ascii="宋体" w:hAnsi="宋体" w:cs="宋体"/>
                <w:color w:val="auto"/>
                <w:kern w:val="0"/>
                <w:szCs w:val="21"/>
              </w:rPr>
            </w:pPr>
            <w:r>
              <w:rPr>
                <w:rFonts w:ascii="瀹嬩綋" w:hAnsi="瀹嬩綋" w:eastAsia="瀹嬩綋" w:cs="瀹嬩綋"/>
                <w:color w:val="auto"/>
                <w:kern w:val="0"/>
                <w:sz w:val="21"/>
                <w:szCs w:val="21"/>
                <w:lang w:val="en-US" w:eastAsia="zh-CN" w:bidi="ar"/>
              </w:rPr>
              <w:t>资料员</w:t>
            </w:r>
          </w:p>
        </w:tc>
        <w:tc>
          <w:tcPr>
            <w:tcW w:w="4680" w:type="dxa"/>
            <w:noWrap w:val="0"/>
            <w:vAlign w:val="center"/>
          </w:tcPr>
          <w:p w14:paraId="1EB0C2E6">
            <w:pPr>
              <w:spacing w:line="440" w:lineRule="exact"/>
              <w:rPr>
                <w:rFonts w:hint="eastAsia"/>
              </w:rPr>
            </w:pPr>
            <w:r>
              <w:rPr>
                <w:rFonts w:hint="eastAsia"/>
                <w:u w:val="single"/>
              </w:rPr>
              <w:t>持有</w:t>
            </w:r>
            <w:r>
              <w:rPr>
                <w:u w:val="single"/>
              </w:rPr>
              <w:t>有效</w:t>
            </w:r>
            <w:r>
              <w:rPr>
                <w:rFonts w:hint="eastAsia"/>
                <w:u w:val="single"/>
              </w:rPr>
              <w:t>的岗位培训考核合格证书。</w:t>
            </w:r>
          </w:p>
        </w:tc>
        <w:tc>
          <w:tcPr>
            <w:tcW w:w="720" w:type="dxa"/>
            <w:noWrap w:val="0"/>
            <w:vAlign w:val="center"/>
          </w:tcPr>
          <w:p w14:paraId="21F6802E">
            <w:pPr>
              <w:spacing w:line="440" w:lineRule="exact"/>
              <w:jc w:val="center"/>
              <w:rPr>
                <w:rFonts w:hint="default" w:eastAsia="宋体"/>
                <w:szCs w:val="21"/>
                <w:lang w:val="en-US" w:eastAsia="zh-CN"/>
              </w:rPr>
            </w:pPr>
            <w:r>
              <w:rPr>
                <w:rFonts w:hint="eastAsia"/>
                <w:szCs w:val="21"/>
                <w:lang w:val="en-US" w:eastAsia="zh-CN"/>
              </w:rPr>
              <w:t>1人</w:t>
            </w:r>
          </w:p>
        </w:tc>
        <w:tc>
          <w:tcPr>
            <w:tcW w:w="900" w:type="dxa"/>
            <w:noWrap w:val="0"/>
            <w:vAlign w:val="top"/>
          </w:tcPr>
          <w:p w14:paraId="69411F89">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17DDC2F7">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5A0E1336">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4CA482C2">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描件</w:t>
            </w:r>
          </w:p>
        </w:tc>
      </w:tr>
      <w:tr w14:paraId="6C41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63567E0A">
            <w:pPr>
              <w:spacing w:line="440" w:lineRule="exact"/>
              <w:rPr>
                <w:rFonts w:hint="eastAsia"/>
                <w:szCs w:val="21"/>
              </w:rPr>
            </w:pPr>
          </w:p>
        </w:tc>
        <w:tc>
          <w:tcPr>
            <w:tcW w:w="720" w:type="dxa"/>
            <w:vMerge w:val="continue"/>
            <w:noWrap w:val="0"/>
            <w:vAlign w:val="top"/>
          </w:tcPr>
          <w:p w14:paraId="793A89C8">
            <w:pPr>
              <w:spacing w:line="440" w:lineRule="exact"/>
              <w:jc w:val="center"/>
              <w:rPr>
                <w:rFonts w:hint="eastAsia"/>
                <w:szCs w:val="21"/>
              </w:rPr>
            </w:pPr>
          </w:p>
        </w:tc>
        <w:tc>
          <w:tcPr>
            <w:tcW w:w="1080" w:type="dxa"/>
            <w:noWrap w:val="0"/>
            <w:vAlign w:val="center"/>
          </w:tcPr>
          <w:p w14:paraId="31890217">
            <w:pPr>
              <w:keepNext w:val="0"/>
              <w:keepLines w:val="0"/>
              <w:widowControl/>
              <w:suppressLineNumbers w:val="0"/>
              <w:jc w:val="left"/>
              <w:rPr>
                <w:rFonts w:hint="eastAsia" w:ascii="宋体" w:hAnsi="宋体" w:cs="宋体"/>
                <w:color w:val="auto"/>
                <w:kern w:val="0"/>
                <w:szCs w:val="21"/>
              </w:rPr>
            </w:pPr>
            <w:r>
              <w:rPr>
                <w:rFonts w:hint="eastAsia" w:ascii="瀹嬩綋" w:hAnsi="瀹嬩綋" w:eastAsia="瀹嬩綋" w:cs="瀹嬩綋"/>
                <w:color w:val="auto"/>
                <w:kern w:val="0"/>
                <w:sz w:val="21"/>
                <w:szCs w:val="21"/>
                <w:lang w:val="en-US" w:eastAsia="zh-CN" w:bidi="ar"/>
              </w:rPr>
              <w:t>材</w:t>
            </w:r>
            <w:r>
              <w:rPr>
                <w:rFonts w:ascii="瀹嬩綋" w:hAnsi="瀹嬩綋" w:eastAsia="瀹嬩綋" w:cs="瀹嬩綋"/>
                <w:color w:val="auto"/>
                <w:kern w:val="0"/>
                <w:sz w:val="21"/>
                <w:szCs w:val="21"/>
                <w:lang w:val="en-US" w:eastAsia="zh-CN" w:bidi="ar"/>
              </w:rPr>
              <w:t>料员</w:t>
            </w:r>
          </w:p>
        </w:tc>
        <w:tc>
          <w:tcPr>
            <w:tcW w:w="4680" w:type="dxa"/>
            <w:noWrap w:val="0"/>
            <w:vAlign w:val="center"/>
          </w:tcPr>
          <w:p w14:paraId="628A710F">
            <w:pPr>
              <w:spacing w:line="440" w:lineRule="exact"/>
              <w:rPr>
                <w:rFonts w:hint="eastAsia" w:ascii="宋体" w:hAnsi="宋体"/>
                <w:spacing w:val="-4"/>
                <w:szCs w:val="21"/>
              </w:rPr>
            </w:pPr>
            <w:r>
              <w:rPr>
                <w:rFonts w:hint="eastAsia"/>
                <w:u w:val="single"/>
              </w:rPr>
              <w:t>持有</w:t>
            </w:r>
            <w:r>
              <w:rPr>
                <w:u w:val="single"/>
              </w:rPr>
              <w:t>有效</w:t>
            </w:r>
            <w:r>
              <w:rPr>
                <w:rFonts w:hint="eastAsia"/>
                <w:u w:val="single"/>
              </w:rPr>
              <w:t>的岗位培训考核合格证书。</w:t>
            </w:r>
          </w:p>
        </w:tc>
        <w:tc>
          <w:tcPr>
            <w:tcW w:w="720" w:type="dxa"/>
            <w:noWrap w:val="0"/>
            <w:vAlign w:val="center"/>
          </w:tcPr>
          <w:p w14:paraId="7E86591A">
            <w:pPr>
              <w:spacing w:line="440" w:lineRule="exact"/>
              <w:jc w:val="center"/>
              <w:rPr>
                <w:rFonts w:hint="default" w:eastAsia="宋体"/>
                <w:szCs w:val="21"/>
                <w:lang w:val="en-US" w:eastAsia="zh-CN"/>
              </w:rPr>
            </w:pPr>
            <w:r>
              <w:rPr>
                <w:rFonts w:hint="eastAsia"/>
                <w:szCs w:val="21"/>
                <w:lang w:val="en-US" w:eastAsia="zh-CN"/>
              </w:rPr>
              <w:t>1人</w:t>
            </w:r>
          </w:p>
        </w:tc>
        <w:tc>
          <w:tcPr>
            <w:tcW w:w="900" w:type="dxa"/>
            <w:noWrap w:val="0"/>
            <w:vAlign w:val="top"/>
          </w:tcPr>
          <w:p w14:paraId="06A9DAF4">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提供相 </w:t>
            </w:r>
          </w:p>
          <w:p w14:paraId="08887416">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关证件 </w:t>
            </w:r>
          </w:p>
          <w:p w14:paraId="2EF5140A">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原件扫 </w:t>
            </w:r>
          </w:p>
          <w:p w14:paraId="1F03CCC9">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描件</w:t>
            </w:r>
          </w:p>
        </w:tc>
      </w:tr>
      <w:tr w14:paraId="54CE2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2A54BE4A">
            <w:pPr>
              <w:spacing w:line="440" w:lineRule="exact"/>
              <w:rPr>
                <w:rFonts w:hint="eastAsia"/>
                <w:szCs w:val="21"/>
              </w:rPr>
            </w:pPr>
          </w:p>
        </w:tc>
        <w:tc>
          <w:tcPr>
            <w:tcW w:w="720" w:type="dxa"/>
            <w:vMerge w:val="continue"/>
            <w:noWrap w:val="0"/>
            <w:vAlign w:val="top"/>
          </w:tcPr>
          <w:p w14:paraId="5F6CB4C1">
            <w:pPr>
              <w:spacing w:line="440" w:lineRule="exact"/>
              <w:jc w:val="center"/>
              <w:rPr>
                <w:rFonts w:hint="eastAsia"/>
                <w:szCs w:val="21"/>
              </w:rPr>
            </w:pPr>
          </w:p>
        </w:tc>
        <w:tc>
          <w:tcPr>
            <w:tcW w:w="1080" w:type="dxa"/>
            <w:noWrap w:val="0"/>
            <w:vAlign w:val="center"/>
          </w:tcPr>
          <w:p w14:paraId="06C89A24">
            <w:pPr>
              <w:spacing w:line="440" w:lineRule="exact"/>
              <w:jc w:val="center"/>
              <w:rPr>
                <w:rFonts w:hint="eastAsia" w:ascii="宋体" w:hAnsi="宋体" w:cs="宋体"/>
                <w:kern w:val="0"/>
                <w:szCs w:val="21"/>
              </w:rPr>
            </w:pPr>
          </w:p>
        </w:tc>
        <w:tc>
          <w:tcPr>
            <w:tcW w:w="4680" w:type="dxa"/>
            <w:noWrap w:val="0"/>
            <w:vAlign w:val="center"/>
          </w:tcPr>
          <w:p w14:paraId="729FE031">
            <w:pPr>
              <w:spacing w:line="440" w:lineRule="exact"/>
              <w:rPr>
                <w:rFonts w:hint="eastAsia" w:ascii="宋体" w:hAnsi="宋体"/>
                <w:spacing w:val="-4"/>
                <w:szCs w:val="21"/>
              </w:rPr>
            </w:pPr>
          </w:p>
        </w:tc>
        <w:tc>
          <w:tcPr>
            <w:tcW w:w="720" w:type="dxa"/>
            <w:noWrap w:val="0"/>
            <w:vAlign w:val="center"/>
          </w:tcPr>
          <w:p w14:paraId="31096886">
            <w:pPr>
              <w:spacing w:line="440" w:lineRule="exact"/>
              <w:jc w:val="center"/>
              <w:rPr>
                <w:rFonts w:hint="eastAsia"/>
                <w:szCs w:val="21"/>
              </w:rPr>
            </w:pPr>
          </w:p>
        </w:tc>
        <w:tc>
          <w:tcPr>
            <w:tcW w:w="900" w:type="dxa"/>
            <w:noWrap w:val="0"/>
            <w:vAlign w:val="top"/>
          </w:tcPr>
          <w:p w14:paraId="704CD5FD">
            <w:pPr>
              <w:spacing w:line="440" w:lineRule="exact"/>
              <w:rPr>
                <w:rFonts w:hint="eastAsia"/>
                <w:szCs w:val="21"/>
              </w:rPr>
            </w:pPr>
          </w:p>
        </w:tc>
      </w:tr>
      <w:tr w14:paraId="2BA7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648" w:type="dxa"/>
            <w:vMerge w:val="continue"/>
            <w:noWrap w:val="0"/>
            <w:vAlign w:val="top"/>
          </w:tcPr>
          <w:p w14:paraId="31594BC8">
            <w:pPr>
              <w:spacing w:line="440" w:lineRule="exact"/>
              <w:rPr>
                <w:rFonts w:hint="eastAsia"/>
                <w:szCs w:val="21"/>
              </w:rPr>
            </w:pPr>
          </w:p>
        </w:tc>
        <w:tc>
          <w:tcPr>
            <w:tcW w:w="1800" w:type="dxa"/>
            <w:gridSpan w:val="2"/>
            <w:noWrap w:val="0"/>
            <w:vAlign w:val="center"/>
          </w:tcPr>
          <w:p w14:paraId="0E9445E5">
            <w:pPr>
              <w:autoSpaceDE w:val="0"/>
              <w:autoSpaceDN w:val="0"/>
              <w:spacing w:line="319" w:lineRule="exact"/>
              <w:jc w:val="center"/>
              <w:rPr>
                <w:rFonts w:hint="eastAsia"/>
              </w:rPr>
            </w:pPr>
            <w:r>
              <w:rPr>
                <w:rFonts w:hint="eastAsia"/>
              </w:rPr>
              <w:t>项目管理机构</w:t>
            </w:r>
          </w:p>
          <w:p w14:paraId="259BCCEA">
            <w:pPr>
              <w:autoSpaceDE w:val="0"/>
              <w:autoSpaceDN w:val="0"/>
              <w:spacing w:line="319" w:lineRule="exact"/>
              <w:jc w:val="center"/>
              <w:rPr>
                <w:rFonts w:hint="eastAsia"/>
              </w:rPr>
            </w:pPr>
            <w:r>
              <w:rPr>
                <w:rFonts w:hint="eastAsia"/>
              </w:rPr>
              <w:t>主要人员</w:t>
            </w:r>
          </w:p>
        </w:tc>
        <w:tc>
          <w:tcPr>
            <w:tcW w:w="5400" w:type="dxa"/>
            <w:gridSpan w:val="2"/>
            <w:noWrap w:val="0"/>
            <w:vAlign w:val="top"/>
          </w:tcPr>
          <w:p w14:paraId="35E7E115">
            <w:pPr>
              <w:autoSpaceDE w:val="0"/>
              <w:autoSpaceDN w:val="0"/>
              <w:spacing w:line="319" w:lineRule="exact"/>
              <w:jc w:val="left"/>
              <w:rPr>
                <w:rFonts w:hint="eastAsia"/>
                <w:u w:val="single"/>
              </w:rPr>
            </w:pPr>
            <w:r>
              <w:rPr>
                <w:rFonts w:hint="eastAsia"/>
                <w:u w:val="single"/>
              </w:rPr>
              <w:t>1. 项目管理机构主要人员不得本项目中相互兼职。</w:t>
            </w:r>
          </w:p>
          <w:p w14:paraId="63AB52B8">
            <w:pPr>
              <w:autoSpaceDE w:val="0"/>
              <w:autoSpaceDN w:val="0"/>
              <w:spacing w:line="319" w:lineRule="exact"/>
              <w:ind w:left="315" w:hanging="315" w:hangingChars="150"/>
              <w:jc w:val="left"/>
              <w:rPr>
                <w:rFonts w:hint="eastAsia"/>
                <w:u w:val="single"/>
              </w:rPr>
            </w:pPr>
            <w:r>
              <w:rPr>
                <w:rFonts w:hint="eastAsia"/>
                <w:u w:val="single"/>
              </w:rPr>
              <w:t>2. 均应当在投标人处注册执业或岗位登记，且</w:t>
            </w:r>
            <w:r>
              <w:rPr>
                <w:u w:val="single"/>
              </w:rPr>
              <w:t>社会保险缴费单位应</w:t>
            </w:r>
            <w:r>
              <w:rPr>
                <w:rFonts w:hint="eastAsia"/>
                <w:u w:val="single"/>
              </w:rPr>
              <w:t>是投标人。</w:t>
            </w:r>
          </w:p>
          <w:p w14:paraId="5589D696">
            <w:pPr>
              <w:autoSpaceDE w:val="0"/>
              <w:autoSpaceDN w:val="0"/>
              <w:spacing w:line="319" w:lineRule="exact"/>
              <w:ind w:left="315" w:hanging="315" w:hangingChars="150"/>
              <w:jc w:val="left"/>
              <w:rPr>
                <w:rFonts w:hint="eastAsia"/>
                <w:u w:val="single"/>
              </w:rPr>
            </w:pPr>
            <w:r>
              <w:rPr>
                <w:rFonts w:hint="eastAsia"/>
                <w:u w:val="none"/>
              </w:rPr>
              <w:t>注：项目管理机构主要人员配备须按照《湖北省建设项目施工现场从业人员配备管理办法（试行）》的通知（鄂建文【2022】12 号）文件配置。</w:t>
            </w:r>
          </w:p>
        </w:tc>
        <w:tc>
          <w:tcPr>
            <w:tcW w:w="900" w:type="dxa"/>
            <w:noWrap w:val="0"/>
            <w:vAlign w:val="top"/>
          </w:tcPr>
          <w:p w14:paraId="47712BE8">
            <w:pPr>
              <w:spacing w:line="440" w:lineRule="exact"/>
              <w:rPr>
                <w:rFonts w:hint="eastAsia"/>
                <w:szCs w:val="21"/>
              </w:rPr>
            </w:pPr>
          </w:p>
        </w:tc>
      </w:tr>
      <w:tr w14:paraId="2B3EE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50EA7BDB">
            <w:pPr>
              <w:spacing w:line="440" w:lineRule="exact"/>
              <w:rPr>
                <w:rFonts w:hint="eastAsia"/>
                <w:szCs w:val="21"/>
              </w:rPr>
            </w:pPr>
          </w:p>
        </w:tc>
        <w:tc>
          <w:tcPr>
            <w:tcW w:w="1800" w:type="dxa"/>
            <w:gridSpan w:val="2"/>
            <w:noWrap w:val="0"/>
            <w:vAlign w:val="top"/>
          </w:tcPr>
          <w:p w14:paraId="0423E0A3">
            <w:pPr>
              <w:autoSpaceDE w:val="0"/>
              <w:autoSpaceDN w:val="0"/>
              <w:spacing w:line="319" w:lineRule="exact"/>
              <w:jc w:val="center"/>
              <w:rPr>
                <w:rFonts w:hint="eastAsia"/>
              </w:rPr>
            </w:pPr>
            <w:r>
              <w:rPr>
                <w:rFonts w:hint="eastAsia"/>
              </w:rPr>
              <w:t>主要施工机</w:t>
            </w:r>
          </w:p>
          <w:p w14:paraId="1AF8E46A">
            <w:pPr>
              <w:autoSpaceDE w:val="0"/>
              <w:autoSpaceDN w:val="0"/>
              <w:spacing w:line="319" w:lineRule="exact"/>
              <w:jc w:val="center"/>
              <w:rPr>
                <w:rFonts w:hint="eastAsia"/>
              </w:rPr>
            </w:pPr>
            <w:r>
              <w:rPr>
                <w:rFonts w:hint="eastAsia"/>
              </w:rPr>
              <w:t>械设备要求</w:t>
            </w:r>
          </w:p>
        </w:tc>
        <w:tc>
          <w:tcPr>
            <w:tcW w:w="5400" w:type="dxa"/>
            <w:gridSpan w:val="2"/>
            <w:noWrap w:val="0"/>
            <w:vAlign w:val="top"/>
          </w:tcPr>
          <w:p w14:paraId="1F7D23CD">
            <w:pPr>
              <w:spacing w:line="440" w:lineRule="exact"/>
              <w:rPr>
                <w:rFonts w:hint="eastAsia" w:eastAsia="宋体"/>
                <w:szCs w:val="21"/>
                <w:lang w:val="en-US" w:eastAsia="zh-CN"/>
              </w:rPr>
            </w:pPr>
            <w:r>
              <w:rPr>
                <w:rFonts w:hint="eastAsia"/>
                <w:szCs w:val="21"/>
                <w:lang w:val="en-US" w:eastAsia="zh-CN"/>
              </w:rPr>
              <w:t>/</w:t>
            </w:r>
          </w:p>
        </w:tc>
        <w:tc>
          <w:tcPr>
            <w:tcW w:w="900" w:type="dxa"/>
            <w:noWrap w:val="0"/>
            <w:vAlign w:val="top"/>
          </w:tcPr>
          <w:p w14:paraId="3E94C903">
            <w:pPr>
              <w:spacing w:line="440" w:lineRule="exact"/>
              <w:rPr>
                <w:rFonts w:hint="eastAsia"/>
                <w:szCs w:val="21"/>
              </w:rPr>
            </w:pPr>
          </w:p>
        </w:tc>
      </w:tr>
      <w:tr w14:paraId="542E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continue"/>
            <w:noWrap w:val="0"/>
            <w:vAlign w:val="top"/>
          </w:tcPr>
          <w:p w14:paraId="65EFFC77">
            <w:pPr>
              <w:spacing w:line="440" w:lineRule="exact"/>
              <w:rPr>
                <w:rFonts w:hint="eastAsia"/>
                <w:szCs w:val="21"/>
              </w:rPr>
            </w:pPr>
          </w:p>
        </w:tc>
        <w:tc>
          <w:tcPr>
            <w:tcW w:w="1800" w:type="dxa"/>
            <w:gridSpan w:val="2"/>
            <w:noWrap w:val="0"/>
            <w:vAlign w:val="top"/>
          </w:tcPr>
          <w:p w14:paraId="23B306D6">
            <w:pPr>
              <w:autoSpaceDE w:val="0"/>
              <w:autoSpaceDN w:val="0"/>
              <w:spacing w:line="319" w:lineRule="exact"/>
              <w:jc w:val="center"/>
              <w:rPr>
                <w:rFonts w:hint="eastAsia"/>
              </w:rPr>
            </w:pPr>
            <w:r>
              <w:rPr>
                <w:rFonts w:hint="eastAsia"/>
              </w:rPr>
              <w:t>建筑业企业</w:t>
            </w:r>
          </w:p>
          <w:p w14:paraId="61F69095">
            <w:pPr>
              <w:autoSpaceDE w:val="0"/>
              <w:autoSpaceDN w:val="0"/>
              <w:spacing w:line="319" w:lineRule="exact"/>
              <w:jc w:val="center"/>
              <w:rPr>
                <w:rFonts w:hint="eastAsia"/>
                <w:szCs w:val="21"/>
              </w:rPr>
            </w:pPr>
            <w:r>
              <w:rPr>
                <w:rFonts w:hint="eastAsia"/>
              </w:rPr>
              <w:t>信息登记</w:t>
            </w:r>
          </w:p>
        </w:tc>
        <w:tc>
          <w:tcPr>
            <w:tcW w:w="5400" w:type="dxa"/>
            <w:gridSpan w:val="2"/>
            <w:noWrap w:val="0"/>
            <w:vAlign w:val="top"/>
          </w:tcPr>
          <w:p w14:paraId="640BE9CA">
            <w:pPr>
              <w:autoSpaceDE w:val="0"/>
              <w:autoSpaceDN w:val="0"/>
              <w:spacing w:line="319" w:lineRule="exact"/>
              <w:rPr>
                <w:rFonts w:hint="eastAsia"/>
                <w:u w:val="single"/>
              </w:rPr>
            </w:pPr>
            <w:r>
              <w:rPr>
                <w:rFonts w:hint="eastAsia"/>
                <w:u w:val="single"/>
              </w:rPr>
              <w:t>投标人应当在《湖北省建筑市场监督与诚信一体化工作平台》进行企业基本信息和人员信息登记。</w:t>
            </w:r>
          </w:p>
        </w:tc>
        <w:tc>
          <w:tcPr>
            <w:tcW w:w="900" w:type="dxa"/>
            <w:noWrap w:val="0"/>
            <w:vAlign w:val="top"/>
          </w:tcPr>
          <w:p w14:paraId="59E28052">
            <w:pPr>
              <w:keepNext w:val="0"/>
              <w:keepLines w:val="0"/>
              <w:widowControl/>
              <w:suppressLineNumbers w:val="0"/>
              <w:jc w:val="left"/>
              <w:rPr>
                <w:color w:val="auto"/>
              </w:rPr>
            </w:pPr>
            <w:r>
              <w:rPr>
                <w:rFonts w:ascii="瀹嬩綋" w:hAnsi="瀹嬩綋" w:eastAsia="瀹嬩綋" w:cs="瀹嬩綋"/>
                <w:color w:val="auto"/>
                <w:kern w:val="0"/>
                <w:sz w:val="21"/>
                <w:szCs w:val="21"/>
                <w:lang w:val="en-US" w:eastAsia="zh-CN" w:bidi="ar"/>
              </w:rPr>
              <w:t xml:space="preserve">提供信 </w:t>
            </w:r>
          </w:p>
          <w:p w14:paraId="6A43F08B">
            <w:pPr>
              <w:keepNext w:val="0"/>
              <w:keepLines w:val="0"/>
              <w:widowControl/>
              <w:suppressLineNumbers w:val="0"/>
              <w:jc w:val="left"/>
              <w:rPr>
                <w:color w:val="auto"/>
              </w:rPr>
            </w:pPr>
            <w:r>
              <w:rPr>
                <w:rFonts w:hint="default" w:ascii="瀹嬩綋" w:hAnsi="瀹嬩綋" w:eastAsia="瀹嬩綋" w:cs="瀹嬩綋"/>
                <w:color w:val="auto"/>
                <w:kern w:val="0"/>
                <w:sz w:val="21"/>
                <w:szCs w:val="21"/>
                <w:lang w:val="en-US" w:eastAsia="zh-CN" w:bidi="ar"/>
              </w:rPr>
              <w:t xml:space="preserve">息登记 </w:t>
            </w:r>
          </w:p>
          <w:p w14:paraId="6DEC5B6D">
            <w:pPr>
              <w:keepNext w:val="0"/>
              <w:keepLines w:val="0"/>
              <w:widowControl/>
              <w:suppressLineNumbers w:val="0"/>
              <w:jc w:val="left"/>
              <w:rPr>
                <w:rFonts w:hint="eastAsia"/>
                <w:szCs w:val="21"/>
              </w:rPr>
            </w:pPr>
            <w:r>
              <w:rPr>
                <w:rFonts w:hint="default" w:ascii="瀹嬩綋" w:hAnsi="瀹嬩綋" w:eastAsia="瀹嬩綋" w:cs="瀹嬩綋"/>
                <w:color w:val="auto"/>
                <w:kern w:val="0"/>
                <w:sz w:val="21"/>
                <w:szCs w:val="21"/>
                <w:lang w:val="en-US" w:eastAsia="zh-CN" w:bidi="ar"/>
              </w:rPr>
              <w:t>截图</w:t>
            </w:r>
          </w:p>
        </w:tc>
      </w:tr>
      <w:tr w14:paraId="4736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2" w:hRule="atLeast"/>
        </w:trPr>
        <w:tc>
          <w:tcPr>
            <w:tcW w:w="648" w:type="dxa"/>
            <w:vMerge w:val="continue"/>
            <w:noWrap w:val="0"/>
            <w:vAlign w:val="top"/>
          </w:tcPr>
          <w:p w14:paraId="762B0A53">
            <w:pPr>
              <w:spacing w:line="440" w:lineRule="exact"/>
              <w:rPr>
                <w:rFonts w:hint="eastAsia"/>
                <w:szCs w:val="21"/>
              </w:rPr>
            </w:pPr>
          </w:p>
        </w:tc>
        <w:tc>
          <w:tcPr>
            <w:tcW w:w="1800" w:type="dxa"/>
            <w:gridSpan w:val="2"/>
            <w:noWrap w:val="0"/>
            <w:vAlign w:val="center"/>
          </w:tcPr>
          <w:p w14:paraId="47E1C30A">
            <w:pPr>
              <w:autoSpaceDE w:val="0"/>
              <w:autoSpaceDN w:val="0"/>
              <w:spacing w:line="319" w:lineRule="exact"/>
              <w:jc w:val="center"/>
              <w:rPr>
                <w:rFonts w:hint="eastAsia"/>
              </w:rPr>
            </w:pPr>
            <w:r>
              <w:rPr>
                <w:rFonts w:hint="eastAsia"/>
              </w:rPr>
              <w:t>政府采购</w:t>
            </w:r>
          </w:p>
          <w:p w14:paraId="78E532EB">
            <w:pPr>
              <w:autoSpaceDE w:val="0"/>
              <w:autoSpaceDN w:val="0"/>
              <w:spacing w:line="319" w:lineRule="exact"/>
              <w:jc w:val="center"/>
              <w:rPr>
                <w:rFonts w:hint="eastAsia"/>
              </w:rPr>
            </w:pPr>
            <w:r>
              <w:rPr>
                <w:rFonts w:hint="eastAsia"/>
              </w:rPr>
              <w:t>特别资格要求</w:t>
            </w:r>
          </w:p>
        </w:tc>
        <w:tc>
          <w:tcPr>
            <w:tcW w:w="5400" w:type="dxa"/>
            <w:gridSpan w:val="2"/>
            <w:noWrap w:val="0"/>
            <w:vAlign w:val="top"/>
          </w:tcPr>
          <w:p w14:paraId="534B15F6">
            <w:pPr>
              <w:autoSpaceDE w:val="0"/>
              <w:autoSpaceDN w:val="0"/>
              <w:spacing w:line="319" w:lineRule="exact"/>
              <w:jc w:val="left"/>
              <w:rPr>
                <w:rFonts w:hint="eastAsia"/>
                <w:u w:val="single"/>
              </w:rPr>
            </w:pPr>
            <w:r>
              <w:rPr>
                <w:rFonts w:hint="eastAsia"/>
                <w:u w:val="single"/>
                <w:lang w:eastAsia="zh-CN"/>
              </w:rPr>
              <w:t>☑</w:t>
            </w:r>
            <w:r>
              <w:rPr>
                <w:rFonts w:hint="eastAsia"/>
                <w:u w:val="single"/>
              </w:rPr>
              <w:t>采购项目整体预留专门面向中小企业采购。</w:t>
            </w:r>
          </w:p>
          <w:p w14:paraId="76AF2E81">
            <w:pPr>
              <w:autoSpaceDE w:val="0"/>
              <w:autoSpaceDN w:val="0"/>
              <w:spacing w:line="319" w:lineRule="exact"/>
              <w:jc w:val="left"/>
              <w:rPr>
                <w:rFonts w:hint="eastAsia"/>
                <w:u w:val="single"/>
              </w:rPr>
            </w:pPr>
            <w:r>
              <w:rPr>
                <w:rFonts w:hint="eastAsia"/>
                <w:u w:val="single"/>
              </w:rPr>
              <w:t>□采购项目整体预留专门面向小微企业采购。</w:t>
            </w:r>
          </w:p>
          <w:p w14:paraId="417D0CDC">
            <w:pPr>
              <w:autoSpaceDE w:val="0"/>
              <w:autoSpaceDN w:val="0"/>
              <w:spacing w:line="319" w:lineRule="exact"/>
              <w:jc w:val="left"/>
              <w:rPr>
                <w:u w:val="single"/>
              </w:rPr>
            </w:pPr>
            <w:r>
              <w:rPr>
                <w:rFonts w:hint="eastAsia"/>
                <w:u w:val="single"/>
              </w:rPr>
              <w:t>□采购项目部分预留专门面向中小企业采购。</w:t>
            </w:r>
          </w:p>
          <w:p w14:paraId="72810D5C">
            <w:pPr>
              <w:autoSpaceDE w:val="0"/>
              <w:autoSpaceDN w:val="0"/>
              <w:spacing w:line="319" w:lineRule="exact"/>
              <w:jc w:val="left"/>
              <w:rPr>
                <w:u w:val="single"/>
              </w:rPr>
            </w:pPr>
            <w:r>
              <w:rPr>
                <w:rFonts w:hint="eastAsia"/>
                <w:u w:val="single"/>
              </w:rPr>
              <w:t xml:space="preserve">要求大企业与中小企业组成联合体的形式参加投标，且联合体中中小企业承担的部分达到项目合同总金额的  </w:t>
            </w:r>
            <w:r>
              <w:rPr>
                <w:u w:val="single"/>
              </w:rPr>
              <w:t>%</w:t>
            </w:r>
            <w:r>
              <w:rPr>
                <w:rFonts w:hint="eastAsia"/>
                <w:u w:val="single"/>
              </w:rPr>
              <w:t xml:space="preserve">以上，其中小微企业承担的比例不低于  </w:t>
            </w:r>
            <w:r>
              <w:rPr>
                <w:u w:val="single"/>
              </w:rPr>
              <w:t>%</w:t>
            </w:r>
            <w:r>
              <w:rPr>
                <w:rFonts w:hint="eastAsia"/>
                <w:u w:val="single"/>
              </w:rPr>
              <w:t>。组成联合体的中小企业与联合体内其他企业之间不得存在直接控股、管理关系。（前述比例由招标人根据项目的具体情况约定）</w:t>
            </w:r>
          </w:p>
          <w:p w14:paraId="6187CE69">
            <w:pPr>
              <w:autoSpaceDE w:val="0"/>
              <w:autoSpaceDN w:val="0"/>
              <w:spacing w:line="319" w:lineRule="exact"/>
              <w:jc w:val="left"/>
              <w:rPr>
                <w:u w:val="single"/>
              </w:rPr>
            </w:pPr>
            <w:r>
              <w:rPr>
                <w:rFonts w:hint="eastAsia"/>
                <w:u w:val="single"/>
              </w:rPr>
              <w:t>□采购项目部分预留专门面向中小企业采购。</w:t>
            </w:r>
          </w:p>
          <w:p w14:paraId="15A9A3FC">
            <w:pPr>
              <w:autoSpaceDE w:val="0"/>
              <w:autoSpaceDN w:val="0"/>
              <w:spacing w:line="319" w:lineRule="exact"/>
              <w:jc w:val="left"/>
              <w:rPr>
                <w:u w:val="single"/>
              </w:rPr>
            </w:pPr>
            <w:r>
              <w:rPr>
                <w:rFonts w:hint="eastAsia"/>
                <w:u w:val="single"/>
              </w:rPr>
              <w:t xml:space="preserve">要求大企业向中小企业分包的形式参加投标，且接受分包的中小企业承担的部分达到项目合同总金额的  </w:t>
            </w:r>
            <w:r>
              <w:rPr>
                <w:u w:val="single"/>
              </w:rPr>
              <w:t>%</w:t>
            </w:r>
            <w:r>
              <w:rPr>
                <w:rFonts w:hint="eastAsia"/>
                <w:u w:val="single"/>
              </w:rPr>
              <w:t xml:space="preserve">以上，其中接受分包的小微企业承担的比例不低于  </w:t>
            </w:r>
            <w:r>
              <w:rPr>
                <w:u w:val="single"/>
              </w:rPr>
              <w:t>%</w:t>
            </w:r>
            <w:r>
              <w:rPr>
                <w:rFonts w:hint="eastAsia"/>
                <w:u w:val="single"/>
              </w:rPr>
              <w:t>。接受分包合同的中小企业与分包企业之间不得存在直接控股、管理关系。（前述比例由招标人根据项目的具体情况约定）</w:t>
            </w:r>
          </w:p>
          <w:p w14:paraId="590D767F">
            <w:pPr>
              <w:autoSpaceDE w:val="0"/>
              <w:autoSpaceDN w:val="0"/>
              <w:spacing w:line="319" w:lineRule="exact"/>
              <w:jc w:val="left"/>
              <w:rPr>
                <w:rFonts w:hint="eastAsia"/>
                <w:u w:val="single"/>
              </w:rPr>
            </w:pPr>
            <w:r>
              <w:rPr>
                <w:rFonts w:hint="eastAsia"/>
                <w:u w:val="single"/>
              </w:rPr>
              <w:t>□采购项目未预留份额专门面向中小企业采购。</w:t>
            </w:r>
          </w:p>
          <w:p w14:paraId="5BB3DC51">
            <w:pPr>
              <w:autoSpaceDE w:val="0"/>
              <w:autoSpaceDN w:val="0"/>
              <w:spacing w:line="319" w:lineRule="exact"/>
              <w:jc w:val="left"/>
              <w:rPr>
                <w:rFonts w:hint="eastAsia"/>
                <w:u w:val="single"/>
              </w:rPr>
            </w:pPr>
            <w:r>
              <w:rPr>
                <w:rFonts w:hint="eastAsia"/>
                <w:u w:val="single"/>
              </w:rPr>
              <w:t>不接受大中型企业与小微企业组成联合体。</w:t>
            </w:r>
          </w:p>
          <w:p w14:paraId="055B26E3">
            <w:pPr>
              <w:autoSpaceDE w:val="0"/>
              <w:autoSpaceDN w:val="0"/>
              <w:spacing w:line="319" w:lineRule="exact"/>
              <w:jc w:val="left"/>
              <w:rPr>
                <w:rFonts w:hint="eastAsia"/>
                <w:u w:val="single"/>
              </w:rPr>
            </w:pPr>
            <w:r>
              <w:rPr>
                <w:rFonts w:hint="eastAsia"/>
                <w:u w:val="single"/>
              </w:rPr>
              <w:t>不允许大中型企业向一家或者多家小微企业分包。</w:t>
            </w:r>
          </w:p>
          <w:p w14:paraId="7DFD9333">
            <w:pPr>
              <w:autoSpaceDE w:val="0"/>
              <w:autoSpaceDN w:val="0"/>
              <w:spacing w:line="319" w:lineRule="exact"/>
              <w:jc w:val="left"/>
              <w:rPr>
                <w:rFonts w:hint="eastAsia"/>
                <w:szCs w:val="21"/>
              </w:rPr>
            </w:pPr>
          </w:p>
        </w:tc>
        <w:tc>
          <w:tcPr>
            <w:tcW w:w="900" w:type="dxa"/>
            <w:noWrap w:val="0"/>
            <w:vAlign w:val="top"/>
          </w:tcPr>
          <w:p w14:paraId="353BF3D1">
            <w:pPr>
              <w:spacing w:line="440" w:lineRule="exact"/>
              <w:rPr>
                <w:rFonts w:hint="eastAsia"/>
                <w:szCs w:val="21"/>
              </w:rPr>
            </w:pPr>
          </w:p>
        </w:tc>
      </w:tr>
    </w:tbl>
    <w:p w14:paraId="7B41C899">
      <w:pPr>
        <w:ind w:left="630" w:hanging="630" w:hangingChars="300"/>
        <w:jc w:val="left"/>
        <w:rPr>
          <w:rFonts w:hint="eastAsia"/>
        </w:rPr>
      </w:pPr>
      <w:r>
        <w:rPr>
          <w:rFonts w:hint="eastAsia"/>
          <w:szCs w:val="21"/>
        </w:rPr>
        <w:t>备注：</w:t>
      </w:r>
      <w:r>
        <w:rPr>
          <w:rFonts w:hint="eastAsia"/>
        </w:rPr>
        <w:t>1. “类似项目”是指与招标项目在建设规模、结构形式、使用功能、复杂难易程度相同或相近的项目。招标人在招标文件中应准确、简洁的工程特征指标予以定义（如房屋建筑工程使用面积、高度、跨度、其他工程特征指标定义，市政工程使用跨度、长度、截面面积、合同金额、其他工程特征指标定义，或参照《建筑业企业资质标准》（建市</w:t>
      </w:r>
      <w:r>
        <w:t>[2014]159</w:t>
      </w:r>
      <w:r>
        <w:rPr>
          <w:rFonts w:hint="eastAsia"/>
        </w:rPr>
        <w:t>号）及其他配套文件规定的工程业绩标准结合招标项目实际的工程特征指标定义），且</w:t>
      </w:r>
      <w:r>
        <w:rPr>
          <w:rFonts w:hint="eastAsia" w:cs="宋体"/>
          <w:kern w:val="0"/>
          <w:szCs w:val="21"/>
        </w:rPr>
        <w:t>方便</w:t>
      </w:r>
      <w:r>
        <w:rPr>
          <w:rFonts w:hint="eastAsia"/>
        </w:rPr>
        <w:t>投标人使用</w:t>
      </w:r>
      <w:r>
        <w:rPr>
          <w:rFonts w:hint="eastAsia" w:cs="宋体"/>
          <w:kern w:val="0"/>
          <w:szCs w:val="21"/>
        </w:rPr>
        <w:t>中标通知书（如有）、合同协议书、施工许可证（如有）、工程接收证书或工程竣工验收证书（工程竣工验收备案证）及其他证明材料证实。</w:t>
      </w:r>
      <w:r>
        <w:rPr>
          <w:rFonts w:hint="eastAsia"/>
        </w:rPr>
        <w:t>“类似项目”的定义中不含“近5年”“近3年”等时间限制条件。</w:t>
      </w:r>
    </w:p>
    <w:p w14:paraId="3494C4CB">
      <w:pPr>
        <w:ind w:left="630" w:hanging="630" w:hangingChars="300"/>
        <w:jc w:val="left"/>
        <w:rPr>
          <w:rFonts w:hint="eastAsia"/>
        </w:rPr>
      </w:pPr>
      <w:r>
        <w:rPr>
          <w:rFonts w:hint="eastAsia"/>
        </w:rPr>
        <w:t xml:space="preserve">      2.</w:t>
      </w:r>
      <w:r>
        <w:rPr>
          <w:rFonts w:hint="eastAsia" w:ascii="宋体" w:hAnsi="宋体"/>
          <w:szCs w:val="21"/>
        </w:rPr>
        <w:t xml:space="preserve"> “投标人用于投标</w:t>
      </w:r>
      <w:r>
        <w:rPr>
          <w:rFonts w:hint="eastAsia"/>
        </w:rPr>
        <w:t>项目（标段）的流动资金” ：一般而言，在有正常的预付款和工程款支付的情况下，承包人仍需要投入合同总价</w:t>
      </w:r>
      <w:r>
        <w:t>/T</w:t>
      </w:r>
      <w:r>
        <w:rPr>
          <w:rFonts w:hint="eastAsia"/>
        </w:rPr>
        <w:t>的10-15%左右的流动资金用于项目周转性生产。招标人宜根据项目情况合理设置</w:t>
      </w:r>
      <w:r>
        <w:rPr>
          <w:rFonts w:hint="eastAsia" w:ascii="宋体" w:hAnsi="宋体"/>
          <w:szCs w:val="21"/>
        </w:rPr>
        <w:t>投标人用于投标</w:t>
      </w:r>
      <w:r>
        <w:rPr>
          <w:rFonts w:hint="eastAsia"/>
        </w:rPr>
        <w:t>项目（标段）的流动资金数额。</w:t>
      </w:r>
      <w:r>
        <w:rPr>
          <w:szCs w:val="21"/>
        </w:rPr>
        <w:t>T=</w:t>
      </w:r>
      <w:r>
        <w:rPr>
          <w:rFonts w:hint="eastAsia"/>
          <w:szCs w:val="21"/>
        </w:rPr>
        <w:t>（标段）计划工期（年）</w:t>
      </w:r>
      <w:r>
        <w:rPr>
          <w:szCs w:val="21"/>
        </w:rPr>
        <w:t>=</w:t>
      </w:r>
      <w:r>
        <w:rPr>
          <w:rFonts w:hint="eastAsia"/>
          <w:szCs w:val="21"/>
        </w:rPr>
        <w:t>（标段）计划工期（日历天）</w:t>
      </w:r>
      <w:r>
        <w:rPr>
          <w:szCs w:val="21"/>
        </w:rPr>
        <w:t>/365</w:t>
      </w:r>
      <w:r>
        <w:rPr>
          <w:rFonts w:hint="eastAsia"/>
          <w:szCs w:val="21"/>
        </w:rPr>
        <w:t>。当T</w:t>
      </w:r>
      <w:r>
        <w:rPr>
          <w:szCs w:val="21"/>
        </w:rPr>
        <w:t>&lt;</w:t>
      </w:r>
      <w:r>
        <w:rPr>
          <w:rFonts w:hint="eastAsia"/>
          <w:szCs w:val="21"/>
        </w:rPr>
        <w:t>1，T取1。</w:t>
      </w:r>
    </w:p>
    <w:p w14:paraId="1277E128">
      <w:pPr>
        <w:ind w:left="630" w:leftChars="300"/>
        <w:jc w:val="left"/>
        <w:rPr>
          <w:rFonts w:hint="eastAsia"/>
        </w:rPr>
      </w:pPr>
      <w:r>
        <w:rPr>
          <w:rFonts w:hint="eastAsia"/>
        </w:rPr>
        <w:t>3.建筑工程相关专业职称包括：土木工程、工民建、结构、建筑施工、建筑工程、</w:t>
      </w:r>
      <w:r>
        <w:t>给排水、</w:t>
      </w:r>
      <w:r>
        <w:rPr>
          <w:rFonts w:hint="eastAsia"/>
        </w:rPr>
        <w:t>暖通、电气等专业职称。</w:t>
      </w:r>
      <w:r>
        <w:t>市政工程相关专业职称包括道路与桥梁、给排水、</w:t>
      </w:r>
      <w:r>
        <w:rPr>
          <w:rFonts w:hint="eastAsia"/>
        </w:rPr>
        <w:t>土木工程、工民建、结构、建筑施工、建筑工程</w:t>
      </w:r>
      <w:r>
        <w:t>、机电、燃气等专业</w:t>
      </w:r>
      <w:r>
        <w:rPr>
          <w:rFonts w:hint="eastAsia"/>
        </w:rPr>
        <w:t>职称。</w:t>
      </w:r>
    </w:p>
    <w:p w14:paraId="447403E9">
      <w:pPr>
        <w:ind w:left="630" w:leftChars="300"/>
        <w:jc w:val="left"/>
        <w:rPr>
          <w:rFonts w:hint="eastAsia"/>
        </w:rPr>
      </w:pPr>
      <w:r>
        <w:rPr>
          <w:rFonts w:hint="eastAsia"/>
        </w:rPr>
        <w:t>4. 招标人在设置“项目管理机构其他主要人员”时，可按上述表格只要求“项目技术负责人、施工管理、质量管理、安全管理”等关键岗位和人员数量，其他施工现场管理人员可由投标人根据施工现场管理的需要自行配置；招标人也可以根据项目实际需要，参照《建筑业企业资质标准》（建市</w:t>
      </w:r>
      <w:r>
        <w:t>〔201</w:t>
      </w:r>
      <w:r>
        <w:rPr>
          <w:rFonts w:hint="eastAsia"/>
        </w:rPr>
        <w:t>4</w:t>
      </w:r>
      <w:r>
        <w:t>〕</w:t>
      </w:r>
      <w:r>
        <w:rPr>
          <w:rFonts w:hint="eastAsia"/>
        </w:rPr>
        <w:t>159号）相应总承包（专业承包）资质标准中对施工现场管理人员的要求设置岗位，提出人员数量要求。其中安全管理的人员数量应按 《建筑施工企业安全生产管理机构设置及专职安全生产管理人员配备办法》（建质〔2008〕91号）第十三条的规定设置。根据《建筑与市政工程施工现场专业人员职业标准》（JGJ/T250-2011），八大员为施工员、质量员、安全员、标准员、材料员、机械员、劳务员、资料员。其中，施工员、质量员可分为土建施工、装饰装修、设备安装和市政工程四个子专业。</w:t>
      </w:r>
    </w:p>
    <w:p w14:paraId="014671AA">
      <w:pPr>
        <w:ind w:left="630" w:leftChars="300"/>
        <w:jc w:val="left"/>
        <w:rPr>
          <w:rFonts w:hint="eastAsia"/>
        </w:rPr>
      </w:pPr>
      <w:r>
        <w:rPr>
          <w:rFonts w:hint="eastAsia"/>
        </w:rPr>
        <w:t>5. 根据湖北省住房和城乡建设厅《关于推动全省建筑市场统一开放的通知》（鄂建文〔2015〕83号）的规定，“省内外建筑企业在各市州区域流动，统一实行一体化平台登记管理”。申请人应当在《湖北省建筑市场监督与诚信一体化工作平台》（网址：</w:t>
      </w:r>
      <w:r>
        <w:t>http://jg.hbcic.net.cn/web/</w:t>
      </w:r>
      <w:r>
        <w:rPr>
          <w:rFonts w:hint="eastAsia"/>
        </w:rPr>
        <w:t>）进行企业基本信息和人员信息登记。不具备建筑业企业资质证书的企业无需在该一体化平台登记。</w:t>
      </w:r>
    </w:p>
    <w:p w14:paraId="5C5813EC">
      <w:pPr>
        <w:ind w:left="630" w:leftChars="300"/>
        <w:rPr>
          <w:rFonts w:hint="eastAsia"/>
        </w:rPr>
      </w:pPr>
      <w:r>
        <w:rPr>
          <w:rFonts w:hint="eastAsia"/>
        </w:rPr>
        <w:t>6.政府采购工程是指国家机关、事业单位、团体组织使用财政性资金采购</w:t>
      </w:r>
      <w:r>
        <w:t>建设工程</w:t>
      </w:r>
      <w:r>
        <w:rPr>
          <w:rFonts w:hint="eastAsia"/>
        </w:rPr>
        <w:t>。财政性资金</w:t>
      </w:r>
      <w:r>
        <w:t>是指纳入预算管理的资金。以财政性资金作为还款来源的借贷资金，视同财政性资金。</w:t>
      </w:r>
    </w:p>
    <w:p w14:paraId="335A7941">
      <w:pPr>
        <w:ind w:left="630" w:leftChars="300"/>
        <w:rPr>
          <w:rFonts w:hint="eastAsia"/>
        </w:rPr>
      </w:pPr>
      <w:r>
        <w:rPr>
          <w:rFonts w:hint="eastAsia"/>
        </w:rPr>
        <w:t>本招标文件所称中、小、微企业，是指在中华人民共和国境内依法设立，依据《中小企业划型标准规定》（工信部联企业</w:t>
      </w:r>
      <w:r>
        <w:t>[2011]300</w:t>
      </w:r>
      <w:r>
        <w:rPr>
          <w:rFonts w:hint="eastAsia"/>
        </w:rPr>
        <w:t>号）确定的中型企业、小型企业和微型企业，但与大企业的负责人为同一人，或者与大企业存在直接控股、管理关系的除外。</w:t>
      </w:r>
    </w:p>
    <w:p w14:paraId="6A738E7E">
      <w:pPr>
        <w:ind w:left="630" w:leftChars="300"/>
        <w:rPr>
          <w:rFonts w:hint="eastAsia"/>
        </w:rPr>
      </w:pPr>
      <w:r>
        <w:rPr>
          <w:rFonts w:hint="eastAsia"/>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36541A66">
      <w:pPr>
        <w:ind w:left="630" w:leftChars="300"/>
        <w:rPr>
          <w:rFonts w:hint="eastAsia"/>
        </w:rPr>
      </w:pPr>
      <w:r>
        <w:rPr>
          <w:rFonts w:hint="eastAsia"/>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t>30%</w:t>
      </w:r>
      <w:r>
        <w:rPr>
          <w:rFonts w:hint="eastAsia"/>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57A25823">
      <w:pPr>
        <w:ind w:left="630" w:leftChars="300"/>
        <w:rPr>
          <w:rFonts w:hint="eastAsia"/>
        </w:rPr>
      </w:pPr>
      <w:r>
        <w:rPr>
          <w:rFonts w:hint="eastAsia"/>
        </w:rPr>
        <w:t>享受扶持政策获得政府采购合同的，小微企业不得将合同分包给大中型企业，中型企业不得将合同分包给大型企业。</w:t>
      </w:r>
    </w:p>
    <w:p w14:paraId="312A6DB7">
      <w:pPr>
        <w:ind w:left="630" w:leftChars="300"/>
        <w:rPr>
          <w:rFonts w:hint="eastAsia"/>
        </w:rPr>
      </w:pPr>
      <w:r>
        <w:rPr>
          <w:rFonts w:hint="eastAsia"/>
        </w:rPr>
        <w:t>具体的政策依据详见《政府采购促进中小企业发展管理办法》（财库〔</w:t>
      </w:r>
      <w:r>
        <w:t>2020</w:t>
      </w:r>
      <w:r>
        <w:rPr>
          <w:rFonts w:hint="eastAsia"/>
        </w:rPr>
        <w:t>〕</w:t>
      </w:r>
      <w:r>
        <w:t>46</w:t>
      </w:r>
      <w:r>
        <w:rPr>
          <w:rFonts w:hint="eastAsia"/>
        </w:rPr>
        <w:t>号）、《关于进一步加大政府采购支持中小企业力度的通知》（财库〔2022〕19号）。</w:t>
      </w:r>
    </w:p>
    <w:p w14:paraId="4DAF8E5A">
      <w:pPr>
        <w:ind w:left="630" w:leftChars="300"/>
        <w:jc w:val="left"/>
        <w:rPr>
          <w:rFonts w:hint="eastAsia"/>
          <w:highlight w:val="yellow"/>
        </w:rPr>
      </w:pPr>
    </w:p>
    <w:p w14:paraId="0E9925E3">
      <w:pPr>
        <w:pStyle w:val="20"/>
        <w:outlineLvl w:val="1"/>
        <w:rPr>
          <w:rFonts w:hint="eastAsia"/>
        </w:rPr>
      </w:pPr>
      <w:bookmarkStart w:id="299" w:name="_Toc108513564"/>
      <w:r>
        <w:rPr>
          <w:rFonts w:hint="eastAsia"/>
        </w:rPr>
        <w:t>附录二：政府采购工程预留工作及金额</w:t>
      </w:r>
      <w:bookmarkEnd w:id="299"/>
    </w:p>
    <w:p w14:paraId="2D45667A">
      <w:pPr>
        <w:ind w:left="630" w:leftChars="300"/>
        <w:jc w:val="left"/>
        <w:rPr>
          <w:rFonts w:hint="eastAsia"/>
          <w:highlight w:val="green"/>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6439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637AE62">
            <w:pPr>
              <w:jc w:val="center"/>
              <w:rPr>
                <w:rFonts w:hint="eastAsia" w:ascii="宋体" w:hAnsi="宋体"/>
                <w:szCs w:val="21"/>
              </w:rPr>
            </w:pPr>
            <w:r>
              <w:rPr>
                <w:rFonts w:hint="eastAsia" w:ascii="宋体" w:hAnsi="宋体"/>
                <w:szCs w:val="21"/>
              </w:rPr>
              <w:t>序号</w:t>
            </w:r>
          </w:p>
        </w:tc>
        <w:tc>
          <w:tcPr>
            <w:tcW w:w="3195" w:type="dxa"/>
            <w:noWrap w:val="0"/>
            <w:tcMar>
              <w:left w:w="108" w:type="dxa"/>
              <w:right w:w="108" w:type="dxa"/>
            </w:tcMar>
            <w:vAlign w:val="center"/>
          </w:tcPr>
          <w:p w14:paraId="703AD583">
            <w:pPr>
              <w:jc w:val="center"/>
              <w:rPr>
                <w:rFonts w:hint="eastAsia" w:ascii="宋体" w:hAnsi="宋体"/>
                <w:szCs w:val="21"/>
              </w:rPr>
            </w:pPr>
            <w:r>
              <w:rPr>
                <w:rFonts w:hint="eastAsia" w:ascii="宋体" w:hAnsi="宋体"/>
                <w:szCs w:val="21"/>
              </w:rPr>
              <w:t>预留工作内容名称</w:t>
            </w:r>
          </w:p>
        </w:tc>
        <w:tc>
          <w:tcPr>
            <w:tcW w:w="1425" w:type="dxa"/>
            <w:noWrap w:val="0"/>
            <w:tcMar>
              <w:left w:w="108" w:type="dxa"/>
              <w:right w:w="108" w:type="dxa"/>
            </w:tcMar>
            <w:vAlign w:val="center"/>
          </w:tcPr>
          <w:p w14:paraId="08321F9C">
            <w:pPr>
              <w:jc w:val="center"/>
              <w:rPr>
                <w:rFonts w:hint="eastAsia" w:ascii="宋体" w:hAnsi="宋体"/>
                <w:szCs w:val="21"/>
              </w:rPr>
            </w:pPr>
            <w:r>
              <w:rPr>
                <w:rFonts w:hint="eastAsia" w:ascii="宋体" w:hAnsi="宋体"/>
                <w:szCs w:val="21"/>
              </w:rPr>
              <w:t>预留工作</w:t>
            </w:r>
          </w:p>
          <w:p w14:paraId="4B404183">
            <w:pPr>
              <w:jc w:val="center"/>
              <w:rPr>
                <w:rFonts w:hint="eastAsia" w:ascii="宋体" w:hAnsi="宋体"/>
                <w:szCs w:val="21"/>
              </w:rPr>
            </w:pPr>
            <w:r>
              <w:rPr>
                <w:rFonts w:hint="eastAsia" w:ascii="宋体" w:hAnsi="宋体"/>
                <w:szCs w:val="21"/>
              </w:rPr>
              <w:t>合同估算价</w:t>
            </w:r>
          </w:p>
          <w:p w14:paraId="7A9D03E4">
            <w:pPr>
              <w:jc w:val="center"/>
              <w:rPr>
                <w:rFonts w:hint="eastAsia" w:ascii="宋体" w:hAnsi="宋体"/>
                <w:szCs w:val="21"/>
              </w:rPr>
            </w:pPr>
            <w:r>
              <w:rPr>
                <w:rFonts w:hint="eastAsia" w:ascii="宋体" w:hAnsi="宋体"/>
                <w:szCs w:val="21"/>
              </w:rPr>
              <w:t>（万元）</w:t>
            </w:r>
          </w:p>
        </w:tc>
        <w:tc>
          <w:tcPr>
            <w:tcW w:w="1335" w:type="dxa"/>
            <w:noWrap w:val="0"/>
            <w:tcMar>
              <w:left w:w="108" w:type="dxa"/>
              <w:right w:w="108" w:type="dxa"/>
            </w:tcMar>
            <w:vAlign w:val="center"/>
          </w:tcPr>
          <w:p w14:paraId="0945BA49">
            <w:pPr>
              <w:jc w:val="center"/>
              <w:rPr>
                <w:rFonts w:hint="eastAsia" w:ascii="宋体" w:hAnsi="宋体"/>
                <w:szCs w:val="21"/>
              </w:rPr>
            </w:pPr>
            <w:r>
              <w:rPr>
                <w:rFonts w:hint="eastAsia" w:ascii="宋体" w:hAnsi="宋体"/>
                <w:szCs w:val="21"/>
              </w:rPr>
              <w:t>预留合同估算价占比（％）</w:t>
            </w:r>
          </w:p>
        </w:tc>
        <w:tc>
          <w:tcPr>
            <w:tcW w:w="1802" w:type="dxa"/>
            <w:noWrap w:val="0"/>
            <w:tcMar>
              <w:left w:w="108" w:type="dxa"/>
              <w:right w:w="108" w:type="dxa"/>
            </w:tcMar>
            <w:vAlign w:val="center"/>
          </w:tcPr>
          <w:p w14:paraId="3F0AFCDC">
            <w:pPr>
              <w:jc w:val="center"/>
              <w:rPr>
                <w:rFonts w:hint="eastAsia" w:ascii="宋体" w:hAnsi="宋体"/>
                <w:szCs w:val="21"/>
              </w:rPr>
            </w:pPr>
            <w:r>
              <w:rPr>
                <w:rFonts w:hint="eastAsia" w:ascii="宋体" w:hAnsi="宋体"/>
                <w:szCs w:val="21"/>
              </w:rPr>
              <w:t>备注</w:t>
            </w:r>
          </w:p>
        </w:tc>
      </w:tr>
      <w:tr w14:paraId="6BE64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FCEA874">
            <w:pPr>
              <w:jc w:val="center"/>
              <w:rPr>
                <w:rFonts w:hint="eastAsia" w:ascii="宋体" w:hAnsi="宋体"/>
                <w:szCs w:val="21"/>
              </w:rPr>
            </w:pPr>
            <w:r>
              <w:rPr>
                <w:rFonts w:hint="eastAsia" w:ascii="宋体" w:hAnsi="宋体"/>
                <w:szCs w:val="21"/>
              </w:rPr>
              <w:t>１</w:t>
            </w:r>
          </w:p>
        </w:tc>
        <w:tc>
          <w:tcPr>
            <w:tcW w:w="3195" w:type="dxa"/>
            <w:noWrap w:val="0"/>
            <w:tcMar>
              <w:left w:w="108" w:type="dxa"/>
              <w:right w:w="108" w:type="dxa"/>
            </w:tcMar>
            <w:vAlign w:val="center"/>
          </w:tcPr>
          <w:p w14:paraId="28C00D6C">
            <w:pPr>
              <w:jc w:val="center"/>
              <w:rPr>
                <w:rFonts w:hint="eastAsia" w:ascii="宋体" w:hAnsi="宋体"/>
                <w:szCs w:val="21"/>
              </w:rPr>
            </w:pPr>
          </w:p>
        </w:tc>
        <w:tc>
          <w:tcPr>
            <w:tcW w:w="1425" w:type="dxa"/>
            <w:noWrap w:val="0"/>
            <w:tcMar>
              <w:left w:w="108" w:type="dxa"/>
              <w:right w:w="108" w:type="dxa"/>
            </w:tcMar>
            <w:vAlign w:val="center"/>
          </w:tcPr>
          <w:p w14:paraId="7438F867">
            <w:pPr>
              <w:jc w:val="center"/>
              <w:rPr>
                <w:rFonts w:hint="eastAsia" w:ascii="宋体" w:hAnsi="宋体"/>
                <w:szCs w:val="21"/>
              </w:rPr>
            </w:pPr>
          </w:p>
        </w:tc>
        <w:tc>
          <w:tcPr>
            <w:tcW w:w="1335" w:type="dxa"/>
            <w:noWrap w:val="0"/>
            <w:tcMar>
              <w:left w:w="108" w:type="dxa"/>
              <w:right w:w="108" w:type="dxa"/>
            </w:tcMar>
            <w:vAlign w:val="center"/>
          </w:tcPr>
          <w:p w14:paraId="5540D0EB">
            <w:pPr>
              <w:jc w:val="center"/>
              <w:rPr>
                <w:rFonts w:hint="eastAsia" w:ascii="宋体" w:hAnsi="宋体"/>
                <w:szCs w:val="21"/>
              </w:rPr>
            </w:pPr>
          </w:p>
        </w:tc>
        <w:tc>
          <w:tcPr>
            <w:tcW w:w="1802" w:type="dxa"/>
            <w:noWrap w:val="0"/>
            <w:tcMar>
              <w:left w:w="108" w:type="dxa"/>
              <w:right w:w="108" w:type="dxa"/>
            </w:tcMar>
            <w:vAlign w:val="center"/>
          </w:tcPr>
          <w:p w14:paraId="76AC8793">
            <w:pPr>
              <w:jc w:val="center"/>
              <w:rPr>
                <w:rFonts w:hint="eastAsia" w:ascii="宋体" w:hAnsi="宋体"/>
                <w:szCs w:val="21"/>
              </w:rPr>
            </w:pPr>
          </w:p>
        </w:tc>
      </w:tr>
      <w:tr w14:paraId="170A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F7621E1">
            <w:pPr>
              <w:jc w:val="center"/>
              <w:rPr>
                <w:rFonts w:hint="eastAsia" w:ascii="宋体" w:hAnsi="宋体"/>
                <w:szCs w:val="21"/>
              </w:rPr>
            </w:pPr>
            <w:r>
              <w:rPr>
                <w:rFonts w:hint="eastAsia" w:ascii="宋体" w:hAnsi="宋体"/>
                <w:szCs w:val="21"/>
              </w:rPr>
              <w:t>２</w:t>
            </w:r>
          </w:p>
        </w:tc>
        <w:tc>
          <w:tcPr>
            <w:tcW w:w="3195" w:type="dxa"/>
            <w:noWrap w:val="0"/>
            <w:tcMar>
              <w:left w:w="108" w:type="dxa"/>
              <w:right w:w="108" w:type="dxa"/>
            </w:tcMar>
            <w:vAlign w:val="center"/>
          </w:tcPr>
          <w:p w14:paraId="2D23801D">
            <w:pPr>
              <w:jc w:val="center"/>
              <w:rPr>
                <w:rFonts w:hint="eastAsia" w:ascii="宋体" w:hAnsi="宋体"/>
                <w:szCs w:val="21"/>
              </w:rPr>
            </w:pPr>
          </w:p>
        </w:tc>
        <w:tc>
          <w:tcPr>
            <w:tcW w:w="1425" w:type="dxa"/>
            <w:noWrap w:val="0"/>
            <w:tcMar>
              <w:left w:w="108" w:type="dxa"/>
              <w:right w:w="108" w:type="dxa"/>
            </w:tcMar>
            <w:vAlign w:val="center"/>
          </w:tcPr>
          <w:p w14:paraId="221168D6">
            <w:pPr>
              <w:jc w:val="center"/>
              <w:rPr>
                <w:rFonts w:hint="eastAsia" w:ascii="宋体" w:hAnsi="宋体"/>
                <w:szCs w:val="21"/>
              </w:rPr>
            </w:pPr>
          </w:p>
        </w:tc>
        <w:tc>
          <w:tcPr>
            <w:tcW w:w="1335" w:type="dxa"/>
            <w:noWrap w:val="0"/>
            <w:tcMar>
              <w:left w:w="108" w:type="dxa"/>
              <w:right w:w="108" w:type="dxa"/>
            </w:tcMar>
            <w:vAlign w:val="center"/>
          </w:tcPr>
          <w:p w14:paraId="28D4F85E">
            <w:pPr>
              <w:jc w:val="center"/>
              <w:rPr>
                <w:rFonts w:hint="eastAsia" w:ascii="宋体" w:hAnsi="宋体"/>
                <w:szCs w:val="21"/>
              </w:rPr>
            </w:pPr>
          </w:p>
        </w:tc>
        <w:tc>
          <w:tcPr>
            <w:tcW w:w="1802" w:type="dxa"/>
            <w:noWrap w:val="0"/>
            <w:tcMar>
              <w:left w:w="108" w:type="dxa"/>
              <w:right w:w="108" w:type="dxa"/>
            </w:tcMar>
            <w:vAlign w:val="center"/>
          </w:tcPr>
          <w:p w14:paraId="2157F7FF">
            <w:pPr>
              <w:jc w:val="center"/>
              <w:rPr>
                <w:rFonts w:hint="eastAsia" w:ascii="宋体" w:hAnsi="宋体"/>
                <w:szCs w:val="21"/>
              </w:rPr>
            </w:pPr>
          </w:p>
        </w:tc>
      </w:tr>
      <w:tr w14:paraId="0AA8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34A9312">
            <w:pPr>
              <w:jc w:val="center"/>
              <w:rPr>
                <w:rFonts w:hint="eastAsia" w:ascii="宋体" w:hAnsi="宋体"/>
                <w:szCs w:val="21"/>
              </w:rPr>
            </w:pPr>
            <w:r>
              <w:rPr>
                <w:rFonts w:hint="eastAsia" w:ascii="宋体" w:hAnsi="宋体"/>
                <w:szCs w:val="21"/>
              </w:rPr>
              <w:t>３</w:t>
            </w:r>
          </w:p>
        </w:tc>
        <w:tc>
          <w:tcPr>
            <w:tcW w:w="3195" w:type="dxa"/>
            <w:noWrap w:val="0"/>
            <w:tcMar>
              <w:left w:w="108" w:type="dxa"/>
              <w:right w:w="108" w:type="dxa"/>
            </w:tcMar>
            <w:vAlign w:val="center"/>
          </w:tcPr>
          <w:p w14:paraId="1E6D9957">
            <w:pPr>
              <w:jc w:val="center"/>
              <w:rPr>
                <w:rFonts w:hint="eastAsia" w:ascii="宋体" w:hAnsi="宋体"/>
                <w:szCs w:val="21"/>
              </w:rPr>
            </w:pPr>
          </w:p>
        </w:tc>
        <w:tc>
          <w:tcPr>
            <w:tcW w:w="1425" w:type="dxa"/>
            <w:noWrap w:val="0"/>
            <w:tcMar>
              <w:left w:w="108" w:type="dxa"/>
              <w:right w:w="108" w:type="dxa"/>
            </w:tcMar>
            <w:vAlign w:val="center"/>
          </w:tcPr>
          <w:p w14:paraId="78DF32A3">
            <w:pPr>
              <w:jc w:val="center"/>
              <w:rPr>
                <w:rFonts w:hint="eastAsia" w:ascii="宋体" w:hAnsi="宋体"/>
                <w:szCs w:val="21"/>
              </w:rPr>
            </w:pPr>
          </w:p>
        </w:tc>
        <w:tc>
          <w:tcPr>
            <w:tcW w:w="1335" w:type="dxa"/>
            <w:noWrap w:val="0"/>
            <w:tcMar>
              <w:left w:w="108" w:type="dxa"/>
              <w:right w:w="108" w:type="dxa"/>
            </w:tcMar>
            <w:vAlign w:val="center"/>
          </w:tcPr>
          <w:p w14:paraId="4EF62034">
            <w:pPr>
              <w:jc w:val="center"/>
              <w:rPr>
                <w:rFonts w:hint="eastAsia" w:ascii="宋体" w:hAnsi="宋体"/>
                <w:szCs w:val="21"/>
              </w:rPr>
            </w:pPr>
          </w:p>
        </w:tc>
        <w:tc>
          <w:tcPr>
            <w:tcW w:w="1802" w:type="dxa"/>
            <w:noWrap w:val="0"/>
            <w:tcMar>
              <w:left w:w="108" w:type="dxa"/>
              <w:right w:w="108" w:type="dxa"/>
            </w:tcMar>
            <w:vAlign w:val="center"/>
          </w:tcPr>
          <w:p w14:paraId="4C509E51">
            <w:pPr>
              <w:jc w:val="center"/>
              <w:rPr>
                <w:rFonts w:hint="eastAsia" w:ascii="宋体" w:hAnsi="宋体"/>
                <w:szCs w:val="21"/>
              </w:rPr>
            </w:pPr>
          </w:p>
        </w:tc>
      </w:tr>
      <w:tr w14:paraId="614C6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C85FAE4">
            <w:pPr>
              <w:jc w:val="center"/>
              <w:rPr>
                <w:rFonts w:hint="eastAsia" w:ascii="宋体" w:hAnsi="宋体"/>
                <w:szCs w:val="21"/>
              </w:rPr>
            </w:pPr>
            <w:r>
              <w:rPr>
                <w:rFonts w:hint="eastAsia" w:ascii="宋体" w:hAnsi="宋体"/>
                <w:szCs w:val="21"/>
              </w:rPr>
              <w:t>４</w:t>
            </w:r>
          </w:p>
        </w:tc>
        <w:tc>
          <w:tcPr>
            <w:tcW w:w="3195" w:type="dxa"/>
            <w:noWrap w:val="0"/>
            <w:tcMar>
              <w:left w:w="108" w:type="dxa"/>
              <w:right w:w="108" w:type="dxa"/>
            </w:tcMar>
            <w:vAlign w:val="center"/>
          </w:tcPr>
          <w:p w14:paraId="562545B6">
            <w:pPr>
              <w:jc w:val="center"/>
              <w:rPr>
                <w:rFonts w:hint="eastAsia" w:ascii="宋体" w:hAnsi="宋体"/>
                <w:szCs w:val="21"/>
              </w:rPr>
            </w:pPr>
          </w:p>
        </w:tc>
        <w:tc>
          <w:tcPr>
            <w:tcW w:w="1425" w:type="dxa"/>
            <w:noWrap w:val="0"/>
            <w:tcMar>
              <w:left w:w="108" w:type="dxa"/>
              <w:right w:w="108" w:type="dxa"/>
            </w:tcMar>
            <w:vAlign w:val="center"/>
          </w:tcPr>
          <w:p w14:paraId="7B641DFA">
            <w:pPr>
              <w:jc w:val="center"/>
              <w:rPr>
                <w:rFonts w:hint="eastAsia" w:ascii="宋体" w:hAnsi="宋体"/>
                <w:szCs w:val="21"/>
              </w:rPr>
            </w:pPr>
          </w:p>
        </w:tc>
        <w:tc>
          <w:tcPr>
            <w:tcW w:w="1335" w:type="dxa"/>
            <w:noWrap w:val="0"/>
            <w:tcMar>
              <w:left w:w="108" w:type="dxa"/>
              <w:right w:w="108" w:type="dxa"/>
            </w:tcMar>
            <w:vAlign w:val="center"/>
          </w:tcPr>
          <w:p w14:paraId="0372951F">
            <w:pPr>
              <w:jc w:val="center"/>
              <w:rPr>
                <w:rFonts w:hint="eastAsia" w:ascii="宋体" w:hAnsi="宋体"/>
                <w:szCs w:val="21"/>
              </w:rPr>
            </w:pPr>
          </w:p>
        </w:tc>
        <w:tc>
          <w:tcPr>
            <w:tcW w:w="1802" w:type="dxa"/>
            <w:noWrap w:val="0"/>
            <w:tcMar>
              <w:left w:w="108" w:type="dxa"/>
              <w:right w:w="108" w:type="dxa"/>
            </w:tcMar>
            <w:vAlign w:val="center"/>
          </w:tcPr>
          <w:p w14:paraId="47C6CF2A">
            <w:pPr>
              <w:jc w:val="center"/>
              <w:rPr>
                <w:rFonts w:hint="eastAsia" w:ascii="宋体" w:hAnsi="宋体"/>
                <w:szCs w:val="21"/>
              </w:rPr>
            </w:pPr>
          </w:p>
        </w:tc>
      </w:tr>
      <w:tr w14:paraId="09C8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50707B5">
            <w:pPr>
              <w:jc w:val="center"/>
              <w:rPr>
                <w:rFonts w:hint="eastAsia" w:ascii="宋体" w:hAnsi="宋体"/>
                <w:szCs w:val="21"/>
              </w:rPr>
            </w:pPr>
            <w:r>
              <w:rPr>
                <w:rFonts w:hint="eastAsia" w:ascii="宋体" w:hAnsi="宋体"/>
                <w:szCs w:val="21"/>
              </w:rPr>
              <w:t>５</w:t>
            </w:r>
          </w:p>
        </w:tc>
        <w:tc>
          <w:tcPr>
            <w:tcW w:w="3195" w:type="dxa"/>
            <w:noWrap w:val="0"/>
            <w:tcMar>
              <w:left w:w="108" w:type="dxa"/>
              <w:right w:w="108" w:type="dxa"/>
            </w:tcMar>
            <w:vAlign w:val="center"/>
          </w:tcPr>
          <w:p w14:paraId="772B57BE">
            <w:pPr>
              <w:jc w:val="center"/>
              <w:rPr>
                <w:rFonts w:hint="eastAsia" w:ascii="宋体" w:hAnsi="宋体"/>
                <w:szCs w:val="21"/>
              </w:rPr>
            </w:pPr>
          </w:p>
        </w:tc>
        <w:tc>
          <w:tcPr>
            <w:tcW w:w="1425" w:type="dxa"/>
            <w:noWrap w:val="0"/>
            <w:tcMar>
              <w:left w:w="108" w:type="dxa"/>
              <w:right w:w="108" w:type="dxa"/>
            </w:tcMar>
            <w:vAlign w:val="center"/>
          </w:tcPr>
          <w:p w14:paraId="1C26D688">
            <w:pPr>
              <w:jc w:val="center"/>
              <w:rPr>
                <w:rFonts w:hint="eastAsia" w:ascii="宋体" w:hAnsi="宋体"/>
                <w:szCs w:val="21"/>
              </w:rPr>
            </w:pPr>
          </w:p>
        </w:tc>
        <w:tc>
          <w:tcPr>
            <w:tcW w:w="1335" w:type="dxa"/>
            <w:noWrap w:val="0"/>
            <w:tcMar>
              <w:left w:w="108" w:type="dxa"/>
              <w:right w:w="108" w:type="dxa"/>
            </w:tcMar>
            <w:vAlign w:val="center"/>
          </w:tcPr>
          <w:p w14:paraId="50D1299E">
            <w:pPr>
              <w:jc w:val="center"/>
              <w:rPr>
                <w:rFonts w:hint="eastAsia" w:ascii="宋体" w:hAnsi="宋体"/>
                <w:szCs w:val="21"/>
              </w:rPr>
            </w:pPr>
          </w:p>
        </w:tc>
        <w:tc>
          <w:tcPr>
            <w:tcW w:w="1802" w:type="dxa"/>
            <w:noWrap w:val="0"/>
            <w:tcMar>
              <w:left w:w="108" w:type="dxa"/>
              <w:right w:w="108" w:type="dxa"/>
            </w:tcMar>
            <w:vAlign w:val="center"/>
          </w:tcPr>
          <w:p w14:paraId="39954AAA">
            <w:pPr>
              <w:jc w:val="center"/>
              <w:rPr>
                <w:rFonts w:hint="eastAsia" w:ascii="宋体" w:hAnsi="宋体"/>
                <w:szCs w:val="21"/>
              </w:rPr>
            </w:pPr>
          </w:p>
        </w:tc>
      </w:tr>
      <w:tr w14:paraId="5A5A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7729D51">
            <w:pPr>
              <w:jc w:val="center"/>
              <w:rPr>
                <w:rFonts w:hint="eastAsia" w:ascii="宋体" w:hAnsi="宋体"/>
                <w:szCs w:val="21"/>
              </w:rPr>
            </w:pPr>
            <w:r>
              <w:rPr>
                <w:rFonts w:hint="eastAsia" w:ascii="宋体" w:hAnsi="宋体"/>
                <w:szCs w:val="21"/>
              </w:rPr>
              <w:t>６</w:t>
            </w:r>
          </w:p>
        </w:tc>
        <w:tc>
          <w:tcPr>
            <w:tcW w:w="3195" w:type="dxa"/>
            <w:noWrap w:val="0"/>
            <w:tcMar>
              <w:left w:w="108" w:type="dxa"/>
              <w:right w:w="108" w:type="dxa"/>
            </w:tcMar>
            <w:vAlign w:val="center"/>
          </w:tcPr>
          <w:p w14:paraId="370ECB07">
            <w:pPr>
              <w:jc w:val="center"/>
              <w:rPr>
                <w:rFonts w:hint="eastAsia" w:ascii="宋体" w:hAnsi="宋体"/>
                <w:szCs w:val="21"/>
              </w:rPr>
            </w:pPr>
          </w:p>
        </w:tc>
        <w:tc>
          <w:tcPr>
            <w:tcW w:w="1425" w:type="dxa"/>
            <w:noWrap w:val="0"/>
            <w:tcMar>
              <w:left w:w="108" w:type="dxa"/>
              <w:right w:w="108" w:type="dxa"/>
            </w:tcMar>
            <w:vAlign w:val="center"/>
          </w:tcPr>
          <w:p w14:paraId="5730EB2B">
            <w:pPr>
              <w:jc w:val="center"/>
              <w:rPr>
                <w:rFonts w:hint="eastAsia" w:ascii="宋体" w:hAnsi="宋体"/>
                <w:szCs w:val="21"/>
              </w:rPr>
            </w:pPr>
          </w:p>
        </w:tc>
        <w:tc>
          <w:tcPr>
            <w:tcW w:w="1335" w:type="dxa"/>
            <w:noWrap w:val="0"/>
            <w:tcMar>
              <w:left w:w="108" w:type="dxa"/>
              <w:right w:w="108" w:type="dxa"/>
            </w:tcMar>
            <w:vAlign w:val="center"/>
          </w:tcPr>
          <w:p w14:paraId="3EA0BDEE">
            <w:pPr>
              <w:jc w:val="center"/>
              <w:rPr>
                <w:rFonts w:hint="eastAsia" w:ascii="宋体" w:hAnsi="宋体"/>
                <w:szCs w:val="21"/>
              </w:rPr>
            </w:pPr>
          </w:p>
        </w:tc>
        <w:tc>
          <w:tcPr>
            <w:tcW w:w="1802" w:type="dxa"/>
            <w:noWrap w:val="0"/>
            <w:tcMar>
              <w:left w:w="108" w:type="dxa"/>
              <w:right w:w="108" w:type="dxa"/>
            </w:tcMar>
            <w:vAlign w:val="center"/>
          </w:tcPr>
          <w:p w14:paraId="47ED5024">
            <w:pPr>
              <w:jc w:val="center"/>
              <w:rPr>
                <w:rFonts w:hint="eastAsia" w:ascii="宋体" w:hAnsi="宋体"/>
                <w:szCs w:val="21"/>
              </w:rPr>
            </w:pPr>
          </w:p>
        </w:tc>
      </w:tr>
      <w:tr w14:paraId="6CDC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E0DC080">
            <w:pPr>
              <w:jc w:val="center"/>
              <w:rPr>
                <w:rFonts w:hint="eastAsia" w:ascii="宋体" w:hAnsi="宋体"/>
                <w:szCs w:val="21"/>
              </w:rPr>
            </w:pPr>
          </w:p>
        </w:tc>
        <w:tc>
          <w:tcPr>
            <w:tcW w:w="3195" w:type="dxa"/>
            <w:noWrap w:val="0"/>
            <w:tcMar>
              <w:left w:w="108" w:type="dxa"/>
              <w:right w:w="108" w:type="dxa"/>
            </w:tcMar>
            <w:vAlign w:val="center"/>
          </w:tcPr>
          <w:p w14:paraId="2319E8CF">
            <w:pPr>
              <w:jc w:val="center"/>
              <w:rPr>
                <w:rFonts w:hint="eastAsia" w:ascii="宋体" w:hAnsi="宋体"/>
                <w:szCs w:val="21"/>
              </w:rPr>
            </w:pPr>
            <w:r>
              <w:rPr>
                <w:rFonts w:hint="eastAsia" w:ascii="宋体" w:hAnsi="宋体"/>
                <w:szCs w:val="21"/>
              </w:rPr>
              <w:t>合计</w:t>
            </w:r>
          </w:p>
        </w:tc>
        <w:tc>
          <w:tcPr>
            <w:tcW w:w="1425" w:type="dxa"/>
            <w:noWrap w:val="0"/>
            <w:tcMar>
              <w:left w:w="108" w:type="dxa"/>
              <w:right w:w="108" w:type="dxa"/>
            </w:tcMar>
            <w:vAlign w:val="center"/>
          </w:tcPr>
          <w:p w14:paraId="651B7799">
            <w:pPr>
              <w:jc w:val="center"/>
              <w:rPr>
                <w:rFonts w:hint="eastAsia" w:ascii="宋体" w:hAnsi="宋体"/>
                <w:szCs w:val="21"/>
              </w:rPr>
            </w:pPr>
          </w:p>
        </w:tc>
        <w:tc>
          <w:tcPr>
            <w:tcW w:w="1335" w:type="dxa"/>
            <w:noWrap w:val="0"/>
            <w:tcMar>
              <w:left w:w="108" w:type="dxa"/>
              <w:right w:w="108" w:type="dxa"/>
            </w:tcMar>
            <w:vAlign w:val="center"/>
          </w:tcPr>
          <w:p w14:paraId="2E79E24D">
            <w:pPr>
              <w:jc w:val="center"/>
              <w:rPr>
                <w:rFonts w:hint="eastAsia" w:ascii="宋体" w:hAnsi="宋体"/>
                <w:szCs w:val="21"/>
              </w:rPr>
            </w:pPr>
          </w:p>
        </w:tc>
        <w:tc>
          <w:tcPr>
            <w:tcW w:w="1802" w:type="dxa"/>
            <w:noWrap w:val="0"/>
            <w:tcMar>
              <w:left w:w="108" w:type="dxa"/>
              <w:right w:w="108" w:type="dxa"/>
            </w:tcMar>
            <w:vAlign w:val="center"/>
          </w:tcPr>
          <w:p w14:paraId="7EA85FC6">
            <w:pPr>
              <w:jc w:val="center"/>
              <w:rPr>
                <w:rFonts w:hint="eastAsia" w:ascii="宋体" w:hAnsi="宋体"/>
                <w:szCs w:val="21"/>
              </w:rPr>
            </w:pPr>
          </w:p>
        </w:tc>
      </w:tr>
      <w:tr w14:paraId="2E075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74E11B3">
            <w:pPr>
              <w:jc w:val="center"/>
              <w:rPr>
                <w:rFonts w:hint="eastAsia" w:ascii="宋体" w:hAnsi="宋体"/>
                <w:szCs w:val="21"/>
              </w:rPr>
            </w:pPr>
          </w:p>
        </w:tc>
        <w:tc>
          <w:tcPr>
            <w:tcW w:w="3195" w:type="dxa"/>
            <w:noWrap w:val="0"/>
            <w:tcMar>
              <w:left w:w="108" w:type="dxa"/>
              <w:right w:w="108" w:type="dxa"/>
            </w:tcMar>
            <w:vAlign w:val="center"/>
          </w:tcPr>
          <w:p w14:paraId="6CF0B1FA">
            <w:pPr>
              <w:jc w:val="center"/>
              <w:rPr>
                <w:rFonts w:hint="eastAsia" w:ascii="宋体" w:hAnsi="宋体"/>
                <w:szCs w:val="21"/>
              </w:rPr>
            </w:pPr>
            <w:r>
              <w:rPr>
                <w:rFonts w:hint="eastAsia" w:ascii="宋体" w:hAnsi="宋体"/>
                <w:szCs w:val="21"/>
              </w:rPr>
              <w:t>本项目合同估算价（万元）</w:t>
            </w:r>
          </w:p>
        </w:tc>
        <w:tc>
          <w:tcPr>
            <w:tcW w:w="2760" w:type="dxa"/>
            <w:gridSpan w:val="2"/>
            <w:noWrap w:val="0"/>
            <w:tcMar>
              <w:left w:w="108" w:type="dxa"/>
              <w:right w:w="108" w:type="dxa"/>
            </w:tcMar>
            <w:vAlign w:val="center"/>
          </w:tcPr>
          <w:p w14:paraId="70AA66C1">
            <w:pPr>
              <w:jc w:val="center"/>
              <w:rPr>
                <w:rFonts w:hint="eastAsia" w:ascii="宋体" w:hAnsi="宋体"/>
                <w:szCs w:val="21"/>
              </w:rPr>
            </w:pPr>
          </w:p>
        </w:tc>
        <w:tc>
          <w:tcPr>
            <w:tcW w:w="1802" w:type="dxa"/>
            <w:noWrap w:val="0"/>
            <w:tcMar>
              <w:left w:w="108" w:type="dxa"/>
              <w:right w:w="108" w:type="dxa"/>
            </w:tcMar>
            <w:vAlign w:val="center"/>
          </w:tcPr>
          <w:p w14:paraId="673E0777">
            <w:pPr>
              <w:jc w:val="center"/>
              <w:rPr>
                <w:rFonts w:hint="eastAsia" w:ascii="宋体" w:hAnsi="宋体"/>
                <w:szCs w:val="21"/>
              </w:rPr>
            </w:pPr>
          </w:p>
        </w:tc>
      </w:tr>
    </w:tbl>
    <w:p w14:paraId="573A6E82">
      <w:pPr>
        <w:spacing w:line="400" w:lineRule="exact"/>
        <w:rPr>
          <w:rFonts w:hint="eastAsia"/>
        </w:rPr>
      </w:pPr>
    </w:p>
    <w:p w14:paraId="37AE7AF7">
      <w:pPr>
        <w:ind w:left="945" w:hanging="945" w:hangingChars="450"/>
        <w:rPr>
          <w:rFonts w:hint="eastAsia"/>
        </w:rPr>
      </w:pPr>
      <w:r>
        <w:rPr>
          <w:rFonts w:hint="eastAsia"/>
        </w:rPr>
        <w:t>备注：1. 政府采购工程采用部分预留专门面向中小企业的，招标人应当明确预留工作、预留工作合同估算价及预留合同估算价与项目合同估算价的占比。</w:t>
      </w:r>
    </w:p>
    <w:p w14:paraId="45A0B6F9">
      <w:pPr>
        <w:ind w:left="945" w:leftChars="300" w:hanging="315" w:hangingChars="150"/>
        <w:rPr>
          <w:rFonts w:hint="eastAsia"/>
        </w:rPr>
      </w:pPr>
      <w:r>
        <w:rPr>
          <w:rFonts w:hint="eastAsia"/>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050F7735">
      <w:pPr>
        <w:ind w:left="840" w:leftChars="300" w:hanging="210" w:hangingChars="100"/>
      </w:pPr>
      <w:r>
        <w:rPr>
          <w:rFonts w:hint="eastAsia"/>
        </w:rPr>
        <w:t>3. 预留工作中包含专业工程暂估价的，则在备注栏中标注采用工程招标或政府采购方式专门面向中小（小微）企业。</w:t>
      </w:r>
    </w:p>
    <w:p w14:paraId="6418CC44">
      <w:pPr>
        <w:spacing w:line="400" w:lineRule="exact"/>
        <w:rPr>
          <w:rFonts w:hint="eastAsia"/>
        </w:rPr>
      </w:pPr>
    </w:p>
    <w:p w14:paraId="16D052AE">
      <w:pPr>
        <w:spacing w:line="400" w:lineRule="exact"/>
        <w:rPr>
          <w:rFonts w:hint="eastAsia"/>
        </w:rPr>
      </w:pPr>
    </w:p>
    <w:p w14:paraId="16D25DDD">
      <w:pPr>
        <w:spacing w:line="400" w:lineRule="exact"/>
        <w:rPr>
          <w:rFonts w:hint="eastAsia"/>
        </w:rPr>
      </w:pPr>
    </w:p>
    <w:p w14:paraId="44523116">
      <w:pPr>
        <w:spacing w:line="400" w:lineRule="exact"/>
        <w:rPr>
          <w:rFonts w:hint="eastAsia"/>
        </w:rPr>
      </w:pPr>
    </w:p>
    <w:p w14:paraId="63E2602F">
      <w:pPr>
        <w:spacing w:line="400" w:lineRule="exact"/>
        <w:rPr>
          <w:rFonts w:hint="eastAsia"/>
        </w:rPr>
      </w:pPr>
    </w:p>
    <w:p w14:paraId="36B1DD34">
      <w:pPr>
        <w:spacing w:line="400" w:lineRule="exact"/>
        <w:rPr>
          <w:rFonts w:hint="eastAsia"/>
        </w:rPr>
      </w:pPr>
    </w:p>
    <w:p w14:paraId="7D99B3A2">
      <w:pPr>
        <w:spacing w:line="400" w:lineRule="exact"/>
        <w:rPr>
          <w:rFonts w:hint="eastAsia"/>
        </w:rPr>
      </w:pPr>
    </w:p>
    <w:p w14:paraId="1DF28E21">
      <w:pPr>
        <w:spacing w:line="400" w:lineRule="exact"/>
        <w:rPr>
          <w:rFonts w:hint="eastAsia"/>
        </w:rPr>
      </w:pPr>
    </w:p>
    <w:p w14:paraId="198EB3E9">
      <w:pPr>
        <w:spacing w:line="400" w:lineRule="exact"/>
        <w:rPr>
          <w:rFonts w:hint="eastAsia"/>
        </w:rPr>
      </w:pPr>
    </w:p>
    <w:p w14:paraId="466D4F53">
      <w:pPr>
        <w:spacing w:line="400" w:lineRule="exact"/>
        <w:rPr>
          <w:rFonts w:hint="eastAsia"/>
        </w:rPr>
      </w:pPr>
    </w:p>
    <w:p w14:paraId="789F9C9E">
      <w:pPr>
        <w:spacing w:line="400" w:lineRule="exact"/>
      </w:pPr>
    </w:p>
    <w:p w14:paraId="7598F2F4">
      <w:pPr>
        <w:spacing w:line="400" w:lineRule="exact"/>
      </w:pPr>
    </w:p>
    <w:p w14:paraId="02D82C6B">
      <w:pPr>
        <w:spacing w:line="400" w:lineRule="exact"/>
      </w:pPr>
    </w:p>
    <w:p w14:paraId="2BB6A28E">
      <w:pPr>
        <w:pStyle w:val="20"/>
        <w:outlineLvl w:val="1"/>
        <w:rPr>
          <w:rFonts w:hint="eastAsia"/>
        </w:rPr>
      </w:pPr>
      <w:bookmarkStart w:id="300" w:name="_Toc107270823"/>
      <w:bookmarkStart w:id="301" w:name="_Toc108513565"/>
    </w:p>
    <w:p w14:paraId="7FF79AD1">
      <w:pPr>
        <w:pStyle w:val="20"/>
        <w:outlineLvl w:val="1"/>
        <w:rPr>
          <w:rFonts w:hint="eastAsia"/>
        </w:rPr>
      </w:pPr>
    </w:p>
    <w:p w14:paraId="0A05208D">
      <w:pPr>
        <w:pStyle w:val="20"/>
        <w:outlineLvl w:val="1"/>
        <w:rPr>
          <w:rFonts w:hint="eastAsia"/>
        </w:rPr>
      </w:pPr>
    </w:p>
    <w:p w14:paraId="2C13593D">
      <w:pPr>
        <w:pStyle w:val="20"/>
        <w:outlineLvl w:val="1"/>
        <w:rPr>
          <w:rFonts w:hint="eastAsia"/>
        </w:rPr>
      </w:pPr>
    </w:p>
    <w:p w14:paraId="5D338650">
      <w:pPr>
        <w:pStyle w:val="20"/>
        <w:outlineLvl w:val="1"/>
        <w:rPr>
          <w:rFonts w:hint="eastAsia"/>
        </w:rPr>
      </w:pPr>
    </w:p>
    <w:p w14:paraId="43BFF3A1">
      <w:pPr>
        <w:pStyle w:val="20"/>
        <w:outlineLvl w:val="1"/>
        <w:rPr>
          <w:rFonts w:hint="eastAsia"/>
        </w:rPr>
      </w:pPr>
    </w:p>
    <w:p w14:paraId="39FE74DF">
      <w:pPr>
        <w:pStyle w:val="20"/>
        <w:outlineLvl w:val="1"/>
        <w:rPr>
          <w:rFonts w:hint="eastAsia"/>
        </w:rPr>
      </w:pPr>
    </w:p>
    <w:p w14:paraId="4935D72F">
      <w:pPr>
        <w:pStyle w:val="20"/>
        <w:outlineLvl w:val="1"/>
        <w:rPr>
          <w:rFonts w:hint="eastAsia"/>
        </w:rPr>
      </w:pPr>
    </w:p>
    <w:p w14:paraId="6992B21A">
      <w:pPr>
        <w:pStyle w:val="20"/>
        <w:outlineLvl w:val="1"/>
        <w:rPr>
          <w:rFonts w:hint="eastAsia"/>
        </w:rPr>
      </w:pPr>
      <w:r>
        <w:rPr>
          <w:rFonts w:hint="eastAsia"/>
        </w:rPr>
        <w:t>附录三：政府采购工程适合小微企业承担的工作及金额</w:t>
      </w:r>
      <w:bookmarkEnd w:id="300"/>
      <w:bookmarkEnd w:id="301"/>
    </w:p>
    <w:p w14:paraId="646CC30D">
      <w:pPr>
        <w:ind w:left="630" w:leftChars="300"/>
        <w:jc w:val="left"/>
        <w:rPr>
          <w:rFonts w:hint="eastAsia"/>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EC4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9278680">
            <w:pPr>
              <w:jc w:val="center"/>
              <w:rPr>
                <w:rFonts w:hint="eastAsia" w:ascii="宋体" w:hAnsi="宋体"/>
                <w:szCs w:val="21"/>
              </w:rPr>
            </w:pPr>
            <w:r>
              <w:rPr>
                <w:rFonts w:hint="eastAsia" w:ascii="宋体" w:hAnsi="宋体"/>
                <w:szCs w:val="21"/>
              </w:rPr>
              <w:t>序号</w:t>
            </w:r>
          </w:p>
        </w:tc>
        <w:tc>
          <w:tcPr>
            <w:tcW w:w="3195" w:type="dxa"/>
            <w:noWrap w:val="0"/>
            <w:tcMar>
              <w:left w:w="108" w:type="dxa"/>
              <w:right w:w="108" w:type="dxa"/>
            </w:tcMar>
            <w:vAlign w:val="center"/>
          </w:tcPr>
          <w:p w14:paraId="21062B5F">
            <w:pPr>
              <w:jc w:val="center"/>
              <w:rPr>
                <w:rFonts w:hint="eastAsia" w:ascii="宋体" w:hAnsi="宋体"/>
                <w:szCs w:val="21"/>
              </w:rPr>
            </w:pPr>
            <w:r>
              <w:rPr>
                <w:rFonts w:hint="eastAsia" w:ascii="宋体" w:hAnsi="宋体"/>
                <w:szCs w:val="21"/>
              </w:rPr>
              <w:t>适合工作内容名称</w:t>
            </w:r>
          </w:p>
        </w:tc>
        <w:tc>
          <w:tcPr>
            <w:tcW w:w="1425" w:type="dxa"/>
            <w:noWrap w:val="0"/>
            <w:tcMar>
              <w:left w:w="108" w:type="dxa"/>
              <w:right w:w="108" w:type="dxa"/>
            </w:tcMar>
            <w:vAlign w:val="center"/>
          </w:tcPr>
          <w:p w14:paraId="4163B61E">
            <w:pPr>
              <w:jc w:val="center"/>
              <w:rPr>
                <w:rFonts w:hint="eastAsia" w:ascii="宋体" w:hAnsi="宋体"/>
                <w:szCs w:val="21"/>
              </w:rPr>
            </w:pPr>
            <w:r>
              <w:rPr>
                <w:rFonts w:hint="eastAsia" w:ascii="宋体" w:hAnsi="宋体"/>
                <w:szCs w:val="21"/>
              </w:rPr>
              <w:t>适合工作</w:t>
            </w:r>
          </w:p>
          <w:p w14:paraId="7F93D964">
            <w:pPr>
              <w:jc w:val="center"/>
              <w:rPr>
                <w:rFonts w:hint="eastAsia" w:ascii="宋体" w:hAnsi="宋体"/>
                <w:szCs w:val="21"/>
              </w:rPr>
            </w:pPr>
            <w:r>
              <w:rPr>
                <w:rFonts w:hint="eastAsia" w:ascii="宋体" w:hAnsi="宋体"/>
                <w:szCs w:val="21"/>
              </w:rPr>
              <w:t>合同估算价</w:t>
            </w:r>
          </w:p>
          <w:p w14:paraId="116D8C85">
            <w:pPr>
              <w:jc w:val="center"/>
              <w:rPr>
                <w:rFonts w:hint="eastAsia" w:ascii="宋体" w:hAnsi="宋体"/>
                <w:szCs w:val="21"/>
              </w:rPr>
            </w:pPr>
            <w:r>
              <w:rPr>
                <w:rFonts w:hint="eastAsia" w:ascii="宋体" w:hAnsi="宋体"/>
                <w:szCs w:val="21"/>
              </w:rPr>
              <w:t>（万元）</w:t>
            </w:r>
          </w:p>
        </w:tc>
        <w:tc>
          <w:tcPr>
            <w:tcW w:w="1335" w:type="dxa"/>
            <w:noWrap w:val="0"/>
            <w:tcMar>
              <w:left w:w="108" w:type="dxa"/>
              <w:right w:w="108" w:type="dxa"/>
            </w:tcMar>
            <w:vAlign w:val="center"/>
          </w:tcPr>
          <w:p w14:paraId="3319B620">
            <w:pPr>
              <w:jc w:val="center"/>
              <w:rPr>
                <w:rFonts w:hint="eastAsia" w:ascii="宋体" w:hAnsi="宋体"/>
                <w:szCs w:val="21"/>
              </w:rPr>
            </w:pPr>
            <w:r>
              <w:rPr>
                <w:rFonts w:hint="eastAsia" w:ascii="宋体" w:hAnsi="宋体"/>
                <w:szCs w:val="21"/>
              </w:rPr>
              <w:t>适合工作合同估算价占比（％）</w:t>
            </w:r>
          </w:p>
        </w:tc>
        <w:tc>
          <w:tcPr>
            <w:tcW w:w="1802" w:type="dxa"/>
            <w:noWrap w:val="0"/>
            <w:tcMar>
              <w:left w:w="108" w:type="dxa"/>
              <w:right w:w="108" w:type="dxa"/>
            </w:tcMar>
            <w:vAlign w:val="center"/>
          </w:tcPr>
          <w:p w14:paraId="0428A964">
            <w:pPr>
              <w:jc w:val="center"/>
              <w:rPr>
                <w:rFonts w:hint="eastAsia" w:ascii="宋体" w:hAnsi="宋体"/>
                <w:szCs w:val="21"/>
              </w:rPr>
            </w:pPr>
            <w:r>
              <w:rPr>
                <w:rFonts w:hint="eastAsia" w:ascii="宋体" w:hAnsi="宋体"/>
                <w:szCs w:val="21"/>
              </w:rPr>
              <w:t>备注</w:t>
            </w:r>
          </w:p>
        </w:tc>
      </w:tr>
      <w:tr w14:paraId="00F0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9F5DFE9">
            <w:pPr>
              <w:jc w:val="center"/>
              <w:rPr>
                <w:rFonts w:hint="eastAsia" w:ascii="宋体" w:hAnsi="宋体"/>
                <w:szCs w:val="21"/>
              </w:rPr>
            </w:pPr>
            <w:r>
              <w:rPr>
                <w:rFonts w:hint="eastAsia" w:ascii="宋体" w:hAnsi="宋体"/>
                <w:szCs w:val="21"/>
              </w:rPr>
              <w:t>１</w:t>
            </w:r>
          </w:p>
        </w:tc>
        <w:tc>
          <w:tcPr>
            <w:tcW w:w="3195" w:type="dxa"/>
            <w:noWrap w:val="0"/>
            <w:tcMar>
              <w:left w:w="108" w:type="dxa"/>
              <w:right w:w="108" w:type="dxa"/>
            </w:tcMar>
            <w:vAlign w:val="center"/>
          </w:tcPr>
          <w:p w14:paraId="6496426B">
            <w:pPr>
              <w:jc w:val="center"/>
              <w:rPr>
                <w:rFonts w:hint="eastAsia" w:ascii="宋体" w:hAnsi="宋体"/>
                <w:szCs w:val="21"/>
              </w:rPr>
            </w:pPr>
          </w:p>
        </w:tc>
        <w:tc>
          <w:tcPr>
            <w:tcW w:w="1425" w:type="dxa"/>
            <w:noWrap w:val="0"/>
            <w:tcMar>
              <w:left w:w="108" w:type="dxa"/>
              <w:right w:w="108" w:type="dxa"/>
            </w:tcMar>
            <w:vAlign w:val="center"/>
          </w:tcPr>
          <w:p w14:paraId="237C3BDF">
            <w:pPr>
              <w:jc w:val="center"/>
              <w:rPr>
                <w:rFonts w:hint="eastAsia" w:ascii="宋体" w:hAnsi="宋体"/>
                <w:szCs w:val="21"/>
              </w:rPr>
            </w:pPr>
          </w:p>
        </w:tc>
        <w:tc>
          <w:tcPr>
            <w:tcW w:w="1335" w:type="dxa"/>
            <w:noWrap w:val="0"/>
            <w:tcMar>
              <w:left w:w="108" w:type="dxa"/>
              <w:right w:w="108" w:type="dxa"/>
            </w:tcMar>
            <w:vAlign w:val="center"/>
          </w:tcPr>
          <w:p w14:paraId="5BE28ECC">
            <w:pPr>
              <w:jc w:val="center"/>
              <w:rPr>
                <w:rFonts w:hint="eastAsia" w:ascii="宋体" w:hAnsi="宋体"/>
                <w:szCs w:val="21"/>
              </w:rPr>
            </w:pPr>
          </w:p>
        </w:tc>
        <w:tc>
          <w:tcPr>
            <w:tcW w:w="1802" w:type="dxa"/>
            <w:noWrap w:val="0"/>
            <w:tcMar>
              <w:left w:w="108" w:type="dxa"/>
              <w:right w:w="108" w:type="dxa"/>
            </w:tcMar>
            <w:vAlign w:val="center"/>
          </w:tcPr>
          <w:p w14:paraId="5617DCD3">
            <w:pPr>
              <w:jc w:val="center"/>
              <w:rPr>
                <w:rFonts w:hint="eastAsia" w:ascii="宋体" w:hAnsi="宋体"/>
                <w:szCs w:val="21"/>
              </w:rPr>
            </w:pPr>
          </w:p>
        </w:tc>
      </w:tr>
      <w:tr w14:paraId="216B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FEC009D">
            <w:pPr>
              <w:jc w:val="center"/>
              <w:rPr>
                <w:rFonts w:hint="eastAsia" w:ascii="宋体" w:hAnsi="宋体"/>
                <w:szCs w:val="21"/>
              </w:rPr>
            </w:pPr>
            <w:r>
              <w:rPr>
                <w:rFonts w:hint="eastAsia" w:ascii="宋体" w:hAnsi="宋体"/>
                <w:szCs w:val="21"/>
              </w:rPr>
              <w:t>２</w:t>
            </w:r>
          </w:p>
        </w:tc>
        <w:tc>
          <w:tcPr>
            <w:tcW w:w="3195" w:type="dxa"/>
            <w:noWrap w:val="0"/>
            <w:tcMar>
              <w:left w:w="108" w:type="dxa"/>
              <w:right w:w="108" w:type="dxa"/>
            </w:tcMar>
            <w:vAlign w:val="center"/>
          </w:tcPr>
          <w:p w14:paraId="7AC843B7">
            <w:pPr>
              <w:jc w:val="center"/>
              <w:rPr>
                <w:rFonts w:hint="eastAsia" w:ascii="宋体" w:hAnsi="宋体"/>
                <w:szCs w:val="21"/>
              </w:rPr>
            </w:pPr>
          </w:p>
        </w:tc>
        <w:tc>
          <w:tcPr>
            <w:tcW w:w="1425" w:type="dxa"/>
            <w:noWrap w:val="0"/>
            <w:tcMar>
              <w:left w:w="108" w:type="dxa"/>
              <w:right w:w="108" w:type="dxa"/>
            </w:tcMar>
            <w:vAlign w:val="center"/>
          </w:tcPr>
          <w:p w14:paraId="151BE0F6">
            <w:pPr>
              <w:jc w:val="center"/>
              <w:rPr>
                <w:rFonts w:hint="eastAsia" w:ascii="宋体" w:hAnsi="宋体"/>
                <w:szCs w:val="21"/>
              </w:rPr>
            </w:pPr>
          </w:p>
        </w:tc>
        <w:tc>
          <w:tcPr>
            <w:tcW w:w="1335" w:type="dxa"/>
            <w:noWrap w:val="0"/>
            <w:tcMar>
              <w:left w:w="108" w:type="dxa"/>
              <w:right w:w="108" w:type="dxa"/>
            </w:tcMar>
            <w:vAlign w:val="center"/>
          </w:tcPr>
          <w:p w14:paraId="4AC1A763">
            <w:pPr>
              <w:jc w:val="center"/>
              <w:rPr>
                <w:rFonts w:hint="eastAsia" w:ascii="宋体" w:hAnsi="宋体"/>
                <w:szCs w:val="21"/>
              </w:rPr>
            </w:pPr>
          </w:p>
        </w:tc>
        <w:tc>
          <w:tcPr>
            <w:tcW w:w="1802" w:type="dxa"/>
            <w:noWrap w:val="0"/>
            <w:tcMar>
              <w:left w:w="108" w:type="dxa"/>
              <w:right w:w="108" w:type="dxa"/>
            </w:tcMar>
            <w:vAlign w:val="center"/>
          </w:tcPr>
          <w:p w14:paraId="516EE66D">
            <w:pPr>
              <w:jc w:val="center"/>
              <w:rPr>
                <w:rFonts w:hint="eastAsia" w:ascii="宋体" w:hAnsi="宋体"/>
                <w:szCs w:val="21"/>
              </w:rPr>
            </w:pPr>
          </w:p>
        </w:tc>
      </w:tr>
      <w:tr w14:paraId="5EF2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92EF09B">
            <w:pPr>
              <w:jc w:val="center"/>
              <w:rPr>
                <w:rFonts w:hint="eastAsia" w:ascii="宋体" w:hAnsi="宋体"/>
                <w:szCs w:val="21"/>
              </w:rPr>
            </w:pPr>
            <w:r>
              <w:rPr>
                <w:rFonts w:hint="eastAsia" w:ascii="宋体" w:hAnsi="宋体"/>
                <w:szCs w:val="21"/>
              </w:rPr>
              <w:t>３</w:t>
            </w:r>
          </w:p>
        </w:tc>
        <w:tc>
          <w:tcPr>
            <w:tcW w:w="3195" w:type="dxa"/>
            <w:noWrap w:val="0"/>
            <w:tcMar>
              <w:left w:w="108" w:type="dxa"/>
              <w:right w:w="108" w:type="dxa"/>
            </w:tcMar>
            <w:vAlign w:val="center"/>
          </w:tcPr>
          <w:p w14:paraId="7FE05736">
            <w:pPr>
              <w:jc w:val="center"/>
              <w:rPr>
                <w:rFonts w:hint="eastAsia" w:ascii="宋体" w:hAnsi="宋体"/>
                <w:szCs w:val="21"/>
              </w:rPr>
            </w:pPr>
          </w:p>
        </w:tc>
        <w:tc>
          <w:tcPr>
            <w:tcW w:w="1425" w:type="dxa"/>
            <w:noWrap w:val="0"/>
            <w:tcMar>
              <w:left w:w="108" w:type="dxa"/>
              <w:right w:w="108" w:type="dxa"/>
            </w:tcMar>
            <w:vAlign w:val="center"/>
          </w:tcPr>
          <w:p w14:paraId="01AF2929">
            <w:pPr>
              <w:jc w:val="center"/>
              <w:rPr>
                <w:rFonts w:hint="eastAsia" w:ascii="宋体" w:hAnsi="宋体"/>
                <w:szCs w:val="21"/>
              </w:rPr>
            </w:pPr>
          </w:p>
        </w:tc>
        <w:tc>
          <w:tcPr>
            <w:tcW w:w="1335" w:type="dxa"/>
            <w:noWrap w:val="0"/>
            <w:tcMar>
              <w:left w:w="108" w:type="dxa"/>
              <w:right w:w="108" w:type="dxa"/>
            </w:tcMar>
            <w:vAlign w:val="center"/>
          </w:tcPr>
          <w:p w14:paraId="53C11F3A">
            <w:pPr>
              <w:jc w:val="center"/>
              <w:rPr>
                <w:rFonts w:hint="eastAsia" w:ascii="宋体" w:hAnsi="宋体"/>
                <w:szCs w:val="21"/>
              </w:rPr>
            </w:pPr>
          </w:p>
        </w:tc>
        <w:tc>
          <w:tcPr>
            <w:tcW w:w="1802" w:type="dxa"/>
            <w:noWrap w:val="0"/>
            <w:tcMar>
              <w:left w:w="108" w:type="dxa"/>
              <w:right w:w="108" w:type="dxa"/>
            </w:tcMar>
            <w:vAlign w:val="center"/>
          </w:tcPr>
          <w:p w14:paraId="1E1096B3">
            <w:pPr>
              <w:jc w:val="center"/>
              <w:rPr>
                <w:rFonts w:hint="eastAsia" w:ascii="宋体" w:hAnsi="宋体"/>
                <w:szCs w:val="21"/>
              </w:rPr>
            </w:pPr>
          </w:p>
        </w:tc>
      </w:tr>
      <w:tr w14:paraId="35D7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CE0F8BD">
            <w:pPr>
              <w:jc w:val="center"/>
              <w:rPr>
                <w:rFonts w:hint="eastAsia" w:ascii="宋体" w:hAnsi="宋体"/>
                <w:szCs w:val="21"/>
              </w:rPr>
            </w:pPr>
            <w:r>
              <w:rPr>
                <w:rFonts w:hint="eastAsia" w:ascii="宋体" w:hAnsi="宋体"/>
                <w:szCs w:val="21"/>
              </w:rPr>
              <w:t>４</w:t>
            </w:r>
          </w:p>
        </w:tc>
        <w:tc>
          <w:tcPr>
            <w:tcW w:w="3195" w:type="dxa"/>
            <w:noWrap w:val="0"/>
            <w:tcMar>
              <w:left w:w="108" w:type="dxa"/>
              <w:right w:w="108" w:type="dxa"/>
            </w:tcMar>
            <w:vAlign w:val="center"/>
          </w:tcPr>
          <w:p w14:paraId="0C9DAC6A">
            <w:pPr>
              <w:jc w:val="center"/>
              <w:rPr>
                <w:rFonts w:hint="eastAsia" w:ascii="宋体" w:hAnsi="宋体"/>
                <w:szCs w:val="21"/>
              </w:rPr>
            </w:pPr>
          </w:p>
        </w:tc>
        <w:tc>
          <w:tcPr>
            <w:tcW w:w="1425" w:type="dxa"/>
            <w:noWrap w:val="0"/>
            <w:tcMar>
              <w:left w:w="108" w:type="dxa"/>
              <w:right w:w="108" w:type="dxa"/>
            </w:tcMar>
            <w:vAlign w:val="center"/>
          </w:tcPr>
          <w:p w14:paraId="7D43C0C3">
            <w:pPr>
              <w:jc w:val="center"/>
              <w:rPr>
                <w:rFonts w:hint="eastAsia" w:ascii="宋体" w:hAnsi="宋体"/>
                <w:szCs w:val="21"/>
              </w:rPr>
            </w:pPr>
          </w:p>
        </w:tc>
        <w:tc>
          <w:tcPr>
            <w:tcW w:w="1335" w:type="dxa"/>
            <w:noWrap w:val="0"/>
            <w:tcMar>
              <w:left w:w="108" w:type="dxa"/>
              <w:right w:w="108" w:type="dxa"/>
            </w:tcMar>
            <w:vAlign w:val="center"/>
          </w:tcPr>
          <w:p w14:paraId="6602A8B0">
            <w:pPr>
              <w:jc w:val="center"/>
              <w:rPr>
                <w:rFonts w:hint="eastAsia" w:ascii="宋体" w:hAnsi="宋体"/>
                <w:szCs w:val="21"/>
              </w:rPr>
            </w:pPr>
          </w:p>
        </w:tc>
        <w:tc>
          <w:tcPr>
            <w:tcW w:w="1802" w:type="dxa"/>
            <w:noWrap w:val="0"/>
            <w:tcMar>
              <w:left w:w="108" w:type="dxa"/>
              <w:right w:w="108" w:type="dxa"/>
            </w:tcMar>
            <w:vAlign w:val="center"/>
          </w:tcPr>
          <w:p w14:paraId="36FD6D07">
            <w:pPr>
              <w:jc w:val="center"/>
              <w:rPr>
                <w:rFonts w:hint="eastAsia" w:ascii="宋体" w:hAnsi="宋体"/>
                <w:szCs w:val="21"/>
              </w:rPr>
            </w:pPr>
          </w:p>
        </w:tc>
      </w:tr>
      <w:tr w14:paraId="075A3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12607FD">
            <w:pPr>
              <w:jc w:val="center"/>
              <w:rPr>
                <w:rFonts w:hint="eastAsia" w:ascii="宋体" w:hAnsi="宋体"/>
                <w:szCs w:val="21"/>
              </w:rPr>
            </w:pPr>
            <w:r>
              <w:rPr>
                <w:rFonts w:hint="eastAsia" w:ascii="宋体" w:hAnsi="宋体"/>
                <w:szCs w:val="21"/>
              </w:rPr>
              <w:t>５</w:t>
            </w:r>
          </w:p>
        </w:tc>
        <w:tc>
          <w:tcPr>
            <w:tcW w:w="3195" w:type="dxa"/>
            <w:noWrap w:val="0"/>
            <w:tcMar>
              <w:left w:w="108" w:type="dxa"/>
              <w:right w:w="108" w:type="dxa"/>
            </w:tcMar>
            <w:vAlign w:val="center"/>
          </w:tcPr>
          <w:p w14:paraId="694058FD">
            <w:pPr>
              <w:jc w:val="center"/>
              <w:rPr>
                <w:rFonts w:hint="eastAsia" w:ascii="宋体" w:hAnsi="宋体"/>
                <w:szCs w:val="21"/>
              </w:rPr>
            </w:pPr>
          </w:p>
        </w:tc>
        <w:tc>
          <w:tcPr>
            <w:tcW w:w="1425" w:type="dxa"/>
            <w:noWrap w:val="0"/>
            <w:tcMar>
              <w:left w:w="108" w:type="dxa"/>
              <w:right w:w="108" w:type="dxa"/>
            </w:tcMar>
            <w:vAlign w:val="center"/>
          </w:tcPr>
          <w:p w14:paraId="7599929B">
            <w:pPr>
              <w:jc w:val="center"/>
              <w:rPr>
                <w:rFonts w:hint="eastAsia" w:ascii="宋体" w:hAnsi="宋体"/>
                <w:szCs w:val="21"/>
              </w:rPr>
            </w:pPr>
          </w:p>
        </w:tc>
        <w:tc>
          <w:tcPr>
            <w:tcW w:w="1335" w:type="dxa"/>
            <w:noWrap w:val="0"/>
            <w:tcMar>
              <w:left w:w="108" w:type="dxa"/>
              <w:right w:w="108" w:type="dxa"/>
            </w:tcMar>
            <w:vAlign w:val="center"/>
          </w:tcPr>
          <w:p w14:paraId="3E65FC9A">
            <w:pPr>
              <w:jc w:val="center"/>
              <w:rPr>
                <w:rFonts w:hint="eastAsia" w:ascii="宋体" w:hAnsi="宋体"/>
                <w:szCs w:val="21"/>
              </w:rPr>
            </w:pPr>
          </w:p>
        </w:tc>
        <w:tc>
          <w:tcPr>
            <w:tcW w:w="1802" w:type="dxa"/>
            <w:noWrap w:val="0"/>
            <w:tcMar>
              <w:left w:w="108" w:type="dxa"/>
              <w:right w:w="108" w:type="dxa"/>
            </w:tcMar>
            <w:vAlign w:val="center"/>
          </w:tcPr>
          <w:p w14:paraId="2E2BEE0F">
            <w:pPr>
              <w:jc w:val="center"/>
              <w:rPr>
                <w:rFonts w:hint="eastAsia" w:ascii="宋体" w:hAnsi="宋体"/>
                <w:szCs w:val="21"/>
              </w:rPr>
            </w:pPr>
          </w:p>
        </w:tc>
      </w:tr>
      <w:tr w14:paraId="693E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3858A72">
            <w:pPr>
              <w:jc w:val="center"/>
              <w:rPr>
                <w:rFonts w:hint="eastAsia" w:ascii="宋体" w:hAnsi="宋体"/>
                <w:szCs w:val="21"/>
              </w:rPr>
            </w:pPr>
            <w:r>
              <w:rPr>
                <w:rFonts w:hint="eastAsia" w:ascii="宋体" w:hAnsi="宋体"/>
                <w:szCs w:val="21"/>
              </w:rPr>
              <w:t>６</w:t>
            </w:r>
          </w:p>
        </w:tc>
        <w:tc>
          <w:tcPr>
            <w:tcW w:w="3195" w:type="dxa"/>
            <w:noWrap w:val="0"/>
            <w:tcMar>
              <w:left w:w="108" w:type="dxa"/>
              <w:right w:w="108" w:type="dxa"/>
            </w:tcMar>
            <w:vAlign w:val="center"/>
          </w:tcPr>
          <w:p w14:paraId="6C60444F">
            <w:pPr>
              <w:jc w:val="center"/>
              <w:rPr>
                <w:rFonts w:hint="eastAsia" w:ascii="宋体" w:hAnsi="宋体"/>
                <w:szCs w:val="21"/>
              </w:rPr>
            </w:pPr>
          </w:p>
        </w:tc>
        <w:tc>
          <w:tcPr>
            <w:tcW w:w="1425" w:type="dxa"/>
            <w:noWrap w:val="0"/>
            <w:tcMar>
              <w:left w:w="108" w:type="dxa"/>
              <w:right w:w="108" w:type="dxa"/>
            </w:tcMar>
            <w:vAlign w:val="center"/>
          </w:tcPr>
          <w:p w14:paraId="5D1A4849">
            <w:pPr>
              <w:jc w:val="center"/>
              <w:rPr>
                <w:rFonts w:hint="eastAsia" w:ascii="宋体" w:hAnsi="宋体"/>
                <w:szCs w:val="21"/>
              </w:rPr>
            </w:pPr>
          </w:p>
        </w:tc>
        <w:tc>
          <w:tcPr>
            <w:tcW w:w="1335" w:type="dxa"/>
            <w:noWrap w:val="0"/>
            <w:tcMar>
              <w:left w:w="108" w:type="dxa"/>
              <w:right w:w="108" w:type="dxa"/>
            </w:tcMar>
            <w:vAlign w:val="center"/>
          </w:tcPr>
          <w:p w14:paraId="5C9367E4">
            <w:pPr>
              <w:jc w:val="center"/>
              <w:rPr>
                <w:rFonts w:hint="eastAsia" w:ascii="宋体" w:hAnsi="宋体"/>
                <w:szCs w:val="21"/>
              </w:rPr>
            </w:pPr>
          </w:p>
        </w:tc>
        <w:tc>
          <w:tcPr>
            <w:tcW w:w="1802" w:type="dxa"/>
            <w:noWrap w:val="0"/>
            <w:tcMar>
              <w:left w:w="108" w:type="dxa"/>
              <w:right w:w="108" w:type="dxa"/>
            </w:tcMar>
            <w:vAlign w:val="center"/>
          </w:tcPr>
          <w:p w14:paraId="02231DD3">
            <w:pPr>
              <w:jc w:val="center"/>
              <w:rPr>
                <w:rFonts w:hint="eastAsia" w:ascii="宋体" w:hAnsi="宋体"/>
                <w:szCs w:val="21"/>
              </w:rPr>
            </w:pPr>
          </w:p>
        </w:tc>
      </w:tr>
      <w:tr w14:paraId="1492F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DF6129E">
            <w:pPr>
              <w:jc w:val="center"/>
              <w:rPr>
                <w:rFonts w:hint="eastAsia" w:ascii="宋体" w:hAnsi="宋体"/>
                <w:szCs w:val="21"/>
              </w:rPr>
            </w:pPr>
          </w:p>
        </w:tc>
        <w:tc>
          <w:tcPr>
            <w:tcW w:w="3195" w:type="dxa"/>
            <w:noWrap w:val="0"/>
            <w:tcMar>
              <w:left w:w="108" w:type="dxa"/>
              <w:right w:w="108" w:type="dxa"/>
            </w:tcMar>
            <w:vAlign w:val="center"/>
          </w:tcPr>
          <w:p w14:paraId="7653769C">
            <w:pPr>
              <w:jc w:val="center"/>
              <w:rPr>
                <w:rFonts w:hint="eastAsia" w:ascii="宋体" w:hAnsi="宋体"/>
                <w:szCs w:val="21"/>
              </w:rPr>
            </w:pPr>
            <w:r>
              <w:rPr>
                <w:rFonts w:hint="eastAsia" w:ascii="宋体" w:hAnsi="宋体"/>
                <w:szCs w:val="21"/>
              </w:rPr>
              <w:t>合计</w:t>
            </w:r>
          </w:p>
        </w:tc>
        <w:tc>
          <w:tcPr>
            <w:tcW w:w="1425" w:type="dxa"/>
            <w:noWrap w:val="0"/>
            <w:tcMar>
              <w:left w:w="108" w:type="dxa"/>
              <w:right w:w="108" w:type="dxa"/>
            </w:tcMar>
            <w:vAlign w:val="center"/>
          </w:tcPr>
          <w:p w14:paraId="65BFD55F">
            <w:pPr>
              <w:jc w:val="center"/>
              <w:rPr>
                <w:rFonts w:hint="eastAsia" w:ascii="宋体" w:hAnsi="宋体"/>
                <w:szCs w:val="21"/>
              </w:rPr>
            </w:pPr>
          </w:p>
        </w:tc>
        <w:tc>
          <w:tcPr>
            <w:tcW w:w="1335" w:type="dxa"/>
            <w:noWrap w:val="0"/>
            <w:tcMar>
              <w:left w:w="108" w:type="dxa"/>
              <w:right w:w="108" w:type="dxa"/>
            </w:tcMar>
            <w:vAlign w:val="center"/>
          </w:tcPr>
          <w:p w14:paraId="0E002D0F">
            <w:pPr>
              <w:jc w:val="center"/>
              <w:rPr>
                <w:rFonts w:hint="eastAsia" w:ascii="宋体" w:hAnsi="宋体"/>
                <w:szCs w:val="21"/>
              </w:rPr>
            </w:pPr>
          </w:p>
        </w:tc>
        <w:tc>
          <w:tcPr>
            <w:tcW w:w="1802" w:type="dxa"/>
            <w:noWrap w:val="0"/>
            <w:tcMar>
              <w:left w:w="108" w:type="dxa"/>
              <w:right w:w="108" w:type="dxa"/>
            </w:tcMar>
            <w:vAlign w:val="center"/>
          </w:tcPr>
          <w:p w14:paraId="46AE7C55">
            <w:pPr>
              <w:jc w:val="center"/>
              <w:rPr>
                <w:rFonts w:hint="eastAsia" w:ascii="宋体" w:hAnsi="宋体"/>
                <w:szCs w:val="21"/>
              </w:rPr>
            </w:pPr>
          </w:p>
        </w:tc>
      </w:tr>
      <w:tr w14:paraId="534B5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8ECB342">
            <w:pPr>
              <w:jc w:val="center"/>
              <w:rPr>
                <w:rFonts w:hint="eastAsia" w:ascii="宋体" w:hAnsi="宋体"/>
                <w:szCs w:val="21"/>
              </w:rPr>
            </w:pPr>
          </w:p>
        </w:tc>
        <w:tc>
          <w:tcPr>
            <w:tcW w:w="3195" w:type="dxa"/>
            <w:noWrap w:val="0"/>
            <w:tcMar>
              <w:left w:w="108" w:type="dxa"/>
              <w:right w:w="108" w:type="dxa"/>
            </w:tcMar>
            <w:vAlign w:val="center"/>
          </w:tcPr>
          <w:p w14:paraId="31338B3A">
            <w:pPr>
              <w:jc w:val="center"/>
              <w:rPr>
                <w:rFonts w:hint="eastAsia" w:ascii="宋体" w:hAnsi="宋体"/>
                <w:szCs w:val="21"/>
              </w:rPr>
            </w:pPr>
            <w:r>
              <w:rPr>
                <w:rFonts w:hint="eastAsia" w:ascii="宋体" w:hAnsi="宋体"/>
                <w:szCs w:val="21"/>
              </w:rPr>
              <w:t>本项目合同估算价（万元）</w:t>
            </w:r>
          </w:p>
        </w:tc>
        <w:tc>
          <w:tcPr>
            <w:tcW w:w="2760" w:type="dxa"/>
            <w:gridSpan w:val="2"/>
            <w:noWrap w:val="0"/>
            <w:tcMar>
              <w:left w:w="108" w:type="dxa"/>
              <w:right w:w="108" w:type="dxa"/>
            </w:tcMar>
            <w:vAlign w:val="center"/>
          </w:tcPr>
          <w:p w14:paraId="1AD197E6">
            <w:pPr>
              <w:jc w:val="center"/>
              <w:rPr>
                <w:rFonts w:hint="eastAsia" w:ascii="宋体" w:hAnsi="宋体"/>
                <w:szCs w:val="21"/>
              </w:rPr>
            </w:pPr>
          </w:p>
        </w:tc>
        <w:tc>
          <w:tcPr>
            <w:tcW w:w="1802" w:type="dxa"/>
            <w:noWrap w:val="0"/>
            <w:tcMar>
              <w:left w:w="108" w:type="dxa"/>
              <w:right w:w="108" w:type="dxa"/>
            </w:tcMar>
            <w:vAlign w:val="center"/>
          </w:tcPr>
          <w:p w14:paraId="5DC2BEE2">
            <w:pPr>
              <w:jc w:val="center"/>
              <w:rPr>
                <w:rFonts w:hint="eastAsia" w:ascii="宋体" w:hAnsi="宋体"/>
                <w:szCs w:val="21"/>
              </w:rPr>
            </w:pPr>
          </w:p>
        </w:tc>
      </w:tr>
    </w:tbl>
    <w:p w14:paraId="70B9C1BB">
      <w:pPr>
        <w:spacing w:line="400" w:lineRule="exact"/>
        <w:rPr>
          <w:rFonts w:hint="eastAsia"/>
        </w:rPr>
      </w:pPr>
    </w:p>
    <w:p w14:paraId="008E9C73">
      <w:pPr>
        <w:ind w:left="945" w:hanging="945" w:hangingChars="450"/>
        <w:jc w:val="left"/>
        <w:rPr>
          <w:rFonts w:hint="eastAsia"/>
        </w:rPr>
      </w:pPr>
      <w:r>
        <w:rPr>
          <w:rFonts w:hint="eastAsia"/>
        </w:rPr>
        <w:t>备注：1. 政府采购工程</w:t>
      </w:r>
      <w:r>
        <w:rPr>
          <w:rFonts w:hint="eastAsia" w:ascii="宋体" w:hAnsi="宋体"/>
          <w:szCs w:val="21"/>
        </w:rPr>
        <w:t>未预留份额面向中小企业采购的</w:t>
      </w:r>
      <w:r>
        <w:rPr>
          <w:rFonts w:hint="eastAsia"/>
        </w:rPr>
        <w:t>，如果招标人</w:t>
      </w:r>
      <w:r>
        <w:rPr>
          <w:rFonts w:hint="eastAsia" w:ascii="宋体" w:hAnsi="宋体"/>
          <w:szCs w:val="21"/>
        </w:rPr>
        <w:t>接受大中型企业与小微企业组成联合体或允许大中型企业向一家或者多家小微企业分包，</w:t>
      </w:r>
      <w:r>
        <w:rPr>
          <w:rFonts w:hint="eastAsia"/>
        </w:rPr>
        <w:t>招标人宜明确适合</w:t>
      </w:r>
      <w:r>
        <w:rPr>
          <w:rFonts w:hint="eastAsia" w:ascii="宋体" w:hAnsi="宋体"/>
          <w:szCs w:val="21"/>
        </w:rPr>
        <w:t>联合体中的小微企业或适合接受分包的小微企业承担的</w:t>
      </w:r>
      <w:r>
        <w:rPr>
          <w:rFonts w:hint="eastAsia"/>
        </w:rPr>
        <w:t>工作、适合工作的合同估算价及适合工作的合同估算价与项目合同估算价的占比，以供投标人组建联合体或签订</w:t>
      </w:r>
      <w:r>
        <w:rPr>
          <w:rFonts w:hint="eastAsia" w:ascii="宋体" w:hAnsi="宋体"/>
          <w:szCs w:val="21"/>
        </w:rPr>
        <w:t>分包意向</w:t>
      </w:r>
      <w:r>
        <w:rPr>
          <w:rFonts w:hint="eastAsia"/>
        </w:rPr>
        <w:t>协议时参考。</w:t>
      </w:r>
    </w:p>
    <w:p w14:paraId="2A01EE7F">
      <w:pPr>
        <w:ind w:left="945" w:leftChars="300" w:hanging="315" w:hangingChars="150"/>
        <w:jc w:val="left"/>
      </w:pPr>
      <w:r>
        <w:rPr>
          <w:rFonts w:hint="eastAsia"/>
        </w:rPr>
        <w:t>2. 适合工作中包含专业工程暂估价的，则在备注栏中标注采用工程招标或政府采购方式专门面向中小（小微）企业。</w:t>
      </w:r>
    </w:p>
    <w:p w14:paraId="6B7910F7">
      <w:pPr>
        <w:spacing w:line="400" w:lineRule="exact"/>
      </w:pPr>
    </w:p>
    <w:p w14:paraId="7D89B908">
      <w:pPr>
        <w:spacing w:line="400" w:lineRule="exact"/>
      </w:pPr>
    </w:p>
    <w:p w14:paraId="10196A86">
      <w:pPr>
        <w:spacing w:line="400" w:lineRule="exact"/>
      </w:pPr>
    </w:p>
    <w:p w14:paraId="29051FC6">
      <w:pPr>
        <w:spacing w:line="400" w:lineRule="exact"/>
      </w:pPr>
    </w:p>
    <w:p w14:paraId="48490C29">
      <w:pPr>
        <w:spacing w:line="400" w:lineRule="exact"/>
      </w:pPr>
    </w:p>
    <w:p w14:paraId="306D0E2B">
      <w:pPr>
        <w:spacing w:line="400" w:lineRule="exact"/>
      </w:pPr>
    </w:p>
    <w:p w14:paraId="0A1B6517">
      <w:pPr>
        <w:pStyle w:val="3"/>
        <w:rPr>
          <w:rFonts w:hint="eastAsia" w:ascii="仿宋_GB2312" w:hAnsi="黑体" w:eastAsia="仿宋_GB2312"/>
          <w:b w:val="0"/>
          <w:bCs w:val="0"/>
          <w:spacing w:val="12"/>
          <w:sz w:val="24"/>
        </w:rPr>
      </w:pPr>
      <w:bookmarkStart w:id="302" w:name="_Toc108513566"/>
      <w:bookmarkStart w:id="303" w:name="_Toc353544000"/>
      <w:r>
        <w:rPr>
          <w:rFonts w:hint="eastAsia"/>
          <w:b w:val="0"/>
          <w:sz w:val="24"/>
          <w:szCs w:val="24"/>
        </w:rPr>
        <w:t>附表一：招标文件澄清申请函</w:t>
      </w:r>
      <w:bookmarkEnd w:id="302"/>
      <w:bookmarkEnd w:id="303"/>
    </w:p>
    <w:p w14:paraId="0D0D167E">
      <w:pPr>
        <w:rPr>
          <w:rFonts w:hint="eastAsia" w:ascii="仿宋_GB2312" w:eastAsia="仿宋_GB2312"/>
        </w:rPr>
      </w:pPr>
    </w:p>
    <w:p w14:paraId="308E4A15">
      <w:pPr>
        <w:spacing w:before="156" w:beforeLines="50" w:after="156" w:afterLines="50"/>
        <w:jc w:val="center"/>
        <w:rPr>
          <w:rFonts w:hint="eastAsia" w:ascii="仿宋_GB2312" w:eastAsia="仿宋_GB2312"/>
          <w:sz w:val="28"/>
          <w:szCs w:val="28"/>
        </w:rPr>
      </w:pPr>
    </w:p>
    <w:p w14:paraId="3203CD51">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招标文件澄清申请函</w:t>
      </w:r>
    </w:p>
    <w:p w14:paraId="495944A1">
      <w:pPr>
        <w:rPr>
          <w:rFonts w:hint="eastAsia" w:ascii="宋体" w:hAnsi="宋体"/>
        </w:rPr>
      </w:pPr>
    </w:p>
    <w:p w14:paraId="1E16FC5D">
      <w:pPr>
        <w:ind w:firstLine="6195" w:firstLineChars="2950"/>
        <w:rPr>
          <w:rFonts w:hint="eastAsia" w:ascii="宋体" w:hAnsi="宋体"/>
          <w:szCs w:val="21"/>
        </w:rPr>
      </w:pPr>
      <w:r>
        <w:rPr>
          <w:rFonts w:hint="eastAsia" w:ascii="宋体" w:hAnsi="宋体"/>
          <w:szCs w:val="21"/>
        </w:rPr>
        <w:t>编号：</w:t>
      </w:r>
      <w:r>
        <w:rPr>
          <w:rFonts w:hint="eastAsia" w:ascii="宋体" w:hAnsi="宋体"/>
          <w:szCs w:val="21"/>
          <w:u w:val="single"/>
        </w:rPr>
        <w:t xml:space="preserve">　　       </w:t>
      </w:r>
      <w:r>
        <w:rPr>
          <w:rFonts w:hint="eastAsia" w:ascii="宋体" w:hAnsi="宋体"/>
          <w:szCs w:val="21"/>
        </w:rPr>
        <w:t xml:space="preserve"> </w:t>
      </w:r>
    </w:p>
    <w:p w14:paraId="236ED1B4">
      <w:pPr>
        <w:spacing w:line="560" w:lineRule="exact"/>
        <w:ind w:firstLine="420" w:firstLineChars="200"/>
        <w:rPr>
          <w:rFonts w:hint="eastAsia" w:ascii="宋体" w:hAnsi="宋体"/>
          <w:szCs w:val="21"/>
          <w:u w:val="single"/>
        </w:rPr>
      </w:pPr>
    </w:p>
    <w:p w14:paraId="41D6B991">
      <w:pPr>
        <w:spacing w:line="56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2A32DF6E">
      <w:pPr>
        <w:spacing w:line="560" w:lineRule="exact"/>
        <w:ind w:firstLine="420" w:firstLineChars="200"/>
        <w:rPr>
          <w:rFonts w:hint="eastAsia" w:ascii="宋体" w:hAnsi="宋体"/>
          <w:szCs w:val="21"/>
        </w:rPr>
      </w:pPr>
      <w:r>
        <w:rPr>
          <w:rFonts w:hint="eastAsia" w:ascii="宋体" w:hAnsi="宋体"/>
          <w:szCs w:val="21"/>
        </w:rPr>
        <w:t>经过仔细阅读</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（标段名称）施工招标文件后，我方申请对以下问题予以澄清：</w:t>
      </w:r>
    </w:p>
    <w:p w14:paraId="355B3EBB">
      <w:pPr>
        <w:spacing w:line="560" w:lineRule="exact"/>
        <w:ind w:firstLine="105" w:firstLineChars="50"/>
        <w:rPr>
          <w:rFonts w:hint="eastAsia" w:ascii="宋体" w:hAnsi="宋体"/>
          <w:szCs w:val="21"/>
        </w:rPr>
      </w:pPr>
      <w:bookmarkStart w:id="304" w:name="_Hlt269064826"/>
      <w:r>
        <w:rPr>
          <w:rFonts w:hint="eastAsia" w:ascii="宋体" w:hAnsi="宋体"/>
          <w:szCs w:val="21"/>
        </w:rPr>
        <w:t>　1.……</w:t>
      </w:r>
    </w:p>
    <w:p w14:paraId="2BA359FA">
      <w:pPr>
        <w:spacing w:line="560" w:lineRule="exact"/>
        <w:ind w:firstLine="315" w:firstLineChars="150"/>
        <w:rPr>
          <w:rFonts w:hint="eastAsia" w:ascii="宋体" w:hAnsi="宋体"/>
          <w:szCs w:val="21"/>
        </w:rPr>
      </w:pPr>
      <w:r>
        <w:rPr>
          <w:rFonts w:hint="eastAsia" w:ascii="宋体" w:hAnsi="宋体"/>
          <w:szCs w:val="21"/>
        </w:rPr>
        <w:t>2.……</w:t>
      </w:r>
    </w:p>
    <w:p w14:paraId="4B215BA0">
      <w:pPr>
        <w:spacing w:line="560" w:lineRule="exact"/>
        <w:ind w:firstLine="420" w:firstLineChars="200"/>
        <w:rPr>
          <w:rFonts w:hint="eastAsia" w:ascii="宋体" w:hAnsi="宋体"/>
          <w:szCs w:val="21"/>
        </w:rPr>
      </w:pPr>
      <w:r>
        <w:rPr>
          <w:rFonts w:hint="eastAsia" w:ascii="宋体" w:hAnsi="宋体"/>
          <w:szCs w:val="21"/>
        </w:rPr>
        <w:t>……</w:t>
      </w:r>
    </w:p>
    <w:p w14:paraId="5F678113">
      <w:pPr>
        <w:spacing w:line="560" w:lineRule="exact"/>
        <w:ind w:firstLine="420" w:firstLineChars="200"/>
        <w:rPr>
          <w:rFonts w:hint="eastAsia" w:ascii="宋体" w:hAnsi="宋体"/>
          <w:szCs w:val="21"/>
        </w:rPr>
      </w:pPr>
    </w:p>
    <w:bookmarkEnd w:id="304"/>
    <w:p w14:paraId="4EF9D43B">
      <w:pPr>
        <w:spacing w:line="560" w:lineRule="exact"/>
        <w:ind w:firstLine="420" w:firstLineChars="200"/>
        <w:rPr>
          <w:rFonts w:hint="eastAsia" w:ascii="宋体" w:hAnsi="宋体"/>
          <w:szCs w:val="21"/>
        </w:rPr>
      </w:pPr>
    </w:p>
    <w:p w14:paraId="16B0CCAC">
      <w:pPr>
        <w:wordWrap w:val="0"/>
        <w:jc w:val="right"/>
        <w:rPr>
          <w:rFonts w:hint="eastAsia" w:ascii="宋体" w:hAnsi="宋体"/>
        </w:rPr>
      </w:pPr>
      <w:r>
        <w:rPr>
          <w:rFonts w:hint="eastAsia" w:ascii="宋体" w:hAnsi="宋体"/>
          <w:szCs w:val="21"/>
        </w:rPr>
        <w:t xml:space="preserve">　　　　　　　　　　　　　　　  </w:t>
      </w:r>
      <w:r>
        <w:rPr>
          <w:rFonts w:hint="eastAsia" w:ascii="宋体" w:hAnsi="宋体"/>
        </w:rPr>
        <w:t>投标人：</w:t>
      </w:r>
      <w:r>
        <w:rPr>
          <w:rFonts w:hint="eastAsia" w:ascii="宋体" w:hAnsi="宋体"/>
          <w:u w:val="single"/>
        </w:rPr>
        <w:t xml:space="preserve">                </w:t>
      </w:r>
      <w:r>
        <w:rPr>
          <w:rFonts w:hint="eastAsia" w:ascii="宋体" w:hAnsi="宋体"/>
        </w:rPr>
        <w:t xml:space="preserve"> （盖单位章）</w:t>
      </w:r>
    </w:p>
    <w:p w14:paraId="050BE1C4">
      <w:pPr>
        <w:jc w:val="right"/>
        <w:rPr>
          <w:rFonts w:hint="eastAsia" w:ascii="宋体" w:hAnsi="宋体"/>
        </w:rPr>
      </w:pPr>
    </w:p>
    <w:p w14:paraId="2425B055">
      <w:pPr>
        <w:spacing w:line="560" w:lineRule="exact"/>
        <w:ind w:firstLine="420" w:firstLineChars="200"/>
        <w:rPr>
          <w:rFonts w:hint="eastAsia"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ED20945">
      <w:pPr>
        <w:spacing w:line="560" w:lineRule="exact"/>
        <w:ind w:firstLine="420" w:firstLineChars="200"/>
        <w:rPr>
          <w:rFonts w:hint="eastAsia" w:ascii="宋体" w:hAnsi="宋体"/>
          <w:szCs w:val="21"/>
        </w:rPr>
      </w:pPr>
    </w:p>
    <w:p w14:paraId="4EFA2CC4">
      <w:pPr>
        <w:spacing w:line="560" w:lineRule="exact"/>
        <w:ind w:firstLine="420" w:firstLineChars="200"/>
        <w:rPr>
          <w:rFonts w:hint="eastAsia" w:ascii="宋体" w:hAnsi="宋体"/>
          <w:szCs w:val="21"/>
        </w:rPr>
      </w:pPr>
    </w:p>
    <w:p w14:paraId="388D13E6">
      <w:pPr>
        <w:spacing w:line="560" w:lineRule="exact"/>
        <w:ind w:firstLine="420" w:firstLineChars="200"/>
        <w:rPr>
          <w:rFonts w:hint="eastAsia" w:ascii="宋体" w:hAnsi="宋体"/>
          <w:szCs w:val="21"/>
        </w:rPr>
      </w:pPr>
    </w:p>
    <w:p w14:paraId="69BB8A8B">
      <w:pPr>
        <w:spacing w:line="560" w:lineRule="exact"/>
        <w:ind w:firstLine="420" w:firstLineChars="200"/>
        <w:rPr>
          <w:rFonts w:hint="eastAsia" w:ascii="宋体" w:hAnsi="宋体"/>
          <w:szCs w:val="21"/>
        </w:rPr>
      </w:pPr>
    </w:p>
    <w:p w14:paraId="148E4AFB">
      <w:pPr>
        <w:spacing w:line="560" w:lineRule="exact"/>
        <w:rPr>
          <w:rFonts w:hint="eastAsia" w:ascii="宋体" w:hAnsi="宋体"/>
          <w:szCs w:val="21"/>
        </w:rPr>
      </w:pPr>
      <w:r>
        <w:rPr>
          <w:rFonts w:hint="eastAsia" w:ascii="宋体" w:hAnsi="宋体"/>
          <w:szCs w:val="21"/>
        </w:rPr>
        <w:t>备注：投标人要求招标人澄清招标文件有关问题时，适用于本格式。</w:t>
      </w:r>
    </w:p>
    <w:p w14:paraId="4C796598">
      <w:pPr>
        <w:spacing w:line="560" w:lineRule="exact"/>
        <w:ind w:right="840" w:rightChars="400"/>
        <w:rPr>
          <w:rFonts w:hint="eastAsia" w:ascii="宋体" w:hAnsi="宋体"/>
          <w:sz w:val="24"/>
        </w:rPr>
      </w:pPr>
    </w:p>
    <w:p w14:paraId="49DF44CF">
      <w:pPr>
        <w:pStyle w:val="3"/>
        <w:rPr>
          <w:rFonts w:hint="eastAsia"/>
          <w:b w:val="0"/>
          <w:sz w:val="24"/>
          <w:szCs w:val="24"/>
        </w:rPr>
      </w:pPr>
      <w:bookmarkStart w:id="305" w:name="_Toc108513567"/>
      <w:bookmarkStart w:id="306" w:name="_Toc353544001"/>
      <w:r>
        <w:rPr>
          <w:rFonts w:hint="eastAsia"/>
          <w:b w:val="0"/>
          <w:sz w:val="24"/>
          <w:szCs w:val="24"/>
        </w:rPr>
        <w:t>附表二：招标文件文件澄清通知</w:t>
      </w:r>
      <w:bookmarkEnd w:id="305"/>
      <w:bookmarkEnd w:id="306"/>
    </w:p>
    <w:p w14:paraId="09988829">
      <w:pPr>
        <w:spacing w:line="560" w:lineRule="exact"/>
        <w:ind w:right="840" w:rightChars="400"/>
        <w:rPr>
          <w:rFonts w:hint="eastAsia" w:ascii="仿宋_GB2312" w:eastAsia="仿宋_GB2312"/>
          <w:sz w:val="24"/>
        </w:rPr>
      </w:pPr>
    </w:p>
    <w:p w14:paraId="300DDEF7">
      <w:pPr>
        <w:rPr>
          <w:rFonts w:hint="eastAsia" w:ascii="仿宋_GB2312" w:eastAsia="仿宋_GB2312"/>
        </w:rPr>
      </w:pPr>
    </w:p>
    <w:p w14:paraId="4E9C3CC7">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招标文件澄清通知</w:t>
      </w:r>
    </w:p>
    <w:p w14:paraId="49F67679">
      <w:pPr>
        <w:rPr>
          <w:rFonts w:hint="eastAsia" w:ascii="宋体" w:hAnsi="宋体"/>
        </w:rPr>
      </w:pPr>
    </w:p>
    <w:p w14:paraId="73A0BB18">
      <w:pPr>
        <w:ind w:firstLine="5985" w:firstLineChars="2850"/>
        <w:rPr>
          <w:rFonts w:hint="eastAsia" w:ascii="宋体" w:hAnsi="宋体"/>
        </w:rPr>
      </w:pPr>
      <w:r>
        <w:rPr>
          <w:rFonts w:hint="eastAsia" w:ascii="宋体" w:hAnsi="宋体"/>
        </w:rPr>
        <w:t>编号：</w:t>
      </w:r>
      <w:r>
        <w:rPr>
          <w:rFonts w:hint="eastAsia" w:ascii="宋体" w:hAnsi="宋体"/>
          <w:u w:val="single"/>
        </w:rPr>
        <w:t>　        　</w:t>
      </w:r>
    </w:p>
    <w:p w14:paraId="171D2D41">
      <w:pPr>
        <w:rPr>
          <w:rFonts w:hint="eastAsia" w:ascii="宋体" w:hAnsi="宋体"/>
        </w:rPr>
      </w:pPr>
    </w:p>
    <w:p w14:paraId="58A19B9B">
      <w:pPr>
        <w:spacing w:line="560" w:lineRule="exact"/>
        <w:rPr>
          <w:rFonts w:hint="eastAsia" w:ascii="宋体" w:hAnsi="宋体"/>
          <w:szCs w:val="21"/>
        </w:rPr>
      </w:pPr>
      <w:r>
        <w:rPr>
          <w:rFonts w:hint="eastAsia" w:ascii="宋体" w:hAnsi="宋体"/>
        </w:rPr>
        <w:t>各</w:t>
      </w:r>
      <w:r>
        <w:rPr>
          <w:rFonts w:hint="eastAsia" w:ascii="宋体" w:hAnsi="宋体"/>
          <w:szCs w:val="21"/>
        </w:rPr>
        <w:t>投标人：</w:t>
      </w:r>
    </w:p>
    <w:p w14:paraId="2BD727D9">
      <w:pPr>
        <w:spacing w:line="560" w:lineRule="exact"/>
        <w:ind w:firstLine="420" w:firstLineChars="200"/>
        <w:rPr>
          <w:rFonts w:hint="eastAsia" w:ascii="宋体" w:hAnsi="宋体"/>
          <w:szCs w:val="21"/>
        </w:rPr>
      </w:pPr>
      <w:r>
        <w:rPr>
          <w:rFonts w:hint="eastAsia" w:ascii="宋体" w:hAnsi="宋体"/>
          <w:szCs w:val="21"/>
        </w:rPr>
        <w:t>经研究，对</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（标段名称）施工招标文件，作如下澄清：</w:t>
      </w:r>
    </w:p>
    <w:p w14:paraId="2F482CFB">
      <w:pPr>
        <w:spacing w:line="560" w:lineRule="exact"/>
        <w:ind w:firstLine="420" w:firstLineChars="200"/>
        <w:rPr>
          <w:rFonts w:hint="eastAsia" w:ascii="宋体" w:hAnsi="宋体"/>
          <w:szCs w:val="21"/>
        </w:rPr>
      </w:pPr>
      <w:r>
        <w:rPr>
          <w:rFonts w:hint="eastAsia" w:ascii="宋体" w:hAnsi="宋体"/>
          <w:szCs w:val="21"/>
        </w:rPr>
        <w:t>1.……</w:t>
      </w:r>
    </w:p>
    <w:p w14:paraId="35538C36">
      <w:pPr>
        <w:spacing w:line="560" w:lineRule="exact"/>
        <w:ind w:firstLine="420" w:firstLineChars="200"/>
        <w:rPr>
          <w:rFonts w:hint="eastAsia" w:ascii="宋体" w:hAnsi="宋体"/>
          <w:szCs w:val="21"/>
        </w:rPr>
      </w:pPr>
      <w:r>
        <w:rPr>
          <w:rFonts w:hint="eastAsia" w:ascii="宋体" w:hAnsi="宋体"/>
          <w:szCs w:val="21"/>
        </w:rPr>
        <w:t>2.……</w:t>
      </w:r>
    </w:p>
    <w:p w14:paraId="756766C2">
      <w:pPr>
        <w:spacing w:line="560" w:lineRule="exact"/>
        <w:ind w:firstLine="420" w:firstLineChars="200"/>
        <w:rPr>
          <w:rFonts w:hint="eastAsia" w:ascii="宋体" w:hAnsi="宋体"/>
          <w:szCs w:val="21"/>
        </w:rPr>
      </w:pPr>
      <w:r>
        <w:rPr>
          <w:rFonts w:hint="eastAsia" w:ascii="宋体" w:hAnsi="宋体"/>
          <w:szCs w:val="21"/>
        </w:rPr>
        <w:t>……</w:t>
      </w:r>
    </w:p>
    <w:p w14:paraId="13C957BA">
      <w:pPr>
        <w:spacing w:line="560" w:lineRule="exact"/>
        <w:rPr>
          <w:rFonts w:hint="eastAsia" w:ascii="宋体" w:hAnsi="宋体"/>
          <w:szCs w:val="21"/>
        </w:rPr>
      </w:pPr>
    </w:p>
    <w:p w14:paraId="2FB94F48">
      <w:pPr>
        <w:spacing w:line="560" w:lineRule="exact"/>
        <w:ind w:firstLine="420" w:firstLineChars="200"/>
        <w:rPr>
          <w:rFonts w:hint="eastAsia" w:ascii="宋体" w:hAnsi="宋体"/>
          <w:szCs w:val="21"/>
        </w:rPr>
      </w:pPr>
    </w:p>
    <w:p w14:paraId="752A7305">
      <w:pPr>
        <w:spacing w:line="560" w:lineRule="exact"/>
        <w:ind w:firstLine="420" w:firstLineChars="200"/>
        <w:rPr>
          <w:rFonts w:hint="eastAsia" w:ascii="宋体" w:hAnsi="宋体"/>
          <w:szCs w:val="21"/>
        </w:rPr>
      </w:pPr>
    </w:p>
    <w:p w14:paraId="2A526F95">
      <w:pPr>
        <w:spacing w:line="560" w:lineRule="exact"/>
        <w:ind w:firstLine="420" w:firstLineChars="200"/>
        <w:rPr>
          <w:rFonts w:hint="eastAsia" w:ascii="宋体" w:hAnsi="宋体"/>
          <w:szCs w:val="21"/>
        </w:rPr>
      </w:pPr>
    </w:p>
    <w:p w14:paraId="7FCA6A32">
      <w:pPr>
        <w:wordWrap w:val="0"/>
        <w:jc w:val="right"/>
        <w:rPr>
          <w:rFonts w:hint="eastAsia" w:ascii="宋体" w:hAnsi="宋体"/>
        </w:rPr>
      </w:pPr>
      <w:r>
        <w:rPr>
          <w:rFonts w:hint="eastAsia" w:ascii="宋体" w:hAnsi="宋体"/>
          <w:szCs w:val="21"/>
        </w:rPr>
        <w:t>　　　　　　　　　　　　　　　　</w:t>
      </w:r>
      <w:r>
        <w:rPr>
          <w:rFonts w:hint="eastAsia" w:ascii="宋体" w:hAnsi="宋体"/>
        </w:rPr>
        <w:t>招标人：</w:t>
      </w:r>
      <w:r>
        <w:rPr>
          <w:rFonts w:hint="eastAsia" w:ascii="宋体" w:hAnsi="宋体"/>
          <w:u w:val="single"/>
        </w:rPr>
        <w:t xml:space="preserve">                  </w:t>
      </w:r>
      <w:r>
        <w:rPr>
          <w:rFonts w:hint="eastAsia" w:ascii="宋体" w:hAnsi="宋体"/>
        </w:rPr>
        <w:t xml:space="preserve"> （盖单位章）</w:t>
      </w:r>
    </w:p>
    <w:p w14:paraId="6DE99BDE">
      <w:pPr>
        <w:spacing w:line="560" w:lineRule="exact"/>
        <w:ind w:firstLine="420" w:firstLineChars="200"/>
        <w:rPr>
          <w:rFonts w:hint="eastAsia" w:ascii="宋体" w:hAnsi="宋体"/>
        </w:rPr>
      </w:pPr>
    </w:p>
    <w:p w14:paraId="629B591E">
      <w:pPr>
        <w:spacing w:line="560" w:lineRule="exact"/>
        <w:ind w:firstLine="420" w:firstLineChars="200"/>
        <w:rPr>
          <w:rFonts w:hint="eastAsia"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0BC8FE82">
      <w:pPr>
        <w:spacing w:line="560" w:lineRule="exact"/>
        <w:rPr>
          <w:rFonts w:hint="eastAsia" w:ascii="宋体" w:hAnsi="宋体"/>
          <w:szCs w:val="21"/>
        </w:rPr>
      </w:pPr>
    </w:p>
    <w:p w14:paraId="488D252D">
      <w:pPr>
        <w:spacing w:line="560" w:lineRule="exact"/>
        <w:rPr>
          <w:rFonts w:hint="eastAsia" w:ascii="宋体" w:hAnsi="宋体"/>
          <w:szCs w:val="21"/>
        </w:rPr>
      </w:pPr>
    </w:p>
    <w:p w14:paraId="5D6D4452">
      <w:pPr>
        <w:spacing w:line="560" w:lineRule="exact"/>
        <w:ind w:left="630" w:hanging="630" w:hangingChars="300"/>
        <w:rPr>
          <w:rFonts w:hint="eastAsia" w:ascii="宋体" w:hAnsi="宋体"/>
          <w:szCs w:val="21"/>
        </w:rPr>
      </w:pPr>
      <w:r>
        <w:rPr>
          <w:rFonts w:hint="eastAsia" w:ascii="宋体" w:hAnsi="宋体"/>
          <w:szCs w:val="21"/>
        </w:rPr>
        <w:t>备注：招标人对招标文件有关问题澄清时，适用本格式。招标人可根据需要将附表二与附表三内容合并发出。</w:t>
      </w:r>
    </w:p>
    <w:p w14:paraId="71FCA69E">
      <w:pPr>
        <w:spacing w:line="560" w:lineRule="exact"/>
        <w:ind w:firstLine="420" w:firstLineChars="200"/>
        <w:rPr>
          <w:rFonts w:hint="eastAsia" w:ascii="仿宋_GB2312" w:eastAsia="仿宋_GB2312"/>
          <w:szCs w:val="21"/>
        </w:rPr>
      </w:pPr>
    </w:p>
    <w:p w14:paraId="2D088C82">
      <w:pPr>
        <w:pStyle w:val="3"/>
        <w:rPr>
          <w:rFonts w:hint="eastAsia"/>
          <w:b w:val="0"/>
          <w:sz w:val="24"/>
          <w:szCs w:val="24"/>
        </w:rPr>
      </w:pPr>
      <w:bookmarkStart w:id="307" w:name="_Toc108513568"/>
      <w:bookmarkStart w:id="308" w:name="_Toc353544002"/>
      <w:r>
        <w:rPr>
          <w:rFonts w:hint="eastAsia"/>
          <w:b w:val="0"/>
          <w:sz w:val="24"/>
          <w:szCs w:val="24"/>
        </w:rPr>
        <w:t>附表三：招标文件文件修改通知</w:t>
      </w:r>
      <w:bookmarkEnd w:id="307"/>
      <w:bookmarkEnd w:id="308"/>
    </w:p>
    <w:p w14:paraId="553B1E49">
      <w:pPr>
        <w:spacing w:line="560" w:lineRule="exact"/>
        <w:ind w:right="840" w:rightChars="400"/>
        <w:rPr>
          <w:rFonts w:hint="eastAsia" w:ascii="仿宋_GB2312" w:eastAsia="仿宋_GB2312"/>
          <w:sz w:val="24"/>
        </w:rPr>
      </w:pPr>
    </w:p>
    <w:p w14:paraId="5B1E3063">
      <w:pPr>
        <w:rPr>
          <w:rFonts w:hint="eastAsia" w:ascii="仿宋_GB2312" w:eastAsia="仿宋_GB2312"/>
        </w:rPr>
      </w:pPr>
    </w:p>
    <w:p w14:paraId="57ED5C23">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招标文件修改通知</w:t>
      </w:r>
    </w:p>
    <w:p w14:paraId="19FA55CE">
      <w:pPr>
        <w:rPr>
          <w:rFonts w:hint="eastAsia" w:ascii="宋体" w:hAnsi="宋体"/>
        </w:rPr>
      </w:pPr>
    </w:p>
    <w:p w14:paraId="5A770E17">
      <w:pPr>
        <w:ind w:left="5985" w:leftChars="2850"/>
        <w:rPr>
          <w:rFonts w:hint="eastAsia" w:ascii="宋体" w:hAnsi="宋体"/>
        </w:rPr>
      </w:pPr>
      <w:r>
        <w:rPr>
          <w:rFonts w:hint="eastAsia" w:ascii="宋体" w:hAnsi="宋体"/>
        </w:rPr>
        <w:t xml:space="preserve">                                   编号：</w:t>
      </w:r>
      <w:r>
        <w:rPr>
          <w:rFonts w:hint="eastAsia" w:ascii="宋体" w:hAnsi="宋体"/>
          <w:u w:val="single"/>
        </w:rPr>
        <w:t>　        　</w:t>
      </w:r>
    </w:p>
    <w:p w14:paraId="700FDF65">
      <w:pPr>
        <w:rPr>
          <w:rFonts w:hint="eastAsia" w:ascii="宋体" w:hAnsi="宋体"/>
        </w:rPr>
      </w:pPr>
    </w:p>
    <w:p w14:paraId="6E53C7AD">
      <w:pPr>
        <w:spacing w:line="560" w:lineRule="exact"/>
        <w:rPr>
          <w:rFonts w:hint="eastAsia" w:ascii="宋体" w:hAnsi="宋体"/>
          <w:szCs w:val="21"/>
        </w:rPr>
      </w:pPr>
      <w:r>
        <w:rPr>
          <w:rFonts w:hint="eastAsia" w:ascii="宋体" w:hAnsi="宋体"/>
        </w:rPr>
        <w:t>各</w:t>
      </w:r>
      <w:r>
        <w:rPr>
          <w:rFonts w:hint="eastAsia" w:ascii="宋体" w:hAnsi="宋体"/>
          <w:szCs w:val="21"/>
        </w:rPr>
        <w:t>投标人：</w:t>
      </w:r>
    </w:p>
    <w:p w14:paraId="0A21E328">
      <w:pPr>
        <w:spacing w:line="560" w:lineRule="exact"/>
        <w:ind w:firstLine="420" w:firstLineChars="200"/>
        <w:rPr>
          <w:rFonts w:hint="eastAsia" w:ascii="宋体" w:hAnsi="宋体"/>
          <w:szCs w:val="21"/>
        </w:rPr>
      </w:pPr>
      <w:r>
        <w:rPr>
          <w:rFonts w:hint="eastAsia" w:ascii="宋体" w:hAnsi="宋体"/>
          <w:szCs w:val="21"/>
        </w:rPr>
        <w:t>经研究，对</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w:t>
      </w:r>
      <w:r>
        <w:rPr>
          <w:rFonts w:hint="eastAsia" w:ascii="宋体" w:hAnsi="宋体"/>
          <w:szCs w:val="21"/>
        </w:rPr>
        <w:t xml:space="preserve"> （标段名称）施工招标文件，作如下修改：</w:t>
      </w:r>
    </w:p>
    <w:p w14:paraId="76F36CC0">
      <w:pPr>
        <w:spacing w:line="560" w:lineRule="exact"/>
        <w:ind w:firstLine="420" w:firstLineChars="200"/>
        <w:rPr>
          <w:rFonts w:hint="eastAsia" w:ascii="宋体" w:hAnsi="宋体"/>
          <w:szCs w:val="21"/>
        </w:rPr>
      </w:pPr>
      <w:r>
        <w:rPr>
          <w:rFonts w:hint="eastAsia" w:ascii="宋体" w:hAnsi="宋体"/>
          <w:szCs w:val="21"/>
        </w:rPr>
        <w:t>1.……</w:t>
      </w:r>
    </w:p>
    <w:p w14:paraId="3AE5C175">
      <w:pPr>
        <w:spacing w:line="560" w:lineRule="exact"/>
        <w:ind w:firstLine="420" w:firstLineChars="200"/>
        <w:rPr>
          <w:rFonts w:hint="eastAsia" w:ascii="宋体" w:hAnsi="宋体"/>
          <w:szCs w:val="21"/>
        </w:rPr>
      </w:pPr>
      <w:r>
        <w:rPr>
          <w:rFonts w:hint="eastAsia" w:ascii="宋体" w:hAnsi="宋体"/>
          <w:szCs w:val="21"/>
        </w:rPr>
        <w:t>2.……</w:t>
      </w:r>
    </w:p>
    <w:p w14:paraId="2AAE6D11">
      <w:pPr>
        <w:spacing w:line="560" w:lineRule="exact"/>
        <w:ind w:firstLine="420" w:firstLineChars="200"/>
        <w:rPr>
          <w:rFonts w:hint="eastAsia" w:ascii="宋体" w:hAnsi="宋体"/>
          <w:szCs w:val="21"/>
        </w:rPr>
      </w:pPr>
      <w:r>
        <w:rPr>
          <w:rFonts w:hint="eastAsia" w:ascii="宋体" w:hAnsi="宋体"/>
          <w:szCs w:val="21"/>
        </w:rPr>
        <w:t>……</w:t>
      </w:r>
    </w:p>
    <w:p w14:paraId="5308FA72">
      <w:pPr>
        <w:spacing w:line="560" w:lineRule="exact"/>
        <w:rPr>
          <w:rFonts w:hint="eastAsia" w:ascii="宋体" w:hAnsi="宋体"/>
          <w:szCs w:val="21"/>
        </w:rPr>
      </w:pPr>
    </w:p>
    <w:p w14:paraId="7FBB37AA">
      <w:pPr>
        <w:spacing w:line="560" w:lineRule="exact"/>
        <w:ind w:firstLine="420" w:firstLineChars="200"/>
        <w:rPr>
          <w:rFonts w:hint="eastAsia" w:ascii="宋体" w:hAnsi="宋体"/>
          <w:szCs w:val="21"/>
          <w:bdr w:val="single" w:color="auto" w:sz="4" w:space="0"/>
        </w:rPr>
      </w:pPr>
    </w:p>
    <w:p w14:paraId="1808867B">
      <w:pPr>
        <w:spacing w:line="560" w:lineRule="exact"/>
        <w:ind w:firstLine="420" w:firstLineChars="200"/>
        <w:rPr>
          <w:rFonts w:hint="eastAsia" w:ascii="宋体" w:hAnsi="宋体"/>
          <w:szCs w:val="21"/>
        </w:rPr>
      </w:pPr>
    </w:p>
    <w:p w14:paraId="2763ECC5">
      <w:pPr>
        <w:spacing w:line="560" w:lineRule="exact"/>
        <w:ind w:firstLine="420" w:firstLineChars="200"/>
        <w:rPr>
          <w:rFonts w:hint="eastAsia" w:ascii="宋体" w:hAnsi="宋体"/>
          <w:szCs w:val="21"/>
        </w:rPr>
      </w:pPr>
    </w:p>
    <w:p w14:paraId="4E359E23">
      <w:pPr>
        <w:wordWrap w:val="0"/>
        <w:jc w:val="right"/>
        <w:rPr>
          <w:rFonts w:hint="eastAsia" w:ascii="宋体" w:hAnsi="宋体"/>
        </w:rPr>
      </w:pPr>
      <w:r>
        <w:rPr>
          <w:rFonts w:hint="eastAsia" w:ascii="宋体" w:hAnsi="宋体"/>
          <w:szCs w:val="21"/>
        </w:rPr>
        <w:t>　　　　　　　　　　　　　　　　</w:t>
      </w:r>
      <w:r>
        <w:rPr>
          <w:rFonts w:hint="eastAsia" w:ascii="宋体" w:hAnsi="宋体"/>
        </w:rPr>
        <w:t>招标人：</w:t>
      </w:r>
      <w:r>
        <w:rPr>
          <w:rFonts w:hint="eastAsia" w:ascii="宋体" w:hAnsi="宋体"/>
          <w:u w:val="single"/>
        </w:rPr>
        <w:t xml:space="preserve">                  </w:t>
      </w:r>
      <w:r>
        <w:rPr>
          <w:rFonts w:hint="eastAsia" w:ascii="宋体" w:hAnsi="宋体"/>
        </w:rPr>
        <w:t xml:space="preserve"> （盖单位章）</w:t>
      </w:r>
    </w:p>
    <w:p w14:paraId="43F4069F">
      <w:pPr>
        <w:spacing w:line="560" w:lineRule="exact"/>
        <w:ind w:firstLine="420" w:firstLineChars="200"/>
        <w:rPr>
          <w:rFonts w:hint="eastAsia" w:ascii="宋体" w:hAnsi="宋体"/>
        </w:rPr>
      </w:pPr>
    </w:p>
    <w:p w14:paraId="5B7B298F">
      <w:pPr>
        <w:spacing w:line="560" w:lineRule="exact"/>
        <w:ind w:firstLine="420" w:firstLineChars="200"/>
        <w:rPr>
          <w:rFonts w:hint="eastAsia" w:ascii="宋体" w:hAnsi="宋体"/>
          <w:szCs w:val="21"/>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B02BC83">
      <w:pPr>
        <w:spacing w:line="560" w:lineRule="exact"/>
        <w:rPr>
          <w:rFonts w:hint="eastAsia" w:ascii="宋体" w:hAnsi="宋体"/>
          <w:szCs w:val="21"/>
        </w:rPr>
      </w:pPr>
    </w:p>
    <w:p w14:paraId="2E2CB68E">
      <w:pPr>
        <w:spacing w:line="560" w:lineRule="exact"/>
        <w:rPr>
          <w:rFonts w:hint="eastAsia" w:ascii="宋体" w:hAnsi="宋体"/>
          <w:szCs w:val="21"/>
        </w:rPr>
      </w:pPr>
    </w:p>
    <w:p w14:paraId="00C35FF5">
      <w:pPr>
        <w:spacing w:line="560" w:lineRule="exact"/>
        <w:rPr>
          <w:rFonts w:hint="eastAsia" w:ascii="仿宋_GB2312" w:eastAsia="仿宋_GB2312"/>
          <w:szCs w:val="21"/>
        </w:rPr>
      </w:pPr>
      <w:r>
        <w:rPr>
          <w:rFonts w:hint="eastAsia" w:ascii="宋体" w:hAnsi="宋体"/>
          <w:szCs w:val="21"/>
        </w:rPr>
        <w:t>备注：招标人对招标文件有关问题修改时，适用本格式。</w:t>
      </w:r>
    </w:p>
    <w:p w14:paraId="60924E50">
      <w:pPr>
        <w:spacing w:after="468" w:afterLines="150"/>
        <w:rPr>
          <w:rFonts w:hint="eastAsia" w:ascii="仿宋_GB2312" w:eastAsia="仿宋_GB2312"/>
          <w:sz w:val="24"/>
        </w:rPr>
      </w:pPr>
    </w:p>
    <w:p w14:paraId="3942141F">
      <w:pPr>
        <w:pStyle w:val="3"/>
        <w:rPr>
          <w:rFonts w:hint="eastAsia"/>
          <w:b w:val="0"/>
          <w:sz w:val="24"/>
          <w:szCs w:val="24"/>
        </w:rPr>
      </w:pPr>
      <w:bookmarkStart w:id="309" w:name="_Toc353544004"/>
      <w:bookmarkStart w:id="310" w:name="_Toc108513569"/>
      <w:r>
        <w:rPr>
          <w:rFonts w:hint="eastAsia"/>
          <w:b w:val="0"/>
          <w:sz w:val="24"/>
          <w:szCs w:val="24"/>
        </w:rPr>
        <w:t>附表四：投标文件递交签收凭证</w:t>
      </w:r>
      <w:bookmarkEnd w:id="309"/>
      <w:bookmarkEnd w:id="310"/>
    </w:p>
    <w:p w14:paraId="2CA99C0F">
      <w:pPr>
        <w:spacing w:before="312" w:beforeLines="100" w:after="312" w:afterLines="100" w:line="480" w:lineRule="exact"/>
        <w:jc w:val="center"/>
        <w:rPr>
          <w:rFonts w:hint="eastAsia" w:ascii="黑体" w:eastAsia="黑体"/>
          <w:sz w:val="28"/>
          <w:szCs w:val="28"/>
        </w:rPr>
      </w:pPr>
    </w:p>
    <w:p w14:paraId="770AB3BD">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投标文件递交签收凭证</w:t>
      </w:r>
    </w:p>
    <w:p w14:paraId="1B8C2B65">
      <w:pPr>
        <w:rPr>
          <w:rFonts w:hint="eastAsia" w:ascii="宋体" w:hAnsi="宋体" w:cs="宋体"/>
          <w:kern w:val="0"/>
          <w:szCs w:val="21"/>
        </w:rPr>
      </w:pPr>
    </w:p>
    <w:p w14:paraId="112DBC3C">
      <w:pPr>
        <w:ind w:firstLine="6405" w:firstLineChars="3050"/>
        <w:rPr>
          <w:rFonts w:hint="eastAsia" w:ascii="宋体" w:hAnsi="宋体"/>
          <w:sz w:val="28"/>
          <w:szCs w:val="28"/>
        </w:rPr>
      </w:pPr>
      <w:r>
        <w:rPr>
          <w:rFonts w:hint="eastAsia" w:ascii="宋体" w:hAnsi="宋体"/>
        </w:rPr>
        <w:t>编号：</w:t>
      </w:r>
      <w:r>
        <w:rPr>
          <w:rFonts w:hint="eastAsia" w:ascii="宋体" w:hAnsi="宋体"/>
          <w:u w:val="single"/>
        </w:rPr>
        <w:t xml:space="preserve">           </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6392"/>
      </w:tblGrid>
      <w:tr w14:paraId="62F91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AB4F750">
            <w:pPr>
              <w:jc w:val="center"/>
              <w:rPr>
                <w:rFonts w:hint="eastAsia" w:ascii="宋体" w:hAnsi="宋体"/>
              </w:rPr>
            </w:pPr>
            <w:r>
              <w:rPr>
                <w:rFonts w:hint="eastAsia" w:ascii="宋体" w:hAnsi="宋体"/>
              </w:rPr>
              <w:t>工程名称</w:t>
            </w:r>
          </w:p>
        </w:tc>
        <w:tc>
          <w:tcPr>
            <w:tcW w:w="6392" w:type="dxa"/>
            <w:noWrap w:val="0"/>
            <w:vAlign w:val="center"/>
          </w:tcPr>
          <w:p w14:paraId="2F46B1CB">
            <w:pPr>
              <w:rPr>
                <w:rFonts w:hint="eastAsia" w:ascii="宋体" w:hAnsi="宋体"/>
              </w:rPr>
            </w:pPr>
            <w:r>
              <w:rPr>
                <w:rFonts w:hint="eastAsia" w:ascii="宋体" w:hAnsi="宋体"/>
                <w:u w:val="single"/>
              </w:rPr>
              <w:t xml:space="preserve">             </w:t>
            </w:r>
            <w:r>
              <w:rPr>
                <w:rFonts w:hint="eastAsia" w:ascii="宋体" w:hAnsi="宋体"/>
              </w:rPr>
              <w:t xml:space="preserve"> （项目名称）</w:t>
            </w:r>
            <w:r>
              <w:rPr>
                <w:rFonts w:hint="eastAsia" w:ascii="宋体" w:hAnsi="宋体"/>
                <w:u w:val="single"/>
              </w:rPr>
              <w:t xml:space="preserve">       </w:t>
            </w:r>
            <w:r>
              <w:rPr>
                <w:rFonts w:hint="eastAsia" w:ascii="宋体" w:hAnsi="宋体"/>
              </w:rPr>
              <w:t xml:space="preserve"> </w:t>
            </w:r>
            <w:r>
              <w:rPr>
                <w:rFonts w:hint="eastAsia"/>
              </w:rPr>
              <w:t>（标段名称）</w:t>
            </w:r>
          </w:p>
        </w:tc>
      </w:tr>
      <w:tr w14:paraId="14D5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AE1D528">
            <w:pPr>
              <w:jc w:val="center"/>
              <w:rPr>
                <w:rFonts w:hint="eastAsia" w:ascii="宋体" w:hAnsi="宋体"/>
              </w:rPr>
            </w:pPr>
            <w:r>
              <w:rPr>
                <w:rFonts w:hint="eastAsia" w:ascii="宋体" w:hAnsi="宋体"/>
              </w:rPr>
              <w:t>招标人</w:t>
            </w:r>
          </w:p>
        </w:tc>
        <w:tc>
          <w:tcPr>
            <w:tcW w:w="6392" w:type="dxa"/>
            <w:noWrap w:val="0"/>
            <w:vAlign w:val="center"/>
          </w:tcPr>
          <w:p w14:paraId="62BB7BE2">
            <w:pPr>
              <w:jc w:val="center"/>
              <w:rPr>
                <w:rFonts w:hint="eastAsia" w:ascii="宋体" w:hAnsi="宋体"/>
              </w:rPr>
            </w:pPr>
          </w:p>
        </w:tc>
      </w:tr>
      <w:tr w14:paraId="09C38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F9D3499">
            <w:pPr>
              <w:jc w:val="center"/>
              <w:rPr>
                <w:rFonts w:hint="eastAsia" w:ascii="宋体" w:hAnsi="宋体"/>
              </w:rPr>
            </w:pPr>
            <w:r>
              <w:rPr>
                <w:rFonts w:hint="eastAsia" w:ascii="宋体" w:hAnsi="宋体"/>
              </w:rPr>
              <w:t>招标代理机构</w:t>
            </w:r>
          </w:p>
        </w:tc>
        <w:tc>
          <w:tcPr>
            <w:tcW w:w="6392" w:type="dxa"/>
            <w:noWrap w:val="0"/>
            <w:vAlign w:val="center"/>
          </w:tcPr>
          <w:p w14:paraId="1398482E">
            <w:pPr>
              <w:jc w:val="center"/>
              <w:rPr>
                <w:rFonts w:hint="eastAsia" w:ascii="宋体" w:hAnsi="宋体"/>
              </w:rPr>
            </w:pPr>
          </w:p>
        </w:tc>
      </w:tr>
      <w:tr w14:paraId="7C0E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C7CE6AF">
            <w:pPr>
              <w:jc w:val="center"/>
              <w:rPr>
                <w:rFonts w:hint="eastAsia" w:ascii="宋体" w:hAnsi="宋体"/>
              </w:rPr>
            </w:pPr>
            <w:r>
              <w:rPr>
                <w:rFonts w:hint="eastAsia" w:ascii="宋体" w:hAnsi="宋体"/>
              </w:rPr>
              <w:t>投标人</w:t>
            </w:r>
          </w:p>
        </w:tc>
        <w:tc>
          <w:tcPr>
            <w:tcW w:w="6392" w:type="dxa"/>
            <w:noWrap w:val="0"/>
            <w:vAlign w:val="center"/>
          </w:tcPr>
          <w:p w14:paraId="1B266585">
            <w:pPr>
              <w:jc w:val="center"/>
              <w:rPr>
                <w:rFonts w:hint="eastAsia" w:ascii="宋体" w:hAnsi="宋体"/>
              </w:rPr>
            </w:pPr>
          </w:p>
        </w:tc>
      </w:tr>
      <w:tr w14:paraId="78C7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4B00E23">
            <w:pPr>
              <w:jc w:val="center"/>
              <w:rPr>
                <w:rFonts w:hint="eastAsia" w:ascii="宋体" w:hAnsi="宋体"/>
              </w:rPr>
            </w:pPr>
            <w:r>
              <w:rPr>
                <w:rFonts w:hint="eastAsia" w:ascii="宋体" w:hAnsi="宋体"/>
              </w:rPr>
              <w:t>投标文件递交时间</w:t>
            </w:r>
          </w:p>
        </w:tc>
        <w:tc>
          <w:tcPr>
            <w:tcW w:w="6392" w:type="dxa"/>
            <w:noWrap w:val="0"/>
            <w:vAlign w:val="center"/>
          </w:tcPr>
          <w:p w14:paraId="78B2A9AA">
            <w:pPr>
              <w:rPr>
                <w:rFonts w:hint="eastAsia"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w:t>
            </w:r>
          </w:p>
        </w:tc>
      </w:tr>
      <w:tr w14:paraId="2886E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5F8DBDD">
            <w:pPr>
              <w:jc w:val="center"/>
              <w:rPr>
                <w:rFonts w:hint="eastAsia" w:ascii="宋体" w:hAnsi="宋体"/>
              </w:rPr>
            </w:pPr>
            <w:r>
              <w:rPr>
                <w:rFonts w:hint="eastAsia" w:ascii="宋体" w:hAnsi="宋体"/>
              </w:rPr>
              <w:t>投标文件是否加密</w:t>
            </w:r>
          </w:p>
        </w:tc>
        <w:tc>
          <w:tcPr>
            <w:tcW w:w="6392" w:type="dxa"/>
            <w:noWrap w:val="0"/>
            <w:vAlign w:val="center"/>
          </w:tcPr>
          <w:p w14:paraId="7CF5E57E">
            <w:pPr>
              <w:jc w:val="center"/>
              <w:rPr>
                <w:rFonts w:hint="eastAsia" w:ascii="宋体" w:hAnsi="宋体"/>
              </w:rPr>
            </w:pPr>
          </w:p>
        </w:tc>
      </w:tr>
    </w:tbl>
    <w:p w14:paraId="1BA6AEC2">
      <w:pPr>
        <w:spacing w:before="93" w:beforeLines="30"/>
        <w:jc w:val="right"/>
        <w:rPr>
          <w:rFonts w:hint="eastAsia" w:ascii="宋体" w:hAnsi="宋体" w:cs="宋体"/>
          <w:kern w:val="0"/>
          <w:szCs w:val="21"/>
        </w:rPr>
      </w:pPr>
    </w:p>
    <w:p w14:paraId="464F2655">
      <w:pPr>
        <w:spacing w:before="93" w:beforeLines="30"/>
        <w:ind w:firstLine="4305" w:firstLineChars="2050"/>
        <w:rPr>
          <w:rFonts w:hint="eastAsia" w:ascii="宋体" w:hAnsi="宋体" w:cs="宋体"/>
          <w:kern w:val="0"/>
          <w:szCs w:val="21"/>
        </w:rPr>
      </w:pPr>
    </w:p>
    <w:p w14:paraId="22D6A63E">
      <w:pPr>
        <w:spacing w:before="93" w:beforeLines="30"/>
        <w:ind w:firstLine="4305" w:firstLineChars="2050"/>
        <w:rPr>
          <w:rFonts w:hint="eastAsia" w:ascii="宋体" w:hAnsi="宋体"/>
        </w:rPr>
      </w:pPr>
    </w:p>
    <w:p w14:paraId="49C2DB14">
      <w:pPr>
        <w:spacing w:line="400" w:lineRule="exact"/>
        <w:rPr>
          <w:rFonts w:hint="eastAsia" w:ascii="宋体" w:hAnsi="宋体"/>
        </w:rPr>
      </w:pPr>
    </w:p>
    <w:p w14:paraId="08E58A64">
      <w:pPr>
        <w:spacing w:line="400" w:lineRule="exact"/>
        <w:rPr>
          <w:rFonts w:hint="eastAsia"/>
          <w:sz w:val="24"/>
        </w:rPr>
      </w:pPr>
    </w:p>
    <w:p w14:paraId="3D3F982D">
      <w:pPr>
        <w:pStyle w:val="3"/>
        <w:rPr>
          <w:b w:val="0"/>
          <w:sz w:val="24"/>
          <w:szCs w:val="24"/>
        </w:rPr>
        <w:sectPr>
          <w:pgSz w:w="11906" w:h="16838"/>
          <w:pgMar w:top="1440" w:right="1800" w:bottom="1440" w:left="1800" w:header="851" w:footer="992" w:gutter="0"/>
          <w:pgNumType w:start="1"/>
          <w:cols w:space="720" w:num="1"/>
          <w:docGrid w:type="lines" w:linePitch="312" w:charSpace="0"/>
        </w:sectPr>
      </w:pPr>
    </w:p>
    <w:p w14:paraId="27A81997">
      <w:pPr>
        <w:pStyle w:val="3"/>
        <w:rPr>
          <w:rFonts w:hint="eastAsia"/>
          <w:b w:val="0"/>
          <w:sz w:val="24"/>
          <w:szCs w:val="24"/>
        </w:rPr>
      </w:pPr>
      <w:bookmarkStart w:id="311" w:name="_Toc108513570"/>
      <w:r>
        <w:rPr>
          <w:rFonts w:hint="eastAsia"/>
          <w:b w:val="0"/>
          <w:sz w:val="24"/>
          <w:szCs w:val="24"/>
        </w:rPr>
        <w:t>附表五：开标记录表</w:t>
      </w:r>
      <w:bookmarkEnd w:id="311"/>
    </w:p>
    <w:p w14:paraId="6168FFCB">
      <w:pPr>
        <w:spacing w:before="240" w:beforeLines="100" w:after="240" w:afterLines="100" w:line="400" w:lineRule="exact"/>
        <w:ind w:firstLine="3465" w:firstLineChars="1650"/>
        <w:rPr>
          <w:rFonts w:hint="eastAsia" w:ascii="黑体" w:eastAsia="黑体"/>
          <w:sz w:val="28"/>
          <w:szCs w:val="28"/>
        </w:rPr>
      </w:pPr>
      <w:r>
        <w:rPr>
          <w:rFonts w:hint="eastAsia"/>
          <w:u w:val="single"/>
        </w:rPr>
        <w:t xml:space="preserve">             </w:t>
      </w:r>
      <w:r>
        <w:rPr>
          <w:rFonts w:hint="eastAsia" w:ascii="黑体" w:eastAsia="黑体"/>
          <w:sz w:val="28"/>
          <w:szCs w:val="28"/>
        </w:rPr>
        <w:t>（项目名称）</w:t>
      </w:r>
      <w:r>
        <w:rPr>
          <w:rFonts w:hint="eastAsia" w:ascii="黑体" w:eastAsia="黑体"/>
          <w:sz w:val="28"/>
          <w:szCs w:val="28"/>
          <w:u w:val="single"/>
        </w:rPr>
        <w:t xml:space="preserve">      </w:t>
      </w:r>
      <w:r>
        <w:rPr>
          <w:rFonts w:hint="eastAsia" w:ascii="黑体" w:eastAsia="黑体"/>
          <w:sz w:val="28"/>
          <w:szCs w:val="28"/>
        </w:rPr>
        <w:t>（标段名称）施工开标记录表</w:t>
      </w:r>
    </w:p>
    <w:p w14:paraId="4EB667EC">
      <w:pPr>
        <w:spacing w:line="400" w:lineRule="exact"/>
        <w:ind w:firstLine="105" w:firstLineChars="50"/>
        <w:rPr>
          <w:rFonts w:hint="eastAsia" w:ascii="宋体" w:hAnsi="宋体"/>
        </w:rPr>
      </w:pPr>
      <w:r>
        <w:rPr>
          <w:rFonts w:hint="eastAsia" w:ascii="宋体" w:hAnsi="宋体"/>
        </w:rPr>
        <w:t>开标时间：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                                          开标地点：</w:t>
      </w:r>
      <w:r>
        <w:rPr>
          <w:rFonts w:hint="eastAsia" w:ascii="宋体" w:hAnsi="宋体"/>
          <w:u w:val="single"/>
        </w:rPr>
        <w:t xml:space="preserve">                                </w:t>
      </w:r>
    </w:p>
    <w:tbl>
      <w:tblPr>
        <w:tblStyle w:val="15"/>
        <w:tblW w:w="14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481"/>
        <w:gridCol w:w="850"/>
        <w:gridCol w:w="1418"/>
        <w:gridCol w:w="1134"/>
        <w:gridCol w:w="1134"/>
        <w:gridCol w:w="850"/>
        <w:gridCol w:w="1985"/>
        <w:gridCol w:w="1417"/>
        <w:gridCol w:w="851"/>
        <w:gridCol w:w="1417"/>
      </w:tblGrid>
      <w:tr w14:paraId="03EF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restart"/>
            <w:noWrap w:val="0"/>
            <w:tcMar>
              <w:left w:w="28" w:type="dxa"/>
              <w:right w:w="28" w:type="dxa"/>
            </w:tcMar>
            <w:vAlign w:val="center"/>
          </w:tcPr>
          <w:p w14:paraId="51DE70B4">
            <w:pPr>
              <w:jc w:val="center"/>
              <w:rPr>
                <w:rFonts w:hint="eastAsia" w:ascii="宋体" w:hAnsi="宋体"/>
              </w:rPr>
            </w:pPr>
            <w:r>
              <w:rPr>
                <w:rFonts w:hint="eastAsia" w:ascii="宋体" w:hAnsi="宋体"/>
              </w:rPr>
              <w:t>序号</w:t>
            </w:r>
          </w:p>
        </w:tc>
        <w:tc>
          <w:tcPr>
            <w:tcW w:w="2481" w:type="dxa"/>
            <w:vMerge w:val="restart"/>
            <w:noWrap w:val="0"/>
            <w:tcMar>
              <w:left w:w="28" w:type="dxa"/>
              <w:right w:w="28" w:type="dxa"/>
            </w:tcMar>
            <w:vAlign w:val="center"/>
          </w:tcPr>
          <w:p w14:paraId="7F89988A">
            <w:pPr>
              <w:jc w:val="center"/>
              <w:rPr>
                <w:rFonts w:hint="eastAsia" w:ascii="宋体" w:hAnsi="宋体"/>
              </w:rPr>
            </w:pPr>
            <w:r>
              <w:rPr>
                <w:rFonts w:hint="eastAsia" w:ascii="宋体" w:hAnsi="宋体"/>
              </w:rPr>
              <w:t>投标人名称</w:t>
            </w:r>
          </w:p>
        </w:tc>
        <w:tc>
          <w:tcPr>
            <w:tcW w:w="850" w:type="dxa"/>
            <w:vMerge w:val="restart"/>
            <w:noWrap w:val="0"/>
            <w:tcMar>
              <w:left w:w="28" w:type="dxa"/>
              <w:right w:w="28" w:type="dxa"/>
            </w:tcMar>
            <w:vAlign w:val="center"/>
          </w:tcPr>
          <w:p w14:paraId="5DDB8E86">
            <w:pPr>
              <w:jc w:val="center"/>
              <w:rPr>
                <w:rFonts w:hint="eastAsia" w:ascii="宋体" w:hAnsi="宋体"/>
              </w:rPr>
            </w:pPr>
            <w:r>
              <w:rPr>
                <w:rFonts w:hint="eastAsia" w:ascii="宋体" w:hAnsi="宋体"/>
              </w:rPr>
              <w:t>投标</w:t>
            </w:r>
          </w:p>
          <w:p w14:paraId="384B69E2">
            <w:pPr>
              <w:jc w:val="center"/>
              <w:rPr>
                <w:rFonts w:hint="eastAsia" w:ascii="宋体" w:hAnsi="宋体"/>
              </w:rPr>
            </w:pPr>
            <w:r>
              <w:rPr>
                <w:rFonts w:hint="eastAsia" w:ascii="宋体" w:hAnsi="宋体"/>
              </w:rPr>
              <w:t>保证金</w:t>
            </w:r>
          </w:p>
        </w:tc>
        <w:tc>
          <w:tcPr>
            <w:tcW w:w="1418" w:type="dxa"/>
            <w:vMerge w:val="restart"/>
            <w:noWrap w:val="0"/>
            <w:tcMar>
              <w:left w:w="28" w:type="dxa"/>
              <w:right w:w="28" w:type="dxa"/>
            </w:tcMar>
            <w:vAlign w:val="center"/>
          </w:tcPr>
          <w:p w14:paraId="207181C5">
            <w:pPr>
              <w:jc w:val="center"/>
              <w:rPr>
                <w:rFonts w:hint="eastAsia" w:ascii="宋体" w:hAnsi="宋体"/>
              </w:rPr>
            </w:pPr>
            <w:r>
              <w:rPr>
                <w:rFonts w:hint="eastAsia" w:ascii="宋体" w:hAnsi="宋体"/>
              </w:rPr>
              <w:t>投标报价（元）</w:t>
            </w:r>
          </w:p>
        </w:tc>
        <w:tc>
          <w:tcPr>
            <w:tcW w:w="1134" w:type="dxa"/>
            <w:vMerge w:val="restart"/>
            <w:noWrap w:val="0"/>
            <w:tcMar>
              <w:left w:w="28" w:type="dxa"/>
              <w:right w:w="28" w:type="dxa"/>
            </w:tcMar>
            <w:vAlign w:val="center"/>
          </w:tcPr>
          <w:p w14:paraId="45AF09F4">
            <w:pPr>
              <w:jc w:val="center"/>
              <w:rPr>
                <w:rFonts w:hint="eastAsia" w:ascii="宋体" w:hAnsi="宋体"/>
              </w:rPr>
            </w:pPr>
            <w:r>
              <w:rPr>
                <w:rFonts w:hint="eastAsia" w:ascii="宋体" w:hAnsi="宋体"/>
              </w:rPr>
              <w:t>工期</w:t>
            </w:r>
          </w:p>
          <w:p w14:paraId="4992BD86">
            <w:pPr>
              <w:jc w:val="center"/>
              <w:rPr>
                <w:rFonts w:hint="eastAsia" w:ascii="宋体" w:hAnsi="宋体"/>
              </w:rPr>
            </w:pPr>
            <w:r>
              <w:rPr>
                <w:rFonts w:hint="eastAsia" w:ascii="宋体" w:hAnsi="宋体"/>
              </w:rPr>
              <w:t>（日历天）</w:t>
            </w:r>
          </w:p>
        </w:tc>
        <w:tc>
          <w:tcPr>
            <w:tcW w:w="1134" w:type="dxa"/>
            <w:vMerge w:val="restart"/>
            <w:noWrap w:val="0"/>
            <w:tcMar>
              <w:left w:w="28" w:type="dxa"/>
              <w:right w:w="28" w:type="dxa"/>
            </w:tcMar>
            <w:vAlign w:val="center"/>
          </w:tcPr>
          <w:p w14:paraId="51ECD0B2">
            <w:pPr>
              <w:jc w:val="center"/>
              <w:rPr>
                <w:rFonts w:hint="eastAsia" w:ascii="宋体" w:hAnsi="宋体"/>
              </w:rPr>
            </w:pPr>
            <w:r>
              <w:rPr>
                <w:rFonts w:hint="eastAsia" w:ascii="宋体" w:hAnsi="宋体"/>
              </w:rPr>
              <w:t>质量目标</w:t>
            </w:r>
          </w:p>
        </w:tc>
        <w:tc>
          <w:tcPr>
            <w:tcW w:w="4252" w:type="dxa"/>
            <w:gridSpan w:val="3"/>
            <w:noWrap w:val="0"/>
            <w:tcMar>
              <w:left w:w="28" w:type="dxa"/>
              <w:right w:w="28" w:type="dxa"/>
            </w:tcMar>
            <w:vAlign w:val="center"/>
          </w:tcPr>
          <w:p w14:paraId="117B2DE0">
            <w:pPr>
              <w:jc w:val="center"/>
              <w:rPr>
                <w:rFonts w:hint="eastAsia" w:ascii="宋体" w:hAnsi="宋体"/>
              </w:rPr>
            </w:pPr>
            <w:r>
              <w:rPr>
                <w:rFonts w:hint="eastAsia" w:ascii="宋体" w:hAnsi="宋体"/>
              </w:rPr>
              <w:t>项目经理</w:t>
            </w:r>
          </w:p>
        </w:tc>
        <w:tc>
          <w:tcPr>
            <w:tcW w:w="851" w:type="dxa"/>
            <w:vMerge w:val="restart"/>
            <w:noWrap w:val="0"/>
            <w:tcMar>
              <w:left w:w="28" w:type="dxa"/>
              <w:right w:w="28" w:type="dxa"/>
            </w:tcMar>
            <w:vAlign w:val="center"/>
          </w:tcPr>
          <w:p w14:paraId="1C1F13AB">
            <w:pPr>
              <w:jc w:val="center"/>
              <w:rPr>
                <w:rFonts w:hint="eastAsia" w:ascii="宋体" w:hAnsi="宋体"/>
              </w:rPr>
            </w:pPr>
            <w:r>
              <w:rPr>
                <w:rFonts w:hint="eastAsia" w:ascii="宋体" w:hAnsi="宋体"/>
              </w:rPr>
              <w:t>投标人</w:t>
            </w:r>
          </w:p>
          <w:p w14:paraId="2BFE1685">
            <w:pPr>
              <w:jc w:val="center"/>
              <w:rPr>
                <w:rFonts w:hint="eastAsia" w:ascii="宋体" w:hAnsi="宋体"/>
              </w:rPr>
            </w:pPr>
            <w:r>
              <w:rPr>
                <w:rFonts w:hint="eastAsia" w:ascii="宋体" w:hAnsi="宋体"/>
              </w:rPr>
              <w:t>代表</w:t>
            </w:r>
          </w:p>
        </w:tc>
        <w:tc>
          <w:tcPr>
            <w:tcW w:w="1417" w:type="dxa"/>
            <w:vMerge w:val="restart"/>
            <w:noWrap w:val="0"/>
            <w:vAlign w:val="center"/>
          </w:tcPr>
          <w:p w14:paraId="51C28EA2">
            <w:pPr>
              <w:jc w:val="center"/>
              <w:rPr>
                <w:rFonts w:hint="eastAsia" w:ascii="宋体" w:hAnsi="宋体"/>
              </w:rPr>
            </w:pPr>
            <w:r>
              <w:rPr>
                <w:rFonts w:hint="eastAsia" w:ascii="宋体" w:hAnsi="宋体"/>
              </w:rPr>
              <w:t>联系电话</w:t>
            </w:r>
          </w:p>
        </w:tc>
      </w:tr>
      <w:tr w14:paraId="579D7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6" w:type="dxa"/>
            <w:vMerge w:val="continue"/>
            <w:noWrap w:val="0"/>
            <w:tcMar>
              <w:left w:w="28" w:type="dxa"/>
              <w:right w:w="28" w:type="dxa"/>
            </w:tcMar>
            <w:vAlign w:val="center"/>
          </w:tcPr>
          <w:p w14:paraId="2B696A33">
            <w:pPr>
              <w:jc w:val="center"/>
              <w:rPr>
                <w:rFonts w:hint="eastAsia" w:ascii="宋体" w:hAnsi="宋体"/>
              </w:rPr>
            </w:pPr>
          </w:p>
        </w:tc>
        <w:tc>
          <w:tcPr>
            <w:tcW w:w="2481" w:type="dxa"/>
            <w:vMerge w:val="continue"/>
            <w:noWrap w:val="0"/>
            <w:tcMar>
              <w:left w:w="28" w:type="dxa"/>
              <w:right w:w="28" w:type="dxa"/>
            </w:tcMar>
            <w:vAlign w:val="center"/>
          </w:tcPr>
          <w:p w14:paraId="67C2AD16">
            <w:pPr>
              <w:jc w:val="center"/>
              <w:rPr>
                <w:rFonts w:hint="eastAsia" w:ascii="宋体" w:hAnsi="宋体"/>
              </w:rPr>
            </w:pPr>
          </w:p>
        </w:tc>
        <w:tc>
          <w:tcPr>
            <w:tcW w:w="850" w:type="dxa"/>
            <w:vMerge w:val="continue"/>
            <w:noWrap w:val="0"/>
            <w:tcMar>
              <w:left w:w="28" w:type="dxa"/>
              <w:right w:w="28" w:type="dxa"/>
            </w:tcMar>
            <w:vAlign w:val="center"/>
          </w:tcPr>
          <w:p w14:paraId="227BFF76">
            <w:pPr>
              <w:jc w:val="center"/>
              <w:rPr>
                <w:rFonts w:hint="eastAsia" w:ascii="宋体" w:hAnsi="宋体"/>
              </w:rPr>
            </w:pPr>
          </w:p>
        </w:tc>
        <w:tc>
          <w:tcPr>
            <w:tcW w:w="1418" w:type="dxa"/>
            <w:vMerge w:val="continue"/>
            <w:noWrap w:val="0"/>
            <w:tcMar>
              <w:left w:w="28" w:type="dxa"/>
              <w:right w:w="28" w:type="dxa"/>
            </w:tcMar>
            <w:vAlign w:val="center"/>
          </w:tcPr>
          <w:p w14:paraId="0A88B6B5">
            <w:pPr>
              <w:jc w:val="center"/>
              <w:rPr>
                <w:rFonts w:hint="eastAsia" w:ascii="宋体" w:hAnsi="宋体"/>
              </w:rPr>
            </w:pPr>
          </w:p>
        </w:tc>
        <w:tc>
          <w:tcPr>
            <w:tcW w:w="1134" w:type="dxa"/>
            <w:vMerge w:val="continue"/>
            <w:noWrap w:val="0"/>
            <w:tcMar>
              <w:left w:w="28" w:type="dxa"/>
              <w:right w:w="28" w:type="dxa"/>
            </w:tcMar>
            <w:vAlign w:val="center"/>
          </w:tcPr>
          <w:p w14:paraId="7367857C">
            <w:pPr>
              <w:jc w:val="center"/>
              <w:rPr>
                <w:rFonts w:hint="eastAsia" w:ascii="宋体" w:hAnsi="宋体"/>
              </w:rPr>
            </w:pPr>
          </w:p>
        </w:tc>
        <w:tc>
          <w:tcPr>
            <w:tcW w:w="1134" w:type="dxa"/>
            <w:vMerge w:val="continue"/>
            <w:noWrap w:val="0"/>
            <w:tcMar>
              <w:left w:w="28" w:type="dxa"/>
              <w:right w:w="28" w:type="dxa"/>
            </w:tcMar>
            <w:vAlign w:val="center"/>
          </w:tcPr>
          <w:p w14:paraId="69A634D5">
            <w:pPr>
              <w:jc w:val="center"/>
              <w:rPr>
                <w:rFonts w:hint="eastAsia" w:ascii="宋体" w:hAnsi="宋体"/>
              </w:rPr>
            </w:pPr>
          </w:p>
        </w:tc>
        <w:tc>
          <w:tcPr>
            <w:tcW w:w="850" w:type="dxa"/>
            <w:noWrap w:val="0"/>
            <w:tcMar>
              <w:left w:w="28" w:type="dxa"/>
              <w:right w:w="28" w:type="dxa"/>
            </w:tcMar>
            <w:vAlign w:val="center"/>
          </w:tcPr>
          <w:p w14:paraId="23338660">
            <w:pPr>
              <w:jc w:val="center"/>
              <w:rPr>
                <w:rFonts w:hint="eastAsia" w:ascii="宋体" w:hAnsi="宋体"/>
              </w:rPr>
            </w:pPr>
            <w:r>
              <w:rPr>
                <w:rFonts w:hint="eastAsia" w:ascii="宋体" w:hAnsi="宋体"/>
              </w:rPr>
              <w:t>姓名</w:t>
            </w:r>
          </w:p>
        </w:tc>
        <w:tc>
          <w:tcPr>
            <w:tcW w:w="1985" w:type="dxa"/>
            <w:noWrap w:val="0"/>
            <w:vAlign w:val="center"/>
          </w:tcPr>
          <w:p w14:paraId="43A14226">
            <w:pPr>
              <w:jc w:val="center"/>
              <w:rPr>
                <w:rFonts w:hint="eastAsia" w:ascii="宋体" w:hAnsi="宋体"/>
              </w:rPr>
            </w:pPr>
            <w:r>
              <w:rPr>
                <w:rFonts w:hint="eastAsia" w:ascii="宋体" w:hAnsi="宋体"/>
              </w:rPr>
              <w:t>证书名称</w:t>
            </w:r>
          </w:p>
        </w:tc>
        <w:tc>
          <w:tcPr>
            <w:tcW w:w="1417" w:type="dxa"/>
            <w:noWrap w:val="0"/>
            <w:vAlign w:val="center"/>
          </w:tcPr>
          <w:p w14:paraId="11B938F8">
            <w:pPr>
              <w:jc w:val="center"/>
              <w:rPr>
                <w:rFonts w:hint="eastAsia" w:ascii="宋体" w:hAnsi="宋体"/>
              </w:rPr>
            </w:pPr>
            <w:r>
              <w:rPr>
                <w:rFonts w:hint="eastAsia" w:ascii="宋体" w:hAnsi="宋体"/>
              </w:rPr>
              <w:t>证书编号</w:t>
            </w:r>
          </w:p>
        </w:tc>
        <w:tc>
          <w:tcPr>
            <w:tcW w:w="851" w:type="dxa"/>
            <w:vMerge w:val="continue"/>
            <w:noWrap w:val="0"/>
            <w:tcMar>
              <w:left w:w="28" w:type="dxa"/>
              <w:right w:w="28" w:type="dxa"/>
            </w:tcMar>
            <w:vAlign w:val="center"/>
          </w:tcPr>
          <w:p w14:paraId="4E5BAE3D">
            <w:pPr>
              <w:jc w:val="center"/>
              <w:rPr>
                <w:rFonts w:hint="eastAsia" w:ascii="宋体" w:hAnsi="宋体"/>
              </w:rPr>
            </w:pPr>
          </w:p>
        </w:tc>
        <w:tc>
          <w:tcPr>
            <w:tcW w:w="1417" w:type="dxa"/>
            <w:vMerge w:val="continue"/>
            <w:noWrap w:val="0"/>
            <w:vAlign w:val="center"/>
          </w:tcPr>
          <w:p w14:paraId="6DD69BF8">
            <w:pPr>
              <w:jc w:val="center"/>
              <w:rPr>
                <w:rFonts w:hint="eastAsia" w:ascii="宋体" w:hAnsi="宋体"/>
              </w:rPr>
            </w:pPr>
          </w:p>
        </w:tc>
      </w:tr>
      <w:tr w14:paraId="253C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noWrap w:val="0"/>
            <w:tcMar>
              <w:left w:w="28" w:type="dxa"/>
              <w:right w:w="28" w:type="dxa"/>
            </w:tcMar>
            <w:vAlign w:val="center"/>
          </w:tcPr>
          <w:p w14:paraId="6081A838">
            <w:pPr>
              <w:jc w:val="center"/>
              <w:rPr>
                <w:rFonts w:hint="eastAsia" w:ascii="宋体" w:hAnsi="宋体"/>
              </w:rPr>
            </w:pPr>
          </w:p>
        </w:tc>
        <w:tc>
          <w:tcPr>
            <w:tcW w:w="2481" w:type="dxa"/>
            <w:noWrap w:val="0"/>
            <w:tcMar>
              <w:left w:w="28" w:type="dxa"/>
              <w:right w:w="28" w:type="dxa"/>
            </w:tcMar>
            <w:vAlign w:val="center"/>
          </w:tcPr>
          <w:p w14:paraId="34701256">
            <w:pPr>
              <w:jc w:val="center"/>
              <w:rPr>
                <w:rFonts w:hint="eastAsia" w:ascii="宋体" w:hAnsi="宋体"/>
              </w:rPr>
            </w:pPr>
          </w:p>
        </w:tc>
        <w:tc>
          <w:tcPr>
            <w:tcW w:w="850" w:type="dxa"/>
            <w:noWrap w:val="0"/>
            <w:tcMar>
              <w:left w:w="28" w:type="dxa"/>
              <w:right w:w="28" w:type="dxa"/>
            </w:tcMar>
            <w:vAlign w:val="center"/>
          </w:tcPr>
          <w:p w14:paraId="109FAB8E">
            <w:pPr>
              <w:jc w:val="center"/>
              <w:rPr>
                <w:rFonts w:hint="eastAsia" w:ascii="宋体" w:hAnsi="宋体"/>
              </w:rPr>
            </w:pPr>
          </w:p>
        </w:tc>
        <w:tc>
          <w:tcPr>
            <w:tcW w:w="1418" w:type="dxa"/>
            <w:noWrap w:val="0"/>
            <w:tcMar>
              <w:left w:w="28" w:type="dxa"/>
              <w:right w:w="28" w:type="dxa"/>
            </w:tcMar>
            <w:vAlign w:val="center"/>
          </w:tcPr>
          <w:p w14:paraId="48B19EE1">
            <w:pPr>
              <w:jc w:val="center"/>
              <w:rPr>
                <w:rFonts w:hint="eastAsia" w:ascii="宋体" w:hAnsi="宋体"/>
              </w:rPr>
            </w:pPr>
          </w:p>
        </w:tc>
        <w:tc>
          <w:tcPr>
            <w:tcW w:w="1134" w:type="dxa"/>
            <w:noWrap w:val="0"/>
            <w:tcMar>
              <w:left w:w="28" w:type="dxa"/>
              <w:right w:w="28" w:type="dxa"/>
            </w:tcMar>
            <w:vAlign w:val="center"/>
          </w:tcPr>
          <w:p w14:paraId="6AD5C60E">
            <w:pPr>
              <w:jc w:val="center"/>
              <w:rPr>
                <w:rFonts w:hint="eastAsia" w:ascii="宋体" w:hAnsi="宋体"/>
              </w:rPr>
            </w:pPr>
          </w:p>
        </w:tc>
        <w:tc>
          <w:tcPr>
            <w:tcW w:w="1134" w:type="dxa"/>
            <w:noWrap w:val="0"/>
            <w:tcMar>
              <w:left w:w="28" w:type="dxa"/>
              <w:right w:w="28" w:type="dxa"/>
            </w:tcMar>
            <w:vAlign w:val="center"/>
          </w:tcPr>
          <w:p w14:paraId="22A984DB">
            <w:pPr>
              <w:jc w:val="center"/>
              <w:rPr>
                <w:rFonts w:hint="eastAsia" w:ascii="宋体" w:hAnsi="宋体"/>
              </w:rPr>
            </w:pPr>
          </w:p>
        </w:tc>
        <w:tc>
          <w:tcPr>
            <w:tcW w:w="850" w:type="dxa"/>
            <w:noWrap w:val="0"/>
            <w:tcMar>
              <w:left w:w="28" w:type="dxa"/>
              <w:right w:w="28" w:type="dxa"/>
            </w:tcMar>
            <w:vAlign w:val="center"/>
          </w:tcPr>
          <w:p w14:paraId="12AA2909">
            <w:pPr>
              <w:jc w:val="center"/>
              <w:rPr>
                <w:rFonts w:hint="eastAsia" w:ascii="宋体" w:hAnsi="宋体"/>
              </w:rPr>
            </w:pPr>
          </w:p>
        </w:tc>
        <w:tc>
          <w:tcPr>
            <w:tcW w:w="1985" w:type="dxa"/>
            <w:noWrap w:val="0"/>
            <w:vAlign w:val="center"/>
          </w:tcPr>
          <w:p w14:paraId="368B9F0D">
            <w:pPr>
              <w:jc w:val="center"/>
              <w:rPr>
                <w:rFonts w:hint="eastAsia" w:ascii="宋体" w:hAnsi="宋体"/>
              </w:rPr>
            </w:pPr>
          </w:p>
        </w:tc>
        <w:tc>
          <w:tcPr>
            <w:tcW w:w="1417" w:type="dxa"/>
            <w:noWrap w:val="0"/>
            <w:vAlign w:val="center"/>
          </w:tcPr>
          <w:p w14:paraId="2BC1E5A2">
            <w:pPr>
              <w:jc w:val="center"/>
              <w:rPr>
                <w:rFonts w:hint="eastAsia" w:ascii="宋体" w:hAnsi="宋体"/>
              </w:rPr>
            </w:pPr>
          </w:p>
        </w:tc>
        <w:tc>
          <w:tcPr>
            <w:tcW w:w="851" w:type="dxa"/>
            <w:noWrap w:val="0"/>
            <w:tcMar>
              <w:left w:w="28" w:type="dxa"/>
              <w:right w:w="28" w:type="dxa"/>
            </w:tcMar>
            <w:vAlign w:val="center"/>
          </w:tcPr>
          <w:p w14:paraId="602B3A01">
            <w:pPr>
              <w:jc w:val="center"/>
              <w:rPr>
                <w:rFonts w:hint="eastAsia" w:ascii="宋体" w:hAnsi="宋体"/>
              </w:rPr>
            </w:pPr>
          </w:p>
        </w:tc>
        <w:tc>
          <w:tcPr>
            <w:tcW w:w="1417" w:type="dxa"/>
            <w:noWrap w:val="0"/>
            <w:vAlign w:val="center"/>
          </w:tcPr>
          <w:p w14:paraId="2A04EFA2">
            <w:pPr>
              <w:jc w:val="center"/>
              <w:rPr>
                <w:rFonts w:hint="eastAsia" w:ascii="宋体" w:hAnsi="宋体"/>
              </w:rPr>
            </w:pPr>
          </w:p>
        </w:tc>
      </w:tr>
      <w:tr w14:paraId="1A08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1263915F">
            <w:pPr>
              <w:spacing w:line="400" w:lineRule="exact"/>
              <w:jc w:val="center"/>
              <w:rPr>
                <w:rFonts w:hint="eastAsia" w:ascii="宋体" w:hAnsi="宋体"/>
              </w:rPr>
            </w:pPr>
          </w:p>
        </w:tc>
        <w:tc>
          <w:tcPr>
            <w:tcW w:w="2481" w:type="dxa"/>
            <w:noWrap w:val="0"/>
            <w:tcMar>
              <w:left w:w="28" w:type="dxa"/>
              <w:right w:w="28" w:type="dxa"/>
            </w:tcMar>
            <w:vAlign w:val="center"/>
          </w:tcPr>
          <w:p w14:paraId="05579A06">
            <w:pPr>
              <w:spacing w:line="400" w:lineRule="exact"/>
              <w:jc w:val="center"/>
              <w:rPr>
                <w:rFonts w:hint="eastAsia" w:ascii="宋体" w:hAnsi="宋体"/>
              </w:rPr>
            </w:pPr>
          </w:p>
        </w:tc>
        <w:tc>
          <w:tcPr>
            <w:tcW w:w="850" w:type="dxa"/>
            <w:noWrap w:val="0"/>
            <w:tcMar>
              <w:left w:w="28" w:type="dxa"/>
              <w:right w:w="28" w:type="dxa"/>
            </w:tcMar>
            <w:vAlign w:val="center"/>
          </w:tcPr>
          <w:p w14:paraId="0EC6005A">
            <w:pPr>
              <w:spacing w:line="400" w:lineRule="exact"/>
              <w:jc w:val="center"/>
              <w:rPr>
                <w:rFonts w:hint="eastAsia" w:ascii="宋体" w:hAnsi="宋体"/>
              </w:rPr>
            </w:pPr>
          </w:p>
        </w:tc>
        <w:tc>
          <w:tcPr>
            <w:tcW w:w="1418" w:type="dxa"/>
            <w:noWrap w:val="0"/>
            <w:tcMar>
              <w:left w:w="28" w:type="dxa"/>
              <w:right w:w="28" w:type="dxa"/>
            </w:tcMar>
            <w:vAlign w:val="center"/>
          </w:tcPr>
          <w:p w14:paraId="4936B92A">
            <w:pPr>
              <w:spacing w:line="400" w:lineRule="exact"/>
              <w:jc w:val="center"/>
              <w:rPr>
                <w:rFonts w:hint="eastAsia" w:ascii="宋体" w:hAnsi="宋体"/>
              </w:rPr>
            </w:pPr>
          </w:p>
        </w:tc>
        <w:tc>
          <w:tcPr>
            <w:tcW w:w="1134" w:type="dxa"/>
            <w:noWrap w:val="0"/>
            <w:tcMar>
              <w:left w:w="28" w:type="dxa"/>
              <w:right w:w="28" w:type="dxa"/>
            </w:tcMar>
            <w:vAlign w:val="center"/>
          </w:tcPr>
          <w:p w14:paraId="1BFBC9C6">
            <w:pPr>
              <w:spacing w:line="400" w:lineRule="exact"/>
              <w:jc w:val="center"/>
              <w:rPr>
                <w:rFonts w:hint="eastAsia" w:ascii="宋体" w:hAnsi="宋体"/>
              </w:rPr>
            </w:pPr>
          </w:p>
        </w:tc>
        <w:tc>
          <w:tcPr>
            <w:tcW w:w="1134" w:type="dxa"/>
            <w:noWrap w:val="0"/>
            <w:tcMar>
              <w:left w:w="28" w:type="dxa"/>
              <w:right w:w="28" w:type="dxa"/>
            </w:tcMar>
            <w:vAlign w:val="center"/>
          </w:tcPr>
          <w:p w14:paraId="597C00A8">
            <w:pPr>
              <w:spacing w:line="400" w:lineRule="exact"/>
              <w:jc w:val="center"/>
              <w:rPr>
                <w:rFonts w:hint="eastAsia" w:ascii="宋体" w:hAnsi="宋体"/>
              </w:rPr>
            </w:pPr>
          </w:p>
        </w:tc>
        <w:tc>
          <w:tcPr>
            <w:tcW w:w="850" w:type="dxa"/>
            <w:noWrap w:val="0"/>
            <w:tcMar>
              <w:left w:w="28" w:type="dxa"/>
              <w:right w:w="28" w:type="dxa"/>
            </w:tcMar>
            <w:vAlign w:val="center"/>
          </w:tcPr>
          <w:p w14:paraId="357B3EF5">
            <w:pPr>
              <w:spacing w:line="400" w:lineRule="exact"/>
              <w:jc w:val="center"/>
              <w:rPr>
                <w:rFonts w:hint="eastAsia" w:ascii="宋体" w:hAnsi="宋体"/>
              </w:rPr>
            </w:pPr>
          </w:p>
        </w:tc>
        <w:tc>
          <w:tcPr>
            <w:tcW w:w="1985" w:type="dxa"/>
            <w:noWrap w:val="0"/>
            <w:vAlign w:val="center"/>
          </w:tcPr>
          <w:p w14:paraId="3E2F00D6">
            <w:pPr>
              <w:spacing w:line="400" w:lineRule="exact"/>
              <w:jc w:val="center"/>
              <w:rPr>
                <w:rFonts w:hint="eastAsia" w:ascii="宋体" w:hAnsi="宋体"/>
              </w:rPr>
            </w:pPr>
          </w:p>
        </w:tc>
        <w:tc>
          <w:tcPr>
            <w:tcW w:w="1417" w:type="dxa"/>
            <w:noWrap w:val="0"/>
            <w:vAlign w:val="center"/>
          </w:tcPr>
          <w:p w14:paraId="2CAC95D1">
            <w:pPr>
              <w:spacing w:line="400" w:lineRule="exact"/>
              <w:jc w:val="center"/>
              <w:rPr>
                <w:rFonts w:hint="eastAsia" w:ascii="宋体" w:hAnsi="宋体"/>
              </w:rPr>
            </w:pPr>
          </w:p>
        </w:tc>
        <w:tc>
          <w:tcPr>
            <w:tcW w:w="851" w:type="dxa"/>
            <w:noWrap w:val="0"/>
            <w:tcMar>
              <w:left w:w="28" w:type="dxa"/>
              <w:right w:w="28" w:type="dxa"/>
            </w:tcMar>
            <w:vAlign w:val="center"/>
          </w:tcPr>
          <w:p w14:paraId="5ACDB086">
            <w:pPr>
              <w:spacing w:line="400" w:lineRule="exact"/>
              <w:jc w:val="center"/>
              <w:rPr>
                <w:rFonts w:hint="eastAsia" w:ascii="宋体" w:hAnsi="宋体"/>
              </w:rPr>
            </w:pPr>
          </w:p>
        </w:tc>
        <w:tc>
          <w:tcPr>
            <w:tcW w:w="1417" w:type="dxa"/>
            <w:noWrap w:val="0"/>
            <w:vAlign w:val="center"/>
          </w:tcPr>
          <w:p w14:paraId="1696E113">
            <w:pPr>
              <w:spacing w:line="400" w:lineRule="exact"/>
              <w:jc w:val="center"/>
              <w:rPr>
                <w:rFonts w:hint="eastAsia" w:ascii="宋体" w:hAnsi="宋体"/>
              </w:rPr>
            </w:pPr>
          </w:p>
        </w:tc>
      </w:tr>
      <w:tr w14:paraId="0580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461BF33A">
            <w:pPr>
              <w:spacing w:line="400" w:lineRule="exact"/>
              <w:jc w:val="center"/>
              <w:rPr>
                <w:rFonts w:hint="eastAsia" w:ascii="宋体" w:hAnsi="宋体"/>
              </w:rPr>
            </w:pPr>
          </w:p>
        </w:tc>
        <w:tc>
          <w:tcPr>
            <w:tcW w:w="2481" w:type="dxa"/>
            <w:noWrap w:val="0"/>
            <w:tcMar>
              <w:left w:w="28" w:type="dxa"/>
              <w:right w:w="28" w:type="dxa"/>
            </w:tcMar>
            <w:vAlign w:val="center"/>
          </w:tcPr>
          <w:p w14:paraId="4BCEC489">
            <w:pPr>
              <w:spacing w:line="400" w:lineRule="exact"/>
              <w:jc w:val="center"/>
              <w:rPr>
                <w:rFonts w:hint="eastAsia" w:ascii="宋体" w:hAnsi="宋体"/>
              </w:rPr>
            </w:pPr>
          </w:p>
        </w:tc>
        <w:tc>
          <w:tcPr>
            <w:tcW w:w="850" w:type="dxa"/>
            <w:noWrap w:val="0"/>
            <w:tcMar>
              <w:left w:w="28" w:type="dxa"/>
              <w:right w:w="28" w:type="dxa"/>
            </w:tcMar>
            <w:vAlign w:val="center"/>
          </w:tcPr>
          <w:p w14:paraId="3ECED9E1">
            <w:pPr>
              <w:spacing w:line="400" w:lineRule="exact"/>
              <w:jc w:val="center"/>
              <w:rPr>
                <w:rFonts w:hint="eastAsia" w:ascii="宋体" w:hAnsi="宋体"/>
              </w:rPr>
            </w:pPr>
          </w:p>
        </w:tc>
        <w:tc>
          <w:tcPr>
            <w:tcW w:w="1418" w:type="dxa"/>
            <w:noWrap w:val="0"/>
            <w:tcMar>
              <w:left w:w="28" w:type="dxa"/>
              <w:right w:w="28" w:type="dxa"/>
            </w:tcMar>
            <w:vAlign w:val="center"/>
          </w:tcPr>
          <w:p w14:paraId="3627A993">
            <w:pPr>
              <w:spacing w:line="400" w:lineRule="exact"/>
              <w:jc w:val="center"/>
              <w:rPr>
                <w:rFonts w:hint="eastAsia" w:ascii="宋体" w:hAnsi="宋体"/>
              </w:rPr>
            </w:pPr>
          </w:p>
        </w:tc>
        <w:tc>
          <w:tcPr>
            <w:tcW w:w="1134" w:type="dxa"/>
            <w:noWrap w:val="0"/>
            <w:tcMar>
              <w:left w:w="28" w:type="dxa"/>
              <w:right w:w="28" w:type="dxa"/>
            </w:tcMar>
            <w:vAlign w:val="center"/>
          </w:tcPr>
          <w:p w14:paraId="68ABC1CC">
            <w:pPr>
              <w:spacing w:line="400" w:lineRule="exact"/>
              <w:jc w:val="center"/>
              <w:rPr>
                <w:rFonts w:hint="eastAsia" w:ascii="宋体" w:hAnsi="宋体"/>
              </w:rPr>
            </w:pPr>
          </w:p>
        </w:tc>
        <w:tc>
          <w:tcPr>
            <w:tcW w:w="1134" w:type="dxa"/>
            <w:noWrap w:val="0"/>
            <w:tcMar>
              <w:left w:w="28" w:type="dxa"/>
              <w:right w:w="28" w:type="dxa"/>
            </w:tcMar>
            <w:vAlign w:val="center"/>
          </w:tcPr>
          <w:p w14:paraId="02A19762">
            <w:pPr>
              <w:spacing w:line="400" w:lineRule="exact"/>
              <w:jc w:val="center"/>
              <w:rPr>
                <w:rFonts w:hint="eastAsia" w:ascii="宋体" w:hAnsi="宋体"/>
              </w:rPr>
            </w:pPr>
          </w:p>
        </w:tc>
        <w:tc>
          <w:tcPr>
            <w:tcW w:w="850" w:type="dxa"/>
            <w:noWrap w:val="0"/>
            <w:tcMar>
              <w:left w:w="28" w:type="dxa"/>
              <w:right w:w="28" w:type="dxa"/>
            </w:tcMar>
            <w:vAlign w:val="center"/>
          </w:tcPr>
          <w:p w14:paraId="4C167BFF">
            <w:pPr>
              <w:spacing w:line="400" w:lineRule="exact"/>
              <w:jc w:val="center"/>
              <w:rPr>
                <w:rFonts w:hint="eastAsia" w:ascii="宋体" w:hAnsi="宋体"/>
              </w:rPr>
            </w:pPr>
          </w:p>
        </w:tc>
        <w:tc>
          <w:tcPr>
            <w:tcW w:w="1985" w:type="dxa"/>
            <w:noWrap w:val="0"/>
            <w:vAlign w:val="center"/>
          </w:tcPr>
          <w:p w14:paraId="47FDC188">
            <w:pPr>
              <w:spacing w:line="400" w:lineRule="exact"/>
              <w:jc w:val="center"/>
              <w:rPr>
                <w:rFonts w:hint="eastAsia" w:ascii="宋体" w:hAnsi="宋体"/>
              </w:rPr>
            </w:pPr>
          </w:p>
        </w:tc>
        <w:tc>
          <w:tcPr>
            <w:tcW w:w="1417" w:type="dxa"/>
            <w:noWrap w:val="0"/>
            <w:vAlign w:val="center"/>
          </w:tcPr>
          <w:p w14:paraId="6A20AFD2">
            <w:pPr>
              <w:spacing w:line="400" w:lineRule="exact"/>
              <w:jc w:val="center"/>
              <w:rPr>
                <w:rFonts w:hint="eastAsia" w:ascii="宋体" w:hAnsi="宋体"/>
              </w:rPr>
            </w:pPr>
          </w:p>
        </w:tc>
        <w:tc>
          <w:tcPr>
            <w:tcW w:w="851" w:type="dxa"/>
            <w:noWrap w:val="0"/>
            <w:tcMar>
              <w:left w:w="28" w:type="dxa"/>
              <w:right w:w="28" w:type="dxa"/>
            </w:tcMar>
            <w:vAlign w:val="center"/>
          </w:tcPr>
          <w:p w14:paraId="1B46B9A2">
            <w:pPr>
              <w:spacing w:line="400" w:lineRule="exact"/>
              <w:jc w:val="center"/>
              <w:rPr>
                <w:rFonts w:hint="eastAsia" w:ascii="宋体" w:hAnsi="宋体"/>
              </w:rPr>
            </w:pPr>
          </w:p>
        </w:tc>
        <w:tc>
          <w:tcPr>
            <w:tcW w:w="1417" w:type="dxa"/>
            <w:noWrap w:val="0"/>
            <w:vAlign w:val="center"/>
          </w:tcPr>
          <w:p w14:paraId="65714F34">
            <w:pPr>
              <w:spacing w:line="400" w:lineRule="exact"/>
              <w:jc w:val="center"/>
              <w:rPr>
                <w:rFonts w:hint="eastAsia" w:ascii="宋体" w:hAnsi="宋体"/>
              </w:rPr>
            </w:pPr>
          </w:p>
        </w:tc>
      </w:tr>
      <w:tr w14:paraId="1855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554D7909">
            <w:pPr>
              <w:spacing w:line="400" w:lineRule="exact"/>
              <w:jc w:val="center"/>
              <w:rPr>
                <w:rFonts w:hint="eastAsia" w:ascii="宋体" w:hAnsi="宋体"/>
              </w:rPr>
            </w:pPr>
          </w:p>
        </w:tc>
        <w:tc>
          <w:tcPr>
            <w:tcW w:w="2481" w:type="dxa"/>
            <w:noWrap w:val="0"/>
            <w:tcMar>
              <w:left w:w="28" w:type="dxa"/>
              <w:right w:w="28" w:type="dxa"/>
            </w:tcMar>
            <w:vAlign w:val="center"/>
          </w:tcPr>
          <w:p w14:paraId="12691AED">
            <w:pPr>
              <w:spacing w:line="400" w:lineRule="exact"/>
              <w:jc w:val="center"/>
              <w:rPr>
                <w:rFonts w:hint="eastAsia" w:ascii="宋体" w:hAnsi="宋体"/>
              </w:rPr>
            </w:pPr>
          </w:p>
        </w:tc>
        <w:tc>
          <w:tcPr>
            <w:tcW w:w="850" w:type="dxa"/>
            <w:noWrap w:val="0"/>
            <w:tcMar>
              <w:left w:w="28" w:type="dxa"/>
              <w:right w:w="28" w:type="dxa"/>
            </w:tcMar>
            <w:vAlign w:val="center"/>
          </w:tcPr>
          <w:p w14:paraId="03EED99B">
            <w:pPr>
              <w:spacing w:line="400" w:lineRule="exact"/>
              <w:jc w:val="center"/>
              <w:rPr>
                <w:rFonts w:hint="eastAsia" w:ascii="宋体" w:hAnsi="宋体"/>
              </w:rPr>
            </w:pPr>
          </w:p>
        </w:tc>
        <w:tc>
          <w:tcPr>
            <w:tcW w:w="1418" w:type="dxa"/>
            <w:noWrap w:val="0"/>
            <w:tcMar>
              <w:left w:w="28" w:type="dxa"/>
              <w:right w:w="28" w:type="dxa"/>
            </w:tcMar>
            <w:vAlign w:val="center"/>
          </w:tcPr>
          <w:p w14:paraId="7B1E98FE">
            <w:pPr>
              <w:spacing w:line="400" w:lineRule="exact"/>
              <w:jc w:val="center"/>
              <w:rPr>
                <w:rFonts w:hint="eastAsia" w:ascii="宋体" w:hAnsi="宋体"/>
              </w:rPr>
            </w:pPr>
          </w:p>
        </w:tc>
        <w:tc>
          <w:tcPr>
            <w:tcW w:w="1134" w:type="dxa"/>
            <w:noWrap w:val="0"/>
            <w:tcMar>
              <w:left w:w="28" w:type="dxa"/>
              <w:right w:w="28" w:type="dxa"/>
            </w:tcMar>
            <w:vAlign w:val="center"/>
          </w:tcPr>
          <w:p w14:paraId="238CCB59">
            <w:pPr>
              <w:spacing w:line="400" w:lineRule="exact"/>
              <w:jc w:val="center"/>
              <w:rPr>
                <w:rFonts w:hint="eastAsia" w:ascii="宋体" w:hAnsi="宋体"/>
              </w:rPr>
            </w:pPr>
          </w:p>
        </w:tc>
        <w:tc>
          <w:tcPr>
            <w:tcW w:w="1134" w:type="dxa"/>
            <w:noWrap w:val="0"/>
            <w:tcMar>
              <w:left w:w="28" w:type="dxa"/>
              <w:right w:w="28" w:type="dxa"/>
            </w:tcMar>
            <w:vAlign w:val="center"/>
          </w:tcPr>
          <w:p w14:paraId="6DB378E5">
            <w:pPr>
              <w:spacing w:line="400" w:lineRule="exact"/>
              <w:jc w:val="center"/>
              <w:rPr>
                <w:rFonts w:hint="eastAsia" w:ascii="宋体" w:hAnsi="宋体"/>
              </w:rPr>
            </w:pPr>
          </w:p>
        </w:tc>
        <w:tc>
          <w:tcPr>
            <w:tcW w:w="850" w:type="dxa"/>
            <w:noWrap w:val="0"/>
            <w:tcMar>
              <w:left w:w="28" w:type="dxa"/>
              <w:right w:w="28" w:type="dxa"/>
            </w:tcMar>
            <w:vAlign w:val="center"/>
          </w:tcPr>
          <w:p w14:paraId="597A9479">
            <w:pPr>
              <w:spacing w:line="400" w:lineRule="exact"/>
              <w:jc w:val="center"/>
              <w:rPr>
                <w:rFonts w:hint="eastAsia" w:ascii="宋体" w:hAnsi="宋体"/>
              </w:rPr>
            </w:pPr>
          </w:p>
        </w:tc>
        <w:tc>
          <w:tcPr>
            <w:tcW w:w="1985" w:type="dxa"/>
            <w:noWrap w:val="0"/>
            <w:vAlign w:val="center"/>
          </w:tcPr>
          <w:p w14:paraId="27510D08">
            <w:pPr>
              <w:spacing w:line="400" w:lineRule="exact"/>
              <w:jc w:val="center"/>
              <w:rPr>
                <w:rFonts w:hint="eastAsia" w:ascii="宋体" w:hAnsi="宋体"/>
              </w:rPr>
            </w:pPr>
          </w:p>
        </w:tc>
        <w:tc>
          <w:tcPr>
            <w:tcW w:w="1417" w:type="dxa"/>
            <w:noWrap w:val="0"/>
            <w:vAlign w:val="center"/>
          </w:tcPr>
          <w:p w14:paraId="6E238A86">
            <w:pPr>
              <w:spacing w:line="400" w:lineRule="exact"/>
              <w:jc w:val="center"/>
              <w:rPr>
                <w:rFonts w:hint="eastAsia" w:ascii="宋体" w:hAnsi="宋体"/>
              </w:rPr>
            </w:pPr>
          </w:p>
        </w:tc>
        <w:tc>
          <w:tcPr>
            <w:tcW w:w="851" w:type="dxa"/>
            <w:noWrap w:val="0"/>
            <w:tcMar>
              <w:left w:w="28" w:type="dxa"/>
              <w:right w:w="28" w:type="dxa"/>
            </w:tcMar>
            <w:vAlign w:val="center"/>
          </w:tcPr>
          <w:p w14:paraId="42BBE041">
            <w:pPr>
              <w:spacing w:line="400" w:lineRule="exact"/>
              <w:jc w:val="center"/>
              <w:rPr>
                <w:rFonts w:hint="eastAsia" w:ascii="宋体" w:hAnsi="宋体"/>
              </w:rPr>
            </w:pPr>
          </w:p>
        </w:tc>
        <w:tc>
          <w:tcPr>
            <w:tcW w:w="1417" w:type="dxa"/>
            <w:noWrap w:val="0"/>
            <w:vAlign w:val="center"/>
          </w:tcPr>
          <w:p w14:paraId="5A48DF91">
            <w:pPr>
              <w:spacing w:line="400" w:lineRule="exact"/>
              <w:jc w:val="center"/>
              <w:rPr>
                <w:rFonts w:hint="eastAsia" w:ascii="宋体" w:hAnsi="宋体"/>
              </w:rPr>
            </w:pPr>
          </w:p>
        </w:tc>
      </w:tr>
      <w:tr w14:paraId="54D8F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28646A6D">
            <w:pPr>
              <w:spacing w:line="400" w:lineRule="exact"/>
              <w:jc w:val="center"/>
              <w:rPr>
                <w:rFonts w:hint="eastAsia" w:ascii="宋体" w:hAnsi="宋体"/>
              </w:rPr>
            </w:pPr>
          </w:p>
        </w:tc>
        <w:tc>
          <w:tcPr>
            <w:tcW w:w="2481" w:type="dxa"/>
            <w:noWrap w:val="0"/>
            <w:tcMar>
              <w:left w:w="28" w:type="dxa"/>
              <w:right w:w="28" w:type="dxa"/>
            </w:tcMar>
            <w:vAlign w:val="center"/>
          </w:tcPr>
          <w:p w14:paraId="395FC261">
            <w:pPr>
              <w:spacing w:line="400" w:lineRule="exact"/>
              <w:jc w:val="center"/>
              <w:rPr>
                <w:rFonts w:hint="eastAsia" w:ascii="宋体" w:hAnsi="宋体"/>
              </w:rPr>
            </w:pPr>
          </w:p>
        </w:tc>
        <w:tc>
          <w:tcPr>
            <w:tcW w:w="850" w:type="dxa"/>
            <w:noWrap w:val="0"/>
            <w:tcMar>
              <w:left w:w="28" w:type="dxa"/>
              <w:right w:w="28" w:type="dxa"/>
            </w:tcMar>
            <w:vAlign w:val="center"/>
          </w:tcPr>
          <w:p w14:paraId="0DC5B5CB">
            <w:pPr>
              <w:spacing w:line="400" w:lineRule="exact"/>
              <w:jc w:val="center"/>
              <w:rPr>
                <w:rFonts w:hint="eastAsia" w:ascii="宋体" w:hAnsi="宋体"/>
              </w:rPr>
            </w:pPr>
          </w:p>
        </w:tc>
        <w:tc>
          <w:tcPr>
            <w:tcW w:w="1418" w:type="dxa"/>
            <w:noWrap w:val="0"/>
            <w:tcMar>
              <w:left w:w="28" w:type="dxa"/>
              <w:right w:w="28" w:type="dxa"/>
            </w:tcMar>
            <w:vAlign w:val="center"/>
          </w:tcPr>
          <w:p w14:paraId="5AB1A682">
            <w:pPr>
              <w:spacing w:line="400" w:lineRule="exact"/>
              <w:jc w:val="center"/>
              <w:rPr>
                <w:rFonts w:hint="eastAsia" w:ascii="宋体" w:hAnsi="宋体"/>
              </w:rPr>
            </w:pPr>
          </w:p>
        </w:tc>
        <w:tc>
          <w:tcPr>
            <w:tcW w:w="1134" w:type="dxa"/>
            <w:noWrap w:val="0"/>
            <w:tcMar>
              <w:left w:w="28" w:type="dxa"/>
              <w:right w:w="28" w:type="dxa"/>
            </w:tcMar>
            <w:vAlign w:val="center"/>
          </w:tcPr>
          <w:p w14:paraId="02DE9CD8">
            <w:pPr>
              <w:spacing w:line="400" w:lineRule="exact"/>
              <w:jc w:val="center"/>
              <w:rPr>
                <w:rFonts w:hint="eastAsia" w:ascii="宋体" w:hAnsi="宋体"/>
              </w:rPr>
            </w:pPr>
          </w:p>
        </w:tc>
        <w:tc>
          <w:tcPr>
            <w:tcW w:w="1134" w:type="dxa"/>
            <w:noWrap w:val="0"/>
            <w:tcMar>
              <w:left w:w="28" w:type="dxa"/>
              <w:right w:w="28" w:type="dxa"/>
            </w:tcMar>
            <w:vAlign w:val="center"/>
          </w:tcPr>
          <w:p w14:paraId="0AEB68E4">
            <w:pPr>
              <w:spacing w:line="400" w:lineRule="exact"/>
              <w:jc w:val="center"/>
              <w:rPr>
                <w:rFonts w:hint="eastAsia" w:ascii="宋体" w:hAnsi="宋体"/>
              </w:rPr>
            </w:pPr>
          </w:p>
        </w:tc>
        <w:tc>
          <w:tcPr>
            <w:tcW w:w="850" w:type="dxa"/>
            <w:noWrap w:val="0"/>
            <w:tcMar>
              <w:left w:w="28" w:type="dxa"/>
              <w:right w:w="28" w:type="dxa"/>
            </w:tcMar>
            <w:vAlign w:val="center"/>
          </w:tcPr>
          <w:p w14:paraId="1637DFA1">
            <w:pPr>
              <w:spacing w:line="400" w:lineRule="exact"/>
              <w:jc w:val="center"/>
              <w:rPr>
                <w:rFonts w:hint="eastAsia" w:ascii="宋体" w:hAnsi="宋体"/>
              </w:rPr>
            </w:pPr>
          </w:p>
        </w:tc>
        <w:tc>
          <w:tcPr>
            <w:tcW w:w="1985" w:type="dxa"/>
            <w:noWrap w:val="0"/>
            <w:vAlign w:val="center"/>
          </w:tcPr>
          <w:p w14:paraId="36CFB765">
            <w:pPr>
              <w:spacing w:line="400" w:lineRule="exact"/>
              <w:jc w:val="center"/>
              <w:rPr>
                <w:rFonts w:hint="eastAsia" w:ascii="宋体" w:hAnsi="宋体"/>
              </w:rPr>
            </w:pPr>
          </w:p>
        </w:tc>
        <w:tc>
          <w:tcPr>
            <w:tcW w:w="1417" w:type="dxa"/>
            <w:noWrap w:val="0"/>
            <w:vAlign w:val="center"/>
          </w:tcPr>
          <w:p w14:paraId="4D193F6A">
            <w:pPr>
              <w:spacing w:line="400" w:lineRule="exact"/>
              <w:jc w:val="center"/>
              <w:rPr>
                <w:rFonts w:hint="eastAsia" w:ascii="宋体" w:hAnsi="宋体"/>
              </w:rPr>
            </w:pPr>
          </w:p>
        </w:tc>
        <w:tc>
          <w:tcPr>
            <w:tcW w:w="851" w:type="dxa"/>
            <w:noWrap w:val="0"/>
            <w:tcMar>
              <w:left w:w="28" w:type="dxa"/>
              <w:right w:w="28" w:type="dxa"/>
            </w:tcMar>
            <w:vAlign w:val="center"/>
          </w:tcPr>
          <w:p w14:paraId="2C8ED41D">
            <w:pPr>
              <w:spacing w:line="400" w:lineRule="exact"/>
              <w:jc w:val="center"/>
              <w:rPr>
                <w:rFonts w:hint="eastAsia" w:ascii="宋体" w:hAnsi="宋体"/>
              </w:rPr>
            </w:pPr>
          </w:p>
        </w:tc>
        <w:tc>
          <w:tcPr>
            <w:tcW w:w="1417" w:type="dxa"/>
            <w:noWrap w:val="0"/>
            <w:vAlign w:val="center"/>
          </w:tcPr>
          <w:p w14:paraId="6C1E1C60">
            <w:pPr>
              <w:spacing w:line="400" w:lineRule="exact"/>
              <w:jc w:val="center"/>
              <w:rPr>
                <w:rFonts w:hint="eastAsia" w:ascii="宋体" w:hAnsi="宋体"/>
              </w:rPr>
            </w:pPr>
          </w:p>
        </w:tc>
      </w:tr>
      <w:tr w14:paraId="3ADB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5FB3A284">
            <w:pPr>
              <w:spacing w:line="400" w:lineRule="exact"/>
              <w:jc w:val="center"/>
              <w:rPr>
                <w:rFonts w:hint="eastAsia" w:ascii="宋体" w:hAnsi="宋体"/>
              </w:rPr>
            </w:pPr>
          </w:p>
        </w:tc>
        <w:tc>
          <w:tcPr>
            <w:tcW w:w="2481" w:type="dxa"/>
            <w:noWrap w:val="0"/>
            <w:tcMar>
              <w:left w:w="28" w:type="dxa"/>
              <w:right w:w="28" w:type="dxa"/>
            </w:tcMar>
            <w:vAlign w:val="center"/>
          </w:tcPr>
          <w:p w14:paraId="236C6EDC">
            <w:pPr>
              <w:spacing w:line="400" w:lineRule="exact"/>
              <w:jc w:val="center"/>
              <w:rPr>
                <w:rFonts w:hint="eastAsia" w:ascii="宋体" w:hAnsi="宋体"/>
              </w:rPr>
            </w:pPr>
          </w:p>
        </w:tc>
        <w:tc>
          <w:tcPr>
            <w:tcW w:w="850" w:type="dxa"/>
            <w:noWrap w:val="0"/>
            <w:tcMar>
              <w:left w:w="28" w:type="dxa"/>
              <w:right w:w="28" w:type="dxa"/>
            </w:tcMar>
            <w:vAlign w:val="center"/>
          </w:tcPr>
          <w:p w14:paraId="28E42A1E">
            <w:pPr>
              <w:spacing w:line="400" w:lineRule="exact"/>
              <w:jc w:val="center"/>
              <w:rPr>
                <w:rFonts w:hint="eastAsia" w:ascii="宋体" w:hAnsi="宋体"/>
              </w:rPr>
            </w:pPr>
          </w:p>
        </w:tc>
        <w:tc>
          <w:tcPr>
            <w:tcW w:w="1418" w:type="dxa"/>
            <w:noWrap w:val="0"/>
            <w:tcMar>
              <w:left w:w="28" w:type="dxa"/>
              <w:right w:w="28" w:type="dxa"/>
            </w:tcMar>
            <w:vAlign w:val="center"/>
          </w:tcPr>
          <w:p w14:paraId="36E71C50">
            <w:pPr>
              <w:spacing w:line="400" w:lineRule="exact"/>
              <w:jc w:val="center"/>
              <w:rPr>
                <w:rFonts w:hint="eastAsia" w:ascii="宋体" w:hAnsi="宋体"/>
              </w:rPr>
            </w:pPr>
          </w:p>
        </w:tc>
        <w:tc>
          <w:tcPr>
            <w:tcW w:w="1134" w:type="dxa"/>
            <w:noWrap w:val="0"/>
            <w:tcMar>
              <w:left w:w="28" w:type="dxa"/>
              <w:right w:w="28" w:type="dxa"/>
            </w:tcMar>
            <w:vAlign w:val="center"/>
          </w:tcPr>
          <w:p w14:paraId="5718201C">
            <w:pPr>
              <w:spacing w:line="400" w:lineRule="exact"/>
              <w:jc w:val="center"/>
              <w:rPr>
                <w:rFonts w:hint="eastAsia" w:ascii="宋体" w:hAnsi="宋体"/>
              </w:rPr>
            </w:pPr>
          </w:p>
        </w:tc>
        <w:tc>
          <w:tcPr>
            <w:tcW w:w="1134" w:type="dxa"/>
            <w:noWrap w:val="0"/>
            <w:tcMar>
              <w:left w:w="28" w:type="dxa"/>
              <w:right w:w="28" w:type="dxa"/>
            </w:tcMar>
            <w:vAlign w:val="center"/>
          </w:tcPr>
          <w:p w14:paraId="15886092">
            <w:pPr>
              <w:spacing w:line="400" w:lineRule="exact"/>
              <w:jc w:val="center"/>
              <w:rPr>
                <w:rFonts w:hint="eastAsia" w:ascii="宋体" w:hAnsi="宋体"/>
              </w:rPr>
            </w:pPr>
          </w:p>
        </w:tc>
        <w:tc>
          <w:tcPr>
            <w:tcW w:w="850" w:type="dxa"/>
            <w:noWrap w:val="0"/>
            <w:tcMar>
              <w:left w:w="28" w:type="dxa"/>
              <w:right w:w="28" w:type="dxa"/>
            </w:tcMar>
            <w:vAlign w:val="center"/>
          </w:tcPr>
          <w:p w14:paraId="06F0A593">
            <w:pPr>
              <w:spacing w:line="400" w:lineRule="exact"/>
              <w:jc w:val="center"/>
              <w:rPr>
                <w:rFonts w:hint="eastAsia" w:ascii="宋体" w:hAnsi="宋体"/>
              </w:rPr>
            </w:pPr>
          </w:p>
        </w:tc>
        <w:tc>
          <w:tcPr>
            <w:tcW w:w="1985" w:type="dxa"/>
            <w:noWrap w:val="0"/>
            <w:vAlign w:val="center"/>
          </w:tcPr>
          <w:p w14:paraId="54D07919">
            <w:pPr>
              <w:spacing w:line="400" w:lineRule="exact"/>
              <w:jc w:val="center"/>
              <w:rPr>
                <w:rFonts w:hint="eastAsia" w:ascii="宋体" w:hAnsi="宋体"/>
              </w:rPr>
            </w:pPr>
          </w:p>
        </w:tc>
        <w:tc>
          <w:tcPr>
            <w:tcW w:w="1417" w:type="dxa"/>
            <w:noWrap w:val="0"/>
            <w:vAlign w:val="center"/>
          </w:tcPr>
          <w:p w14:paraId="628483D1">
            <w:pPr>
              <w:spacing w:line="400" w:lineRule="exact"/>
              <w:jc w:val="center"/>
              <w:rPr>
                <w:rFonts w:hint="eastAsia" w:ascii="宋体" w:hAnsi="宋体"/>
              </w:rPr>
            </w:pPr>
          </w:p>
        </w:tc>
        <w:tc>
          <w:tcPr>
            <w:tcW w:w="851" w:type="dxa"/>
            <w:noWrap w:val="0"/>
            <w:tcMar>
              <w:left w:w="28" w:type="dxa"/>
              <w:right w:w="28" w:type="dxa"/>
            </w:tcMar>
            <w:vAlign w:val="center"/>
          </w:tcPr>
          <w:p w14:paraId="246AD77A">
            <w:pPr>
              <w:spacing w:line="400" w:lineRule="exact"/>
              <w:jc w:val="center"/>
              <w:rPr>
                <w:rFonts w:hint="eastAsia" w:ascii="宋体" w:hAnsi="宋体"/>
              </w:rPr>
            </w:pPr>
          </w:p>
        </w:tc>
        <w:tc>
          <w:tcPr>
            <w:tcW w:w="1417" w:type="dxa"/>
            <w:noWrap w:val="0"/>
            <w:vAlign w:val="center"/>
          </w:tcPr>
          <w:p w14:paraId="6573B181">
            <w:pPr>
              <w:spacing w:line="400" w:lineRule="exact"/>
              <w:jc w:val="center"/>
              <w:rPr>
                <w:rFonts w:hint="eastAsia" w:ascii="宋体" w:hAnsi="宋体"/>
              </w:rPr>
            </w:pPr>
          </w:p>
        </w:tc>
      </w:tr>
      <w:tr w14:paraId="33640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noWrap w:val="0"/>
            <w:tcMar>
              <w:left w:w="28" w:type="dxa"/>
              <w:right w:w="28" w:type="dxa"/>
            </w:tcMar>
            <w:vAlign w:val="center"/>
          </w:tcPr>
          <w:p w14:paraId="7D8B5324">
            <w:pPr>
              <w:spacing w:line="400" w:lineRule="exact"/>
              <w:jc w:val="center"/>
              <w:rPr>
                <w:rFonts w:hint="eastAsia" w:ascii="宋体" w:hAnsi="宋体"/>
              </w:rPr>
            </w:pPr>
          </w:p>
        </w:tc>
        <w:tc>
          <w:tcPr>
            <w:tcW w:w="2481" w:type="dxa"/>
            <w:noWrap w:val="0"/>
            <w:tcMar>
              <w:left w:w="28" w:type="dxa"/>
              <w:right w:w="28" w:type="dxa"/>
            </w:tcMar>
            <w:vAlign w:val="center"/>
          </w:tcPr>
          <w:p w14:paraId="36290C99">
            <w:pPr>
              <w:spacing w:line="400" w:lineRule="exact"/>
              <w:jc w:val="center"/>
              <w:rPr>
                <w:rFonts w:hint="eastAsia" w:ascii="宋体" w:hAnsi="宋体"/>
              </w:rPr>
            </w:pPr>
          </w:p>
        </w:tc>
        <w:tc>
          <w:tcPr>
            <w:tcW w:w="850" w:type="dxa"/>
            <w:noWrap w:val="0"/>
            <w:tcMar>
              <w:left w:w="28" w:type="dxa"/>
              <w:right w:w="28" w:type="dxa"/>
            </w:tcMar>
            <w:vAlign w:val="center"/>
          </w:tcPr>
          <w:p w14:paraId="1B500659">
            <w:pPr>
              <w:spacing w:line="400" w:lineRule="exact"/>
              <w:jc w:val="center"/>
              <w:rPr>
                <w:rFonts w:hint="eastAsia" w:ascii="宋体" w:hAnsi="宋体"/>
              </w:rPr>
            </w:pPr>
          </w:p>
        </w:tc>
        <w:tc>
          <w:tcPr>
            <w:tcW w:w="1418" w:type="dxa"/>
            <w:noWrap w:val="0"/>
            <w:tcMar>
              <w:left w:w="28" w:type="dxa"/>
              <w:right w:w="28" w:type="dxa"/>
            </w:tcMar>
            <w:vAlign w:val="center"/>
          </w:tcPr>
          <w:p w14:paraId="184F86D3">
            <w:pPr>
              <w:spacing w:line="400" w:lineRule="exact"/>
              <w:jc w:val="center"/>
              <w:rPr>
                <w:rFonts w:hint="eastAsia" w:ascii="宋体" w:hAnsi="宋体"/>
              </w:rPr>
            </w:pPr>
          </w:p>
        </w:tc>
        <w:tc>
          <w:tcPr>
            <w:tcW w:w="1134" w:type="dxa"/>
            <w:noWrap w:val="0"/>
            <w:tcMar>
              <w:left w:w="28" w:type="dxa"/>
              <w:right w:w="28" w:type="dxa"/>
            </w:tcMar>
            <w:vAlign w:val="center"/>
          </w:tcPr>
          <w:p w14:paraId="5B523610">
            <w:pPr>
              <w:spacing w:line="400" w:lineRule="exact"/>
              <w:jc w:val="center"/>
              <w:rPr>
                <w:rFonts w:hint="eastAsia" w:ascii="宋体" w:hAnsi="宋体"/>
              </w:rPr>
            </w:pPr>
          </w:p>
        </w:tc>
        <w:tc>
          <w:tcPr>
            <w:tcW w:w="1134" w:type="dxa"/>
            <w:noWrap w:val="0"/>
            <w:tcMar>
              <w:left w:w="28" w:type="dxa"/>
              <w:right w:w="28" w:type="dxa"/>
            </w:tcMar>
            <w:vAlign w:val="center"/>
          </w:tcPr>
          <w:p w14:paraId="62338CC5">
            <w:pPr>
              <w:spacing w:line="400" w:lineRule="exact"/>
              <w:jc w:val="center"/>
              <w:rPr>
                <w:rFonts w:hint="eastAsia" w:ascii="宋体" w:hAnsi="宋体"/>
              </w:rPr>
            </w:pPr>
          </w:p>
        </w:tc>
        <w:tc>
          <w:tcPr>
            <w:tcW w:w="850" w:type="dxa"/>
            <w:noWrap w:val="0"/>
            <w:tcMar>
              <w:left w:w="28" w:type="dxa"/>
              <w:right w:w="28" w:type="dxa"/>
            </w:tcMar>
            <w:vAlign w:val="center"/>
          </w:tcPr>
          <w:p w14:paraId="094591D8">
            <w:pPr>
              <w:spacing w:line="400" w:lineRule="exact"/>
              <w:jc w:val="center"/>
              <w:rPr>
                <w:rFonts w:hint="eastAsia" w:ascii="宋体" w:hAnsi="宋体"/>
              </w:rPr>
            </w:pPr>
          </w:p>
        </w:tc>
        <w:tc>
          <w:tcPr>
            <w:tcW w:w="1985" w:type="dxa"/>
            <w:noWrap w:val="0"/>
            <w:vAlign w:val="center"/>
          </w:tcPr>
          <w:p w14:paraId="76E826FD">
            <w:pPr>
              <w:spacing w:line="400" w:lineRule="exact"/>
              <w:jc w:val="center"/>
              <w:rPr>
                <w:rFonts w:hint="eastAsia" w:ascii="宋体" w:hAnsi="宋体"/>
              </w:rPr>
            </w:pPr>
          </w:p>
        </w:tc>
        <w:tc>
          <w:tcPr>
            <w:tcW w:w="1417" w:type="dxa"/>
            <w:noWrap w:val="0"/>
            <w:vAlign w:val="center"/>
          </w:tcPr>
          <w:p w14:paraId="3EE28ED2">
            <w:pPr>
              <w:spacing w:line="400" w:lineRule="exact"/>
              <w:jc w:val="center"/>
              <w:rPr>
                <w:rFonts w:hint="eastAsia" w:ascii="宋体" w:hAnsi="宋体"/>
              </w:rPr>
            </w:pPr>
          </w:p>
        </w:tc>
        <w:tc>
          <w:tcPr>
            <w:tcW w:w="851" w:type="dxa"/>
            <w:noWrap w:val="0"/>
            <w:tcMar>
              <w:left w:w="28" w:type="dxa"/>
              <w:right w:w="28" w:type="dxa"/>
            </w:tcMar>
            <w:vAlign w:val="center"/>
          </w:tcPr>
          <w:p w14:paraId="56769BA0">
            <w:pPr>
              <w:spacing w:line="400" w:lineRule="exact"/>
              <w:jc w:val="center"/>
              <w:rPr>
                <w:rFonts w:hint="eastAsia" w:ascii="宋体" w:hAnsi="宋体"/>
              </w:rPr>
            </w:pPr>
          </w:p>
        </w:tc>
        <w:tc>
          <w:tcPr>
            <w:tcW w:w="1417" w:type="dxa"/>
            <w:noWrap w:val="0"/>
            <w:vAlign w:val="center"/>
          </w:tcPr>
          <w:p w14:paraId="7C63DE1D">
            <w:pPr>
              <w:spacing w:line="400" w:lineRule="exact"/>
              <w:jc w:val="center"/>
              <w:rPr>
                <w:rFonts w:hint="eastAsia" w:ascii="宋体" w:hAnsi="宋体"/>
              </w:rPr>
            </w:pPr>
          </w:p>
        </w:tc>
      </w:tr>
      <w:tr w14:paraId="00C0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noWrap w:val="0"/>
            <w:tcMar>
              <w:left w:w="28" w:type="dxa"/>
              <w:right w:w="28" w:type="dxa"/>
            </w:tcMar>
            <w:vAlign w:val="center"/>
          </w:tcPr>
          <w:p w14:paraId="0E8F728C">
            <w:pPr>
              <w:spacing w:line="400" w:lineRule="exact"/>
              <w:jc w:val="center"/>
              <w:rPr>
                <w:rFonts w:hint="eastAsia" w:ascii="宋体" w:hAnsi="宋体"/>
              </w:rPr>
            </w:pPr>
          </w:p>
        </w:tc>
        <w:tc>
          <w:tcPr>
            <w:tcW w:w="2481" w:type="dxa"/>
            <w:noWrap w:val="0"/>
            <w:tcMar>
              <w:left w:w="28" w:type="dxa"/>
              <w:right w:w="28" w:type="dxa"/>
            </w:tcMar>
            <w:vAlign w:val="center"/>
          </w:tcPr>
          <w:p w14:paraId="5E533DE0">
            <w:pPr>
              <w:spacing w:line="400" w:lineRule="exact"/>
              <w:jc w:val="center"/>
              <w:rPr>
                <w:rFonts w:hint="eastAsia" w:ascii="宋体" w:hAnsi="宋体"/>
              </w:rPr>
            </w:pPr>
          </w:p>
        </w:tc>
        <w:tc>
          <w:tcPr>
            <w:tcW w:w="850" w:type="dxa"/>
            <w:noWrap w:val="0"/>
            <w:tcMar>
              <w:left w:w="28" w:type="dxa"/>
              <w:right w:w="28" w:type="dxa"/>
            </w:tcMar>
            <w:vAlign w:val="center"/>
          </w:tcPr>
          <w:p w14:paraId="15E7F128">
            <w:pPr>
              <w:spacing w:line="400" w:lineRule="exact"/>
              <w:jc w:val="center"/>
              <w:rPr>
                <w:rFonts w:hint="eastAsia" w:ascii="宋体" w:hAnsi="宋体"/>
              </w:rPr>
            </w:pPr>
          </w:p>
        </w:tc>
        <w:tc>
          <w:tcPr>
            <w:tcW w:w="1418" w:type="dxa"/>
            <w:noWrap w:val="0"/>
            <w:tcMar>
              <w:left w:w="28" w:type="dxa"/>
              <w:right w:w="28" w:type="dxa"/>
            </w:tcMar>
            <w:vAlign w:val="center"/>
          </w:tcPr>
          <w:p w14:paraId="1E16833E">
            <w:pPr>
              <w:spacing w:line="400" w:lineRule="exact"/>
              <w:jc w:val="center"/>
              <w:rPr>
                <w:rFonts w:hint="eastAsia" w:ascii="宋体" w:hAnsi="宋体"/>
              </w:rPr>
            </w:pPr>
          </w:p>
        </w:tc>
        <w:tc>
          <w:tcPr>
            <w:tcW w:w="1134" w:type="dxa"/>
            <w:noWrap w:val="0"/>
            <w:tcMar>
              <w:left w:w="28" w:type="dxa"/>
              <w:right w:w="28" w:type="dxa"/>
            </w:tcMar>
            <w:vAlign w:val="center"/>
          </w:tcPr>
          <w:p w14:paraId="0DD355A5">
            <w:pPr>
              <w:spacing w:line="400" w:lineRule="exact"/>
              <w:jc w:val="center"/>
              <w:rPr>
                <w:rFonts w:hint="eastAsia" w:ascii="宋体" w:hAnsi="宋体"/>
              </w:rPr>
            </w:pPr>
          </w:p>
        </w:tc>
        <w:tc>
          <w:tcPr>
            <w:tcW w:w="1134" w:type="dxa"/>
            <w:noWrap w:val="0"/>
            <w:tcMar>
              <w:left w:w="28" w:type="dxa"/>
              <w:right w:w="28" w:type="dxa"/>
            </w:tcMar>
            <w:vAlign w:val="center"/>
          </w:tcPr>
          <w:p w14:paraId="3D915F37">
            <w:pPr>
              <w:spacing w:line="400" w:lineRule="exact"/>
              <w:jc w:val="center"/>
              <w:rPr>
                <w:rFonts w:hint="eastAsia" w:ascii="宋体" w:hAnsi="宋体"/>
              </w:rPr>
            </w:pPr>
          </w:p>
        </w:tc>
        <w:tc>
          <w:tcPr>
            <w:tcW w:w="850" w:type="dxa"/>
            <w:noWrap w:val="0"/>
            <w:tcMar>
              <w:left w:w="28" w:type="dxa"/>
              <w:right w:w="28" w:type="dxa"/>
            </w:tcMar>
            <w:vAlign w:val="center"/>
          </w:tcPr>
          <w:p w14:paraId="5EE33A18">
            <w:pPr>
              <w:spacing w:line="400" w:lineRule="exact"/>
              <w:jc w:val="center"/>
              <w:rPr>
                <w:rFonts w:hint="eastAsia" w:ascii="宋体" w:hAnsi="宋体"/>
              </w:rPr>
            </w:pPr>
          </w:p>
        </w:tc>
        <w:tc>
          <w:tcPr>
            <w:tcW w:w="1985" w:type="dxa"/>
            <w:noWrap w:val="0"/>
            <w:vAlign w:val="center"/>
          </w:tcPr>
          <w:p w14:paraId="08DF21EE">
            <w:pPr>
              <w:spacing w:line="400" w:lineRule="exact"/>
              <w:jc w:val="center"/>
              <w:rPr>
                <w:rFonts w:hint="eastAsia" w:ascii="宋体" w:hAnsi="宋体"/>
              </w:rPr>
            </w:pPr>
          </w:p>
        </w:tc>
        <w:tc>
          <w:tcPr>
            <w:tcW w:w="1417" w:type="dxa"/>
            <w:noWrap w:val="0"/>
            <w:vAlign w:val="center"/>
          </w:tcPr>
          <w:p w14:paraId="69C6E10F">
            <w:pPr>
              <w:spacing w:line="400" w:lineRule="exact"/>
              <w:jc w:val="center"/>
              <w:rPr>
                <w:rFonts w:hint="eastAsia" w:ascii="宋体" w:hAnsi="宋体"/>
              </w:rPr>
            </w:pPr>
          </w:p>
        </w:tc>
        <w:tc>
          <w:tcPr>
            <w:tcW w:w="851" w:type="dxa"/>
            <w:noWrap w:val="0"/>
            <w:tcMar>
              <w:left w:w="28" w:type="dxa"/>
              <w:right w:w="28" w:type="dxa"/>
            </w:tcMar>
            <w:vAlign w:val="center"/>
          </w:tcPr>
          <w:p w14:paraId="51C0FC1B">
            <w:pPr>
              <w:spacing w:line="400" w:lineRule="exact"/>
              <w:jc w:val="center"/>
              <w:rPr>
                <w:rFonts w:hint="eastAsia" w:ascii="宋体" w:hAnsi="宋体"/>
              </w:rPr>
            </w:pPr>
          </w:p>
        </w:tc>
        <w:tc>
          <w:tcPr>
            <w:tcW w:w="1417" w:type="dxa"/>
            <w:noWrap w:val="0"/>
            <w:vAlign w:val="center"/>
          </w:tcPr>
          <w:p w14:paraId="07FAF635">
            <w:pPr>
              <w:spacing w:line="400" w:lineRule="exact"/>
              <w:jc w:val="center"/>
              <w:rPr>
                <w:rFonts w:hint="eastAsia" w:ascii="宋体" w:hAnsi="宋体"/>
              </w:rPr>
            </w:pPr>
          </w:p>
        </w:tc>
      </w:tr>
      <w:tr w14:paraId="457F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noWrap w:val="0"/>
            <w:tcMar>
              <w:left w:w="28" w:type="dxa"/>
              <w:right w:w="28" w:type="dxa"/>
            </w:tcMar>
            <w:vAlign w:val="center"/>
          </w:tcPr>
          <w:p w14:paraId="7FE1EE72">
            <w:pPr>
              <w:spacing w:line="400" w:lineRule="exact"/>
              <w:jc w:val="center"/>
              <w:rPr>
                <w:rFonts w:hint="eastAsia" w:ascii="宋体" w:hAnsi="宋体"/>
              </w:rPr>
            </w:pPr>
            <w:r>
              <w:rPr>
                <w:rFonts w:hint="eastAsia" w:ascii="宋体" w:hAnsi="宋体"/>
              </w:rPr>
              <w:t>招标控制价总价（元）</w:t>
            </w:r>
          </w:p>
        </w:tc>
        <w:tc>
          <w:tcPr>
            <w:tcW w:w="11056" w:type="dxa"/>
            <w:gridSpan w:val="9"/>
            <w:noWrap w:val="0"/>
            <w:tcMar>
              <w:left w:w="28" w:type="dxa"/>
              <w:right w:w="28" w:type="dxa"/>
            </w:tcMar>
            <w:vAlign w:val="center"/>
          </w:tcPr>
          <w:p w14:paraId="04E058DB">
            <w:pPr>
              <w:spacing w:line="400" w:lineRule="exact"/>
              <w:rPr>
                <w:rFonts w:hint="eastAsia" w:ascii="宋体" w:hAnsi="宋体"/>
              </w:rPr>
            </w:pPr>
          </w:p>
        </w:tc>
      </w:tr>
      <w:tr w14:paraId="39CA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7" w:type="dxa"/>
            <w:gridSpan w:val="2"/>
            <w:noWrap w:val="0"/>
            <w:tcMar>
              <w:left w:w="28" w:type="dxa"/>
              <w:right w:w="28" w:type="dxa"/>
            </w:tcMar>
            <w:vAlign w:val="center"/>
          </w:tcPr>
          <w:p w14:paraId="6E5E8DCB">
            <w:pPr>
              <w:spacing w:line="400" w:lineRule="exact"/>
              <w:jc w:val="center"/>
              <w:rPr>
                <w:rFonts w:hint="eastAsia" w:ascii="宋体" w:hAnsi="宋体"/>
              </w:rPr>
            </w:pPr>
            <w:r>
              <w:rPr>
                <w:rFonts w:hint="eastAsia"/>
                <w:szCs w:val="21"/>
              </w:rPr>
              <w:t>开标过程需记录的其他事项</w:t>
            </w:r>
          </w:p>
        </w:tc>
        <w:tc>
          <w:tcPr>
            <w:tcW w:w="11056" w:type="dxa"/>
            <w:gridSpan w:val="9"/>
            <w:noWrap w:val="0"/>
            <w:tcMar>
              <w:left w:w="28" w:type="dxa"/>
              <w:right w:w="28" w:type="dxa"/>
            </w:tcMar>
            <w:vAlign w:val="center"/>
          </w:tcPr>
          <w:p w14:paraId="6B58D121">
            <w:pPr>
              <w:spacing w:line="400" w:lineRule="exact"/>
              <w:rPr>
                <w:rFonts w:hint="eastAsia" w:ascii="宋体" w:hAnsi="宋体"/>
              </w:rPr>
            </w:pPr>
          </w:p>
          <w:p w14:paraId="7A89B3DE">
            <w:pPr>
              <w:spacing w:line="400" w:lineRule="exact"/>
              <w:rPr>
                <w:rFonts w:hint="eastAsia" w:ascii="宋体" w:hAnsi="宋体"/>
              </w:rPr>
            </w:pPr>
          </w:p>
        </w:tc>
      </w:tr>
    </w:tbl>
    <w:p w14:paraId="6B4A7424">
      <w:pPr>
        <w:spacing w:line="400" w:lineRule="exact"/>
        <w:rPr>
          <w:rFonts w:hint="eastAsia" w:ascii="宋体" w:hAnsi="宋体"/>
          <w:u w:val="single"/>
        </w:rPr>
      </w:pPr>
      <w:r>
        <w:rPr>
          <w:rFonts w:hint="eastAsia" w:ascii="宋体" w:hAnsi="宋体"/>
        </w:rPr>
        <w:t xml:space="preserve">                                                     </w:t>
      </w:r>
      <w:r>
        <w:rPr>
          <w:rFonts w:hint="eastAsia"/>
        </w:rPr>
        <w:t>主持人</w:t>
      </w:r>
      <w:r>
        <w:rPr>
          <w:rFonts w:hint="eastAsia" w:ascii="宋体" w:hAnsi="宋体"/>
        </w:rPr>
        <w:t>：</w:t>
      </w:r>
      <w:r>
        <w:rPr>
          <w:rFonts w:hint="eastAsia" w:ascii="宋体" w:hAnsi="宋体"/>
          <w:u w:val="single"/>
        </w:rPr>
        <w:t xml:space="preserve">                 </w:t>
      </w:r>
      <w:r>
        <w:rPr>
          <w:rFonts w:hint="eastAsia" w:ascii="宋体" w:hAnsi="宋体"/>
        </w:rPr>
        <w:t>招标人代表：</w:t>
      </w:r>
      <w:r>
        <w:rPr>
          <w:rFonts w:hint="eastAsia" w:ascii="宋体" w:hAnsi="宋体"/>
          <w:u w:val="single"/>
        </w:rPr>
        <w:t xml:space="preserve">                </w:t>
      </w:r>
      <w:r>
        <w:rPr>
          <w:rFonts w:hint="eastAsia" w:ascii="宋体" w:hAnsi="宋体"/>
        </w:rPr>
        <w:t>监标人：</w:t>
      </w:r>
      <w:r>
        <w:rPr>
          <w:rFonts w:hint="eastAsia" w:ascii="宋体" w:hAnsi="宋体"/>
          <w:u w:val="single"/>
        </w:rPr>
        <w:t xml:space="preserve">               </w:t>
      </w:r>
    </w:p>
    <w:p w14:paraId="2E24197E">
      <w:pPr>
        <w:spacing w:line="400" w:lineRule="exact"/>
        <w:rPr>
          <w:rFonts w:ascii="宋体" w:hAnsi="宋体"/>
        </w:rPr>
        <w:sectPr>
          <w:pgSz w:w="16838" w:h="11906" w:orient="landscape"/>
          <w:pgMar w:top="1800" w:right="1440" w:bottom="1800" w:left="1440" w:header="851" w:footer="992" w:gutter="0"/>
          <w:cols w:space="720" w:num="1"/>
          <w:docGrid w:linePitch="312" w:charSpace="0"/>
        </w:sectPr>
      </w:pPr>
    </w:p>
    <w:p w14:paraId="15CF1C49">
      <w:pPr>
        <w:pStyle w:val="3"/>
        <w:rPr>
          <w:rFonts w:hint="eastAsia"/>
          <w:b w:val="0"/>
          <w:sz w:val="24"/>
          <w:szCs w:val="24"/>
        </w:rPr>
      </w:pPr>
      <w:bookmarkStart w:id="312" w:name="_Toc108513571"/>
      <w:r>
        <w:rPr>
          <w:rFonts w:hint="eastAsia"/>
          <w:b w:val="0"/>
          <w:sz w:val="24"/>
          <w:szCs w:val="24"/>
        </w:rPr>
        <w:t>附表六：投标文件问题澄清通知</w:t>
      </w:r>
      <w:bookmarkEnd w:id="312"/>
    </w:p>
    <w:p w14:paraId="14650BDC">
      <w:pPr>
        <w:rPr>
          <w:rFonts w:hint="eastAsia"/>
        </w:rPr>
      </w:pPr>
    </w:p>
    <w:p w14:paraId="10270667">
      <w:pPr>
        <w:spacing w:before="240" w:beforeLines="100" w:after="240" w:afterLines="100" w:line="400" w:lineRule="exact"/>
        <w:jc w:val="center"/>
        <w:rPr>
          <w:rFonts w:hint="eastAsia" w:ascii="黑体" w:eastAsia="黑体"/>
          <w:sz w:val="28"/>
          <w:szCs w:val="28"/>
        </w:rPr>
      </w:pPr>
      <w:r>
        <w:rPr>
          <w:rFonts w:hint="eastAsia" w:ascii="黑体" w:eastAsia="黑体"/>
          <w:sz w:val="28"/>
          <w:szCs w:val="28"/>
        </w:rPr>
        <w:t>投标文件问题澄清通知</w:t>
      </w:r>
    </w:p>
    <w:p w14:paraId="00774CB2">
      <w:pPr>
        <w:spacing w:line="400" w:lineRule="exact"/>
        <w:ind w:firstLine="5355" w:firstLineChars="2550"/>
        <w:rPr>
          <w:rFonts w:hint="eastAsia"/>
          <w:u w:val="single"/>
        </w:rPr>
      </w:pPr>
      <w:r>
        <w:rPr>
          <w:rFonts w:hint="eastAsia"/>
        </w:rPr>
        <w:t>编号：</w:t>
      </w:r>
      <w:r>
        <w:rPr>
          <w:rFonts w:hint="eastAsia"/>
          <w:u w:val="single"/>
        </w:rPr>
        <w:t xml:space="preserve">                  </w:t>
      </w:r>
    </w:p>
    <w:p w14:paraId="606A080B">
      <w:pPr>
        <w:spacing w:line="480" w:lineRule="exact"/>
        <w:rPr>
          <w:rFonts w:hint="eastAsia"/>
        </w:rPr>
      </w:pPr>
      <w:r>
        <w:rPr>
          <w:rFonts w:hint="eastAsia"/>
          <w:u w:val="single"/>
        </w:rPr>
        <w:t xml:space="preserve">            </w:t>
      </w:r>
      <w:r>
        <w:rPr>
          <w:rFonts w:hint="eastAsia" w:ascii="宋体" w:hAnsi="宋体"/>
          <w:u w:val="single"/>
        </w:rPr>
        <w:t xml:space="preserve">         </w:t>
      </w:r>
      <w:r>
        <w:rPr>
          <w:rFonts w:hint="eastAsia"/>
          <w:u w:val="single"/>
        </w:rPr>
        <w:t xml:space="preserve">      </w:t>
      </w:r>
      <w:r>
        <w:rPr>
          <w:rFonts w:hint="eastAsia"/>
        </w:rPr>
        <w:t>（投标人名称）：</w:t>
      </w:r>
    </w:p>
    <w:p w14:paraId="3F391844">
      <w:pPr>
        <w:spacing w:line="480" w:lineRule="exact"/>
        <w:ind w:firstLine="420" w:firstLineChars="200"/>
        <w:rPr>
          <w:rFonts w:hint="eastAsia"/>
          <w:u w:val="single"/>
        </w:rPr>
      </w:pPr>
    </w:p>
    <w:p w14:paraId="7AC6FD55">
      <w:pPr>
        <w:spacing w:line="480" w:lineRule="exact"/>
        <w:ind w:firstLine="525" w:firstLineChars="250"/>
        <w:rPr>
          <w:rFonts w:hint="eastAsia"/>
        </w:rPr>
      </w:pPr>
      <w:r>
        <w:rPr>
          <w:rFonts w:hint="eastAsia"/>
          <w:u w:val="single"/>
        </w:rPr>
        <w:t xml:space="preserve">             </w:t>
      </w:r>
      <w:r>
        <w:rPr>
          <w:rFonts w:hint="eastAsia"/>
        </w:rPr>
        <w:t>（项目名称）</w:t>
      </w:r>
      <w:r>
        <w:rPr>
          <w:rFonts w:hint="eastAsia"/>
          <w:u w:val="single"/>
        </w:rPr>
        <w:t xml:space="preserve">        </w:t>
      </w:r>
      <w:r>
        <w:rPr>
          <w:rFonts w:hint="eastAsia"/>
        </w:rPr>
        <w:t>（标段名称）施工招标的评标委员会，对你方的投标文件进行了仔细的审查，现需你方对下列问题以书面形式予以澄清、说明或者补正，并将投标文件的澄清、说明或者补正于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时前，通过“电子交易平台”“投标文件澄清”菜单提交给本评标委员会。</w:t>
      </w:r>
    </w:p>
    <w:p w14:paraId="22736FC3">
      <w:pPr>
        <w:spacing w:line="440" w:lineRule="exact"/>
        <w:ind w:firstLine="420" w:firstLineChars="200"/>
      </w:pPr>
      <w:r>
        <w:t>1</w:t>
      </w:r>
      <w:r>
        <w:rPr>
          <w:rFonts w:hint="eastAsia"/>
        </w:rPr>
        <w:t>、</w:t>
      </w:r>
      <w:r>
        <w:t xml:space="preserve"> ......</w:t>
      </w:r>
    </w:p>
    <w:p w14:paraId="7FB8F69E">
      <w:pPr>
        <w:spacing w:line="440" w:lineRule="exact"/>
      </w:pPr>
      <w:r>
        <w:t xml:space="preserve">    2</w:t>
      </w:r>
      <w:r>
        <w:rPr>
          <w:rFonts w:hint="eastAsia"/>
        </w:rPr>
        <w:t>、</w:t>
      </w:r>
      <w:r>
        <w:t xml:space="preserve"> ......</w:t>
      </w:r>
    </w:p>
    <w:p w14:paraId="69231F22">
      <w:pPr>
        <w:spacing w:line="440" w:lineRule="exact"/>
      </w:pPr>
      <w:r>
        <w:t xml:space="preserve">     ......   </w:t>
      </w:r>
    </w:p>
    <w:p w14:paraId="3DC72C5B">
      <w:pPr>
        <w:spacing w:line="480" w:lineRule="exact"/>
        <w:rPr>
          <w:rFonts w:hint="eastAsia"/>
        </w:rPr>
      </w:pPr>
    </w:p>
    <w:p w14:paraId="25390BE1">
      <w:pPr>
        <w:spacing w:line="480" w:lineRule="exact"/>
        <w:ind w:firstLine="2730" w:firstLineChars="1300"/>
        <w:rPr>
          <w:rFonts w:hint="eastAsia" w:ascii="宋体" w:hAnsi="宋体"/>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rPr>
        <w:t>（标段名称）</w:t>
      </w:r>
      <w:r>
        <w:rPr>
          <w:rFonts w:hint="eastAsia" w:ascii="宋体" w:hAnsi="宋体"/>
        </w:rPr>
        <w:t>施工招标评标委员会</w:t>
      </w:r>
    </w:p>
    <w:p w14:paraId="319CDFBD">
      <w:pPr>
        <w:spacing w:line="480" w:lineRule="exact"/>
        <w:ind w:firstLine="945" w:firstLineChars="450"/>
        <w:rPr>
          <w:rFonts w:hint="eastAsia"/>
        </w:rPr>
      </w:pPr>
      <w:r>
        <w:rPr>
          <w:rFonts w:hint="eastAsia"/>
        </w:rPr>
        <w:t>（经评标委员会授权的招标人代表签字或招标人盖单位章）：</w:t>
      </w:r>
      <w:r>
        <w:rPr>
          <w:rFonts w:hint="eastAsia"/>
          <w:u w:val="single"/>
        </w:rPr>
        <w:t xml:space="preserve">               </w:t>
      </w:r>
    </w:p>
    <w:p w14:paraId="2C476D8E">
      <w:pPr>
        <w:spacing w:line="480" w:lineRule="exact"/>
        <w:ind w:firstLine="5565" w:firstLineChars="2650"/>
        <w:rPr>
          <w:rFonts w:hint="eastAsia"/>
          <w:u w:val="single"/>
        </w:rPr>
      </w:pPr>
    </w:p>
    <w:p w14:paraId="22243F63">
      <w:pPr>
        <w:spacing w:line="480" w:lineRule="exact"/>
        <w:ind w:firstLine="5565" w:firstLineChars="2650"/>
        <w:rPr>
          <w:rFonts w:hint="eastAsia"/>
        </w:rPr>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0F66842E">
      <w:pPr>
        <w:spacing w:line="480" w:lineRule="exact"/>
        <w:ind w:firstLine="5565" w:firstLineChars="2650"/>
        <w:rPr>
          <w:rFonts w:hint="eastAsia"/>
        </w:rPr>
      </w:pPr>
    </w:p>
    <w:p w14:paraId="509CBDF2">
      <w:pPr>
        <w:spacing w:line="480" w:lineRule="exact"/>
        <w:ind w:firstLine="5565" w:firstLineChars="2650"/>
        <w:rPr>
          <w:rFonts w:hint="eastAsia"/>
        </w:rPr>
      </w:pPr>
    </w:p>
    <w:p w14:paraId="3D5BFCC1">
      <w:pPr>
        <w:spacing w:line="480" w:lineRule="exact"/>
        <w:ind w:firstLine="5565" w:firstLineChars="2650"/>
        <w:rPr>
          <w:rFonts w:hint="eastAsia"/>
        </w:rPr>
      </w:pPr>
    </w:p>
    <w:p w14:paraId="7ABC6F68">
      <w:pPr>
        <w:spacing w:line="480" w:lineRule="exact"/>
        <w:ind w:firstLine="5565" w:firstLineChars="2650"/>
        <w:rPr>
          <w:rFonts w:hint="eastAsia"/>
        </w:rPr>
      </w:pPr>
    </w:p>
    <w:p w14:paraId="57F57C24">
      <w:pPr>
        <w:spacing w:line="480" w:lineRule="exact"/>
        <w:ind w:firstLine="5565" w:firstLineChars="2650"/>
        <w:rPr>
          <w:rFonts w:hint="eastAsia"/>
        </w:rPr>
      </w:pPr>
    </w:p>
    <w:p w14:paraId="6BAE9285">
      <w:pPr>
        <w:spacing w:line="480" w:lineRule="exact"/>
        <w:ind w:firstLine="5565" w:firstLineChars="2650"/>
        <w:rPr>
          <w:rFonts w:hint="eastAsia"/>
        </w:rPr>
      </w:pPr>
    </w:p>
    <w:p w14:paraId="60B371D6">
      <w:pPr>
        <w:spacing w:line="480" w:lineRule="exact"/>
        <w:ind w:firstLine="5565" w:firstLineChars="2650"/>
        <w:rPr>
          <w:rFonts w:hint="eastAsia"/>
        </w:rPr>
      </w:pPr>
    </w:p>
    <w:p w14:paraId="13E14609">
      <w:pPr>
        <w:spacing w:line="480" w:lineRule="exact"/>
        <w:ind w:firstLine="5565" w:firstLineChars="2650"/>
        <w:rPr>
          <w:rFonts w:hint="eastAsia"/>
        </w:rPr>
      </w:pPr>
    </w:p>
    <w:p w14:paraId="38C76852">
      <w:pPr>
        <w:spacing w:line="480" w:lineRule="exact"/>
        <w:ind w:firstLine="5565" w:firstLineChars="2650"/>
      </w:pPr>
    </w:p>
    <w:p w14:paraId="13324DAD">
      <w:pPr>
        <w:pStyle w:val="3"/>
        <w:rPr>
          <w:rFonts w:hint="eastAsia" w:ascii="黑体"/>
          <w:sz w:val="24"/>
        </w:rPr>
      </w:pPr>
      <w:bookmarkStart w:id="313" w:name="_Toc108513572"/>
      <w:r>
        <w:rPr>
          <w:rFonts w:hint="eastAsia"/>
          <w:b w:val="0"/>
          <w:sz w:val="24"/>
          <w:szCs w:val="24"/>
        </w:rPr>
        <w:t>附表七：投标文件问题的澄清</w:t>
      </w:r>
      <w:bookmarkEnd w:id="313"/>
    </w:p>
    <w:p w14:paraId="67730358">
      <w:pPr>
        <w:spacing w:line="480" w:lineRule="exact"/>
        <w:rPr>
          <w:rFonts w:hint="eastAsia" w:ascii="黑体" w:eastAsia="黑体"/>
          <w:sz w:val="24"/>
        </w:rPr>
      </w:pPr>
    </w:p>
    <w:p w14:paraId="22872DC6">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投标文件问题的澄清、说明或补正</w:t>
      </w:r>
    </w:p>
    <w:p w14:paraId="65061C3A">
      <w:pPr>
        <w:spacing w:line="400" w:lineRule="exact"/>
        <w:ind w:firstLine="5355" w:firstLineChars="2550"/>
        <w:rPr>
          <w:rFonts w:hint="eastAsia"/>
          <w:u w:val="single"/>
        </w:rPr>
      </w:pPr>
      <w:r>
        <w:rPr>
          <w:rFonts w:hint="eastAsia"/>
        </w:rPr>
        <w:t>编号：</w:t>
      </w:r>
      <w:r>
        <w:rPr>
          <w:rFonts w:hint="eastAsia"/>
          <w:u w:val="single"/>
        </w:rPr>
        <w:t xml:space="preserve">                  </w:t>
      </w:r>
    </w:p>
    <w:p w14:paraId="6CF46FB9">
      <w:pPr>
        <w:spacing w:line="480" w:lineRule="exact"/>
        <w:rPr>
          <w:rFonts w:hint="eastAsia"/>
        </w:rPr>
      </w:pPr>
      <w:r>
        <w:rPr>
          <w:rFonts w:hint="eastAsia"/>
        </w:rPr>
        <w:t xml:space="preserve">  </w:t>
      </w:r>
      <w:r>
        <w:rPr>
          <w:rFonts w:hint="eastAsia"/>
          <w:u w:val="single"/>
        </w:rPr>
        <w:t xml:space="preserve">            </w:t>
      </w:r>
      <w:r>
        <w:rPr>
          <w:rFonts w:hint="eastAsia"/>
        </w:rPr>
        <w:t>（项目名称）</w:t>
      </w:r>
      <w:r>
        <w:rPr>
          <w:rFonts w:hint="eastAsia"/>
          <w:u w:val="single"/>
        </w:rPr>
        <w:t xml:space="preserve">      </w:t>
      </w:r>
      <w:r>
        <w:rPr>
          <w:rFonts w:hint="eastAsia"/>
        </w:rPr>
        <w:t>（标段名称）施工招标评标委员会：</w:t>
      </w:r>
    </w:p>
    <w:p w14:paraId="32340685">
      <w:pPr>
        <w:spacing w:line="480" w:lineRule="exact"/>
        <w:ind w:firstLine="420" w:firstLineChars="200"/>
        <w:rPr>
          <w:rFonts w:hint="eastAsia"/>
        </w:rPr>
      </w:pPr>
      <w:r>
        <w:rPr>
          <w:rFonts w:hint="eastAsia"/>
        </w:rPr>
        <w:t>投标文件问题澄清通知（编号：</w:t>
      </w:r>
      <w:r>
        <w:rPr>
          <w:rFonts w:hint="eastAsia"/>
          <w:u w:val="single"/>
        </w:rPr>
        <w:t xml:space="preserve">      </w:t>
      </w:r>
      <w:r>
        <w:rPr>
          <w:rFonts w:hint="eastAsia"/>
        </w:rPr>
        <w:t>）已收悉，现澄清、说明或者补正如下：</w:t>
      </w:r>
    </w:p>
    <w:p w14:paraId="439F2D95">
      <w:pPr>
        <w:spacing w:line="480" w:lineRule="exact"/>
        <w:ind w:firstLine="420" w:firstLineChars="200"/>
        <w:rPr>
          <w:rFonts w:hint="eastAsia"/>
        </w:rPr>
      </w:pPr>
      <w:r>
        <w:rPr>
          <w:rFonts w:hint="eastAsia"/>
        </w:rPr>
        <w:t>1.</w:t>
      </w:r>
    </w:p>
    <w:p w14:paraId="04DBAF8B">
      <w:pPr>
        <w:spacing w:line="480" w:lineRule="exact"/>
        <w:ind w:firstLine="420" w:firstLineChars="200"/>
        <w:rPr>
          <w:rFonts w:hint="eastAsia"/>
        </w:rPr>
      </w:pPr>
      <w:r>
        <w:rPr>
          <w:rFonts w:hint="eastAsia"/>
        </w:rPr>
        <w:t>2.</w:t>
      </w:r>
    </w:p>
    <w:p w14:paraId="27B1467E">
      <w:pPr>
        <w:spacing w:line="480" w:lineRule="exact"/>
        <w:ind w:firstLine="420" w:firstLineChars="200"/>
        <w:rPr>
          <w:rFonts w:hint="eastAsia"/>
        </w:rPr>
      </w:pPr>
    </w:p>
    <w:p w14:paraId="5F9C277F">
      <w:pPr>
        <w:spacing w:line="480" w:lineRule="exact"/>
        <w:ind w:firstLine="420" w:firstLineChars="200"/>
        <w:rPr>
          <w:rFonts w:hint="eastAsia"/>
        </w:rPr>
      </w:pPr>
      <w:r>
        <w:rPr>
          <w:rFonts w:hint="eastAsia"/>
        </w:rPr>
        <w:t>……</w:t>
      </w:r>
    </w:p>
    <w:p w14:paraId="5386C24B">
      <w:pPr>
        <w:spacing w:line="480" w:lineRule="exact"/>
        <w:ind w:firstLine="420" w:firstLineChars="200"/>
        <w:rPr>
          <w:rFonts w:hint="eastAsia"/>
        </w:rPr>
      </w:pPr>
    </w:p>
    <w:p w14:paraId="036E7804">
      <w:pPr>
        <w:spacing w:line="480" w:lineRule="exact"/>
        <w:ind w:firstLine="420" w:firstLineChars="200"/>
        <w:rPr>
          <w:rFonts w:hint="eastAsia"/>
        </w:rPr>
      </w:pPr>
    </w:p>
    <w:p w14:paraId="398CEE86">
      <w:pPr>
        <w:spacing w:line="480" w:lineRule="exact"/>
        <w:ind w:firstLine="420" w:firstLineChars="200"/>
        <w:rPr>
          <w:rFonts w:hint="eastAsia"/>
        </w:rPr>
      </w:pPr>
    </w:p>
    <w:p w14:paraId="2C512F6C">
      <w:pPr>
        <w:spacing w:line="480" w:lineRule="exact"/>
        <w:ind w:firstLine="420" w:firstLineChars="200"/>
        <w:rPr>
          <w:rFonts w:hint="eastAsia"/>
        </w:rPr>
      </w:pPr>
    </w:p>
    <w:p w14:paraId="0BBFAD6E">
      <w:pPr>
        <w:spacing w:line="480" w:lineRule="exact"/>
        <w:ind w:firstLine="420" w:firstLineChars="200"/>
        <w:rPr>
          <w:rFonts w:hint="eastAsia"/>
        </w:rPr>
      </w:pPr>
    </w:p>
    <w:p w14:paraId="1B49E11F">
      <w:pPr>
        <w:spacing w:line="480" w:lineRule="exact"/>
        <w:ind w:firstLine="420" w:firstLineChars="200"/>
        <w:rPr>
          <w:rFonts w:hint="eastAsia"/>
        </w:rPr>
      </w:pPr>
    </w:p>
    <w:p w14:paraId="13D5D3B6">
      <w:pPr>
        <w:wordWrap w:val="0"/>
        <w:spacing w:line="480" w:lineRule="exact"/>
        <w:ind w:right="105" w:firstLine="420" w:firstLineChars="200"/>
        <w:jc w:val="right"/>
        <w:rPr>
          <w:rFonts w:hint="eastAsia" w:ascii="宋体" w:hAnsi="宋体"/>
        </w:rPr>
      </w:pPr>
      <w:r>
        <w:rPr>
          <w:rFonts w:hint="eastAsia" w:ascii="宋体" w:hAnsi="宋体"/>
        </w:rPr>
        <w:t>投标人：</w:t>
      </w:r>
      <w:r>
        <w:rPr>
          <w:rFonts w:hint="eastAsia" w:ascii="宋体" w:hAnsi="宋体"/>
          <w:u w:val="single"/>
        </w:rPr>
        <w:t xml:space="preserve">                            </w:t>
      </w:r>
      <w:r>
        <w:rPr>
          <w:rFonts w:hint="eastAsia" w:ascii="宋体" w:hAnsi="宋体"/>
        </w:rPr>
        <w:t>（盖单位章）</w:t>
      </w:r>
    </w:p>
    <w:p w14:paraId="7C7FC1F6">
      <w:pPr>
        <w:wordWrap w:val="0"/>
        <w:spacing w:before="120" w:beforeLines="50" w:after="120" w:afterLines="50" w:line="480" w:lineRule="exact"/>
        <w:ind w:right="105"/>
        <w:jc w:val="right"/>
        <w:rPr>
          <w:rFonts w:hint="eastAsia"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（签字）</w:t>
      </w:r>
    </w:p>
    <w:p w14:paraId="055148D5">
      <w:pPr>
        <w:spacing w:line="480" w:lineRule="exact"/>
        <w:ind w:firstLine="5775" w:firstLineChars="2750"/>
        <w:rPr>
          <w:rFonts w:hint="eastAsia"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6271A67">
      <w:pPr>
        <w:spacing w:line="480" w:lineRule="exact"/>
        <w:ind w:firstLine="5775" w:firstLineChars="2750"/>
        <w:rPr>
          <w:rFonts w:hint="eastAsia"/>
        </w:rPr>
      </w:pPr>
    </w:p>
    <w:p w14:paraId="1BC63A27">
      <w:pPr>
        <w:spacing w:line="480" w:lineRule="exact"/>
        <w:ind w:firstLine="5775" w:firstLineChars="2750"/>
        <w:rPr>
          <w:rFonts w:hint="eastAsia"/>
        </w:rPr>
      </w:pPr>
    </w:p>
    <w:p w14:paraId="0C071719">
      <w:pPr>
        <w:spacing w:line="480" w:lineRule="exact"/>
        <w:ind w:firstLine="5775" w:firstLineChars="2750"/>
        <w:rPr>
          <w:rFonts w:hint="eastAsia"/>
        </w:rPr>
      </w:pPr>
    </w:p>
    <w:p w14:paraId="583926F0">
      <w:pPr>
        <w:spacing w:line="480" w:lineRule="exact"/>
        <w:ind w:firstLine="5775" w:firstLineChars="2750"/>
        <w:rPr>
          <w:rFonts w:hint="eastAsia"/>
        </w:rPr>
      </w:pPr>
    </w:p>
    <w:p w14:paraId="424E6922">
      <w:pPr>
        <w:spacing w:line="480" w:lineRule="exact"/>
        <w:ind w:firstLine="5775" w:firstLineChars="2750"/>
        <w:rPr>
          <w:rFonts w:hint="eastAsia"/>
        </w:rPr>
      </w:pPr>
    </w:p>
    <w:p w14:paraId="17F87B49">
      <w:pPr>
        <w:pStyle w:val="3"/>
        <w:rPr>
          <w:rFonts w:hint="eastAsia"/>
          <w:b w:val="0"/>
          <w:sz w:val="24"/>
          <w:szCs w:val="24"/>
        </w:rPr>
      </w:pPr>
      <w:bookmarkStart w:id="314" w:name="_Toc108513573"/>
      <w:r>
        <w:rPr>
          <w:rFonts w:hint="eastAsia"/>
          <w:b w:val="0"/>
          <w:sz w:val="24"/>
          <w:szCs w:val="24"/>
        </w:rPr>
        <w:t>附表八：中标通知书</w:t>
      </w:r>
      <w:bookmarkEnd w:id="314"/>
    </w:p>
    <w:p w14:paraId="6566F023">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中标通知书</w:t>
      </w:r>
    </w:p>
    <w:p w14:paraId="3D044ACA">
      <w:pPr>
        <w:spacing w:before="240" w:beforeLines="100" w:after="240" w:afterLines="100" w:line="480" w:lineRule="exact"/>
        <w:jc w:val="center"/>
        <w:rPr>
          <w:rFonts w:hint="eastAsia" w:ascii="黑体" w:eastAsia="黑体"/>
          <w:sz w:val="28"/>
          <w:szCs w:val="28"/>
        </w:rPr>
      </w:pPr>
      <w:r>
        <w:rPr>
          <w:rFonts w:hint="eastAsia" w:ascii="仿宋_GB2312" w:eastAsia="仿宋_GB2312"/>
          <w:szCs w:val="21"/>
        </w:rPr>
        <w:t xml:space="preserve">                                      招标编号：</w:t>
      </w:r>
      <w:r>
        <w:rPr>
          <w:rFonts w:hint="eastAsia" w:ascii="仿宋_GB2312" w:eastAsia="仿宋_GB2312"/>
          <w:szCs w:val="21"/>
          <w:u w:val="single"/>
        </w:rPr>
        <w:t xml:space="preserve">    </w:t>
      </w:r>
      <w:r>
        <w:rPr>
          <w:rFonts w:hint="eastAsia" w:ascii="仿宋_GB2312" w:eastAsia="仿宋_GB2312"/>
          <w:b/>
          <w:sz w:val="28"/>
          <w:szCs w:val="28"/>
          <w:u w:val="single"/>
        </w:rPr>
        <w:t xml:space="preserve">       </w:t>
      </w:r>
    </w:p>
    <w:p w14:paraId="32C2808E">
      <w:pPr>
        <w:spacing w:line="480" w:lineRule="exact"/>
        <w:rPr>
          <w:rFonts w:hint="eastAsia"/>
        </w:rPr>
      </w:pPr>
      <w:r>
        <w:rPr>
          <w:rFonts w:hint="eastAsia"/>
          <w:u w:val="single"/>
        </w:rPr>
        <w:t xml:space="preserve">               </w:t>
      </w:r>
      <w:r>
        <w:rPr>
          <w:rFonts w:hint="eastAsia"/>
        </w:rPr>
        <w:t>（中标人名称）：</w:t>
      </w:r>
    </w:p>
    <w:p w14:paraId="14858DFF">
      <w:pPr>
        <w:spacing w:line="480" w:lineRule="exact"/>
        <w:rPr>
          <w:rFonts w:hint="eastAsia"/>
        </w:rPr>
      </w:pPr>
    </w:p>
    <w:p w14:paraId="5C14A7D1">
      <w:pPr>
        <w:spacing w:line="480" w:lineRule="exact"/>
        <w:ind w:firstLine="420" w:firstLineChars="200"/>
        <w:rPr>
          <w:rFonts w:hint="eastAsia"/>
        </w:rPr>
      </w:pPr>
      <w:r>
        <w:rPr>
          <w:rFonts w:hint="eastAsia"/>
        </w:rPr>
        <w:t>你方于</w:t>
      </w:r>
      <w:r>
        <w:rPr>
          <w:rFonts w:hint="eastAsia"/>
          <w:u w:val="single"/>
        </w:rPr>
        <w:t xml:space="preserve">             </w:t>
      </w:r>
      <w:r>
        <w:rPr>
          <w:rFonts w:hint="eastAsia"/>
        </w:rPr>
        <w:t>（投标日期）所递交的</w:t>
      </w:r>
      <w:r>
        <w:rPr>
          <w:rFonts w:hint="eastAsia"/>
          <w:u w:val="single"/>
        </w:rPr>
        <w:t xml:space="preserve">          </w:t>
      </w:r>
      <w:r>
        <w:rPr>
          <w:rFonts w:hint="eastAsia"/>
        </w:rPr>
        <w:t>（项目名称）</w:t>
      </w:r>
      <w:r>
        <w:rPr>
          <w:rFonts w:hint="eastAsia"/>
          <w:u w:val="single"/>
        </w:rPr>
        <w:t xml:space="preserve">       </w:t>
      </w:r>
      <w:r>
        <w:rPr>
          <w:rFonts w:hint="eastAsia"/>
        </w:rPr>
        <w:t>（标段名称）施工投标文件已被我方接受，被确定为中标人。</w:t>
      </w:r>
    </w:p>
    <w:p w14:paraId="11A21FDE">
      <w:pPr>
        <w:spacing w:line="480" w:lineRule="exact"/>
        <w:ind w:firstLine="420" w:firstLineChars="200"/>
        <w:rPr>
          <w:rFonts w:hint="eastAsia"/>
        </w:rPr>
      </w:pPr>
      <w:r>
        <w:rPr>
          <w:rFonts w:hint="eastAsia"/>
        </w:rPr>
        <w:t>中标价：</w:t>
      </w:r>
      <w:r>
        <w:rPr>
          <w:rFonts w:hint="eastAsia"/>
          <w:u w:val="single"/>
        </w:rPr>
        <w:t xml:space="preserve">                         </w:t>
      </w:r>
      <w:r>
        <w:rPr>
          <w:rFonts w:hint="eastAsia"/>
        </w:rPr>
        <w:t>元。</w:t>
      </w:r>
    </w:p>
    <w:p w14:paraId="19BC66C1">
      <w:pPr>
        <w:spacing w:line="480" w:lineRule="exact"/>
        <w:ind w:firstLine="420" w:firstLineChars="200"/>
        <w:rPr>
          <w:rFonts w:hint="eastAsia"/>
        </w:rPr>
      </w:pPr>
      <w:r>
        <w:rPr>
          <w:rFonts w:hint="eastAsia"/>
        </w:rPr>
        <w:t>工  期：</w:t>
      </w:r>
      <w:r>
        <w:rPr>
          <w:rFonts w:hint="eastAsia"/>
          <w:u w:val="single"/>
        </w:rPr>
        <w:t xml:space="preserve">                     </w:t>
      </w:r>
      <w:r>
        <w:rPr>
          <w:rFonts w:hint="eastAsia"/>
        </w:rPr>
        <w:t>日历天。</w:t>
      </w:r>
    </w:p>
    <w:p w14:paraId="525A8CDA">
      <w:pPr>
        <w:spacing w:line="480" w:lineRule="exact"/>
        <w:ind w:firstLine="420" w:firstLineChars="200"/>
        <w:rPr>
          <w:rFonts w:hint="eastAsia"/>
        </w:rPr>
      </w:pPr>
      <w:r>
        <w:rPr>
          <w:rFonts w:hint="eastAsia"/>
        </w:rPr>
        <w:t>工程质量：</w:t>
      </w:r>
      <w:r>
        <w:rPr>
          <w:rFonts w:hint="eastAsia"/>
          <w:u w:val="single"/>
        </w:rPr>
        <w:t xml:space="preserve">                         </w:t>
      </w:r>
      <w:r>
        <w:rPr>
          <w:rFonts w:hint="eastAsia"/>
        </w:rPr>
        <w:t>。</w:t>
      </w:r>
    </w:p>
    <w:p w14:paraId="4ADF9273">
      <w:pPr>
        <w:spacing w:line="480" w:lineRule="exact"/>
        <w:ind w:firstLine="420" w:firstLineChars="200"/>
        <w:rPr>
          <w:rFonts w:hint="eastAsia"/>
        </w:rPr>
      </w:pPr>
      <w:r>
        <w:rPr>
          <w:rFonts w:hint="eastAsia"/>
        </w:rPr>
        <w:t>项目经理：</w:t>
      </w:r>
      <w:r>
        <w:rPr>
          <w:rFonts w:hint="eastAsia"/>
          <w:u w:val="single"/>
        </w:rPr>
        <w:t xml:space="preserve">               </w:t>
      </w:r>
      <w:r>
        <w:rPr>
          <w:rFonts w:hint="eastAsia"/>
        </w:rPr>
        <w:t>（姓名）。</w:t>
      </w:r>
    </w:p>
    <w:p w14:paraId="06AAAC34">
      <w:pPr>
        <w:spacing w:line="480" w:lineRule="exact"/>
        <w:ind w:firstLine="420" w:firstLineChars="200"/>
        <w:rPr>
          <w:rFonts w:hint="eastAsia"/>
        </w:rPr>
      </w:pPr>
    </w:p>
    <w:p w14:paraId="6E907FCB">
      <w:pPr>
        <w:spacing w:line="480" w:lineRule="exact"/>
        <w:ind w:firstLine="420" w:firstLineChars="200"/>
        <w:rPr>
          <w:rFonts w:hint="eastAsia"/>
        </w:rPr>
      </w:pPr>
      <w:r>
        <w:rPr>
          <w:rFonts w:hint="eastAsia"/>
        </w:rPr>
        <w:t>请你方在接到本通知书后的</w:t>
      </w:r>
      <w:r>
        <w:rPr>
          <w:rFonts w:hint="eastAsia"/>
          <w:u w:val="single"/>
        </w:rPr>
        <w:t xml:space="preserve">      </w:t>
      </w:r>
      <w:r>
        <w:rPr>
          <w:rFonts w:hint="eastAsia"/>
        </w:rPr>
        <w:t>日内到</w:t>
      </w:r>
      <w:r>
        <w:rPr>
          <w:rFonts w:hint="eastAsia"/>
          <w:u w:val="single"/>
        </w:rPr>
        <w:t xml:space="preserve">                         </w:t>
      </w:r>
      <w:r>
        <w:rPr>
          <w:rFonts w:hint="eastAsia"/>
        </w:rPr>
        <w:t>（指定地点）与我方签订施工承包合同，在此之前按招标文件第二章“投标人须知”第7.3款规定向我方提交履约担保。</w:t>
      </w:r>
    </w:p>
    <w:p w14:paraId="40C148A6">
      <w:pPr>
        <w:spacing w:line="480" w:lineRule="exact"/>
        <w:ind w:firstLine="420" w:firstLineChars="200"/>
        <w:rPr>
          <w:rFonts w:hint="eastAsia"/>
        </w:rPr>
      </w:pPr>
      <w:r>
        <w:rPr>
          <w:rFonts w:hint="eastAsia"/>
        </w:rPr>
        <w:t>随附的投标文件澄清、说明、补正事项纪要（如果有），是本中标通知书的组成部分。</w:t>
      </w:r>
    </w:p>
    <w:p w14:paraId="0860BEAB">
      <w:pPr>
        <w:spacing w:line="480" w:lineRule="exact"/>
        <w:ind w:firstLine="420" w:firstLineChars="200"/>
        <w:rPr>
          <w:rFonts w:hint="eastAsia"/>
        </w:rPr>
      </w:pPr>
      <w:r>
        <w:rPr>
          <w:rFonts w:hint="eastAsia"/>
        </w:rPr>
        <w:t>特此通知。</w:t>
      </w:r>
    </w:p>
    <w:p w14:paraId="68C30FFD">
      <w:pPr>
        <w:spacing w:line="480" w:lineRule="exact"/>
        <w:ind w:firstLine="420" w:firstLineChars="200"/>
      </w:pPr>
      <w:r>
        <w:t>附：澄清、说明、补正事项纪要</w:t>
      </w:r>
    </w:p>
    <w:p w14:paraId="78579828">
      <w:pPr>
        <w:spacing w:line="480" w:lineRule="exact"/>
        <w:ind w:firstLine="420" w:firstLineChars="200"/>
        <w:rPr>
          <w:rFonts w:hint="eastAsia"/>
        </w:rPr>
      </w:pPr>
    </w:p>
    <w:p w14:paraId="663C2BB7">
      <w:pPr>
        <w:spacing w:line="480" w:lineRule="exact"/>
        <w:ind w:firstLine="420" w:firstLineChars="200"/>
        <w:rPr>
          <w:rFonts w:hint="eastAsia"/>
        </w:rPr>
      </w:pPr>
    </w:p>
    <w:p w14:paraId="655B3C80">
      <w:pPr>
        <w:spacing w:line="480" w:lineRule="exact"/>
        <w:ind w:firstLine="420" w:firstLineChars="200"/>
        <w:rPr>
          <w:rFonts w:hint="eastAsia"/>
        </w:rPr>
      </w:pPr>
    </w:p>
    <w:p w14:paraId="4185043E">
      <w:pPr>
        <w:wordWrap w:val="0"/>
        <w:spacing w:line="480" w:lineRule="exact"/>
        <w:ind w:firstLine="420" w:firstLineChars="200"/>
        <w:jc w:val="right"/>
        <w:rPr>
          <w:rFonts w:hint="eastAsia" w:ascii="宋体" w:hAnsi="宋体"/>
        </w:rPr>
      </w:pPr>
      <w:r>
        <w:rPr>
          <w:rFonts w:hint="eastAsia" w:ascii="宋体" w:hAnsi="宋体"/>
        </w:rPr>
        <w:t>招标人：</w:t>
      </w:r>
      <w:r>
        <w:rPr>
          <w:rFonts w:hint="eastAsia" w:ascii="宋体" w:hAnsi="宋体"/>
          <w:u w:val="single"/>
        </w:rPr>
        <w:t xml:space="preserve">                  </w:t>
      </w:r>
      <w:r>
        <w:rPr>
          <w:rFonts w:hint="eastAsia" w:ascii="宋体" w:hAnsi="宋体"/>
        </w:rPr>
        <w:t xml:space="preserve">（盖单位章） </w:t>
      </w:r>
    </w:p>
    <w:p w14:paraId="7F9FB927">
      <w:pPr>
        <w:wordWrap w:val="0"/>
        <w:spacing w:line="480" w:lineRule="exact"/>
        <w:jc w:val="right"/>
        <w:rPr>
          <w:rFonts w:hint="eastAsia"/>
        </w:rPr>
      </w:pPr>
      <w:r>
        <w:rPr>
          <w:rFonts w:hint="eastAsia" w:ascii="宋体" w:hAnsi="宋体"/>
        </w:rPr>
        <w:t>法定代表人：</w:t>
      </w:r>
      <w:r>
        <w:rPr>
          <w:rFonts w:hint="eastAsia" w:ascii="宋体" w:hAnsi="宋体"/>
          <w:u w:val="single"/>
        </w:rPr>
        <w:t xml:space="preserve">                  </w:t>
      </w:r>
      <w:r>
        <w:rPr>
          <w:rFonts w:hint="eastAsia" w:ascii="宋体" w:hAnsi="宋体"/>
        </w:rPr>
        <w:t xml:space="preserve">（签字） </w:t>
      </w:r>
    </w:p>
    <w:p w14:paraId="34A31EC8">
      <w:pPr>
        <w:wordWrap w:val="0"/>
        <w:spacing w:line="480" w:lineRule="exact"/>
        <w:ind w:firstLine="5145" w:firstLineChars="2450"/>
        <w:jc w:val="right"/>
        <w:rPr>
          <w:rFonts w:hint="eastAsia"/>
        </w:rPr>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 xml:space="preserve">日  </w:t>
      </w:r>
    </w:p>
    <w:p w14:paraId="77AC638C">
      <w:pPr>
        <w:spacing w:line="480" w:lineRule="exact"/>
        <w:ind w:firstLine="5145" w:firstLineChars="2450"/>
        <w:rPr>
          <w:rFonts w:hint="eastAsia"/>
        </w:rPr>
      </w:pPr>
    </w:p>
    <w:p w14:paraId="1C17F76E">
      <w:pPr>
        <w:spacing w:line="480" w:lineRule="exact"/>
        <w:jc w:val="left"/>
        <w:rPr>
          <w:rFonts w:hint="eastAsia"/>
        </w:rPr>
      </w:pPr>
      <w:r>
        <w:rPr>
          <w:rFonts w:hint="eastAsia" w:ascii="宋体" w:hAnsi="宋体"/>
          <w:szCs w:val="21"/>
        </w:rPr>
        <w:t>备注</w:t>
      </w:r>
      <w:r>
        <w:rPr>
          <w:rFonts w:hint="eastAsia"/>
        </w:rPr>
        <w:t>：行政主管部门对中标通知书有备案管理程序的，从其规定。</w:t>
      </w:r>
    </w:p>
    <w:p w14:paraId="5FA8A6DA">
      <w:pPr>
        <w:pStyle w:val="3"/>
        <w:rPr>
          <w:rFonts w:hint="eastAsia" w:ascii="黑体"/>
          <w:sz w:val="24"/>
        </w:rPr>
      </w:pPr>
      <w:bookmarkStart w:id="315" w:name="_Toc108513574"/>
      <w:r>
        <w:rPr>
          <w:rFonts w:hint="eastAsia"/>
          <w:b w:val="0"/>
          <w:sz w:val="24"/>
          <w:szCs w:val="24"/>
        </w:rPr>
        <w:t>附表九：中标结果通知书</w:t>
      </w:r>
      <w:bookmarkEnd w:id="315"/>
    </w:p>
    <w:p w14:paraId="76508868">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中标结果通知书</w:t>
      </w:r>
    </w:p>
    <w:p w14:paraId="439C12E5">
      <w:pPr>
        <w:spacing w:line="480" w:lineRule="exact"/>
        <w:rPr>
          <w:rFonts w:hint="eastAsia"/>
        </w:rPr>
      </w:pPr>
      <w:r>
        <w:rPr>
          <w:rFonts w:hint="eastAsia"/>
          <w:u w:val="single"/>
        </w:rPr>
        <w:t xml:space="preserve">                      </w:t>
      </w:r>
      <w:r>
        <w:rPr>
          <w:rFonts w:hint="eastAsia"/>
        </w:rPr>
        <w:t>（未中标人名称）：</w:t>
      </w:r>
    </w:p>
    <w:p w14:paraId="14664110">
      <w:pPr>
        <w:spacing w:line="480" w:lineRule="exact"/>
        <w:rPr>
          <w:rFonts w:hint="eastAsia"/>
        </w:rPr>
      </w:pPr>
    </w:p>
    <w:p w14:paraId="7AC05956">
      <w:pPr>
        <w:spacing w:line="480" w:lineRule="exact"/>
        <w:ind w:firstLine="420" w:firstLineChars="200"/>
        <w:rPr>
          <w:rFonts w:hint="eastAsia"/>
        </w:rPr>
      </w:pPr>
      <w:r>
        <w:rPr>
          <w:rFonts w:hint="eastAsia"/>
        </w:rPr>
        <w:t>我方已接受</w:t>
      </w:r>
      <w:r>
        <w:rPr>
          <w:rFonts w:hint="eastAsia"/>
          <w:u w:val="single"/>
        </w:rPr>
        <w:t xml:space="preserve">                   </w:t>
      </w:r>
      <w:r>
        <w:rPr>
          <w:rFonts w:hint="eastAsia"/>
        </w:rPr>
        <w:t>（中标人名称）于</w:t>
      </w:r>
      <w:r>
        <w:rPr>
          <w:rFonts w:hint="eastAsia"/>
          <w:u w:val="single"/>
        </w:rPr>
        <w:t xml:space="preserve">                       </w:t>
      </w:r>
      <w:r>
        <w:rPr>
          <w:rFonts w:hint="eastAsia"/>
        </w:rPr>
        <w:t>（投标日期）所递交的</w:t>
      </w:r>
      <w:r>
        <w:rPr>
          <w:rFonts w:hint="eastAsia"/>
          <w:u w:val="single"/>
        </w:rPr>
        <w:t xml:space="preserve">           </w:t>
      </w:r>
      <w:r>
        <w:rPr>
          <w:rFonts w:hint="eastAsia"/>
        </w:rPr>
        <w:t>（项目名称）</w:t>
      </w:r>
      <w:r>
        <w:rPr>
          <w:rFonts w:hint="eastAsia"/>
          <w:u w:val="single"/>
        </w:rPr>
        <w:t xml:space="preserve">       </w:t>
      </w:r>
      <w:r>
        <w:rPr>
          <w:rFonts w:hint="eastAsia"/>
        </w:rPr>
        <w:t>（标段名称）施工投标文件，确定</w:t>
      </w:r>
      <w:r>
        <w:rPr>
          <w:rFonts w:hint="eastAsia"/>
          <w:u w:val="single"/>
        </w:rPr>
        <w:t xml:space="preserve">         </w:t>
      </w:r>
      <w:r>
        <w:rPr>
          <w:rFonts w:hint="eastAsia"/>
        </w:rPr>
        <w:t>（中标人名称）为中标人。</w:t>
      </w:r>
    </w:p>
    <w:p w14:paraId="7DF7DE45">
      <w:pPr>
        <w:spacing w:line="480" w:lineRule="exact"/>
        <w:ind w:firstLine="420" w:firstLineChars="200"/>
        <w:rPr>
          <w:rFonts w:hint="eastAsia"/>
        </w:rPr>
      </w:pPr>
    </w:p>
    <w:p w14:paraId="42E6F80A">
      <w:pPr>
        <w:spacing w:line="480" w:lineRule="exact"/>
        <w:ind w:firstLine="420" w:firstLineChars="200"/>
        <w:rPr>
          <w:rFonts w:hint="eastAsia"/>
        </w:rPr>
      </w:pPr>
      <w:r>
        <w:rPr>
          <w:rFonts w:hint="eastAsia"/>
        </w:rPr>
        <w:t>感谢你单位对我方工作的大力支持!</w:t>
      </w:r>
    </w:p>
    <w:p w14:paraId="67F75462">
      <w:pPr>
        <w:spacing w:line="480" w:lineRule="exact"/>
        <w:ind w:firstLine="420" w:firstLineChars="200"/>
        <w:rPr>
          <w:rFonts w:hint="eastAsia"/>
        </w:rPr>
      </w:pPr>
    </w:p>
    <w:p w14:paraId="35506D67">
      <w:pPr>
        <w:spacing w:line="480" w:lineRule="exact"/>
        <w:ind w:firstLine="420" w:firstLineChars="200"/>
        <w:rPr>
          <w:rFonts w:hint="eastAsia"/>
        </w:rPr>
      </w:pPr>
    </w:p>
    <w:p w14:paraId="508A0FC9">
      <w:pPr>
        <w:spacing w:line="480" w:lineRule="exact"/>
        <w:ind w:firstLine="420" w:firstLineChars="200"/>
        <w:rPr>
          <w:rFonts w:hint="eastAsia"/>
        </w:rPr>
      </w:pPr>
    </w:p>
    <w:p w14:paraId="20A82DB2">
      <w:pPr>
        <w:spacing w:line="480" w:lineRule="exact"/>
        <w:ind w:firstLine="420" w:firstLineChars="200"/>
        <w:rPr>
          <w:rFonts w:hint="eastAsia"/>
        </w:rPr>
      </w:pPr>
    </w:p>
    <w:p w14:paraId="706DBCE0">
      <w:pPr>
        <w:wordWrap w:val="0"/>
        <w:spacing w:line="480" w:lineRule="exact"/>
        <w:ind w:firstLine="420" w:firstLineChars="200"/>
        <w:jc w:val="right"/>
        <w:rPr>
          <w:rFonts w:hint="eastAsia" w:ascii="宋体" w:hAnsi="宋体"/>
        </w:rPr>
      </w:pPr>
      <w:r>
        <w:rPr>
          <w:rFonts w:hint="eastAsia" w:ascii="宋体" w:hAnsi="宋体"/>
        </w:rPr>
        <w:t>招标人：</w:t>
      </w:r>
      <w:r>
        <w:rPr>
          <w:rFonts w:hint="eastAsia" w:ascii="宋体" w:hAnsi="宋体"/>
          <w:u w:val="single"/>
        </w:rPr>
        <w:t xml:space="preserve">               </w:t>
      </w:r>
      <w:r>
        <w:rPr>
          <w:rFonts w:hint="eastAsia" w:ascii="宋体" w:hAnsi="宋体"/>
        </w:rPr>
        <w:t xml:space="preserve">（盖单位章） </w:t>
      </w:r>
    </w:p>
    <w:p w14:paraId="2BA40BE6">
      <w:pPr>
        <w:wordWrap w:val="0"/>
        <w:spacing w:line="480" w:lineRule="exact"/>
        <w:ind w:firstLine="420" w:firstLineChars="200"/>
        <w:jc w:val="right"/>
        <w:rPr>
          <w:rFonts w:hint="eastAsia"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 xml:space="preserve"> （签字） </w:t>
      </w:r>
    </w:p>
    <w:p w14:paraId="2E3846DB">
      <w:pPr>
        <w:wordWrap w:val="0"/>
        <w:spacing w:line="480" w:lineRule="exact"/>
        <w:ind w:firstLine="4689" w:firstLineChars="2233"/>
        <w:jc w:val="right"/>
        <w:rPr>
          <w:rFonts w:hint="eastAsia"/>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 xml:space="preserve">日  </w:t>
      </w:r>
    </w:p>
    <w:p w14:paraId="785A251D">
      <w:pPr>
        <w:spacing w:line="480" w:lineRule="exact"/>
        <w:ind w:firstLine="4689" w:firstLineChars="2233"/>
        <w:jc w:val="right"/>
        <w:rPr>
          <w:rFonts w:hint="eastAsia"/>
        </w:rPr>
      </w:pPr>
    </w:p>
    <w:p w14:paraId="78096DF4">
      <w:pPr>
        <w:spacing w:line="480" w:lineRule="exact"/>
        <w:ind w:firstLine="4689" w:firstLineChars="2233"/>
        <w:jc w:val="right"/>
        <w:rPr>
          <w:rFonts w:hint="eastAsia"/>
        </w:rPr>
      </w:pPr>
    </w:p>
    <w:p w14:paraId="66C29ED8">
      <w:pPr>
        <w:spacing w:line="480" w:lineRule="exact"/>
        <w:ind w:firstLine="4689" w:firstLineChars="2233"/>
        <w:jc w:val="right"/>
        <w:rPr>
          <w:rFonts w:hint="eastAsia"/>
        </w:rPr>
      </w:pPr>
    </w:p>
    <w:p w14:paraId="0BD5718E">
      <w:pPr>
        <w:spacing w:line="480" w:lineRule="exact"/>
        <w:ind w:firstLine="4689" w:firstLineChars="2233"/>
        <w:jc w:val="right"/>
        <w:rPr>
          <w:rFonts w:hint="eastAsia"/>
        </w:rPr>
      </w:pPr>
    </w:p>
    <w:p w14:paraId="637E6201">
      <w:pPr>
        <w:spacing w:line="480" w:lineRule="exact"/>
        <w:rPr>
          <w:rFonts w:hint="eastAsia"/>
        </w:rPr>
      </w:pPr>
    </w:p>
    <w:p w14:paraId="212B7242">
      <w:pPr>
        <w:spacing w:line="480" w:lineRule="exact"/>
        <w:rPr>
          <w:rFonts w:hint="eastAsia"/>
        </w:rPr>
      </w:pPr>
    </w:p>
    <w:p w14:paraId="638163A2">
      <w:pPr>
        <w:spacing w:line="480" w:lineRule="exact"/>
        <w:rPr>
          <w:rFonts w:hint="eastAsia"/>
        </w:rPr>
      </w:pPr>
    </w:p>
    <w:p w14:paraId="67302A0A">
      <w:pPr>
        <w:spacing w:line="480" w:lineRule="exact"/>
        <w:rPr>
          <w:rFonts w:hint="eastAsia"/>
        </w:rPr>
      </w:pPr>
    </w:p>
    <w:p w14:paraId="2E302949">
      <w:pPr>
        <w:spacing w:line="480" w:lineRule="exact"/>
        <w:rPr>
          <w:rFonts w:hint="eastAsia"/>
        </w:rPr>
      </w:pPr>
    </w:p>
    <w:p w14:paraId="03971E78">
      <w:pPr>
        <w:spacing w:line="480" w:lineRule="exact"/>
        <w:rPr>
          <w:rFonts w:hint="eastAsia"/>
        </w:rPr>
      </w:pPr>
    </w:p>
    <w:p w14:paraId="07503A39">
      <w:pPr>
        <w:pStyle w:val="3"/>
        <w:rPr>
          <w:rFonts w:hint="eastAsia" w:ascii="仿宋_GB2312" w:hAnsi="黑体" w:eastAsia="仿宋_GB2312"/>
          <w:b w:val="0"/>
          <w:bCs w:val="0"/>
          <w:spacing w:val="12"/>
          <w:sz w:val="24"/>
        </w:rPr>
      </w:pPr>
      <w:bookmarkStart w:id="316" w:name="_Toc108513575"/>
      <w:r>
        <w:rPr>
          <w:rFonts w:hint="eastAsia"/>
          <w:b w:val="0"/>
          <w:sz w:val="24"/>
          <w:szCs w:val="24"/>
        </w:rPr>
        <w:t>附表十：异议函</w:t>
      </w:r>
      <w:bookmarkEnd w:id="316"/>
    </w:p>
    <w:p w14:paraId="360BD758">
      <w:pPr>
        <w:spacing w:line="720" w:lineRule="auto"/>
        <w:jc w:val="center"/>
        <w:rPr>
          <w:rFonts w:hint="eastAsia" w:ascii="仿宋_GB2312" w:eastAsia="仿宋_GB2312"/>
          <w:b/>
          <w:sz w:val="28"/>
          <w:szCs w:val="28"/>
        </w:rPr>
      </w:pPr>
    </w:p>
    <w:p w14:paraId="009BB420">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异议函</w:t>
      </w:r>
    </w:p>
    <w:p w14:paraId="40A57875">
      <w:pPr>
        <w:spacing w:line="360" w:lineRule="auto"/>
        <w:ind w:firstLine="420"/>
        <w:rPr>
          <w:rFonts w:hint="eastAsia" w:ascii="宋体" w:hAnsi="宋体"/>
          <w:szCs w:val="21"/>
        </w:rPr>
      </w:pPr>
    </w:p>
    <w:p w14:paraId="1DEDD113">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53CD85BD">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5B3C96F2">
      <w:pPr>
        <w:spacing w:line="360" w:lineRule="auto"/>
        <w:ind w:firstLine="420"/>
        <w:rPr>
          <w:rFonts w:hint="eastAsia" w:ascii="宋体" w:hAnsi="宋体"/>
          <w:szCs w:val="21"/>
        </w:rPr>
      </w:pPr>
      <w:r>
        <w:rPr>
          <w:rFonts w:hint="eastAsia" w:ascii="宋体" w:hAnsi="宋体"/>
          <w:szCs w:val="21"/>
        </w:rPr>
        <w:t>我方已研究（看到）你方发出的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（项目名称）</w:t>
      </w:r>
      <w:r>
        <w:rPr>
          <w:rFonts w:ascii="宋体" w:hAnsi="宋体"/>
          <w:szCs w:val="21"/>
          <w:u w:val="single"/>
        </w:rPr>
        <w:t xml:space="preserve">      </w:t>
      </w:r>
      <w:r>
        <w:rPr>
          <w:rFonts w:hint="eastAsia"/>
        </w:rPr>
        <w:t>（标段名称）</w:t>
      </w:r>
      <w:r>
        <w:rPr>
          <w:rFonts w:hint="eastAsia" w:ascii="宋体" w:hAnsi="宋体"/>
          <w:szCs w:val="21"/>
        </w:rPr>
        <w:t>施工招标文件（或评标结果公示），现对下列问题提出异议，请予以解释：</w:t>
      </w:r>
    </w:p>
    <w:p w14:paraId="75C2FBF6">
      <w:pPr>
        <w:spacing w:line="360" w:lineRule="auto"/>
        <w:ind w:firstLine="420"/>
        <w:rPr>
          <w:rFonts w:hint="eastAsia" w:ascii="宋体" w:hAnsi="宋体"/>
          <w:szCs w:val="21"/>
        </w:rPr>
      </w:pPr>
      <w:r>
        <w:rPr>
          <w:rFonts w:hint="eastAsia" w:ascii="宋体" w:hAnsi="宋体"/>
          <w:szCs w:val="21"/>
        </w:rPr>
        <w:t>　　1.……</w:t>
      </w:r>
    </w:p>
    <w:p w14:paraId="7A7CC701">
      <w:pPr>
        <w:spacing w:line="360" w:lineRule="auto"/>
        <w:ind w:firstLine="420"/>
        <w:rPr>
          <w:rFonts w:hint="eastAsia" w:ascii="宋体" w:hAnsi="宋体"/>
          <w:szCs w:val="21"/>
        </w:rPr>
      </w:pPr>
      <w:r>
        <w:rPr>
          <w:rFonts w:hint="eastAsia" w:ascii="宋体" w:hAnsi="宋体"/>
          <w:szCs w:val="21"/>
        </w:rPr>
        <w:t>　　2.……</w:t>
      </w:r>
    </w:p>
    <w:p w14:paraId="6E2F954C">
      <w:pPr>
        <w:spacing w:line="360" w:lineRule="auto"/>
        <w:ind w:firstLine="420"/>
        <w:rPr>
          <w:rFonts w:hint="eastAsia" w:ascii="宋体" w:hAnsi="宋体"/>
          <w:szCs w:val="21"/>
        </w:rPr>
      </w:pPr>
    </w:p>
    <w:p w14:paraId="61700A0F">
      <w:pPr>
        <w:spacing w:line="360" w:lineRule="auto"/>
        <w:ind w:firstLine="420"/>
        <w:rPr>
          <w:rFonts w:hint="eastAsia" w:ascii="宋体" w:hAnsi="宋体"/>
          <w:szCs w:val="21"/>
        </w:rPr>
      </w:pPr>
      <w:r>
        <w:rPr>
          <w:rFonts w:hint="eastAsia" w:ascii="宋体" w:hAnsi="宋体"/>
          <w:szCs w:val="21"/>
        </w:rPr>
        <w:t>　　　　　　　　　　　　　　　投标人或利害关系人：</w:t>
      </w:r>
      <w:r>
        <w:rPr>
          <w:rFonts w:hint="eastAsia" w:ascii="宋体" w:hAnsi="宋体"/>
          <w:szCs w:val="21"/>
          <w:u w:val="single"/>
        </w:rPr>
        <w:t xml:space="preserve">　　        　  </w:t>
      </w:r>
      <w:r>
        <w:rPr>
          <w:rFonts w:hint="eastAsia" w:ascii="宋体" w:hAnsi="宋体"/>
          <w:szCs w:val="21"/>
        </w:rPr>
        <w:t>(盖单位章)</w:t>
      </w:r>
    </w:p>
    <w:p w14:paraId="44CA1E37">
      <w:pPr>
        <w:spacing w:line="360" w:lineRule="auto"/>
        <w:ind w:firstLine="420"/>
        <w:rPr>
          <w:rFonts w:hint="eastAsia" w:ascii="宋体" w:hAnsi="宋体"/>
          <w:szCs w:val="21"/>
        </w:rPr>
      </w:pPr>
      <w:r>
        <w:rPr>
          <w:rFonts w:hint="eastAsia" w:ascii="宋体" w:hAnsi="宋体"/>
          <w:szCs w:val="21"/>
        </w:rPr>
        <w:t>　　　　　　　　　　　　　　　法定代表人：</w:t>
      </w:r>
      <w:r>
        <w:rPr>
          <w:rFonts w:hint="eastAsia" w:ascii="宋体" w:hAnsi="宋体"/>
          <w:szCs w:val="21"/>
          <w:u w:val="single"/>
        </w:rPr>
        <w:t>　　　　              　　　</w:t>
      </w:r>
      <w:r>
        <w:rPr>
          <w:rFonts w:hint="eastAsia" w:ascii="宋体" w:hAnsi="宋体"/>
          <w:szCs w:val="21"/>
        </w:rPr>
        <w:t>(签字)</w:t>
      </w:r>
    </w:p>
    <w:p w14:paraId="13656058">
      <w:pPr>
        <w:spacing w:line="360" w:lineRule="auto"/>
        <w:ind w:firstLine="420"/>
        <w:rPr>
          <w:rFonts w:hint="eastAsia" w:ascii="宋体" w:hAnsi="宋体"/>
          <w:szCs w:val="21"/>
        </w:rPr>
      </w:pPr>
      <w:r>
        <w:rPr>
          <w:rFonts w:hint="eastAsia" w:ascii="宋体" w:hAnsi="宋体"/>
          <w:szCs w:val="21"/>
        </w:rPr>
        <w:t xml:space="preserve">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7D807855">
      <w:pPr>
        <w:spacing w:line="560" w:lineRule="exact"/>
        <w:rPr>
          <w:rFonts w:hint="eastAsia"/>
          <w:szCs w:val="21"/>
        </w:rPr>
      </w:pPr>
    </w:p>
    <w:p w14:paraId="3D872011">
      <w:pPr>
        <w:spacing w:line="560" w:lineRule="exact"/>
        <w:rPr>
          <w:rFonts w:hint="eastAsia"/>
          <w:szCs w:val="21"/>
        </w:rPr>
      </w:pPr>
    </w:p>
    <w:p w14:paraId="78C145FD">
      <w:pPr>
        <w:spacing w:line="360" w:lineRule="auto"/>
        <w:ind w:firstLine="420"/>
        <w:jc w:val="right"/>
        <w:rPr>
          <w:rFonts w:hint="eastAsia" w:ascii="仿宋_GB2312" w:eastAsia="仿宋_GB2312"/>
          <w:szCs w:val="21"/>
        </w:rPr>
      </w:pPr>
    </w:p>
    <w:p w14:paraId="241F5C8F">
      <w:pPr>
        <w:ind w:firstLine="420"/>
        <w:jc w:val="right"/>
        <w:rPr>
          <w:rFonts w:hint="eastAsia" w:ascii="仿宋_GB2312" w:eastAsia="仿宋_GB2312"/>
          <w:szCs w:val="21"/>
        </w:rPr>
      </w:pPr>
    </w:p>
    <w:p w14:paraId="25D0720D">
      <w:pPr>
        <w:ind w:firstLine="420"/>
        <w:jc w:val="right"/>
        <w:rPr>
          <w:rFonts w:hint="eastAsia" w:ascii="仿宋_GB2312" w:eastAsia="仿宋_GB2312"/>
          <w:szCs w:val="21"/>
        </w:rPr>
      </w:pPr>
    </w:p>
    <w:p w14:paraId="59FAEBB4">
      <w:pPr>
        <w:ind w:firstLine="420"/>
        <w:jc w:val="right"/>
        <w:rPr>
          <w:rFonts w:hint="eastAsia" w:ascii="仿宋_GB2312" w:eastAsia="仿宋_GB2312"/>
          <w:szCs w:val="21"/>
        </w:rPr>
      </w:pPr>
    </w:p>
    <w:p w14:paraId="66C64AF3">
      <w:pPr>
        <w:ind w:firstLine="420"/>
        <w:jc w:val="right"/>
        <w:rPr>
          <w:rFonts w:hint="eastAsia" w:ascii="仿宋_GB2312" w:eastAsia="仿宋_GB2312"/>
          <w:szCs w:val="21"/>
        </w:rPr>
      </w:pPr>
    </w:p>
    <w:p w14:paraId="59A61D1F">
      <w:pPr>
        <w:ind w:firstLine="420"/>
        <w:jc w:val="right"/>
        <w:rPr>
          <w:rFonts w:hint="eastAsia" w:ascii="仿宋_GB2312" w:eastAsia="仿宋_GB2312"/>
          <w:szCs w:val="21"/>
        </w:rPr>
      </w:pPr>
    </w:p>
    <w:p w14:paraId="1758664B">
      <w:pPr>
        <w:ind w:firstLine="420"/>
        <w:jc w:val="right"/>
        <w:rPr>
          <w:rFonts w:hint="eastAsia" w:ascii="仿宋_GB2312" w:eastAsia="仿宋_GB2312"/>
          <w:szCs w:val="21"/>
        </w:rPr>
      </w:pPr>
    </w:p>
    <w:p w14:paraId="5E0D6A78">
      <w:pPr>
        <w:ind w:firstLine="420"/>
        <w:jc w:val="right"/>
        <w:rPr>
          <w:rFonts w:hint="eastAsia" w:ascii="仿宋_GB2312" w:eastAsia="仿宋_GB2312"/>
          <w:szCs w:val="21"/>
        </w:rPr>
      </w:pPr>
    </w:p>
    <w:p w14:paraId="5AC3CC4F">
      <w:pPr>
        <w:ind w:firstLine="420"/>
        <w:jc w:val="right"/>
        <w:rPr>
          <w:rFonts w:hint="eastAsia" w:ascii="仿宋_GB2312" w:eastAsia="仿宋_GB2312"/>
          <w:szCs w:val="21"/>
        </w:rPr>
      </w:pPr>
    </w:p>
    <w:p w14:paraId="70BB0C5F">
      <w:pPr>
        <w:ind w:firstLine="420"/>
        <w:jc w:val="right"/>
        <w:rPr>
          <w:rFonts w:hint="eastAsia" w:ascii="仿宋_GB2312" w:eastAsia="仿宋_GB2312"/>
          <w:szCs w:val="21"/>
        </w:rPr>
      </w:pPr>
    </w:p>
    <w:p w14:paraId="1374898B">
      <w:pPr>
        <w:ind w:left="630" w:hanging="630" w:hangingChars="300"/>
        <w:rPr>
          <w:rFonts w:hint="eastAsia"/>
          <w:szCs w:val="21"/>
        </w:rPr>
      </w:pPr>
      <w:r>
        <w:rPr>
          <w:rFonts w:hint="eastAsia" w:ascii="宋体" w:hAnsi="宋体"/>
          <w:szCs w:val="21"/>
        </w:rPr>
        <w:t>备注</w:t>
      </w:r>
      <w:r>
        <w:rPr>
          <w:rFonts w:hint="eastAsia"/>
        </w:rPr>
        <w:t>：</w:t>
      </w:r>
      <w:r>
        <w:rPr>
          <w:rFonts w:hint="eastAsia"/>
          <w:szCs w:val="21"/>
        </w:rPr>
        <w:t>投标人或利害关系人对招标文件的内容或对</w:t>
      </w:r>
      <w:r>
        <w:rPr>
          <w:rFonts w:hint="eastAsia"/>
        </w:rPr>
        <w:t>评标结果有异议，</w:t>
      </w:r>
      <w:r>
        <w:rPr>
          <w:rFonts w:hint="eastAsia"/>
          <w:szCs w:val="21"/>
        </w:rPr>
        <w:t>要求招标人解释的，适用本格式。</w:t>
      </w:r>
    </w:p>
    <w:p w14:paraId="5F3A1B69">
      <w:pPr>
        <w:ind w:firstLine="420"/>
        <w:rPr>
          <w:rFonts w:hint="eastAsia"/>
          <w:szCs w:val="21"/>
        </w:rPr>
      </w:pPr>
    </w:p>
    <w:p w14:paraId="712CB041">
      <w:pPr>
        <w:ind w:firstLine="420"/>
        <w:rPr>
          <w:rFonts w:hint="eastAsia" w:ascii="仿宋_GB2312" w:eastAsia="仿宋_GB2312"/>
          <w:szCs w:val="21"/>
        </w:rPr>
      </w:pPr>
    </w:p>
    <w:p w14:paraId="2C06A2BA">
      <w:pPr>
        <w:ind w:firstLine="420"/>
        <w:jc w:val="right"/>
        <w:rPr>
          <w:rFonts w:hint="eastAsia" w:ascii="仿宋_GB2312" w:eastAsia="仿宋_GB2312"/>
          <w:szCs w:val="21"/>
        </w:rPr>
      </w:pPr>
    </w:p>
    <w:p w14:paraId="56B5A24D">
      <w:pPr>
        <w:pStyle w:val="3"/>
        <w:rPr>
          <w:rFonts w:hint="eastAsia"/>
          <w:b w:val="0"/>
          <w:sz w:val="24"/>
          <w:szCs w:val="24"/>
        </w:rPr>
      </w:pPr>
      <w:bookmarkStart w:id="317" w:name="_Toc353544011"/>
      <w:bookmarkStart w:id="318" w:name="_Toc108513576"/>
      <w:r>
        <w:rPr>
          <w:rFonts w:hint="eastAsia"/>
          <w:b w:val="0"/>
          <w:sz w:val="24"/>
          <w:szCs w:val="24"/>
        </w:rPr>
        <w:t>附表十一：异议答复函</w:t>
      </w:r>
      <w:bookmarkEnd w:id="317"/>
      <w:bookmarkEnd w:id="318"/>
    </w:p>
    <w:p w14:paraId="1E2EC0A1">
      <w:pPr>
        <w:jc w:val="center"/>
        <w:rPr>
          <w:rFonts w:hint="eastAsia" w:hAnsi="黑体" w:eastAsia="黑体"/>
          <w:b/>
          <w:sz w:val="28"/>
          <w:szCs w:val="28"/>
        </w:rPr>
      </w:pPr>
    </w:p>
    <w:p w14:paraId="6EDD6986">
      <w:pPr>
        <w:jc w:val="center"/>
        <w:rPr>
          <w:rFonts w:hint="eastAsia" w:hAnsi="黑体" w:eastAsia="黑体"/>
          <w:b/>
          <w:sz w:val="28"/>
          <w:szCs w:val="28"/>
        </w:rPr>
      </w:pPr>
    </w:p>
    <w:p w14:paraId="036D65A8">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异议答复函</w:t>
      </w:r>
    </w:p>
    <w:p w14:paraId="0DF5EEE5">
      <w:pPr>
        <w:spacing w:line="360" w:lineRule="auto"/>
        <w:ind w:firstLine="420"/>
        <w:rPr>
          <w:rFonts w:hint="eastAsia" w:ascii="宋体" w:hAnsi="宋体"/>
          <w:szCs w:val="21"/>
        </w:rPr>
      </w:pPr>
    </w:p>
    <w:p w14:paraId="23E575B0">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40D0BC9C">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(投标人或利害关系人名称)：</w:t>
      </w:r>
    </w:p>
    <w:p w14:paraId="734BEBA5">
      <w:pPr>
        <w:spacing w:line="360" w:lineRule="auto"/>
        <w:ind w:firstLine="420"/>
        <w:rPr>
          <w:rFonts w:hint="eastAsia" w:ascii="宋体" w:hAnsi="宋体"/>
          <w:szCs w:val="21"/>
        </w:rPr>
      </w:pPr>
      <w:r>
        <w:rPr>
          <w:rFonts w:hint="eastAsia" w:ascii="宋体" w:hAnsi="宋体"/>
          <w:szCs w:val="21"/>
        </w:rPr>
        <w:t>你方提出的有关</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施工招标文件（或评标结果公示）的异议</w:t>
      </w:r>
      <w:r>
        <w:rPr>
          <w:rFonts w:ascii="宋体" w:hAnsi="宋体"/>
          <w:szCs w:val="21"/>
        </w:rPr>
        <w:t>已收悉</w:t>
      </w:r>
      <w:r>
        <w:rPr>
          <w:rFonts w:hint="eastAsia" w:ascii="宋体" w:hAnsi="宋体"/>
          <w:szCs w:val="21"/>
        </w:rPr>
        <w:t>，</w:t>
      </w:r>
      <w:r>
        <w:rPr>
          <w:rFonts w:ascii="宋体" w:hAnsi="宋体"/>
          <w:szCs w:val="21"/>
        </w:rPr>
        <w:t>现</w:t>
      </w:r>
      <w:r>
        <w:rPr>
          <w:rFonts w:hint="eastAsia" w:ascii="宋体" w:hAnsi="宋体"/>
          <w:szCs w:val="21"/>
        </w:rPr>
        <w:t>答复如下：</w:t>
      </w:r>
    </w:p>
    <w:p w14:paraId="1E1AD36B">
      <w:pPr>
        <w:spacing w:line="360" w:lineRule="auto"/>
        <w:ind w:firstLine="420"/>
        <w:rPr>
          <w:rFonts w:hint="eastAsia" w:ascii="宋体" w:hAnsi="宋体"/>
          <w:szCs w:val="21"/>
        </w:rPr>
      </w:pPr>
      <w:r>
        <w:rPr>
          <w:rFonts w:hint="eastAsia" w:ascii="宋体" w:hAnsi="宋体"/>
          <w:szCs w:val="21"/>
        </w:rPr>
        <w:t>1.……</w:t>
      </w:r>
    </w:p>
    <w:p w14:paraId="173E31D3">
      <w:pPr>
        <w:spacing w:line="360" w:lineRule="auto"/>
        <w:ind w:firstLine="420"/>
        <w:rPr>
          <w:rFonts w:hint="eastAsia" w:ascii="宋体" w:hAnsi="宋体"/>
          <w:szCs w:val="21"/>
        </w:rPr>
      </w:pPr>
      <w:r>
        <w:rPr>
          <w:rFonts w:hint="eastAsia" w:ascii="宋体" w:hAnsi="宋体"/>
          <w:szCs w:val="21"/>
        </w:rPr>
        <w:t>2.……</w:t>
      </w:r>
    </w:p>
    <w:p w14:paraId="16B6D2A0">
      <w:pPr>
        <w:spacing w:line="360" w:lineRule="auto"/>
        <w:ind w:firstLine="420"/>
        <w:rPr>
          <w:rFonts w:hint="eastAsia" w:ascii="宋体" w:hAnsi="宋体"/>
          <w:szCs w:val="21"/>
        </w:rPr>
      </w:pPr>
      <w:r>
        <w:rPr>
          <w:rFonts w:hint="eastAsia" w:ascii="宋体" w:hAnsi="宋体"/>
          <w:szCs w:val="21"/>
        </w:rPr>
        <w:t>……</w:t>
      </w:r>
    </w:p>
    <w:p w14:paraId="04AB5311">
      <w:pPr>
        <w:spacing w:line="360" w:lineRule="auto"/>
        <w:ind w:firstLine="420"/>
        <w:rPr>
          <w:rFonts w:hint="eastAsia" w:ascii="宋体" w:hAnsi="宋体"/>
          <w:szCs w:val="21"/>
        </w:rPr>
      </w:pPr>
    </w:p>
    <w:p w14:paraId="2A506869">
      <w:pPr>
        <w:spacing w:line="360" w:lineRule="auto"/>
        <w:ind w:firstLine="420"/>
        <w:rPr>
          <w:rFonts w:hint="eastAsia" w:ascii="宋体" w:hAnsi="宋体"/>
          <w:szCs w:val="21"/>
        </w:rPr>
      </w:pPr>
    </w:p>
    <w:p w14:paraId="7C270683">
      <w:pPr>
        <w:spacing w:line="360" w:lineRule="auto"/>
        <w:ind w:firstLine="420"/>
        <w:rPr>
          <w:rFonts w:ascii="宋体" w:hAnsi="宋体"/>
          <w:szCs w:val="21"/>
        </w:rPr>
      </w:pPr>
    </w:p>
    <w:p w14:paraId="5D103DB3">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招标人</w:t>
      </w:r>
      <w:r>
        <w:rPr>
          <w:rFonts w:hint="eastAsia"/>
          <w:szCs w:val="21"/>
        </w:rPr>
        <w:t>（招标委托人）</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（盖单位章）</w:t>
      </w:r>
    </w:p>
    <w:p w14:paraId="64A264A6">
      <w:pPr>
        <w:spacing w:line="360" w:lineRule="auto"/>
        <w:ind w:firstLine="420"/>
        <w:rPr>
          <w:rFonts w:ascii="宋体" w:hAnsi="宋体"/>
          <w:szCs w:val="21"/>
        </w:rPr>
      </w:pPr>
    </w:p>
    <w:p w14:paraId="42B95B3A">
      <w:pPr>
        <w:spacing w:line="360" w:lineRule="auto"/>
        <w:ind w:firstLine="4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r>
        <w:rPr>
          <w:rFonts w:hint="eastAsia" w:ascii="宋体" w:hAnsi="宋体"/>
          <w:szCs w:val="21"/>
        </w:rPr>
        <w:t xml:space="preserve"> </w:t>
      </w:r>
    </w:p>
    <w:p w14:paraId="3BB4B48F">
      <w:pPr>
        <w:spacing w:line="360" w:lineRule="auto"/>
        <w:ind w:firstLine="420"/>
        <w:rPr>
          <w:rFonts w:hint="eastAsia" w:ascii="宋体" w:hAnsi="宋体"/>
          <w:szCs w:val="21"/>
        </w:rPr>
      </w:pPr>
    </w:p>
    <w:p w14:paraId="7AD87498">
      <w:pPr>
        <w:spacing w:line="360" w:lineRule="auto"/>
        <w:ind w:firstLine="420"/>
        <w:rPr>
          <w:rFonts w:hint="eastAsia" w:ascii="宋体" w:hAnsi="宋体"/>
          <w:szCs w:val="21"/>
        </w:rPr>
      </w:pPr>
    </w:p>
    <w:p w14:paraId="7E931990">
      <w:pPr>
        <w:spacing w:line="360" w:lineRule="auto"/>
        <w:ind w:firstLine="420"/>
        <w:rPr>
          <w:rFonts w:hint="eastAsia" w:ascii="宋体" w:hAnsi="宋体"/>
          <w:szCs w:val="21"/>
        </w:rPr>
      </w:pPr>
    </w:p>
    <w:p w14:paraId="1730B77F">
      <w:pPr>
        <w:spacing w:line="360" w:lineRule="auto"/>
        <w:ind w:firstLine="420"/>
        <w:rPr>
          <w:rFonts w:hint="eastAsia" w:ascii="宋体" w:hAnsi="宋体"/>
          <w:szCs w:val="21"/>
        </w:rPr>
      </w:pPr>
    </w:p>
    <w:p w14:paraId="1ECEC7C0">
      <w:pPr>
        <w:spacing w:line="360" w:lineRule="auto"/>
        <w:ind w:firstLine="420"/>
        <w:rPr>
          <w:rFonts w:hint="eastAsia" w:ascii="宋体" w:hAnsi="宋体"/>
          <w:szCs w:val="21"/>
        </w:rPr>
      </w:pPr>
    </w:p>
    <w:p w14:paraId="292A72F5">
      <w:pPr>
        <w:spacing w:line="360" w:lineRule="auto"/>
        <w:ind w:firstLine="420"/>
        <w:rPr>
          <w:rFonts w:hint="eastAsia" w:ascii="宋体" w:hAnsi="宋体"/>
          <w:szCs w:val="21"/>
        </w:rPr>
      </w:pPr>
    </w:p>
    <w:p w14:paraId="186F582D">
      <w:pPr>
        <w:spacing w:line="480" w:lineRule="exact"/>
        <w:rPr>
          <w:rFonts w:hint="eastAsia"/>
        </w:rPr>
      </w:pPr>
    </w:p>
    <w:p w14:paraId="76F784F4">
      <w:pPr>
        <w:spacing w:line="480" w:lineRule="exact"/>
        <w:rPr>
          <w:rFonts w:hint="eastAsia"/>
        </w:rPr>
      </w:pPr>
    </w:p>
    <w:p w14:paraId="10561CE9">
      <w:pPr>
        <w:spacing w:line="480" w:lineRule="exact"/>
        <w:rPr>
          <w:rFonts w:hint="eastAsia"/>
        </w:rPr>
      </w:pPr>
    </w:p>
    <w:p w14:paraId="6685C58E">
      <w:pPr>
        <w:spacing w:line="480" w:lineRule="exact"/>
        <w:rPr>
          <w:rFonts w:hint="eastAsia"/>
        </w:rPr>
      </w:pPr>
    </w:p>
    <w:p w14:paraId="577F40E1">
      <w:pPr>
        <w:pStyle w:val="3"/>
        <w:rPr>
          <w:b w:val="0"/>
          <w:sz w:val="24"/>
          <w:szCs w:val="24"/>
        </w:rPr>
      </w:pPr>
      <w:bookmarkStart w:id="319" w:name="_Toc108513577"/>
      <w:r>
        <w:rPr>
          <w:b w:val="0"/>
          <w:sz w:val="24"/>
          <w:szCs w:val="24"/>
        </w:rPr>
        <w:t>附表</w:t>
      </w:r>
      <w:r>
        <w:rPr>
          <w:rFonts w:hint="eastAsia"/>
          <w:b w:val="0"/>
          <w:sz w:val="24"/>
          <w:szCs w:val="24"/>
        </w:rPr>
        <w:t>十二</w:t>
      </w:r>
      <w:r>
        <w:rPr>
          <w:b w:val="0"/>
          <w:sz w:val="24"/>
          <w:szCs w:val="24"/>
        </w:rPr>
        <w:t>：招标控制价明细</w:t>
      </w:r>
      <w:bookmarkEnd w:id="319"/>
    </w:p>
    <w:p w14:paraId="24C39294">
      <w:pPr>
        <w:spacing w:before="240" w:beforeLines="100" w:after="240" w:afterLines="100" w:line="480" w:lineRule="exact"/>
        <w:jc w:val="center"/>
        <w:rPr>
          <w:rFonts w:hint="eastAsia" w:ascii="黑体" w:eastAsia="黑体"/>
          <w:sz w:val="28"/>
          <w:szCs w:val="28"/>
        </w:rPr>
      </w:pPr>
      <w:r>
        <w:rPr>
          <w:rFonts w:ascii="黑体" w:eastAsia="黑体"/>
          <w:sz w:val="28"/>
          <w:szCs w:val="28"/>
        </w:rPr>
        <w:t>招标控制价明细</w:t>
      </w:r>
    </w:p>
    <w:p w14:paraId="4643E5AD">
      <w:pPr>
        <w:spacing w:line="360" w:lineRule="auto"/>
        <w:ind w:firstLine="420" w:firstLineChars="200"/>
        <w:rPr>
          <w:rFonts w:hint="eastAsia" w:ascii="宋体" w:hAnsi="宋体"/>
          <w:szCs w:val="21"/>
        </w:rPr>
      </w:pPr>
      <w:r>
        <w:rPr>
          <w:rFonts w:hint="eastAsia" w:ascii="宋体" w:hAnsi="宋体"/>
          <w:szCs w:val="21"/>
        </w:rPr>
        <w:t>根据住房和城乡建设部令第16号《建筑工程施工发包与承包计价管理办法》第八条的规定：“招标人设有最高投标限价的，应当在招标时公布最高投标限价的总价，以及各单位工程的分部分项工程费、措施项目费、其他项目费、规费和税金。”</w:t>
      </w:r>
    </w:p>
    <w:p w14:paraId="0934C2A0">
      <w:pPr>
        <w:spacing w:line="360" w:lineRule="auto"/>
        <w:ind w:firstLine="420" w:firstLineChars="200"/>
        <w:rPr>
          <w:rFonts w:hint="eastAsia" w:ascii="宋体" w:hAnsi="宋体"/>
          <w:szCs w:val="21"/>
        </w:rPr>
      </w:pPr>
      <w:r>
        <w:rPr>
          <w:rFonts w:hint="eastAsia" w:ascii="宋体" w:hAnsi="宋体"/>
          <w:szCs w:val="21"/>
        </w:rPr>
        <w:t>根据中华人民共和国国家标准《建设工程工程量清单计价规范》（GB50500-2013</w:t>
      </w:r>
      <w:r>
        <w:rPr>
          <w:rFonts w:ascii="宋体" w:hAnsi="宋体"/>
          <w:szCs w:val="21"/>
        </w:rPr>
        <w:t>）</w:t>
      </w:r>
      <w:r>
        <w:rPr>
          <w:rFonts w:hint="eastAsia" w:ascii="宋体" w:hAnsi="宋体"/>
          <w:szCs w:val="21"/>
        </w:rPr>
        <w:t>第5</w:t>
      </w:r>
      <w:r>
        <w:rPr>
          <w:rFonts w:ascii="宋体" w:hAnsi="宋体"/>
          <w:szCs w:val="21"/>
        </w:rPr>
        <w:t>.</w:t>
      </w:r>
      <w:r>
        <w:rPr>
          <w:rFonts w:hint="eastAsia" w:ascii="宋体" w:hAnsi="宋体"/>
          <w:szCs w:val="21"/>
        </w:rPr>
        <w:t>1</w:t>
      </w:r>
      <w:r>
        <w:rPr>
          <w:rFonts w:ascii="宋体" w:hAnsi="宋体"/>
          <w:szCs w:val="21"/>
        </w:rPr>
        <w:t>.</w:t>
      </w:r>
      <w:r>
        <w:rPr>
          <w:rFonts w:hint="eastAsia" w:ascii="宋体" w:hAnsi="宋体"/>
          <w:szCs w:val="21"/>
        </w:rPr>
        <w:t>6款规定：“招标人应当在发布招标文件时公布招标控制价”。</w:t>
      </w:r>
    </w:p>
    <w:p w14:paraId="624FAAB6">
      <w:pPr>
        <w:spacing w:line="360" w:lineRule="auto"/>
        <w:ind w:firstLine="420" w:firstLineChars="200"/>
        <w:rPr>
          <w:rFonts w:hint="eastAsia" w:ascii="宋体" w:hAnsi="宋体"/>
          <w:szCs w:val="21"/>
        </w:rPr>
      </w:pPr>
      <w:r>
        <w:rPr>
          <w:rFonts w:hint="eastAsia" w:ascii="宋体" w:hAnsi="宋体"/>
          <w:szCs w:val="21"/>
        </w:rPr>
        <w:t>本招标项目招标控制价应公布的资料为：</w:t>
      </w:r>
    </w:p>
    <w:p w14:paraId="174BF7B7">
      <w:pPr>
        <w:spacing w:line="360" w:lineRule="auto"/>
        <w:ind w:firstLine="420" w:firstLineChars="200"/>
        <w:rPr>
          <w:rFonts w:hint="eastAsia" w:ascii="宋体" w:hAnsi="宋体"/>
          <w:szCs w:val="21"/>
        </w:rPr>
      </w:pPr>
      <w:r>
        <w:rPr>
          <w:rFonts w:hint="eastAsia" w:ascii="宋体" w:hAnsi="宋体"/>
          <w:szCs w:val="21"/>
        </w:rPr>
        <w:t>1</w:t>
      </w:r>
      <w:r>
        <w:rPr>
          <w:rFonts w:ascii="宋体" w:hAnsi="宋体"/>
          <w:szCs w:val="21"/>
        </w:rPr>
        <w:t>.</w:t>
      </w:r>
      <w:r>
        <w:rPr>
          <w:rFonts w:hint="eastAsia" w:ascii="宋体" w:hAnsi="宋体"/>
          <w:szCs w:val="21"/>
        </w:rPr>
        <w:t>招标控制价封面；</w:t>
      </w:r>
    </w:p>
    <w:p w14:paraId="5950F28B">
      <w:pPr>
        <w:spacing w:line="360" w:lineRule="auto"/>
        <w:ind w:firstLine="420" w:firstLineChars="200"/>
        <w:rPr>
          <w:rFonts w:hint="eastAsia" w:ascii="宋体" w:hAnsi="宋体"/>
          <w:szCs w:val="21"/>
        </w:rPr>
      </w:pPr>
      <w:r>
        <w:rPr>
          <w:rFonts w:hint="eastAsia" w:ascii="宋体" w:hAnsi="宋体"/>
          <w:szCs w:val="21"/>
        </w:rPr>
        <w:t>2</w:t>
      </w:r>
      <w:r>
        <w:rPr>
          <w:rFonts w:ascii="宋体" w:hAnsi="宋体"/>
          <w:szCs w:val="21"/>
        </w:rPr>
        <w:t>.</w:t>
      </w:r>
      <w:r>
        <w:rPr>
          <w:rFonts w:hint="eastAsia" w:ascii="宋体" w:hAnsi="宋体"/>
          <w:szCs w:val="21"/>
        </w:rPr>
        <w:t>招标控制价封面扉页；</w:t>
      </w:r>
    </w:p>
    <w:p w14:paraId="35FE9171">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工程计价总说明；</w:t>
      </w:r>
    </w:p>
    <w:p w14:paraId="199620BA">
      <w:pPr>
        <w:spacing w:line="360" w:lineRule="auto"/>
        <w:ind w:firstLine="420" w:firstLineChars="200"/>
        <w:rPr>
          <w:rFonts w:hint="eastAsia" w:ascii="宋体" w:hAnsi="宋体"/>
          <w:szCs w:val="21"/>
        </w:rPr>
      </w:pPr>
      <w:r>
        <w:rPr>
          <w:rFonts w:hint="eastAsia" w:ascii="宋体" w:hAnsi="宋体"/>
          <w:szCs w:val="21"/>
        </w:rPr>
        <w:t>4</w:t>
      </w:r>
      <w:r>
        <w:rPr>
          <w:rFonts w:ascii="宋体" w:hAnsi="宋体"/>
          <w:szCs w:val="21"/>
        </w:rPr>
        <w:t>.</w:t>
      </w:r>
      <w:r>
        <w:rPr>
          <w:rFonts w:hint="eastAsia" w:ascii="宋体" w:hAnsi="宋体"/>
          <w:szCs w:val="21"/>
        </w:rPr>
        <w:t>建设项目招标控制价汇总表；</w:t>
      </w:r>
    </w:p>
    <w:p w14:paraId="7D64F80F">
      <w:pPr>
        <w:spacing w:line="360" w:lineRule="auto"/>
        <w:ind w:firstLine="420" w:firstLineChars="200"/>
        <w:rPr>
          <w:rFonts w:hint="eastAsia" w:ascii="宋体" w:hAnsi="宋体"/>
          <w:szCs w:val="21"/>
        </w:rPr>
      </w:pPr>
      <w:r>
        <w:rPr>
          <w:rFonts w:hint="eastAsia" w:ascii="宋体" w:hAnsi="宋体"/>
          <w:szCs w:val="21"/>
        </w:rPr>
        <w:t>5</w:t>
      </w:r>
      <w:r>
        <w:rPr>
          <w:rFonts w:ascii="宋体" w:hAnsi="宋体"/>
          <w:szCs w:val="21"/>
        </w:rPr>
        <w:t>.</w:t>
      </w:r>
      <w:r>
        <w:rPr>
          <w:rFonts w:hint="eastAsia" w:ascii="宋体" w:hAnsi="宋体"/>
          <w:szCs w:val="21"/>
        </w:rPr>
        <w:t>单项工程招标控制价汇总表；</w:t>
      </w:r>
    </w:p>
    <w:p w14:paraId="2CF8088D">
      <w:pPr>
        <w:spacing w:line="360" w:lineRule="auto"/>
        <w:ind w:firstLine="420" w:firstLineChars="200"/>
        <w:rPr>
          <w:rFonts w:hint="eastAsia" w:ascii="宋体" w:hAnsi="宋体"/>
          <w:szCs w:val="21"/>
        </w:rPr>
      </w:pPr>
      <w:r>
        <w:rPr>
          <w:rFonts w:hint="eastAsia" w:ascii="宋体" w:hAnsi="宋体"/>
          <w:szCs w:val="21"/>
        </w:rPr>
        <w:t>6</w:t>
      </w:r>
      <w:r>
        <w:rPr>
          <w:rFonts w:ascii="宋体" w:hAnsi="宋体"/>
          <w:szCs w:val="21"/>
        </w:rPr>
        <w:t>.</w:t>
      </w:r>
      <w:r>
        <w:rPr>
          <w:rFonts w:hint="eastAsia" w:ascii="宋体" w:hAnsi="宋体"/>
          <w:szCs w:val="21"/>
        </w:rPr>
        <w:t>单位工程招标控制价汇总表；</w:t>
      </w:r>
    </w:p>
    <w:p w14:paraId="2BB66E2E">
      <w:pPr>
        <w:spacing w:line="360" w:lineRule="auto"/>
        <w:ind w:firstLine="420" w:firstLineChars="200"/>
        <w:rPr>
          <w:rFonts w:hint="eastAsia" w:ascii="宋体" w:hAnsi="宋体"/>
          <w:szCs w:val="21"/>
        </w:rPr>
      </w:pPr>
      <w:r>
        <w:rPr>
          <w:rFonts w:hint="eastAsia" w:ascii="宋体" w:hAnsi="宋体"/>
          <w:szCs w:val="21"/>
        </w:rPr>
        <w:t>7</w:t>
      </w:r>
      <w:r>
        <w:rPr>
          <w:rFonts w:ascii="宋体" w:hAnsi="宋体"/>
          <w:szCs w:val="21"/>
        </w:rPr>
        <w:t>.</w:t>
      </w:r>
      <w:r>
        <w:rPr>
          <w:rFonts w:hint="eastAsia" w:ascii="宋体" w:hAnsi="宋体"/>
          <w:szCs w:val="21"/>
        </w:rPr>
        <w:t xml:space="preserve">分部分项工程和单价措施项目清单与计价表； </w:t>
      </w:r>
    </w:p>
    <w:p w14:paraId="390A27A1">
      <w:pPr>
        <w:spacing w:line="360" w:lineRule="auto"/>
        <w:ind w:firstLine="420" w:firstLineChars="200"/>
        <w:rPr>
          <w:rFonts w:hint="eastAsia" w:ascii="宋体" w:hAnsi="宋体"/>
          <w:szCs w:val="21"/>
        </w:rPr>
      </w:pPr>
      <w:r>
        <w:rPr>
          <w:rFonts w:hint="eastAsia" w:ascii="宋体" w:hAnsi="宋体"/>
          <w:szCs w:val="21"/>
        </w:rPr>
        <w:t>8</w:t>
      </w:r>
      <w:r>
        <w:rPr>
          <w:rFonts w:ascii="宋体" w:hAnsi="宋体"/>
          <w:szCs w:val="21"/>
        </w:rPr>
        <w:t>.</w:t>
      </w:r>
      <w:r>
        <w:rPr>
          <w:rFonts w:hint="eastAsia" w:ascii="宋体" w:hAnsi="宋体"/>
          <w:szCs w:val="21"/>
        </w:rPr>
        <w:t>总价措施项目清单与计价表；</w:t>
      </w:r>
    </w:p>
    <w:p w14:paraId="648B45A9">
      <w:pPr>
        <w:spacing w:line="360" w:lineRule="auto"/>
        <w:ind w:firstLine="420" w:firstLineChars="200"/>
        <w:rPr>
          <w:rFonts w:hint="eastAsia" w:ascii="宋体" w:hAnsi="宋体"/>
          <w:szCs w:val="21"/>
        </w:rPr>
      </w:pPr>
      <w:r>
        <w:rPr>
          <w:rFonts w:hint="eastAsia" w:ascii="宋体" w:hAnsi="宋体"/>
          <w:szCs w:val="21"/>
        </w:rPr>
        <w:t>9</w:t>
      </w:r>
      <w:r>
        <w:rPr>
          <w:rFonts w:ascii="宋体" w:hAnsi="宋体"/>
          <w:szCs w:val="21"/>
        </w:rPr>
        <w:t>.</w:t>
      </w:r>
      <w:r>
        <w:rPr>
          <w:rFonts w:hint="eastAsia" w:ascii="宋体" w:hAnsi="宋体"/>
          <w:szCs w:val="21"/>
        </w:rPr>
        <w:t>其它项目清单与计价汇总表；</w:t>
      </w:r>
    </w:p>
    <w:p w14:paraId="0EA06F28">
      <w:pPr>
        <w:spacing w:line="360" w:lineRule="auto"/>
        <w:ind w:firstLine="630" w:firstLineChars="300"/>
        <w:rPr>
          <w:rFonts w:hint="eastAsia" w:ascii="宋体" w:hAnsi="宋体"/>
          <w:szCs w:val="21"/>
        </w:rPr>
      </w:pPr>
      <w:r>
        <w:rPr>
          <w:rFonts w:hint="eastAsia" w:ascii="宋体" w:hAnsi="宋体"/>
          <w:szCs w:val="21"/>
        </w:rPr>
        <w:t>1）暂列金额明细表</w:t>
      </w:r>
    </w:p>
    <w:p w14:paraId="39B3CC5E">
      <w:pPr>
        <w:spacing w:line="360" w:lineRule="auto"/>
        <w:ind w:firstLine="630" w:firstLineChars="300"/>
        <w:rPr>
          <w:rFonts w:hint="eastAsia" w:ascii="宋体" w:hAnsi="宋体"/>
          <w:szCs w:val="21"/>
        </w:rPr>
      </w:pPr>
      <w:r>
        <w:rPr>
          <w:rFonts w:hint="eastAsia" w:ascii="宋体" w:hAnsi="宋体"/>
          <w:szCs w:val="21"/>
        </w:rPr>
        <w:t>2）材料（工程设备）暂估单价表</w:t>
      </w:r>
    </w:p>
    <w:p w14:paraId="2E031435">
      <w:pPr>
        <w:spacing w:line="360" w:lineRule="auto"/>
        <w:ind w:firstLine="630" w:firstLineChars="300"/>
        <w:rPr>
          <w:rFonts w:ascii="宋体" w:hAnsi="宋体"/>
          <w:szCs w:val="21"/>
        </w:rPr>
      </w:pPr>
      <w:r>
        <w:rPr>
          <w:rFonts w:hint="eastAsia" w:ascii="宋体" w:hAnsi="宋体"/>
          <w:szCs w:val="21"/>
        </w:rPr>
        <w:t>3）专业工程暂估价表</w:t>
      </w:r>
    </w:p>
    <w:p w14:paraId="3815172C">
      <w:pPr>
        <w:spacing w:line="360" w:lineRule="auto"/>
        <w:ind w:firstLine="630" w:firstLineChars="300"/>
        <w:rPr>
          <w:rFonts w:hint="eastAsia" w:ascii="宋体" w:hAnsi="宋体"/>
          <w:szCs w:val="21"/>
        </w:rPr>
      </w:pPr>
      <w:r>
        <w:rPr>
          <w:rFonts w:hint="eastAsia" w:ascii="宋体" w:hAnsi="宋体"/>
          <w:szCs w:val="21"/>
        </w:rPr>
        <w:t>4）计日工表</w:t>
      </w:r>
    </w:p>
    <w:p w14:paraId="4EB1BF1C">
      <w:pPr>
        <w:spacing w:line="360" w:lineRule="auto"/>
        <w:ind w:firstLine="420" w:firstLineChars="200"/>
        <w:rPr>
          <w:rFonts w:hint="eastAsia" w:ascii="宋体" w:hAnsi="宋体"/>
          <w:szCs w:val="21"/>
        </w:rPr>
      </w:pPr>
      <w:r>
        <w:rPr>
          <w:rFonts w:hint="eastAsia" w:ascii="宋体" w:hAnsi="宋体"/>
          <w:szCs w:val="21"/>
        </w:rPr>
        <w:t>10</w:t>
      </w:r>
      <w:r>
        <w:rPr>
          <w:rFonts w:ascii="宋体" w:hAnsi="宋体"/>
          <w:szCs w:val="21"/>
        </w:rPr>
        <w:t>.</w:t>
      </w:r>
      <w:r>
        <w:rPr>
          <w:rFonts w:hint="eastAsia" w:ascii="宋体" w:hAnsi="宋体"/>
          <w:szCs w:val="21"/>
        </w:rPr>
        <w:t>规费和税金项目计价表。</w:t>
      </w:r>
    </w:p>
    <w:p w14:paraId="1E41053D">
      <w:pPr>
        <w:spacing w:line="360" w:lineRule="auto"/>
        <w:ind w:firstLine="420" w:firstLineChars="200"/>
        <w:rPr>
          <w:rFonts w:hint="eastAsia" w:ascii="宋体" w:hAnsi="宋体"/>
          <w:szCs w:val="21"/>
        </w:rPr>
      </w:pPr>
      <w:r>
        <w:rPr>
          <w:rFonts w:hint="eastAsia" w:ascii="宋体" w:hAnsi="宋体"/>
          <w:szCs w:val="21"/>
        </w:rPr>
        <w:t>11</w:t>
      </w:r>
      <w:r>
        <w:rPr>
          <w:rFonts w:ascii="宋体" w:hAnsi="宋体"/>
          <w:szCs w:val="21"/>
        </w:rPr>
        <w:t>.</w:t>
      </w:r>
      <w:r>
        <w:rPr>
          <w:rFonts w:hint="eastAsia" w:ascii="宋体" w:hAnsi="宋体"/>
          <w:szCs w:val="21"/>
        </w:rPr>
        <w:t>发包人提供材料和工程设备一览表</w:t>
      </w:r>
    </w:p>
    <w:p w14:paraId="092A602A">
      <w:pPr>
        <w:spacing w:line="360" w:lineRule="auto"/>
        <w:ind w:firstLine="420" w:firstLineChars="200"/>
        <w:rPr>
          <w:rFonts w:hint="eastAsia" w:ascii="宋体" w:hAnsi="宋体"/>
          <w:szCs w:val="21"/>
        </w:rPr>
      </w:pPr>
    </w:p>
    <w:p w14:paraId="238A4C95">
      <w:pPr>
        <w:spacing w:line="720" w:lineRule="auto"/>
        <w:ind w:right="105" w:firstLine="420" w:firstLineChars="200"/>
        <w:rPr>
          <w:rFonts w:hint="eastAsia" w:ascii="宋体" w:hAnsi="宋体"/>
          <w:szCs w:val="21"/>
        </w:rPr>
      </w:pPr>
      <w:r>
        <w:rPr>
          <w:rFonts w:hint="eastAsia" w:ascii="宋体" w:hAnsi="宋体"/>
          <w:szCs w:val="21"/>
        </w:rPr>
        <w:t xml:space="preserve">附：招标控制价明细    </w:t>
      </w:r>
    </w:p>
    <w:p w14:paraId="67C562CA">
      <w:pPr>
        <w:ind w:left="630" w:hanging="630" w:hangingChars="300"/>
        <w:rPr>
          <w:rFonts w:hint="eastAsia" w:ascii="宋体" w:hAnsi="宋体"/>
          <w:szCs w:val="21"/>
        </w:rPr>
      </w:pPr>
      <w:r>
        <w:rPr>
          <w:rFonts w:hint="eastAsia" w:ascii="宋体" w:hAnsi="宋体"/>
          <w:szCs w:val="21"/>
        </w:rPr>
        <w:t>备注：1.</w:t>
      </w:r>
      <w:r>
        <w:rPr>
          <w:rFonts w:ascii="黑体" w:eastAsia="黑体"/>
          <w:sz w:val="28"/>
          <w:szCs w:val="28"/>
        </w:rPr>
        <w:t xml:space="preserve"> “</w:t>
      </w:r>
      <w:r>
        <w:rPr>
          <w:rFonts w:ascii="宋体" w:hAnsi="宋体"/>
          <w:szCs w:val="21"/>
        </w:rPr>
        <w:t>招标控制价明细</w:t>
      </w:r>
      <w:r>
        <w:rPr>
          <w:rFonts w:ascii="黑体" w:eastAsia="黑体"/>
          <w:sz w:val="28"/>
          <w:szCs w:val="28"/>
        </w:rPr>
        <w:t>”</w:t>
      </w:r>
      <w:r>
        <w:rPr>
          <w:rFonts w:ascii="宋体" w:hAnsi="宋体"/>
          <w:szCs w:val="21"/>
        </w:rPr>
        <w:t>与“招标控制价文件”相比，缺少“综合单价分析表”。</w:t>
      </w:r>
      <w:r>
        <w:rPr>
          <w:rFonts w:hint="eastAsia" w:ascii="宋体" w:hAnsi="宋体"/>
          <w:szCs w:val="21"/>
        </w:rPr>
        <w:t>招标人应当将“招标控制价明细”随招标文件或招标文件澄清修改文件一起发布，供投标人查询。</w:t>
      </w:r>
    </w:p>
    <w:p w14:paraId="44C05880">
      <w:pPr>
        <w:ind w:left="630" w:hanging="630" w:hangingChars="300"/>
        <w:rPr>
          <w:rFonts w:hint="eastAsia" w:ascii="宋体" w:hAnsi="宋体"/>
          <w:b/>
          <w:sz w:val="28"/>
          <w:szCs w:val="28"/>
        </w:rPr>
      </w:pPr>
      <w:r>
        <w:rPr>
          <w:rFonts w:hint="eastAsia" w:ascii="宋体" w:hAnsi="宋体"/>
          <w:szCs w:val="21"/>
        </w:rPr>
        <w:t xml:space="preserve">      2.“</w:t>
      </w:r>
      <w:r>
        <w:rPr>
          <w:rFonts w:ascii="宋体" w:hAnsi="宋体"/>
          <w:szCs w:val="21"/>
        </w:rPr>
        <w:t>招标控制价文件</w:t>
      </w:r>
      <w:r>
        <w:rPr>
          <w:rFonts w:hint="eastAsia" w:ascii="宋体" w:hAnsi="宋体"/>
          <w:szCs w:val="21"/>
        </w:rPr>
        <w:t>”是指招标人根据本章投标人须知第2.1.2项的规定，采用</w:t>
      </w:r>
      <w:r>
        <w:rPr>
          <w:rFonts w:hint="eastAsia"/>
          <w:szCs w:val="21"/>
        </w:rPr>
        <w:t>符合《湖北省建设工程造价应用软件数据交换规范》和</w:t>
      </w:r>
      <w:r>
        <w:rPr>
          <w:rFonts w:hint="eastAsia"/>
        </w:rPr>
        <w:t>《关于增加湖北省建设工程造价数据接口内容的通知》（鄂建标函[2018]6号）</w:t>
      </w:r>
      <w:r>
        <w:rPr>
          <w:rFonts w:hint="eastAsia"/>
          <w:szCs w:val="21"/>
        </w:rPr>
        <w:t>要求的计价软件编制的完整的招标控制价</w:t>
      </w:r>
      <w:r>
        <w:rPr>
          <w:rFonts w:hint="eastAsia" w:ascii="宋体" w:hAnsi="宋体"/>
          <w:szCs w:val="21"/>
        </w:rPr>
        <w:t xml:space="preserve"> 。招标人应在“电子交易平台”“招标控制价备案”</w:t>
      </w:r>
      <w:r>
        <w:rPr>
          <w:rFonts w:hint="eastAsia"/>
        </w:rPr>
        <w:t xml:space="preserve"> 菜单上传完整的</w:t>
      </w:r>
      <w:r>
        <w:rPr>
          <w:rFonts w:hint="eastAsia" w:ascii="宋体" w:hAnsi="宋体"/>
          <w:szCs w:val="21"/>
        </w:rPr>
        <w:t>“</w:t>
      </w:r>
      <w:r>
        <w:rPr>
          <w:rFonts w:ascii="宋体" w:hAnsi="宋体"/>
          <w:szCs w:val="21"/>
        </w:rPr>
        <w:t>招标控制价文件</w:t>
      </w:r>
      <w:r>
        <w:rPr>
          <w:rFonts w:hint="eastAsia" w:ascii="宋体" w:hAnsi="宋体"/>
          <w:szCs w:val="21"/>
        </w:rPr>
        <w:t xml:space="preserve">” （后缀名为.HBKJ），以方便在评标阶段与投标人的已标价工程量清单进行对比和偏差分析。                                   </w:t>
      </w:r>
    </w:p>
    <w:p w14:paraId="689B63FE">
      <w:pPr>
        <w:pStyle w:val="3"/>
        <w:rPr>
          <w:b w:val="0"/>
          <w:sz w:val="24"/>
          <w:szCs w:val="24"/>
        </w:rPr>
      </w:pPr>
      <w:bookmarkStart w:id="320" w:name="_Toc108513578"/>
      <w:r>
        <w:rPr>
          <w:b w:val="0"/>
          <w:sz w:val="24"/>
          <w:szCs w:val="24"/>
        </w:rPr>
        <w:t>附表</w:t>
      </w:r>
      <w:r>
        <w:rPr>
          <w:rFonts w:hint="eastAsia"/>
          <w:b w:val="0"/>
          <w:sz w:val="24"/>
          <w:szCs w:val="24"/>
        </w:rPr>
        <w:t>十三</w:t>
      </w:r>
      <w:r>
        <w:rPr>
          <w:b w:val="0"/>
          <w:sz w:val="24"/>
          <w:szCs w:val="24"/>
        </w:rPr>
        <w:t>：授权委托书</w:t>
      </w:r>
      <w:bookmarkEnd w:id="320"/>
    </w:p>
    <w:p w14:paraId="32E735F6">
      <w:pPr>
        <w:spacing w:line="420" w:lineRule="exact"/>
        <w:jc w:val="center"/>
        <w:rPr>
          <w:rFonts w:hint="eastAsia" w:ascii="楷体_GB2312" w:eastAsia="楷体_GB2312"/>
        </w:rPr>
      </w:pPr>
    </w:p>
    <w:p w14:paraId="145DC625">
      <w:pPr>
        <w:spacing w:before="240" w:beforeLines="100" w:after="240" w:afterLines="100" w:line="480" w:lineRule="exact"/>
        <w:jc w:val="center"/>
        <w:rPr>
          <w:rFonts w:hint="eastAsia" w:ascii="黑体" w:eastAsia="黑体"/>
          <w:sz w:val="28"/>
          <w:szCs w:val="28"/>
        </w:rPr>
      </w:pPr>
      <w:bookmarkStart w:id="321" w:name="_Toc493254945"/>
      <w:r>
        <w:rPr>
          <w:rFonts w:hint="eastAsia" w:ascii="黑体" w:eastAsia="黑体"/>
          <w:sz w:val="28"/>
          <w:szCs w:val="28"/>
        </w:rPr>
        <w:t>授权委托书</w:t>
      </w:r>
      <w:bookmarkEnd w:id="321"/>
    </w:p>
    <w:p w14:paraId="1E0B149D">
      <w:pPr>
        <w:spacing w:before="240" w:beforeLines="100" w:after="240" w:afterLines="100" w:line="480" w:lineRule="exact"/>
        <w:jc w:val="center"/>
        <w:rPr>
          <w:rFonts w:hint="eastAsia" w:ascii="黑体" w:hAnsi="宋体"/>
          <w:szCs w:val="28"/>
        </w:rPr>
      </w:pPr>
    </w:p>
    <w:p w14:paraId="72C5C28F">
      <w:pPr>
        <w:spacing w:line="500" w:lineRule="exact"/>
        <w:ind w:firstLine="420" w:firstLineChars="200"/>
        <w:rPr>
          <w:rFonts w:hint="eastAsia" w:ascii="宋体" w:hAnsi="宋体"/>
          <w:szCs w:val="21"/>
        </w:rPr>
      </w:pPr>
      <w:r>
        <w:rPr>
          <w:rFonts w:hint="eastAsia" w:ascii="宋体" w:hAnsi="宋体"/>
          <w:szCs w:val="21"/>
        </w:rPr>
        <w:t>本人</w:t>
      </w:r>
      <w:r>
        <w:rPr>
          <w:rFonts w:hint="eastAsia" w:ascii="宋体" w:hAnsi="宋体"/>
          <w:szCs w:val="21"/>
          <w:u w:val="single"/>
        </w:rPr>
        <w:t xml:space="preserve">     </w:t>
      </w:r>
      <w:r>
        <w:rPr>
          <w:rFonts w:hint="eastAsia" w:ascii="宋体" w:hAnsi="宋体"/>
          <w:szCs w:val="21"/>
        </w:rPr>
        <w:t>（姓名）系</w:t>
      </w:r>
      <w:r>
        <w:rPr>
          <w:rFonts w:hint="eastAsia" w:ascii="宋体" w:hAnsi="宋体"/>
          <w:szCs w:val="21"/>
          <w:u w:val="single"/>
        </w:rPr>
        <w:t xml:space="preserve">         </w:t>
      </w:r>
      <w:r>
        <w:rPr>
          <w:rFonts w:hint="eastAsia" w:ascii="宋体" w:hAnsi="宋体"/>
          <w:szCs w:val="21"/>
        </w:rPr>
        <w:t>（投标人名称）的法定代表人，现委托</w:t>
      </w:r>
      <w:r>
        <w:rPr>
          <w:rFonts w:hint="eastAsia" w:ascii="宋体" w:hAnsi="宋体"/>
          <w:szCs w:val="21"/>
          <w:u w:val="single"/>
        </w:rPr>
        <w:t xml:space="preserve">      </w:t>
      </w:r>
      <w:r>
        <w:rPr>
          <w:rFonts w:hint="eastAsia" w:ascii="宋体" w:hAnsi="宋体"/>
          <w:szCs w:val="21"/>
        </w:rPr>
        <w:t>（姓名）为我方代理人。代理人根据授权，以我方名义签署、澄清、说明、补正、递交、撤回、修改</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（标段名称）施工投标文件、签订合同和处理有关事宜，其法律后果由我方承担。</w:t>
      </w:r>
    </w:p>
    <w:p w14:paraId="0508FB0C">
      <w:pPr>
        <w:spacing w:before="120" w:beforeLines="50" w:line="500" w:lineRule="exact"/>
        <w:ind w:firstLine="420" w:firstLineChars="200"/>
        <w:rPr>
          <w:rFonts w:hint="eastAsia" w:ascii="宋体" w:hAnsi="宋体"/>
          <w:szCs w:val="21"/>
        </w:rPr>
      </w:pPr>
      <w:r>
        <w:rPr>
          <w:rFonts w:hint="eastAsia" w:ascii="宋体" w:hAnsi="宋体"/>
          <w:szCs w:val="21"/>
        </w:rPr>
        <w:t>委托期限：</w:t>
      </w:r>
      <w:r>
        <w:rPr>
          <w:rFonts w:hint="eastAsia" w:ascii="宋体" w:hAnsi="宋体"/>
          <w:szCs w:val="21"/>
          <w:u w:val="single"/>
        </w:rPr>
        <w:t xml:space="preserve">                                                          </w:t>
      </w:r>
    </w:p>
    <w:p w14:paraId="76C6E04A">
      <w:pPr>
        <w:spacing w:line="500" w:lineRule="exact"/>
        <w:ind w:firstLine="1260" w:firstLineChars="6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DBC2C9E">
      <w:pPr>
        <w:spacing w:before="240" w:beforeLines="100" w:after="240" w:afterLines="100" w:line="500" w:lineRule="exact"/>
        <w:ind w:firstLine="420" w:firstLineChars="200"/>
        <w:rPr>
          <w:rFonts w:hint="eastAsia" w:ascii="宋体" w:hAnsi="宋体"/>
          <w:szCs w:val="21"/>
        </w:rPr>
      </w:pPr>
      <w:r>
        <w:rPr>
          <w:rFonts w:hint="eastAsia" w:ascii="宋体" w:hAnsi="宋体"/>
          <w:szCs w:val="21"/>
        </w:rPr>
        <w:t>代理人无转委托权。</w:t>
      </w:r>
    </w:p>
    <w:p w14:paraId="731FF5B7">
      <w:pPr>
        <w:spacing w:after="240" w:afterLines="100" w:line="500" w:lineRule="exact"/>
        <w:ind w:firstLine="420" w:firstLineChars="200"/>
        <w:rPr>
          <w:rFonts w:hint="eastAsia" w:ascii="宋体" w:hAnsi="宋体"/>
          <w:szCs w:val="21"/>
        </w:rPr>
      </w:pPr>
      <w:r>
        <w:rPr>
          <w:rFonts w:hint="eastAsia" w:ascii="宋体" w:hAnsi="宋体"/>
          <w:szCs w:val="21"/>
        </w:rPr>
        <w:t>附：法定代表人身份证明</w:t>
      </w:r>
    </w:p>
    <w:p w14:paraId="103DB086">
      <w:pPr>
        <w:spacing w:line="400" w:lineRule="exact"/>
        <w:ind w:firstLine="3570" w:firstLineChars="1700"/>
        <w:rPr>
          <w:rFonts w:hint="eastAsia" w:ascii="宋体" w:hAnsi="宋体"/>
          <w:szCs w:val="21"/>
        </w:rPr>
      </w:pPr>
    </w:p>
    <w:p w14:paraId="7513CB91">
      <w:pPr>
        <w:spacing w:line="400" w:lineRule="exact"/>
        <w:ind w:firstLine="3570" w:firstLineChars="1700"/>
        <w:rPr>
          <w:rFonts w:hint="eastAsia" w:ascii="宋体" w:hAnsi="宋体"/>
          <w:szCs w:val="21"/>
        </w:rPr>
      </w:pPr>
    </w:p>
    <w:p w14:paraId="2C0A25B4">
      <w:pPr>
        <w:spacing w:line="400" w:lineRule="exact"/>
        <w:ind w:firstLine="3570" w:firstLineChars="1700"/>
        <w:rPr>
          <w:rFonts w:hint="eastAsia" w:ascii="宋体" w:hAnsi="宋体"/>
          <w:szCs w:val="21"/>
        </w:rPr>
      </w:pPr>
      <w:r>
        <w:rPr>
          <w:rFonts w:hint="eastAsia" w:ascii="宋体" w:hAnsi="宋体"/>
          <w:szCs w:val="21"/>
        </w:rPr>
        <w:t>投  标  人：</w:t>
      </w:r>
      <w:r>
        <w:rPr>
          <w:rFonts w:hint="eastAsia" w:ascii="宋体" w:hAnsi="宋体"/>
          <w:szCs w:val="21"/>
          <w:u w:val="single"/>
        </w:rPr>
        <w:t xml:space="preserve">                        </w:t>
      </w:r>
      <w:r>
        <w:rPr>
          <w:rFonts w:hint="eastAsia" w:ascii="宋体" w:hAnsi="宋体"/>
          <w:szCs w:val="21"/>
        </w:rPr>
        <w:t>（盖单位章）</w:t>
      </w:r>
    </w:p>
    <w:p w14:paraId="6ED2C58C">
      <w:pPr>
        <w:spacing w:line="400" w:lineRule="exact"/>
        <w:ind w:firstLine="3570" w:firstLineChars="1700"/>
        <w:rPr>
          <w:rFonts w:hint="eastAsia" w:ascii="宋体" w:hAnsi="宋体"/>
          <w:szCs w:val="21"/>
        </w:rPr>
      </w:pPr>
    </w:p>
    <w:p w14:paraId="5941AD02">
      <w:pPr>
        <w:spacing w:line="400" w:lineRule="exact"/>
        <w:ind w:firstLine="3570" w:firstLineChars="17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18198D78">
      <w:pPr>
        <w:spacing w:line="400" w:lineRule="exact"/>
        <w:ind w:firstLine="3570" w:firstLineChars="1700"/>
        <w:rPr>
          <w:rFonts w:hint="eastAsia" w:ascii="宋体" w:hAnsi="宋体"/>
          <w:szCs w:val="21"/>
        </w:rPr>
      </w:pPr>
    </w:p>
    <w:p w14:paraId="1C9991D4">
      <w:pPr>
        <w:spacing w:line="400" w:lineRule="exact"/>
        <w:ind w:firstLine="3570" w:firstLineChars="1700"/>
        <w:rPr>
          <w:rFonts w:hint="eastAsia" w:ascii="宋体" w:hAnsi="宋体"/>
          <w:szCs w:val="21"/>
          <w:u w:val="single"/>
        </w:rPr>
      </w:pPr>
      <w:r>
        <w:rPr>
          <w:rFonts w:hint="eastAsia" w:ascii="宋体" w:hAnsi="宋体"/>
          <w:szCs w:val="21"/>
        </w:rPr>
        <w:t>身份证号码：</w:t>
      </w:r>
      <w:r>
        <w:rPr>
          <w:rFonts w:hint="eastAsia" w:ascii="宋体" w:hAnsi="宋体"/>
          <w:szCs w:val="21"/>
          <w:u w:val="single"/>
        </w:rPr>
        <w:t xml:space="preserve">                                   </w:t>
      </w:r>
    </w:p>
    <w:p w14:paraId="0670CDCB">
      <w:pPr>
        <w:spacing w:line="400" w:lineRule="exact"/>
        <w:ind w:firstLine="3570" w:firstLineChars="1700"/>
        <w:rPr>
          <w:rFonts w:hint="eastAsia" w:ascii="宋体" w:hAnsi="宋体"/>
          <w:szCs w:val="21"/>
          <w:u w:val="single"/>
        </w:rPr>
      </w:pPr>
    </w:p>
    <w:p w14:paraId="017B6342">
      <w:pPr>
        <w:spacing w:line="400" w:lineRule="exact"/>
        <w:ind w:firstLine="3570" w:firstLineChars="1700"/>
        <w:rPr>
          <w:rFonts w:hint="eastAsia"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5F543B99">
      <w:pPr>
        <w:spacing w:line="400" w:lineRule="exact"/>
        <w:ind w:firstLine="3570" w:firstLineChars="1700"/>
        <w:rPr>
          <w:rFonts w:hint="eastAsia" w:ascii="宋体" w:hAnsi="宋体"/>
          <w:szCs w:val="21"/>
        </w:rPr>
      </w:pPr>
    </w:p>
    <w:p w14:paraId="3E0584F3">
      <w:pPr>
        <w:spacing w:line="400" w:lineRule="exact"/>
        <w:ind w:firstLine="3570" w:firstLineChars="1700"/>
        <w:rPr>
          <w:rFonts w:hint="eastAsia" w:ascii="宋体" w:hAnsi="宋体"/>
          <w:szCs w:val="21"/>
          <w:u w:val="single"/>
        </w:rPr>
      </w:pPr>
      <w:r>
        <w:rPr>
          <w:rFonts w:hint="eastAsia" w:ascii="宋体" w:hAnsi="宋体"/>
          <w:szCs w:val="21"/>
        </w:rPr>
        <w:t>身份证号码：</w:t>
      </w:r>
      <w:r>
        <w:rPr>
          <w:rFonts w:hint="eastAsia" w:ascii="宋体" w:hAnsi="宋体"/>
          <w:szCs w:val="21"/>
          <w:u w:val="single"/>
        </w:rPr>
        <w:t xml:space="preserve">                                   </w:t>
      </w:r>
    </w:p>
    <w:p w14:paraId="7EDD6CA8">
      <w:pPr>
        <w:spacing w:line="400" w:lineRule="exact"/>
        <w:ind w:firstLine="3570" w:firstLineChars="1700"/>
        <w:rPr>
          <w:rFonts w:hint="eastAsia" w:ascii="宋体" w:hAnsi="宋体"/>
          <w:szCs w:val="21"/>
        </w:rPr>
      </w:pPr>
    </w:p>
    <w:p w14:paraId="3A991376">
      <w:pPr>
        <w:spacing w:line="400" w:lineRule="exact"/>
        <w:ind w:firstLine="4830" w:firstLineChars="2300"/>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E81BA37">
      <w:pPr>
        <w:spacing w:line="420" w:lineRule="exact"/>
        <w:jc w:val="center"/>
        <w:rPr>
          <w:rFonts w:hint="eastAsia" w:ascii="楷体_GB2312" w:eastAsia="楷体_GB2312"/>
        </w:rPr>
      </w:pPr>
      <w:r>
        <w:rPr>
          <w:rFonts w:ascii="楷体_GB2312" w:eastAsia="楷体_GB2312"/>
        </w:rPr>
        <w:br w:type="page"/>
      </w:r>
    </w:p>
    <w:p w14:paraId="6553B388">
      <w:pPr>
        <w:spacing w:line="420" w:lineRule="exact"/>
        <w:jc w:val="center"/>
        <w:rPr>
          <w:rFonts w:hint="eastAsia" w:ascii="楷体_GB2312" w:eastAsia="楷体_GB2312"/>
        </w:rPr>
      </w:pPr>
    </w:p>
    <w:p w14:paraId="538AD83B">
      <w:pPr>
        <w:spacing w:line="420" w:lineRule="exact"/>
        <w:jc w:val="center"/>
        <w:rPr>
          <w:rFonts w:hint="eastAsia" w:ascii="楷体_GB2312" w:eastAsia="楷体_GB2312"/>
        </w:rPr>
      </w:pPr>
    </w:p>
    <w:p w14:paraId="7B07A0BF">
      <w:pPr>
        <w:spacing w:line="420" w:lineRule="exact"/>
        <w:jc w:val="center"/>
        <w:rPr>
          <w:rFonts w:hint="eastAsia" w:ascii="楷体_GB2312" w:eastAsia="楷体_GB2312"/>
        </w:rPr>
      </w:pPr>
    </w:p>
    <w:p w14:paraId="4246079E">
      <w:pPr>
        <w:spacing w:line="420" w:lineRule="exact"/>
        <w:jc w:val="center"/>
        <w:rPr>
          <w:rFonts w:hint="eastAsia" w:ascii="楷体_GB2312" w:eastAsia="楷体_GB2312"/>
        </w:rPr>
      </w:pPr>
    </w:p>
    <w:p w14:paraId="64415666">
      <w:pPr>
        <w:spacing w:line="420" w:lineRule="exact"/>
        <w:jc w:val="center"/>
        <w:rPr>
          <w:rFonts w:ascii="黑体" w:eastAsia="黑体"/>
          <w:sz w:val="32"/>
          <w:szCs w:val="32"/>
        </w:rPr>
      </w:pPr>
      <w:r>
        <w:rPr>
          <w:rFonts w:hint="eastAsia" w:ascii="黑体" w:eastAsia="黑体"/>
          <w:sz w:val="32"/>
          <w:szCs w:val="32"/>
        </w:rPr>
        <w:t>第三章  评标办法</w:t>
      </w:r>
    </w:p>
    <w:p w14:paraId="631B7858">
      <w:pPr>
        <w:spacing w:before="120" w:beforeLines="50" w:after="120" w:afterLines="50"/>
        <w:rPr>
          <w:rFonts w:hint="eastAsia" w:ascii="黑体" w:eastAsia="黑体"/>
          <w:sz w:val="28"/>
          <w:szCs w:val="28"/>
        </w:rPr>
      </w:pPr>
    </w:p>
    <w:p w14:paraId="39BA9DF6">
      <w:pPr>
        <w:spacing w:before="120" w:beforeLines="50" w:after="120" w:afterLines="50"/>
        <w:rPr>
          <w:rFonts w:hint="eastAsia" w:ascii="黑体" w:eastAsia="黑体"/>
          <w:sz w:val="28"/>
          <w:szCs w:val="28"/>
        </w:rPr>
      </w:pPr>
    </w:p>
    <w:p w14:paraId="070EE481">
      <w:pPr>
        <w:spacing w:before="120" w:beforeLines="50" w:after="120" w:afterLines="50"/>
        <w:rPr>
          <w:rFonts w:hint="eastAsia" w:ascii="黑体" w:eastAsia="黑体"/>
          <w:sz w:val="28"/>
          <w:szCs w:val="28"/>
        </w:rPr>
      </w:pPr>
    </w:p>
    <w:p w14:paraId="12247D41">
      <w:pPr>
        <w:spacing w:before="120" w:beforeLines="50" w:after="120" w:afterLines="50"/>
        <w:rPr>
          <w:rFonts w:hint="eastAsia" w:ascii="黑体" w:eastAsia="黑体"/>
          <w:sz w:val="28"/>
          <w:szCs w:val="28"/>
        </w:rPr>
      </w:pPr>
    </w:p>
    <w:p w14:paraId="2786074C">
      <w:pPr>
        <w:spacing w:before="120" w:beforeLines="50" w:after="120" w:afterLines="50"/>
        <w:rPr>
          <w:rFonts w:hint="eastAsia" w:ascii="黑体" w:eastAsia="黑体"/>
          <w:sz w:val="28"/>
          <w:szCs w:val="28"/>
        </w:rPr>
      </w:pPr>
    </w:p>
    <w:p w14:paraId="6C9D56FC">
      <w:pPr>
        <w:spacing w:before="120" w:beforeLines="50" w:after="120" w:afterLines="50"/>
        <w:rPr>
          <w:rFonts w:hint="eastAsia" w:ascii="黑体" w:eastAsia="黑体"/>
          <w:sz w:val="28"/>
          <w:szCs w:val="28"/>
        </w:rPr>
      </w:pPr>
    </w:p>
    <w:p w14:paraId="713D479B">
      <w:pPr>
        <w:spacing w:before="120" w:beforeLines="50" w:after="120" w:afterLines="50"/>
        <w:rPr>
          <w:rFonts w:hint="eastAsia" w:ascii="黑体" w:eastAsia="黑体"/>
          <w:sz w:val="28"/>
          <w:szCs w:val="28"/>
        </w:rPr>
      </w:pPr>
    </w:p>
    <w:p w14:paraId="61014658">
      <w:pPr>
        <w:spacing w:before="120" w:beforeLines="50" w:after="120" w:afterLines="50"/>
        <w:rPr>
          <w:rFonts w:hint="eastAsia" w:ascii="黑体" w:eastAsia="黑体"/>
          <w:sz w:val="28"/>
          <w:szCs w:val="28"/>
        </w:rPr>
      </w:pPr>
    </w:p>
    <w:p w14:paraId="13F25DF0">
      <w:pPr>
        <w:spacing w:before="120" w:beforeLines="50" w:after="120" w:afterLines="50"/>
        <w:rPr>
          <w:rFonts w:hint="eastAsia" w:ascii="黑体" w:eastAsia="黑体"/>
          <w:sz w:val="28"/>
          <w:szCs w:val="28"/>
        </w:rPr>
      </w:pPr>
    </w:p>
    <w:p w14:paraId="7F95C0C0">
      <w:pPr>
        <w:spacing w:before="120" w:beforeLines="50" w:after="120" w:afterLines="50"/>
        <w:rPr>
          <w:rFonts w:hint="eastAsia" w:ascii="黑体" w:eastAsia="黑体"/>
          <w:sz w:val="28"/>
          <w:szCs w:val="28"/>
        </w:rPr>
      </w:pPr>
    </w:p>
    <w:p w14:paraId="5919D366">
      <w:pPr>
        <w:spacing w:before="120" w:beforeLines="50" w:after="120" w:afterLines="50"/>
        <w:rPr>
          <w:rFonts w:hint="eastAsia" w:ascii="黑体" w:eastAsia="黑体"/>
          <w:sz w:val="28"/>
          <w:szCs w:val="28"/>
        </w:rPr>
      </w:pPr>
    </w:p>
    <w:p w14:paraId="0861000D">
      <w:pPr>
        <w:spacing w:before="120" w:beforeLines="50" w:after="120" w:afterLines="50"/>
        <w:rPr>
          <w:rFonts w:hint="eastAsia" w:ascii="黑体" w:eastAsia="黑体"/>
          <w:sz w:val="28"/>
          <w:szCs w:val="28"/>
        </w:rPr>
      </w:pPr>
    </w:p>
    <w:p w14:paraId="3C025B58">
      <w:pPr>
        <w:spacing w:before="120" w:beforeLines="50" w:after="120" w:afterLines="50"/>
        <w:rPr>
          <w:rFonts w:hint="eastAsia" w:ascii="黑体" w:eastAsia="黑体"/>
          <w:sz w:val="28"/>
          <w:szCs w:val="28"/>
        </w:rPr>
      </w:pPr>
    </w:p>
    <w:p w14:paraId="10CCB10B">
      <w:pPr>
        <w:spacing w:before="120" w:beforeLines="50" w:after="120" w:afterLines="50"/>
        <w:rPr>
          <w:rFonts w:hint="eastAsia" w:ascii="黑体" w:eastAsia="黑体"/>
          <w:sz w:val="28"/>
          <w:szCs w:val="28"/>
        </w:rPr>
      </w:pPr>
    </w:p>
    <w:p w14:paraId="311AC30B">
      <w:pPr>
        <w:spacing w:before="120" w:beforeLines="50" w:after="120" w:afterLines="50"/>
        <w:rPr>
          <w:rFonts w:hint="eastAsia" w:ascii="黑体" w:eastAsia="黑体"/>
          <w:sz w:val="28"/>
          <w:szCs w:val="28"/>
        </w:rPr>
      </w:pPr>
    </w:p>
    <w:p w14:paraId="0E396A91">
      <w:pPr>
        <w:spacing w:before="120" w:beforeLines="50" w:after="120" w:afterLines="50"/>
        <w:rPr>
          <w:rFonts w:hint="eastAsia" w:ascii="黑体" w:eastAsia="黑体"/>
          <w:sz w:val="28"/>
          <w:szCs w:val="28"/>
        </w:rPr>
      </w:pPr>
    </w:p>
    <w:p w14:paraId="368A9558">
      <w:pPr>
        <w:spacing w:before="120" w:beforeLines="50" w:after="120" w:afterLines="50"/>
        <w:rPr>
          <w:rFonts w:hint="eastAsia" w:ascii="黑体" w:eastAsia="黑体"/>
          <w:sz w:val="28"/>
          <w:szCs w:val="28"/>
        </w:rPr>
      </w:pPr>
    </w:p>
    <w:p w14:paraId="468CF659">
      <w:pPr>
        <w:spacing w:before="120" w:beforeLines="50" w:after="120" w:afterLines="50"/>
        <w:rPr>
          <w:rFonts w:hint="eastAsia" w:ascii="黑体" w:eastAsia="黑体"/>
          <w:sz w:val="28"/>
          <w:szCs w:val="28"/>
        </w:rPr>
      </w:pPr>
    </w:p>
    <w:p w14:paraId="3C5986E0">
      <w:pPr>
        <w:spacing w:before="120" w:beforeLines="50" w:after="120" w:afterLines="50"/>
        <w:rPr>
          <w:rFonts w:hint="eastAsia" w:ascii="黑体" w:eastAsia="黑体"/>
          <w:sz w:val="28"/>
          <w:szCs w:val="28"/>
        </w:rPr>
      </w:pPr>
    </w:p>
    <w:p w14:paraId="0BBB6E06">
      <w:pPr>
        <w:spacing w:before="120" w:beforeLines="50" w:after="120" w:afterLines="50"/>
        <w:rPr>
          <w:rFonts w:hint="eastAsia" w:ascii="黑体" w:eastAsia="黑体"/>
          <w:sz w:val="28"/>
          <w:szCs w:val="28"/>
        </w:rPr>
      </w:pPr>
    </w:p>
    <w:p w14:paraId="4FA043FD">
      <w:pPr>
        <w:spacing w:before="120" w:beforeLines="50" w:after="120" w:afterLines="50"/>
        <w:rPr>
          <w:rFonts w:hint="eastAsia" w:ascii="黑体" w:hAnsi="宋体" w:eastAsia="黑体"/>
          <w:sz w:val="32"/>
          <w:szCs w:val="32"/>
        </w:rPr>
      </w:pPr>
    </w:p>
    <w:p w14:paraId="5FD9F69C">
      <w:pPr>
        <w:pStyle w:val="2"/>
        <w:spacing w:before="120" w:after="120" w:line="400" w:lineRule="exact"/>
        <w:jc w:val="center"/>
        <w:rPr>
          <w:rFonts w:hint="eastAsia" w:ascii="黑体" w:hAnsi="黑体" w:eastAsia="黑体"/>
          <w:b w:val="0"/>
          <w:bCs w:val="0"/>
          <w:sz w:val="32"/>
        </w:rPr>
      </w:pPr>
      <w:bookmarkStart w:id="322" w:name="_Toc108513579"/>
      <w:r>
        <w:rPr>
          <w:rFonts w:hint="eastAsia" w:ascii="黑体" w:hAnsi="黑体" w:eastAsia="黑体"/>
          <w:b w:val="0"/>
          <w:bCs w:val="0"/>
          <w:sz w:val="32"/>
        </w:rPr>
        <w:t>第三章  评标办法</w:t>
      </w:r>
      <w:bookmarkEnd w:id="322"/>
    </w:p>
    <w:p w14:paraId="55F517A6">
      <w:pPr>
        <w:pStyle w:val="18"/>
        <w:rPr>
          <w:rFonts w:hint="eastAsia"/>
        </w:rPr>
      </w:pPr>
      <w:bookmarkStart w:id="323" w:name="_Toc108513582"/>
    </w:p>
    <w:p w14:paraId="52DB173C">
      <w:pPr>
        <w:pStyle w:val="18"/>
        <w:rPr>
          <w:rFonts w:hint="eastAsia"/>
        </w:rPr>
      </w:pPr>
      <w:r>
        <w:rPr>
          <w:rFonts w:hint="eastAsia"/>
        </w:rPr>
        <w:t>评标办法前附表（综合评估法）</w:t>
      </w:r>
      <w:bookmarkEnd w:id="323"/>
    </w:p>
    <w:p w14:paraId="28C1C7C2">
      <w:pPr>
        <w:rPr>
          <w:rFonts w:hint="eastAsia" w:ascii="黑体" w:hAnsi="宋体" w:eastAsia="黑体"/>
          <w:sz w:val="28"/>
          <w:szCs w:val="28"/>
        </w:rPr>
      </w:pPr>
    </w:p>
    <w:tbl>
      <w:tblPr>
        <w:tblStyle w:val="15"/>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59"/>
        <w:gridCol w:w="1440"/>
        <w:gridCol w:w="645"/>
        <w:gridCol w:w="255"/>
        <w:gridCol w:w="480"/>
        <w:gridCol w:w="4560"/>
      </w:tblGrid>
      <w:tr w14:paraId="7BF2D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00" w:type="dxa"/>
            <w:gridSpan w:val="2"/>
            <w:noWrap w:val="0"/>
            <w:vAlign w:val="center"/>
          </w:tcPr>
          <w:p w14:paraId="79F67453">
            <w:pPr>
              <w:jc w:val="center"/>
              <w:rPr>
                <w:rFonts w:hint="eastAsia" w:ascii="宋体" w:hAnsi="宋体"/>
                <w:b/>
                <w:szCs w:val="21"/>
              </w:rPr>
            </w:pPr>
            <w:r>
              <w:rPr>
                <w:rFonts w:hint="eastAsia" w:ascii="宋体" w:hAnsi="宋体"/>
                <w:b/>
                <w:szCs w:val="21"/>
              </w:rPr>
              <w:t>条款号</w:t>
            </w:r>
          </w:p>
        </w:tc>
        <w:tc>
          <w:tcPr>
            <w:tcW w:w="2340" w:type="dxa"/>
            <w:gridSpan w:val="3"/>
            <w:noWrap w:val="0"/>
            <w:vAlign w:val="center"/>
          </w:tcPr>
          <w:p w14:paraId="0E8E097A">
            <w:pPr>
              <w:jc w:val="center"/>
              <w:rPr>
                <w:rFonts w:hint="eastAsia" w:ascii="宋体" w:hAnsi="宋体"/>
                <w:b/>
                <w:szCs w:val="21"/>
              </w:rPr>
            </w:pPr>
            <w:r>
              <w:rPr>
                <w:rFonts w:hint="eastAsia" w:ascii="宋体" w:hAnsi="宋体"/>
                <w:b/>
                <w:szCs w:val="21"/>
              </w:rPr>
              <w:t>评审因素</w:t>
            </w:r>
          </w:p>
        </w:tc>
        <w:tc>
          <w:tcPr>
            <w:tcW w:w="5040" w:type="dxa"/>
            <w:gridSpan w:val="2"/>
            <w:noWrap w:val="0"/>
            <w:vAlign w:val="center"/>
          </w:tcPr>
          <w:p w14:paraId="36EBBAF1">
            <w:pPr>
              <w:jc w:val="center"/>
              <w:rPr>
                <w:rFonts w:hint="eastAsia" w:ascii="宋体" w:hAnsi="宋体"/>
                <w:b/>
                <w:szCs w:val="21"/>
              </w:rPr>
            </w:pPr>
            <w:r>
              <w:rPr>
                <w:rFonts w:hint="eastAsia" w:ascii="宋体" w:hAnsi="宋体"/>
                <w:b/>
                <w:szCs w:val="21"/>
              </w:rPr>
              <w:t>评审标准</w:t>
            </w:r>
          </w:p>
        </w:tc>
      </w:tr>
      <w:tr w14:paraId="005A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2F4A8334">
            <w:pPr>
              <w:spacing w:line="440" w:lineRule="exact"/>
              <w:jc w:val="center"/>
              <w:rPr>
                <w:rFonts w:hint="eastAsia"/>
                <w:szCs w:val="21"/>
              </w:rPr>
            </w:pPr>
            <w:r>
              <w:rPr>
                <w:rFonts w:hint="eastAsia"/>
                <w:szCs w:val="21"/>
              </w:rPr>
              <w:t>2.1.1</w:t>
            </w:r>
          </w:p>
        </w:tc>
        <w:tc>
          <w:tcPr>
            <w:tcW w:w="1059" w:type="dxa"/>
            <w:vMerge w:val="restart"/>
            <w:noWrap w:val="0"/>
            <w:vAlign w:val="center"/>
          </w:tcPr>
          <w:p w14:paraId="3F29084D">
            <w:pPr>
              <w:jc w:val="center"/>
              <w:rPr>
                <w:rFonts w:hint="eastAsia" w:ascii="宋体" w:hAnsi="宋体"/>
                <w:szCs w:val="21"/>
              </w:rPr>
            </w:pPr>
            <w:r>
              <w:rPr>
                <w:rFonts w:hint="eastAsia" w:ascii="宋体" w:hAnsi="宋体"/>
                <w:szCs w:val="21"/>
              </w:rPr>
              <w:t>形式</w:t>
            </w:r>
          </w:p>
          <w:p w14:paraId="2B500ADD">
            <w:pPr>
              <w:jc w:val="center"/>
              <w:rPr>
                <w:rFonts w:hint="eastAsia" w:ascii="宋体" w:hAnsi="宋体"/>
                <w:szCs w:val="21"/>
              </w:rPr>
            </w:pPr>
            <w:r>
              <w:rPr>
                <w:rFonts w:hint="eastAsia" w:ascii="宋体" w:hAnsi="宋体"/>
                <w:szCs w:val="21"/>
              </w:rPr>
              <w:t>评审</w:t>
            </w:r>
          </w:p>
          <w:p w14:paraId="385C9421">
            <w:pPr>
              <w:jc w:val="center"/>
              <w:rPr>
                <w:rFonts w:hint="eastAsia" w:ascii="宋体" w:hAnsi="宋体"/>
                <w:szCs w:val="21"/>
              </w:rPr>
            </w:pPr>
            <w:r>
              <w:rPr>
                <w:rFonts w:hint="eastAsia" w:ascii="宋体" w:hAnsi="宋体"/>
                <w:szCs w:val="21"/>
              </w:rPr>
              <w:t>标准</w:t>
            </w:r>
          </w:p>
        </w:tc>
        <w:tc>
          <w:tcPr>
            <w:tcW w:w="2340" w:type="dxa"/>
            <w:gridSpan w:val="3"/>
            <w:noWrap w:val="0"/>
            <w:vAlign w:val="center"/>
          </w:tcPr>
          <w:p w14:paraId="5053311F">
            <w:pPr>
              <w:rPr>
                <w:rFonts w:hint="eastAsia" w:ascii="宋体" w:hAnsi="宋体"/>
                <w:szCs w:val="21"/>
              </w:rPr>
            </w:pPr>
            <w:r>
              <w:rPr>
                <w:rFonts w:hint="eastAsia" w:ascii="宋体" w:hAnsi="宋体"/>
                <w:szCs w:val="21"/>
              </w:rPr>
              <w:t>投标文件</w:t>
            </w:r>
          </w:p>
        </w:tc>
        <w:tc>
          <w:tcPr>
            <w:tcW w:w="5040" w:type="dxa"/>
            <w:gridSpan w:val="2"/>
            <w:noWrap w:val="0"/>
            <w:vAlign w:val="center"/>
          </w:tcPr>
          <w:p w14:paraId="4FA05618">
            <w:pPr>
              <w:rPr>
                <w:rFonts w:hint="eastAsia" w:ascii="宋体" w:hAnsi="宋体"/>
                <w:szCs w:val="21"/>
              </w:rPr>
            </w:pPr>
            <w:r>
              <w:rPr>
                <w:rFonts w:hint="eastAsia" w:ascii="宋体" w:hAnsi="宋体"/>
                <w:szCs w:val="21"/>
              </w:rPr>
              <w:t>投标文件能正常</w:t>
            </w:r>
            <w:r>
              <w:rPr>
                <w:rFonts w:ascii="宋体" w:hAnsi="宋体"/>
              </w:rPr>
              <w:t>打开</w:t>
            </w:r>
          </w:p>
        </w:tc>
      </w:tr>
      <w:tr w14:paraId="22F6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7E35BFA">
            <w:pPr>
              <w:spacing w:line="440" w:lineRule="exact"/>
              <w:jc w:val="center"/>
              <w:rPr>
                <w:rFonts w:hint="eastAsia"/>
                <w:szCs w:val="21"/>
              </w:rPr>
            </w:pPr>
          </w:p>
        </w:tc>
        <w:tc>
          <w:tcPr>
            <w:tcW w:w="1059" w:type="dxa"/>
            <w:vMerge w:val="continue"/>
            <w:noWrap w:val="0"/>
            <w:vAlign w:val="center"/>
          </w:tcPr>
          <w:p w14:paraId="5AB0996F">
            <w:pPr>
              <w:jc w:val="center"/>
              <w:rPr>
                <w:rFonts w:hint="eastAsia" w:ascii="宋体" w:hAnsi="宋体"/>
                <w:szCs w:val="21"/>
              </w:rPr>
            </w:pPr>
          </w:p>
        </w:tc>
        <w:tc>
          <w:tcPr>
            <w:tcW w:w="2340" w:type="dxa"/>
            <w:gridSpan w:val="3"/>
            <w:noWrap w:val="0"/>
            <w:vAlign w:val="center"/>
          </w:tcPr>
          <w:p w14:paraId="015BD626">
            <w:pPr>
              <w:rPr>
                <w:rFonts w:hint="eastAsia" w:ascii="宋体" w:hAnsi="宋体"/>
                <w:szCs w:val="21"/>
              </w:rPr>
            </w:pPr>
            <w:r>
              <w:rPr>
                <w:rFonts w:hint="eastAsia" w:ascii="宋体" w:hAnsi="宋体"/>
                <w:szCs w:val="21"/>
              </w:rPr>
              <w:t>投标人名称</w:t>
            </w:r>
          </w:p>
        </w:tc>
        <w:tc>
          <w:tcPr>
            <w:tcW w:w="5040" w:type="dxa"/>
            <w:gridSpan w:val="2"/>
            <w:noWrap w:val="0"/>
            <w:vAlign w:val="center"/>
          </w:tcPr>
          <w:p w14:paraId="01A86D9B">
            <w:pPr>
              <w:rPr>
                <w:rFonts w:hint="eastAsia" w:ascii="宋体" w:hAnsi="宋体"/>
                <w:szCs w:val="21"/>
              </w:rPr>
            </w:pPr>
            <w:r>
              <w:rPr>
                <w:rFonts w:hint="eastAsia" w:ascii="宋体" w:hAnsi="宋体"/>
                <w:szCs w:val="21"/>
              </w:rPr>
              <w:t>与营业执照、资质证书、安全生产许可证一致</w:t>
            </w:r>
          </w:p>
        </w:tc>
      </w:tr>
      <w:tr w14:paraId="078C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41" w:type="dxa"/>
            <w:vMerge w:val="continue"/>
            <w:noWrap w:val="0"/>
            <w:vAlign w:val="center"/>
          </w:tcPr>
          <w:p w14:paraId="119A2D43">
            <w:pPr>
              <w:jc w:val="center"/>
              <w:rPr>
                <w:rFonts w:hint="eastAsia" w:ascii="宋体" w:hAnsi="宋体"/>
                <w:szCs w:val="21"/>
              </w:rPr>
            </w:pPr>
          </w:p>
        </w:tc>
        <w:tc>
          <w:tcPr>
            <w:tcW w:w="1059" w:type="dxa"/>
            <w:vMerge w:val="continue"/>
            <w:noWrap w:val="0"/>
            <w:vAlign w:val="center"/>
          </w:tcPr>
          <w:p w14:paraId="6F2B1AF7">
            <w:pPr>
              <w:jc w:val="center"/>
              <w:rPr>
                <w:rFonts w:hint="eastAsia" w:ascii="宋体" w:hAnsi="宋体"/>
                <w:szCs w:val="21"/>
              </w:rPr>
            </w:pPr>
          </w:p>
        </w:tc>
        <w:tc>
          <w:tcPr>
            <w:tcW w:w="2340" w:type="dxa"/>
            <w:gridSpan w:val="3"/>
            <w:noWrap w:val="0"/>
            <w:vAlign w:val="center"/>
          </w:tcPr>
          <w:p w14:paraId="0564ABC5">
            <w:pPr>
              <w:rPr>
                <w:rFonts w:hint="eastAsia" w:ascii="宋体" w:hAnsi="宋体"/>
                <w:szCs w:val="21"/>
              </w:rPr>
            </w:pPr>
            <w:r>
              <w:rPr>
                <w:rFonts w:hint="eastAsia" w:ascii="宋体" w:hAnsi="宋体"/>
                <w:szCs w:val="21"/>
              </w:rPr>
              <w:t>投标文件签字盖章</w:t>
            </w:r>
          </w:p>
        </w:tc>
        <w:tc>
          <w:tcPr>
            <w:tcW w:w="5040" w:type="dxa"/>
            <w:gridSpan w:val="2"/>
            <w:noWrap w:val="0"/>
            <w:vAlign w:val="center"/>
          </w:tcPr>
          <w:p w14:paraId="5F825BB5">
            <w:pPr>
              <w:rPr>
                <w:rFonts w:hint="eastAsia" w:ascii="宋体" w:hAnsi="宋体"/>
                <w:szCs w:val="21"/>
              </w:rPr>
            </w:pPr>
            <w:r>
              <w:rPr>
                <w:rFonts w:hint="eastAsia" w:ascii="宋体" w:hAnsi="宋体"/>
                <w:szCs w:val="21"/>
              </w:rPr>
              <w:t>符合第二章“投标人须知”</w:t>
            </w:r>
            <w:r>
              <w:rPr>
                <w:rFonts w:hint="eastAsia"/>
                <w:szCs w:val="21"/>
              </w:rPr>
              <w:t>第3.7.3（5）</w:t>
            </w:r>
            <w:r>
              <w:rPr>
                <w:rFonts w:hint="eastAsia" w:ascii="宋体" w:hAnsi="宋体"/>
                <w:szCs w:val="21"/>
              </w:rPr>
              <w:t>目规定</w:t>
            </w:r>
          </w:p>
        </w:tc>
      </w:tr>
      <w:tr w14:paraId="3CFD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5891C182">
            <w:pPr>
              <w:jc w:val="center"/>
              <w:rPr>
                <w:rFonts w:hint="eastAsia" w:ascii="宋体" w:hAnsi="宋体"/>
                <w:szCs w:val="21"/>
              </w:rPr>
            </w:pPr>
          </w:p>
        </w:tc>
        <w:tc>
          <w:tcPr>
            <w:tcW w:w="1059" w:type="dxa"/>
            <w:vMerge w:val="continue"/>
            <w:noWrap w:val="0"/>
            <w:vAlign w:val="center"/>
          </w:tcPr>
          <w:p w14:paraId="68EC8ED1">
            <w:pPr>
              <w:jc w:val="center"/>
              <w:rPr>
                <w:rFonts w:hint="eastAsia" w:ascii="宋体" w:hAnsi="宋体"/>
                <w:szCs w:val="21"/>
              </w:rPr>
            </w:pPr>
          </w:p>
        </w:tc>
        <w:tc>
          <w:tcPr>
            <w:tcW w:w="2340" w:type="dxa"/>
            <w:gridSpan w:val="3"/>
            <w:noWrap w:val="0"/>
            <w:vAlign w:val="center"/>
          </w:tcPr>
          <w:p w14:paraId="08B8C9DB">
            <w:pPr>
              <w:rPr>
                <w:rFonts w:hint="eastAsia" w:ascii="宋体" w:hAnsi="宋体"/>
                <w:szCs w:val="21"/>
              </w:rPr>
            </w:pPr>
            <w:r>
              <w:rPr>
                <w:rFonts w:hint="eastAsia" w:ascii="宋体" w:hAnsi="宋体"/>
                <w:szCs w:val="21"/>
              </w:rPr>
              <w:t>投标文件格式、内容</w:t>
            </w:r>
          </w:p>
        </w:tc>
        <w:tc>
          <w:tcPr>
            <w:tcW w:w="5040" w:type="dxa"/>
            <w:gridSpan w:val="2"/>
            <w:noWrap w:val="0"/>
            <w:vAlign w:val="center"/>
          </w:tcPr>
          <w:p w14:paraId="4BDA6CB3">
            <w:pPr>
              <w:rPr>
                <w:rFonts w:hint="eastAsia" w:ascii="宋体" w:hAnsi="宋体"/>
                <w:szCs w:val="21"/>
              </w:rPr>
            </w:pPr>
            <w:r>
              <w:rPr>
                <w:rFonts w:hint="eastAsia" w:ascii="宋体" w:hAnsi="宋体"/>
                <w:szCs w:val="21"/>
              </w:rPr>
              <w:t>符合第八章“投标文件格式”的要求，</w:t>
            </w:r>
            <w:r>
              <w:rPr>
                <w:rFonts w:ascii="宋体" w:hAnsi="宋体"/>
                <w:szCs w:val="21"/>
              </w:rPr>
              <w:t>实质性内容齐全、关键字迹清晰可辨</w:t>
            </w:r>
          </w:p>
        </w:tc>
      </w:tr>
      <w:tr w14:paraId="1B1BB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C12C933">
            <w:pPr>
              <w:jc w:val="center"/>
              <w:rPr>
                <w:rFonts w:hint="eastAsia" w:ascii="宋体" w:hAnsi="宋体"/>
                <w:szCs w:val="21"/>
              </w:rPr>
            </w:pPr>
          </w:p>
        </w:tc>
        <w:tc>
          <w:tcPr>
            <w:tcW w:w="1059" w:type="dxa"/>
            <w:vMerge w:val="continue"/>
            <w:noWrap w:val="0"/>
            <w:vAlign w:val="center"/>
          </w:tcPr>
          <w:p w14:paraId="5C019680">
            <w:pPr>
              <w:jc w:val="center"/>
              <w:rPr>
                <w:rFonts w:hint="eastAsia" w:ascii="宋体" w:hAnsi="宋体"/>
                <w:szCs w:val="21"/>
              </w:rPr>
            </w:pPr>
          </w:p>
        </w:tc>
        <w:tc>
          <w:tcPr>
            <w:tcW w:w="2340" w:type="dxa"/>
            <w:gridSpan w:val="3"/>
            <w:noWrap w:val="0"/>
            <w:vAlign w:val="center"/>
          </w:tcPr>
          <w:p w14:paraId="67008D7C">
            <w:pPr>
              <w:rPr>
                <w:rFonts w:hint="eastAsia" w:ascii="宋体" w:hAnsi="宋体"/>
                <w:szCs w:val="21"/>
              </w:rPr>
            </w:pPr>
            <w:r>
              <w:rPr>
                <w:rFonts w:hint="eastAsia" w:ascii="宋体" w:hAnsi="宋体"/>
                <w:szCs w:val="21"/>
              </w:rPr>
              <w:t>联合体投标人（如有）</w:t>
            </w:r>
          </w:p>
        </w:tc>
        <w:tc>
          <w:tcPr>
            <w:tcW w:w="5040" w:type="dxa"/>
            <w:gridSpan w:val="2"/>
            <w:noWrap w:val="0"/>
            <w:vAlign w:val="center"/>
          </w:tcPr>
          <w:p w14:paraId="2166A9DE">
            <w:pPr>
              <w:rPr>
                <w:rFonts w:hint="eastAsia" w:ascii="宋体" w:hAnsi="宋体"/>
                <w:szCs w:val="21"/>
              </w:rPr>
            </w:pPr>
            <w:r>
              <w:rPr>
                <w:rFonts w:hint="eastAsia" w:ascii="宋体" w:hAnsi="宋体"/>
                <w:szCs w:val="21"/>
              </w:rPr>
              <w:t>提交联合体协议书，并明确联合体牵头人</w:t>
            </w:r>
          </w:p>
        </w:tc>
      </w:tr>
      <w:tr w14:paraId="47B59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71D6A7D">
            <w:pPr>
              <w:jc w:val="center"/>
              <w:rPr>
                <w:rFonts w:hint="eastAsia" w:ascii="宋体" w:hAnsi="宋体"/>
                <w:szCs w:val="21"/>
              </w:rPr>
            </w:pPr>
          </w:p>
        </w:tc>
        <w:tc>
          <w:tcPr>
            <w:tcW w:w="1059" w:type="dxa"/>
            <w:vMerge w:val="continue"/>
            <w:noWrap w:val="0"/>
            <w:vAlign w:val="center"/>
          </w:tcPr>
          <w:p w14:paraId="690B2396">
            <w:pPr>
              <w:jc w:val="center"/>
              <w:rPr>
                <w:rFonts w:hint="eastAsia" w:ascii="宋体" w:hAnsi="宋体"/>
                <w:szCs w:val="21"/>
              </w:rPr>
            </w:pPr>
          </w:p>
        </w:tc>
        <w:tc>
          <w:tcPr>
            <w:tcW w:w="2340" w:type="dxa"/>
            <w:gridSpan w:val="3"/>
            <w:noWrap w:val="0"/>
            <w:vAlign w:val="center"/>
          </w:tcPr>
          <w:p w14:paraId="10A556B1">
            <w:pPr>
              <w:rPr>
                <w:rFonts w:hint="eastAsia" w:ascii="宋体" w:hAnsi="宋体"/>
                <w:szCs w:val="21"/>
              </w:rPr>
            </w:pPr>
            <w:r>
              <w:rPr>
                <w:rFonts w:hint="eastAsia" w:ascii="宋体" w:hAnsi="宋体"/>
                <w:szCs w:val="21"/>
              </w:rPr>
              <w:t>报价唯一</w:t>
            </w:r>
          </w:p>
        </w:tc>
        <w:tc>
          <w:tcPr>
            <w:tcW w:w="5040" w:type="dxa"/>
            <w:gridSpan w:val="2"/>
            <w:noWrap w:val="0"/>
            <w:vAlign w:val="center"/>
          </w:tcPr>
          <w:p w14:paraId="032DE52B">
            <w:pPr>
              <w:rPr>
                <w:rFonts w:hint="eastAsia" w:ascii="宋体" w:hAnsi="宋体"/>
                <w:szCs w:val="21"/>
              </w:rPr>
            </w:pPr>
            <w:r>
              <w:rPr>
                <w:rFonts w:hint="eastAsia" w:ascii="宋体" w:hAnsi="宋体"/>
                <w:szCs w:val="21"/>
              </w:rPr>
              <w:t>只能有一个有效报价（指投标函中的大写报价）</w:t>
            </w:r>
          </w:p>
        </w:tc>
      </w:tr>
      <w:tr w14:paraId="0765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48E0BEA6">
            <w:pPr>
              <w:jc w:val="center"/>
              <w:rPr>
                <w:rFonts w:hint="eastAsia" w:ascii="宋体" w:hAnsi="宋体"/>
                <w:szCs w:val="21"/>
              </w:rPr>
            </w:pPr>
          </w:p>
        </w:tc>
        <w:tc>
          <w:tcPr>
            <w:tcW w:w="1059" w:type="dxa"/>
            <w:vMerge w:val="continue"/>
            <w:noWrap w:val="0"/>
            <w:vAlign w:val="center"/>
          </w:tcPr>
          <w:p w14:paraId="45D34CD8">
            <w:pPr>
              <w:jc w:val="center"/>
              <w:rPr>
                <w:rFonts w:hint="eastAsia" w:ascii="宋体" w:hAnsi="宋体"/>
                <w:szCs w:val="21"/>
              </w:rPr>
            </w:pPr>
          </w:p>
        </w:tc>
        <w:tc>
          <w:tcPr>
            <w:tcW w:w="2340" w:type="dxa"/>
            <w:gridSpan w:val="3"/>
            <w:noWrap w:val="0"/>
            <w:vAlign w:val="center"/>
          </w:tcPr>
          <w:p w14:paraId="118D7ACC">
            <w:pPr>
              <w:spacing w:line="440" w:lineRule="exact"/>
              <w:rPr>
                <w:rFonts w:hint="eastAsia"/>
                <w:szCs w:val="21"/>
              </w:rPr>
            </w:pPr>
            <w:r>
              <w:rPr>
                <w:rFonts w:hint="eastAsia"/>
                <w:szCs w:val="21"/>
              </w:rPr>
              <w:t>多标段投标</w:t>
            </w:r>
          </w:p>
        </w:tc>
        <w:tc>
          <w:tcPr>
            <w:tcW w:w="5040" w:type="dxa"/>
            <w:gridSpan w:val="2"/>
            <w:noWrap w:val="0"/>
            <w:vAlign w:val="center"/>
          </w:tcPr>
          <w:p w14:paraId="3657623A">
            <w:pPr>
              <w:spacing w:line="440" w:lineRule="exact"/>
              <w:rPr>
                <w:rFonts w:hint="eastAsia"/>
                <w:szCs w:val="21"/>
              </w:rPr>
            </w:pPr>
            <w:r>
              <w:rPr>
                <w:rFonts w:hint="eastAsia"/>
                <w:szCs w:val="21"/>
              </w:rPr>
              <w:t>符合第二章“投标人须知”第10.1款规定</w:t>
            </w:r>
          </w:p>
        </w:tc>
      </w:tr>
      <w:tr w14:paraId="75E1E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37DCD16">
            <w:pPr>
              <w:jc w:val="center"/>
              <w:rPr>
                <w:rFonts w:hint="eastAsia" w:ascii="宋体" w:hAnsi="宋体"/>
                <w:szCs w:val="21"/>
              </w:rPr>
            </w:pPr>
          </w:p>
        </w:tc>
        <w:tc>
          <w:tcPr>
            <w:tcW w:w="1059" w:type="dxa"/>
            <w:vMerge w:val="continue"/>
            <w:noWrap w:val="0"/>
            <w:vAlign w:val="center"/>
          </w:tcPr>
          <w:p w14:paraId="6B4C6A5F">
            <w:pPr>
              <w:jc w:val="center"/>
              <w:rPr>
                <w:rFonts w:hint="eastAsia" w:ascii="宋体" w:hAnsi="宋体"/>
                <w:szCs w:val="21"/>
              </w:rPr>
            </w:pPr>
          </w:p>
        </w:tc>
        <w:tc>
          <w:tcPr>
            <w:tcW w:w="2340" w:type="dxa"/>
            <w:gridSpan w:val="3"/>
            <w:noWrap w:val="0"/>
            <w:vAlign w:val="center"/>
          </w:tcPr>
          <w:p w14:paraId="481BB3AC">
            <w:pPr>
              <w:rPr>
                <w:rFonts w:hint="eastAsia" w:ascii="宋体" w:hAnsi="宋体"/>
                <w:szCs w:val="21"/>
              </w:rPr>
            </w:pPr>
            <w:r>
              <w:rPr>
                <w:rFonts w:hint="eastAsia"/>
                <w:szCs w:val="21"/>
              </w:rPr>
              <w:t>“技术</w:t>
            </w:r>
            <w:r>
              <w:rPr>
                <w:rFonts w:ascii="宋体" w:hAnsi="宋体"/>
                <w:szCs w:val="21"/>
              </w:rPr>
              <w:t>暗标</w:t>
            </w:r>
            <w:r>
              <w:rPr>
                <w:rFonts w:hint="eastAsia" w:ascii="宋体" w:hAnsi="宋体"/>
                <w:szCs w:val="21"/>
              </w:rPr>
              <w:t>”</w:t>
            </w:r>
          </w:p>
        </w:tc>
        <w:tc>
          <w:tcPr>
            <w:tcW w:w="5040" w:type="dxa"/>
            <w:gridSpan w:val="2"/>
            <w:noWrap w:val="0"/>
            <w:vAlign w:val="center"/>
          </w:tcPr>
          <w:p w14:paraId="727F63F5">
            <w:pPr>
              <w:rPr>
                <w:rFonts w:hint="eastAsia" w:ascii="宋体" w:hAnsi="宋体"/>
                <w:szCs w:val="21"/>
              </w:rPr>
            </w:pPr>
            <w:r>
              <w:rPr>
                <w:rFonts w:hint="eastAsia" w:ascii="宋体" w:hAnsi="宋体"/>
                <w:szCs w:val="21"/>
              </w:rPr>
              <w:t>符合</w:t>
            </w:r>
            <w:r>
              <w:rPr>
                <w:rFonts w:hint="eastAsia"/>
                <w:szCs w:val="21"/>
              </w:rPr>
              <w:t>第二章“投标人须知”第</w:t>
            </w:r>
            <w:r>
              <w:rPr>
                <w:rFonts w:hint="eastAsia"/>
              </w:rPr>
              <w:t>3.7.4（5）</w:t>
            </w:r>
            <w:r>
              <w:rPr>
                <w:rFonts w:hint="eastAsia"/>
                <w:szCs w:val="21"/>
              </w:rPr>
              <w:t>目规定</w:t>
            </w:r>
          </w:p>
        </w:tc>
      </w:tr>
      <w:tr w14:paraId="4B15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6EB6FA91">
            <w:pPr>
              <w:spacing w:line="440" w:lineRule="exact"/>
              <w:jc w:val="center"/>
              <w:rPr>
                <w:rFonts w:hint="eastAsia"/>
                <w:szCs w:val="21"/>
              </w:rPr>
            </w:pPr>
            <w:r>
              <w:rPr>
                <w:rFonts w:hint="eastAsia"/>
                <w:szCs w:val="21"/>
              </w:rPr>
              <w:t>2.1.2</w:t>
            </w:r>
          </w:p>
        </w:tc>
        <w:tc>
          <w:tcPr>
            <w:tcW w:w="1059" w:type="dxa"/>
            <w:vMerge w:val="restart"/>
            <w:noWrap w:val="0"/>
            <w:vAlign w:val="center"/>
          </w:tcPr>
          <w:p w14:paraId="1EF0780E">
            <w:pPr>
              <w:jc w:val="center"/>
              <w:rPr>
                <w:rFonts w:hint="eastAsia" w:ascii="宋体" w:hAnsi="宋体"/>
                <w:szCs w:val="21"/>
              </w:rPr>
            </w:pPr>
            <w:r>
              <w:rPr>
                <w:rFonts w:hint="eastAsia" w:ascii="宋体" w:hAnsi="宋体"/>
                <w:szCs w:val="21"/>
              </w:rPr>
              <w:t>资格</w:t>
            </w:r>
          </w:p>
          <w:p w14:paraId="2723667F">
            <w:pPr>
              <w:jc w:val="center"/>
              <w:rPr>
                <w:rFonts w:hint="eastAsia" w:ascii="宋体" w:hAnsi="宋体"/>
                <w:szCs w:val="21"/>
              </w:rPr>
            </w:pPr>
            <w:r>
              <w:rPr>
                <w:rFonts w:hint="eastAsia" w:ascii="宋体" w:hAnsi="宋体"/>
                <w:szCs w:val="21"/>
              </w:rPr>
              <w:t>评审</w:t>
            </w:r>
          </w:p>
          <w:p w14:paraId="29439109">
            <w:pPr>
              <w:jc w:val="center"/>
              <w:rPr>
                <w:rFonts w:hint="eastAsia" w:ascii="宋体" w:hAnsi="宋体"/>
                <w:szCs w:val="21"/>
              </w:rPr>
            </w:pPr>
            <w:r>
              <w:rPr>
                <w:rFonts w:hint="eastAsia" w:ascii="宋体" w:hAnsi="宋体"/>
                <w:szCs w:val="21"/>
              </w:rPr>
              <w:t>标准</w:t>
            </w:r>
          </w:p>
          <w:p w14:paraId="559FA908">
            <w:pPr>
              <w:jc w:val="center"/>
              <w:rPr>
                <w:rFonts w:hint="eastAsia" w:ascii="宋体" w:hAnsi="宋体"/>
                <w:szCs w:val="21"/>
              </w:rPr>
            </w:pPr>
            <w:r>
              <w:rPr>
                <w:rFonts w:hint="eastAsia" w:ascii="宋体" w:hAnsi="宋体"/>
                <w:szCs w:val="21"/>
              </w:rPr>
              <w:t>﹙后审﹚</w:t>
            </w:r>
          </w:p>
        </w:tc>
        <w:tc>
          <w:tcPr>
            <w:tcW w:w="2340" w:type="dxa"/>
            <w:gridSpan w:val="3"/>
            <w:noWrap w:val="0"/>
            <w:vAlign w:val="center"/>
          </w:tcPr>
          <w:p w14:paraId="7105744B">
            <w:pPr>
              <w:rPr>
                <w:rFonts w:hint="eastAsia" w:ascii="宋体" w:hAnsi="宋体"/>
                <w:szCs w:val="21"/>
              </w:rPr>
            </w:pPr>
            <w:r>
              <w:rPr>
                <w:rFonts w:hint="eastAsia" w:ascii="宋体" w:hAnsi="宋体"/>
                <w:szCs w:val="21"/>
              </w:rPr>
              <w:t>营业执照</w:t>
            </w:r>
          </w:p>
        </w:tc>
        <w:tc>
          <w:tcPr>
            <w:tcW w:w="5040" w:type="dxa"/>
            <w:gridSpan w:val="2"/>
            <w:noWrap w:val="0"/>
            <w:vAlign w:val="center"/>
          </w:tcPr>
          <w:p w14:paraId="681A39CB">
            <w:pPr>
              <w:rPr>
                <w:rFonts w:hint="eastAsia" w:ascii="宋体" w:hAnsi="宋体"/>
                <w:szCs w:val="21"/>
              </w:rPr>
            </w:pPr>
            <w:r>
              <w:rPr>
                <w:rFonts w:hint="eastAsia" w:ascii="宋体" w:hAnsi="宋体"/>
                <w:szCs w:val="21"/>
              </w:rPr>
              <w:t>具备有效的营业执照</w:t>
            </w:r>
          </w:p>
        </w:tc>
      </w:tr>
      <w:tr w14:paraId="0ABE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73C6CEF0">
            <w:pPr>
              <w:jc w:val="center"/>
              <w:rPr>
                <w:rFonts w:hint="eastAsia" w:ascii="宋体" w:hAnsi="宋体"/>
                <w:szCs w:val="21"/>
              </w:rPr>
            </w:pPr>
          </w:p>
        </w:tc>
        <w:tc>
          <w:tcPr>
            <w:tcW w:w="1059" w:type="dxa"/>
            <w:vMerge w:val="continue"/>
            <w:noWrap w:val="0"/>
            <w:vAlign w:val="center"/>
          </w:tcPr>
          <w:p w14:paraId="5AF3BC04">
            <w:pPr>
              <w:jc w:val="center"/>
              <w:rPr>
                <w:rFonts w:hint="eastAsia" w:ascii="宋体" w:hAnsi="宋体"/>
                <w:szCs w:val="21"/>
              </w:rPr>
            </w:pPr>
          </w:p>
        </w:tc>
        <w:tc>
          <w:tcPr>
            <w:tcW w:w="2340" w:type="dxa"/>
            <w:gridSpan w:val="3"/>
            <w:noWrap w:val="0"/>
            <w:vAlign w:val="center"/>
          </w:tcPr>
          <w:p w14:paraId="334282EA">
            <w:pPr>
              <w:rPr>
                <w:rFonts w:hint="eastAsia" w:ascii="宋体" w:hAnsi="宋体"/>
                <w:szCs w:val="21"/>
              </w:rPr>
            </w:pPr>
            <w:r>
              <w:rPr>
                <w:rFonts w:hint="eastAsia" w:ascii="宋体" w:hAnsi="宋体"/>
                <w:szCs w:val="21"/>
              </w:rPr>
              <w:t>安全生产许可证</w:t>
            </w:r>
          </w:p>
        </w:tc>
        <w:tc>
          <w:tcPr>
            <w:tcW w:w="5040" w:type="dxa"/>
            <w:gridSpan w:val="2"/>
            <w:noWrap w:val="0"/>
            <w:vAlign w:val="center"/>
          </w:tcPr>
          <w:p w14:paraId="12732BBF">
            <w:pPr>
              <w:rPr>
                <w:rFonts w:hint="eastAsia" w:ascii="宋体" w:hAnsi="宋体"/>
                <w:szCs w:val="21"/>
              </w:rPr>
            </w:pPr>
            <w:r>
              <w:rPr>
                <w:rFonts w:hint="eastAsia" w:ascii="宋体" w:hAnsi="宋体"/>
                <w:szCs w:val="21"/>
              </w:rPr>
              <w:t>具备有效的安全生产许可证</w:t>
            </w:r>
          </w:p>
        </w:tc>
      </w:tr>
      <w:tr w14:paraId="6E63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9D4F893">
            <w:pPr>
              <w:jc w:val="center"/>
              <w:rPr>
                <w:rFonts w:hint="eastAsia" w:ascii="宋体" w:hAnsi="宋体"/>
                <w:szCs w:val="21"/>
              </w:rPr>
            </w:pPr>
          </w:p>
        </w:tc>
        <w:tc>
          <w:tcPr>
            <w:tcW w:w="1059" w:type="dxa"/>
            <w:vMerge w:val="continue"/>
            <w:noWrap w:val="0"/>
            <w:vAlign w:val="center"/>
          </w:tcPr>
          <w:p w14:paraId="0612B61F">
            <w:pPr>
              <w:jc w:val="center"/>
              <w:rPr>
                <w:rFonts w:hint="eastAsia" w:ascii="宋体" w:hAnsi="宋体"/>
                <w:szCs w:val="21"/>
              </w:rPr>
            </w:pPr>
          </w:p>
        </w:tc>
        <w:tc>
          <w:tcPr>
            <w:tcW w:w="2340" w:type="dxa"/>
            <w:gridSpan w:val="3"/>
            <w:noWrap w:val="0"/>
            <w:vAlign w:val="center"/>
          </w:tcPr>
          <w:p w14:paraId="70C16689">
            <w:pPr>
              <w:rPr>
                <w:rFonts w:hint="eastAsia" w:ascii="宋体" w:hAnsi="宋体"/>
                <w:szCs w:val="21"/>
              </w:rPr>
            </w:pPr>
            <w:r>
              <w:rPr>
                <w:rFonts w:hint="eastAsia" w:ascii="宋体" w:hAnsi="宋体"/>
                <w:szCs w:val="21"/>
              </w:rPr>
              <w:t>资质等级</w:t>
            </w:r>
          </w:p>
        </w:tc>
        <w:tc>
          <w:tcPr>
            <w:tcW w:w="5040" w:type="dxa"/>
            <w:gridSpan w:val="2"/>
            <w:noWrap w:val="0"/>
            <w:vAlign w:val="center"/>
          </w:tcPr>
          <w:p w14:paraId="31B524AA">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67382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09CB78E">
            <w:pPr>
              <w:jc w:val="center"/>
              <w:rPr>
                <w:rFonts w:hint="eastAsia" w:ascii="宋体" w:hAnsi="宋体"/>
                <w:szCs w:val="21"/>
              </w:rPr>
            </w:pPr>
          </w:p>
        </w:tc>
        <w:tc>
          <w:tcPr>
            <w:tcW w:w="1059" w:type="dxa"/>
            <w:vMerge w:val="continue"/>
            <w:noWrap w:val="0"/>
            <w:vAlign w:val="center"/>
          </w:tcPr>
          <w:p w14:paraId="58B88645">
            <w:pPr>
              <w:jc w:val="center"/>
              <w:rPr>
                <w:rFonts w:hint="eastAsia" w:ascii="宋体" w:hAnsi="宋体"/>
                <w:szCs w:val="21"/>
              </w:rPr>
            </w:pPr>
          </w:p>
        </w:tc>
        <w:tc>
          <w:tcPr>
            <w:tcW w:w="2340" w:type="dxa"/>
            <w:gridSpan w:val="3"/>
            <w:noWrap w:val="0"/>
            <w:vAlign w:val="center"/>
          </w:tcPr>
          <w:p w14:paraId="30BDA756">
            <w:pPr>
              <w:rPr>
                <w:rFonts w:hint="eastAsia" w:ascii="宋体" w:hAnsi="宋体"/>
                <w:szCs w:val="21"/>
              </w:rPr>
            </w:pPr>
            <w:r>
              <w:rPr>
                <w:rFonts w:hint="eastAsia" w:ascii="宋体" w:hAnsi="宋体"/>
                <w:szCs w:val="21"/>
              </w:rPr>
              <w:t>财务状况</w:t>
            </w:r>
          </w:p>
        </w:tc>
        <w:tc>
          <w:tcPr>
            <w:tcW w:w="5040" w:type="dxa"/>
            <w:gridSpan w:val="2"/>
            <w:noWrap w:val="0"/>
            <w:vAlign w:val="center"/>
          </w:tcPr>
          <w:p w14:paraId="4EE6D7BD">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2764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D3B0581">
            <w:pPr>
              <w:jc w:val="center"/>
              <w:rPr>
                <w:rFonts w:hint="eastAsia" w:ascii="宋体" w:hAnsi="宋体"/>
                <w:szCs w:val="21"/>
              </w:rPr>
            </w:pPr>
          </w:p>
        </w:tc>
        <w:tc>
          <w:tcPr>
            <w:tcW w:w="1059" w:type="dxa"/>
            <w:vMerge w:val="continue"/>
            <w:noWrap w:val="0"/>
            <w:vAlign w:val="center"/>
          </w:tcPr>
          <w:p w14:paraId="3C9F21C3">
            <w:pPr>
              <w:jc w:val="center"/>
              <w:rPr>
                <w:rFonts w:hint="eastAsia" w:ascii="宋体" w:hAnsi="宋体"/>
                <w:szCs w:val="21"/>
              </w:rPr>
            </w:pPr>
          </w:p>
        </w:tc>
        <w:tc>
          <w:tcPr>
            <w:tcW w:w="2340" w:type="dxa"/>
            <w:gridSpan w:val="3"/>
            <w:noWrap w:val="0"/>
            <w:vAlign w:val="center"/>
          </w:tcPr>
          <w:p w14:paraId="37CF37A9">
            <w:pPr>
              <w:rPr>
                <w:rFonts w:hint="eastAsia" w:ascii="宋体" w:hAnsi="宋体"/>
                <w:szCs w:val="21"/>
              </w:rPr>
            </w:pPr>
            <w:r>
              <w:rPr>
                <w:rFonts w:hint="eastAsia" w:ascii="宋体" w:hAnsi="宋体"/>
                <w:szCs w:val="21"/>
              </w:rPr>
              <w:t>类似项目业绩</w:t>
            </w:r>
          </w:p>
        </w:tc>
        <w:tc>
          <w:tcPr>
            <w:tcW w:w="5040" w:type="dxa"/>
            <w:gridSpan w:val="2"/>
            <w:noWrap w:val="0"/>
            <w:vAlign w:val="center"/>
          </w:tcPr>
          <w:p w14:paraId="29883872">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03C2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32E60966">
            <w:pPr>
              <w:jc w:val="center"/>
              <w:rPr>
                <w:rFonts w:hint="eastAsia" w:ascii="宋体" w:hAnsi="宋体"/>
                <w:szCs w:val="21"/>
              </w:rPr>
            </w:pPr>
          </w:p>
        </w:tc>
        <w:tc>
          <w:tcPr>
            <w:tcW w:w="1059" w:type="dxa"/>
            <w:vMerge w:val="continue"/>
            <w:noWrap w:val="0"/>
            <w:vAlign w:val="center"/>
          </w:tcPr>
          <w:p w14:paraId="34D179B4">
            <w:pPr>
              <w:jc w:val="center"/>
              <w:rPr>
                <w:rFonts w:hint="eastAsia" w:ascii="宋体" w:hAnsi="宋体"/>
                <w:szCs w:val="21"/>
              </w:rPr>
            </w:pPr>
          </w:p>
        </w:tc>
        <w:tc>
          <w:tcPr>
            <w:tcW w:w="2340" w:type="dxa"/>
            <w:gridSpan w:val="3"/>
            <w:noWrap w:val="0"/>
            <w:vAlign w:val="center"/>
          </w:tcPr>
          <w:p w14:paraId="4E65B8B4">
            <w:pPr>
              <w:rPr>
                <w:rFonts w:hint="eastAsia" w:ascii="宋体" w:hAnsi="宋体"/>
                <w:szCs w:val="21"/>
              </w:rPr>
            </w:pPr>
            <w:r>
              <w:rPr>
                <w:rFonts w:hint="eastAsia" w:ascii="宋体" w:hAnsi="宋体"/>
                <w:szCs w:val="21"/>
              </w:rPr>
              <w:t>信誉</w:t>
            </w:r>
          </w:p>
        </w:tc>
        <w:tc>
          <w:tcPr>
            <w:tcW w:w="5040" w:type="dxa"/>
            <w:gridSpan w:val="2"/>
            <w:noWrap w:val="0"/>
            <w:vAlign w:val="center"/>
          </w:tcPr>
          <w:p w14:paraId="2C875841">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0C86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75F4FC38">
            <w:pPr>
              <w:jc w:val="center"/>
              <w:rPr>
                <w:rFonts w:hint="eastAsia" w:ascii="宋体" w:hAnsi="宋体"/>
                <w:szCs w:val="21"/>
              </w:rPr>
            </w:pPr>
          </w:p>
        </w:tc>
        <w:tc>
          <w:tcPr>
            <w:tcW w:w="1059" w:type="dxa"/>
            <w:vMerge w:val="continue"/>
            <w:noWrap w:val="0"/>
            <w:vAlign w:val="center"/>
          </w:tcPr>
          <w:p w14:paraId="3F003FB2">
            <w:pPr>
              <w:jc w:val="center"/>
              <w:rPr>
                <w:rFonts w:hint="eastAsia" w:ascii="宋体" w:hAnsi="宋体"/>
                <w:szCs w:val="21"/>
              </w:rPr>
            </w:pPr>
          </w:p>
        </w:tc>
        <w:tc>
          <w:tcPr>
            <w:tcW w:w="2340" w:type="dxa"/>
            <w:gridSpan w:val="3"/>
            <w:noWrap w:val="0"/>
            <w:vAlign w:val="center"/>
          </w:tcPr>
          <w:p w14:paraId="23FD9DB1">
            <w:pPr>
              <w:rPr>
                <w:rFonts w:hint="eastAsia" w:ascii="宋体" w:hAnsi="宋体"/>
                <w:szCs w:val="21"/>
              </w:rPr>
            </w:pPr>
            <w:r>
              <w:rPr>
                <w:rFonts w:hint="eastAsia" w:ascii="宋体" w:hAnsi="宋体"/>
                <w:szCs w:val="21"/>
              </w:rPr>
              <w:t>项目经理</w:t>
            </w:r>
            <w:r>
              <w:rPr>
                <w:rFonts w:hint="eastAsia"/>
              </w:rPr>
              <w:t>资格</w:t>
            </w:r>
          </w:p>
        </w:tc>
        <w:tc>
          <w:tcPr>
            <w:tcW w:w="5040" w:type="dxa"/>
            <w:gridSpan w:val="2"/>
            <w:noWrap w:val="0"/>
            <w:vAlign w:val="center"/>
          </w:tcPr>
          <w:p w14:paraId="01E9DB3E">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7C37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99772F1">
            <w:pPr>
              <w:jc w:val="center"/>
              <w:rPr>
                <w:rFonts w:hint="eastAsia" w:ascii="宋体" w:hAnsi="宋体"/>
                <w:szCs w:val="21"/>
              </w:rPr>
            </w:pPr>
          </w:p>
        </w:tc>
        <w:tc>
          <w:tcPr>
            <w:tcW w:w="1059" w:type="dxa"/>
            <w:vMerge w:val="continue"/>
            <w:noWrap w:val="0"/>
            <w:vAlign w:val="center"/>
          </w:tcPr>
          <w:p w14:paraId="55E5BB95">
            <w:pPr>
              <w:jc w:val="center"/>
              <w:rPr>
                <w:rFonts w:hint="eastAsia" w:ascii="宋体" w:hAnsi="宋体"/>
                <w:szCs w:val="21"/>
              </w:rPr>
            </w:pPr>
          </w:p>
        </w:tc>
        <w:tc>
          <w:tcPr>
            <w:tcW w:w="2340" w:type="dxa"/>
            <w:gridSpan w:val="3"/>
            <w:noWrap w:val="0"/>
            <w:vAlign w:val="center"/>
          </w:tcPr>
          <w:p w14:paraId="2E736D42">
            <w:pPr>
              <w:rPr>
                <w:rFonts w:hint="eastAsia" w:ascii="宋体" w:hAnsi="宋体"/>
                <w:szCs w:val="21"/>
              </w:rPr>
            </w:pPr>
            <w:r>
              <w:rPr>
                <w:rFonts w:hint="eastAsia" w:ascii="宋体" w:hAnsi="宋体"/>
                <w:szCs w:val="21"/>
              </w:rPr>
              <w:t>其他要求</w:t>
            </w:r>
          </w:p>
        </w:tc>
        <w:tc>
          <w:tcPr>
            <w:tcW w:w="5040" w:type="dxa"/>
            <w:gridSpan w:val="2"/>
            <w:noWrap w:val="0"/>
            <w:vAlign w:val="center"/>
          </w:tcPr>
          <w:p w14:paraId="463C97AD">
            <w:pPr>
              <w:rPr>
                <w:rFonts w:hint="eastAsia" w:ascii="宋体" w:hAnsi="宋体"/>
                <w:szCs w:val="21"/>
              </w:rPr>
            </w:pPr>
            <w:r>
              <w:rPr>
                <w:rFonts w:hint="eastAsia" w:ascii="宋体" w:hAnsi="宋体"/>
                <w:szCs w:val="21"/>
              </w:rPr>
              <w:t>符合第二章“投标人须知”</w:t>
            </w:r>
            <w:r>
              <w:rPr>
                <w:rFonts w:hint="eastAsia"/>
                <w:szCs w:val="21"/>
              </w:rPr>
              <w:t>第1.4.1项</w:t>
            </w:r>
            <w:r>
              <w:rPr>
                <w:rFonts w:hint="eastAsia" w:ascii="宋体" w:hAnsi="宋体"/>
                <w:szCs w:val="21"/>
              </w:rPr>
              <w:t>规定</w:t>
            </w:r>
          </w:p>
        </w:tc>
      </w:tr>
      <w:tr w14:paraId="1A40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70ED25F6">
            <w:pPr>
              <w:jc w:val="center"/>
              <w:rPr>
                <w:rFonts w:hint="eastAsia" w:ascii="宋体" w:hAnsi="宋体"/>
                <w:szCs w:val="21"/>
              </w:rPr>
            </w:pPr>
          </w:p>
        </w:tc>
        <w:tc>
          <w:tcPr>
            <w:tcW w:w="1059" w:type="dxa"/>
            <w:vMerge w:val="continue"/>
            <w:noWrap w:val="0"/>
            <w:vAlign w:val="center"/>
          </w:tcPr>
          <w:p w14:paraId="38B903C4">
            <w:pPr>
              <w:jc w:val="center"/>
              <w:rPr>
                <w:rFonts w:hint="eastAsia" w:ascii="宋体" w:hAnsi="宋体"/>
                <w:szCs w:val="21"/>
              </w:rPr>
            </w:pPr>
          </w:p>
        </w:tc>
        <w:tc>
          <w:tcPr>
            <w:tcW w:w="2340" w:type="dxa"/>
            <w:gridSpan w:val="3"/>
            <w:noWrap w:val="0"/>
            <w:vAlign w:val="center"/>
          </w:tcPr>
          <w:p w14:paraId="31A491BA">
            <w:pPr>
              <w:rPr>
                <w:rFonts w:hint="eastAsia" w:ascii="宋体" w:hAnsi="宋体"/>
                <w:szCs w:val="21"/>
              </w:rPr>
            </w:pPr>
            <w:r>
              <w:rPr>
                <w:rFonts w:hint="eastAsia" w:ascii="宋体" w:hAnsi="宋体"/>
                <w:szCs w:val="21"/>
              </w:rPr>
              <w:t>联合体投投人（如有）</w:t>
            </w:r>
          </w:p>
        </w:tc>
        <w:tc>
          <w:tcPr>
            <w:tcW w:w="5040" w:type="dxa"/>
            <w:gridSpan w:val="2"/>
            <w:noWrap w:val="0"/>
            <w:vAlign w:val="center"/>
          </w:tcPr>
          <w:p w14:paraId="16A2BC2A">
            <w:pPr>
              <w:rPr>
                <w:rFonts w:hint="eastAsia" w:ascii="宋体" w:hAnsi="宋体"/>
                <w:szCs w:val="21"/>
              </w:rPr>
            </w:pPr>
            <w:r>
              <w:rPr>
                <w:rFonts w:hint="eastAsia" w:ascii="宋体" w:hAnsi="宋体"/>
                <w:szCs w:val="21"/>
              </w:rPr>
              <w:t>符合第二章“投标人须知”</w:t>
            </w:r>
            <w:r>
              <w:rPr>
                <w:rFonts w:hint="eastAsia"/>
                <w:szCs w:val="21"/>
              </w:rPr>
              <w:t>第1.4.2项</w:t>
            </w:r>
            <w:r>
              <w:rPr>
                <w:rFonts w:hint="eastAsia" w:ascii="宋体" w:hAnsi="宋体"/>
                <w:szCs w:val="21"/>
              </w:rPr>
              <w:t>规定</w:t>
            </w:r>
          </w:p>
        </w:tc>
      </w:tr>
      <w:tr w14:paraId="7D7E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6CBCBC0A">
            <w:pPr>
              <w:jc w:val="center"/>
              <w:rPr>
                <w:rFonts w:hint="eastAsia" w:ascii="宋体" w:hAnsi="宋体"/>
                <w:szCs w:val="21"/>
              </w:rPr>
            </w:pPr>
          </w:p>
        </w:tc>
        <w:tc>
          <w:tcPr>
            <w:tcW w:w="1059" w:type="dxa"/>
            <w:vMerge w:val="continue"/>
            <w:noWrap w:val="0"/>
            <w:vAlign w:val="center"/>
          </w:tcPr>
          <w:p w14:paraId="263079D5">
            <w:pPr>
              <w:jc w:val="center"/>
              <w:rPr>
                <w:rFonts w:hint="eastAsia" w:ascii="宋体" w:hAnsi="宋体"/>
                <w:szCs w:val="21"/>
              </w:rPr>
            </w:pPr>
          </w:p>
        </w:tc>
        <w:tc>
          <w:tcPr>
            <w:tcW w:w="2340" w:type="dxa"/>
            <w:gridSpan w:val="3"/>
            <w:noWrap w:val="0"/>
            <w:vAlign w:val="center"/>
          </w:tcPr>
          <w:p w14:paraId="6D3EAE3D">
            <w:pPr>
              <w:spacing w:line="420" w:lineRule="exact"/>
              <w:rPr>
                <w:rFonts w:hint="eastAsia"/>
              </w:rPr>
            </w:pPr>
            <w:r>
              <w:rPr>
                <w:rFonts w:hint="eastAsia"/>
              </w:rPr>
              <w:t>不存在禁止投标的情形</w:t>
            </w:r>
          </w:p>
        </w:tc>
        <w:tc>
          <w:tcPr>
            <w:tcW w:w="5040" w:type="dxa"/>
            <w:gridSpan w:val="2"/>
            <w:noWrap w:val="0"/>
            <w:vAlign w:val="center"/>
          </w:tcPr>
          <w:p w14:paraId="4FF525C9">
            <w:pPr>
              <w:rPr>
                <w:rFonts w:hint="eastAsia" w:ascii="宋体" w:hAnsi="宋体"/>
                <w:szCs w:val="21"/>
              </w:rPr>
            </w:pPr>
            <w:r>
              <w:rPr>
                <w:rFonts w:hint="eastAsia" w:ascii="宋体" w:hAnsi="宋体"/>
                <w:szCs w:val="21"/>
              </w:rPr>
              <w:t>不存在第二章“投标人须知”</w:t>
            </w:r>
            <w:r>
              <w:rPr>
                <w:rFonts w:hint="eastAsia"/>
                <w:szCs w:val="21"/>
              </w:rPr>
              <w:t>第1.4.3项</w:t>
            </w:r>
            <w:r>
              <w:rPr>
                <w:rFonts w:hint="eastAsia" w:ascii="宋体" w:hAnsi="宋体"/>
                <w:szCs w:val="21"/>
              </w:rPr>
              <w:t>规定的</w:t>
            </w:r>
            <w:r>
              <w:rPr>
                <w:rFonts w:hint="eastAsia"/>
              </w:rPr>
              <w:t>任何一种</w:t>
            </w:r>
            <w:r>
              <w:rPr>
                <w:rFonts w:hint="eastAsia" w:ascii="宋体" w:hAnsi="宋体"/>
                <w:szCs w:val="21"/>
              </w:rPr>
              <w:t>情形</w:t>
            </w:r>
          </w:p>
        </w:tc>
      </w:tr>
      <w:tr w14:paraId="6A54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noWrap w:val="0"/>
            <w:vAlign w:val="center"/>
          </w:tcPr>
          <w:p w14:paraId="08B7E9E5">
            <w:pPr>
              <w:spacing w:line="440" w:lineRule="exact"/>
              <w:jc w:val="center"/>
              <w:rPr>
                <w:rFonts w:hint="eastAsia" w:ascii="宋体" w:hAnsi="宋体"/>
                <w:szCs w:val="21"/>
              </w:rPr>
            </w:pPr>
            <w:r>
              <w:rPr>
                <w:rFonts w:hint="eastAsia"/>
                <w:szCs w:val="21"/>
              </w:rPr>
              <w:t>2.1.3</w:t>
            </w:r>
          </w:p>
        </w:tc>
        <w:tc>
          <w:tcPr>
            <w:tcW w:w="1059" w:type="dxa"/>
            <w:vMerge w:val="restart"/>
            <w:noWrap w:val="0"/>
            <w:vAlign w:val="center"/>
          </w:tcPr>
          <w:p w14:paraId="585D3D32">
            <w:pPr>
              <w:jc w:val="center"/>
              <w:rPr>
                <w:rFonts w:hint="eastAsia" w:ascii="宋体" w:hAnsi="宋体"/>
                <w:szCs w:val="21"/>
              </w:rPr>
            </w:pPr>
            <w:r>
              <w:rPr>
                <w:rFonts w:hint="eastAsia" w:ascii="宋体" w:hAnsi="宋体"/>
                <w:szCs w:val="21"/>
              </w:rPr>
              <w:t>响 应 性</w:t>
            </w:r>
          </w:p>
          <w:p w14:paraId="6236B7D0">
            <w:pPr>
              <w:jc w:val="center"/>
              <w:rPr>
                <w:rFonts w:hint="eastAsia" w:ascii="宋体" w:hAnsi="宋体"/>
                <w:szCs w:val="21"/>
              </w:rPr>
            </w:pPr>
            <w:r>
              <w:rPr>
                <w:rFonts w:hint="eastAsia" w:ascii="宋体" w:hAnsi="宋体"/>
                <w:szCs w:val="21"/>
              </w:rPr>
              <w:t>评审标准</w:t>
            </w:r>
          </w:p>
        </w:tc>
        <w:tc>
          <w:tcPr>
            <w:tcW w:w="2340" w:type="dxa"/>
            <w:gridSpan w:val="3"/>
            <w:noWrap w:val="0"/>
            <w:vAlign w:val="center"/>
          </w:tcPr>
          <w:p w14:paraId="35C297E2">
            <w:pPr>
              <w:rPr>
                <w:rFonts w:hint="eastAsia" w:ascii="宋体" w:hAnsi="宋体"/>
                <w:szCs w:val="21"/>
              </w:rPr>
            </w:pPr>
            <w:r>
              <w:rPr>
                <w:rFonts w:hint="eastAsia" w:ascii="宋体" w:hAnsi="宋体"/>
                <w:szCs w:val="21"/>
              </w:rPr>
              <w:t>投标内容</w:t>
            </w:r>
          </w:p>
        </w:tc>
        <w:tc>
          <w:tcPr>
            <w:tcW w:w="5040" w:type="dxa"/>
            <w:gridSpan w:val="2"/>
            <w:noWrap w:val="0"/>
            <w:vAlign w:val="center"/>
          </w:tcPr>
          <w:p w14:paraId="65E7C0BC">
            <w:pPr>
              <w:rPr>
                <w:rFonts w:hint="eastAsia" w:ascii="宋体" w:hAnsi="宋体"/>
                <w:szCs w:val="21"/>
              </w:rPr>
            </w:pPr>
            <w:r>
              <w:rPr>
                <w:rFonts w:hint="eastAsia" w:ascii="宋体" w:hAnsi="宋体"/>
                <w:szCs w:val="21"/>
              </w:rPr>
              <w:t>符合第二章“投标人须知”</w:t>
            </w:r>
            <w:r>
              <w:rPr>
                <w:rFonts w:hint="eastAsia"/>
                <w:szCs w:val="21"/>
              </w:rPr>
              <w:t>第1.3.1项</w:t>
            </w:r>
            <w:r>
              <w:rPr>
                <w:rFonts w:hint="eastAsia" w:ascii="宋体" w:hAnsi="宋体"/>
                <w:szCs w:val="21"/>
              </w:rPr>
              <w:t>规定</w:t>
            </w:r>
          </w:p>
        </w:tc>
      </w:tr>
      <w:tr w14:paraId="0E352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0E8E0A3D">
            <w:pPr>
              <w:jc w:val="center"/>
              <w:rPr>
                <w:rFonts w:hint="eastAsia" w:ascii="宋体" w:hAnsi="宋体"/>
                <w:szCs w:val="21"/>
              </w:rPr>
            </w:pPr>
          </w:p>
        </w:tc>
        <w:tc>
          <w:tcPr>
            <w:tcW w:w="1059" w:type="dxa"/>
            <w:vMerge w:val="continue"/>
            <w:noWrap w:val="0"/>
            <w:vAlign w:val="center"/>
          </w:tcPr>
          <w:p w14:paraId="6EA2615A">
            <w:pPr>
              <w:jc w:val="center"/>
              <w:rPr>
                <w:rFonts w:hint="eastAsia" w:ascii="宋体" w:hAnsi="宋体"/>
                <w:szCs w:val="21"/>
              </w:rPr>
            </w:pPr>
          </w:p>
        </w:tc>
        <w:tc>
          <w:tcPr>
            <w:tcW w:w="2340" w:type="dxa"/>
            <w:gridSpan w:val="3"/>
            <w:noWrap w:val="0"/>
            <w:vAlign w:val="center"/>
          </w:tcPr>
          <w:p w14:paraId="3E01CB9D">
            <w:pPr>
              <w:rPr>
                <w:rFonts w:hint="eastAsia" w:ascii="宋体" w:hAnsi="宋体"/>
                <w:szCs w:val="21"/>
              </w:rPr>
            </w:pPr>
            <w:r>
              <w:rPr>
                <w:rFonts w:hint="eastAsia" w:ascii="宋体" w:hAnsi="宋体"/>
                <w:szCs w:val="21"/>
              </w:rPr>
              <w:t>工期</w:t>
            </w:r>
          </w:p>
        </w:tc>
        <w:tc>
          <w:tcPr>
            <w:tcW w:w="5040" w:type="dxa"/>
            <w:gridSpan w:val="2"/>
            <w:noWrap w:val="0"/>
            <w:vAlign w:val="center"/>
          </w:tcPr>
          <w:p w14:paraId="70FFB22B">
            <w:pPr>
              <w:rPr>
                <w:rFonts w:hint="eastAsia" w:ascii="宋体" w:hAnsi="宋体"/>
                <w:szCs w:val="21"/>
              </w:rPr>
            </w:pPr>
            <w:r>
              <w:rPr>
                <w:rFonts w:hint="eastAsia" w:ascii="宋体" w:hAnsi="宋体"/>
                <w:szCs w:val="21"/>
              </w:rPr>
              <w:t>符合第二章“投标人须知”</w:t>
            </w:r>
            <w:r>
              <w:rPr>
                <w:rFonts w:hint="eastAsia"/>
                <w:szCs w:val="21"/>
              </w:rPr>
              <w:t>第1.3.2项</w:t>
            </w:r>
            <w:r>
              <w:rPr>
                <w:rFonts w:hint="eastAsia" w:ascii="宋体" w:hAnsi="宋体"/>
                <w:szCs w:val="21"/>
              </w:rPr>
              <w:t>规定</w:t>
            </w:r>
          </w:p>
        </w:tc>
      </w:tr>
      <w:tr w14:paraId="033C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8C18D71">
            <w:pPr>
              <w:jc w:val="center"/>
              <w:rPr>
                <w:rFonts w:hint="eastAsia" w:ascii="宋体" w:hAnsi="宋体"/>
                <w:szCs w:val="21"/>
              </w:rPr>
            </w:pPr>
          </w:p>
        </w:tc>
        <w:tc>
          <w:tcPr>
            <w:tcW w:w="1059" w:type="dxa"/>
            <w:vMerge w:val="continue"/>
            <w:noWrap w:val="0"/>
            <w:vAlign w:val="center"/>
          </w:tcPr>
          <w:p w14:paraId="7B20D023">
            <w:pPr>
              <w:jc w:val="center"/>
              <w:rPr>
                <w:rFonts w:hint="eastAsia" w:ascii="宋体" w:hAnsi="宋体"/>
                <w:szCs w:val="21"/>
              </w:rPr>
            </w:pPr>
          </w:p>
        </w:tc>
        <w:tc>
          <w:tcPr>
            <w:tcW w:w="2340" w:type="dxa"/>
            <w:gridSpan w:val="3"/>
            <w:noWrap w:val="0"/>
            <w:vAlign w:val="center"/>
          </w:tcPr>
          <w:p w14:paraId="4C21A681">
            <w:pPr>
              <w:rPr>
                <w:rFonts w:hint="eastAsia" w:ascii="宋体" w:hAnsi="宋体"/>
                <w:szCs w:val="21"/>
              </w:rPr>
            </w:pPr>
            <w:r>
              <w:rPr>
                <w:rFonts w:hint="eastAsia" w:ascii="宋体" w:hAnsi="宋体"/>
                <w:szCs w:val="21"/>
              </w:rPr>
              <w:t>工程质量</w:t>
            </w:r>
          </w:p>
        </w:tc>
        <w:tc>
          <w:tcPr>
            <w:tcW w:w="5040" w:type="dxa"/>
            <w:gridSpan w:val="2"/>
            <w:noWrap w:val="0"/>
            <w:vAlign w:val="center"/>
          </w:tcPr>
          <w:p w14:paraId="533AAB47">
            <w:pPr>
              <w:rPr>
                <w:rFonts w:hint="eastAsia" w:ascii="宋体" w:hAnsi="宋体"/>
                <w:szCs w:val="21"/>
              </w:rPr>
            </w:pPr>
            <w:r>
              <w:rPr>
                <w:rFonts w:hint="eastAsia" w:ascii="宋体" w:hAnsi="宋体"/>
                <w:szCs w:val="21"/>
              </w:rPr>
              <w:t>符合第二章“投标人须知”</w:t>
            </w:r>
            <w:r>
              <w:rPr>
                <w:rFonts w:hint="eastAsia"/>
                <w:szCs w:val="21"/>
              </w:rPr>
              <w:t>第1.3.3项</w:t>
            </w:r>
            <w:r>
              <w:rPr>
                <w:rFonts w:hint="eastAsia" w:ascii="宋体" w:hAnsi="宋体"/>
                <w:szCs w:val="21"/>
              </w:rPr>
              <w:t>规定</w:t>
            </w:r>
          </w:p>
          <w:p w14:paraId="0D01024B">
            <w:pPr>
              <w:rPr>
                <w:rFonts w:hint="eastAsia" w:ascii="宋体" w:hAnsi="宋体"/>
                <w:szCs w:val="21"/>
              </w:rPr>
            </w:pPr>
            <w:r>
              <w:rPr>
                <w:rFonts w:hint="eastAsia" w:ascii="宋体" w:hAnsi="宋体"/>
                <w:szCs w:val="21"/>
              </w:rPr>
              <w:t>（</w:t>
            </w:r>
            <w:r>
              <w:rPr>
                <w:rFonts w:ascii="宋体" w:hAnsi="宋体"/>
                <w:szCs w:val="21"/>
              </w:rPr>
              <w:t>投标文件中载明的质量</w:t>
            </w:r>
            <w:r>
              <w:rPr>
                <w:rFonts w:hint="eastAsia" w:ascii="宋体" w:hAnsi="宋体"/>
                <w:szCs w:val="21"/>
              </w:rPr>
              <w:t>标准</w:t>
            </w:r>
            <w:r>
              <w:rPr>
                <w:rFonts w:ascii="宋体" w:hAnsi="宋体"/>
                <w:szCs w:val="21"/>
              </w:rPr>
              <w:t>、质量奖项必须达到招标文件规定的质量</w:t>
            </w:r>
            <w:r>
              <w:rPr>
                <w:rFonts w:hint="eastAsia" w:ascii="宋体" w:hAnsi="宋体"/>
                <w:szCs w:val="21"/>
              </w:rPr>
              <w:t>标准</w:t>
            </w:r>
            <w:r>
              <w:rPr>
                <w:rFonts w:ascii="宋体" w:hAnsi="宋体"/>
                <w:szCs w:val="21"/>
              </w:rPr>
              <w:t>、质量奖项，不能以质量奖项代替质量</w:t>
            </w:r>
            <w:r>
              <w:rPr>
                <w:rFonts w:hint="eastAsia" w:ascii="宋体" w:hAnsi="宋体"/>
                <w:szCs w:val="21"/>
              </w:rPr>
              <w:t>标准）</w:t>
            </w:r>
          </w:p>
        </w:tc>
      </w:tr>
      <w:tr w14:paraId="2A69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13CED1DD">
            <w:pPr>
              <w:jc w:val="center"/>
              <w:rPr>
                <w:rFonts w:hint="eastAsia" w:ascii="宋体" w:hAnsi="宋体"/>
                <w:szCs w:val="21"/>
              </w:rPr>
            </w:pPr>
          </w:p>
        </w:tc>
        <w:tc>
          <w:tcPr>
            <w:tcW w:w="1059" w:type="dxa"/>
            <w:vMerge w:val="continue"/>
            <w:noWrap w:val="0"/>
            <w:vAlign w:val="center"/>
          </w:tcPr>
          <w:p w14:paraId="4420526D">
            <w:pPr>
              <w:jc w:val="center"/>
              <w:rPr>
                <w:rFonts w:hint="eastAsia" w:ascii="宋体" w:hAnsi="宋体"/>
                <w:szCs w:val="21"/>
              </w:rPr>
            </w:pPr>
          </w:p>
        </w:tc>
        <w:tc>
          <w:tcPr>
            <w:tcW w:w="2340" w:type="dxa"/>
            <w:gridSpan w:val="3"/>
            <w:noWrap w:val="0"/>
            <w:vAlign w:val="center"/>
          </w:tcPr>
          <w:p w14:paraId="0EF4871F">
            <w:pPr>
              <w:rPr>
                <w:rFonts w:hint="eastAsia" w:ascii="宋体" w:hAnsi="宋体"/>
                <w:szCs w:val="21"/>
              </w:rPr>
            </w:pPr>
            <w:r>
              <w:rPr>
                <w:rFonts w:hint="eastAsia" w:ascii="宋体" w:hAnsi="宋体"/>
                <w:szCs w:val="21"/>
              </w:rPr>
              <w:t>投标有效期</w:t>
            </w:r>
          </w:p>
        </w:tc>
        <w:tc>
          <w:tcPr>
            <w:tcW w:w="5040" w:type="dxa"/>
            <w:gridSpan w:val="2"/>
            <w:noWrap w:val="0"/>
            <w:vAlign w:val="center"/>
          </w:tcPr>
          <w:p w14:paraId="07F522EA">
            <w:pPr>
              <w:rPr>
                <w:rFonts w:hint="eastAsia" w:ascii="宋体" w:hAnsi="宋体"/>
                <w:szCs w:val="21"/>
              </w:rPr>
            </w:pPr>
            <w:r>
              <w:rPr>
                <w:rFonts w:hint="eastAsia" w:ascii="宋体" w:hAnsi="宋体"/>
                <w:szCs w:val="21"/>
              </w:rPr>
              <w:t>符合第二章“投标人须知”</w:t>
            </w:r>
            <w:r>
              <w:rPr>
                <w:rFonts w:hint="eastAsia"/>
                <w:szCs w:val="21"/>
              </w:rPr>
              <w:t>第3.3.1项</w:t>
            </w:r>
            <w:r>
              <w:rPr>
                <w:rFonts w:hint="eastAsia" w:ascii="宋体" w:hAnsi="宋体"/>
                <w:szCs w:val="21"/>
              </w:rPr>
              <w:t>规定</w:t>
            </w:r>
          </w:p>
        </w:tc>
      </w:tr>
      <w:tr w14:paraId="3825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noWrap w:val="0"/>
            <w:vAlign w:val="center"/>
          </w:tcPr>
          <w:p w14:paraId="246C0A37">
            <w:pPr>
              <w:jc w:val="center"/>
              <w:rPr>
                <w:rFonts w:hint="eastAsia" w:ascii="宋体" w:hAnsi="宋体"/>
                <w:szCs w:val="21"/>
              </w:rPr>
            </w:pPr>
          </w:p>
        </w:tc>
        <w:tc>
          <w:tcPr>
            <w:tcW w:w="1059" w:type="dxa"/>
            <w:vMerge w:val="continue"/>
            <w:noWrap w:val="0"/>
            <w:vAlign w:val="center"/>
          </w:tcPr>
          <w:p w14:paraId="49256178">
            <w:pPr>
              <w:jc w:val="center"/>
              <w:rPr>
                <w:rFonts w:hint="eastAsia" w:ascii="宋体" w:hAnsi="宋体"/>
                <w:szCs w:val="21"/>
              </w:rPr>
            </w:pPr>
          </w:p>
        </w:tc>
        <w:tc>
          <w:tcPr>
            <w:tcW w:w="2340" w:type="dxa"/>
            <w:gridSpan w:val="3"/>
            <w:noWrap w:val="0"/>
            <w:vAlign w:val="center"/>
          </w:tcPr>
          <w:p w14:paraId="77E9635A">
            <w:pPr>
              <w:rPr>
                <w:rFonts w:hint="eastAsia" w:ascii="宋体" w:hAnsi="宋体"/>
                <w:szCs w:val="21"/>
              </w:rPr>
            </w:pPr>
            <w:r>
              <w:rPr>
                <w:rFonts w:hint="eastAsia" w:ascii="宋体" w:hAnsi="宋体"/>
                <w:szCs w:val="21"/>
              </w:rPr>
              <w:t>投标保证金</w:t>
            </w:r>
          </w:p>
        </w:tc>
        <w:tc>
          <w:tcPr>
            <w:tcW w:w="5040" w:type="dxa"/>
            <w:gridSpan w:val="2"/>
            <w:noWrap w:val="0"/>
            <w:vAlign w:val="center"/>
          </w:tcPr>
          <w:p w14:paraId="4918C89E">
            <w:pPr>
              <w:rPr>
                <w:rFonts w:hint="eastAsia" w:ascii="宋体" w:hAnsi="宋体"/>
                <w:szCs w:val="21"/>
              </w:rPr>
            </w:pPr>
            <w:r>
              <w:rPr>
                <w:rFonts w:hint="eastAsia" w:ascii="宋体" w:hAnsi="宋体"/>
                <w:szCs w:val="21"/>
              </w:rPr>
              <w:t>符合第二章“投标人须知”</w:t>
            </w:r>
            <w:r>
              <w:rPr>
                <w:rFonts w:hint="eastAsia"/>
                <w:szCs w:val="21"/>
              </w:rPr>
              <w:t>第3.4.1项</w:t>
            </w:r>
            <w:r>
              <w:rPr>
                <w:rFonts w:hint="eastAsia" w:ascii="宋体" w:hAnsi="宋体"/>
                <w:szCs w:val="21"/>
              </w:rPr>
              <w:t>规定</w:t>
            </w:r>
          </w:p>
          <w:p w14:paraId="61AA6D2C">
            <w:pPr>
              <w:autoSpaceDE w:val="0"/>
              <w:autoSpaceDN w:val="0"/>
              <w:adjustRightInd w:val="0"/>
              <w:snapToGrid w:val="0"/>
              <w:jc w:val="left"/>
              <w:rPr>
                <w:rFonts w:hint="eastAsia" w:ascii="宋体" w:hAnsi="宋体"/>
                <w:szCs w:val="21"/>
              </w:rPr>
            </w:pPr>
            <w:r>
              <w:rPr>
                <w:rFonts w:hint="eastAsia" w:ascii="宋体" w:hAnsi="宋体"/>
                <w:szCs w:val="21"/>
              </w:rPr>
              <w:t>（</w:t>
            </w:r>
            <w:r>
              <w:rPr>
                <w:rFonts w:ascii="宋体" w:hAnsi="宋体"/>
                <w:szCs w:val="21"/>
              </w:rPr>
              <w:t>投标保证金</w:t>
            </w:r>
            <w:r>
              <w:rPr>
                <w:rFonts w:hint="eastAsia" w:ascii="宋体" w:hAnsi="宋体"/>
                <w:szCs w:val="21"/>
              </w:rPr>
              <w:t>符合要求</w:t>
            </w:r>
            <w:r>
              <w:rPr>
                <w:rFonts w:ascii="宋体" w:hAnsi="宋体"/>
                <w:szCs w:val="21"/>
              </w:rPr>
              <w:t>是</w:t>
            </w:r>
            <w:r>
              <w:rPr>
                <w:rFonts w:hint="eastAsia" w:ascii="宋体" w:hAnsi="宋体"/>
                <w:szCs w:val="21"/>
              </w:rPr>
              <w:t>指</w:t>
            </w:r>
            <w:r>
              <w:rPr>
                <w:rFonts w:hint="eastAsia"/>
              </w:rPr>
              <w:t>投标保证金的形式、金额、递交截止时间、递交方式</w:t>
            </w:r>
            <w:r>
              <w:rPr>
                <w:rFonts w:ascii="宋体" w:hAnsi="宋体"/>
                <w:szCs w:val="21"/>
              </w:rPr>
              <w:t>符合招标文件规定</w:t>
            </w:r>
            <w:r>
              <w:rPr>
                <w:rFonts w:hint="eastAsia" w:ascii="宋体" w:hAnsi="宋体"/>
                <w:szCs w:val="21"/>
              </w:rPr>
              <w:t>；以现金、支票方式提交的应从</w:t>
            </w:r>
            <w:r>
              <w:rPr>
                <w:rFonts w:ascii="宋体" w:hAnsi="宋体"/>
                <w:szCs w:val="21"/>
              </w:rPr>
              <w:t>投标人基本账户转出</w:t>
            </w:r>
            <w:r>
              <w:rPr>
                <w:rFonts w:hint="eastAsia" w:ascii="宋体" w:hAnsi="宋体"/>
                <w:szCs w:val="21"/>
              </w:rPr>
              <w:t>，即投标人汇款凭证的账户号与其基本账户开户许可证的账户号一致）</w:t>
            </w:r>
          </w:p>
        </w:tc>
      </w:tr>
      <w:tr w14:paraId="71785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082C491F">
            <w:pPr>
              <w:jc w:val="center"/>
              <w:rPr>
                <w:rFonts w:hint="eastAsia" w:ascii="宋体" w:hAnsi="宋体"/>
                <w:szCs w:val="21"/>
              </w:rPr>
            </w:pPr>
          </w:p>
        </w:tc>
        <w:tc>
          <w:tcPr>
            <w:tcW w:w="1059" w:type="dxa"/>
            <w:vMerge w:val="continue"/>
            <w:noWrap w:val="0"/>
            <w:vAlign w:val="center"/>
          </w:tcPr>
          <w:p w14:paraId="1A0C7FB6">
            <w:pPr>
              <w:jc w:val="center"/>
              <w:rPr>
                <w:rFonts w:hint="eastAsia" w:ascii="宋体" w:hAnsi="宋体"/>
                <w:szCs w:val="21"/>
              </w:rPr>
            </w:pPr>
          </w:p>
        </w:tc>
        <w:tc>
          <w:tcPr>
            <w:tcW w:w="2340" w:type="dxa"/>
            <w:gridSpan w:val="3"/>
            <w:noWrap w:val="0"/>
            <w:vAlign w:val="center"/>
          </w:tcPr>
          <w:p w14:paraId="109A07E4">
            <w:pPr>
              <w:rPr>
                <w:rFonts w:hint="eastAsia" w:ascii="宋体" w:hAnsi="宋体"/>
                <w:szCs w:val="21"/>
              </w:rPr>
            </w:pPr>
            <w:r>
              <w:rPr>
                <w:rFonts w:hint="eastAsia" w:ascii="宋体" w:hAnsi="宋体"/>
                <w:szCs w:val="21"/>
              </w:rPr>
              <w:t>权利义务</w:t>
            </w:r>
          </w:p>
        </w:tc>
        <w:tc>
          <w:tcPr>
            <w:tcW w:w="5040" w:type="dxa"/>
            <w:gridSpan w:val="2"/>
            <w:noWrap w:val="0"/>
            <w:vAlign w:val="center"/>
          </w:tcPr>
          <w:p w14:paraId="6026DB07">
            <w:pPr>
              <w:rPr>
                <w:rFonts w:hint="eastAsia" w:ascii="宋体" w:hAnsi="宋体"/>
                <w:szCs w:val="21"/>
              </w:rPr>
            </w:pPr>
            <w:r>
              <w:rPr>
                <w:rFonts w:hint="eastAsia" w:ascii="宋体" w:hAnsi="宋体"/>
                <w:szCs w:val="21"/>
              </w:rPr>
              <w:t>投标函附录中的相关承诺符合或优于第四章“合同条款及格式”的相关规定</w:t>
            </w:r>
          </w:p>
        </w:tc>
      </w:tr>
      <w:tr w14:paraId="4719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noWrap w:val="0"/>
            <w:vAlign w:val="center"/>
          </w:tcPr>
          <w:p w14:paraId="4C9796AC">
            <w:pPr>
              <w:jc w:val="center"/>
              <w:rPr>
                <w:rFonts w:hint="eastAsia" w:ascii="宋体" w:hAnsi="宋体"/>
                <w:szCs w:val="21"/>
              </w:rPr>
            </w:pPr>
          </w:p>
        </w:tc>
        <w:tc>
          <w:tcPr>
            <w:tcW w:w="1059" w:type="dxa"/>
            <w:vMerge w:val="continue"/>
            <w:noWrap w:val="0"/>
            <w:vAlign w:val="center"/>
          </w:tcPr>
          <w:p w14:paraId="2FD7BE8F">
            <w:pPr>
              <w:jc w:val="center"/>
              <w:rPr>
                <w:rFonts w:hint="eastAsia" w:ascii="宋体" w:hAnsi="宋体"/>
                <w:szCs w:val="21"/>
              </w:rPr>
            </w:pPr>
          </w:p>
        </w:tc>
        <w:tc>
          <w:tcPr>
            <w:tcW w:w="2340" w:type="dxa"/>
            <w:gridSpan w:val="3"/>
            <w:noWrap w:val="0"/>
            <w:vAlign w:val="center"/>
          </w:tcPr>
          <w:p w14:paraId="7E8A9CCB">
            <w:pPr>
              <w:rPr>
                <w:rFonts w:hint="eastAsia" w:ascii="宋体" w:hAnsi="宋体"/>
                <w:szCs w:val="21"/>
              </w:rPr>
            </w:pPr>
            <w:r>
              <w:rPr>
                <w:rFonts w:hint="eastAsia" w:ascii="宋体" w:hAnsi="宋体"/>
                <w:szCs w:val="21"/>
              </w:rPr>
              <w:t>技术标准和要求</w:t>
            </w:r>
          </w:p>
        </w:tc>
        <w:tc>
          <w:tcPr>
            <w:tcW w:w="5040" w:type="dxa"/>
            <w:gridSpan w:val="2"/>
            <w:noWrap w:val="0"/>
            <w:vAlign w:val="center"/>
          </w:tcPr>
          <w:p w14:paraId="2A4DB6BE">
            <w:pPr>
              <w:rPr>
                <w:rFonts w:hint="eastAsia" w:ascii="宋体" w:hAnsi="宋体"/>
                <w:szCs w:val="21"/>
              </w:rPr>
            </w:pPr>
            <w:r>
              <w:rPr>
                <w:rFonts w:hint="eastAsia" w:ascii="宋体" w:hAnsi="宋体"/>
                <w:szCs w:val="21"/>
              </w:rPr>
              <w:t>符合第七章“技术标准和要求”规定</w:t>
            </w:r>
          </w:p>
        </w:tc>
      </w:tr>
      <w:tr w14:paraId="46F7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vMerge w:val="continue"/>
            <w:noWrap w:val="0"/>
            <w:vAlign w:val="center"/>
          </w:tcPr>
          <w:p w14:paraId="1B3E5532">
            <w:pPr>
              <w:jc w:val="center"/>
              <w:rPr>
                <w:rFonts w:hint="eastAsia" w:ascii="宋体" w:hAnsi="宋体"/>
                <w:szCs w:val="21"/>
              </w:rPr>
            </w:pPr>
          </w:p>
        </w:tc>
        <w:tc>
          <w:tcPr>
            <w:tcW w:w="1059" w:type="dxa"/>
            <w:vMerge w:val="continue"/>
            <w:noWrap w:val="0"/>
            <w:vAlign w:val="center"/>
          </w:tcPr>
          <w:p w14:paraId="18BCC1FA">
            <w:pPr>
              <w:jc w:val="center"/>
              <w:rPr>
                <w:rFonts w:hint="eastAsia" w:ascii="宋体" w:hAnsi="宋体"/>
                <w:szCs w:val="21"/>
              </w:rPr>
            </w:pPr>
          </w:p>
        </w:tc>
        <w:tc>
          <w:tcPr>
            <w:tcW w:w="2340" w:type="dxa"/>
            <w:gridSpan w:val="3"/>
            <w:noWrap w:val="0"/>
            <w:vAlign w:val="center"/>
          </w:tcPr>
          <w:p w14:paraId="4749C9B2">
            <w:pPr>
              <w:rPr>
                <w:rFonts w:hint="eastAsia" w:ascii="宋体" w:hAnsi="宋体"/>
                <w:szCs w:val="21"/>
              </w:rPr>
            </w:pPr>
            <w:r>
              <w:rPr>
                <w:rFonts w:hint="eastAsia" w:ascii="宋体" w:hAnsi="宋体"/>
                <w:szCs w:val="21"/>
              </w:rPr>
              <w:t>分包计划</w:t>
            </w:r>
          </w:p>
        </w:tc>
        <w:tc>
          <w:tcPr>
            <w:tcW w:w="5040" w:type="dxa"/>
            <w:gridSpan w:val="2"/>
            <w:noWrap w:val="0"/>
            <w:vAlign w:val="center"/>
          </w:tcPr>
          <w:p w14:paraId="2A44A7EF">
            <w:pPr>
              <w:rPr>
                <w:rFonts w:hint="eastAsia" w:ascii="宋体" w:hAnsi="宋体"/>
                <w:szCs w:val="21"/>
              </w:rPr>
            </w:pPr>
            <w:r>
              <w:rPr>
                <w:rFonts w:hint="eastAsia" w:ascii="宋体" w:hAnsi="宋体"/>
                <w:szCs w:val="21"/>
              </w:rPr>
              <w:t>符合第二章“投标人须知”第1.11款规定</w:t>
            </w:r>
          </w:p>
        </w:tc>
      </w:tr>
      <w:tr w14:paraId="62E3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741" w:type="dxa"/>
            <w:vMerge w:val="continue"/>
            <w:noWrap w:val="0"/>
            <w:vAlign w:val="center"/>
          </w:tcPr>
          <w:p w14:paraId="66E89CB5">
            <w:pPr>
              <w:jc w:val="center"/>
              <w:rPr>
                <w:rFonts w:hint="eastAsia" w:ascii="宋体" w:hAnsi="宋体"/>
                <w:szCs w:val="21"/>
              </w:rPr>
            </w:pPr>
          </w:p>
        </w:tc>
        <w:tc>
          <w:tcPr>
            <w:tcW w:w="1059" w:type="dxa"/>
            <w:vMerge w:val="continue"/>
            <w:noWrap w:val="0"/>
            <w:vAlign w:val="center"/>
          </w:tcPr>
          <w:p w14:paraId="04FD1DAD">
            <w:pPr>
              <w:jc w:val="center"/>
              <w:rPr>
                <w:rFonts w:hint="eastAsia" w:ascii="宋体" w:hAnsi="宋体"/>
                <w:szCs w:val="21"/>
              </w:rPr>
            </w:pPr>
          </w:p>
        </w:tc>
        <w:tc>
          <w:tcPr>
            <w:tcW w:w="2340" w:type="dxa"/>
            <w:gridSpan w:val="3"/>
            <w:noWrap w:val="0"/>
            <w:vAlign w:val="center"/>
          </w:tcPr>
          <w:p w14:paraId="1A893D00">
            <w:pPr>
              <w:rPr>
                <w:rFonts w:hint="eastAsia" w:ascii="宋体" w:hAnsi="宋体"/>
                <w:szCs w:val="21"/>
              </w:rPr>
            </w:pPr>
            <w:r>
              <w:rPr>
                <w:rFonts w:hint="eastAsia" w:ascii="宋体" w:hAnsi="宋体"/>
                <w:szCs w:val="21"/>
              </w:rPr>
              <w:t>算术错误修正</w:t>
            </w:r>
          </w:p>
        </w:tc>
        <w:tc>
          <w:tcPr>
            <w:tcW w:w="5040" w:type="dxa"/>
            <w:gridSpan w:val="2"/>
            <w:noWrap w:val="0"/>
            <w:vAlign w:val="center"/>
          </w:tcPr>
          <w:p w14:paraId="297DED2D">
            <w:pPr>
              <w:autoSpaceDE w:val="0"/>
              <w:autoSpaceDN w:val="0"/>
              <w:adjustRightInd w:val="0"/>
              <w:spacing w:line="360" w:lineRule="auto"/>
              <w:rPr>
                <w:rFonts w:hint="eastAsia" w:ascii="宋体" w:hAnsi="宋体"/>
                <w:szCs w:val="21"/>
              </w:rPr>
            </w:pPr>
            <w:r>
              <w:rPr>
                <w:rFonts w:hint="eastAsia" w:ascii="宋体" w:hAnsi="宋体"/>
                <w:szCs w:val="21"/>
              </w:rPr>
              <w:t>1) 投标人接受算术错误修正后的报价</w:t>
            </w:r>
          </w:p>
          <w:p w14:paraId="0B1877F1">
            <w:pPr>
              <w:rPr>
                <w:rFonts w:hint="eastAsia" w:ascii="宋体" w:hAnsi="宋体"/>
                <w:szCs w:val="21"/>
              </w:rPr>
            </w:pPr>
            <w:r>
              <w:rPr>
                <w:rFonts w:hint="eastAsia" w:ascii="宋体" w:hAnsi="宋体"/>
                <w:szCs w:val="21"/>
              </w:rPr>
              <w:t>2) 修正后的报价与投标报价相比偏差率不超过±1%</w:t>
            </w:r>
          </w:p>
        </w:tc>
      </w:tr>
      <w:tr w14:paraId="0BB7A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741" w:type="dxa"/>
            <w:vMerge w:val="continue"/>
            <w:noWrap w:val="0"/>
            <w:vAlign w:val="center"/>
          </w:tcPr>
          <w:p w14:paraId="184C9FBB">
            <w:pPr>
              <w:jc w:val="center"/>
              <w:rPr>
                <w:rFonts w:hint="eastAsia" w:ascii="宋体" w:hAnsi="宋体"/>
                <w:szCs w:val="21"/>
              </w:rPr>
            </w:pPr>
          </w:p>
        </w:tc>
        <w:tc>
          <w:tcPr>
            <w:tcW w:w="1059" w:type="dxa"/>
            <w:vMerge w:val="continue"/>
            <w:noWrap w:val="0"/>
            <w:vAlign w:val="center"/>
          </w:tcPr>
          <w:p w14:paraId="461DAB6C">
            <w:pPr>
              <w:jc w:val="center"/>
              <w:rPr>
                <w:rFonts w:hint="eastAsia" w:ascii="宋体" w:hAnsi="宋体"/>
                <w:szCs w:val="21"/>
              </w:rPr>
            </w:pPr>
          </w:p>
        </w:tc>
        <w:tc>
          <w:tcPr>
            <w:tcW w:w="2340" w:type="dxa"/>
            <w:gridSpan w:val="3"/>
            <w:noWrap w:val="0"/>
            <w:vAlign w:val="center"/>
          </w:tcPr>
          <w:p w14:paraId="7860ADBA">
            <w:pPr>
              <w:rPr>
                <w:rFonts w:hint="eastAsia" w:ascii="宋体" w:hAnsi="宋体"/>
                <w:szCs w:val="21"/>
              </w:rPr>
            </w:pPr>
            <w:r>
              <w:rPr>
                <w:rFonts w:hint="eastAsia" w:ascii="宋体" w:hAnsi="宋体"/>
                <w:szCs w:val="21"/>
              </w:rPr>
              <w:t>投标价格</w:t>
            </w:r>
          </w:p>
        </w:tc>
        <w:tc>
          <w:tcPr>
            <w:tcW w:w="5040" w:type="dxa"/>
            <w:gridSpan w:val="2"/>
            <w:noWrap w:val="0"/>
            <w:vAlign w:val="center"/>
          </w:tcPr>
          <w:p w14:paraId="2930F48F">
            <w:pPr>
              <w:rPr>
                <w:rFonts w:hint="eastAsia" w:ascii="宋体" w:hAnsi="宋体"/>
                <w:szCs w:val="21"/>
              </w:rPr>
            </w:pPr>
            <w:r>
              <w:rPr>
                <w:rFonts w:hint="eastAsia" w:ascii="宋体" w:hAnsi="宋体"/>
                <w:szCs w:val="21"/>
              </w:rPr>
              <w:t>1）投标函中的大写报价与已标价工程量清单中的投标总价一致</w:t>
            </w:r>
          </w:p>
          <w:p w14:paraId="7DDAB986">
            <w:pPr>
              <w:rPr>
                <w:rFonts w:hint="eastAsia" w:ascii="宋体" w:hAnsi="宋体"/>
                <w:szCs w:val="21"/>
              </w:rPr>
            </w:pPr>
            <w:r>
              <w:rPr>
                <w:rFonts w:hint="eastAsia" w:ascii="宋体" w:hAnsi="宋体"/>
                <w:szCs w:val="21"/>
              </w:rPr>
              <w:t>2）投标函中的大写报价不大于本标段招标控制价总价</w:t>
            </w:r>
          </w:p>
          <w:p w14:paraId="3ED6D673">
            <w:pPr>
              <w:rPr>
                <w:rFonts w:hint="eastAsia" w:ascii="宋体" w:hAnsi="宋体"/>
                <w:szCs w:val="21"/>
              </w:rPr>
            </w:pPr>
            <w:r>
              <w:rPr>
                <w:rFonts w:hint="eastAsia" w:ascii="宋体" w:hAnsi="宋体"/>
                <w:szCs w:val="21"/>
              </w:rPr>
              <w:t>3）</w:t>
            </w:r>
            <w:r>
              <w:rPr>
                <w:rFonts w:hint="eastAsia"/>
              </w:rPr>
              <w:t>算术错误修正后的投标总报价</w:t>
            </w:r>
            <w:r>
              <w:rPr>
                <w:rFonts w:hint="eastAsia" w:ascii="宋体" w:hAnsi="宋体"/>
                <w:szCs w:val="21"/>
              </w:rPr>
              <w:t>不大于本标段招标控制价总价</w:t>
            </w:r>
          </w:p>
          <w:p w14:paraId="233E5A2B">
            <w:pPr>
              <w:rPr>
                <w:rFonts w:hint="eastAsia" w:ascii="宋体" w:hAnsi="宋体"/>
                <w:szCs w:val="21"/>
              </w:rPr>
            </w:pPr>
            <w:r>
              <w:rPr>
                <w:rFonts w:hint="eastAsia" w:ascii="宋体" w:hAnsi="宋体"/>
                <w:szCs w:val="21"/>
              </w:rPr>
              <w:t>4）投标报价不低于其成本</w:t>
            </w:r>
          </w:p>
        </w:tc>
      </w:tr>
      <w:tr w14:paraId="249F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2" w:hRule="atLeast"/>
        </w:trPr>
        <w:tc>
          <w:tcPr>
            <w:tcW w:w="741" w:type="dxa"/>
            <w:vMerge w:val="continue"/>
            <w:noWrap w:val="0"/>
            <w:vAlign w:val="center"/>
          </w:tcPr>
          <w:p w14:paraId="70547D77">
            <w:pPr>
              <w:jc w:val="center"/>
              <w:rPr>
                <w:rFonts w:hint="eastAsia" w:ascii="宋体" w:hAnsi="宋体"/>
                <w:szCs w:val="21"/>
              </w:rPr>
            </w:pPr>
          </w:p>
        </w:tc>
        <w:tc>
          <w:tcPr>
            <w:tcW w:w="1059" w:type="dxa"/>
            <w:vMerge w:val="continue"/>
            <w:noWrap w:val="0"/>
            <w:vAlign w:val="center"/>
          </w:tcPr>
          <w:p w14:paraId="33080C73">
            <w:pPr>
              <w:jc w:val="center"/>
              <w:rPr>
                <w:rFonts w:hint="eastAsia" w:ascii="宋体" w:hAnsi="宋体"/>
                <w:szCs w:val="21"/>
              </w:rPr>
            </w:pPr>
          </w:p>
        </w:tc>
        <w:tc>
          <w:tcPr>
            <w:tcW w:w="2340" w:type="dxa"/>
            <w:gridSpan w:val="3"/>
            <w:noWrap w:val="0"/>
            <w:vAlign w:val="center"/>
          </w:tcPr>
          <w:p w14:paraId="4CF5D8D5">
            <w:pPr>
              <w:rPr>
                <w:rFonts w:hint="eastAsia" w:ascii="宋体" w:hAnsi="宋体"/>
                <w:szCs w:val="21"/>
              </w:rPr>
            </w:pPr>
            <w:r>
              <w:rPr>
                <w:rFonts w:hint="eastAsia" w:ascii="宋体" w:hAnsi="宋体"/>
                <w:szCs w:val="21"/>
              </w:rPr>
              <w:t>已标价工程量清单</w:t>
            </w:r>
          </w:p>
        </w:tc>
        <w:tc>
          <w:tcPr>
            <w:tcW w:w="5040" w:type="dxa"/>
            <w:gridSpan w:val="2"/>
            <w:noWrap w:val="0"/>
            <w:vAlign w:val="center"/>
          </w:tcPr>
          <w:p w14:paraId="3BAE06FB">
            <w:pPr>
              <w:rPr>
                <w:rFonts w:hint="eastAsia" w:ascii="宋体" w:hAnsi="宋体"/>
                <w:szCs w:val="21"/>
              </w:rPr>
            </w:pPr>
            <w:r>
              <w:rPr>
                <w:rFonts w:hint="eastAsia" w:ascii="宋体" w:hAnsi="宋体"/>
                <w:szCs w:val="21"/>
              </w:rPr>
              <w:t>1）已标价工程量清单项</w:t>
            </w:r>
            <w:r>
              <w:rPr>
                <w:rFonts w:ascii="宋体" w:hAnsi="宋体"/>
                <w:szCs w:val="21"/>
              </w:rPr>
              <w:t>目编码</w:t>
            </w:r>
            <w:r>
              <w:rPr>
                <w:rFonts w:hint="eastAsia" w:ascii="宋体" w:hAnsi="宋体"/>
                <w:szCs w:val="21"/>
              </w:rPr>
              <w:t>顺序与第五章“工程量清单”给出的项</w:t>
            </w:r>
            <w:r>
              <w:rPr>
                <w:rFonts w:ascii="宋体" w:hAnsi="宋体"/>
                <w:szCs w:val="21"/>
              </w:rPr>
              <w:t>目编码</w:t>
            </w:r>
            <w:r>
              <w:rPr>
                <w:rFonts w:hint="eastAsia" w:ascii="宋体" w:hAnsi="宋体"/>
                <w:szCs w:val="21"/>
              </w:rPr>
              <w:t>顺序一致；</w:t>
            </w:r>
          </w:p>
          <w:p w14:paraId="03106808">
            <w:pPr>
              <w:rPr>
                <w:rFonts w:hint="eastAsia" w:ascii="宋体" w:hAnsi="宋体"/>
                <w:szCs w:val="21"/>
              </w:rPr>
            </w:pPr>
            <w:r>
              <w:rPr>
                <w:rFonts w:hint="eastAsia" w:ascii="宋体" w:hAnsi="宋体"/>
                <w:szCs w:val="21"/>
              </w:rPr>
              <w:t>2）已标价工程量清单符合第五章“工程量清单”给出的项</w:t>
            </w:r>
            <w:r>
              <w:rPr>
                <w:rFonts w:ascii="宋体" w:hAnsi="宋体"/>
                <w:szCs w:val="21"/>
              </w:rPr>
              <w:t>目编码、</w:t>
            </w:r>
            <w:r>
              <w:rPr>
                <w:rFonts w:hint="eastAsia" w:ascii="宋体" w:hAnsi="宋体"/>
                <w:szCs w:val="21"/>
              </w:rPr>
              <w:t>项</w:t>
            </w:r>
            <w:r>
              <w:rPr>
                <w:rFonts w:ascii="宋体" w:hAnsi="宋体"/>
                <w:szCs w:val="21"/>
              </w:rPr>
              <w:t>目名称、</w:t>
            </w:r>
            <w:r>
              <w:rPr>
                <w:rFonts w:hint="eastAsia" w:ascii="宋体" w:hAnsi="宋体"/>
                <w:szCs w:val="21"/>
              </w:rPr>
              <w:t>项</w:t>
            </w:r>
            <w:r>
              <w:rPr>
                <w:rFonts w:ascii="宋体" w:hAnsi="宋体"/>
                <w:szCs w:val="21"/>
              </w:rPr>
              <w:t>目特征、计量单位和工程量</w:t>
            </w:r>
            <w:r>
              <w:rPr>
                <w:rFonts w:hint="eastAsia" w:ascii="宋体" w:hAnsi="宋体"/>
                <w:szCs w:val="21"/>
              </w:rPr>
              <w:t>；</w:t>
            </w:r>
          </w:p>
          <w:p w14:paraId="267EDF02">
            <w:pPr>
              <w:rPr>
                <w:rFonts w:hint="eastAsia" w:ascii="宋体" w:hAnsi="宋体"/>
                <w:szCs w:val="21"/>
              </w:rPr>
            </w:pPr>
            <w:r>
              <w:rPr>
                <w:rFonts w:hint="eastAsia" w:ascii="宋体" w:hAnsi="宋体"/>
                <w:szCs w:val="21"/>
              </w:rPr>
              <w:t>3）</w:t>
            </w:r>
            <w:r>
              <w:rPr>
                <w:rFonts w:ascii="宋体" w:hAnsi="宋体"/>
                <w:szCs w:val="21"/>
              </w:rPr>
              <w:t>暂列金额</w:t>
            </w:r>
            <w:r>
              <w:rPr>
                <w:rFonts w:hint="eastAsia" w:ascii="宋体" w:hAnsi="宋体"/>
                <w:szCs w:val="21"/>
              </w:rPr>
              <w:t>符合第五章“工程量清单”</w:t>
            </w:r>
            <w:r>
              <w:rPr>
                <w:rFonts w:ascii="宋体" w:hAnsi="宋体"/>
                <w:szCs w:val="21"/>
              </w:rPr>
              <w:t>列出的金额</w:t>
            </w:r>
            <w:r>
              <w:rPr>
                <w:rFonts w:hint="eastAsia" w:ascii="宋体" w:hAnsi="宋体"/>
                <w:szCs w:val="21"/>
              </w:rPr>
              <w:t>；</w:t>
            </w:r>
          </w:p>
          <w:p w14:paraId="47E84E89">
            <w:pPr>
              <w:rPr>
                <w:rFonts w:hint="eastAsia" w:ascii="宋体" w:hAnsi="宋体"/>
                <w:szCs w:val="21"/>
              </w:rPr>
            </w:pPr>
            <w:r>
              <w:rPr>
                <w:rFonts w:hint="eastAsia" w:ascii="宋体" w:hAnsi="宋体"/>
                <w:szCs w:val="21"/>
              </w:rPr>
              <w:t>4）</w:t>
            </w:r>
            <w:r>
              <w:rPr>
                <w:rFonts w:ascii="宋体" w:hAnsi="宋体"/>
                <w:szCs w:val="21"/>
              </w:rPr>
              <w:t>专业工程暂估价</w:t>
            </w:r>
            <w:r>
              <w:rPr>
                <w:rFonts w:hint="eastAsia" w:ascii="宋体" w:hAnsi="宋体"/>
                <w:szCs w:val="21"/>
              </w:rPr>
              <w:t>符合第五章“工程量清单”</w:t>
            </w:r>
            <w:r>
              <w:rPr>
                <w:rFonts w:ascii="宋体" w:hAnsi="宋体"/>
                <w:szCs w:val="21"/>
              </w:rPr>
              <w:t>列出的金额</w:t>
            </w:r>
            <w:r>
              <w:rPr>
                <w:rFonts w:hint="eastAsia" w:ascii="宋体" w:hAnsi="宋体"/>
                <w:szCs w:val="21"/>
              </w:rPr>
              <w:t>；</w:t>
            </w:r>
          </w:p>
          <w:p w14:paraId="5D151E7D">
            <w:pPr>
              <w:rPr>
                <w:rFonts w:hint="eastAsia" w:ascii="宋体" w:hAnsi="宋体"/>
                <w:szCs w:val="21"/>
              </w:rPr>
            </w:pPr>
            <w:r>
              <w:rPr>
                <w:rFonts w:hint="eastAsia" w:ascii="宋体" w:hAnsi="宋体"/>
                <w:szCs w:val="21"/>
              </w:rPr>
              <w:t>5）</w:t>
            </w:r>
            <w:r>
              <w:rPr>
                <w:rFonts w:ascii="宋体" w:hAnsi="宋体"/>
                <w:szCs w:val="21"/>
              </w:rPr>
              <w:t>材料</w:t>
            </w:r>
            <w:r>
              <w:rPr>
                <w:rFonts w:hint="eastAsia" w:ascii="宋体" w:hAnsi="宋体"/>
                <w:szCs w:val="21"/>
              </w:rPr>
              <w:t>（工程设备）</w:t>
            </w:r>
            <w:r>
              <w:rPr>
                <w:rFonts w:ascii="宋体" w:hAnsi="宋体"/>
                <w:szCs w:val="21"/>
              </w:rPr>
              <w:t>暂估价</w:t>
            </w:r>
            <w:r>
              <w:rPr>
                <w:rFonts w:hint="eastAsia" w:ascii="宋体" w:hAnsi="宋体"/>
                <w:szCs w:val="21"/>
              </w:rPr>
              <w:t>符合第五章“工程量清单”</w:t>
            </w:r>
            <w:r>
              <w:rPr>
                <w:rFonts w:ascii="宋体" w:hAnsi="宋体"/>
                <w:szCs w:val="21"/>
              </w:rPr>
              <w:t>列出的单价</w:t>
            </w:r>
            <w:r>
              <w:rPr>
                <w:rFonts w:hint="eastAsia" w:ascii="宋体" w:hAnsi="宋体"/>
                <w:szCs w:val="21"/>
              </w:rPr>
              <w:t>并</w:t>
            </w:r>
            <w:r>
              <w:rPr>
                <w:rFonts w:ascii="宋体" w:hAnsi="宋体"/>
                <w:szCs w:val="21"/>
              </w:rPr>
              <w:t>计入综合单价</w:t>
            </w:r>
            <w:r>
              <w:rPr>
                <w:rFonts w:hint="eastAsia" w:ascii="宋体" w:hAnsi="宋体"/>
                <w:szCs w:val="21"/>
              </w:rPr>
              <w:t>；</w:t>
            </w:r>
          </w:p>
          <w:p w14:paraId="52C3F696">
            <w:pPr>
              <w:rPr>
                <w:rFonts w:hint="eastAsia" w:ascii="宋体" w:hAnsi="宋体"/>
                <w:szCs w:val="21"/>
              </w:rPr>
            </w:pPr>
            <w:r>
              <w:rPr>
                <w:rFonts w:hint="eastAsia" w:ascii="宋体" w:hAnsi="宋体"/>
                <w:szCs w:val="21"/>
              </w:rPr>
              <w:t>6）安全文明施工费、规费和税金等不可竞争费用，按照规定的标准计取；</w:t>
            </w:r>
          </w:p>
          <w:p w14:paraId="22EFC219">
            <w:pPr>
              <w:rPr>
                <w:rFonts w:hint="eastAsia" w:ascii="宋体" w:hAnsi="宋体"/>
                <w:szCs w:val="21"/>
              </w:rPr>
            </w:pPr>
            <w:r>
              <w:rPr>
                <w:rFonts w:hint="eastAsia" w:ascii="宋体" w:hAnsi="宋体"/>
                <w:szCs w:val="21"/>
              </w:rPr>
              <w:t>7）计税方法符合招标文件的约定；</w:t>
            </w:r>
          </w:p>
          <w:p w14:paraId="23642B62">
            <w:pPr>
              <w:rPr>
                <w:rFonts w:hint="eastAsia" w:ascii="宋体" w:hAnsi="宋体"/>
                <w:szCs w:val="21"/>
              </w:rPr>
            </w:pPr>
            <w:r>
              <w:rPr>
                <w:rFonts w:hint="eastAsia" w:ascii="宋体" w:hAnsi="宋体"/>
                <w:szCs w:val="21"/>
              </w:rPr>
              <w:t>8）已标价工程量清单项</w:t>
            </w:r>
            <w:r>
              <w:rPr>
                <w:rFonts w:ascii="宋体" w:hAnsi="宋体"/>
                <w:szCs w:val="21"/>
              </w:rPr>
              <w:t>目</w:t>
            </w:r>
            <w:r>
              <w:rPr>
                <w:rFonts w:hint="eastAsia" w:ascii="宋体" w:hAnsi="宋体"/>
                <w:szCs w:val="21"/>
              </w:rPr>
              <w:t>未填报的项目不超过三项，或不超过三项未填报的项目的费用合计（按招标控制价相应项目的费用合计计算）不超过其投标总报价（修正后的投标总报价，如有）的±1%</w:t>
            </w:r>
          </w:p>
        </w:tc>
      </w:tr>
      <w:tr w14:paraId="15F6B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1800" w:type="dxa"/>
            <w:gridSpan w:val="2"/>
            <w:noWrap w:val="0"/>
            <w:vAlign w:val="center"/>
          </w:tcPr>
          <w:p w14:paraId="39BA4969">
            <w:pPr>
              <w:spacing w:line="420" w:lineRule="exact"/>
              <w:jc w:val="center"/>
              <w:rPr>
                <w:rFonts w:hint="eastAsia"/>
              </w:rPr>
            </w:pPr>
            <w:r>
              <w:rPr>
                <w:rFonts w:hint="eastAsia"/>
                <w:szCs w:val="21"/>
              </w:rPr>
              <w:t>3.2.2</w:t>
            </w:r>
          </w:p>
        </w:tc>
        <w:tc>
          <w:tcPr>
            <w:tcW w:w="7380" w:type="dxa"/>
            <w:gridSpan w:val="5"/>
            <w:noWrap w:val="0"/>
            <w:vAlign w:val="center"/>
          </w:tcPr>
          <w:p w14:paraId="3C113FC5">
            <w:pPr>
              <w:spacing w:line="420" w:lineRule="exact"/>
            </w:pPr>
            <w:r>
              <w:rPr>
                <w:rFonts w:hint="eastAsia"/>
                <w:szCs w:val="21"/>
              </w:rPr>
              <w:t>投标人不得存在的其他情形：</w:t>
            </w:r>
          </w:p>
          <w:p w14:paraId="35E07E5D">
            <w:pPr>
              <w:spacing w:line="420" w:lineRule="exact"/>
              <w:rPr>
                <w:rFonts w:hint="eastAsia"/>
              </w:rPr>
            </w:pPr>
            <w:r>
              <w:rPr>
                <w:rFonts w:hint="eastAsia"/>
                <w:szCs w:val="21"/>
              </w:rPr>
              <w:t>（1）</w:t>
            </w:r>
            <w:r>
              <w:rPr>
                <w:rFonts w:hint="eastAsia"/>
              </w:rPr>
              <w:t>不按评标委员会要求澄清、说明或补正；</w:t>
            </w:r>
          </w:p>
          <w:p w14:paraId="5F189366">
            <w:pPr>
              <w:spacing w:line="420" w:lineRule="exact"/>
              <w:rPr>
                <w:rFonts w:hint="eastAsia"/>
              </w:rPr>
            </w:pPr>
            <w:r>
              <w:rPr>
                <w:rFonts w:hint="eastAsia"/>
              </w:rPr>
              <w:t>（2）</w:t>
            </w:r>
            <w:r>
              <w:rPr>
                <w:rFonts w:hint="eastAsia"/>
                <w:szCs w:val="21"/>
              </w:rPr>
              <w:t>有</w:t>
            </w:r>
            <w:r>
              <w:rPr>
                <w:rFonts w:hint="eastAsia"/>
              </w:rPr>
              <w:t>串通投标、弄虚作假、行贿或有其他违法行为。</w:t>
            </w:r>
          </w:p>
        </w:tc>
      </w:tr>
      <w:tr w14:paraId="49005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800" w:type="dxa"/>
            <w:gridSpan w:val="2"/>
            <w:noWrap w:val="0"/>
            <w:vAlign w:val="center"/>
          </w:tcPr>
          <w:p w14:paraId="1FD94AAF">
            <w:pPr>
              <w:jc w:val="center"/>
              <w:rPr>
                <w:rFonts w:hint="eastAsia" w:ascii="宋体" w:hAnsi="宋体"/>
                <w:b/>
                <w:szCs w:val="21"/>
              </w:rPr>
            </w:pPr>
            <w:r>
              <w:rPr>
                <w:rFonts w:hint="eastAsia" w:ascii="宋体" w:hAnsi="宋体"/>
                <w:b/>
                <w:szCs w:val="21"/>
              </w:rPr>
              <w:t>条款号</w:t>
            </w:r>
          </w:p>
        </w:tc>
        <w:tc>
          <w:tcPr>
            <w:tcW w:w="2085" w:type="dxa"/>
            <w:gridSpan w:val="2"/>
            <w:noWrap w:val="0"/>
            <w:vAlign w:val="center"/>
          </w:tcPr>
          <w:p w14:paraId="784EFC60">
            <w:pPr>
              <w:jc w:val="center"/>
              <w:rPr>
                <w:rFonts w:hint="eastAsia" w:ascii="宋体" w:hAnsi="宋体"/>
                <w:b/>
                <w:szCs w:val="21"/>
              </w:rPr>
            </w:pPr>
            <w:r>
              <w:rPr>
                <w:rFonts w:hint="eastAsia" w:ascii="宋体" w:hAnsi="宋体"/>
                <w:b/>
                <w:szCs w:val="21"/>
              </w:rPr>
              <w:t>条款内容</w:t>
            </w:r>
          </w:p>
        </w:tc>
        <w:tc>
          <w:tcPr>
            <w:tcW w:w="5295" w:type="dxa"/>
            <w:gridSpan w:val="3"/>
            <w:noWrap w:val="0"/>
            <w:vAlign w:val="center"/>
          </w:tcPr>
          <w:p w14:paraId="0CD90669">
            <w:pPr>
              <w:jc w:val="center"/>
              <w:rPr>
                <w:rFonts w:hint="eastAsia" w:ascii="宋体" w:hAnsi="宋体"/>
                <w:b/>
                <w:szCs w:val="21"/>
              </w:rPr>
            </w:pPr>
            <w:r>
              <w:rPr>
                <w:rFonts w:hint="eastAsia" w:ascii="宋体" w:hAnsi="宋体"/>
                <w:b/>
                <w:szCs w:val="21"/>
              </w:rPr>
              <w:t>编列内容</w:t>
            </w:r>
          </w:p>
        </w:tc>
      </w:tr>
      <w:tr w14:paraId="397B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1800" w:type="dxa"/>
            <w:gridSpan w:val="2"/>
            <w:noWrap w:val="0"/>
            <w:vAlign w:val="center"/>
          </w:tcPr>
          <w:p w14:paraId="73D0FC48">
            <w:pPr>
              <w:spacing w:line="440" w:lineRule="exact"/>
              <w:jc w:val="center"/>
              <w:rPr>
                <w:rFonts w:hint="eastAsia" w:ascii="宋体" w:hAnsi="宋体"/>
                <w:szCs w:val="21"/>
              </w:rPr>
            </w:pPr>
            <w:r>
              <w:rPr>
                <w:rFonts w:hint="eastAsia"/>
                <w:szCs w:val="21"/>
              </w:rPr>
              <w:t>2.2.1</w:t>
            </w:r>
          </w:p>
        </w:tc>
        <w:tc>
          <w:tcPr>
            <w:tcW w:w="2085" w:type="dxa"/>
            <w:gridSpan w:val="2"/>
            <w:noWrap w:val="0"/>
            <w:vAlign w:val="center"/>
          </w:tcPr>
          <w:p w14:paraId="5C963BC8">
            <w:pPr>
              <w:rPr>
                <w:rFonts w:hint="eastAsia" w:ascii="宋体" w:hAnsi="宋体"/>
                <w:szCs w:val="21"/>
              </w:rPr>
            </w:pPr>
            <w:r>
              <w:rPr>
                <w:rFonts w:hint="eastAsia" w:ascii="宋体" w:hAnsi="宋体"/>
                <w:szCs w:val="21"/>
              </w:rPr>
              <w:t>分值构成</w:t>
            </w:r>
          </w:p>
          <w:p w14:paraId="19E238C2">
            <w:pPr>
              <w:rPr>
                <w:rFonts w:hint="eastAsia" w:ascii="宋体" w:hAnsi="宋体"/>
                <w:szCs w:val="21"/>
              </w:rPr>
            </w:pPr>
            <w:r>
              <w:rPr>
                <w:rFonts w:hint="eastAsia" w:ascii="宋体" w:hAnsi="宋体"/>
                <w:szCs w:val="21"/>
              </w:rPr>
              <w:t>（总分103.5分）</w:t>
            </w:r>
          </w:p>
        </w:tc>
        <w:tc>
          <w:tcPr>
            <w:tcW w:w="5295" w:type="dxa"/>
            <w:gridSpan w:val="3"/>
            <w:noWrap w:val="0"/>
            <w:vAlign w:val="center"/>
          </w:tcPr>
          <w:p w14:paraId="7E794172">
            <w:pPr>
              <w:rPr>
                <w:rFonts w:hint="eastAsia" w:ascii="宋体" w:hAnsi="宋体"/>
                <w:szCs w:val="21"/>
              </w:rPr>
            </w:pPr>
            <w:r>
              <w:rPr>
                <w:rFonts w:hint="eastAsia" w:ascii="宋体" w:hAnsi="宋体"/>
                <w:szCs w:val="21"/>
              </w:rPr>
              <w:t>投标报价：   73.5分</w:t>
            </w:r>
          </w:p>
          <w:p w14:paraId="7F1AE53F">
            <w:pPr>
              <w:rPr>
                <w:rFonts w:hint="eastAsia" w:ascii="宋体" w:hAnsi="宋体"/>
                <w:szCs w:val="21"/>
              </w:rPr>
            </w:pPr>
            <w:r>
              <w:rPr>
                <w:rFonts w:hint="eastAsia" w:ascii="宋体" w:hAnsi="宋体"/>
                <w:szCs w:val="21"/>
              </w:rPr>
              <w:t xml:space="preserve">施工组织设计： 16分       </w:t>
            </w:r>
          </w:p>
          <w:p w14:paraId="4DF11881">
            <w:pPr>
              <w:rPr>
                <w:rFonts w:hint="eastAsia" w:ascii="宋体" w:hAnsi="宋体"/>
                <w:szCs w:val="21"/>
              </w:rPr>
            </w:pPr>
            <w:r>
              <w:rPr>
                <w:rFonts w:hint="eastAsia" w:ascii="宋体" w:hAnsi="宋体"/>
                <w:szCs w:val="21"/>
              </w:rPr>
              <w:t xml:space="preserve">项目管理机构：  6分         </w:t>
            </w:r>
          </w:p>
          <w:p w14:paraId="51DBA001">
            <w:pPr>
              <w:rPr>
                <w:rFonts w:hint="eastAsia" w:ascii="宋体" w:hAnsi="宋体"/>
                <w:szCs w:val="21"/>
              </w:rPr>
            </w:pPr>
            <w:r>
              <w:rPr>
                <w:rFonts w:hint="eastAsia" w:ascii="宋体" w:hAnsi="宋体"/>
                <w:szCs w:val="21"/>
              </w:rPr>
              <w:t xml:space="preserve">其他评分因素：  8分         </w:t>
            </w:r>
          </w:p>
        </w:tc>
      </w:tr>
      <w:tr w14:paraId="6798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1800" w:type="dxa"/>
            <w:gridSpan w:val="2"/>
            <w:noWrap w:val="0"/>
            <w:vAlign w:val="center"/>
          </w:tcPr>
          <w:p w14:paraId="324657BD">
            <w:pPr>
              <w:spacing w:line="440" w:lineRule="exact"/>
              <w:jc w:val="center"/>
              <w:rPr>
                <w:rFonts w:hint="eastAsia"/>
                <w:szCs w:val="21"/>
              </w:rPr>
            </w:pPr>
            <w:r>
              <w:rPr>
                <w:rFonts w:hint="eastAsia"/>
                <w:szCs w:val="21"/>
              </w:rPr>
              <w:t>2.2.2</w:t>
            </w:r>
          </w:p>
          <w:p w14:paraId="2A6EAA88">
            <w:pPr>
              <w:spacing w:line="440" w:lineRule="exact"/>
              <w:jc w:val="center"/>
              <w:rPr>
                <w:rFonts w:hint="eastAsia" w:ascii="宋体" w:hAnsi="宋体"/>
                <w:szCs w:val="21"/>
              </w:rPr>
            </w:pPr>
            <w:r>
              <w:rPr>
                <w:rFonts w:hint="eastAsia"/>
                <w:szCs w:val="21"/>
              </w:rPr>
              <w:t>（1）</w:t>
            </w:r>
          </w:p>
        </w:tc>
        <w:tc>
          <w:tcPr>
            <w:tcW w:w="2085" w:type="dxa"/>
            <w:gridSpan w:val="2"/>
            <w:noWrap w:val="0"/>
            <w:vAlign w:val="center"/>
          </w:tcPr>
          <w:p w14:paraId="112A0D64">
            <w:pPr>
              <w:rPr>
                <w:rFonts w:hint="eastAsia" w:ascii="宋体" w:hAnsi="宋体"/>
                <w:szCs w:val="21"/>
              </w:rPr>
            </w:pPr>
            <w:r>
              <w:rPr>
                <w:rFonts w:hint="eastAsia" w:ascii="宋体" w:hAnsi="宋体"/>
                <w:szCs w:val="21"/>
              </w:rPr>
              <w:t>评标价确定方法</w:t>
            </w:r>
          </w:p>
        </w:tc>
        <w:tc>
          <w:tcPr>
            <w:tcW w:w="5295" w:type="dxa"/>
            <w:gridSpan w:val="3"/>
            <w:noWrap w:val="0"/>
            <w:vAlign w:val="center"/>
          </w:tcPr>
          <w:p w14:paraId="40BAC1AF">
            <w:pPr>
              <w:ind w:right="113"/>
              <w:rPr>
                <w:rFonts w:hint="eastAsia" w:ascii="宋体" w:hAnsi="宋体"/>
                <w:szCs w:val="21"/>
              </w:rPr>
            </w:pPr>
            <w:r>
              <w:rPr>
                <w:rFonts w:hint="eastAsia" w:ascii="宋体" w:hAnsi="宋体"/>
                <w:szCs w:val="21"/>
              </w:rPr>
              <w:t>评标价＝投标函大写</w:t>
            </w:r>
            <w:r>
              <w:rPr>
                <w:rFonts w:hint="eastAsia"/>
              </w:rPr>
              <w:t>投标报价（经投标人书面确认的算术错误修正后的投标总报价）</w:t>
            </w:r>
            <w:r>
              <w:rPr>
                <w:rFonts w:hint="eastAsia" w:ascii="宋体" w:hAnsi="宋体"/>
                <w:szCs w:val="21"/>
              </w:rPr>
              <w:t>-（暂列金额+税金）-（专业工程暂估价+税金）</w:t>
            </w:r>
          </w:p>
        </w:tc>
      </w:tr>
      <w:tr w14:paraId="4F11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trPr>
        <w:tc>
          <w:tcPr>
            <w:tcW w:w="1800" w:type="dxa"/>
            <w:gridSpan w:val="2"/>
            <w:noWrap w:val="0"/>
            <w:vAlign w:val="center"/>
          </w:tcPr>
          <w:p w14:paraId="2A0F6075">
            <w:pPr>
              <w:spacing w:line="440" w:lineRule="exact"/>
              <w:jc w:val="center"/>
              <w:rPr>
                <w:rFonts w:hint="eastAsia"/>
                <w:szCs w:val="21"/>
              </w:rPr>
            </w:pPr>
            <w:r>
              <w:rPr>
                <w:rFonts w:hint="eastAsia"/>
                <w:szCs w:val="21"/>
              </w:rPr>
              <w:t>2.2.2</w:t>
            </w:r>
          </w:p>
          <w:p w14:paraId="664A7E26">
            <w:pPr>
              <w:spacing w:line="440" w:lineRule="exact"/>
              <w:jc w:val="center"/>
              <w:rPr>
                <w:rFonts w:hint="eastAsia" w:ascii="宋体" w:hAnsi="宋体"/>
                <w:szCs w:val="21"/>
              </w:rPr>
            </w:pPr>
            <w:r>
              <w:rPr>
                <w:rFonts w:hint="eastAsia"/>
                <w:szCs w:val="21"/>
              </w:rPr>
              <w:t>（2）</w:t>
            </w:r>
          </w:p>
        </w:tc>
        <w:tc>
          <w:tcPr>
            <w:tcW w:w="2085" w:type="dxa"/>
            <w:gridSpan w:val="2"/>
            <w:noWrap w:val="0"/>
            <w:vAlign w:val="center"/>
          </w:tcPr>
          <w:p w14:paraId="303B044C">
            <w:pPr>
              <w:rPr>
                <w:rFonts w:hint="eastAsia" w:ascii="宋体" w:hAnsi="宋体"/>
                <w:szCs w:val="21"/>
              </w:rPr>
            </w:pPr>
            <w:r>
              <w:rPr>
                <w:rFonts w:hint="eastAsia" w:ascii="宋体" w:hAnsi="宋体"/>
                <w:szCs w:val="21"/>
              </w:rPr>
              <w:t>评标基准价计算方法</w:t>
            </w:r>
          </w:p>
        </w:tc>
        <w:tc>
          <w:tcPr>
            <w:tcW w:w="5295" w:type="dxa"/>
            <w:gridSpan w:val="3"/>
            <w:noWrap w:val="0"/>
            <w:vAlign w:val="center"/>
          </w:tcPr>
          <w:p w14:paraId="4E835859">
            <w:pPr>
              <w:ind w:right="113"/>
              <w:rPr>
                <w:rFonts w:hint="eastAsia" w:ascii="宋体" w:hAnsi="宋体"/>
                <w:szCs w:val="21"/>
              </w:rPr>
            </w:pPr>
            <w:r>
              <w:rPr>
                <w:rFonts w:hint="eastAsia" w:ascii="宋体" w:hAnsi="宋体"/>
                <w:szCs w:val="21"/>
              </w:rPr>
              <w:t>所有有效投标的评标价去掉</w:t>
            </w:r>
            <w:r>
              <w:rPr>
                <w:rFonts w:hint="eastAsia" w:ascii="宋体" w:hAnsi="宋体" w:cs="宋体"/>
                <w:kern w:val="0"/>
                <w:szCs w:val="21"/>
              </w:rPr>
              <w:t>六分之一（不能整除的按小数前整数取整，不足六家报价则不去掉）的最低价</w:t>
            </w:r>
            <w:r>
              <w:rPr>
                <w:rFonts w:hint="eastAsia" w:ascii="宋体" w:hAnsi="宋体"/>
                <w:szCs w:val="21"/>
              </w:rPr>
              <w:t>和</w:t>
            </w:r>
            <w:r>
              <w:rPr>
                <w:rFonts w:hint="eastAsia" w:ascii="宋体" w:hAnsi="宋体" w:cs="宋体"/>
                <w:kern w:val="0"/>
                <w:szCs w:val="21"/>
              </w:rPr>
              <w:t>相同数量的最高价后的算术平均值</w:t>
            </w:r>
            <w:r>
              <w:rPr>
                <w:rFonts w:hint="eastAsia" w:ascii="宋体" w:hAnsi="宋体"/>
                <w:szCs w:val="21"/>
              </w:rPr>
              <w:t>下浮E%，作为评标基准价。</w:t>
            </w:r>
          </w:p>
          <w:p w14:paraId="0F537C57">
            <w:pPr>
              <w:ind w:right="113"/>
              <w:rPr>
                <w:rFonts w:hint="eastAsia" w:ascii="宋体" w:hAnsi="宋体"/>
                <w:szCs w:val="21"/>
              </w:rPr>
            </w:pPr>
            <w:r>
              <w:rPr>
                <w:rFonts w:hint="eastAsia" w:ascii="宋体" w:hAnsi="宋体"/>
                <w:szCs w:val="21"/>
              </w:rPr>
              <w:t>E:为评标基准价下浮系数，范围为1-3的整数，由招标人确定。E的取值见第二章投标人须知前附表第</w:t>
            </w:r>
            <w:r>
              <w:rPr>
                <w:rFonts w:hint="eastAsia"/>
              </w:rPr>
              <w:t>10.2.1</w:t>
            </w:r>
            <w:r>
              <w:rPr>
                <w:rFonts w:hint="eastAsia" w:ascii="宋体" w:hAnsi="宋体"/>
                <w:szCs w:val="21"/>
              </w:rPr>
              <w:t>项。</w:t>
            </w:r>
          </w:p>
        </w:tc>
      </w:tr>
      <w:tr w14:paraId="686B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800" w:type="dxa"/>
            <w:gridSpan w:val="2"/>
            <w:noWrap w:val="0"/>
            <w:vAlign w:val="center"/>
          </w:tcPr>
          <w:p w14:paraId="42A0B5D5">
            <w:pPr>
              <w:spacing w:line="440" w:lineRule="exact"/>
              <w:jc w:val="center"/>
              <w:rPr>
                <w:rFonts w:hint="eastAsia" w:ascii="宋体" w:hAnsi="宋体"/>
                <w:szCs w:val="21"/>
              </w:rPr>
            </w:pPr>
            <w:r>
              <w:rPr>
                <w:rFonts w:hint="eastAsia"/>
                <w:szCs w:val="21"/>
              </w:rPr>
              <w:t>2.2.3</w:t>
            </w:r>
          </w:p>
        </w:tc>
        <w:tc>
          <w:tcPr>
            <w:tcW w:w="2085" w:type="dxa"/>
            <w:gridSpan w:val="2"/>
            <w:noWrap w:val="0"/>
            <w:vAlign w:val="center"/>
          </w:tcPr>
          <w:p w14:paraId="29F5B540">
            <w:pPr>
              <w:rPr>
                <w:rFonts w:hint="eastAsia" w:ascii="宋体" w:hAnsi="宋体"/>
                <w:szCs w:val="21"/>
              </w:rPr>
            </w:pPr>
            <w:r>
              <w:rPr>
                <w:rFonts w:hint="eastAsia" w:ascii="宋体" w:hAnsi="宋体"/>
                <w:szCs w:val="21"/>
              </w:rPr>
              <w:t>投标报价的偏差率</w:t>
            </w:r>
          </w:p>
          <w:p w14:paraId="12C3209D">
            <w:pPr>
              <w:rPr>
                <w:rFonts w:hint="eastAsia" w:ascii="宋体" w:hAnsi="宋体"/>
                <w:szCs w:val="21"/>
              </w:rPr>
            </w:pPr>
            <w:r>
              <w:rPr>
                <w:rFonts w:hint="eastAsia" w:ascii="宋体" w:hAnsi="宋体"/>
                <w:szCs w:val="21"/>
              </w:rPr>
              <w:t>计算公式</w:t>
            </w:r>
          </w:p>
        </w:tc>
        <w:tc>
          <w:tcPr>
            <w:tcW w:w="5295" w:type="dxa"/>
            <w:gridSpan w:val="3"/>
            <w:noWrap w:val="0"/>
            <w:vAlign w:val="center"/>
          </w:tcPr>
          <w:p w14:paraId="17BFCEDC">
            <w:pPr>
              <w:rPr>
                <w:rFonts w:hint="eastAsia" w:ascii="宋体" w:hAnsi="宋体"/>
                <w:szCs w:val="21"/>
              </w:rPr>
            </w:pPr>
            <w:r>
              <w:rPr>
                <w:rFonts w:hint="eastAsia" w:ascii="宋体" w:hAnsi="宋体"/>
                <w:szCs w:val="21"/>
              </w:rPr>
              <w:t>偏差率=100%×（投标人评标价－评标基准价）÷评标基准价</w:t>
            </w:r>
          </w:p>
        </w:tc>
      </w:tr>
      <w:tr w14:paraId="3B470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800" w:type="dxa"/>
            <w:gridSpan w:val="2"/>
            <w:noWrap w:val="0"/>
            <w:vAlign w:val="center"/>
          </w:tcPr>
          <w:p w14:paraId="108097E7">
            <w:pPr>
              <w:jc w:val="center"/>
              <w:rPr>
                <w:rFonts w:hint="eastAsia" w:ascii="宋体" w:hAnsi="宋体"/>
                <w:b/>
                <w:szCs w:val="21"/>
              </w:rPr>
            </w:pPr>
            <w:r>
              <w:rPr>
                <w:rFonts w:hint="eastAsia" w:ascii="宋体" w:hAnsi="宋体"/>
                <w:b/>
                <w:szCs w:val="21"/>
              </w:rPr>
              <w:t>条款号</w:t>
            </w:r>
          </w:p>
        </w:tc>
        <w:tc>
          <w:tcPr>
            <w:tcW w:w="2085" w:type="dxa"/>
            <w:gridSpan w:val="2"/>
            <w:noWrap w:val="0"/>
            <w:vAlign w:val="center"/>
          </w:tcPr>
          <w:p w14:paraId="4EED07A5">
            <w:pPr>
              <w:jc w:val="center"/>
              <w:rPr>
                <w:rFonts w:hint="eastAsia" w:ascii="宋体" w:hAnsi="宋体"/>
                <w:b/>
                <w:szCs w:val="21"/>
              </w:rPr>
            </w:pPr>
            <w:r>
              <w:rPr>
                <w:rFonts w:hint="eastAsia" w:ascii="宋体" w:hAnsi="宋体"/>
                <w:b/>
                <w:szCs w:val="21"/>
              </w:rPr>
              <w:t>评分因素</w:t>
            </w:r>
          </w:p>
        </w:tc>
        <w:tc>
          <w:tcPr>
            <w:tcW w:w="735" w:type="dxa"/>
            <w:gridSpan w:val="2"/>
            <w:noWrap w:val="0"/>
            <w:vAlign w:val="center"/>
          </w:tcPr>
          <w:p w14:paraId="773552C7">
            <w:pPr>
              <w:jc w:val="center"/>
              <w:rPr>
                <w:rFonts w:hint="eastAsia" w:ascii="宋体" w:hAnsi="宋体"/>
                <w:b/>
                <w:szCs w:val="21"/>
              </w:rPr>
            </w:pPr>
            <w:r>
              <w:rPr>
                <w:rFonts w:hint="eastAsia" w:ascii="宋体" w:hAnsi="宋体"/>
                <w:b/>
                <w:szCs w:val="21"/>
              </w:rPr>
              <w:t>标准分</w:t>
            </w:r>
          </w:p>
        </w:tc>
        <w:tc>
          <w:tcPr>
            <w:tcW w:w="4560" w:type="dxa"/>
            <w:noWrap w:val="0"/>
            <w:vAlign w:val="center"/>
          </w:tcPr>
          <w:p w14:paraId="02754D55">
            <w:pPr>
              <w:jc w:val="center"/>
              <w:rPr>
                <w:rFonts w:hint="eastAsia" w:ascii="宋体" w:hAnsi="宋体"/>
                <w:b/>
                <w:szCs w:val="21"/>
              </w:rPr>
            </w:pPr>
            <w:r>
              <w:rPr>
                <w:rFonts w:hint="eastAsia" w:ascii="宋体" w:hAnsi="宋体"/>
                <w:b/>
                <w:szCs w:val="21"/>
              </w:rPr>
              <w:t>评分标准</w:t>
            </w:r>
          </w:p>
        </w:tc>
      </w:tr>
      <w:tr w14:paraId="6688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741" w:type="dxa"/>
            <w:vMerge w:val="restart"/>
            <w:noWrap w:val="0"/>
            <w:vAlign w:val="center"/>
          </w:tcPr>
          <w:p w14:paraId="7E4B0929">
            <w:pPr>
              <w:spacing w:line="440" w:lineRule="exact"/>
              <w:jc w:val="center"/>
              <w:rPr>
                <w:rFonts w:hint="eastAsia"/>
                <w:szCs w:val="21"/>
              </w:rPr>
            </w:pPr>
            <w:r>
              <w:rPr>
                <w:rFonts w:hint="eastAsia"/>
                <w:szCs w:val="21"/>
              </w:rPr>
              <w:t>2.2.4</w:t>
            </w:r>
          </w:p>
          <w:p w14:paraId="1BC4CC6C">
            <w:pPr>
              <w:spacing w:line="440" w:lineRule="exact"/>
              <w:jc w:val="center"/>
              <w:rPr>
                <w:rFonts w:hint="eastAsia" w:ascii="宋体" w:hAnsi="宋体"/>
                <w:szCs w:val="21"/>
              </w:rPr>
            </w:pPr>
            <w:r>
              <w:rPr>
                <w:rFonts w:hint="eastAsia"/>
                <w:szCs w:val="21"/>
              </w:rPr>
              <w:t>(1)</w:t>
            </w:r>
          </w:p>
        </w:tc>
        <w:tc>
          <w:tcPr>
            <w:tcW w:w="1059" w:type="dxa"/>
            <w:vMerge w:val="restart"/>
            <w:noWrap w:val="0"/>
            <w:vAlign w:val="center"/>
          </w:tcPr>
          <w:p w14:paraId="5FE7F430">
            <w:pPr>
              <w:jc w:val="center"/>
              <w:rPr>
                <w:rFonts w:hint="eastAsia" w:ascii="宋体" w:hAnsi="宋体"/>
                <w:szCs w:val="21"/>
              </w:rPr>
            </w:pPr>
            <w:r>
              <w:rPr>
                <w:rFonts w:hint="eastAsia" w:ascii="宋体" w:hAnsi="宋体"/>
                <w:szCs w:val="21"/>
              </w:rPr>
              <w:t>投标报价</w:t>
            </w:r>
          </w:p>
          <w:p w14:paraId="76ADF179">
            <w:pPr>
              <w:jc w:val="center"/>
              <w:rPr>
                <w:rFonts w:hint="eastAsia" w:ascii="宋体" w:hAnsi="宋体"/>
                <w:szCs w:val="21"/>
              </w:rPr>
            </w:pPr>
            <w:r>
              <w:rPr>
                <w:rFonts w:hint="eastAsia" w:ascii="宋体" w:hAnsi="宋体"/>
                <w:szCs w:val="21"/>
              </w:rPr>
              <w:t>评分标准</w:t>
            </w:r>
          </w:p>
        </w:tc>
        <w:tc>
          <w:tcPr>
            <w:tcW w:w="2085" w:type="dxa"/>
            <w:gridSpan w:val="2"/>
            <w:noWrap w:val="0"/>
            <w:vAlign w:val="center"/>
          </w:tcPr>
          <w:p w14:paraId="1EF860C3">
            <w:pPr>
              <w:rPr>
                <w:rFonts w:hint="eastAsia" w:ascii="宋体" w:hAnsi="宋体"/>
                <w:szCs w:val="21"/>
              </w:rPr>
            </w:pPr>
            <w:r>
              <w:rPr>
                <w:rFonts w:hint="eastAsia" w:ascii="宋体" w:hAnsi="宋体"/>
                <w:szCs w:val="21"/>
              </w:rPr>
              <w:t>计算投标报价得分</w:t>
            </w:r>
          </w:p>
        </w:tc>
        <w:tc>
          <w:tcPr>
            <w:tcW w:w="735" w:type="dxa"/>
            <w:gridSpan w:val="2"/>
            <w:noWrap w:val="0"/>
            <w:vAlign w:val="center"/>
          </w:tcPr>
          <w:p w14:paraId="62F95128">
            <w:pPr>
              <w:jc w:val="center"/>
              <w:rPr>
                <w:rFonts w:hint="eastAsia" w:ascii="宋体" w:hAnsi="宋体"/>
                <w:szCs w:val="44"/>
              </w:rPr>
            </w:pPr>
            <w:r>
              <w:rPr>
                <w:rFonts w:hint="eastAsia" w:ascii="宋体" w:hAnsi="宋体"/>
                <w:szCs w:val="21"/>
              </w:rPr>
              <w:t>70分</w:t>
            </w:r>
          </w:p>
        </w:tc>
        <w:tc>
          <w:tcPr>
            <w:tcW w:w="4560" w:type="dxa"/>
            <w:tcBorders>
              <w:bottom w:val="single" w:color="auto" w:sz="4" w:space="0"/>
            </w:tcBorders>
            <w:noWrap w:val="0"/>
            <w:vAlign w:val="center"/>
          </w:tcPr>
          <w:p w14:paraId="6914CC4A">
            <w:pPr>
              <w:pStyle w:val="5"/>
              <w:rPr>
                <w:rFonts w:hint="eastAsia" w:ascii="宋体" w:hAnsi="宋体"/>
                <w:szCs w:val="21"/>
              </w:rPr>
            </w:pPr>
            <w:r>
              <w:rPr>
                <w:rFonts w:hint="eastAsia" w:ascii="宋体" w:hAnsi="宋体"/>
                <w:szCs w:val="21"/>
              </w:rPr>
              <w:t>F＝70-（投标人评标价-评标基准价）÷评标基准价×100×3   （评标价＞基准价时）</w:t>
            </w:r>
          </w:p>
          <w:p w14:paraId="36CE4CFA">
            <w:pPr>
              <w:pStyle w:val="5"/>
              <w:rPr>
                <w:rFonts w:hint="eastAsia" w:ascii="宋体" w:hAnsi="宋体"/>
                <w:szCs w:val="21"/>
              </w:rPr>
            </w:pPr>
            <w:r>
              <w:rPr>
                <w:rFonts w:hint="eastAsia" w:ascii="宋体" w:hAnsi="宋体"/>
                <w:szCs w:val="21"/>
              </w:rPr>
              <w:t>F＝70-（评标基准价-投标人评标价）÷评标基准价×100×2   （评标价≤基准价时）</w:t>
            </w:r>
          </w:p>
          <w:p w14:paraId="6591640D">
            <w:pPr>
              <w:pStyle w:val="5"/>
              <w:rPr>
                <w:rFonts w:hint="eastAsia"/>
              </w:rPr>
            </w:pPr>
            <w:r>
              <w:rPr>
                <w:rFonts w:hint="eastAsia"/>
              </w:rPr>
              <w:t>其中：F≥0。</w:t>
            </w:r>
          </w:p>
        </w:tc>
      </w:tr>
      <w:tr w14:paraId="1814C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1" w:hRule="atLeast"/>
        </w:trPr>
        <w:tc>
          <w:tcPr>
            <w:tcW w:w="741" w:type="dxa"/>
            <w:vMerge w:val="continue"/>
            <w:noWrap w:val="0"/>
            <w:vAlign w:val="center"/>
          </w:tcPr>
          <w:p w14:paraId="00D1DC80">
            <w:pPr>
              <w:jc w:val="center"/>
              <w:rPr>
                <w:rFonts w:hint="eastAsia" w:ascii="宋体" w:hAnsi="宋体"/>
                <w:szCs w:val="21"/>
              </w:rPr>
            </w:pPr>
          </w:p>
        </w:tc>
        <w:tc>
          <w:tcPr>
            <w:tcW w:w="1059" w:type="dxa"/>
            <w:vMerge w:val="continue"/>
            <w:noWrap w:val="0"/>
            <w:vAlign w:val="center"/>
          </w:tcPr>
          <w:p w14:paraId="693F393E">
            <w:pPr>
              <w:jc w:val="center"/>
              <w:rPr>
                <w:rFonts w:hint="eastAsia" w:ascii="宋体" w:hAnsi="宋体"/>
                <w:szCs w:val="21"/>
              </w:rPr>
            </w:pPr>
          </w:p>
        </w:tc>
        <w:tc>
          <w:tcPr>
            <w:tcW w:w="2085" w:type="dxa"/>
            <w:gridSpan w:val="2"/>
            <w:noWrap w:val="0"/>
            <w:vAlign w:val="center"/>
          </w:tcPr>
          <w:p w14:paraId="42FA914E">
            <w:pPr>
              <w:rPr>
                <w:rFonts w:hint="eastAsia" w:ascii="宋体" w:hAnsi="宋体"/>
                <w:szCs w:val="21"/>
              </w:rPr>
            </w:pPr>
            <w:r>
              <w:rPr>
                <w:rFonts w:hint="eastAsia" w:ascii="宋体" w:hAnsi="宋体"/>
                <w:szCs w:val="21"/>
              </w:rPr>
              <w:t>不平衡报价扣分</w:t>
            </w:r>
          </w:p>
        </w:tc>
        <w:tc>
          <w:tcPr>
            <w:tcW w:w="735" w:type="dxa"/>
            <w:gridSpan w:val="2"/>
            <w:noWrap w:val="0"/>
            <w:vAlign w:val="center"/>
          </w:tcPr>
          <w:p w14:paraId="06688331">
            <w:pPr>
              <w:rPr>
                <w:rFonts w:hint="eastAsia" w:ascii="宋体" w:hAnsi="宋体"/>
                <w:szCs w:val="21"/>
              </w:rPr>
            </w:pPr>
          </w:p>
        </w:tc>
        <w:tc>
          <w:tcPr>
            <w:tcW w:w="4560" w:type="dxa"/>
            <w:tcBorders>
              <w:bottom w:val="single" w:color="auto" w:sz="4" w:space="0"/>
            </w:tcBorders>
            <w:noWrap w:val="0"/>
            <w:vAlign w:val="center"/>
          </w:tcPr>
          <w:p w14:paraId="580F8BBE">
            <w:pPr>
              <w:pStyle w:val="5"/>
              <w:rPr>
                <w:rFonts w:hint="eastAsia" w:ascii="宋体" w:hAnsi="宋体"/>
              </w:rPr>
            </w:pPr>
            <w:r>
              <w:rPr>
                <w:rFonts w:hint="eastAsia"/>
                <w:szCs w:val="21"/>
              </w:rPr>
              <w:t>〔单位工程投标报价</w:t>
            </w:r>
            <w:r>
              <w:rPr>
                <w:rFonts w:hint="eastAsia" w:ascii="宋体" w:hAnsi="宋体"/>
              </w:rPr>
              <w:t>-</w:t>
            </w:r>
            <w:r>
              <w:rPr>
                <w:rFonts w:hint="eastAsia" w:ascii="宋体" w:hAnsi="宋体"/>
                <w:szCs w:val="21"/>
              </w:rPr>
              <w:t>（暂列金额+税金）-（专业工程暂估价+税金）</w:t>
            </w:r>
            <w:r>
              <w:rPr>
                <w:rFonts w:hint="eastAsia"/>
                <w:szCs w:val="21"/>
              </w:rPr>
              <w:t>〕</w:t>
            </w:r>
            <w:r>
              <w:rPr>
                <w:rFonts w:hint="eastAsia" w:ascii="宋体" w:hAnsi="宋体"/>
              </w:rPr>
              <w:t>低于（不含）〔</w:t>
            </w:r>
            <w:r>
              <w:rPr>
                <w:rFonts w:hint="eastAsia"/>
                <w:szCs w:val="21"/>
              </w:rPr>
              <w:t>单位工程招标控制价</w:t>
            </w:r>
            <w:r>
              <w:rPr>
                <w:rFonts w:hint="eastAsia" w:ascii="宋体" w:hAnsi="宋体"/>
              </w:rPr>
              <w:t>-</w:t>
            </w:r>
            <w:r>
              <w:rPr>
                <w:rFonts w:hint="eastAsia" w:ascii="宋体" w:hAnsi="宋体"/>
                <w:szCs w:val="21"/>
              </w:rPr>
              <w:t>（暂列金额+税金）-（专业工程暂估价+税金）</w:t>
            </w:r>
            <w:r>
              <w:rPr>
                <w:rFonts w:hint="eastAsia" w:ascii="宋体" w:hAnsi="宋体"/>
              </w:rPr>
              <w:t>〕</w:t>
            </w:r>
            <w:r>
              <w:rPr>
                <w:rFonts w:hint="eastAsia" w:ascii="宋体" w:hAnsi="宋体"/>
                <w:szCs w:val="21"/>
                <w:u w:val="single"/>
              </w:rPr>
              <w:t xml:space="preserve">   H%    </w:t>
            </w:r>
            <w:r>
              <w:rPr>
                <w:rFonts w:hint="eastAsia" w:ascii="宋体" w:hAnsi="宋体"/>
              </w:rPr>
              <w:t>的,视为不平衡报价，每发现一项，扣5分，该项计分公式为：</w:t>
            </w:r>
          </w:p>
          <w:p w14:paraId="0C0303AC">
            <w:pPr>
              <w:pStyle w:val="5"/>
              <w:rPr>
                <w:rFonts w:hint="eastAsia" w:ascii="宋体" w:hAnsi="宋体"/>
                <w:szCs w:val="21"/>
                <w:vertAlign w:val="subscript"/>
              </w:rPr>
            </w:pPr>
            <w:r>
              <w:rPr>
                <w:rFonts w:hint="eastAsia" w:ascii="宋体" w:hAnsi="宋体"/>
              </w:rPr>
              <w:t xml:space="preserve">   </w:t>
            </w:r>
            <w:r>
              <w:rPr>
                <w:rFonts w:hint="eastAsia" w:ascii="宋体" w:hAnsi="宋体"/>
                <w:szCs w:val="21"/>
              </w:rPr>
              <w:t>K =k</w:t>
            </w:r>
            <w:r>
              <w:rPr>
                <w:rFonts w:hint="eastAsia" w:ascii="宋体" w:hAnsi="宋体"/>
                <w:szCs w:val="21"/>
                <w:vertAlign w:val="subscript"/>
              </w:rPr>
              <w:t>1</w:t>
            </w:r>
            <w:r>
              <w:rPr>
                <w:rFonts w:hint="eastAsia" w:ascii="宋体" w:hAnsi="宋体"/>
                <w:szCs w:val="21"/>
              </w:rPr>
              <w:t xml:space="preserve"> + k</w:t>
            </w:r>
            <w:r>
              <w:rPr>
                <w:rFonts w:hint="eastAsia" w:ascii="宋体" w:hAnsi="宋体"/>
                <w:szCs w:val="21"/>
                <w:vertAlign w:val="subscript"/>
              </w:rPr>
              <w:t xml:space="preserve">2 </w:t>
            </w:r>
            <w:r>
              <w:rPr>
                <w:rFonts w:hint="eastAsia" w:ascii="宋体" w:hAnsi="宋体"/>
                <w:szCs w:val="21"/>
              </w:rPr>
              <w:t>+ … + k</w:t>
            </w:r>
            <w:r>
              <w:rPr>
                <w:rFonts w:hint="eastAsia" w:ascii="宋体" w:hAnsi="宋体"/>
                <w:szCs w:val="21"/>
                <w:vertAlign w:val="subscript"/>
              </w:rPr>
              <w:t>n</w:t>
            </w:r>
          </w:p>
          <w:p w14:paraId="57694BB6">
            <w:pPr>
              <w:pStyle w:val="5"/>
              <w:ind w:firstLine="315" w:firstLineChars="150"/>
              <w:rPr>
                <w:rFonts w:hint="eastAsia" w:ascii="宋体" w:hAnsi="宋体"/>
                <w:szCs w:val="21"/>
              </w:rPr>
            </w:pPr>
            <w:r>
              <w:rPr>
                <w:rFonts w:hint="eastAsia" w:ascii="宋体" w:hAnsi="宋体"/>
                <w:szCs w:val="21"/>
              </w:rPr>
              <w:t>其中:K为扣分合计；</w:t>
            </w:r>
          </w:p>
          <w:p w14:paraId="1927C791">
            <w:pPr>
              <w:pStyle w:val="5"/>
              <w:ind w:firstLine="840" w:firstLineChars="400"/>
              <w:rPr>
                <w:rFonts w:hint="eastAsia" w:ascii="宋体" w:hAnsi="宋体"/>
                <w:szCs w:val="21"/>
              </w:rPr>
            </w:pPr>
            <w:r>
              <w:rPr>
                <w:rFonts w:hint="eastAsia" w:ascii="宋体" w:hAnsi="宋体"/>
                <w:szCs w:val="21"/>
              </w:rPr>
              <w:t>k为单次扣分分值；</w:t>
            </w:r>
          </w:p>
          <w:p w14:paraId="746B5C7F">
            <w:pPr>
              <w:pStyle w:val="5"/>
              <w:ind w:firstLine="840" w:firstLineChars="400"/>
              <w:rPr>
                <w:rFonts w:ascii="宋体" w:hAnsi="宋体"/>
                <w:szCs w:val="21"/>
              </w:rPr>
            </w:pPr>
            <w:r>
              <w:rPr>
                <w:rFonts w:hint="eastAsia" w:ascii="宋体" w:hAnsi="宋体"/>
                <w:szCs w:val="21"/>
              </w:rPr>
              <w:t>n为扣分次数；</w:t>
            </w:r>
          </w:p>
          <w:p w14:paraId="60BC9524">
            <w:pPr>
              <w:pStyle w:val="5"/>
              <w:ind w:firstLine="840" w:firstLineChars="400"/>
              <w:rPr>
                <w:rFonts w:hint="eastAsia" w:ascii="宋体" w:hAnsi="宋体"/>
                <w:szCs w:val="21"/>
              </w:rPr>
            </w:pPr>
            <w:r>
              <w:rPr>
                <w:rFonts w:ascii="宋体" w:hAnsi="宋体"/>
                <w:szCs w:val="21"/>
              </w:rPr>
              <w:t>H</w:t>
            </w:r>
            <w:r>
              <w:rPr>
                <w:rFonts w:hint="eastAsia" w:ascii="宋体" w:hAnsi="宋体"/>
                <w:szCs w:val="21"/>
              </w:rPr>
              <w:t>为不平衡报价系数。H的取值见第二章投标人须知前附表第</w:t>
            </w:r>
            <w:r>
              <w:rPr>
                <w:rFonts w:hint="eastAsia"/>
              </w:rPr>
              <w:t>10.2.2</w:t>
            </w:r>
            <w:r>
              <w:rPr>
                <w:rFonts w:hint="eastAsia" w:ascii="宋体" w:hAnsi="宋体"/>
                <w:szCs w:val="21"/>
              </w:rPr>
              <w:t>项。</w:t>
            </w:r>
          </w:p>
          <w:p w14:paraId="38C188F9">
            <w:pPr>
              <w:rPr>
                <w:rFonts w:hint="eastAsia" w:ascii="宋体" w:hAnsi="宋体"/>
                <w:bCs/>
                <w:szCs w:val="21"/>
              </w:rPr>
            </w:pPr>
            <w:r>
              <w:rPr>
                <w:rFonts w:hint="eastAsia"/>
                <w:szCs w:val="21"/>
              </w:rPr>
              <w:t>单位工程投标报价如有算术性错误修正，以修正后的单位工程投标报价计算。</w:t>
            </w:r>
          </w:p>
        </w:tc>
      </w:tr>
      <w:tr w14:paraId="589C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41" w:type="dxa"/>
            <w:vMerge w:val="continue"/>
            <w:noWrap w:val="0"/>
            <w:vAlign w:val="center"/>
          </w:tcPr>
          <w:p w14:paraId="0EAD6E16">
            <w:pPr>
              <w:jc w:val="center"/>
              <w:rPr>
                <w:rFonts w:hint="eastAsia" w:ascii="宋体" w:hAnsi="宋体"/>
                <w:szCs w:val="21"/>
              </w:rPr>
            </w:pPr>
          </w:p>
        </w:tc>
        <w:tc>
          <w:tcPr>
            <w:tcW w:w="1059" w:type="dxa"/>
            <w:vMerge w:val="continue"/>
            <w:noWrap w:val="0"/>
            <w:vAlign w:val="center"/>
          </w:tcPr>
          <w:p w14:paraId="50DA5258">
            <w:pPr>
              <w:jc w:val="center"/>
              <w:rPr>
                <w:rFonts w:hint="eastAsia" w:ascii="宋体" w:hAnsi="宋体"/>
                <w:szCs w:val="21"/>
              </w:rPr>
            </w:pPr>
          </w:p>
        </w:tc>
        <w:tc>
          <w:tcPr>
            <w:tcW w:w="2085" w:type="dxa"/>
            <w:gridSpan w:val="2"/>
            <w:noWrap w:val="0"/>
            <w:vAlign w:val="center"/>
          </w:tcPr>
          <w:p w14:paraId="36B01088">
            <w:pPr>
              <w:rPr>
                <w:rFonts w:hint="eastAsia" w:ascii="宋体" w:hAnsi="宋体"/>
                <w:szCs w:val="21"/>
              </w:rPr>
            </w:pPr>
            <w:r>
              <w:rPr>
                <w:rFonts w:hint="eastAsia" w:ascii="宋体" w:hAnsi="宋体"/>
                <w:szCs w:val="21"/>
              </w:rPr>
              <w:t>投标报价得分</w:t>
            </w:r>
          </w:p>
        </w:tc>
        <w:tc>
          <w:tcPr>
            <w:tcW w:w="735" w:type="dxa"/>
            <w:gridSpan w:val="2"/>
            <w:noWrap w:val="0"/>
            <w:vAlign w:val="center"/>
          </w:tcPr>
          <w:p w14:paraId="108651E4">
            <w:pPr>
              <w:rPr>
                <w:rFonts w:hint="eastAsia" w:ascii="宋体" w:hAnsi="宋体"/>
                <w:szCs w:val="21"/>
              </w:rPr>
            </w:pPr>
          </w:p>
        </w:tc>
        <w:tc>
          <w:tcPr>
            <w:tcW w:w="4560" w:type="dxa"/>
            <w:noWrap w:val="0"/>
            <w:vAlign w:val="center"/>
          </w:tcPr>
          <w:p w14:paraId="31104544">
            <w:pPr>
              <w:rPr>
                <w:rFonts w:hint="eastAsia" w:ascii="宋体" w:hAnsi="宋体"/>
                <w:szCs w:val="44"/>
              </w:rPr>
            </w:pPr>
            <w:r>
              <w:rPr>
                <w:rFonts w:hint="eastAsia"/>
                <w:szCs w:val="21"/>
              </w:rPr>
              <w:t xml:space="preserve">M = F </w:t>
            </w:r>
            <w:r>
              <w:rPr>
                <w:szCs w:val="21"/>
              </w:rPr>
              <w:t>–</w:t>
            </w:r>
            <w:r>
              <w:rPr>
                <w:rFonts w:hint="eastAsia"/>
                <w:szCs w:val="21"/>
              </w:rPr>
              <w:t xml:space="preserve"> K      </w:t>
            </w:r>
            <w:r>
              <w:rPr>
                <w:rFonts w:hint="eastAsia"/>
              </w:rPr>
              <w:t>其中：M≥0。</w:t>
            </w:r>
          </w:p>
        </w:tc>
      </w:tr>
      <w:tr w14:paraId="1383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vMerge w:val="continue"/>
            <w:noWrap w:val="0"/>
            <w:vAlign w:val="center"/>
          </w:tcPr>
          <w:p w14:paraId="115D4743">
            <w:pPr>
              <w:jc w:val="center"/>
              <w:rPr>
                <w:rFonts w:hint="eastAsia" w:ascii="宋体" w:hAnsi="宋体"/>
                <w:szCs w:val="21"/>
              </w:rPr>
            </w:pPr>
          </w:p>
        </w:tc>
        <w:tc>
          <w:tcPr>
            <w:tcW w:w="1059" w:type="dxa"/>
            <w:vMerge w:val="continue"/>
            <w:noWrap w:val="0"/>
            <w:vAlign w:val="center"/>
          </w:tcPr>
          <w:p w14:paraId="6912B953">
            <w:pPr>
              <w:jc w:val="center"/>
              <w:rPr>
                <w:rFonts w:hint="eastAsia" w:ascii="宋体" w:hAnsi="宋体"/>
                <w:szCs w:val="21"/>
              </w:rPr>
            </w:pPr>
          </w:p>
        </w:tc>
        <w:tc>
          <w:tcPr>
            <w:tcW w:w="2085" w:type="dxa"/>
            <w:gridSpan w:val="2"/>
            <w:noWrap w:val="0"/>
            <w:vAlign w:val="center"/>
          </w:tcPr>
          <w:p w14:paraId="6797C563">
            <w:pPr>
              <w:rPr>
                <w:rFonts w:hint="eastAsia" w:ascii="宋体" w:hAnsi="宋体"/>
                <w:szCs w:val="21"/>
              </w:rPr>
            </w:pPr>
          </w:p>
          <w:p w14:paraId="15FAB469">
            <w:pPr>
              <w:rPr>
                <w:rFonts w:hint="eastAsia" w:ascii="宋体" w:hAnsi="宋体"/>
                <w:szCs w:val="21"/>
              </w:rPr>
            </w:pPr>
          </w:p>
          <w:p w14:paraId="31BAD606">
            <w:pPr>
              <w:rPr>
                <w:rFonts w:hint="eastAsia" w:ascii="宋体" w:hAnsi="宋体"/>
                <w:szCs w:val="21"/>
              </w:rPr>
            </w:pPr>
          </w:p>
          <w:p w14:paraId="2E0B02D9">
            <w:pPr>
              <w:rPr>
                <w:rFonts w:hint="eastAsia" w:ascii="宋体" w:hAnsi="宋体"/>
                <w:szCs w:val="21"/>
              </w:rPr>
            </w:pPr>
          </w:p>
          <w:p w14:paraId="1AB2DCF0">
            <w:pPr>
              <w:rPr>
                <w:rFonts w:hint="eastAsia" w:ascii="宋体" w:hAnsi="宋体"/>
                <w:szCs w:val="21"/>
              </w:rPr>
            </w:pPr>
          </w:p>
          <w:p w14:paraId="0E60C957">
            <w:pPr>
              <w:rPr>
                <w:rFonts w:hint="eastAsia" w:ascii="宋体" w:hAnsi="宋体"/>
                <w:szCs w:val="21"/>
              </w:rPr>
            </w:pPr>
          </w:p>
          <w:p w14:paraId="46D66EA3">
            <w:pPr>
              <w:rPr>
                <w:rFonts w:hint="eastAsia" w:ascii="宋体" w:hAnsi="宋体"/>
                <w:szCs w:val="21"/>
              </w:rPr>
            </w:pPr>
          </w:p>
          <w:p w14:paraId="3E09E7BF">
            <w:pPr>
              <w:rPr>
                <w:rFonts w:hint="eastAsia" w:ascii="宋体" w:hAnsi="宋体"/>
                <w:szCs w:val="21"/>
              </w:rPr>
            </w:pPr>
            <w:r>
              <w:rPr>
                <w:rFonts w:hint="eastAsia" w:ascii="宋体" w:hAnsi="宋体"/>
                <w:szCs w:val="21"/>
              </w:rPr>
              <w:t>政府采购工程</w:t>
            </w:r>
          </w:p>
          <w:p w14:paraId="30BA11E6">
            <w:pPr>
              <w:rPr>
                <w:rFonts w:hint="eastAsia" w:ascii="宋体" w:hAnsi="宋体"/>
                <w:szCs w:val="21"/>
              </w:rPr>
            </w:pPr>
            <w:r>
              <w:rPr>
                <w:rFonts w:hint="eastAsia" w:ascii="宋体" w:hAnsi="宋体"/>
                <w:szCs w:val="21"/>
              </w:rPr>
              <w:t>价格评审优惠</w:t>
            </w:r>
          </w:p>
          <w:p w14:paraId="0770B16F">
            <w:pPr>
              <w:rPr>
                <w:rFonts w:hint="eastAsia" w:ascii="宋体" w:hAnsi="宋体"/>
                <w:szCs w:val="21"/>
              </w:rPr>
            </w:pPr>
          </w:p>
        </w:tc>
        <w:tc>
          <w:tcPr>
            <w:tcW w:w="735" w:type="dxa"/>
            <w:gridSpan w:val="2"/>
            <w:noWrap w:val="0"/>
            <w:vAlign w:val="center"/>
          </w:tcPr>
          <w:p w14:paraId="6A9280F9">
            <w:pPr>
              <w:rPr>
                <w:rFonts w:hint="eastAsia" w:ascii="宋体" w:hAnsi="宋体"/>
                <w:szCs w:val="21"/>
              </w:rPr>
            </w:pPr>
          </w:p>
        </w:tc>
        <w:tc>
          <w:tcPr>
            <w:tcW w:w="4560" w:type="dxa"/>
            <w:noWrap w:val="0"/>
            <w:vAlign w:val="center"/>
          </w:tcPr>
          <w:p w14:paraId="25A05861">
            <w:pPr>
              <w:rPr>
                <w:rFonts w:hint="eastAsia"/>
              </w:rPr>
            </w:pPr>
            <w:r>
              <w:rPr>
                <w:rFonts w:hint="eastAsia"/>
                <w:szCs w:val="21"/>
              </w:rPr>
              <w:t>对</w:t>
            </w:r>
            <w:r>
              <w:rPr>
                <w:rFonts w:hint="eastAsia"/>
              </w:rPr>
              <w:t>项目未预留份额专门面向中小企业采购的</w:t>
            </w:r>
          </w:p>
          <w:p w14:paraId="23122327">
            <w:pPr>
              <w:rPr>
                <w:rFonts w:hint="eastAsia" w:ascii="宋体" w:hAnsi="宋体"/>
                <w:szCs w:val="21"/>
              </w:rPr>
            </w:pPr>
            <w:r>
              <w:rPr>
                <w:rFonts w:hint="eastAsia"/>
              </w:rPr>
              <w:t>1.如</w:t>
            </w:r>
            <w:r>
              <w:rPr>
                <w:rFonts w:hint="eastAsia" w:ascii="宋体" w:hAnsi="宋体"/>
                <w:szCs w:val="21"/>
              </w:rPr>
              <w:t>投标人属于小微企业的，评标时在其投标报价得分的基础上增加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P%</w:t>
            </w:r>
            <w:r>
              <w:rPr>
                <w:rFonts w:ascii="宋体" w:hAnsi="宋体"/>
                <w:szCs w:val="21"/>
                <w:u w:val="single"/>
              </w:rPr>
              <w:t xml:space="preserve">  </w:t>
            </w:r>
            <w:r>
              <w:rPr>
                <w:rFonts w:hint="eastAsia" w:ascii="宋体" w:hAnsi="宋体"/>
                <w:szCs w:val="21"/>
              </w:rPr>
              <w:t>作为其投标报价最终得分。</w:t>
            </w:r>
          </w:p>
          <w:p w14:paraId="422E8711">
            <w:pPr>
              <w:ind w:firstLine="420" w:firstLineChars="200"/>
              <w:rPr>
                <w:rFonts w:hint="eastAsia" w:ascii="宋体" w:hAnsi="宋体"/>
                <w:szCs w:val="21"/>
              </w:rPr>
            </w:pPr>
            <w:r>
              <w:rPr>
                <w:rFonts w:hint="eastAsia" w:ascii="宋体" w:hAnsi="宋体"/>
                <w:szCs w:val="21"/>
              </w:rPr>
              <w:t>即S= M×(1+P%)</w:t>
            </w:r>
            <w:r>
              <w:rPr>
                <w:rFonts w:ascii="宋体" w:hAnsi="宋体"/>
                <w:szCs w:val="21"/>
              </w:rPr>
              <w:t xml:space="preserve"> </w:t>
            </w:r>
          </w:p>
          <w:p w14:paraId="1FF74047">
            <w:pPr>
              <w:ind w:firstLine="420" w:firstLineChars="200"/>
              <w:rPr>
                <w:rFonts w:hint="eastAsia" w:ascii="宋体" w:hAnsi="宋体"/>
                <w:szCs w:val="21"/>
              </w:rPr>
            </w:pPr>
            <w:r>
              <w:rPr>
                <w:rFonts w:hint="eastAsia" w:ascii="宋体" w:hAnsi="宋体"/>
                <w:szCs w:val="21"/>
              </w:rPr>
              <w:t>P：为小微企业报价优惠系数，范围为3-5的整数，由招标人确定。P的取值见第二章投标人须知前附表第10.2.4项。</w:t>
            </w:r>
          </w:p>
          <w:p w14:paraId="03D69F7B">
            <w:pPr>
              <w:ind w:firstLine="420" w:firstLineChars="200"/>
              <w:rPr>
                <w:rFonts w:hint="eastAsia" w:ascii="宋体" w:hAnsi="宋体" w:cs="宋体"/>
                <w:kern w:val="0"/>
                <w:szCs w:val="21"/>
              </w:rPr>
            </w:pPr>
            <w:r>
              <w:rPr>
                <w:rFonts w:hint="eastAsia" w:ascii="宋体" w:hAnsi="宋体"/>
                <w:szCs w:val="21"/>
              </w:rPr>
              <w:t>如招标人接受联合体，</w:t>
            </w:r>
            <w:r>
              <w:rPr>
                <w:rFonts w:hint="eastAsia" w:ascii="宋体" w:hAnsi="宋体" w:cs="宋体"/>
                <w:kern w:val="0"/>
                <w:szCs w:val="21"/>
              </w:rPr>
              <w:t>联合体各方均为小微企业的，联合体视同小微企业。</w:t>
            </w:r>
          </w:p>
          <w:p w14:paraId="1120605E">
            <w:pPr>
              <w:ind w:firstLine="420" w:firstLineChars="200"/>
              <w:rPr>
                <w:rFonts w:hint="eastAsia" w:ascii="宋体" w:hAnsi="宋体"/>
                <w:szCs w:val="21"/>
              </w:rPr>
            </w:pPr>
          </w:p>
          <w:p w14:paraId="76F6B517">
            <w:pPr>
              <w:rPr>
                <w:rFonts w:hint="eastAsia" w:ascii="宋体" w:hAnsi="宋体"/>
                <w:szCs w:val="21"/>
              </w:rPr>
            </w:pPr>
            <w:r>
              <w:rPr>
                <w:rFonts w:hint="eastAsia" w:ascii="宋体" w:hAnsi="宋体"/>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Q%</w:t>
            </w:r>
            <w:r>
              <w:rPr>
                <w:rFonts w:ascii="宋体" w:hAnsi="宋体"/>
                <w:szCs w:val="21"/>
                <w:u w:val="single"/>
              </w:rPr>
              <w:t xml:space="preserve">  </w:t>
            </w:r>
            <w:r>
              <w:rPr>
                <w:rFonts w:hint="eastAsia" w:ascii="宋体" w:hAnsi="宋体"/>
                <w:szCs w:val="21"/>
              </w:rPr>
              <w:t>作为其投标报价最终得分。</w:t>
            </w:r>
          </w:p>
          <w:p w14:paraId="72B8AD44">
            <w:pPr>
              <w:ind w:firstLine="420" w:firstLineChars="200"/>
              <w:rPr>
                <w:rFonts w:hint="eastAsia" w:ascii="宋体" w:hAnsi="宋体"/>
                <w:szCs w:val="21"/>
              </w:rPr>
            </w:pPr>
            <w:r>
              <w:rPr>
                <w:rFonts w:hint="eastAsia" w:ascii="宋体" w:hAnsi="宋体"/>
                <w:szCs w:val="21"/>
              </w:rPr>
              <w:t>即S</w:t>
            </w:r>
            <w:r>
              <w:rPr>
                <w:rFonts w:hint="eastAsia"/>
                <w:szCs w:val="21"/>
              </w:rPr>
              <w:t>= M</w:t>
            </w:r>
            <w:r>
              <w:rPr>
                <w:rFonts w:hint="eastAsia" w:ascii="宋体" w:hAnsi="宋体"/>
                <w:szCs w:val="21"/>
              </w:rPr>
              <w:t>×(1+Q%)</w:t>
            </w:r>
            <w:r>
              <w:rPr>
                <w:rFonts w:ascii="宋体" w:hAnsi="宋体"/>
                <w:szCs w:val="21"/>
              </w:rPr>
              <w:t xml:space="preserve"> </w:t>
            </w:r>
          </w:p>
          <w:p w14:paraId="76AE4BA0">
            <w:pPr>
              <w:ind w:firstLine="420" w:firstLineChars="200"/>
              <w:rPr>
                <w:rFonts w:hint="eastAsia" w:ascii="宋体" w:hAnsi="宋体"/>
                <w:szCs w:val="21"/>
              </w:rPr>
            </w:pPr>
            <w:r>
              <w:rPr>
                <w:rFonts w:hint="eastAsia" w:ascii="宋体" w:hAnsi="宋体"/>
                <w:szCs w:val="21"/>
              </w:rPr>
              <w:t>Q：为满足条件的联合体或者分包企业报价优惠系数，范围为1-2的整数，由招标人确定。Q的取值见第二章投标人须知前附表第10.2.5项。</w:t>
            </w:r>
          </w:p>
          <w:p w14:paraId="7DC996DD">
            <w:pPr>
              <w:ind w:firstLine="420" w:firstLineChars="200"/>
              <w:rPr>
                <w:rFonts w:hint="eastAsia" w:ascii="宋体" w:hAnsi="宋体"/>
                <w:szCs w:val="21"/>
              </w:rPr>
            </w:pPr>
          </w:p>
          <w:p w14:paraId="21D2BD07">
            <w:pPr>
              <w:rPr>
                <w:rFonts w:hint="eastAsia" w:ascii="宋体" w:hAnsi="宋体"/>
                <w:szCs w:val="21"/>
              </w:rPr>
            </w:pPr>
            <w:r>
              <w:rPr>
                <w:rFonts w:hint="eastAsia" w:ascii="宋体" w:hAnsi="宋体"/>
                <w:szCs w:val="21"/>
              </w:rPr>
              <w:t>3.组成联合体或者接受分包的小微企业与联合体内其他企业、分包企业之间存在直接控股、管理关系的，不享受价格评审优惠政策。</w:t>
            </w:r>
          </w:p>
        </w:tc>
      </w:tr>
      <w:tr w14:paraId="2C37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41" w:type="dxa"/>
            <w:vMerge w:val="continue"/>
            <w:noWrap w:val="0"/>
            <w:vAlign w:val="center"/>
          </w:tcPr>
          <w:p w14:paraId="3840D587">
            <w:pPr>
              <w:jc w:val="center"/>
              <w:rPr>
                <w:rFonts w:hint="eastAsia" w:ascii="宋体" w:hAnsi="宋体"/>
                <w:szCs w:val="21"/>
              </w:rPr>
            </w:pPr>
          </w:p>
        </w:tc>
        <w:tc>
          <w:tcPr>
            <w:tcW w:w="1059" w:type="dxa"/>
            <w:noWrap w:val="0"/>
            <w:vAlign w:val="center"/>
          </w:tcPr>
          <w:p w14:paraId="5C4182B2">
            <w:pPr>
              <w:jc w:val="center"/>
              <w:rPr>
                <w:rFonts w:hint="eastAsia" w:ascii="宋体" w:hAnsi="宋体"/>
                <w:szCs w:val="21"/>
              </w:rPr>
            </w:pPr>
          </w:p>
        </w:tc>
        <w:tc>
          <w:tcPr>
            <w:tcW w:w="2085" w:type="dxa"/>
            <w:gridSpan w:val="2"/>
            <w:noWrap w:val="0"/>
            <w:vAlign w:val="center"/>
          </w:tcPr>
          <w:p w14:paraId="0D60E284">
            <w:pPr>
              <w:rPr>
                <w:rFonts w:hint="eastAsia" w:ascii="宋体" w:hAnsi="宋体"/>
                <w:szCs w:val="21"/>
              </w:rPr>
            </w:pPr>
            <w:r>
              <w:rPr>
                <w:rFonts w:hint="eastAsia" w:ascii="宋体" w:hAnsi="宋体"/>
                <w:szCs w:val="21"/>
                <w:lang w:val="en-US" w:eastAsia="zh-CN"/>
              </w:rPr>
              <w:t>投标报价</w:t>
            </w:r>
            <w:r>
              <w:rPr>
                <w:rFonts w:hint="eastAsia" w:ascii="宋体" w:hAnsi="宋体"/>
                <w:szCs w:val="21"/>
              </w:rPr>
              <w:t>最终得分</w:t>
            </w:r>
          </w:p>
        </w:tc>
        <w:tc>
          <w:tcPr>
            <w:tcW w:w="735" w:type="dxa"/>
            <w:gridSpan w:val="2"/>
            <w:noWrap w:val="0"/>
            <w:vAlign w:val="center"/>
          </w:tcPr>
          <w:p w14:paraId="77C74F62">
            <w:pPr>
              <w:rPr>
                <w:rFonts w:hint="eastAsia" w:ascii="宋体" w:hAnsi="宋体"/>
                <w:szCs w:val="21"/>
              </w:rPr>
            </w:pPr>
          </w:p>
        </w:tc>
        <w:tc>
          <w:tcPr>
            <w:tcW w:w="4560" w:type="dxa"/>
            <w:noWrap w:val="0"/>
            <w:vAlign w:val="center"/>
          </w:tcPr>
          <w:p w14:paraId="440AD1E1">
            <w:pPr>
              <w:rPr>
                <w:rFonts w:hint="eastAsia"/>
                <w:szCs w:val="21"/>
              </w:rPr>
            </w:pPr>
            <w:r>
              <w:rPr>
                <w:rFonts w:hint="eastAsia" w:ascii="宋体" w:hAnsi="宋体"/>
                <w:szCs w:val="21"/>
              </w:rPr>
              <w:t>S</w:t>
            </w:r>
            <w:r>
              <w:rPr>
                <w:rFonts w:hint="eastAsia"/>
                <w:szCs w:val="21"/>
              </w:rPr>
              <w:t>= M</w:t>
            </w:r>
            <w:r>
              <w:rPr>
                <w:rFonts w:hint="eastAsia" w:ascii="宋体" w:hAnsi="宋体"/>
                <w:szCs w:val="21"/>
              </w:rPr>
              <w:t>×(1+P%)</w:t>
            </w:r>
            <w:r>
              <w:rPr>
                <w:rFonts w:ascii="宋体" w:hAnsi="宋体"/>
                <w:szCs w:val="21"/>
              </w:rPr>
              <w:t xml:space="preserve"> </w:t>
            </w:r>
            <w:r>
              <w:rPr>
                <w:rFonts w:hint="eastAsia" w:ascii="宋体" w:hAnsi="宋体"/>
                <w:szCs w:val="21"/>
              </w:rPr>
              <w:t>或S</w:t>
            </w:r>
            <w:r>
              <w:rPr>
                <w:rFonts w:hint="eastAsia"/>
                <w:szCs w:val="21"/>
              </w:rPr>
              <w:t>= M</w:t>
            </w:r>
            <w:r>
              <w:rPr>
                <w:rFonts w:hint="eastAsia" w:ascii="宋体" w:hAnsi="宋体"/>
                <w:szCs w:val="21"/>
              </w:rPr>
              <w:t>×(1+Q%)</w:t>
            </w:r>
          </w:p>
        </w:tc>
      </w:tr>
      <w:tr w14:paraId="222B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41" w:type="dxa"/>
            <w:noWrap w:val="0"/>
            <w:vAlign w:val="center"/>
          </w:tcPr>
          <w:p w14:paraId="6B907D62">
            <w:pPr>
              <w:jc w:val="center"/>
              <w:rPr>
                <w:rFonts w:hint="eastAsia" w:ascii="宋体" w:hAnsi="宋体"/>
                <w:szCs w:val="21"/>
              </w:rPr>
            </w:pPr>
          </w:p>
        </w:tc>
        <w:tc>
          <w:tcPr>
            <w:tcW w:w="8439" w:type="dxa"/>
            <w:gridSpan w:val="6"/>
            <w:noWrap w:val="0"/>
            <w:vAlign w:val="center"/>
          </w:tcPr>
          <w:p w14:paraId="266E4F8D">
            <w:pPr>
              <w:rPr>
                <w:rFonts w:hint="eastAsia"/>
                <w:szCs w:val="21"/>
              </w:rPr>
            </w:pPr>
            <w:r>
              <w:rPr>
                <w:rFonts w:hint="eastAsia"/>
                <w:szCs w:val="21"/>
              </w:rPr>
              <w:t>通过初步评审的有效投标多于9家时，评标委员会选择投标报价最终得分（S）高的前9名的有效投标进行后续详细评审，其他有效投标不再进行详细评审。</w:t>
            </w:r>
          </w:p>
        </w:tc>
      </w:tr>
      <w:tr w14:paraId="33E9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restart"/>
            <w:noWrap w:val="0"/>
            <w:vAlign w:val="center"/>
          </w:tcPr>
          <w:p w14:paraId="60FAFBD4">
            <w:pPr>
              <w:spacing w:line="440" w:lineRule="exact"/>
              <w:jc w:val="center"/>
              <w:rPr>
                <w:rFonts w:hint="eastAsia"/>
                <w:szCs w:val="21"/>
              </w:rPr>
            </w:pPr>
            <w:r>
              <w:rPr>
                <w:rFonts w:hint="eastAsia"/>
                <w:szCs w:val="21"/>
              </w:rPr>
              <w:t>2.2.4</w:t>
            </w:r>
          </w:p>
          <w:p w14:paraId="3B89A8E1">
            <w:pPr>
              <w:spacing w:line="440" w:lineRule="exact"/>
              <w:jc w:val="center"/>
              <w:rPr>
                <w:rFonts w:hint="eastAsia" w:ascii="宋体" w:hAnsi="宋体"/>
                <w:szCs w:val="21"/>
              </w:rPr>
            </w:pPr>
            <w:r>
              <w:rPr>
                <w:rFonts w:hint="eastAsia"/>
                <w:szCs w:val="21"/>
              </w:rPr>
              <w:t>(2)</w:t>
            </w:r>
          </w:p>
        </w:tc>
        <w:tc>
          <w:tcPr>
            <w:tcW w:w="1059" w:type="dxa"/>
            <w:vMerge w:val="restart"/>
            <w:noWrap w:val="0"/>
            <w:vAlign w:val="center"/>
          </w:tcPr>
          <w:p w14:paraId="53C004D4">
            <w:pPr>
              <w:jc w:val="center"/>
              <w:rPr>
                <w:rFonts w:hint="eastAsia" w:ascii="宋体" w:hAnsi="宋体"/>
                <w:szCs w:val="21"/>
              </w:rPr>
            </w:pPr>
            <w:r>
              <w:rPr>
                <w:rFonts w:hint="eastAsia" w:ascii="宋体" w:hAnsi="宋体"/>
                <w:szCs w:val="21"/>
              </w:rPr>
              <w:t>施工组织</w:t>
            </w:r>
          </w:p>
          <w:p w14:paraId="48451EE8">
            <w:pPr>
              <w:jc w:val="center"/>
              <w:rPr>
                <w:rFonts w:hint="eastAsia" w:ascii="宋体" w:hAnsi="宋体"/>
                <w:szCs w:val="21"/>
              </w:rPr>
            </w:pPr>
            <w:r>
              <w:rPr>
                <w:rFonts w:hint="eastAsia" w:ascii="宋体" w:hAnsi="宋体"/>
                <w:szCs w:val="21"/>
              </w:rPr>
              <w:t>设计评分</w:t>
            </w:r>
          </w:p>
          <w:p w14:paraId="57F649F1">
            <w:pPr>
              <w:jc w:val="center"/>
              <w:rPr>
                <w:rFonts w:hint="eastAsia" w:ascii="宋体" w:hAnsi="宋体"/>
                <w:szCs w:val="21"/>
              </w:rPr>
            </w:pPr>
            <w:r>
              <w:rPr>
                <w:rFonts w:hint="eastAsia" w:ascii="宋体" w:hAnsi="宋体"/>
                <w:szCs w:val="21"/>
              </w:rPr>
              <w:t>标   准</w:t>
            </w:r>
          </w:p>
          <w:p w14:paraId="3292D27A">
            <w:pPr>
              <w:jc w:val="center"/>
              <w:rPr>
                <w:rFonts w:hint="eastAsia" w:ascii="宋体" w:hAnsi="宋体"/>
                <w:szCs w:val="21"/>
              </w:rPr>
            </w:pPr>
          </w:p>
        </w:tc>
        <w:tc>
          <w:tcPr>
            <w:tcW w:w="2085" w:type="dxa"/>
            <w:gridSpan w:val="2"/>
            <w:vMerge w:val="restart"/>
            <w:noWrap w:val="0"/>
            <w:vAlign w:val="center"/>
          </w:tcPr>
          <w:p w14:paraId="24F08982">
            <w:pPr>
              <w:rPr>
                <w:rFonts w:hint="eastAsia" w:ascii="宋体" w:hAnsi="宋体"/>
                <w:szCs w:val="21"/>
              </w:rPr>
            </w:pPr>
            <w:r>
              <w:rPr>
                <w:rFonts w:hint="eastAsia" w:ascii="宋体" w:hAnsi="宋体"/>
                <w:szCs w:val="21"/>
              </w:rPr>
              <w:t>工程概况</w:t>
            </w:r>
          </w:p>
        </w:tc>
        <w:tc>
          <w:tcPr>
            <w:tcW w:w="735" w:type="dxa"/>
            <w:gridSpan w:val="2"/>
            <w:vMerge w:val="restart"/>
            <w:noWrap w:val="0"/>
            <w:vAlign w:val="center"/>
          </w:tcPr>
          <w:p w14:paraId="7E9F7628">
            <w:pPr>
              <w:rPr>
                <w:rFonts w:hint="eastAsia" w:ascii="宋体" w:hAnsi="宋体"/>
                <w:szCs w:val="21"/>
              </w:rPr>
            </w:pPr>
            <w:r>
              <w:rPr>
                <w:rFonts w:hint="eastAsia" w:ascii="宋体" w:hAnsi="宋体"/>
                <w:szCs w:val="44"/>
              </w:rPr>
              <w:t>1</w:t>
            </w:r>
            <w:r>
              <w:rPr>
                <w:rFonts w:hint="eastAsia" w:ascii="宋体" w:hAnsi="宋体"/>
                <w:bCs/>
                <w:szCs w:val="21"/>
              </w:rPr>
              <w:t>分</w:t>
            </w:r>
          </w:p>
        </w:tc>
        <w:tc>
          <w:tcPr>
            <w:tcW w:w="4560" w:type="dxa"/>
            <w:noWrap w:val="0"/>
            <w:vAlign w:val="center"/>
          </w:tcPr>
          <w:p w14:paraId="7A62C45E">
            <w:pPr>
              <w:rPr>
                <w:rFonts w:hint="eastAsia" w:ascii="宋体" w:hAnsi="宋体"/>
                <w:bCs/>
                <w:szCs w:val="21"/>
              </w:rPr>
            </w:pPr>
            <w:r>
              <w:rPr>
                <w:rFonts w:hint="eastAsia" w:ascii="宋体" w:hAnsi="宋体"/>
                <w:bCs/>
                <w:szCs w:val="21"/>
              </w:rPr>
              <w:t>描述准确、清晰                      1分</w:t>
            </w:r>
          </w:p>
        </w:tc>
      </w:tr>
      <w:tr w14:paraId="2F2C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77A944D3">
            <w:pPr>
              <w:jc w:val="center"/>
              <w:rPr>
                <w:rFonts w:hint="eastAsia" w:ascii="宋体" w:hAnsi="宋体"/>
                <w:szCs w:val="21"/>
              </w:rPr>
            </w:pPr>
          </w:p>
        </w:tc>
        <w:tc>
          <w:tcPr>
            <w:tcW w:w="1059" w:type="dxa"/>
            <w:vMerge w:val="continue"/>
            <w:noWrap w:val="0"/>
            <w:vAlign w:val="center"/>
          </w:tcPr>
          <w:p w14:paraId="31181C2D">
            <w:pPr>
              <w:jc w:val="center"/>
              <w:rPr>
                <w:rFonts w:hint="eastAsia" w:ascii="宋体" w:hAnsi="宋体"/>
                <w:szCs w:val="21"/>
              </w:rPr>
            </w:pPr>
          </w:p>
        </w:tc>
        <w:tc>
          <w:tcPr>
            <w:tcW w:w="2085" w:type="dxa"/>
            <w:gridSpan w:val="2"/>
            <w:vMerge w:val="continue"/>
            <w:noWrap w:val="0"/>
            <w:vAlign w:val="center"/>
          </w:tcPr>
          <w:p w14:paraId="55C47E0E">
            <w:pPr>
              <w:rPr>
                <w:rFonts w:hint="eastAsia" w:ascii="宋体" w:hAnsi="宋体"/>
                <w:szCs w:val="44"/>
              </w:rPr>
            </w:pPr>
          </w:p>
        </w:tc>
        <w:tc>
          <w:tcPr>
            <w:tcW w:w="735" w:type="dxa"/>
            <w:gridSpan w:val="2"/>
            <w:vMerge w:val="continue"/>
            <w:noWrap w:val="0"/>
            <w:vAlign w:val="center"/>
          </w:tcPr>
          <w:p w14:paraId="57358C9F">
            <w:pPr>
              <w:rPr>
                <w:rFonts w:hint="eastAsia" w:ascii="宋体" w:hAnsi="宋体"/>
                <w:szCs w:val="44"/>
              </w:rPr>
            </w:pPr>
          </w:p>
        </w:tc>
        <w:tc>
          <w:tcPr>
            <w:tcW w:w="4560" w:type="dxa"/>
            <w:noWrap w:val="0"/>
            <w:vAlign w:val="center"/>
          </w:tcPr>
          <w:p w14:paraId="3E5EBC9C">
            <w:pPr>
              <w:rPr>
                <w:rFonts w:hint="eastAsia" w:ascii="宋体" w:hAnsi="宋体"/>
                <w:bCs/>
                <w:szCs w:val="21"/>
              </w:rPr>
            </w:pPr>
            <w:r>
              <w:rPr>
                <w:rFonts w:hint="eastAsia" w:ascii="宋体" w:hAnsi="宋体"/>
                <w:bCs/>
                <w:szCs w:val="21"/>
              </w:rPr>
              <w:t>描述基本准确                  0.9-0.8分</w:t>
            </w:r>
          </w:p>
        </w:tc>
      </w:tr>
      <w:tr w14:paraId="4ABA8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6B6E703">
            <w:pPr>
              <w:jc w:val="center"/>
              <w:rPr>
                <w:rFonts w:hint="eastAsia" w:ascii="宋体" w:hAnsi="宋体"/>
                <w:szCs w:val="21"/>
              </w:rPr>
            </w:pPr>
          </w:p>
        </w:tc>
        <w:tc>
          <w:tcPr>
            <w:tcW w:w="1059" w:type="dxa"/>
            <w:vMerge w:val="continue"/>
            <w:noWrap w:val="0"/>
            <w:vAlign w:val="center"/>
          </w:tcPr>
          <w:p w14:paraId="1F293418">
            <w:pPr>
              <w:jc w:val="center"/>
              <w:rPr>
                <w:rFonts w:hint="eastAsia" w:ascii="宋体" w:hAnsi="宋体"/>
                <w:szCs w:val="21"/>
              </w:rPr>
            </w:pPr>
          </w:p>
        </w:tc>
        <w:tc>
          <w:tcPr>
            <w:tcW w:w="2085" w:type="dxa"/>
            <w:gridSpan w:val="2"/>
            <w:vMerge w:val="continue"/>
            <w:noWrap w:val="0"/>
            <w:vAlign w:val="center"/>
          </w:tcPr>
          <w:p w14:paraId="51DEFCBC">
            <w:pPr>
              <w:rPr>
                <w:rFonts w:hint="eastAsia" w:ascii="宋体" w:hAnsi="宋体"/>
                <w:szCs w:val="44"/>
              </w:rPr>
            </w:pPr>
          </w:p>
        </w:tc>
        <w:tc>
          <w:tcPr>
            <w:tcW w:w="735" w:type="dxa"/>
            <w:gridSpan w:val="2"/>
            <w:vMerge w:val="continue"/>
            <w:noWrap w:val="0"/>
            <w:vAlign w:val="center"/>
          </w:tcPr>
          <w:p w14:paraId="324FD72C">
            <w:pPr>
              <w:rPr>
                <w:rFonts w:hint="eastAsia" w:ascii="宋体" w:hAnsi="宋体"/>
                <w:szCs w:val="44"/>
              </w:rPr>
            </w:pPr>
          </w:p>
        </w:tc>
        <w:tc>
          <w:tcPr>
            <w:tcW w:w="4560" w:type="dxa"/>
            <w:noWrap w:val="0"/>
            <w:vAlign w:val="center"/>
          </w:tcPr>
          <w:p w14:paraId="0C4C7AA0">
            <w:pPr>
              <w:rPr>
                <w:rFonts w:hint="eastAsia" w:ascii="宋体" w:hAnsi="宋体"/>
                <w:bCs/>
                <w:szCs w:val="21"/>
              </w:rPr>
            </w:pPr>
            <w:r>
              <w:rPr>
                <w:rFonts w:hint="eastAsia" w:ascii="宋体" w:hAnsi="宋体"/>
                <w:bCs/>
                <w:szCs w:val="21"/>
              </w:rPr>
              <w:t>描述不准确                          0分</w:t>
            </w:r>
          </w:p>
        </w:tc>
      </w:tr>
      <w:tr w14:paraId="2F27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300C69B4">
            <w:pPr>
              <w:jc w:val="center"/>
              <w:rPr>
                <w:rFonts w:hint="eastAsia" w:ascii="宋体" w:hAnsi="宋体"/>
                <w:szCs w:val="21"/>
              </w:rPr>
            </w:pPr>
          </w:p>
        </w:tc>
        <w:tc>
          <w:tcPr>
            <w:tcW w:w="1059" w:type="dxa"/>
            <w:vMerge w:val="continue"/>
            <w:noWrap w:val="0"/>
            <w:vAlign w:val="center"/>
          </w:tcPr>
          <w:p w14:paraId="7B4CC3F4">
            <w:pPr>
              <w:jc w:val="center"/>
              <w:rPr>
                <w:rFonts w:hint="eastAsia" w:ascii="宋体" w:hAnsi="宋体"/>
                <w:szCs w:val="21"/>
              </w:rPr>
            </w:pPr>
          </w:p>
        </w:tc>
        <w:tc>
          <w:tcPr>
            <w:tcW w:w="2085" w:type="dxa"/>
            <w:gridSpan w:val="2"/>
            <w:vMerge w:val="restart"/>
            <w:noWrap w:val="0"/>
            <w:vAlign w:val="center"/>
          </w:tcPr>
          <w:p w14:paraId="793B025E">
            <w:pPr>
              <w:rPr>
                <w:rFonts w:hint="eastAsia" w:ascii="宋体" w:hAnsi="宋体"/>
                <w:szCs w:val="44"/>
              </w:rPr>
            </w:pPr>
            <w:r>
              <w:rPr>
                <w:rFonts w:hint="eastAsia" w:ascii="宋体" w:hAnsi="宋体"/>
                <w:szCs w:val="21"/>
              </w:rPr>
              <w:t>施工部署</w:t>
            </w:r>
          </w:p>
        </w:tc>
        <w:tc>
          <w:tcPr>
            <w:tcW w:w="735" w:type="dxa"/>
            <w:gridSpan w:val="2"/>
            <w:vMerge w:val="restart"/>
            <w:noWrap w:val="0"/>
            <w:vAlign w:val="center"/>
          </w:tcPr>
          <w:p w14:paraId="720F3BD2">
            <w:pPr>
              <w:rPr>
                <w:rFonts w:hint="eastAsia" w:ascii="宋体" w:hAnsi="宋体"/>
                <w:szCs w:val="44"/>
              </w:rPr>
            </w:pPr>
            <w:r>
              <w:rPr>
                <w:rFonts w:hint="eastAsia" w:ascii="宋体" w:hAnsi="宋体"/>
                <w:szCs w:val="44"/>
              </w:rPr>
              <w:t>1</w:t>
            </w:r>
            <w:r>
              <w:rPr>
                <w:rFonts w:hint="eastAsia" w:ascii="宋体" w:hAnsi="宋体"/>
                <w:bCs/>
                <w:szCs w:val="21"/>
              </w:rPr>
              <w:t>分</w:t>
            </w:r>
          </w:p>
        </w:tc>
        <w:tc>
          <w:tcPr>
            <w:tcW w:w="4560" w:type="dxa"/>
            <w:noWrap w:val="0"/>
            <w:vAlign w:val="center"/>
          </w:tcPr>
          <w:p w14:paraId="02040A8A">
            <w:pPr>
              <w:rPr>
                <w:rFonts w:hint="eastAsia" w:ascii="宋体" w:hAnsi="宋体"/>
                <w:bCs/>
                <w:szCs w:val="21"/>
              </w:rPr>
            </w:pPr>
            <w:r>
              <w:rPr>
                <w:rFonts w:ascii="宋体" w:hAnsi="宋体"/>
                <w:bCs/>
                <w:szCs w:val="21"/>
              </w:rPr>
              <w:t>科学、</w:t>
            </w:r>
            <w:r>
              <w:rPr>
                <w:rFonts w:hint="eastAsia" w:ascii="宋体" w:hAnsi="宋体"/>
                <w:bCs/>
                <w:szCs w:val="21"/>
              </w:rPr>
              <w:t>合理</w:t>
            </w:r>
            <w:r>
              <w:rPr>
                <w:rFonts w:ascii="宋体" w:hAnsi="宋体"/>
                <w:bCs/>
                <w:szCs w:val="21"/>
              </w:rPr>
              <w:t>、针对性强</w:t>
            </w:r>
            <w:r>
              <w:rPr>
                <w:rFonts w:hint="eastAsia" w:ascii="宋体" w:hAnsi="宋体"/>
                <w:bCs/>
                <w:szCs w:val="21"/>
              </w:rPr>
              <w:t xml:space="preserve">                1分</w:t>
            </w:r>
          </w:p>
        </w:tc>
      </w:tr>
      <w:tr w14:paraId="5E1A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10AA752C">
            <w:pPr>
              <w:jc w:val="center"/>
              <w:rPr>
                <w:rFonts w:hint="eastAsia" w:ascii="宋体" w:hAnsi="宋体"/>
                <w:szCs w:val="21"/>
              </w:rPr>
            </w:pPr>
          </w:p>
        </w:tc>
        <w:tc>
          <w:tcPr>
            <w:tcW w:w="1059" w:type="dxa"/>
            <w:vMerge w:val="continue"/>
            <w:noWrap w:val="0"/>
            <w:vAlign w:val="center"/>
          </w:tcPr>
          <w:p w14:paraId="3E4CF99A">
            <w:pPr>
              <w:jc w:val="center"/>
              <w:rPr>
                <w:rFonts w:hint="eastAsia" w:ascii="宋体" w:hAnsi="宋体"/>
                <w:szCs w:val="21"/>
              </w:rPr>
            </w:pPr>
          </w:p>
        </w:tc>
        <w:tc>
          <w:tcPr>
            <w:tcW w:w="2085" w:type="dxa"/>
            <w:gridSpan w:val="2"/>
            <w:vMerge w:val="continue"/>
            <w:noWrap w:val="0"/>
            <w:vAlign w:val="center"/>
          </w:tcPr>
          <w:p w14:paraId="29F2D46C">
            <w:pPr>
              <w:rPr>
                <w:rFonts w:hint="eastAsia" w:ascii="宋体" w:hAnsi="宋体"/>
                <w:szCs w:val="44"/>
              </w:rPr>
            </w:pPr>
          </w:p>
        </w:tc>
        <w:tc>
          <w:tcPr>
            <w:tcW w:w="735" w:type="dxa"/>
            <w:gridSpan w:val="2"/>
            <w:vMerge w:val="continue"/>
            <w:noWrap w:val="0"/>
            <w:vAlign w:val="center"/>
          </w:tcPr>
          <w:p w14:paraId="17E21378">
            <w:pPr>
              <w:rPr>
                <w:rFonts w:hint="eastAsia" w:ascii="宋体" w:hAnsi="宋体"/>
                <w:szCs w:val="44"/>
              </w:rPr>
            </w:pPr>
          </w:p>
        </w:tc>
        <w:tc>
          <w:tcPr>
            <w:tcW w:w="4560" w:type="dxa"/>
            <w:noWrap w:val="0"/>
            <w:vAlign w:val="center"/>
          </w:tcPr>
          <w:p w14:paraId="20A9F2EB">
            <w:pPr>
              <w:rPr>
                <w:rFonts w:hint="eastAsia" w:ascii="宋体" w:hAnsi="宋体"/>
                <w:bCs/>
                <w:szCs w:val="21"/>
              </w:rPr>
            </w:pPr>
            <w:r>
              <w:rPr>
                <w:rFonts w:ascii="宋体" w:hAnsi="宋体"/>
                <w:bCs/>
                <w:szCs w:val="21"/>
              </w:rPr>
              <w:t>合理、可行</w:t>
            </w:r>
            <w:r>
              <w:rPr>
                <w:rFonts w:hint="eastAsia" w:ascii="宋体" w:hAnsi="宋体"/>
                <w:bCs/>
                <w:szCs w:val="21"/>
              </w:rPr>
              <w:t xml:space="preserve">                    0.9-0.8分</w:t>
            </w:r>
          </w:p>
        </w:tc>
      </w:tr>
      <w:tr w14:paraId="7D2B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87AD57E">
            <w:pPr>
              <w:jc w:val="center"/>
              <w:rPr>
                <w:rFonts w:hint="eastAsia" w:ascii="宋体" w:hAnsi="宋体"/>
                <w:szCs w:val="21"/>
              </w:rPr>
            </w:pPr>
          </w:p>
        </w:tc>
        <w:tc>
          <w:tcPr>
            <w:tcW w:w="1059" w:type="dxa"/>
            <w:vMerge w:val="continue"/>
            <w:noWrap w:val="0"/>
            <w:vAlign w:val="center"/>
          </w:tcPr>
          <w:p w14:paraId="2FA2E722">
            <w:pPr>
              <w:jc w:val="center"/>
              <w:rPr>
                <w:rFonts w:hint="eastAsia" w:ascii="宋体" w:hAnsi="宋体"/>
                <w:szCs w:val="21"/>
              </w:rPr>
            </w:pPr>
          </w:p>
        </w:tc>
        <w:tc>
          <w:tcPr>
            <w:tcW w:w="2085" w:type="dxa"/>
            <w:gridSpan w:val="2"/>
            <w:vMerge w:val="continue"/>
            <w:noWrap w:val="0"/>
            <w:vAlign w:val="center"/>
          </w:tcPr>
          <w:p w14:paraId="1649E745">
            <w:pPr>
              <w:rPr>
                <w:rFonts w:hint="eastAsia" w:ascii="宋体" w:hAnsi="宋体"/>
                <w:szCs w:val="44"/>
              </w:rPr>
            </w:pPr>
          </w:p>
        </w:tc>
        <w:tc>
          <w:tcPr>
            <w:tcW w:w="735" w:type="dxa"/>
            <w:gridSpan w:val="2"/>
            <w:vMerge w:val="continue"/>
            <w:noWrap w:val="0"/>
            <w:vAlign w:val="center"/>
          </w:tcPr>
          <w:p w14:paraId="30E99FC2">
            <w:pPr>
              <w:rPr>
                <w:rFonts w:hint="eastAsia" w:ascii="宋体" w:hAnsi="宋体"/>
                <w:szCs w:val="44"/>
              </w:rPr>
            </w:pPr>
          </w:p>
        </w:tc>
        <w:tc>
          <w:tcPr>
            <w:tcW w:w="4560" w:type="dxa"/>
            <w:noWrap w:val="0"/>
            <w:vAlign w:val="center"/>
          </w:tcPr>
          <w:p w14:paraId="216483E3">
            <w:pPr>
              <w:rPr>
                <w:rFonts w:ascii="宋体" w:hAnsi="宋体"/>
                <w:bCs/>
                <w:szCs w:val="21"/>
              </w:rPr>
            </w:pPr>
            <w:r>
              <w:rPr>
                <w:rFonts w:hint="eastAsia" w:ascii="宋体" w:hAnsi="宋体"/>
                <w:bCs/>
                <w:szCs w:val="21"/>
              </w:rPr>
              <w:t>不</w:t>
            </w:r>
            <w:r>
              <w:rPr>
                <w:rFonts w:ascii="宋体" w:hAnsi="宋体"/>
                <w:bCs/>
                <w:szCs w:val="21"/>
              </w:rPr>
              <w:t>可行，</w:t>
            </w:r>
            <w:r>
              <w:rPr>
                <w:rFonts w:hint="eastAsia" w:ascii="宋体" w:hAnsi="宋体"/>
                <w:bCs/>
                <w:szCs w:val="21"/>
              </w:rPr>
              <w:t>不能</w:t>
            </w:r>
            <w:r>
              <w:rPr>
                <w:rFonts w:ascii="宋体" w:hAnsi="宋体"/>
                <w:bCs/>
                <w:szCs w:val="21"/>
              </w:rPr>
              <w:t>满足工程</w:t>
            </w:r>
            <w:r>
              <w:rPr>
                <w:rFonts w:hint="eastAsia" w:ascii="宋体" w:hAnsi="宋体"/>
                <w:bCs/>
                <w:szCs w:val="21"/>
              </w:rPr>
              <w:t>需要            0分</w:t>
            </w:r>
          </w:p>
        </w:tc>
      </w:tr>
      <w:tr w14:paraId="2CDC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4861F6AF">
            <w:pPr>
              <w:jc w:val="center"/>
              <w:rPr>
                <w:rFonts w:hint="eastAsia" w:ascii="宋体" w:hAnsi="宋体"/>
                <w:szCs w:val="21"/>
              </w:rPr>
            </w:pPr>
          </w:p>
        </w:tc>
        <w:tc>
          <w:tcPr>
            <w:tcW w:w="1059" w:type="dxa"/>
            <w:vMerge w:val="continue"/>
            <w:noWrap w:val="0"/>
            <w:vAlign w:val="center"/>
          </w:tcPr>
          <w:p w14:paraId="0196979E">
            <w:pPr>
              <w:jc w:val="center"/>
              <w:rPr>
                <w:rFonts w:hint="eastAsia" w:ascii="宋体" w:hAnsi="宋体"/>
                <w:szCs w:val="21"/>
              </w:rPr>
            </w:pPr>
          </w:p>
        </w:tc>
        <w:tc>
          <w:tcPr>
            <w:tcW w:w="2085" w:type="dxa"/>
            <w:gridSpan w:val="2"/>
            <w:vMerge w:val="restart"/>
            <w:noWrap w:val="0"/>
            <w:vAlign w:val="center"/>
          </w:tcPr>
          <w:p w14:paraId="3C54A9DE">
            <w:pPr>
              <w:rPr>
                <w:rFonts w:hint="eastAsia" w:ascii="宋体" w:hAnsi="宋体"/>
                <w:szCs w:val="44"/>
              </w:rPr>
            </w:pPr>
            <w:r>
              <w:rPr>
                <w:rFonts w:hint="eastAsia" w:ascii="宋体" w:hAnsi="宋体"/>
                <w:szCs w:val="21"/>
              </w:rPr>
              <w:t>施工进度计划</w:t>
            </w:r>
          </w:p>
        </w:tc>
        <w:tc>
          <w:tcPr>
            <w:tcW w:w="735" w:type="dxa"/>
            <w:gridSpan w:val="2"/>
            <w:vMerge w:val="restart"/>
            <w:noWrap w:val="0"/>
            <w:vAlign w:val="center"/>
          </w:tcPr>
          <w:p w14:paraId="2C58C115">
            <w:pPr>
              <w:rPr>
                <w:rFonts w:hint="eastAsia" w:ascii="宋体" w:hAnsi="宋体"/>
                <w:szCs w:val="44"/>
              </w:rPr>
            </w:pPr>
            <w:r>
              <w:rPr>
                <w:rFonts w:hint="eastAsia" w:ascii="宋体" w:hAnsi="宋体"/>
                <w:szCs w:val="44"/>
              </w:rPr>
              <w:t>2</w:t>
            </w:r>
            <w:r>
              <w:rPr>
                <w:rFonts w:hint="eastAsia" w:ascii="宋体" w:hAnsi="宋体"/>
                <w:bCs/>
                <w:szCs w:val="21"/>
              </w:rPr>
              <w:t>分</w:t>
            </w:r>
          </w:p>
        </w:tc>
        <w:tc>
          <w:tcPr>
            <w:tcW w:w="4560" w:type="dxa"/>
            <w:noWrap w:val="0"/>
            <w:vAlign w:val="center"/>
          </w:tcPr>
          <w:p w14:paraId="46EFBB39">
            <w:pPr>
              <w:rPr>
                <w:rFonts w:hint="eastAsia" w:ascii="宋体" w:hAnsi="宋体"/>
                <w:bCs/>
                <w:szCs w:val="21"/>
              </w:rPr>
            </w:pPr>
            <w:r>
              <w:rPr>
                <w:rFonts w:ascii="宋体" w:hAnsi="宋体"/>
                <w:bCs/>
                <w:szCs w:val="21"/>
              </w:rPr>
              <w:t>科学、</w:t>
            </w:r>
            <w:r>
              <w:rPr>
                <w:rFonts w:hint="eastAsia" w:ascii="宋体" w:hAnsi="宋体"/>
                <w:bCs/>
                <w:szCs w:val="21"/>
              </w:rPr>
              <w:t>合理</w:t>
            </w:r>
            <w:r>
              <w:rPr>
                <w:rFonts w:ascii="宋体" w:hAnsi="宋体"/>
                <w:bCs/>
                <w:szCs w:val="21"/>
              </w:rPr>
              <w:t>、针对性强</w:t>
            </w:r>
            <w:r>
              <w:rPr>
                <w:rFonts w:hint="eastAsia" w:ascii="宋体" w:hAnsi="宋体"/>
                <w:bCs/>
                <w:szCs w:val="21"/>
              </w:rPr>
              <w:t xml:space="preserve">            2-1.9分</w:t>
            </w:r>
          </w:p>
        </w:tc>
      </w:tr>
      <w:tr w14:paraId="06BE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3317F095">
            <w:pPr>
              <w:jc w:val="center"/>
              <w:rPr>
                <w:rFonts w:hint="eastAsia" w:ascii="宋体" w:hAnsi="宋体"/>
                <w:szCs w:val="21"/>
              </w:rPr>
            </w:pPr>
          </w:p>
        </w:tc>
        <w:tc>
          <w:tcPr>
            <w:tcW w:w="1059" w:type="dxa"/>
            <w:vMerge w:val="continue"/>
            <w:noWrap w:val="0"/>
            <w:vAlign w:val="center"/>
          </w:tcPr>
          <w:p w14:paraId="1C822507">
            <w:pPr>
              <w:jc w:val="center"/>
              <w:rPr>
                <w:rFonts w:hint="eastAsia" w:ascii="宋体" w:hAnsi="宋体"/>
                <w:szCs w:val="21"/>
              </w:rPr>
            </w:pPr>
          </w:p>
        </w:tc>
        <w:tc>
          <w:tcPr>
            <w:tcW w:w="2085" w:type="dxa"/>
            <w:gridSpan w:val="2"/>
            <w:vMerge w:val="continue"/>
            <w:noWrap w:val="0"/>
            <w:vAlign w:val="center"/>
          </w:tcPr>
          <w:p w14:paraId="19B94681">
            <w:pPr>
              <w:rPr>
                <w:rFonts w:hint="eastAsia" w:ascii="宋体" w:hAnsi="宋体"/>
                <w:szCs w:val="44"/>
              </w:rPr>
            </w:pPr>
          </w:p>
        </w:tc>
        <w:tc>
          <w:tcPr>
            <w:tcW w:w="735" w:type="dxa"/>
            <w:gridSpan w:val="2"/>
            <w:vMerge w:val="continue"/>
            <w:noWrap w:val="0"/>
            <w:vAlign w:val="center"/>
          </w:tcPr>
          <w:p w14:paraId="0C3E812F">
            <w:pPr>
              <w:rPr>
                <w:rFonts w:hint="eastAsia" w:ascii="宋体" w:hAnsi="宋体"/>
                <w:szCs w:val="44"/>
              </w:rPr>
            </w:pPr>
          </w:p>
        </w:tc>
        <w:tc>
          <w:tcPr>
            <w:tcW w:w="4560" w:type="dxa"/>
            <w:noWrap w:val="0"/>
            <w:vAlign w:val="center"/>
          </w:tcPr>
          <w:p w14:paraId="6DBA2AAB">
            <w:pPr>
              <w:rPr>
                <w:rFonts w:hint="eastAsia" w:ascii="宋体" w:hAnsi="宋体"/>
                <w:bCs/>
                <w:szCs w:val="21"/>
              </w:rPr>
            </w:pPr>
            <w:r>
              <w:rPr>
                <w:rFonts w:ascii="宋体" w:hAnsi="宋体"/>
                <w:bCs/>
                <w:szCs w:val="21"/>
              </w:rPr>
              <w:t>合理、可行、</w:t>
            </w:r>
            <w:r>
              <w:rPr>
                <w:rFonts w:hint="eastAsia" w:ascii="宋体" w:hAnsi="宋体"/>
                <w:bCs/>
                <w:szCs w:val="21"/>
              </w:rPr>
              <w:t xml:space="preserve">                  1.8-1.6分</w:t>
            </w:r>
          </w:p>
        </w:tc>
      </w:tr>
      <w:tr w14:paraId="659D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F51EF8C">
            <w:pPr>
              <w:jc w:val="center"/>
              <w:rPr>
                <w:rFonts w:hint="eastAsia" w:ascii="宋体" w:hAnsi="宋体"/>
                <w:szCs w:val="21"/>
              </w:rPr>
            </w:pPr>
          </w:p>
        </w:tc>
        <w:tc>
          <w:tcPr>
            <w:tcW w:w="1059" w:type="dxa"/>
            <w:vMerge w:val="continue"/>
            <w:noWrap w:val="0"/>
            <w:vAlign w:val="center"/>
          </w:tcPr>
          <w:p w14:paraId="495DDDD4">
            <w:pPr>
              <w:jc w:val="center"/>
              <w:rPr>
                <w:rFonts w:hint="eastAsia" w:ascii="宋体" w:hAnsi="宋体"/>
                <w:szCs w:val="21"/>
              </w:rPr>
            </w:pPr>
          </w:p>
        </w:tc>
        <w:tc>
          <w:tcPr>
            <w:tcW w:w="2085" w:type="dxa"/>
            <w:gridSpan w:val="2"/>
            <w:vMerge w:val="continue"/>
            <w:noWrap w:val="0"/>
            <w:vAlign w:val="center"/>
          </w:tcPr>
          <w:p w14:paraId="448F55A4">
            <w:pPr>
              <w:rPr>
                <w:rFonts w:hint="eastAsia" w:ascii="宋体" w:hAnsi="宋体"/>
                <w:szCs w:val="44"/>
              </w:rPr>
            </w:pPr>
          </w:p>
        </w:tc>
        <w:tc>
          <w:tcPr>
            <w:tcW w:w="735" w:type="dxa"/>
            <w:gridSpan w:val="2"/>
            <w:vMerge w:val="continue"/>
            <w:noWrap w:val="0"/>
            <w:vAlign w:val="center"/>
          </w:tcPr>
          <w:p w14:paraId="03D4670D">
            <w:pPr>
              <w:rPr>
                <w:rFonts w:hint="eastAsia" w:ascii="宋体" w:hAnsi="宋体"/>
                <w:szCs w:val="44"/>
              </w:rPr>
            </w:pPr>
          </w:p>
        </w:tc>
        <w:tc>
          <w:tcPr>
            <w:tcW w:w="4560" w:type="dxa"/>
            <w:noWrap w:val="0"/>
            <w:vAlign w:val="center"/>
          </w:tcPr>
          <w:p w14:paraId="043738E1">
            <w:pPr>
              <w:rPr>
                <w:rFonts w:hint="eastAsia" w:ascii="宋体" w:hAnsi="宋体"/>
                <w:bCs/>
                <w:szCs w:val="21"/>
              </w:rPr>
            </w:pPr>
            <w:r>
              <w:rPr>
                <w:rFonts w:ascii="宋体" w:hAnsi="宋体"/>
                <w:bCs/>
                <w:szCs w:val="21"/>
              </w:rPr>
              <w:t>欠合理，</w:t>
            </w:r>
            <w:r>
              <w:rPr>
                <w:rFonts w:hint="eastAsia" w:ascii="宋体" w:hAnsi="宋体"/>
                <w:bCs/>
                <w:szCs w:val="21"/>
              </w:rPr>
              <w:t>基本</w:t>
            </w:r>
            <w:r>
              <w:rPr>
                <w:rFonts w:ascii="宋体" w:hAnsi="宋体"/>
                <w:bCs/>
                <w:szCs w:val="21"/>
              </w:rPr>
              <w:t>可行</w:t>
            </w:r>
            <w:r>
              <w:rPr>
                <w:rFonts w:hint="eastAsia" w:ascii="宋体" w:hAnsi="宋体"/>
                <w:bCs/>
                <w:szCs w:val="21"/>
              </w:rPr>
              <w:t xml:space="preserve">              1.5-1.4分</w:t>
            </w:r>
          </w:p>
        </w:tc>
      </w:tr>
      <w:tr w14:paraId="7C5A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BC29076">
            <w:pPr>
              <w:jc w:val="center"/>
              <w:rPr>
                <w:rFonts w:hint="eastAsia" w:ascii="宋体" w:hAnsi="宋体"/>
                <w:szCs w:val="21"/>
              </w:rPr>
            </w:pPr>
          </w:p>
        </w:tc>
        <w:tc>
          <w:tcPr>
            <w:tcW w:w="1059" w:type="dxa"/>
            <w:vMerge w:val="continue"/>
            <w:noWrap w:val="0"/>
            <w:vAlign w:val="center"/>
          </w:tcPr>
          <w:p w14:paraId="16243308">
            <w:pPr>
              <w:jc w:val="center"/>
              <w:rPr>
                <w:rFonts w:hint="eastAsia" w:ascii="宋体" w:hAnsi="宋体"/>
                <w:szCs w:val="21"/>
              </w:rPr>
            </w:pPr>
          </w:p>
        </w:tc>
        <w:tc>
          <w:tcPr>
            <w:tcW w:w="2085" w:type="dxa"/>
            <w:gridSpan w:val="2"/>
            <w:vMerge w:val="continue"/>
            <w:noWrap w:val="0"/>
            <w:vAlign w:val="center"/>
          </w:tcPr>
          <w:p w14:paraId="248F7404">
            <w:pPr>
              <w:rPr>
                <w:rFonts w:hint="eastAsia" w:ascii="宋体" w:hAnsi="宋体"/>
                <w:szCs w:val="44"/>
              </w:rPr>
            </w:pPr>
          </w:p>
        </w:tc>
        <w:tc>
          <w:tcPr>
            <w:tcW w:w="735" w:type="dxa"/>
            <w:gridSpan w:val="2"/>
            <w:vMerge w:val="continue"/>
            <w:noWrap w:val="0"/>
            <w:vAlign w:val="center"/>
          </w:tcPr>
          <w:p w14:paraId="3E81A80E">
            <w:pPr>
              <w:rPr>
                <w:rFonts w:hint="eastAsia" w:ascii="宋体" w:hAnsi="宋体"/>
                <w:szCs w:val="44"/>
              </w:rPr>
            </w:pPr>
          </w:p>
        </w:tc>
        <w:tc>
          <w:tcPr>
            <w:tcW w:w="4560" w:type="dxa"/>
            <w:noWrap w:val="0"/>
            <w:vAlign w:val="center"/>
          </w:tcPr>
          <w:p w14:paraId="00F6BEB9">
            <w:pPr>
              <w:rPr>
                <w:rFonts w:ascii="宋体" w:hAnsi="宋体"/>
                <w:bCs/>
                <w:szCs w:val="21"/>
              </w:rPr>
            </w:pPr>
            <w:r>
              <w:rPr>
                <w:rFonts w:hint="eastAsia" w:ascii="宋体" w:hAnsi="宋体"/>
                <w:bCs/>
                <w:szCs w:val="21"/>
              </w:rPr>
              <w:t>不</w:t>
            </w:r>
            <w:r>
              <w:rPr>
                <w:rFonts w:ascii="宋体" w:hAnsi="宋体"/>
                <w:bCs/>
                <w:szCs w:val="21"/>
              </w:rPr>
              <w:t>可行，</w:t>
            </w:r>
            <w:r>
              <w:rPr>
                <w:rFonts w:hint="eastAsia" w:ascii="宋体" w:hAnsi="宋体"/>
                <w:bCs/>
                <w:szCs w:val="21"/>
              </w:rPr>
              <w:t>不能</w:t>
            </w:r>
            <w:r>
              <w:rPr>
                <w:rFonts w:ascii="宋体" w:hAnsi="宋体"/>
                <w:bCs/>
                <w:szCs w:val="21"/>
              </w:rPr>
              <w:t>满足</w:t>
            </w:r>
            <w:r>
              <w:rPr>
                <w:rFonts w:hint="eastAsia" w:ascii="宋体" w:hAnsi="宋体"/>
                <w:bCs/>
                <w:szCs w:val="21"/>
              </w:rPr>
              <w:t>招标文件要求        0分</w:t>
            </w:r>
          </w:p>
        </w:tc>
      </w:tr>
      <w:tr w14:paraId="0FA8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4E6D703">
            <w:pPr>
              <w:jc w:val="center"/>
              <w:rPr>
                <w:rFonts w:hint="eastAsia" w:ascii="宋体" w:hAnsi="宋体"/>
                <w:szCs w:val="21"/>
              </w:rPr>
            </w:pPr>
          </w:p>
        </w:tc>
        <w:tc>
          <w:tcPr>
            <w:tcW w:w="1059" w:type="dxa"/>
            <w:vMerge w:val="continue"/>
            <w:noWrap w:val="0"/>
            <w:vAlign w:val="center"/>
          </w:tcPr>
          <w:p w14:paraId="27562132">
            <w:pPr>
              <w:jc w:val="center"/>
              <w:rPr>
                <w:rFonts w:hint="eastAsia" w:ascii="宋体" w:hAnsi="宋体"/>
                <w:szCs w:val="21"/>
              </w:rPr>
            </w:pPr>
          </w:p>
        </w:tc>
        <w:tc>
          <w:tcPr>
            <w:tcW w:w="2085" w:type="dxa"/>
            <w:gridSpan w:val="2"/>
            <w:vMerge w:val="restart"/>
            <w:noWrap w:val="0"/>
            <w:vAlign w:val="center"/>
          </w:tcPr>
          <w:p w14:paraId="50C15A11">
            <w:pPr>
              <w:rPr>
                <w:rFonts w:hint="eastAsia" w:ascii="宋体" w:hAnsi="宋体"/>
                <w:szCs w:val="21"/>
              </w:rPr>
            </w:pPr>
            <w:r>
              <w:rPr>
                <w:rFonts w:hint="eastAsia" w:ascii="宋体" w:hAnsi="宋体"/>
                <w:szCs w:val="21"/>
              </w:rPr>
              <w:t>施工准备与</w:t>
            </w:r>
          </w:p>
          <w:p w14:paraId="47628241">
            <w:pPr>
              <w:rPr>
                <w:rFonts w:hint="eastAsia" w:ascii="宋体" w:hAnsi="宋体"/>
                <w:szCs w:val="44"/>
              </w:rPr>
            </w:pPr>
            <w:r>
              <w:rPr>
                <w:rFonts w:hint="eastAsia" w:ascii="宋体" w:hAnsi="宋体"/>
                <w:szCs w:val="21"/>
              </w:rPr>
              <w:t>资源配置计划</w:t>
            </w:r>
          </w:p>
        </w:tc>
        <w:tc>
          <w:tcPr>
            <w:tcW w:w="735" w:type="dxa"/>
            <w:gridSpan w:val="2"/>
            <w:vMerge w:val="restart"/>
            <w:noWrap w:val="0"/>
            <w:vAlign w:val="center"/>
          </w:tcPr>
          <w:p w14:paraId="3B1B473B">
            <w:pPr>
              <w:rPr>
                <w:rFonts w:hint="eastAsia" w:ascii="宋体" w:hAnsi="宋体"/>
                <w:szCs w:val="44"/>
              </w:rPr>
            </w:pPr>
            <w:r>
              <w:rPr>
                <w:rFonts w:hint="eastAsia" w:ascii="宋体" w:hAnsi="宋体"/>
                <w:szCs w:val="44"/>
              </w:rPr>
              <w:t>2</w:t>
            </w:r>
            <w:r>
              <w:rPr>
                <w:rFonts w:hint="eastAsia" w:ascii="宋体" w:hAnsi="宋体"/>
                <w:bCs/>
                <w:szCs w:val="21"/>
              </w:rPr>
              <w:t>分</w:t>
            </w:r>
          </w:p>
        </w:tc>
        <w:tc>
          <w:tcPr>
            <w:tcW w:w="4560" w:type="dxa"/>
            <w:noWrap w:val="0"/>
            <w:vAlign w:val="center"/>
          </w:tcPr>
          <w:p w14:paraId="58628356">
            <w:pPr>
              <w:rPr>
                <w:rFonts w:hint="eastAsia" w:ascii="宋体" w:hAnsi="宋体"/>
                <w:bCs/>
                <w:szCs w:val="21"/>
              </w:rPr>
            </w:pPr>
            <w:r>
              <w:rPr>
                <w:rFonts w:hint="eastAsia" w:ascii="宋体" w:hAnsi="宋体"/>
                <w:szCs w:val="44"/>
              </w:rPr>
              <w:t>内容完备，</w:t>
            </w:r>
            <w:r>
              <w:rPr>
                <w:rFonts w:ascii="宋体" w:hAnsi="宋体"/>
                <w:bCs/>
                <w:szCs w:val="21"/>
              </w:rPr>
              <w:t>合理</w:t>
            </w:r>
            <w:r>
              <w:rPr>
                <w:rFonts w:hint="eastAsia" w:ascii="宋体" w:hAnsi="宋体"/>
                <w:bCs/>
                <w:szCs w:val="21"/>
              </w:rPr>
              <w:t>、</w:t>
            </w:r>
            <w:r>
              <w:rPr>
                <w:rFonts w:ascii="宋体" w:hAnsi="宋体"/>
                <w:bCs/>
                <w:szCs w:val="21"/>
              </w:rPr>
              <w:t>针对性强</w:t>
            </w:r>
            <w:r>
              <w:rPr>
                <w:rFonts w:hint="eastAsia" w:ascii="宋体" w:hAnsi="宋体"/>
                <w:bCs/>
                <w:szCs w:val="21"/>
              </w:rPr>
              <w:t xml:space="preserve">        2-1.9分</w:t>
            </w:r>
          </w:p>
        </w:tc>
      </w:tr>
      <w:tr w14:paraId="47DC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3FA9918">
            <w:pPr>
              <w:jc w:val="center"/>
              <w:rPr>
                <w:rFonts w:hint="eastAsia" w:ascii="宋体" w:hAnsi="宋体"/>
                <w:szCs w:val="21"/>
              </w:rPr>
            </w:pPr>
          </w:p>
        </w:tc>
        <w:tc>
          <w:tcPr>
            <w:tcW w:w="1059" w:type="dxa"/>
            <w:vMerge w:val="continue"/>
            <w:noWrap w:val="0"/>
            <w:vAlign w:val="center"/>
          </w:tcPr>
          <w:p w14:paraId="62D32272">
            <w:pPr>
              <w:jc w:val="center"/>
              <w:rPr>
                <w:rFonts w:hint="eastAsia" w:ascii="宋体" w:hAnsi="宋体"/>
                <w:szCs w:val="21"/>
              </w:rPr>
            </w:pPr>
          </w:p>
        </w:tc>
        <w:tc>
          <w:tcPr>
            <w:tcW w:w="2085" w:type="dxa"/>
            <w:gridSpan w:val="2"/>
            <w:vMerge w:val="continue"/>
            <w:noWrap w:val="0"/>
            <w:vAlign w:val="center"/>
          </w:tcPr>
          <w:p w14:paraId="49D151E3">
            <w:pPr>
              <w:rPr>
                <w:rFonts w:hint="eastAsia" w:ascii="宋体" w:hAnsi="宋体"/>
                <w:szCs w:val="44"/>
              </w:rPr>
            </w:pPr>
          </w:p>
        </w:tc>
        <w:tc>
          <w:tcPr>
            <w:tcW w:w="735" w:type="dxa"/>
            <w:gridSpan w:val="2"/>
            <w:vMerge w:val="continue"/>
            <w:noWrap w:val="0"/>
            <w:vAlign w:val="center"/>
          </w:tcPr>
          <w:p w14:paraId="4483476A">
            <w:pPr>
              <w:rPr>
                <w:rFonts w:hint="eastAsia" w:ascii="宋体" w:hAnsi="宋体"/>
                <w:szCs w:val="44"/>
              </w:rPr>
            </w:pPr>
          </w:p>
        </w:tc>
        <w:tc>
          <w:tcPr>
            <w:tcW w:w="4560" w:type="dxa"/>
            <w:noWrap w:val="0"/>
            <w:vAlign w:val="center"/>
          </w:tcPr>
          <w:p w14:paraId="483ACC3C">
            <w:pPr>
              <w:rPr>
                <w:rFonts w:hint="eastAsia" w:ascii="宋体" w:hAnsi="宋体"/>
                <w:bCs/>
                <w:szCs w:val="21"/>
              </w:rPr>
            </w:pPr>
            <w:r>
              <w:rPr>
                <w:rFonts w:hint="eastAsia" w:ascii="宋体" w:hAnsi="宋体"/>
                <w:szCs w:val="44"/>
              </w:rPr>
              <w:t>内容完备，</w:t>
            </w:r>
            <w:r>
              <w:rPr>
                <w:rFonts w:ascii="宋体" w:hAnsi="宋体"/>
                <w:bCs/>
                <w:szCs w:val="21"/>
              </w:rPr>
              <w:t>可行</w:t>
            </w:r>
            <w:r>
              <w:rPr>
                <w:rFonts w:hint="eastAsia" w:ascii="宋体" w:hAnsi="宋体"/>
                <w:bCs/>
                <w:szCs w:val="21"/>
              </w:rPr>
              <w:t xml:space="preserve">                1.8-1.6分</w:t>
            </w:r>
          </w:p>
        </w:tc>
      </w:tr>
      <w:tr w14:paraId="5D52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1325F18C">
            <w:pPr>
              <w:jc w:val="center"/>
              <w:rPr>
                <w:rFonts w:hint="eastAsia" w:ascii="宋体" w:hAnsi="宋体"/>
                <w:szCs w:val="21"/>
              </w:rPr>
            </w:pPr>
          </w:p>
        </w:tc>
        <w:tc>
          <w:tcPr>
            <w:tcW w:w="1059" w:type="dxa"/>
            <w:vMerge w:val="continue"/>
            <w:noWrap w:val="0"/>
            <w:vAlign w:val="center"/>
          </w:tcPr>
          <w:p w14:paraId="7596E917">
            <w:pPr>
              <w:jc w:val="center"/>
              <w:rPr>
                <w:rFonts w:hint="eastAsia" w:ascii="宋体" w:hAnsi="宋体"/>
                <w:szCs w:val="21"/>
              </w:rPr>
            </w:pPr>
          </w:p>
        </w:tc>
        <w:tc>
          <w:tcPr>
            <w:tcW w:w="2085" w:type="dxa"/>
            <w:gridSpan w:val="2"/>
            <w:vMerge w:val="continue"/>
            <w:noWrap w:val="0"/>
            <w:vAlign w:val="center"/>
          </w:tcPr>
          <w:p w14:paraId="0AEAEC32">
            <w:pPr>
              <w:rPr>
                <w:rFonts w:hint="eastAsia" w:ascii="宋体" w:hAnsi="宋体"/>
                <w:szCs w:val="44"/>
              </w:rPr>
            </w:pPr>
          </w:p>
        </w:tc>
        <w:tc>
          <w:tcPr>
            <w:tcW w:w="735" w:type="dxa"/>
            <w:gridSpan w:val="2"/>
            <w:vMerge w:val="continue"/>
            <w:noWrap w:val="0"/>
            <w:vAlign w:val="center"/>
          </w:tcPr>
          <w:p w14:paraId="395E2E9F">
            <w:pPr>
              <w:rPr>
                <w:rFonts w:hint="eastAsia" w:ascii="宋体" w:hAnsi="宋体"/>
                <w:szCs w:val="44"/>
              </w:rPr>
            </w:pPr>
          </w:p>
        </w:tc>
        <w:tc>
          <w:tcPr>
            <w:tcW w:w="4560" w:type="dxa"/>
            <w:noWrap w:val="0"/>
            <w:vAlign w:val="center"/>
          </w:tcPr>
          <w:p w14:paraId="61B94F26">
            <w:pPr>
              <w:rPr>
                <w:rFonts w:hint="eastAsia" w:ascii="宋体" w:hAnsi="宋体"/>
                <w:bCs/>
                <w:szCs w:val="21"/>
              </w:rPr>
            </w:pPr>
            <w:r>
              <w:rPr>
                <w:rFonts w:hint="eastAsia" w:ascii="宋体" w:hAnsi="宋体"/>
                <w:szCs w:val="44"/>
              </w:rPr>
              <w:t>内容欠完备，</w:t>
            </w:r>
            <w:r>
              <w:rPr>
                <w:rFonts w:hint="eastAsia" w:ascii="宋体" w:hAnsi="宋体"/>
                <w:bCs/>
                <w:szCs w:val="21"/>
              </w:rPr>
              <w:t>基本</w:t>
            </w:r>
            <w:r>
              <w:rPr>
                <w:rFonts w:ascii="宋体" w:hAnsi="宋体"/>
                <w:bCs/>
                <w:szCs w:val="21"/>
              </w:rPr>
              <w:t>可行</w:t>
            </w:r>
            <w:r>
              <w:rPr>
                <w:rFonts w:hint="eastAsia" w:ascii="宋体" w:hAnsi="宋体"/>
                <w:bCs/>
                <w:szCs w:val="21"/>
              </w:rPr>
              <w:t xml:space="preserve">          1.5-1.4分</w:t>
            </w:r>
          </w:p>
        </w:tc>
      </w:tr>
      <w:tr w14:paraId="6F25A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994905E">
            <w:pPr>
              <w:jc w:val="center"/>
              <w:rPr>
                <w:rFonts w:hint="eastAsia" w:ascii="宋体" w:hAnsi="宋体"/>
                <w:szCs w:val="21"/>
              </w:rPr>
            </w:pPr>
          </w:p>
        </w:tc>
        <w:tc>
          <w:tcPr>
            <w:tcW w:w="1059" w:type="dxa"/>
            <w:vMerge w:val="continue"/>
            <w:noWrap w:val="0"/>
            <w:vAlign w:val="center"/>
          </w:tcPr>
          <w:p w14:paraId="68C34B0A">
            <w:pPr>
              <w:jc w:val="center"/>
              <w:rPr>
                <w:rFonts w:hint="eastAsia" w:ascii="宋体" w:hAnsi="宋体"/>
                <w:szCs w:val="21"/>
              </w:rPr>
            </w:pPr>
          </w:p>
        </w:tc>
        <w:tc>
          <w:tcPr>
            <w:tcW w:w="2085" w:type="dxa"/>
            <w:gridSpan w:val="2"/>
            <w:vMerge w:val="continue"/>
            <w:noWrap w:val="0"/>
            <w:vAlign w:val="center"/>
          </w:tcPr>
          <w:p w14:paraId="2A0C4240">
            <w:pPr>
              <w:rPr>
                <w:rFonts w:hint="eastAsia" w:ascii="宋体" w:hAnsi="宋体"/>
                <w:szCs w:val="44"/>
              </w:rPr>
            </w:pPr>
          </w:p>
        </w:tc>
        <w:tc>
          <w:tcPr>
            <w:tcW w:w="735" w:type="dxa"/>
            <w:gridSpan w:val="2"/>
            <w:vMerge w:val="continue"/>
            <w:noWrap w:val="0"/>
            <w:vAlign w:val="center"/>
          </w:tcPr>
          <w:p w14:paraId="105B4F86">
            <w:pPr>
              <w:rPr>
                <w:rFonts w:hint="eastAsia" w:ascii="宋体" w:hAnsi="宋体"/>
                <w:szCs w:val="44"/>
              </w:rPr>
            </w:pPr>
          </w:p>
        </w:tc>
        <w:tc>
          <w:tcPr>
            <w:tcW w:w="4560" w:type="dxa"/>
            <w:noWrap w:val="0"/>
            <w:vAlign w:val="center"/>
          </w:tcPr>
          <w:p w14:paraId="34B42F90">
            <w:pPr>
              <w:rPr>
                <w:rFonts w:hint="eastAsia" w:ascii="宋体" w:hAnsi="宋体"/>
                <w:szCs w:val="44"/>
              </w:rPr>
            </w:pPr>
            <w:r>
              <w:rPr>
                <w:rFonts w:hint="eastAsia" w:ascii="宋体" w:hAnsi="宋体"/>
                <w:bCs/>
                <w:szCs w:val="21"/>
              </w:rPr>
              <w:t>不</w:t>
            </w:r>
            <w:r>
              <w:rPr>
                <w:rFonts w:ascii="宋体" w:hAnsi="宋体"/>
                <w:bCs/>
                <w:szCs w:val="21"/>
              </w:rPr>
              <w:t>可行</w:t>
            </w:r>
            <w:r>
              <w:rPr>
                <w:rFonts w:hint="eastAsia" w:ascii="宋体" w:hAnsi="宋体"/>
                <w:bCs/>
                <w:szCs w:val="21"/>
              </w:rPr>
              <w:t xml:space="preserve">                              0分</w:t>
            </w:r>
          </w:p>
        </w:tc>
      </w:tr>
      <w:tr w14:paraId="1853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294D6904">
            <w:pPr>
              <w:jc w:val="center"/>
              <w:rPr>
                <w:rFonts w:hint="eastAsia" w:ascii="宋体" w:hAnsi="宋体"/>
                <w:szCs w:val="21"/>
              </w:rPr>
            </w:pPr>
          </w:p>
        </w:tc>
        <w:tc>
          <w:tcPr>
            <w:tcW w:w="1059" w:type="dxa"/>
            <w:vMerge w:val="continue"/>
            <w:noWrap w:val="0"/>
            <w:vAlign w:val="center"/>
          </w:tcPr>
          <w:p w14:paraId="38D4CC46">
            <w:pPr>
              <w:jc w:val="center"/>
              <w:rPr>
                <w:rFonts w:hint="eastAsia" w:ascii="宋体" w:hAnsi="宋体"/>
                <w:szCs w:val="21"/>
              </w:rPr>
            </w:pPr>
          </w:p>
        </w:tc>
        <w:tc>
          <w:tcPr>
            <w:tcW w:w="2085" w:type="dxa"/>
            <w:gridSpan w:val="2"/>
            <w:vMerge w:val="restart"/>
            <w:noWrap w:val="0"/>
            <w:vAlign w:val="center"/>
          </w:tcPr>
          <w:p w14:paraId="09D57201">
            <w:pPr>
              <w:rPr>
                <w:rFonts w:hint="eastAsia" w:ascii="宋体" w:hAnsi="宋体"/>
                <w:szCs w:val="44"/>
              </w:rPr>
            </w:pPr>
            <w:r>
              <w:rPr>
                <w:rFonts w:hint="eastAsia" w:ascii="宋体" w:hAnsi="宋体"/>
                <w:szCs w:val="21"/>
              </w:rPr>
              <w:t>主要施工方案</w:t>
            </w:r>
          </w:p>
        </w:tc>
        <w:tc>
          <w:tcPr>
            <w:tcW w:w="735" w:type="dxa"/>
            <w:gridSpan w:val="2"/>
            <w:vMerge w:val="restart"/>
            <w:noWrap w:val="0"/>
            <w:vAlign w:val="center"/>
          </w:tcPr>
          <w:p w14:paraId="585A047E">
            <w:pPr>
              <w:rPr>
                <w:rFonts w:hint="eastAsia" w:ascii="宋体" w:hAnsi="宋体"/>
                <w:szCs w:val="44"/>
              </w:rPr>
            </w:pPr>
            <w:r>
              <w:rPr>
                <w:rFonts w:hint="eastAsia" w:ascii="宋体" w:hAnsi="宋体"/>
                <w:szCs w:val="44"/>
              </w:rPr>
              <w:t>5</w:t>
            </w:r>
            <w:r>
              <w:rPr>
                <w:rFonts w:hint="eastAsia" w:ascii="宋体" w:hAnsi="宋体"/>
                <w:bCs/>
                <w:szCs w:val="21"/>
              </w:rPr>
              <w:t>分</w:t>
            </w:r>
          </w:p>
        </w:tc>
        <w:tc>
          <w:tcPr>
            <w:tcW w:w="4560" w:type="dxa"/>
            <w:noWrap w:val="0"/>
            <w:vAlign w:val="center"/>
          </w:tcPr>
          <w:p w14:paraId="1A81A17A">
            <w:pPr>
              <w:rPr>
                <w:rFonts w:hint="eastAsia" w:ascii="宋体" w:hAnsi="宋体"/>
                <w:bCs/>
                <w:szCs w:val="21"/>
              </w:rPr>
            </w:pPr>
            <w:r>
              <w:rPr>
                <w:rFonts w:ascii="宋体" w:hAnsi="宋体"/>
                <w:bCs/>
                <w:szCs w:val="21"/>
              </w:rPr>
              <w:t>科学、</w:t>
            </w:r>
            <w:r>
              <w:rPr>
                <w:rFonts w:hint="eastAsia" w:ascii="宋体" w:hAnsi="宋体"/>
                <w:bCs/>
                <w:szCs w:val="21"/>
              </w:rPr>
              <w:t>合理</w:t>
            </w:r>
            <w:r>
              <w:rPr>
                <w:rFonts w:ascii="宋体" w:hAnsi="宋体"/>
                <w:bCs/>
                <w:szCs w:val="21"/>
              </w:rPr>
              <w:t>、针对性强</w:t>
            </w:r>
            <w:r>
              <w:rPr>
                <w:rFonts w:hint="eastAsia" w:ascii="宋体" w:hAnsi="宋体"/>
                <w:bCs/>
                <w:szCs w:val="21"/>
              </w:rPr>
              <w:t xml:space="preserve">            5-4.6分</w:t>
            </w:r>
          </w:p>
        </w:tc>
      </w:tr>
      <w:tr w14:paraId="3A4F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5AD6FB48">
            <w:pPr>
              <w:jc w:val="center"/>
              <w:rPr>
                <w:rFonts w:hint="eastAsia" w:ascii="宋体" w:hAnsi="宋体"/>
                <w:szCs w:val="21"/>
              </w:rPr>
            </w:pPr>
          </w:p>
        </w:tc>
        <w:tc>
          <w:tcPr>
            <w:tcW w:w="1059" w:type="dxa"/>
            <w:vMerge w:val="continue"/>
            <w:noWrap w:val="0"/>
            <w:vAlign w:val="center"/>
          </w:tcPr>
          <w:p w14:paraId="3719FDA9">
            <w:pPr>
              <w:jc w:val="center"/>
              <w:rPr>
                <w:rFonts w:hint="eastAsia" w:ascii="宋体" w:hAnsi="宋体"/>
                <w:szCs w:val="21"/>
              </w:rPr>
            </w:pPr>
          </w:p>
        </w:tc>
        <w:tc>
          <w:tcPr>
            <w:tcW w:w="2085" w:type="dxa"/>
            <w:gridSpan w:val="2"/>
            <w:vMerge w:val="continue"/>
            <w:noWrap w:val="0"/>
            <w:vAlign w:val="center"/>
          </w:tcPr>
          <w:p w14:paraId="1447CBAE">
            <w:pPr>
              <w:rPr>
                <w:rFonts w:hint="eastAsia" w:ascii="宋体" w:hAnsi="宋体"/>
                <w:szCs w:val="44"/>
              </w:rPr>
            </w:pPr>
          </w:p>
        </w:tc>
        <w:tc>
          <w:tcPr>
            <w:tcW w:w="735" w:type="dxa"/>
            <w:gridSpan w:val="2"/>
            <w:vMerge w:val="continue"/>
            <w:noWrap w:val="0"/>
            <w:vAlign w:val="center"/>
          </w:tcPr>
          <w:p w14:paraId="052EBC6B">
            <w:pPr>
              <w:rPr>
                <w:rFonts w:hint="eastAsia" w:ascii="宋体" w:hAnsi="宋体"/>
                <w:szCs w:val="44"/>
              </w:rPr>
            </w:pPr>
          </w:p>
        </w:tc>
        <w:tc>
          <w:tcPr>
            <w:tcW w:w="4560" w:type="dxa"/>
            <w:noWrap w:val="0"/>
            <w:vAlign w:val="center"/>
          </w:tcPr>
          <w:p w14:paraId="6142417B">
            <w:pPr>
              <w:rPr>
                <w:rFonts w:hint="eastAsia" w:ascii="宋体" w:hAnsi="宋体"/>
                <w:bCs/>
                <w:szCs w:val="21"/>
              </w:rPr>
            </w:pPr>
            <w:r>
              <w:rPr>
                <w:rFonts w:ascii="宋体" w:hAnsi="宋体"/>
                <w:bCs/>
                <w:szCs w:val="21"/>
              </w:rPr>
              <w:t>合理、可行</w:t>
            </w:r>
            <w:r>
              <w:rPr>
                <w:rFonts w:hint="eastAsia" w:ascii="宋体" w:hAnsi="宋体"/>
                <w:bCs/>
                <w:szCs w:val="21"/>
              </w:rPr>
              <w:t xml:space="preserve">                      4.5-4分</w:t>
            </w:r>
          </w:p>
        </w:tc>
      </w:tr>
      <w:tr w14:paraId="73EA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4687AD55">
            <w:pPr>
              <w:jc w:val="center"/>
              <w:rPr>
                <w:rFonts w:hint="eastAsia" w:ascii="宋体" w:hAnsi="宋体"/>
                <w:szCs w:val="21"/>
              </w:rPr>
            </w:pPr>
          </w:p>
        </w:tc>
        <w:tc>
          <w:tcPr>
            <w:tcW w:w="1059" w:type="dxa"/>
            <w:vMerge w:val="continue"/>
            <w:noWrap w:val="0"/>
            <w:vAlign w:val="center"/>
          </w:tcPr>
          <w:p w14:paraId="61C22018">
            <w:pPr>
              <w:jc w:val="center"/>
              <w:rPr>
                <w:rFonts w:hint="eastAsia" w:ascii="宋体" w:hAnsi="宋体"/>
                <w:szCs w:val="21"/>
              </w:rPr>
            </w:pPr>
          </w:p>
        </w:tc>
        <w:tc>
          <w:tcPr>
            <w:tcW w:w="2085" w:type="dxa"/>
            <w:gridSpan w:val="2"/>
            <w:vMerge w:val="continue"/>
            <w:noWrap w:val="0"/>
            <w:vAlign w:val="center"/>
          </w:tcPr>
          <w:p w14:paraId="34FCA865">
            <w:pPr>
              <w:rPr>
                <w:rFonts w:hint="eastAsia" w:ascii="宋体" w:hAnsi="宋体"/>
                <w:szCs w:val="44"/>
              </w:rPr>
            </w:pPr>
          </w:p>
        </w:tc>
        <w:tc>
          <w:tcPr>
            <w:tcW w:w="735" w:type="dxa"/>
            <w:gridSpan w:val="2"/>
            <w:vMerge w:val="continue"/>
            <w:noWrap w:val="0"/>
            <w:vAlign w:val="center"/>
          </w:tcPr>
          <w:p w14:paraId="146443B3">
            <w:pPr>
              <w:rPr>
                <w:rFonts w:hint="eastAsia" w:ascii="宋体" w:hAnsi="宋体"/>
                <w:szCs w:val="44"/>
              </w:rPr>
            </w:pPr>
          </w:p>
        </w:tc>
        <w:tc>
          <w:tcPr>
            <w:tcW w:w="4560" w:type="dxa"/>
            <w:noWrap w:val="0"/>
            <w:vAlign w:val="center"/>
          </w:tcPr>
          <w:p w14:paraId="367C986E">
            <w:pPr>
              <w:rPr>
                <w:rFonts w:hint="eastAsia" w:ascii="宋体" w:hAnsi="宋体"/>
                <w:bCs/>
                <w:szCs w:val="21"/>
              </w:rPr>
            </w:pPr>
            <w:r>
              <w:rPr>
                <w:rFonts w:ascii="宋体" w:hAnsi="宋体"/>
                <w:bCs/>
                <w:szCs w:val="21"/>
              </w:rPr>
              <w:t>欠合理，</w:t>
            </w:r>
            <w:r>
              <w:rPr>
                <w:rFonts w:hint="eastAsia" w:ascii="宋体" w:hAnsi="宋体"/>
                <w:bCs/>
                <w:szCs w:val="21"/>
              </w:rPr>
              <w:t>基本</w:t>
            </w:r>
            <w:r>
              <w:rPr>
                <w:rFonts w:ascii="宋体" w:hAnsi="宋体"/>
                <w:bCs/>
                <w:szCs w:val="21"/>
              </w:rPr>
              <w:t>可行</w:t>
            </w:r>
            <w:r>
              <w:rPr>
                <w:rFonts w:hint="eastAsia" w:ascii="宋体" w:hAnsi="宋体"/>
                <w:bCs/>
                <w:szCs w:val="21"/>
              </w:rPr>
              <w:t xml:space="preserve">              3.9-3.5分</w:t>
            </w:r>
          </w:p>
        </w:tc>
      </w:tr>
      <w:tr w14:paraId="683B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3AA8119E">
            <w:pPr>
              <w:jc w:val="center"/>
              <w:rPr>
                <w:rFonts w:hint="eastAsia" w:ascii="宋体" w:hAnsi="宋体"/>
                <w:szCs w:val="21"/>
              </w:rPr>
            </w:pPr>
          </w:p>
        </w:tc>
        <w:tc>
          <w:tcPr>
            <w:tcW w:w="1059" w:type="dxa"/>
            <w:vMerge w:val="continue"/>
            <w:noWrap w:val="0"/>
            <w:vAlign w:val="center"/>
          </w:tcPr>
          <w:p w14:paraId="15B01733">
            <w:pPr>
              <w:jc w:val="center"/>
              <w:rPr>
                <w:rFonts w:hint="eastAsia" w:ascii="宋体" w:hAnsi="宋体"/>
                <w:szCs w:val="21"/>
              </w:rPr>
            </w:pPr>
          </w:p>
        </w:tc>
        <w:tc>
          <w:tcPr>
            <w:tcW w:w="2085" w:type="dxa"/>
            <w:gridSpan w:val="2"/>
            <w:vMerge w:val="continue"/>
            <w:noWrap w:val="0"/>
            <w:vAlign w:val="center"/>
          </w:tcPr>
          <w:p w14:paraId="4EA7ACB8">
            <w:pPr>
              <w:rPr>
                <w:rFonts w:hint="eastAsia" w:ascii="宋体" w:hAnsi="宋体"/>
                <w:szCs w:val="44"/>
              </w:rPr>
            </w:pPr>
          </w:p>
        </w:tc>
        <w:tc>
          <w:tcPr>
            <w:tcW w:w="735" w:type="dxa"/>
            <w:gridSpan w:val="2"/>
            <w:vMerge w:val="continue"/>
            <w:noWrap w:val="0"/>
            <w:vAlign w:val="center"/>
          </w:tcPr>
          <w:p w14:paraId="16475BCA">
            <w:pPr>
              <w:rPr>
                <w:rFonts w:hint="eastAsia" w:ascii="宋体" w:hAnsi="宋体"/>
                <w:szCs w:val="44"/>
              </w:rPr>
            </w:pPr>
          </w:p>
        </w:tc>
        <w:tc>
          <w:tcPr>
            <w:tcW w:w="4560" w:type="dxa"/>
            <w:noWrap w:val="0"/>
            <w:vAlign w:val="center"/>
          </w:tcPr>
          <w:p w14:paraId="38616D96">
            <w:pPr>
              <w:rPr>
                <w:rFonts w:ascii="宋体" w:hAnsi="宋体"/>
                <w:bCs/>
                <w:szCs w:val="21"/>
              </w:rPr>
            </w:pPr>
            <w:r>
              <w:rPr>
                <w:rFonts w:hint="eastAsia" w:ascii="宋体" w:hAnsi="宋体"/>
                <w:bCs/>
                <w:szCs w:val="21"/>
              </w:rPr>
              <w:t>不</w:t>
            </w:r>
            <w:r>
              <w:rPr>
                <w:rFonts w:ascii="宋体" w:hAnsi="宋体"/>
                <w:bCs/>
                <w:szCs w:val="21"/>
              </w:rPr>
              <w:t>可行，</w:t>
            </w:r>
            <w:r>
              <w:rPr>
                <w:rFonts w:hint="eastAsia" w:ascii="宋体" w:hAnsi="宋体"/>
                <w:bCs/>
                <w:szCs w:val="21"/>
              </w:rPr>
              <w:t>不能</w:t>
            </w:r>
            <w:r>
              <w:rPr>
                <w:rFonts w:ascii="宋体" w:hAnsi="宋体"/>
                <w:bCs/>
                <w:szCs w:val="21"/>
              </w:rPr>
              <w:t>满足工程</w:t>
            </w:r>
            <w:r>
              <w:rPr>
                <w:rFonts w:hint="eastAsia" w:ascii="宋体" w:hAnsi="宋体"/>
                <w:bCs/>
                <w:szCs w:val="21"/>
              </w:rPr>
              <w:t>需要            0分</w:t>
            </w:r>
          </w:p>
        </w:tc>
      </w:tr>
      <w:tr w14:paraId="7F04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7936C538">
            <w:pPr>
              <w:jc w:val="center"/>
              <w:rPr>
                <w:rFonts w:hint="eastAsia" w:ascii="宋体" w:hAnsi="宋体"/>
                <w:szCs w:val="21"/>
              </w:rPr>
            </w:pPr>
          </w:p>
        </w:tc>
        <w:tc>
          <w:tcPr>
            <w:tcW w:w="1059" w:type="dxa"/>
            <w:vMerge w:val="continue"/>
            <w:noWrap w:val="0"/>
            <w:vAlign w:val="center"/>
          </w:tcPr>
          <w:p w14:paraId="4045D248">
            <w:pPr>
              <w:jc w:val="center"/>
              <w:rPr>
                <w:rFonts w:hint="eastAsia" w:ascii="宋体" w:hAnsi="宋体"/>
                <w:szCs w:val="21"/>
              </w:rPr>
            </w:pPr>
          </w:p>
        </w:tc>
        <w:tc>
          <w:tcPr>
            <w:tcW w:w="2085" w:type="dxa"/>
            <w:gridSpan w:val="2"/>
            <w:vMerge w:val="restart"/>
            <w:noWrap w:val="0"/>
            <w:vAlign w:val="center"/>
          </w:tcPr>
          <w:p w14:paraId="26D18546">
            <w:pPr>
              <w:rPr>
                <w:rFonts w:hint="eastAsia" w:ascii="宋体" w:hAnsi="宋体"/>
                <w:szCs w:val="44"/>
              </w:rPr>
            </w:pPr>
            <w:r>
              <w:rPr>
                <w:rFonts w:hint="eastAsia" w:ascii="宋体" w:hAnsi="宋体"/>
                <w:szCs w:val="21"/>
              </w:rPr>
              <w:t>施工现场平面布置</w:t>
            </w:r>
          </w:p>
        </w:tc>
        <w:tc>
          <w:tcPr>
            <w:tcW w:w="735" w:type="dxa"/>
            <w:gridSpan w:val="2"/>
            <w:vMerge w:val="restart"/>
            <w:noWrap w:val="0"/>
            <w:vAlign w:val="center"/>
          </w:tcPr>
          <w:p w14:paraId="2F199C5D">
            <w:pPr>
              <w:rPr>
                <w:rFonts w:hint="eastAsia" w:ascii="宋体" w:hAnsi="宋体"/>
                <w:szCs w:val="44"/>
              </w:rPr>
            </w:pPr>
            <w:r>
              <w:rPr>
                <w:rFonts w:hint="eastAsia" w:ascii="宋体" w:hAnsi="宋体"/>
                <w:szCs w:val="44"/>
              </w:rPr>
              <w:t>2</w:t>
            </w:r>
            <w:r>
              <w:rPr>
                <w:rFonts w:hint="eastAsia" w:ascii="宋体" w:hAnsi="宋体"/>
                <w:bCs/>
                <w:szCs w:val="21"/>
              </w:rPr>
              <w:t>分</w:t>
            </w:r>
          </w:p>
        </w:tc>
        <w:tc>
          <w:tcPr>
            <w:tcW w:w="4560" w:type="dxa"/>
            <w:noWrap w:val="0"/>
            <w:vAlign w:val="center"/>
          </w:tcPr>
          <w:p w14:paraId="2F27C803">
            <w:pPr>
              <w:rPr>
                <w:rFonts w:hint="eastAsia" w:ascii="宋体" w:hAnsi="宋体"/>
                <w:szCs w:val="44"/>
              </w:rPr>
            </w:pPr>
            <w:r>
              <w:rPr>
                <w:rFonts w:hint="eastAsia" w:ascii="宋体" w:hAnsi="宋体"/>
                <w:szCs w:val="44"/>
              </w:rPr>
              <w:t>现场布置合理                    2-1.9</w:t>
            </w:r>
            <w:r>
              <w:rPr>
                <w:rFonts w:hint="eastAsia" w:ascii="宋体" w:hAnsi="宋体"/>
                <w:bCs/>
                <w:szCs w:val="21"/>
              </w:rPr>
              <w:t>分</w:t>
            </w:r>
          </w:p>
        </w:tc>
      </w:tr>
      <w:tr w14:paraId="4D11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488F93AA">
            <w:pPr>
              <w:jc w:val="center"/>
              <w:rPr>
                <w:rFonts w:hint="eastAsia" w:ascii="宋体" w:hAnsi="宋体"/>
                <w:szCs w:val="21"/>
              </w:rPr>
            </w:pPr>
          </w:p>
        </w:tc>
        <w:tc>
          <w:tcPr>
            <w:tcW w:w="1059" w:type="dxa"/>
            <w:vMerge w:val="continue"/>
            <w:noWrap w:val="0"/>
            <w:vAlign w:val="center"/>
          </w:tcPr>
          <w:p w14:paraId="1BDA09D6">
            <w:pPr>
              <w:jc w:val="center"/>
              <w:rPr>
                <w:rFonts w:hint="eastAsia" w:ascii="宋体" w:hAnsi="宋体"/>
                <w:szCs w:val="21"/>
              </w:rPr>
            </w:pPr>
          </w:p>
        </w:tc>
        <w:tc>
          <w:tcPr>
            <w:tcW w:w="2085" w:type="dxa"/>
            <w:gridSpan w:val="2"/>
            <w:vMerge w:val="continue"/>
            <w:noWrap w:val="0"/>
            <w:vAlign w:val="center"/>
          </w:tcPr>
          <w:p w14:paraId="7628BC7F">
            <w:pPr>
              <w:rPr>
                <w:rFonts w:hint="eastAsia" w:ascii="宋体" w:hAnsi="宋体"/>
                <w:szCs w:val="44"/>
              </w:rPr>
            </w:pPr>
          </w:p>
        </w:tc>
        <w:tc>
          <w:tcPr>
            <w:tcW w:w="735" w:type="dxa"/>
            <w:gridSpan w:val="2"/>
            <w:vMerge w:val="continue"/>
            <w:noWrap w:val="0"/>
            <w:vAlign w:val="center"/>
          </w:tcPr>
          <w:p w14:paraId="7EE4C2E3">
            <w:pPr>
              <w:rPr>
                <w:rFonts w:hint="eastAsia" w:ascii="宋体" w:hAnsi="宋体"/>
                <w:szCs w:val="44"/>
              </w:rPr>
            </w:pPr>
          </w:p>
        </w:tc>
        <w:tc>
          <w:tcPr>
            <w:tcW w:w="4560" w:type="dxa"/>
            <w:noWrap w:val="0"/>
            <w:vAlign w:val="center"/>
          </w:tcPr>
          <w:p w14:paraId="0805DD83">
            <w:pPr>
              <w:rPr>
                <w:rFonts w:hint="eastAsia" w:ascii="宋体" w:hAnsi="宋体"/>
                <w:szCs w:val="44"/>
              </w:rPr>
            </w:pPr>
            <w:r>
              <w:rPr>
                <w:rFonts w:hint="eastAsia" w:ascii="宋体" w:hAnsi="宋体"/>
                <w:szCs w:val="44"/>
              </w:rPr>
              <w:t>现场布置可行                  1.8-1.6</w:t>
            </w:r>
            <w:r>
              <w:rPr>
                <w:rFonts w:hint="eastAsia" w:ascii="宋体" w:hAnsi="宋体"/>
                <w:bCs/>
                <w:szCs w:val="21"/>
              </w:rPr>
              <w:t>分</w:t>
            </w:r>
          </w:p>
        </w:tc>
      </w:tr>
      <w:tr w14:paraId="436E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5ECD6110">
            <w:pPr>
              <w:jc w:val="center"/>
              <w:rPr>
                <w:rFonts w:hint="eastAsia" w:ascii="宋体" w:hAnsi="宋体"/>
                <w:szCs w:val="21"/>
              </w:rPr>
            </w:pPr>
          </w:p>
        </w:tc>
        <w:tc>
          <w:tcPr>
            <w:tcW w:w="1059" w:type="dxa"/>
            <w:vMerge w:val="continue"/>
            <w:noWrap w:val="0"/>
            <w:vAlign w:val="center"/>
          </w:tcPr>
          <w:p w14:paraId="1EE08C93">
            <w:pPr>
              <w:jc w:val="center"/>
              <w:rPr>
                <w:rFonts w:hint="eastAsia" w:ascii="宋体" w:hAnsi="宋体"/>
                <w:szCs w:val="21"/>
              </w:rPr>
            </w:pPr>
          </w:p>
        </w:tc>
        <w:tc>
          <w:tcPr>
            <w:tcW w:w="2085" w:type="dxa"/>
            <w:gridSpan w:val="2"/>
            <w:vMerge w:val="continue"/>
            <w:noWrap w:val="0"/>
            <w:vAlign w:val="center"/>
          </w:tcPr>
          <w:p w14:paraId="26E07393">
            <w:pPr>
              <w:rPr>
                <w:rFonts w:hint="eastAsia" w:ascii="宋体" w:hAnsi="宋体"/>
                <w:szCs w:val="44"/>
              </w:rPr>
            </w:pPr>
          </w:p>
        </w:tc>
        <w:tc>
          <w:tcPr>
            <w:tcW w:w="735" w:type="dxa"/>
            <w:gridSpan w:val="2"/>
            <w:vMerge w:val="continue"/>
            <w:noWrap w:val="0"/>
            <w:vAlign w:val="center"/>
          </w:tcPr>
          <w:p w14:paraId="033E26DA">
            <w:pPr>
              <w:rPr>
                <w:rFonts w:hint="eastAsia" w:ascii="宋体" w:hAnsi="宋体"/>
                <w:szCs w:val="44"/>
              </w:rPr>
            </w:pPr>
          </w:p>
        </w:tc>
        <w:tc>
          <w:tcPr>
            <w:tcW w:w="4560" w:type="dxa"/>
            <w:noWrap w:val="0"/>
            <w:vAlign w:val="center"/>
          </w:tcPr>
          <w:p w14:paraId="4D8C4A14">
            <w:pPr>
              <w:rPr>
                <w:rFonts w:hint="eastAsia" w:ascii="宋体" w:hAnsi="宋体"/>
                <w:szCs w:val="44"/>
              </w:rPr>
            </w:pPr>
            <w:r>
              <w:rPr>
                <w:rFonts w:hint="eastAsia" w:ascii="宋体" w:hAnsi="宋体"/>
                <w:szCs w:val="44"/>
              </w:rPr>
              <w:t>现场布置基本可行              1.5-1.4</w:t>
            </w:r>
            <w:r>
              <w:rPr>
                <w:rFonts w:hint="eastAsia" w:ascii="宋体" w:hAnsi="宋体"/>
                <w:bCs/>
                <w:szCs w:val="21"/>
              </w:rPr>
              <w:t>分</w:t>
            </w:r>
          </w:p>
        </w:tc>
      </w:tr>
      <w:tr w14:paraId="6977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D07C6A1">
            <w:pPr>
              <w:jc w:val="center"/>
              <w:rPr>
                <w:rFonts w:hint="eastAsia" w:ascii="宋体" w:hAnsi="宋体"/>
                <w:szCs w:val="21"/>
              </w:rPr>
            </w:pPr>
          </w:p>
        </w:tc>
        <w:tc>
          <w:tcPr>
            <w:tcW w:w="1059" w:type="dxa"/>
            <w:vMerge w:val="continue"/>
            <w:noWrap w:val="0"/>
            <w:vAlign w:val="center"/>
          </w:tcPr>
          <w:p w14:paraId="13B9B853">
            <w:pPr>
              <w:jc w:val="center"/>
              <w:rPr>
                <w:rFonts w:hint="eastAsia" w:ascii="宋体" w:hAnsi="宋体"/>
                <w:szCs w:val="21"/>
              </w:rPr>
            </w:pPr>
          </w:p>
        </w:tc>
        <w:tc>
          <w:tcPr>
            <w:tcW w:w="2085" w:type="dxa"/>
            <w:gridSpan w:val="2"/>
            <w:vMerge w:val="continue"/>
            <w:noWrap w:val="0"/>
            <w:vAlign w:val="center"/>
          </w:tcPr>
          <w:p w14:paraId="04CB61C7">
            <w:pPr>
              <w:rPr>
                <w:rFonts w:hint="eastAsia" w:ascii="宋体" w:hAnsi="宋体"/>
                <w:szCs w:val="44"/>
              </w:rPr>
            </w:pPr>
          </w:p>
        </w:tc>
        <w:tc>
          <w:tcPr>
            <w:tcW w:w="735" w:type="dxa"/>
            <w:gridSpan w:val="2"/>
            <w:vMerge w:val="continue"/>
            <w:noWrap w:val="0"/>
            <w:vAlign w:val="center"/>
          </w:tcPr>
          <w:p w14:paraId="62D6E17C">
            <w:pPr>
              <w:rPr>
                <w:rFonts w:hint="eastAsia" w:ascii="宋体" w:hAnsi="宋体"/>
                <w:szCs w:val="44"/>
              </w:rPr>
            </w:pPr>
          </w:p>
        </w:tc>
        <w:tc>
          <w:tcPr>
            <w:tcW w:w="4560" w:type="dxa"/>
            <w:noWrap w:val="0"/>
            <w:vAlign w:val="center"/>
          </w:tcPr>
          <w:p w14:paraId="4196F59E">
            <w:pPr>
              <w:rPr>
                <w:rFonts w:hint="eastAsia" w:ascii="宋体" w:hAnsi="宋体"/>
                <w:szCs w:val="44"/>
              </w:rPr>
            </w:pPr>
            <w:r>
              <w:rPr>
                <w:rFonts w:hint="eastAsia" w:ascii="宋体" w:hAnsi="宋体"/>
                <w:szCs w:val="44"/>
              </w:rPr>
              <w:t>现场布置不可行                      0</w:t>
            </w:r>
            <w:r>
              <w:rPr>
                <w:rFonts w:hint="eastAsia" w:ascii="宋体" w:hAnsi="宋体"/>
                <w:bCs/>
                <w:szCs w:val="21"/>
              </w:rPr>
              <w:t>分</w:t>
            </w:r>
          </w:p>
        </w:tc>
      </w:tr>
      <w:tr w14:paraId="26B9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47313BE1">
            <w:pPr>
              <w:jc w:val="center"/>
              <w:rPr>
                <w:rFonts w:hint="eastAsia" w:ascii="宋体" w:hAnsi="宋体"/>
                <w:szCs w:val="21"/>
              </w:rPr>
            </w:pPr>
          </w:p>
        </w:tc>
        <w:tc>
          <w:tcPr>
            <w:tcW w:w="1059" w:type="dxa"/>
            <w:vMerge w:val="continue"/>
            <w:noWrap w:val="0"/>
            <w:vAlign w:val="center"/>
          </w:tcPr>
          <w:p w14:paraId="075BD996">
            <w:pPr>
              <w:jc w:val="center"/>
              <w:rPr>
                <w:rFonts w:hint="eastAsia" w:ascii="宋体" w:hAnsi="宋体"/>
                <w:szCs w:val="21"/>
              </w:rPr>
            </w:pPr>
          </w:p>
        </w:tc>
        <w:tc>
          <w:tcPr>
            <w:tcW w:w="2085" w:type="dxa"/>
            <w:gridSpan w:val="2"/>
            <w:vMerge w:val="restart"/>
            <w:noWrap w:val="0"/>
            <w:vAlign w:val="center"/>
          </w:tcPr>
          <w:p w14:paraId="248EA1EF">
            <w:pPr>
              <w:rPr>
                <w:rFonts w:hint="eastAsia" w:ascii="宋体" w:hAnsi="宋体"/>
                <w:szCs w:val="44"/>
              </w:rPr>
            </w:pPr>
            <w:r>
              <w:rPr>
                <w:rFonts w:hint="eastAsia" w:ascii="宋体" w:hAnsi="宋体"/>
                <w:szCs w:val="21"/>
              </w:rPr>
              <w:t>主要施工管理计划</w:t>
            </w:r>
          </w:p>
        </w:tc>
        <w:tc>
          <w:tcPr>
            <w:tcW w:w="735" w:type="dxa"/>
            <w:gridSpan w:val="2"/>
            <w:vMerge w:val="restart"/>
            <w:noWrap w:val="0"/>
            <w:vAlign w:val="center"/>
          </w:tcPr>
          <w:p w14:paraId="71228E15">
            <w:pPr>
              <w:rPr>
                <w:rFonts w:hint="eastAsia" w:ascii="宋体" w:hAnsi="宋体"/>
                <w:szCs w:val="44"/>
              </w:rPr>
            </w:pPr>
            <w:r>
              <w:rPr>
                <w:rFonts w:hint="eastAsia" w:ascii="宋体" w:hAnsi="宋体"/>
                <w:szCs w:val="44"/>
              </w:rPr>
              <w:t>3</w:t>
            </w:r>
            <w:r>
              <w:rPr>
                <w:rFonts w:hint="eastAsia" w:ascii="宋体" w:hAnsi="宋体"/>
                <w:bCs/>
                <w:szCs w:val="21"/>
              </w:rPr>
              <w:t>分</w:t>
            </w:r>
          </w:p>
        </w:tc>
        <w:tc>
          <w:tcPr>
            <w:tcW w:w="4560" w:type="dxa"/>
            <w:noWrap w:val="0"/>
            <w:vAlign w:val="center"/>
          </w:tcPr>
          <w:p w14:paraId="2DFC47D2">
            <w:pPr>
              <w:rPr>
                <w:rFonts w:hint="eastAsia" w:ascii="宋体" w:hAnsi="宋体"/>
                <w:szCs w:val="44"/>
              </w:rPr>
            </w:pPr>
            <w:r>
              <w:rPr>
                <w:rFonts w:hint="eastAsia" w:ascii="宋体" w:hAnsi="宋体"/>
                <w:szCs w:val="44"/>
              </w:rPr>
              <w:t>内容完备，合理、</w:t>
            </w:r>
            <w:r>
              <w:rPr>
                <w:rFonts w:ascii="宋体" w:hAnsi="宋体"/>
                <w:szCs w:val="44"/>
              </w:rPr>
              <w:t>针对性强</w:t>
            </w:r>
            <w:r>
              <w:rPr>
                <w:rFonts w:hint="eastAsia" w:ascii="宋体" w:hAnsi="宋体"/>
                <w:szCs w:val="44"/>
              </w:rPr>
              <w:t xml:space="preserve">        </w:t>
            </w:r>
            <w:r>
              <w:rPr>
                <w:rFonts w:hint="eastAsia" w:ascii="宋体" w:hAnsi="宋体"/>
                <w:bCs/>
                <w:szCs w:val="21"/>
              </w:rPr>
              <w:t>3-2.8分</w:t>
            </w:r>
          </w:p>
        </w:tc>
      </w:tr>
      <w:tr w14:paraId="2193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071FFE4">
            <w:pPr>
              <w:jc w:val="center"/>
              <w:rPr>
                <w:rFonts w:hint="eastAsia" w:ascii="宋体" w:hAnsi="宋体"/>
                <w:szCs w:val="21"/>
              </w:rPr>
            </w:pPr>
          </w:p>
        </w:tc>
        <w:tc>
          <w:tcPr>
            <w:tcW w:w="1059" w:type="dxa"/>
            <w:vMerge w:val="continue"/>
            <w:noWrap w:val="0"/>
            <w:vAlign w:val="center"/>
          </w:tcPr>
          <w:p w14:paraId="4D397863">
            <w:pPr>
              <w:jc w:val="center"/>
              <w:rPr>
                <w:rFonts w:hint="eastAsia" w:ascii="宋体" w:hAnsi="宋体"/>
                <w:szCs w:val="21"/>
              </w:rPr>
            </w:pPr>
          </w:p>
        </w:tc>
        <w:tc>
          <w:tcPr>
            <w:tcW w:w="2085" w:type="dxa"/>
            <w:gridSpan w:val="2"/>
            <w:vMerge w:val="continue"/>
            <w:noWrap w:val="0"/>
            <w:vAlign w:val="center"/>
          </w:tcPr>
          <w:p w14:paraId="2A4E1C7B">
            <w:pPr>
              <w:rPr>
                <w:rFonts w:hint="eastAsia" w:ascii="宋体" w:hAnsi="宋体"/>
                <w:szCs w:val="44"/>
              </w:rPr>
            </w:pPr>
          </w:p>
        </w:tc>
        <w:tc>
          <w:tcPr>
            <w:tcW w:w="735" w:type="dxa"/>
            <w:gridSpan w:val="2"/>
            <w:vMerge w:val="continue"/>
            <w:noWrap w:val="0"/>
            <w:vAlign w:val="center"/>
          </w:tcPr>
          <w:p w14:paraId="504EA82A">
            <w:pPr>
              <w:rPr>
                <w:rFonts w:hint="eastAsia" w:ascii="宋体" w:hAnsi="宋体"/>
                <w:szCs w:val="44"/>
              </w:rPr>
            </w:pPr>
          </w:p>
        </w:tc>
        <w:tc>
          <w:tcPr>
            <w:tcW w:w="4560" w:type="dxa"/>
            <w:noWrap w:val="0"/>
            <w:vAlign w:val="center"/>
          </w:tcPr>
          <w:p w14:paraId="45FECA60">
            <w:pPr>
              <w:rPr>
                <w:rFonts w:hint="eastAsia" w:ascii="宋体" w:hAnsi="宋体"/>
                <w:szCs w:val="44"/>
              </w:rPr>
            </w:pPr>
            <w:r>
              <w:rPr>
                <w:rFonts w:hint="eastAsia" w:ascii="宋体" w:hAnsi="宋体"/>
                <w:szCs w:val="44"/>
              </w:rPr>
              <w:t xml:space="preserve">内容完备，可行                </w:t>
            </w:r>
            <w:r>
              <w:rPr>
                <w:rFonts w:hint="eastAsia" w:ascii="宋体" w:hAnsi="宋体"/>
                <w:bCs/>
                <w:szCs w:val="21"/>
              </w:rPr>
              <w:t>2.7-2.4分</w:t>
            </w:r>
          </w:p>
        </w:tc>
      </w:tr>
      <w:tr w14:paraId="7F5A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6272723D">
            <w:pPr>
              <w:jc w:val="center"/>
              <w:rPr>
                <w:rFonts w:hint="eastAsia" w:ascii="宋体" w:hAnsi="宋体"/>
                <w:szCs w:val="21"/>
              </w:rPr>
            </w:pPr>
          </w:p>
        </w:tc>
        <w:tc>
          <w:tcPr>
            <w:tcW w:w="1059" w:type="dxa"/>
            <w:vMerge w:val="continue"/>
            <w:noWrap w:val="0"/>
            <w:vAlign w:val="center"/>
          </w:tcPr>
          <w:p w14:paraId="07C423A8">
            <w:pPr>
              <w:jc w:val="center"/>
              <w:rPr>
                <w:rFonts w:hint="eastAsia" w:ascii="宋体" w:hAnsi="宋体"/>
                <w:szCs w:val="21"/>
              </w:rPr>
            </w:pPr>
          </w:p>
        </w:tc>
        <w:tc>
          <w:tcPr>
            <w:tcW w:w="2085" w:type="dxa"/>
            <w:gridSpan w:val="2"/>
            <w:vMerge w:val="continue"/>
            <w:noWrap w:val="0"/>
            <w:vAlign w:val="center"/>
          </w:tcPr>
          <w:p w14:paraId="3A873023">
            <w:pPr>
              <w:rPr>
                <w:rFonts w:hint="eastAsia" w:ascii="宋体" w:hAnsi="宋体"/>
                <w:szCs w:val="44"/>
              </w:rPr>
            </w:pPr>
          </w:p>
        </w:tc>
        <w:tc>
          <w:tcPr>
            <w:tcW w:w="735" w:type="dxa"/>
            <w:gridSpan w:val="2"/>
            <w:vMerge w:val="continue"/>
            <w:noWrap w:val="0"/>
            <w:vAlign w:val="center"/>
          </w:tcPr>
          <w:p w14:paraId="216D0B0E">
            <w:pPr>
              <w:rPr>
                <w:rFonts w:hint="eastAsia" w:ascii="宋体" w:hAnsi="宋体"/>
                <w:szCs w:val="44"/>
              </w:rPr>
            </w:pPr>
          </w:p>
        </w:tc>
        <w:tc>
          <w:tcPr>
            <w:tcW w:w="4560" w:type="dxa"/>
            <w:noWrap w:val="0"/>
            <w:vAlign w:val="center"/>
          </w:tcPr>
          <w:p w14:paraId="0AC1BE43">
            <w:pPr>
              <w:rPr>
                <w:rFonts w:hint="eastAsia" w:ascii="宋体" w:hAnsi="宋体"/>
                <w:szCs w:val="44"/>
              </w:rPr>
            </w:pPr>
            <w:r>
              <w:rPr>
                <w:rFonts w:hint="eastAsia" w:ascii="宋体" w:hAnsi="宋体"/>
                <w:szCs w:val="44"/>
              </w:rPr>
              <w:t>内容欠完备，基本可行          2.3-</w:t>
            </w:r>
            <w:r>
              <w:rPr>
                <w:rFonts w:hint="eastAsia" w:ascii="宋体" w:hAnsi="宋体"/>
                <w:bCs/>
                <w:szCs w:val="21"/>
              </w:rPr>
              <w:t>2.1分</w:t>
            </w:r>
          </w:p>
        </w:tc>
      </w:tr>
      <w:tr w14:paraId="71F0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41" w:type="dxa"/>
            <w:vMerge w:val="continue"/>
            <w:noWrap w:val="0"/>
            <w:vAlign w:val="center"/>
          </w:tcPr>
          <w:p w14:paraId="09CDD05C">
            <w:pPr>
              <w:jc w:val="center"/>
              <w:rPr>
                <w:rFonts w:hint="eastAsia" w:ascii="宋体" w:hAnsi="宋体"/>
                <w:szCs w:val="21"/>
              </w:rPr>
            </w:pPr>
          </w:p>
        </w:tc>
        <w:tc>
          <w:tcPr>
            <w:tcW w:w="1059" w:type="dxa"/>
            <w:vMerge w:val="continue"/>
            <w:noWrap w:val="0"/>
            <w:vAlign w:val="center"/>
          </w:tcPr>
          <w:p w14:paraId="76BB891F">
            <w:pPr>
              <w:jc w:val="center"/>
              <w:rPr>
                <w:rFonts w:hint="eastAsia" w:ascii="宋体" w:hAnsi="宋体"/>
                <w:szCs w:val="21"/>
              </w:rPr>
            </w:pPr>
          </w:p>
        </w:tc>
        <w:tc>
          <w:tcPr>
            <w:tcW w:w="2085" w:type="dxa"/>
            <w:gridSpan w:val="2"/>
            <w:vMerge w:val="continue"/>
            <w:noWrap w:val="0"/>
            <w:vAlign w:val="center"/>
          </w:tcPr>
          <w:p w14:paraId="41CFE5D9">
            <w:pPr>
              <w:rPr>
                <w:rFonts w:hint="eastAsia" w:ascii="宋体" w:hAnsi="宋体"/>
                <w:szCs w:val="44"/>
              </w:rPr>
            </w:pPr>
          </w:p>
        </w:tc>
        <w:tc>
          <w:tcPr>
            <w:tcW w:w="735" w:type="dxa"/>
            <w:gridSpan w:val="2"/>
            <w:vMerge w:val="continue"/>
            <w:noWrap w:val="0"/>
            <w:vAlign w:val="center"/>
          </w:tcPr>
          <w:p w14:paraId="10258EC3">
            <w:pPr>
              <w:rPr>
                <w:rFonts w:hint="eastAsia" w:ascii="宋体" w:hAnsi="宋体"/>
                <w:szCs w:val="44"/>
              </w:rPr>
            </w:pPr>
          </w:p>
        </w:tc>
        <w:tc>
          <w:tcPr>
            <w:tcW w:w="4560" w:type="dxa"/>
            <w:noWrap w:val="0"/>
            <w:vAlign w:val="center"/>
          </w:tcPr>
          <w:p w14:paraId="0147EF09">
            <w:pPr>
              <w:rPr>
                <w:rFonts w:hint="eastAsia" w:ascii="宋体" w:hAnsi="宋体"/>
                <w:szCs w:val="44"/>
              </w:rPr>
            </w:pPr>
            <w:r>
              <w:rPr>
                <w:rFonts w:hint="eastAsia" w:ascii="宋体" w:hAnsi="宋体"/>
                <w:szCs w:val="44"/>
              </w:rPr>
              <w:t xml:space="preserve">不可行                              </w:t>
            </w:r>
            <w:r>
              <w:rPr>
                <w:rFonts w:hint="eastAsia" w:ascii="宋体" w:hAnsi="宋体"/>
                <w:bCs/>
                <w:szCs w:val="21"/>
              </w:rPr>
              <w:t>0分</w:t>
            </w:r>
          </w:p>
        </w:tc>
      </w:tr>
      <w:tr w14:paraId="736A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741" w:type="dxa"/>
            <w:vMerge w:val="restart"/>
            <w:noWrap w:val="0"/>
            <w:vAlign w:val="center"/>
          </w:tcPr>
          <w:p w14:paraId="279B9B7D">
            <w:pPr>
              <w:spacing w:line="440" w:lineRule="exact"/>
              <w:jc w:val="center"/>
              <w:rPr>
                <w:rFonts w:hint="eastAsia"/>
                <w:szCs w:val="21"/>
              </w:rPr>
            </w:pPr>
            <w:r>
              <w:rPr>
                <w:rFonts w:hint="eastAsia"/>
                <w:szCs w:val="21"/>
              </w:rPr>
              <w:t>2.2.4</w:t>
            </w:r>
          </w:p>
          <w:p w14:paraId="48DCABA2">
            <w:pPr>
              <w:spacing w:line="440" w:lineRule="exact"/>
              <w:jc w:val="center"/>
              <w:rPr>
                <w:rFonts w:hint="eastAsia" w:ascii="宋体" w:hAnsi="宋体"/>
                <w:szCs w:val="21"/>
              </w:rPr>
            </w:pPr>
            <w:r>
              <w:rPr>
                <w:rFonts w:hint="eastAsia"/>
                <w:szCs w:val="21"/>
              </w:rPr>
              <w:t>(3)</w:t>
            </w:r>
          </w:p>
        </w:tc>
        <w:tc>
          <w:tcPr>
            <w:tcW w:w="1059" w:type="dxa"/>
            <w:vMerge w:val="restart"/>
            <w:noWrap w:val="0"/>
            <w:vAlign w:val="center"/>
          </w:tcPr>
          <w:p w14:paraId="44807C78">
            <w:pPr>
              <w:jc w:val="center"/>
              <w:rPr>
                <w:rFonts w:hint="eastAsia" w:ascii="宋体" w:hAnsi="宋体"/>
                <w:szCs w:val="21"/>
              </w:rPr>
            </w:pPr>
            <w:r>
              <w:rPr>
                <w:rFonts w:hint="eastAsia" w:ascii="宋体" w:hAnsi="宋体"/>
                <w:szCs w:val="21"/>
              </w:rPr>
              <w:t>项目管理</w:t>
            </w:r>
          </w:p>
          <w:p w14:paraId="294258AB">
            <w:pPr>
              <w:jc w:val="center"/>
              <w:rPr>
                <w:rFonts w:hint="eastAsia" w:ascii="宋体" w:hAnsi="宋体"/>
                <w:szCs w:val="21"/>
              </w:rPr>
            </w:pPr>
            <w:r>
              <w:rPr>
                <w:rFonts w:hint="eastAsia" w:ascii="宋体" w:hAnsi="宋体"/>
                <w:szCs w:val="21"/>
              </w:rPr>
              <w:t>机构评分</w:t>
            </w:r>
          </w:p>
          <w:p w14:paraId="15FBC379">
            <w:pPr>
              <w:jc w:val="center"/>
              <w:rPr>
                <w:rFonts w:hint="eastAsia" w:ascii="宋体" w:hAnsi="宋体"/>
                <w:szCs w:val="21"/>
              </w:rPr>
            </w:pPr>
            <w:r>
              <w:rPr>
                <w:rFonts w:hint="eastAsia" w:ascii="宋体" w:hAnsi="宋体"/>
                <w:szCs w:val="21"/>
              </w:rPr>
              <w:t>标   准</w:t>
            </w:r>
          </w:p>
        </w:tc>
        <w:tc>
          <w:tcPr>
            <w:tcW w:w="1440" w:type="dxa"/>
            <w:vMerge w:val="restart"/>
            <w:noWrap w:val="0"/>
            <w:vAlign w:val="center"/>
          </w:tcPr>
          <w:p w14:paraId="4FB0327C">
            <w:pPr>
              <w:rPr>
                <w:rFonts w:hint="eastAsia" w:ascii="宋体" w:hAnsi="宋体"/>
                <w:szCs w:val="21"/>
              </w:rPr>
            </w:pPr>
            <w:r>
              <w:rPr>
                <w:rFonts w:hint="eastAsia" w:ascii="宋体" w:hAnsi="宋体"/>
                <w:szCs w:val="21"/>
              </w:rPr>
              <w:t>项目经理</w:t>
            </w:r>
          </w:p>
          <w:p w14:paraId="1E8437D3">
            <w:pPr>
              <w:rPr>
                <w:rFonts w:hint="eastAsia" w:ascii="宋体" w:hAnsi="宋体"/>
                <w:szCs w:val="21"/>
              </w:rPr>
            </w:pPr>
            <w:r>
              <w:rPr>
                <w:rFonts w:hint="eastAsia" w:ascii="宋体" w:hAnsi="宋体"/>
                <w:szCs w:val="21"/>
              </w:rPr>
              <w:t>资格与业绩</w:t>
            </w:r>
          </w:p>
        </w:tc>
        <w:tc>
          <w:tcPr>
            <w:tcW w:w="645" w:type="dxa"/>
            <w:noWrap w:val="0"/>
            <w:vAlign w:val="center"/>
          </w:tcPr>
          <w:p w14:paraId="26D68AEB">
            <w:pPr>
              <w:rPr>
                <w:rFonts w:hint="eastAsia" w:ascii="宋体" w:hAnsi="宋体"/>
                <w:szCs w:val="21"/>
              </w:rPr>
            </w:pPr>
            <w:r>
              <w:rPr>
                <w:rFonts w:hint="eastAsia" w:ascii="宋体" w:hAnsi="宋体"/>
                <w:szCs w:val="44"/>
              </w:rPr>
              <w:t>职称</w:t>
            </w:r>
          </w:p>
        </w:tc>
        <w:tc>
          <w:tcPr>
            <w:tcW w:w="735" w:type="dxa"/>
            <w:gridSpan w:val="2"/>
            <w:noWrap w:val="0"/>
            <w:vAlign w:val="center"/>
          </w:tcPr>
          <w:p w14:paraId="4C5367A6">
            <w:pPr>
              <w:jc w:val="center"/>
              <w:rPr>
                <w:rFonts w:hint="eastAsia" w:ascii="宋体" w:hAnsi="宋体"/>
                <w:szCs w:val="21"/>
              </w:rPr>
            </w:pPr>
            <w:r>
              <w:rPr>
                <w:rFonts w:hint="eastAsia" w:ascii="宋体" w:hAnsi="宋体"/>
                <w:szCs w:val="44"/>
              </w:rPr>
              <w:t>1分</w:t>
            </w:r>
          </w:p>
        </w:tc>
        <w:tc>
          <w:tcPr>
            <w:tcW w:w="4560" w:type="dxa"/>
            <w:noWrap w:val="0"/>
            <w:vAlign w:val="center"/>
          </w:tcPr>
          <w:p w14:paraId="23BC5BC8">
            <w:pPr>
              <w:rPr>
                <w:rFonts w:ascii="宋体" w:hAnsi="宋体"/>
                <w:szCs w:val="21"/>
              </w:rPr>
            </w:pPr>
            <w:r>
              <w:rPr>
                <w:rFonts w:hint="eastAsia" w:ascii="宋体" w:hAnsi="宋体"/>
                <w:szCs w:val="21"/>
              </w:rPr>
              <w:t>相关专业中级及以上职称（工程师）    1分</w:t>
            </w:r>
          </w:p>
          <w:p w14:paraId="10E81CDC">
            <w:pPr>
              <w:rPr>
                <w:rFonts w:hint="eastAsia" w:ascii="宋体" w:hAnsi="宋体"/>
                <w:szCs w:val="21"/>
              </w:rPr>
            </w:pPr>
            <w:r>
              <w:rPr>
                <w:rFonts w:hint="eastAsia" w:ascii="宋体" w:hAnsi="宋体"/>
                <w:szCs w:val="21"/>
              </w:rPr>
              <w:t>相关专业初级职称（助理工程师）    0.8分</w:t>
            </w:r>
          </w:p>
          <w:p w14:paraId="56793BA0">
            <w:pPr>
              <w:rPr>
                <w:rFonts w:hint="eastAsia" w:ascii="宋体" w:hAnsi="宋体"/>
                <w:szCs w:val="21"/>
              </w:rPr>
            </w:pPr>
            <w:r>
              <w:rPr>
                <w:rFonts w:hint="eastAsia" w:ascii="宋体" w:hAnsi="宋体"/>
                <w:szCs w:val="21"/>
              </w:rPr>
              <w:t>其他                                0分</w:t>
            </w:r>
          </w:p>
        </w:tc>
      </w:tr>
      <w:tr w14:paraId="5089F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41" w:type="dxa"/>
            <w:vMerge w:val="continue"/>
            <w:noWrap w:val="0"/>
            <w:vAlign w:val="center"/>
          </w:tcPr>
          <w:p w14:paraId="421C3A4C">
            <w:pPr>
              <w:jc w:val="center"/>
              <w:rPr>
                <w:rFonts w:hint="eastAsia" w:ascii="宋体" w:hAnsi="宋体"/>
                <w:szCs w:val="21"/>
              </w:rPr>
            </w:pPr>
          </w:p>
        </w:tc>
        <w:tc>
          <w:tcPr>
            <w:tcW w:w="1059" w:type="dxa"/>
            <w:vMerge w:val="continue"/>
            <w:noWrap w:val="0"/>
            <w:vAlign w:val="center"/>
          </w:tcPr>
          <w:p w14:paraId="79E897F4">
            <w:pPr>
              <w:jc w:val="center"/>
              <w:rPr>
                <w:rFonts w:hint="eastAsia" w:ascii="宋体" w:hAnsi="宋体"/>
                <w:szCs w:val="21"/>
              </w:rPr>
            </w:pPr>
          </w:p>
        </w:tc>
        <w:tc>
          <w:tcPr>
            <w:tcW w:w="1440" w:type="dxa"/>
            <w:vMerge w:val="continue"/>
            <w:noWrap w:val="0"/>
            <w:vAlign w:val="center"/>
          </w:tcPr>
          <w:p w14:paraId="6DC6D18B">
            <w:pPr>
              <w:rPr>
                <w:rFonts w:hint="eastAsia" w:ascii="宋体" w:hAnsi="宋体"/>
                <w:szCs w:val="21"/>
              </w:rPr>
            </w:pPr>
          </w:p>
        </w:tc>
        <w:tc>
          <w:tcPr>
            <w:tcW w:w="645" w:type="dxa"/>
            <w:noWrap w:val="0"/>
            <w:vAlign w:val="center"/>
          </w:tcPr>
          <w:p w14:paraId="3C1CA083">
            <w:pPr>
              <w:rPr>
                <w:rFonts w:hint="eastAsia" w:ascii="宋体" w:hAnsi="宋体"/>
                <w:szCs w:val="21"/>
              </w:rPr>
            </w:pPr>
            <w:r>
              <w:rPr>
                <w:rFonts w:hint="eastAsia" w:ascii="宋体" w:hAnsi="宋体"/>
                <w:szCs w:val="21"/>
              </w:rPr>
              <w:t>类似项目业绩</w:t>
            </w:r>
          </w:p>
        </w:tc>
        <w:tc>
          <w:tcPr>
            <w:tcW w:w="735" w:type="dxa"/>
            <w:gridSpan w:val="2"/>
            <w:noWrap w:val="0"/>
            <w:vAlign w:val="center"/>
          </w:tcPr>
          <w:p w14:paraId="16EA8CC0">
            <w:pPr>
              <w:jc w:val="center"/>
              <w:rPr>
                <w:rFonts w:hint="eastAsia" w:ascii="宋体" w:hAnsi="宋体"/>
                <w:szCs w:val="44"/>
              </w:rPr>
            </w:pPr>
            <w:r>
              <w:rPr>
                <w:rFonts w:hint="eastAsia" w:ascii="宋体" w:hAnsi="宋体"/>
                <w:szCs w:val="44"/>
              </w:rPr>
              <w:t>1分</w:t>
            </w:r>
          </w:p>
        </w:tc>
        <w:tc>
          <w:tcPr>
            <w:tcW w:w="4560" w:type="dxa"/>
            <w:noWrap w:val="0"/>
            <w:vAlign w:val="center"/>
          </w:tcPr>
          <w:p w14:paraId="0D311741">
            <w:pPr>
              <w:rPr>
                <w:rFonts w:hint="eastAsia" w:ascii="宋体" w:hAnsi="宋体"/>
                <w:szCs w:val="21"/>
              </w:rPr>
            </w:pPr>
            <w:r>
              <w:rPr>
                <w:rFonts w:hint="eastAsia" w:ascii="宋体" w:hAnsi="宋体"/>
                <w:szCs w:val="21"/>
              </w:rPr>
              <w:t>以项目经理身份主持过1个类似项目    1分</w:t>
            </w:r>
          </w:p>
        </w:tc>
      </w:tr>
      <w:tr w14:paraId="42219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41" w:type="dxa"/>
            <w:vMerge w:val="continue"/>
            <w:noWrap w:val="0"/>
            <w:vAlign w:val="center"/>
          </w:tcPr>
          <w:p w14:paraId="4DD4882B">
            <w:pPr>
              <w:jc w:val="center"/>
              <w:rPr>
                <w:rFonts w:hint="eastAsia" w:ascii="宋体" w:hAnsi="宋体"/>
                <w:szCs w:val="21"/>
              </w:rPr>
            </w:pPr>
          </w:p>
        </w:tc>
        <w:tc>
          <w:tcPr>
            <w:tcW w:w="1059" w:type="dxa"/>
            <w:vMerge w:val="continue"/>
            <w:noWrap w:val="0"/>
            <w:vAlign w:val="center"/>
          </w:tcPr>
          <w:p w14:paraId="7B52C94D">
            <w:pPr>
              <w:jc w:val="center"/>
              <w:rPr>
                <w:rFonts w:hint="eastAsia" w:ascii="宋体" w:hAnsi="宋体"/>
                <w:szCs w:val="21"/>
              </w:rPr>
            </w:pPr>
          </w:p>
        </w:tc>
        <w:tc>
          <w:tcPr>
            <w:tcW w:w="1440" w:type="dxa"/>
            <w:vMerge w:val="restart"/>
            <w:noWrap w:val="0"/>
            <w:vAlign w:val="center"/>
          </w:tcPr>
          <w:p w14:paraId="2CA7B351">
            <w:pPr>
              <w:rPr>
                <w:rFonts w:hint="eastAsia" w:ascii="宋体" w:hAnsi="宋体"/>
                <w:szCs w:val="21"/>
              </w:rPr>
            </w:pPr>
            <w:r>
              <w:rPr>
                <w:rFonts w:hint="eastAsia" w:ascii="宋体" w:hAnsi="宋体"/>
                <w:szCs w:val="21"/>
              </w:rPr>
              <w:t>技术负责人</w:t>
            </w:r>
          </w:p>
          <w:p w14:paraId="4961A345">
            <w:pPr>
              <w:rPr>
                <w:rFonts w:hint="eastAsia" w:ascii="宋体" w:hAnsi="宋体"/>
                <w:szCs w:val="21"/>
              </w:rPr>
            </w:pPr>
            <w:r>
              <w:rPr>
                <w:rFonts w:hint="eastAsia" w:ascii="宋体" w:hAnsi="宋体"/>
                <w:szCs w:val="21"/>
              </w:rPr>
              <w:t>资格与业绩</w:t>
            </w:r>
          </w:p>
        </w:tc>
        <w:tc>
          <w:tcPr>
            <w:tcW w:w="645" w:type="dxa"/>
            <w:noWrap w:val="0"/>
            <w:vAlign w:val="center"/>
          </w:tcPr>
          <w:p w14:paraId="18AAD102">
            <w:pPr>
              <w:rPr>
                <w:rFonts w:hint="eastAsia" w:ascii="宋体" w:hAnsi="宋体"/>
                <w:szCs w:val="21"/>
              </w:rPr>
            </w:pPr>
            <w:r>
              <w:rPr>
                <w:rFonts w:hint="eastAsia" w:ascii="宋体" w:hAnsi="宋体"/>
                <w:szCs w:val="44"/>
              </w:rPr>
              <w:t>职称</w:t>
            </w:r>
          </w:p>
        </w:tc>
        <w:tc>
          <w:tcPr>
            <w:tcW w:w="735" w:type="dxa"/>
            <w:gridSpan w:val="2"/>
            <w:noWrap w:val="0"/>
            <w:vAlign w:val="center"/>
          </w:tcPr>
          <w:p w14:paraId="046F8FF3">
            <w:pPr>
              <w:jc w:val="center"/>
              <w:rPr>
                <w:rFonts w:hint="eastAsia" w:ascii="宋体" w:hAnsi="宋体"/>
                <w:szCs w:val="21"/>
              </w:rPr>
            </w:pPr>
            <w:r>
              <w:rPr>
                <w:rFonts w:hint="eastAsia" w:ascii="宋体" w:hAnsi="宋体"/>
                <w:szCs w:val="44"/>
              </w:rPr>
              <w:t>1分</w:t>
            </w:r>
          </w:p>
        </w:tc>
        <w:tc>
          <w:tcPr>
            <w:tcW w:w="4560" w:type="dxa"/>
            <w:noWrap w:val="0"/>
            <w:vAlign w:val="center"/>
          </w:tcPr>
          <w:p w14:paraId="272B69F6">
            <w:pPr>
              <w:rPr>
                <w:rFonts w:ascii="宋体" w:hAnsi="宋体"/>
                <w:szCs w:val="21"/>
              </w:rPr>
            </w:pPr>
            <w:r>
              <w:rPr>
                <w:rFonts w:hint="eastAsia" w:ascii="宋体" w:hAnsi="宋体"/>
                <w:szCs w:val="21"/>
              </w:rPr>
              <w:t>相关专业中级及以上职称（工程师）    1分</w:t>
            </w:r>
          </w:p>
          <w:p w14:paraId="7CAF845C">
            <w:pPr>
              <w:rPr>
                <w:rFonts w:hint="eastAsia" w:ascii="宋体" w:hAnsi="宋体"/>
                <w:szCs w:val="21"/>
              </w:rPr>
            </w:pPr>
            <w:r>
              <w:rPr>
                <w:rFonts w:hint="eastAsia" w:ascii="宋体" w:hAnsi="宋体"/>
                <w:szCs w:val="21"/>
              </w:rPr>
              <w:t>相关专业初级职称（助理工程师）    0.8分</w:t>
            </w:r>
          </w:p>
          <w:p w14:paraId="5CEC97C2">
            <w:pPr>
              <w:rPr>
                <w:rFonts w:hint="eastAsia" w:ascii="宋体" w:hAnsi="宋体"/>
                <w:szCs w:val="21"/>
              </w:rPr>
            </w:pPr>
            <w:r>
              <w:rPr>
                <w:rFonts w:hint="eastAsia" w:ascii="宋体" w:hAnsi="宋体"/>
                <w:szCs w:val="21"/>
              </w:rPr>
              <w:t>其他                                0分</w:t>
            </w:r>
          </w:p>
        </w:tc>
      </w:tr>
      <w:tr w14:paraId="514C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741" w:type="dxa"/>
            <w:vMerge w:val="continue"/>
            <w:noWrap w:val="0"/>
            <w:vAlign w:val="center"/>
          </w:tcPr>
          <w:p w14:paraId="200275E2">
            <w:pPr>
              <w:jc w:val="center"/>
              <w:rPr>
                <w:rFonts w:hint="eastAsia" w:ascii="宋体" w:hAnsi="宋体"/>
                <w:szCs w:val="21"/>
              </w:rPr>
            </w:pPr>
          </w:p>
        </w:tc>
        <w:tc>
          <w:tcPr>
            <w:tcW w:w="1059" w:type="dxa"/>
            <w:vMerge w:val="continue"/>
            <w:noWrap w:val="0"/>
            <w:vAlign w:val="center"/>
          </w:tcPr>
          <w:p w14:paraId="0AAE2688">
            <w:pPr>
              <w:jc w:val="center"/>
              <w:rPr>
                <w:rFonts w:hint="eastAsia" w:ascii="宋体" w:hAnsi="宋体"/>
                <w:szCs w:val="21"/>
              </w:rPr>
            </w:pPr>
          </w:p>
        </w:tc>
        <w:tc>
          <w:tcPr>
            <w:tcW w:w="1440" w:type="dxa"/>
            <w:vMerge w:val="continue"/>
            <w:noWrap w:val="0"/>
            <w:vAlign w:val="center"/>
          </w:tcPr>
          <w:p w14:paraId="22012BEE">
            <w:pPr>
              <w:rPr>
                <w:rFonts w:hint="eastAsia" w:ascii="宋体" w:hAnsi="宋体"/>
                <w:szCs w:val="21"/>
              </w:rPr>
            </w:pPr>
          </w:p>
        </w:tc>
        <w:tc>
          <w:tcPr>
            <w:tcW w:w="645" w:type="dxa"/>
            <w:noWrap w:val="0"/>
            <w:vAlign w:val="center"/>
          </w:tcPr>
          <w:p w14:paraId="69F8CAF9">
            <w:pPr>
              <w:rPr>
                <w:rFonts w:hint="eastAsia" w:ascii="宋体" w:hAnsi="宋体"/>
                <w:szCs w:val="21"/>
              </w:rPr>
            </w:pPr>
            <w:r>
              <w:rPr>
                <w:rFonts w:hint="eastAsia" w:ascii="宋体" w:hAnsi="宋体"/>
                <w:szCs w:val="21"/>
              </w:rPr>
              <w:t>从事专业工作年限</w:t>
            </w:r>
          </w:p>
        </w:tc>
        <w:tc>
          <w:tcPr>
            <w:tcW w:w="735" w:type="dxa"/>
            <w:gridSpan w:val="2"/>
            <w:noWrap w:val="0"/>
            <w:vAlign w:val="center"/>
          </w:tcPr>
          <w:p w14:paraId="5F7DB776">
            <w:pPr>
              <w:jc w:val="center"/>
              <w:rPr>
                <w:rFonts w:hint="eastAsia" w:ascii="宋体" w:hAnsi="宋体"/>
                <w:szCs w:val="21"/>
              </w:rPr>
            </w:pPr>
            <w:r>
              <w:rPr>
                <w:rFonts w:hint="eastAsia" w:ascii="宋体" w:hAnsi="宋体"/>
                <w:szCs w:val="44"/>
              </w:rPr>
              <w:t>1分</w:t>
            </w:r>
          </w:p>
        </w:tc>
        <w:tc>
          <w:tcPr>
            <w:tcW w:w="4560" w:type="dxa"/>
            <w:noWrap w:val="0"/>
            <w:vAlign w:val="center"/>
          </w:tcPr>
          <w:p w14:paraId="381E2EA3">
            <w:pPr>
              <w:rPr>
                <w:rFonts w:hint="eastAsia" w:ascii="宋体" w:hAnsi="宋体"/>
                <w:szCs w:val="21"/>
              </w:rPr>
            </w:pPr>
            <w:r>
              <w:rPr>
                <w:rFonts w:hint="eastAsia" w:ascii="宋体" w:hAnsi="宋体"/>
                <w:szCs w:val="44"/>
              </w:rPr>
              <w:t>10年及以上                         1</w:t>
            </w:r>
            <w:r>
              <w:rPr>
                <w:rFonts w:hint="eastAsia" w:ascii="宋体" w:hAnsi="宋体"/>
                <w:szCs w:val="21"/>
              </w:rPr>
              <w:t>分</w:t>
            </w:r>
          </w:p>
          <w:p w14:paraId="56DBA050">
            <w:pPr>
              <w:rPr>
                <w:rFonts w:hint="eastAsia" w:ascii="宋体" w:hAnsi="宋体"/>
                <w:szCs w:val="21"/>
              </w:rPr>
            </w:pPr>
            <w:r>
              <w:rPr>
                <w:rFonts w:hint="eastAsia" w:ascii="宋体" w:hAnsi="宋体"/>
                <w:szCs w:val="44"/>
              </w:rPr>
              <w:t>5年-9年                          0.8</w:t>
            </w:r>
            <w:r>
              <w:rPr>
                <w:rFonts w:hint="eastAsia" w:ascii="宋体" w:hAnsi="宋体"/>
                <w:szCs w:val="21"/>
              </w:rPr>
              <w:t>分</w:t>
            </w:r>
          </w:p>
          <w:p w14:paraId="7A1CCA86">
            <w:pPr>
              <w:rPr>
                <w:rFonts w:hint="eastAsia" w:ascii="宋体" w:hAnsi="宋体"/>
                <w:szCs w:val="21"/>
              </w:rPr>
            </w:pPr>
            <w:r>
              <w:rPr>
                <w:rFonts w:hint="eastAsia" w:ascii="宋体" w:hAnsi="宋体"/>
                <w:szCs w:val="44"/>
              </w:rPr>
              <w:t>4年-2年                          0.6</w:t>
            </w:r>
            <w:r>
              <w:rPr>
                <w:rFonts w:hint="eastAsia" w:ascii="宋体" w:hAnsi="宋体"/>
                <w:szCs w:val="21"/>
              </w:rPr>
              <w:t>分</w:t>
            </w:r>
          </w:p>
          <w:p w14:paraId="305BE026">
            <w:pPr>
              <w:rPr>
                <w:rFonts w:hint="eastAsia" w:ascii="宋体" w:hAnsi="宋体"/>
                <w:szCs w:val="44"/>
              </w:rPr>
            </w:pPr>
            <w:r>
              <w:rPr>
                <w:rFonts w:hint="eastAsia" w:ascii="宋体" w:hAnsi="宋体"/>
                <w:szCs w:val="44"/>
              </w:rPr>
              <w:t>不足2年                            0</w:t>
            </w:r>
            <w:r>
              <w:rPr>
                <w:rFonts w:hint="eastAsia" w:ascii="宋体" w:hAnsi="宋体"/>
                <w:szCs w:val="21"/>
              </w:rPr>
              <w:t>分</w:t>
            </w:r>
          </w:p>
        </w:tc>
      </w:tr>
      <w:tr w14:paraId="2ABB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1" w:type="dxa"/>
            <w:vMerge w:val="continue"/>
            <w:noWrap w:val="0"/>
            <w:vAlign w:val="center"/>
          </w:tcPr>
          <w:p w14:paraId="34682148">
            <w:pPr>
              <w:jc w:val="center"/>
              <w:rPr>
                <w:rFonts w:hint="eastAsia" w:ascii="宋体" w:hAnsi="宋体"/>
                <w:szCs w:val="21"/>
              </w:rPr>
            </w:pPr>
          </w:p>
        </w:tc>
        <w:tc>
          <w:tcPr>
            <w:tcW w:w="1059" w:type="dxa"/>
            <w:vMerge w:val="continue"/>
            <w:noWrap w:val="0"/>
            <w:vAlign w:val="center"/>
          </w:tcPr>
          <w:p w14:paraId="73F1C8C5">
            <w:pPr>
              <w:jc w:val="center"/>
              <w:rPr>
                <w:rFonts w:hint="eastAsia" w:ascii="宋体" w:hAnsi="宋体"/>
                <w:szCs w:val="21"/>
              </w:rPr>
            </w:pPr>
          </w:p>
        </w:tc>
        <w:tc>
          <w:tcPr>
            <w:tcW w:w="2085" w:type="dxa"/>
            <w:gridSpan w:val="2"/>
            <w:noWrap w:val="0"/>
            <w:vAlign w:val="center"/>
          </w:tcPr>
          <w:p w14:paraId="58772D57">
            <w:pPr>
              <w:rPr>
                <w:rFonts w:hint="eastAsia" w:ascii="宋体" w:hAnsi="宋体"/>
                <w:szCs w:val="21"/>
              </w:rPr>
            </w:pPr>
            <w:r>
              <w:rPr>
                <w:rFonts w:hint="eastAsia" w:ascii="宋体" w:hAnsi="宋体"/>
                <w:szCs w:val="21"/>
              </w:rPr>
              <w:t>其他主要人员</w:t>
            </w:r>
          </w:p>
        </w:tc>
        <w:tc>
          <w:tcPr>
            <w:tcW w:w="735" w:type="dxa"/>
            <w:gridSpan w:val="2"/>
            <w:noWrap w:val="0"/>
            <w:vAlign w:val="center"/>
          </w:tcPr>
          <w:p w14:paraId="3FA22EF0">
            <w:pPr>
              <w:jc w:val="center"/>
              <w:rPr>
                <w:rFonts w:hint="eastAsia" w:ascii="宋体" w:hAnsi="宋体"/>
                <w:szCs w:val="44"/>
              </w:rPr>
            </w:pPr>
            <w:r>
              <w:rPr>
                <w:rFonts w:hint="eastAsia" w:ascii="宋体" w:hAnsi="宋体"/>
                <w:szCs w:val="44"/>
              </w:rPr>
              <w:t>2分</w:t>
            </w:r>
          </w:p>
        </w:tc>
        <w:tc>
          <w:tcPr>
            <w:tcW w:w="4560" w:type="dxa"/>
            <w:noWrap w:val="0"/>
            <w:vAlign w:val="center"/>
          </w:tcPr>
          <w:p w14:paraId="2EA58C93">
            <w:pPr>
              <w:rPr>
                <w:rFonts w:hint="eastAsia" w:ascii="宋体" w:hAnsi="宋体"/>
              </w:rPr>
            </w:pPr>
            <w:r>
              <w:rPr>
                <w:rFonts w:hint="eastAsia" w:ascii="宋体" w:hAnsi="宋体"/>
              </w:rPr>
              <w:t>人员配备合理，满足需要              2分</w:t>
            </w:r>
          </w:p>
          <w:p w14:paraId="1D89E12F">
            <w:pPr>
              <w:rPr>
                <w:rFonts w:hint="eastAsia" w:ascii="宋体" w:hAnsi="宋体"/>
              </w:rPr>
            </w:pPr>
            <w:r>
              <w:rPr>
                <w:rFonts w:hint="eastAsia" w:ascii="宋体" w:hAnsi="宋体"/>
              </w:rPr>
              <w:t>人员配备基本合理,基本满足需要     1.6分</w:t>
            </w:r>
          </w:p>
          <w:p w14:paraId="7F0C0A5E">
            <w:pPr>
              <w:rPr>
                <w:rFonts w:hint="eastAsia" w:ascii="宋体" w:hAnsi="宋体"/>
              </w:rPr>
            </w:pPr>
            <w:r>
              <w:rPr>
                <w:rFonts w:hint="eastAsia" w:ascii="宋体" w:hAnsi="宋体"/>
              </w:rPr>
              <w:t>人员配备不合理                      0分</w:t>
            </w:r>
          </w:p>
        </w:tc>
      </w:tr>
      <w:tr w14:paraId="2ACF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741" w:type="dxa"/>
            <w:vMerge w:val="restart"/>
            <w:noWrap w:val="0"/>
            <w:vAlign w:val="center"/>
          </w:tcPr>
          <w:p w14:paraId="6627B3E9">
            <w:pPr>
              <w:spacing w:line="440" w:lineRule="exact"/>
              <w:jc w:val="center"/>
              <w:rPr>
                <w:rFonts w:hint="eastAsia"/>
                <w:szCs w:val="21"/>
              </w:rPr>
            </w:pPr>
            <w:r>
              <w:rPr>
                <w:rFonts w:hint="eastAsia"/>
                <w:szCs w:val="21"/>
              </w:rPr>
              <w:t>2.2.4</w:t>
            </w:r>
          </w:p>
          <w:p w14:paraId="790EAC54">
            <w:pPr>
              <w:spacing w:line="440" w:lineRule="exact"/>
              <w:jc w:val="center"/>
              <w:rPr>
                <w:rFonts w:hint="eastAsia" w:ascii="宋体" w:hAnsi="宋体"/>
                <w:szCs w:val="21"/>
              </w:rPr>
            </w:pPr>
            <w:r>
              <w:rPr>
                <w:rFonts w:hint="eastAsia"/>
                <w:szCs w:val="21"/>
              </w:rPr>
              <w:t>(4)</w:t>
            </w:r>
          </w:p>
        </w:tc>
        <w:tc>
          <w:tcPr>
            <w:tcW w:w="1059" w:type="dxa"/>
            <w:vMerge w:val="restart"/>
            <w:noWrap w:val="0"/>
            <w:vAlign w:val="center"/>
          </w:tcPr>
          <w:p w14:paraId="282037E5">
            <w:pPr>
              <w:jc w:val="center"/>
              <w:rPr>
                <w:rFonts w:hint="eastAsia" w:ascii="宋体" w:hAnsi="宋体"/>
                <w:szCs w:val="21"/>
              </w:rPr>
            </w:pPr>
            <w:r>
              <w:rPr>
                <w:rFonts w:hint="eastAsia" w:ascii="宋体" w:hAnsi="宋体"/>
                <w:szCs w:val="21"/>
              </w:rPr>
              <w:t>其他因素</w:t>
            </w:r>
          </w:p>
          <w:p w14:paraId="10278C74">
            <w:pPr>
              <w:jc w:val="center"/>
              <w:rPr>
                <w:rFonts w:hint="eastAsia" w:ascii="宋体" w:hAnsi="宋体"/>
                <w:szCs w:val="21"/>
              </w:rPr>
            </w:pPr>
            <w:r>
              <w:rPr>
                <w:rFonts w:hint="eastAsia" w:ascii="宋体" w:hAnsi="宋体"/>
                <w:szCs w:val="21"/>
              </w:rPr>
              <w:t>评分标准</w:t>
            </w:r>
          </w:p>
        </w:tc>
        <w:tc>
          <w:tcPr>
            <w:tcW w:w="2085" w:type="dxa"/>
            <w:gridSpan w:val="2"/>
            <w:noWrap w:val="0"/>
            <w:vAlign w:val="center"/>
          </w:tcPr>
          <w:p w14:paraId="36E96DD8">
            <w:pPr>
              <w:jc w:val="left"/>
              <w:rPr>
                <w:rFonts w:hint="eastAsia"/>
              </w:rPr>
            </w:pPr>
            <w:r>
              <w:rPr>
                <w:rFonts w:hint="eastAsia"/>
              </w:rPr>
              <w:t>类似项目业绩</w:t>
            </w:r>
          </w:p>
        </w:tc>
        <w:tc>
          <w:tcPr>
            <w:tcW w:w="735" w:type="dxa"/>
            <w:gridSpan w:val="2"/>
            <w:noWrap w:val="0"/>
            <w:vAlign w:val="center"/>
          </w:tcPr>
          <w:p w14:paraId="57A2A75F">
            <w:pPr>
              <w:jc w:val="center"/>
              <w:rPr>
                <w:rFonts w:hint="eastAsia" w:ascii="宋体" w:hAnsi="宋体"/>
                <w:szCs w:val="44"/>
              </w:rPr>
            </w:pPr>
            <w:r>
              <w:rPr>
                <w:rFonts w:hint="eastAsia" w:ascii="宋体" w:hAnsi="宋体"/>
                <w:szCs w:val="44"/>
              </w:rPr>
              <w:t>5分</w:t>
            </w:r>
          </w:p>
        </w:tc>
        <w:tc>
          <w:tcPr>
            <w:tcW w:w="4560" w:type="dxa"/>
            <w:noWrap w:val="0"/>
            <w:vAlign w:val="center"/>
          </w:tcPr>
          <w:p w14:paraId="4E29317D">
            <w:pPr>
              <w:rPr>
                <w:rFonts w:hint="eastAsia" w:ascii="宋体" w:hAnsi="宋体"/>
                <w:szCs w:val="21"/>
              </w:rPr>
            </w:pPr>
            <w:r>
              <w:rPr>
                <w:rFonts w:hint="eastAsia" w:ascii="宋体" w:hAnsi="宋体"/>
              </w:rPr>
              <w:t>近5年</w:t>
            </w:r>
            <w:r>
              <w:rPr>
                <w:rFonts w:hint="eastAsia" w:ascii="宋体" w:hAnsi="宋体"/>
                <w:szCs w:val="21"/>
              </w:rPr>
              <w:t>有1个类似项目业绩            2分</w:t>
            </w:r>
          </w:p>
          <w:p w14:paraId="5E3EB579">
            <w:pPr>
              <w:rPr>
                <w:rFonts w:hint="eastAsia" w:ascii="宋体" w:hAnsi="宋体"/>
                <w:szCs w:val="21"/>
              </w:rPr>
            </w:pPr>
            <w:r>
              <w:rPr>
                <w:rFonts w:hint="eastAsia" w:ascii="宋体" w:hAnsi="宋体"/>
              </w:rPr>
              <w:t>近5年</w:t>
            </w:r>
            <w:r>
              <w:rPr>
                <w:rFonts w:hint="eastAsia" w:ascii="宋体" w:hAnsi="宋体"/>
                <w:szCs w:val="21"/>
              </w:rPr>
              <w:t>有2个类似项目业绩          3.5分</w:t>
            </w:r>
          </w:p>
          <w:p w14:paraId="1FEF4077">
            <w:pPr>
              <w:rPr>
                <w:rFonts w:hint="eastAsia" w:ascii="宋体" w:hAnsi="宋体"/>
                <w:szCs w:val="21"/>
              </w:rPr>
            </w:pPr>
            <w:r>
              <w:rPr>
                <w:rFonts w:hint="eastAsia" w:ascii="宋体" w:hAnsi="宋体"/>
              </w:rPr>
              <w:t>近5年</w:t>
            </w:r>
            <w:r>
              <w:rPr>
                <w:rFonts w:hint="eastAsia" w:ascii="宋体" w:hAnsi="宋体"/>
                <w:szCs w:val="21"/>
              </w:rPr>
              <w:t>有3个类似项目业绩            5分</w:t>
            </w:r>
          </w:p>
        </w:tc>
      </w:tr>
      <w:tr w14:paraId="39F0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trPr>
        <w:tc>
          <w:tcPr>
            <w:tcW w:w="741" w:type="dxa"/>
            <w:vMerge w:val="continue"/>
            <w:noWrap w:val="0"/>
            <w:vAlign w:val="center"/>
          </w:tcPr>
          <w:p w14:paraId="72BDF035">
            <w:pPr>
              <w:jc w:val="center"/>
              <w:rPr>
                <w:rFonts w:hint="eastAsia" w:ascii="宋体" w:hAnsi="宋体"/>
                <w:szCs w:val="21"/>
              </w:rPr>
            </w:pPr>
          </w:p>
        </w:tc>
        <w:tc>
          <w:tcPr>
            <w:tcW w:w="1059" w:type="dxa"/>
            <w:vMerge w:val="continue"/>
            <w:noWrap w:val="0"/>
            <w:vAlign w:val="center"/>
          </w:tcPr>
          <w:p w14:paraId="125F5CCE">
            <w:pPr>
              <w:jc w:val="center"/>
              <w:rPr>
                <w:rFonts w:hint="eastAsia" w:ascii="宋体" w:hAnsi="宋体"/>
                <w:szCs w:val="21"/>
              </w:rPr>
            </w:pPr>
          </w:p>
        </w:tc>
        <w:tc>
          <w:tcPr>
            <w:tcW w:w="2085" w:type="dxa"/>
            <w:gridSpan w:val="2"/>
            <w:noWrap w:val="0"/>
            <w:vAlign w:val="center"/>
          </w:tcPr>
          <w:p w14:paraId="3DBC9374">
            <w:pPr>
              <w:spacing w:line="440" w:lineRule="exact"/>
              <w:jc w:val="left"/>
              <w:rPr>
                <w:rFonts w:hint="eastAsia"/>
                <w:szCs w:val="21"/>
              </w:rPr>
            </w:pPr>
            <w:r>
              <w:rPr>
                <w:szCs w:val="21"/>
              </w:rPr>
              <w:t>认证体系</w:t>
            </w:r>
          </w:p>
          <w:p w14:paraId="5EA06D8E">
            <w:pPr>
              <w:jc w:val="left"/>
              <w:rPr>
                <w:rFonts w:hint="eastAsia"/>
              </w:rPr>
            </w:pPr>
          </w:p>
        </w:tc>
        <w:tc>
          <w:tcPr>
            <w:tcW w:w="735" w:type="dxa"/>
            <w:gridSpan w:val="2"/>
            <w:noWrap w:val="0"/>
            <w:vAlign w:val="center"/>
          </w:tcPr>
          <w:p w14:paraId="179D6F28">
            <w:pPr>
              <w:jc w:val="center"/>
              <w:rPr>
                <w:rFonts w:hint="eastAsia" w:ascii="宋体" w:hAnsi="宋体"/>
                <w:szCs w:val="44"/>
              </w:rPr>
            </w:pPr>
            <w:r>
              <w:rPr>
                <w:rFonts w:hint="eastAsia" w:ascii="宋体" w:hAnsi="宋体"/>
                <w:szCs w:val="44"/>
              </w:rPr>
              <w:t>3分</w:t>
            </w:r>
          </w:p>
        </w:tc>
        <w:tc>
          <w:tcPr>
            <w:tcW w:w="4560" w:type="dxa"/>
            <w:noWrap w:val="0"/>
            <w:vAlign w:val="center"/>
          </w:tcPr>
          <w:p w14:paraId="43E61C46">
            <w:pPr>
              <w:rPr>
                <w:rFonts w:hint="eastAsia" w:ascii="宋体" w:hAnsi="宋体"/>
                <w:szCs w:val="21"/>
              </w:rPr>
            </w:pPr>
            <w:r>
              <w:rPr>
                <w:rFonts w:hint="eastAsia"/>
                <w:szCs w:val="21"/>
              </w:rPr>
              <w:t>具有</w:t>
            </w:r>
            <w:r>
              <w:rPr>
                <w:szCs w:val="21"/>
              </w:rPr>
              <w:t>有效</w:t>
            </w:r>
            <w:r>
              <w:rPr>
                <w:rFonts w:hint="eastAsia"/>
                <w:szCs w:val="21"/>
              </w:rPr>
              <w:t>的ISO9001（</w:t>
            </w:r>
            <w:r>
              <w:t>GB/T19001</w:t>
            </w:r>
            <w:r>
              <w:rPr>
                <w:rFonts w:hint="eastAsia"/>
              </w:rPr>
              <w:t>）</w:t>
            </w:r>
            <w:r>
              <w:rPr>
                <w:szCs w:val="21"/>
              </w:rPr>
              <w:t>质量</w:t>
            </w:r>
            <w:r>
              <w:t>管理</w:t>
            </w:r>
            <w:r>
              <w:rPr>
                <w:szCs w:val="21"/>
              </w:rPr>
              <w:t>体系认证</w:t>
            </w:r>
            <w:r>
              <w:rPr>
                <w:rFonts w:hint="eastAsia"/>
                <w:szCs w:val="21"/>
              </w:rPr>
              <w:t>证书，</w:t>
            </w:r>
            <w:r>
              <w:rPr>
                <w:rFonts w:hint="eastAsia" w:ascii="宋体" w:hAnsi="宋体"/>
                <w:szCs w:val="21"/>
              </w:rPr>
              <w:t>1分；</w:t>
            </w:r>
          </w:p>
          <w:p w14:paraId="3CAA795D">
            <w:pPr>
              <w:rPr>
                <w:rFonts w:hint="eastAsia" w:ascii="宋体" w:hAnsi="宋体"/>
                <w:szCs w:val="21"/>
              </w:rPr>
            </w:pPr>
            <w:r>
              <w:rPr>
                <w:rFonts w:hint="eastAsia"/>
                <w:szCs w:val="21"/>
              </w:rPr>
              <w:t>具有</w:t>
            </w:r>
            <w:r>
              <w:rPr>
                <w:szCs w:val="21"/>
              </w:rPr>
              <w:t>有效</w:t>
            </w:r>
            <w:r>
              <w:rPr>
                <w:rFonts w:hint="eastAsia"/>
                <w:szCs w:val="21"/>
              </w:rPr>
              <w:t>的</w:t>
            </w:r>
            <w:r>
              <w:t>ISO14001</w:t>
            </w:r>
            <w:r>
              <w:rPr>
                <w:rFonts w:hint="eastAsia"/>
              </w:rPr>
              <w:t xml:space="preserve"> (</w:t>
            </w:r>
            <w:r>
              <w:t>GB/T24001</w:t>
            </w:r>
            <w:r>
              <w:rPr>
                <w:rFonts w:hint="eastAsia"/>
              </w:rPr>
              <w:t xml:space="preserve">) </w:t>
            </w:r>
            <w:r>
              <w:t>环境管理体系</w:t>
            </w:r>
            <w:r>
              <w:rPr>
                <w:szCs w:val="21"/>
              </w:rPr>
              <w:t>认证</w:t>
            </w:r>
            <w:r>
              <w:rPr>
                <w:rFonts w:hint="eastAsia"/>
                <w:szCs w:val="21"/>
              </w:rPr>
              <w:t>证书，</w:t>
            </w:r>
            <w:r>
              <w:rPr>
                <w:rFonts w:hint="eastAsia" w:ascii="宋体" w:hAnsi="宋体"/>
                <w:szCs w:val="21"/>
              </w:rPr>
              <w:t>1分；</w:t>
            </w:r>
          </w:p>
          <w:p w14:paraId="24D2EC6E">
            <w:pPr>
              <w:rPr>
                <w:rFonts w:hint="eastAsia" w:ascii="宋体" w:hAnsi="宋体"/>
              </w:rPr>
            </w:pPr>
            <w:r>
              <w:rPr>
                <w:rFonts w:hint="eastAsia"/>
                <w:szCs w:val="21"/>
              </w:rPr>
              <w:t>具有</w:t>
            </w:r>
            <w:r>
              <w:rPr>
                <w:szCs w:val="21"/>
              </w:rPr>
              <w:t>有效</w:t>
            </w:r>
            <w:r>
              <w:rPr>
                <w:rFonts w:hint="eastAsia"/>
                <w:szCs w:val="21"/>
              </w:rPr>
              <w:t>的</w:t>
            </w:r>
            <w:r>
              <w:t>ISO45001</w:t>
            </w:r>
            <w:r>
              <w:rPr>
                <w:rFonts w:hint="eastAsia"/>
              </w:rPr>
              <w:t xml:space="preserve">或 </w:t>
            </w:r>
            <w:r>
              <w:rPr>
                <w:rFonts w:hint="eastAsia"/>
                <w:szCs w:val="21"/>
              </w:rPr>
              <w:t xml:space="preserve">OHSAS18001 </w:t>
            </w:r>
            <w:r>
              <w:rPr>
                <w:rFonts w:hint="eastAsia"/>
              </w:rPr>
              <w:t>(</w:t>
            </w:r>
            <w:r>
              <w:t>GB/T28001</w:t>
            </w:r>
            <w:r>
              <w:rPr>
                <w:rFonts w:hint="eastAsia"/>
              </w:rPr>
              <w:t xml:space="preserve">) </w:t>
            </w:r>
            <w:r>
              <w:rPr>
                <w:rFonts w:hint="eastAsia"/>
                <w:szCs w:val="21"/>
              </w:rPr>
              <w:t>职业健康安全管理体系认证证书，</w:t>
            </w:r>
            <w:r>
              <w:rPr>
                <w:rFonts w:hint="eastAsia" w:ascii="宋体" w:hAnsi="宋体"/>
                <w:szCs w:val="21"/>
              </w:rPr>
              <w:t>1分。</w:t>
            </w:r>
          </w:p>
        </w:tc>
      </w:tr>
    </w:tbl>
    <w:p w14:paraId="43E8B3D8">
      <w:pPr>
        <w:rPr>
          <w:rFonts w:hint="eastAsia" w:ascii="宋体" w:hAnsi="宋体"/>
          <w:szCs w:val="21"/>
        </w:rPr>
      </w:pPr>
    </w:p>
    <w:p w14:paraId="586A97AB">
      <w:pPr>
        <w:rPr>
          <w:rFonts w:hint="eastAsia"/>
          <w:szCs w:val="21"/>
        </w:rPr>
      </w:pPr>
      <w:r>
        <w:rPr>
          <w:rFonts w:hint="eastAsia"/>
          <w:szCs w:val="21"/>
        </w:rPr>
        <w:t>备注：1. 采用资格后审时，评标基准价下浮系数E宜取1或2的整数，避免投标人报价过低。</w:t>
      </w:r>
    </w:p>
    <w:p w14:paraId="03E26836">
      <w:pPr>
        <w:ind w:left="840" w:leftChars="300" w:hanging="210" w:hangingChars="100"/>
        <w:rPr>
          <w:rFonts w:hint="eastAsia"/>
          <w:szCs w:val="21"/>
        </w:rPr>
      </w:pPr>
      <w:r>
        <w:rPr>
          <w:rFonts w:hint="eastAsia"/>
          <w:szCs w:val="21"/>
        </w:rPr>
        <w:t>2. 根据《关于建立部分专业技术类职业资格与职称对应关系的通知（鄂人社发〔</w:t>
      </w:r>
      <w:r>
        <w:rPr>
          <w:szCs w:val="21"/>
        </w:rPr>
        <w:t>2018</w:t>
      </w:r>
      <w:r>
        <w:rPr>
          <w:rFonts w:hint="eastAsia"/>
          <w:szCs w:val="21"/>
        </w:rPr>
        <w:t>〕</w:t>
      </w:r>
      <w:r>
        <w:rPr>
          <w:szCs w:val="21"/>
        </w:rPr>
        <w:t>30</w:t>
      </w:r>
      <w:r>
        <w:rPr>
          <w:rFonts w:hint="eastAsia"/>
          <w:szCs w:val="21"/>
        </w:rPr>
        <w:t>号）》造价工程师、一级注册建筑师、一级建造师、一级注册结构工程师、其他勘察设计注册工程师等，其职业资格直接对应相应系列的中级职称。二级注册建筑师、二级建造师、二级注册结构工程师等，其职业资格直接对应相应系列的初级职称。</w:t>
      </w:r>
    </w:p>
    <w:p w14:paraId="73B64D8F">
      <w:pPr>
        <w:pStyle w:val="18"/>
        <w:rPr>
          <w:rFonts w:hint="eastAsia"/>
        </w:rPr>
      </w:pPr>
      <w:bookmarkStart w:id="324" w:name="_Toc108513588"/>
      <w:r>
        <w:rPr>
          <w:rFonts w:hint="eastAsia"/>
        </w:rPr>
        <w:t>评标办法正文部分</w:t>
      </w:r>
      <w:bookmarkEnd w:id="324"/>
    </w:p>
    <w:p w14:paraId="5F5FD82E">
      <w:pPr>
        <w:pStyle w:val="18"/>
        <w:rPr>
          <w:rFonts w:hint="eastAsia"/>
        </w:rPr>
      </w:pPr>
      <w:bookmarkStart w:id="325" w:name="_Toc179632618"/>
      <w:bookmarkStart w:id="326" w:name="_Toc152042377"/>
      <w:bookmarkStart w:id="327" w:name="_Toc108513589"/>
      <w:bookmarkStart w:id="328" w:name="_Toc144974567"/>
      <w:bookmarkStart w:id="329" w:name="_Toc152045600"/>
      <w:r>
        <w:rPr>
          <w:rFonts w:hint="eastAsia"/>
        </w:rPr>
        <w:t>1. 评标方法</w:t>
      </w:r>
      <w:bookmarkEnd w:id="325"/>
      <w:bookmarkEnd w:id="326"/>
      <w:bookmarkEnd w:id="327"/>
      <w:bookmarkEnd w:id="328"/>
      <w:bookmarkEnd w:id="329"/>
    </w:p>
    <w:p w14:paraId="5BD61575">
      <w:pPr>
        <w:spacing w:line="400" w:lineRule="exact"/>
        <w:ind w:firstLine="420" w:firstLineChars="200"/>
        <w:rPr>
          <w:rFonts w:hint="eastAsia"/>
        </w:rPr>
      </w:pPr>
      <w:r>
        <w:rPr>
          <w:rFonts w:hint="eastAsia"/>
        </w:rPr>
        <w:t>本次评标采用综合评估法（合理低价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适用于办法一、二、三、四、五、六、七）</w:t>
      </w:r>
    </w:p>
    <w:p w14:paraId="252CE2C5">
      <w:pPr>
        <w:spacing w:line="400" w:lineRule="exact"/>
        <w:ind w:firstLine="420" w:firstLineChars="200"/>
        <w:rPr>
          <w:rFonts w:hint="eastAsia"/>
        </w:rPr>
      </w:pPr>
      <w:r>
        <w:rPr>
          <w:rFonts w:hint="eastAsia"/>
        </w:rPr>
        <w:t>本次评标采用合理低价法。评标委员会对满足招标文件实质性要求的投标文件，按照本章第2.2款规定的评分标准进行评审，并按</w:t>
      </w:r>
      <w:r>
        <w:rPr>
          <w:rFonts w:hint="eastAsia" w:ascii="宋体" w:hAnsi="宋体"/>
          <w:szCs w:val="21"/>
        </w:rPr>
        <w:t>有效评标价由低到高的顺序</w:t>
      </w:r>
      <w:r>
        <w:rPr>
          <w:rFonts w:hint="eastAsia"/>
        </w:rPr>
        <w:t>推荐中标候选人，或根据招标人授权直接确定中标人，但投标报价低于其成本的除外。</w:t>
      </w:r>
      <w:r>
        <w:rPr>
          <w:rFonts w:hint="eastAsia" w:ascii="宋体" w:hAnsi="宋体"/>
          <w:szCs w:val="21"/>
        </w:rPr>
        <w:t>有效评标价</w:t>
      </w:r>
      <w:r>
        <w:rPr>
          <w:rFonts w:hint="eastAsia"/>
        </w:rPr>
        <w:t>相等时，由招标人自行确定。（适用于办法八）</w:t>
      </w:r>
    </w:p>
    <w:p w14:paraId="60253FFA">
      <w:pPr>
        <w:pStyle w:val="18"/>
        <w:rPr>
          <w:rFonts w:hint="eastAsia"/>
        </w:rPr>
      </w:pPr>
      <w:bookmarkStart w:id="330" w:name="_Toc108513590"/>
      <w:bookmarkStart w:id="331" w:name="_Toc152042378"/>
      <w:bookmarkStart w:id="332" w:name="_Toc144974568"/>
      <w:bookmarkStart w:id="333" w:name="_Toc179632619"/>
      <w:bookmarkStart w:id="334" w:name="_Toc152045601"/>
      <w:r>
        <w:rPr>
          <w:rFonts w:hint="eastAsia"/>
        </w:rPr>
        <w:t>2. 评审标准</w:t>
      </w:r>
      <w:bookmarkEnd w:id="330"/>
      <w:bookmarkEnd w:id="331"/>
      <w:bookmarkEnd w:id="332"/>
      <w:bookmarkEnd w:id="333"/>
      <w:bookmarkEnd w:id="334"/>
    </w:p>
    <w:p w14:paraId="1CB16344">
      <w:pPr>
        <w:pStyle w:val="20"/>
        <w:rPr>
          <w:rFonts w:hint="eastAsia"/>
        </w:rPr>
      </w:pPr>
      <w:bookmarkStart w:id="335" w:name="_Toc152042379"/>
      <w:bookmarkStart w:id="336" w:name="_Toc179632620"/>
      <w:bookmarkStart w:id="337" w:name="_Toc144974569"/>
      <w:bookmarkStart w:id="338" w:name="_Toc152045602"/>
      <w:bookmarkStart w:id="339" w:name="_Toc108513591"/>
      <w:r>
        <w:rPr>
          <w:rFonts w:hint="eastAsia"/>
        </w:rPr>
        <w:t>2.1 初步评审标准</w:t>
      </w:r>
      <w:bookmarkEnd w:id="335"/>
      <w:bookmarkEnd w:id="336"/>
      <w:bookmarkEnd w:id="337"/>
      <w:bookmarkEnd w:id="338"/>
      <w:bookmarkEnd w:id="339"/>
    </w:p>
    <w:p w14:paraId="4D2AC948">
      <w:pPr>
        <w:spacing w:line="400" w:lineRule="exact"/>
        <w:ind w:firstLine="420" w:firstLineChars="200"/>
        <w:rPr>
          <w:rFonts w:hint="eastAsia"/>
        </w:rPr>
      </w:pPr>
      <w:r>
        <w:rPr>
          <w:rFonts w:hint="eastAsia"/>
        </w:rPr>
        <w:t>2.1.1 形式评审标准：见评标办法前附表。</w:t>
      </w:r>
    </w:p>
    <w:p w14:paraId="24103430">
      <w:pPr>
        <w:spacing w:line="400" w:lineRule="exact"/>
        <w:ind w:firstLine="420" w:firstLineChars="200"/>
        <w:rPr>
          <w:rFonts w:hint="eastAsia"/>
        </w:rPr>
      </w:pPr>
      <w:r>
        <w:rPr>
          <w:rFonts w:hint="eastAsia"/>
        </w:rPr>
        <w:t>2.1.2 资格评审标准：见评标办法前附表。</w:t>
      </w:r>
    </w:p>
    <w:p w14:paraId="0D6ED29D">
      <w:pPr>
        <w:spacing w:line="400" w:lineRule="exact"/>
        <w:ind w:firstLine="420" w:firstLineChars="200"/>
        <w:rPr>
          <w:rFonts w:hint="eastAsia"/>
        </w:rPr>
      </w:pPr>
      <w:r>
        <w:rPr>
          <w:rFonts w:hint="eastAsia"/>
        </w:rPr>
        <w:t>2.1.3 响应性评审标准：见评标办法前附表。</w:t>
      </w:r>
    </w:p>
    <w:p w14:paraId="6C839EC7">
      <w:pPr>
        <w:spacing w:line="400" w:lineRule="exact"/>
        <w:ind w:firstLine="420" w:firstLineChars="200"/>
        <w:rPr>
          <w:rFonts w:hint="eastAsia"/>
        </w:rPr>
      </w:pPr>
      <w:r>
        <w:rPr>
          <w:rFonts w:hint="eastAsia"/>
        </w:rPr>
        <w:t>2.1.4 施工组织设计评审标准：见评标办法前附表。（适用于办法五、六、七、八）</w:t>
      </w:r>
    </w:p>
    <w:p w14:paraId="39D2B5F8">
      <w:pPr>
        <w:pStyle w:val="20"/>
        <w:rPr>
          <w:rFonts w:hint="eastAsia"/>
        </w:rPr>
      </w:pPr>
      <w:bookmarkStart w:id="340" w:name="_Toc152042380"/>
      <w:bookmarkStart w:id="341" w:name="_Toc108513592"/>
      <w:bookmarkStart w:id="342" w:name="_Toc152045603"/>
      <w:bookmarkStart w:id="343" w:name="_Toc179632621"/>
      <w:bookmarkStart w:id="344" w:name="_Toc144974570"/>
      <w:r>
        <w:rPr>
          <w:rFonts w:hint="eastAsia"/>
        </w:rPr>
        <w:t>2.2 分值构成与评分标准</w:t>
      </w:r>
      <w:bookmarkEnd w:id="340"/>
      <w:bookmarkEnd w:id="341"/>
      <w:bookmarkEnd w:id="342"/>
      <w:bookmarkEnd w:id="343"/>
      <w:bookmarkEnd w:id="344"/>
    </w:p>
    <w:p w14:paraId="6AE47D59">
      <w:pPr>
        <w:spacing w:line="400" w:lineRule="exact"/>
        <w:ind w:firstLine="420" w:firstLineChars="200"/>
        <w:rPr>
          <w:rFonts w:hint="eastAsia"/>
        </w:rPr>
      </w:pPr>
      <w:r>
        <w:rPr>
          <w:rFonts w:hint="eastAsia"/>
        </w:rPr>
        <w:t xml:space="preserve">2.2.1 </w:t>
      </w:r>
      <w:r>
        <w:rPr>
          <w:rFonts w:hint="eastAsia" w:ascii="黑体" w:eastAsia="黑体"/>
        </w:rPr>
        <w:t>分值构成</w:t>
      </w:r>
    </w:p>
    <w:p w14:paraId="49A0F96E">
      <w:pPr>
        <w:spacing w:line="400" w:lineRule="exact"/>
        <w:ind w:firstLine="718" w:firstLineChars="342"/>
        <w:rPr>
          <w:rFonts w:hint="eastAsia"/>
        </w:rPr>
      </w:pPr>
      <w:r>
        <w:rPr>
          <w:rFonts w:hint="eastAsia"/>
        </w:rPr>
        <w:t>（1）投标报价：见评标办法前附表；</w:t>
      </w:r>
    </w:p>
    <w:p w14:paraId="6C639CA0">
      <w:pPr>
        <w:spacing w:line="400" w:lineRule="exact"/>
        <w:ind w:firstLine="718" w:firstLineChars="342"/>
        <w:rPr>
          <w:rFonts w:hint="eastAsia"/>
        </w:rPr>
      </w:pPr>
      <w:r>
        <w:rPr>
          <w:rFonts w:hint="eastAsia"/>
        </w:rPr>
        <w:t>（2）施工组织设计：见评标办法前附表；（适用于办法一、二、三、四）</w:t>
      </w:r>
    </w:p>
    <w:p w14:paraId="637E997A">
      <w:pPr>
        <w:spacing w:line="400" w:lineRule="exact"/>
        <w:ind w:firstLine="718" w:firstLineChars="342"/>
        <w:rPr>
          <w:rFonts w:hint="eastAsia"/>
        </w:rPr>
      </w:pPr>
      <w:r>
        <w:rPr>
          <w:rFonts w:hint="eastAsia"/>
        </w:rPr>
        <w:t>（3）项目管理机构：见评标办法前附表；</w:t>
      </w:r>
    </w:p>
    <w:p w14:paraId="7B4DD719">
      <w:pPr>
        <w:spacing w:line="400" w:lineRule="exact"/>
        <w:ind w:firstLine="718" w:firstLineChars="342"/>
        <w:rPr>
          <w:rFonts w:hint="eastAsia"/>
        </w:rPr>
      </w:pPr>
      <w:r>
        <w:rPr>
          <w:rFonts w:hint="eastAsia"/>
        </w:rPr>
        <w:t>（4）其他评分因素：见评标办法前附表。</w:t>
      </w:r>
    </w:p>
    <w:p w14:paraId="262866EE">
      <w:pPr>
        <w:spacing w:line="400" w:lineRule="exact"/>
        <w:ind w:firstLine="420" w:firstLineChars="200"/>
        <w:rPr>
          <w:rFonts w:hint="eastAsia"/>
        </w:rPr>
      </w:pPr>
      <w:r>
        <w:rPr>
          <w:rFonts w:hint="eastAsia"/>
        </w:rPr>
        <w:t xml:space="preserve">2.2.2 </w:t>
      </w:r>
      <w:r>
        <w:rPr>
          <w:rFonts w:hint="eastAsia" w:ascii="黑体" w:eastAsia="黑体"/>
        </w:rPr>
        <w:t>评标基准价计算</w:t>
      </w:r>
    </w:p>
    <w:p w14:paraId="105E77D3">
      <w:pPr>
        <w:spacing w:line="400" w:lineRule="exact"/>
        <w:ind w:firstLine="840" w:firstLineChars="400"/>
        <w:rPr>
          <w:rFonts w:hint="eastAsia"/>
        </w:rPr>
      </w:pPr>
      <w:r>
        <w:rPr>
          <w:rFonts w:hint="eastAsia"/>
        </w:rPr>
        <w:t>（1）</w:t>
      </w:r>
      <w:r>
        <w:rPr>
          <w:rFonts w:hint="eastAsia" w:ascii="宋体" w:hAnsi="宋体"/>
          <w:szCs w:val="21"/>
        </w:rPr>
        <w:t>评标价确定方法</w:t>
      </w:r>
      <w:r>
        <w:rPr>
          <w:rFonts w:hint="eastAsia"/>
        </w:rPr>
        <w:t>：见评标办法前附表；</w:t>
      </w:r>
    </w:p>
    <w:p w14:paraId="4D9A65A1">
      <w:pPr>
        <w:spacing w:line="400" w:lineRule="exact"/>
        <w:ind w:firstLine="840" w:firstLineChars="400"/>
        <w:rPr>
          <w:rFonts w:hint="eastAsia"/>
        </w:rPr>
      </w:pPr>
      <w:r>
        <w:rPr>
          <w:rFonts w:hint="eastAsia"/>
        </w:rPr>
        <w:t>（2）评标基准价计算方法：见评标办法前附表。</w:t>
      </w:r>
    </w:p>
    <w:p w14:paraId="45A4DC25">
      <w:pPr>
        <w:spacing w:line="400" w:lineRule="exact"/>
        <w:ind w:firstLine="840" w:firstLineChars="400"/>
        <w:rPr>
          <w:rFonts w:hint="eastAsia"/>
        </w:rPr>
      </w:pPr>
      <w:r>
        <w:rPr>
          <w:rFonts w:hint="eastAsia"/>
        </w:rPr>
        <w:t>（3）</w:t>
      </w:r>
      <w:r>
        <w:rPr>
          <w:rFonts w:hint="eastAsia" w:ascii="宋体" w:hAnsi="宋体"/>
          <w:szCs w:val="21"/>
        </w:rPr>
        <w:t>期望合理价的确定</w:t>
      </w:r>
      <w:r>
        <w:rPr>
          <w:rFonts w:hint="eastAsia"/>
        </w:rPr>
        <w:t>：见评标办法前附表。（适用于办法八）</w:t>
      </w:r>
    </w:p>
    <w:p w14:paraId="1E7946BF">
      <w:pPr>
        <w:spacing w:line="400" w:lineRule="exact"/>
        <w:ind w:firstLine="420" w:firstLineChars="200"/>
        <w:rPr>
          <w:rFonts w:hint="eastAsia"/>
        </w:rPr>
      </w:pPr>
      <w:r>
        <w:rPr>
          <w:rFonts w:hint="eastAsia"/>
        </w:rPr>
        <w:t xml:space="preserve">2.2.3 </w:t>
      </w:r>
      <w:r>
        <w:rPr>
          <w:rFonts w:hint="eastAsia" w:ascii="黑体" w:eastAsia="黑体"/>
        </w:rPr>
        <w:t>投标报价的偏差率计算</w:t>
      </w:r>
    </w:p>
    <w:p w14:paraId="7922E61B">
      <w:pPr>
        <w:spacing w:line="400" w:lineRule="exact"/>
        <w:ind w:firstLine="840" w:firstLineChars="400"/>
        <w:rPr>
          <w:rFonts w:hint="eastAsia"/>
        </w:rPr>
      </w:pPr>
      <w:r>
        <w:rPr>
          <w:rFonts w:hint="eastAsia"/>
        </w:rPr>
        <w:t>投标报价的偏差率计算公式：见评标办法前附表。</w:t>
      </w:r>
    </w:p>
    <w:p w14:paraId="43936369">
      <w:pPr>
        <w:spacing w:line="400" w:lineRule="exact"/>
        <w:ind w:firstLine="420" w:firstLineChars="200"/>
        <w:rPr>
          <w:rFonts w:hint="eastAsia"/>
        </w:rPr>
      </w:pPr>
      <w:r>
        <w:rPr>
          <w:rFonts w:hint="eastAsia"/>
        </w:rPr>
        <w:t xml:space="preserve">2.2.4 </w:t>
      </w:r>
      <w:r>
        <w:rPr>
          <w:rFonts w:hint="eastAsia" w:ascii="黑体" w:eastAsia="黑体"/>
        </w:rPr>
        <w:t>评分标准</w:t>
      </w:r>
    </w:p>
    <w:p w14:paraId="4D8B6313">
      <w:pPr>
        <w:spacing w:line="400" w:lineRule="exact"/>
        <w:ind w:firstLine="718" w:firstLineChars="342"/>
        <w:rPr>
          <w:rFonts w:hint="eastAsia"/>
        </w:rPr>
      </w:pPr>
      <w:r>
        <w:rPr>
          <w:rFonts w:hint="eastAsia"/>
        </w:rPr>
        <w:t>（1）投标报价评分（审）标准：见评标办法前附表；</w:t>
      </w:r>
    </w:p>
    <w:p w14:paraId="76830B89">
      <w:pPr>
        <w:spacing w:line="400" w:lineRule="exact"/>
        <w:ind w:firstLine="718" w:firstLineChars="342"/>
        <w:rPr>
          <w:rFonts w:hint="eastAsia"/>
        </w:rPr>
      </w:pPr>
      <w:r>
        <w:rPr>
          <w:rFonts w:hint="eastAsia"/>
        </w:rPr>
        <w:t>（2）施工组织设计评分标准：见评标办法前附表；（适用于办法一、二、三、四）</w:t>
      </w:r>
    </w:p>
    <w:p w14:paraId="5DDB7186">
      <w:pPr>
        <w:spacing w:line="400" w:lineRule="exact"/>
        <w:ind w:firstLine="718" w:firstLineChars="342"/>
        <w:rPr>
          <w:rFonts w:hint="eastAsia"/>
        </w:rPr>
      </w:pPr>
      <w:r>
        <w:rPr>
          <w:rFonts w:hint="eastAsia"/>
        </w:rPr>
        <w:t>（3）项目管理机构评分标准：见评标办法前附表；</w:t>
      </w:r>
    </w:p>
    <w:p w14:paraId="3CC677AD">
      <w:pPr>
        <w:spacing w:line="400" w:lineRule="exact"/>
        <w:ind w:firstLine="718" w:firstLineChars="342"/>
        <w:rPr>
          <w:rFonts w:hint="eastAsia"/>
        </w:rPr>
      </w:pPr>
      <w:r>
        <w:rPr>
          <w:rFonts w:hint="eastAsia"/>
        </w:rPr>
        <w:t>（4）其他因素评分标准：见评标办法前附表。</w:t>
      </w:r>
    </w:p>
    <w:p w14:paraId="2E96475F">
      <w:pPr>
        <w:pStyle w:val="18"/>
        <w:rPr>
          <w:rFonts w:hint="eastAsia"/>
        </w:rPr>
      </w:pPr>
      <w:bookmarkStart w:id="345" w:name="_Toc108513593"/>
      <w:bookmarkStart w:id="346" w:name="_Toc152042381"/>
      <w:bookmarkStart w:id="347" w:name="_Toc179632622"/>
      <w:bookmarkStart w:id="348" w:name="_Toc152045604"/>
      <w:bookmarkStart w:id="349" w:name="_Toc144974571"/>
      <w:r>
        <w:rPr>
          <w:rFonts w:hint="eastAsia"/>
        </w:rPr>
        <w:t>3. 评标程序</w:t>
      </w:r>
      <w:bookmarkEnd w:id="345"/>
      <w:bookmarkEnd w:id="346"/>
      <w:bookmarkEnd w:id="347"/>
      <w:bookmarkEnd w:id="348"/>
      <w:bookmarkEnd w:id="349"/>
    </w:p>
    <w:p w14:paraId="732FB1FB">
      <w:pPr>
        <w:pStyle w:val="20"/>
        <w:rPr>
          <w:rFonts w:hint="eastAsia"/>
        </w:rPr>
      </w:pPr>
      <w:bookmarkStart w:id="350" w:name="_Toc179632623"/>
      <w:bookmarkStart w:id="351" w:name="_Toc152045605"/>
      <w:bookmarkStart w:id="352" w:name="_Toc152042382"/>
      <w:bookmarkStart w:id="353" w:name="_Toc108513594"/>
      <w:bookmarkStart w:id="354" w:name="_Toc144974572"/>
      <w:r>
        <w:rPr>
          <w:rFonts w:hint="eastAsia"/>
        </w:rPr>
        <w:t>3.1 初步评审</w:t>
      </w:r>
      <w:bookmarkEnd w:id="350"/>
      <w:bookmarkEnd w:id="351"/>
      <w:bookmarkEnd w:id="352"/>
      <w:bookmarkEnd w:id="353"/>
      <w:bookmarkEnd w:id="354"/>
    </w:p>
    <w:p w14:paraId="07D71504">
      <w:pPr>
        <w:spacing w:line="400" w:lineRule="exact"/>
        <w:ind w:firstLine="420" w:firstLineChars="200"/>
        <w:rPr>
          <w:rFonts w:hint="eastAsia"/>
        </w:rPr>
      </w:pPr>
      <w:r>
        <w:rPr>
          <w:rFonts w:hint="eastAsia"/>
        </w:rPr>
        <w:t>3.1.1 评标委员会可以要求投标人提交第二章“投标人须知”第3.5.1项规定的有关证明和证件的原件，以便核验。评标委员会依据本章第2.1款规定的标准对投标文件进行初步评审。有一项不符合评审标准的，评标委员会应当否决其投标。</w:t>
      </w:r>
    </w:p>
    <w:p w14:paraId="3C196D3B">
      <w:pPr>
        <w:spacing w:line="400" w:lineRule="exact"/>
        <w:ind w:firstLine="420" w:firstLineChars="200"/>
        <w:rPr>
          <w:rFonts w:hint="eastAsia"/>
        </w:rPr>
      </w:pPr>
      <w:r>
        <w:rPr>
          <w:rFonts w:hint="eastAsia"/>
        </w:rPr>
        <w:t>3.1.2 投标人有以下情形之一的，评标委员会应当否决其投标：</w:t>
      </w:r>
    </w:p>
    <w:p w14:paraId="42CE6CF1">
      <w:pPr>
        <w:spacing w:line="400" w:lineRule="exact"/>
        <w:ind w:firstLine="420" w:firstLineChars="200"/>
        <w:rPr>
          <w:rFonts w:hint="eastAsia"/>
        </w:rPr>
      </w:pPr>
      <w:r>
        <w:rPr>
          <w:rFonts w:hint="eastAsia"/>
        </w:rPr>
        <w:t>（1）不按评标委员会要求澄清、说明或补正。</w:t>
      </w:r>
    </w:p>
    <w:p w14:paraId="79721BF9">
      <w:pPr>
        <w:spacing w:line="400" w:lineRule="exact"/>
        <w:ind w:firstLine="420" w:firstLineChars="200"/>
        <w:rPr>
          <w:rFonts w:hint="eastAsia"/>
        </w:rPr>
      </w:pPr>
      <w:r>
        <w:rPr>
          <w:rFonts w:hint="eastAsia"/>
        </w:rPr>
        <w:t>（2）有串通投标、弄虚作假、行贿或有其他违法行为；</w:t>
      </w:r>
    </w:p>
    <w:p w14:paraId="03BA276B">
      <w:pPr>
        <w:spacing w:line="400" w:lineRule="exact"/>
        <w:ind w:firstLine="735" w:firstLineChars="350"/>
        <w:rPr>
          <w:rFonts w:hint="eastAsia"/>
        </w:rPr>
      </w:pPr>
      <w:r>
        <w:rPr>
          <w:rFonts w:hint="eastAsia"/>
        </w:rPr>
        <w:t>1）有下列情形之一的，视为投标人相互串通投标：</w:t>
      </w:r>
    </w:p>
    <w:p w14:paraId="6343949C">
      <w:pPr>
        <w:spacing w:line="400" w:lineRule="exact"/>
        <w:ind w:firstLine="1003" w:firstLineChars="478"/>
        <w:rPr>
          <w:rFonts w:hint="eastAsia"/>
        </w:rPr>
      </w:pPr>
      <w:r>
        <w:rPr>
          <w:rFonts w:hint="eastAsia"/>
        </w:rPr>
        <w:t>① 不同投标人的投标文件由同一单位或者个人编制；</w:t>
      </w:r>
    </w:p>
    <w:p w14:paraId="5D94FAE9">
      <w:pPr>
        <w:spacing w:line="400" w:lineRule="exact"/>
        <w:ind w:firstLine="1003" w:firstLineChars="478"/>
        <w:rPr>
          <w:rFonts w:hint="eastAsia"/>
        </w:rPr>
      </w:pPr>
      <w:r>
        <w:rPr>
          <w:rFonts w:hint="eastAsia"/>
        </w:rPr>
        <w:t>② 不同投标人委托同一单位或者个人办理投标事宜；</w:t>
      </w:r>
    </w:p>
    <w:p w14:paraId="4EEE8E7A">
      <w:pPr>
        <w:spacing w:line="400" w:lineRule="exact"/>
        <w:ind w:firstLine="1003" w:firstLineChars="478"/>
        <w:rPr>
          <w:rFonts w:hint="eastAsia"/>
        </w:rPr>
      </w:pPr>
      <w:r>
        <w:rPr>
          <w:rFonts w:hint="eastAsia"/>
        </w:rPr>
        <w:t>③ 不同投标人的投标文件载明的项目管理成员为同一人；</w:t>
      </w:r>
    </w:p>
    <w:p w14:paraId="4849847B">
      <w:pPr>
        <w:spacing w:line="400" w:lineRule="exact"/>
        <w:ind w:firstLine="1003" w:firstLineChars="478"/>
        <w:rPr>
          <w:rFonts w:hint="eastAsia"/>
        </w:rPr>
      </w:pPr>
      <w:r>
        <w:rPr>
          <w:rFonts w:hint="eastAsia"/>
        </w:rPr>
        <w:t>④ 不同投标人的投标文件异常一致或者投标报价呈规律性差异；</w:t>
      </w:r>
    </w:p>
    <w:p w14:paraId="2B942CB4">
      <w:pPr>
        <w:spacing w:line="400" w:lineRule="exact"/>
        <w:ind w:firstLine="1003" w:firstLineChars="478"/>
        <w:rPr>
          <w:rFonts w:hint="eastAsia"/>
        </w:rPr>
      </w:pPr>
      <w:r>
        <w:rPr>
          <w:rFonts w:hint="eastAsia"/>
        </w:rPr>
        <w:t>⑤ 不同投标人的投标文件相互混装；</w:t>
      </w:r>
    </w:p>
    <w:p w14:paraId="595615F8">
      <w:pPr>
        <w:spacing w:line="400" w:lineRule="exact"/>
        <w:ind w:firstLine="1003" w:firstLineChars="478"/>
        <w:rPr>
          <w:rFonts w:hint="eastAsia"/>
        </w:rPr>
      </w:pPr>
      <w:r>
        <w:rPr>
          <w:rFonts w:hint="eastAsia"/>
        </w:rPr>
        <w:t>⑥ 不同投标人的投标保证金从同一单位或者个人的账户转出；</w:t>
      </w:r>
    </w:p>
    <w:p w14:paraId="29EF50E1">
      <w:pPr>
        <w:spacing w:line="400" w:lineRule="exact"/>
        <w:ind w:firstLine="1003" w:firstLineChars="478"/>
      </w:pPr>
      <w:r>
        <w:fldChar w:fldCharType="begin"/>
      </w:r>
      <w:r>
        <w:instrText xml:space="preserve"> </w:instrText>
      </w:r>
      <w:r>
        <w:rPr>
          <w:rFonts w:hint="eastAsia"/>
        </w:rPr>
        <w:instrText xml:space="preserve">= 7 \* GB3</w:instrText>
      </w:r>
      <w:r>
        <w:instrText xml:space="preserve"> </w:instrText>
      </w:r>
      <w:r>
        <w:fldChar w:fldCharType="separate"/>
      </w:r>
      <w:r>
        <w:rPr>
          <w:rFonts w:hint="eastAsia"/>
        </w:rPr>
        <w:t>⑦</w:t>
      </w:r>
      <w:r>
        <w:fldChar w:fldCharType="end"/>
      </w:r>
      <w:r>
        <w:rPr>
          <w:rFonts w:hint="eastAsia"/>
        </w:rPr>
        <w:t>不同投标人的投标文件存在“文件创建标识码”、“文件制作机器码”一致等情形。</w:t>
      </w:r>
    </w:p>
    <w:p w14:paraId="65F5696C">
      <w:pPr>
        <w:spacing w:line="400" w:lineRule="exact"/>
        <w:ind w:firstLine="420" w:firstLineChars="200"/>
        <w:rPr>
          <w:rFonts w:hint="eastAsia"/>
        </w:rPr>
      </w:pPr>
      <w:r>
        <w:rPr>
          <w:rFonts w:hint="eastAsia"/>
        </w:rPr>
        <w:t xml:space="preserve">   2）有下列情形之一的，属于弄虚作假行为：</w:t>
      </w:r>
    </w:p>
    <w:p w14:paraId="2D830E9B">
      <w:pPr>
        <w:spacing w:line="400" w:lineRule="exact"/>
        <w:ind w:firstLine="1003" w:firstLineChars="478"/>
        <w:rPr>
          <w:rFonts w:hint="eastAsia"/>
        </w:rPr>
      </w:pPr>
      <w:r>
        <w:rPr>
          <w:rFonts w:hint="eastAsia"/>
        </w:rPr>
        <w:t>① 使用通过受让或者租借等方式获取的资格、资质证书投标的，即以他人名义投标的。</w:t>
      </w:r>
    </w:p>
    <w:p w14:paraId="4C452F29">
      <w:pPr>
        <w:spacing w:line="400" w:lineRule="exact"/>
        <w:ind w:firstLine="1003" w:firstLineChars="478"/>
        <w:rPr>
          <w:rFonts w:hint="eastAsia"/>
        </w:rPr>
      </w:pPr>
      <w:r>
        <w:rPr>
          <w:rFonts w:hint="eastAsia"/>
        </w:rPr>
        <w:t>② 使用伪造、变造的许可证件；</w:t>
      </w:r>
    </w:p>
    <w:p w14:paraId="015EA48E">
      <w:pPr>
        <w:spacing w:line="400" w:lineRule="exact"/>
        <w:ind w:firstLine="1003" w:firstLineChars="478"/>
        <w:rPr>
          <w:rFonts w:hint="eastAsia"/>
        </w:rPr>
      </w:pPr>
      <w:r>
        <w:rPr>
          <w:rFonts w:hint="eastAsia"/>
        </w:rPr>
        <w:t>③ 提供虚假的财务状况或者业绩；</w:t>
      </w:r>
    </w:p>
    <w:p w14:paraId="34F52382">
      <w:pPr>
        <w:spacing w:line="400" w:lineRule="exact"/>
        <w:ind w:firstLine="1003" w:firstLineChars="478"/>
        <w:rPr>
          <w:rFonts w:hint="eastAsia"/>
        </w:rPr>
      </w:pPr>
      <w:r>
        <w:rPr>
          <w:rFonts w:hint="eastAsia"/>
        </w:rPr>
        <w:t>④ 提供虚假的项目负责人或者主要技术人员简历、劳动关系证明；</w:t>
      </w:r>
    </w:p>
    <w:p w14:paraId="60F9130F">
      <w:pPr>
        <w:spacing w:line="400" w:lineRule="exact"/>
        <w:ind w:firstLine="1003" w:firstLineChars="478"/>
        <w:rPr>
          <w:rFonts w:hint="eastAsia"/>
        </w:rPr>
      </w:pPr>
      <w:r>
        <w:rPr>
          <w:rFonts w:hint="eastAsia"/>
        </w:rPr>
        <w:t>⑤ 提供虚假的信用状况；</w:t>
      </w:r>
    </w:p>
    <w:p w14:paraId="71C25E2F">
      <w:pPr>
        <w:spacing w:line="400" w:lineRule="exact"/>
        <w:ind w:firstLine="945" w:firstLineChars="450"/>
        <w:rPr>
          <w:rFonts w:hint="eastAsia"/>
        </w:rPr>
      </w:pPr>
      <w:r>
        <w:rPr>
          <w:rFonts w:hint="eastAsia"/>
        </w:rPr>
        <w:t> ⑥ 其他弄虚作假的行为。</w:t>
      </w:r>
    </w:p>
    <w:p w14:paraId="1683E676">
      <w:pPr>
        <w:spacing w:line="400" w:lineRule="exact"/>
        <w:ind w:firstLine="420" w:firstLineChars="200"/>
        <w:rPr>
          <w:rFonts w:hint="eastAsia"/>
        </w:rPr>
      </w:pPr>
      <w:r>
        <w:rPr>
          <w:rFonts w:hint="eastAsia"/>
        </w:rPr>
        <w:t>3.1.3投标报价有算术错误的，评标委员会按以下原则对投标报价进行修正，修正的价格经投标人书面确认后具有约束力。投标人不接受修正价格的，或者</w:t>
      </w:r>
      <w:r>
        <w:t>修正后</w:t>
      </w:r>
      <w:r>
        <w:rPr>
          <w:rFonts w:hint="eastAsia"/>
        </w:rPr>
        <w:t>的价格</w:t>
      </w:r>
      <w:r>
        <w:t>与投标报价相比偏差</w:t>
      </w:r>
      <w:r>
        <w:rPr>
          <w:rFonts w:hint="eastAsia"/>
        </w:rPr>
        <w:t>率（（</w:t>
      </w:r>
      <w:r>
        <w:t>修正后</w:t>
      </w:r>
      <w:r>
        <w:rPr>
          <w:rFonts w:hint="eastAsia"/>
        </w:rPr>
        <w:t>的价格-</w:t>
      </w:r>
      <w:r>
        <w:t>投标报价</w:t>
      </w:r>
      <w:r>
        <w:rPr>
          <w:rFonts w:hint="eastAsia"/>
        </w:rPr>
        <w:t>）÷</w:t>
      </w:r>
      <w:r>
        <w:t>投标报价</w:t>
      </w:r>
      <w:r>
        <w:rPr>
          <w:rFonts w:hint="eastAsia"/>
        </w:rPr>
        <w:t>×100%）</w:t>
      </w:r>
      <w:r>
        <w:t>在</w:t>
      </w:r>
      <w:r>
        <w:rPr>
          <w:rFonts w:hint="eastAsia" w:ascii="宋体" w:hAnsi="宋体"/>
          <w:szCs w:val="21"/>
        </w:rPr>
        <w:t>±</w:t>
      </w:r>
      <w:r>
        <w:rPr>
          <w:rFonts w:hint="eastAsia"/>
        </w:rPr>
        <w:t>1</w:t>
      </w:r>
      <w:r>
        <w:t>%以上</w:t>
      </w:r>
      <w:r>
        <w:rPr>
          <w:rFonts w:hint="eastAsia"/>
        </w:rPr>
        <w:t>的，或者修正后的投标报价超过招标控制价的（如有），评标委员会应当否决其投标。</w:t>
      </w:r>
    </w:p>
    <w:p w14:paraId="7A1BF08A">
      <w:pPr>
        <w:spacing w:line="400" w:lineRule="exact"/>
        <w:ind w:firstLine="718" w:firstLineChars="342"/>
        <w:rPr>
          <w:rFonts w:hint="eastAsia"/>
        </w:rPr>
      </w:pPr>
      <w:bookmarkStart w:id="355" w:name="_Toc152042383"/>
      <w:r>
        <w:rPr>
          <w:rFonts w:hint="eastAsia"/>
        </w:rPr>
        <w:t>（1）投标文件中的大写金额与小写金额不一致的，以大写金额为准；</w:t>
      </w:r>
      <w:bookmarkEnd w:id="355"/>
    </w:p>
    <w:p w14:paraId="6F50CF4E">
      <w:pPr>
        <w:spacing w:line="400" w:lineRule="exact"/>
        <w:ind w:firstLine="718" w:firstLineChars="342"/>
        <w:rPr>
          <w:rFonts w:hint="eastAsia"/>
        </w:rPr>
      </w:pPr>
      <w:r>
        <w:rPr>
          <w:rFonts w:hint="eastAsia"/>
        </w:rPr>
        <w:t>（2）总价金额与依据单价计算出的结果不一致的，以单价金额为准修正总价，但单价金额小数点有明显错误的除外。</w:t>
      </w:r>
    </w:p>
    <w:p w14:paraId="6CB43217">
      <w:pPr>
        <w:spacing w:line="400" w:lineRule="exact"/>
        <w:ind w:firstLine="718" w:firstLineChars="342"/>
        <w:rPr>
          <w:rFonts w:hint="eastAsia"/>
        </w:rPr>
      </w:pPr>
      <w:r>
        <w:rPr>
          <w:rFonts w:hint="eastAsia"/>
        </w:rPr>
        <w:t>3.1.4 评标委员会发现投标人的报价明显低于其他投标报价，或者在设有招标控制价时明显低于招标控制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4B4208F2">
      <w:pPr>
        <w:spacing w:line="400" w:lineRule="exact"/>
        <w:ind w:firstLine="718" w:firstLineChars="342"/>
        <w:rPr>
          <w:rFonts w:hint="eastAsia"/>
        </w:rPr>
      </w:pPr>
      <w:r>
        <w:rPr>
          <w:rFonts w:hint="eastAsia"/>
        </w:rPr>
        <w:t>3.1</w:t>
      </w:r>
      <w:r>
        <w:t>.</w:t>
      </w:r>
      <w:r>
        <w:rPr>
          <w:rFonts w:hint="eastAsia"/>
        </w:rPr>
        <w:t>5</w:t>
      </w:r>
      <w:r>
        <w:t xml:space="preserve"> 评标委员会否决不合格投标后，因有效投标不足三个使得投标明显缺乏竞争的，评标委员会可以否决全部投标。</w:t>
      </w:r>
    </w:p>
    <w:p w14:paraId="7A456752">
      <w:pPr>
        <w:pStyle w:val="20"/>
        <w:rPr>
          <w:rFonts w:hint="eastAsia"/>
        </w:rPr>
      </w:pPr>
      <w:bookmarkStart w:id="356" w:name="_Toc144974573"/>
      <w:bookmarkStart w:id="357" w:name="_Toc179632624"/>
      <w:bookmarkStart w:id="358" w:name="_Toc152045606"/>
      <w:bookmarkStart w:id="359" w:name="_Toc152042384"/>
      <w:bookmarkStart w:id="360" w:name="_Toc108513595"/>
      <w:r>
        <w:rPr>
          <w:rFonts w:hint="eastAsia"/>
        </w:rPr>
        <w:t>3.2 详细评审</w:t>
      </w:r>
      <w:bookmarkEnd w:id="356"/>
      <w:bookmarkEnd w:id="357"/>
      <w:bookmarkEnd w:id="358"/>
      <w:bookmarkEnd w:id="359"/>
      <w:bookmarkEnd w:id="360"/>
    </w:p>
    <w:p w14:paraId="6D2DA001">
      <w:pPr>
        <w:spacing w:line="400" w:lineRule="exact"/>
        <w:ind w:firstLine="420" w:firstLineChars="200"/>
        <w:rPr>
          <w:rFonts w:hint="eastAsia"/>
        </w:rPr>
      </w:pPr>
      <w:r>
        <w:rPr>
          <w:rFonts w:hint="eastAsia"/>
        </w:rPr>
        <w:t>3.2.1 评标委员会对通过了初步评审的投标文件进行详细评审。</w:t>
      </w:r>
    </w:p>
    <w:p w14:paraId="02949C30">
      <w:pPr>
        <w:spacing w:line="400" w:lineRule="exact"/>
        <w:ind w:firstLine="420" w:firstLineChars="200"/>
        <w:rPr>
          <w:rFonts w:hint="eastAsia"/>
        </w:rPr>
      </w:pPr>
      <w:r>
        <w:rPr>
          <w:rFonts w:hint="eastAsia"/>
        </w:rPr>
        <w:t>3.2.2 评标委员会按本章第2.2款规定的量化因素和分值进行打分，并计算出综合评估得分。</w:t>
      </w:r>
    </w:p>
    <w:p w14:paraId="6EA4FA2A">
      <w:pPr>
        <w:spacing w:line="400" w:lineRule="exact"/>
        <w:ind w:firstLine="718" w:firstLineChars="342"/>
        <w:rPr>
          <w:rFonts w:hint="eastAsia"/>
        </w:rPr>
      </w:pPr>
      <w:r>
        <w:rPr>
          <w:rFonts w:hint="eastAsia"/>
        </w:rPr>
        <w:t>（1）按本章第2.2.4（1）目规定的评审因素和分值对投标报价计算出得分A；</w:t>
      </w:r>
    </w:p>
    <w:p w14:paraId="1C8C2640">
      <w:pPr>
        <w:spacing w:line="400" w:lineRule="exact"/>
        <w:ind w:firstLine="718" w:firstLineChars="342"/>
        <w:rPr>
          <w:rFonts w:hint="eastAsia"/>
        </w:rPr>
      </w:pPr>
      <w:r>
        <w:rPr>
          <w:rFonts w:hint="eastAsia"/>
        </w:rPr>
        <w:t>（2）按本章第2.2.4（2）目规定的评审因素和分值对施工组织设计计算出得分B；</w:t>
      </w:r>
    </w:p>
    <w:p w14:paraId="37DFF944">
      <w:pPr>
        <w:spacing w:line="400" w:lineRule="exact"/>
        <w:ind w:firstLine="718" w:firstLineChars="342"/>
        <w:rPr>
          <w:rFonts w:hint="eastAsia"/>
        </w:rPr>
      </w:pPr>
      <w:r>
        <w:rPr>
          <w:rFonts w:hint="eastAsia"/>
        </w:rPr>
        <w:t>（3）按本章第2.2.4（3）目规定的评审因素和分值对项目管理机构计算出得分C；</w:t>
      </w:r>
    </w:p>
    <w:p w14:paraId="23573291">
      <w:pPr>
        <w:spacing w:line="400" w:lineRule="exact"/>
        <w:ind w:firstLine="718" w:firstLineChars="342"/>
        <w:rPr>
          <w:rFonts w:hint="eastAsia"/>
        </w:rPr>
      </w:pPr>
      <w:r>
        <w:rPr>
          <w:rFonts w:hint="eastAsia"/>
        </w:rPr>
        <w:t>（4）按本章第2.2.4（4）目规定的评审因素和分值对其他部分计算出得分D。</w:t>
      </w:r>
    </w:p>
    <w:p w14:paraId="6BA869AA">
      <w:pPr>
        <w:spacing w:line="400" w:lineRule="exact"/>
        <w:ind w:firstLine="420" w:firstLineChars="200"/>
        <w:rPr>
          <w:rFonts w:hint="eastAsia"/>
        </w:rPr>
      </w:pPr>
      <w:r>
        <w:rPr>
          <w:rFonts w:hint="eastAsia"/>
        </w:rPr>
        <w:t>3.2.2 评标委员会按本章第2.2款规定的量化因素和评审标准对投标报价评审，确人有效评标价。（适用于办法八）</w:t>
      </w:r>
    </w:p>
    <w:p w14:paraId="215675D7">
      <w:pPr>
        <w:spacing w:line="400" w:lineRule="exact"/>
        <w:ind w:firstLine="420" w:firstLineChars="200"/>
        <w:rPr>
          <w:rFonts w:hint="eastAsia"/>
        </w:rPr>
      </w:pPr>
      <w:r>
        <w:rPr>
          <w:rFonts w:hint="eastAsia"/>
        </w:rPr>
        <w:t>3.2.3 评分分值计算保留小数点后两位，小数点后第三位“四舍五入”。</w:t>
      </w:r>
    </w:p>
    <w:p w14:paraId="1A9D19C0">
      <w:pPr>
        <w:spacing w:line="400" w:lineRule="exact"/>
        <w:ind w:firstLine="420" w:firstLineChars="200"/>
        <w:rPr>
          <w:rFonts w:hint="eastAsia"/>
        </w:rPr>
      </w:pPr>
      <w:r>
        <w:rPr>
          <w:rFonts w:hint="eastAsia"/>
        </w:rPr>
        <w:t>3.2.4 投标人得分=A+B+C+D。</w:t>
      </w:r>
    </w:p>
    <w:p w14:paraId="215A0552">
      <w:pPr>
        <w:spacing w:line="400" w:lineRule="exact"/>
        <w:ind w:firstLine="420" w:firstLineChars="200"/>
        <w:rPr>
          <w:rFonts w:hint="eastAsia"/>
        </w:rPr>
      </w:pPr>
      <w:r>
        <w:rPr>
          <w:rFonts w:hint="eastAsia"/>
        </w:rPr>
        <w:t>3.2.5 各投标人最终得分的确定办法为：</w:t>
      </w:r>
      <w:r>
        <w:rPr>
          <w:rFonts w:ascii="宋体" w:hAnsi="宋体"/>
          <w:szCs w:val="21"/>
        </w:rPr>
        <w:t>所有</w:t>
      </w:r>
      <w:r>
        <w:rPr>
          <w:rFonts w:hint="eastAsia"/>
        </w:rPr>
        <w:t>评标委员会成员</w:t>
      </w:r>
      <w:r>
        <w:rPr>
          <w:rFonts w:ascii="宋体" w:hAnsi="宋体"/>
          <w:szCs w:val="21"/>
        </w:rPr>
        <w:t>的</w:t>
      </w:r>
      <w:r>
        <w:rPr>
          <w:rFonts w:ascii="宋体" w:hAnsi="宋体"/>
          <w:kern w:val="0"/>
          <w:szCs w:val="21"/>
        </w:rPr>
        <w:t>综合评分</w:t>
      </w:r>
      <w:r>
        <w:rPr>
          <w:rFonts w:ascii="宋体" w:hAnsi="宋体"/>
          <w:szCs w:val="21"/>
        </w:rPr>
        <w:t>去掉一个最高分和一个最低分之后的算术平均值</w:t>
      </w:r>
      <w:r>
        <w:rPr>
          <w:rFonts w:hint="eastAsia" w:ascii="宋体" w:hAnsi="宋体"/>
          <w:szCs w:val="21"/>
        </w:rPr>
        <w:t>。</w:t>
      </w:r>
    </w:p>
    <w:p w14:paraId="543AA69F">
      <w:pPr>
        <w:pStyle w:val="20"/>
        <w:rPr>
          <w:rFonts w:hint="eastAsia"/>
        </w:rPr>
      </w:pPr>
      <w:bookmarkStart w:id="361" w:name="_Toc144974575"/>
      <w:bookmarkStart w:id="362" w:name="_Toc152045607"/>
      <w:bookmarkStart w:id="363" w:name="_Toc108513596"/>
      <w:bookmarkStart w:id="364" w:name="_Toc152042385"/>
      <w:bookmarkStart w:id="365" w:name="_Toc179632625"/>
      <w:r>
        <w:rPr>
          <w:rFonts w:hint="eastAsia"/>
        </w:rPr>
        <w:t>3.3 投标文件的澄清</w:t>
      </w:r>
      <w:bookmarkEnd w:id="361"/>
      <w:r>
        <w:rPr>
          <w:rFonts w:hint="eastAsia"/>
        </w:rPr>
        <w:t>和补正</w:t>
      </w:r>
      <w:bookmarkEnd w:id="362"/>
      <w:bookmarkEnd w:id="363"/>
      <w:bookmarkEnd w:id="364"/>
      <w:bookmarkEnd w:id="365"/>
    </w:p>
    <w:p w14:paraId="054A3BE6">
      <w:pPr>
        <w:spacing w:line="400" w:lineRule="exact"/>
        <w:ind w:firstLine="420" w:firstLineChars="200"/>
        <w:rPr>
          <w:rFonts w:hint="eastAsia"/>
        </w:rPr>
      </w:pPr>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40017C4C">
      <w:pPr>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5FB5D164">
      <w:pPr>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6E46816F">
      <w:pPr>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3980C93D">
      <w:pPr>
        <w:pStyle w:val="20"/>
        <w:rPr>
          <w:rFonts w:hint="eastAsia"/>
        </w:rPr>
      </w:pPr>
      <w:bookmarkStart w:id="366" w:name="_Toc179632626"/>
      <w:bookmarkStart w:id="367" w:name="_Toc152045608"/>
      <w:bookmarkStart w:id="368" w:name="_Toc144974576"/>
      <w:bookmarkStart w:id="369" w:name="_Toc108513597"/>
      <w:bookmarkStart w:id="370" w:name="_Toc152042386"/>
      <w:r>
        <w:rPr>
          <w:rFonts w:hint="eastAsia"/>
        </w:rPr>
        <w:t>3.4 评标结果</w:t>
      </w:r>
      <w:bookmarkEnd w:id="366"/>
      <w:bookmarkEnd w:id="367"/>
      <w:bookmarkEnd w:id="368"/>
      <w:bookmarkEnd w:id="369"/>
      <w:bookmarkEnd w:id="370"/>
    </w:p>
    <w:p w14:paraId="6DBF2545">
      <w:pPr>
        <w:spacing w:line="400" w:lineRule="exact"/>
        <w:ind w:firstLine="420" w:firstLineChars="200"/>
        <w:rPr>
          <w:rFonts w:hint="eastAsia"/>
        </w:rPr>
      </w:pPr>
      <w:r>
        <w:rPr>
          <w:rFonts w:hint="eastAsia"/>
        </w:rPr>
        <w:t>3.4.1除第二章“投标人须知”前附表第7.1款授权直接确定中标人外，评标委员会按照得分由高到低</w:t>
      </w:r>
      <w:r>
        <w:rPr>
          <w:rFonts w:hint="eastAsia" w:ascii="宋体" w:hAnsi="宋体"/>
          <w:szCs w:val="21"/>
        </w:rPr>
        <w:t>的</w:t>
      </w:r>
      <w:r>
        <w:rPr>
          <w:rFonts w:hint="eastAsia"/>
        </w:rPr>
        <w:t>顺序</w:t>
      </w:r>
      <w:r>
        <w:rPr>
          <w:rFonts w:hint="eastAsia" w:ascii="宋体" w:hAnsi="宋体"/>
          <w:szCs w:val="21"/>
        </w:rPr>
        <w:t>（适用于</w:t>
      </w:r>
      <w:r>
        <w:rPr>
          <w:rFonts w:hint="eastAsia"/>
        </w:rPr>
        <w:t>办</w:t>
      </w:r>
      <w:r>
        <w:rPr>
          <w:rFonts w:hint="eastAsia" w:ascii="宋体" w:hAnsi="宋体"/>
          <w:szCs w:val="21"/>
        </w:rPr>
        <w:t>法一、二、三、四、五、六、七）</w:t>
      </w:r>
      <w:r>
        <w:rPr>
          <w:rFonts w:hint="eastAsia"/>
        </w:rPr>
        <w:t>或按照</w:t>
      </w:r>
      <w:r>
        <w:rPr>
          <w:rFonts w:hint="eastAsia" w:ascii="宋体" w:hAnsi="宋体"/>
          <w:szCs w:val="21"/>
        </w:rPr>
        <w:t>有效评标价由低到高的</w:t>
      </w:r>
      <w:r>
        <w:rPr>
          <w:rFonts w:hint="eastAsia"/>
        </w:rPr>
        <w:t>顺序（适用于办法八）推荐中标候选人。</w:t>
      </w:r>
    </w:p>
    <w:p w14:paraId="6E24DA3F">
      <w:pPr>
        <w:spacing w:line="400" w:lineRule="exact"/>
        <w:ind w:firstLine="420" w:firstLineChars="200"/>
        <w:rPr>
          <w:rFonts w:hint="eastAsia"/>
        </w:rPr>
      </w:pPr>
      <w:r>
        <w:rPr>
          <w:rFonts w:hint="eastAsia"/>
        </w:rPr>
        <w:t>3.4.2招标文件允许多标段投标、多标段中标的，各标段中标候选人的推荐按第二章“投标人须知” 第10.1款规定执行，对某些标段由此产生的空缺由排序在后的投标人依次替补。</w:t>
      </w:r>
    </w:p>
    <w:p w14:paraId="7BD701F5">
      <w:pPr>
        <w:spacing w:line="400" w:lineRule="exact"/>
        <w:ind w:firstLine="420" w:firstLineChars="200"/>
        <w:rPr>
          <w:rFonts w:hint="eastAsia" w:ascii="宋体" w:hAnsi="宋体"/>
          <w:szCs w:val="21"/>
        </w:rPr>
        <w:sectPr>
          <w:footerReference r:id="rId6" w:type="default"/>
          <w:footerReference r:id="rId7" w:type="even"/>
          <w:pgSz w:w="11907" w:h="16840"/>
          <w:pgMar w:top="1701" w:right="1531" w:bottom="1588" w:left="1474" w:header="851" w:footer="851" w:gutter="0"/>
          <w:cols w:space="720" w:num="1"/>
          <w:docGrid w:linePitch="312" w:charSpace="0"/>
        </w:sectPr>
      </w:pPr>
      <w:r>
        <w:rPr>
          <w:rFonts w:hint="eastAsia"/>
        </w:rPr>
        <w:t>3.4.3 评标委员会完成评标后，应当向招标人提交书面评标报告。</w:t>
      </w:r>
    </w:p>
    <w:p w14:paraId="221E4A04">
      <w:pPr>
        <w:pStyle w:val="3"/>
        <w:rPr>
          <w:rFonts w:hint="eastAsia"/>
          <w:b w:val="0"/>
          <w:sz w:val="24"/>
          <w:szCs w:val="24"/>
        </w:rPr>
      </w:pPr>
      <w:bookmarkStart w:id="371" w:name="_Toc108513598"/>
      <w:r>
        <w:rPr>
          <w:rFonts w:hint="eastAsia"/>
          <w:b w:val="0"/>
          <w:sz w:val="24"/>
          <w:szCs w:val="24"/>
        </w:rPr>
        <w:t>附件A:评标详细程序</w:t>
      </w:r>
      <w:bookmarkEnd w:id="371"/>
    </w:p>
    <w:p w14:paraId="07D72842">
      <w:pPr>
        <w:jc w:val="center"/>
        <w:rPr>
          <w:rFonts w:hint="eastAsia" w:ascii="黑体" w:eastAsia="黑体"/>
          <w:b/>
          <w:sz w:val="28"/>
          <w:szCs w:val="28"/>
        </w:rPr>
      </w:pPr>
      <w:r>
        <w:rPr>
          <w:rFonts w:hint="eastAsia" w:ascii="黑体" w:eastAsia="黑体"/>
          <w:b/>
          <w:sz w:val="28"/>
          <w:szCs w:val="28"/>
        </w:rPr>
        <w:t>评标详细程序</w:t>
      </w:r>
    </w:p>
    <w:p w14:paraId="0B473E9C">
      <w:pPr>
        <w:pStyle w:val="20"/>
        <w:rPr>
          <w:rFonts w:hint="eastAsia"/>
        </w:rPr>
      </w:pPr>
      <w:bookmarkStart w:id="372" w:name="_Toc108513599"/>
      <w:r>
        <w:rPr>
          <w:rFonts w:hint="eastAsia"/>
        </w:rPr>
        <w:t>A0.总  则</w:t>
      </w:r>
      <w:bookmarkEnd w:id="372"/>
    </w:p>
    <w:p w14:paraId="316F03D1">
      <w:pPr>
        <w:spacing w:line="420" w:lineRule="exact"/>
        <w:ind w:firstLine="420" w:firstLineChars="200"/>
        <w:rPr>
          <w:rFonts w:hint="eastAsia" w:ascii="宋体" w:hAnsi="宋体"/>
          <w:szCs w:val="21"/>
        </w:rPr>
      </w:pPr>
      <w:r>
        <w:rPr>
          <w:rFonts w:hint="eastAsia" w:ascii="宋体" w:hAnsi="宋体"/>
          <w:szCs w:val="21"/>
        </w:rPr>
        <w:t>本附件是本章“评标办法”的组成部分，是对本章第3条所规定的评标程序的进一些细化，评标委员会应当按照本附件所规定的详细程序开展并完成评标工作。</w:t>
      </w:r>
    </w:p>
    <w:p w14:paraId="1E1D953C">
      <w:pPr>
        <w:pStyle w:val="20"/>
        <w:rPr>
          <w:rFonts w:hint="eastAsia"/>
        </w:rPr>
      </w:pPr>
      <w:bookmarkStart w:id="373" w:name="_Toc108513600"/>
      <w:r>
        <w:rPr>
          <w:rFonts w:hint="eastAsia"/>
        </w:rPr>
        <w:t>A1.基本程序</w:t>
      </w:r>
      <w:bookmarkEnd w:id="373"/>
    </w:p>
    <w:p w14:paraId="18E37C49">
      <w:pPr>
        <w:spacing w:line="420" w:lineRule="exact"/>
        <w:ind w:firstLine="420" w:firstLineChars="200"/>
        <w:rPr>
          <w:rFonts w:hint="eastAsia" w:ascii="宋体" w:hAnsi="宋体"/>
          <w:szCs w:val="21"/>
        </w:rPr>
      </w:pPr>
      <w:r>
        <w:rPr>
          <w:rFonts w:hint="eastAsia" w:ascii="宋体" w:hAnsi="宋体"/>
          <w:szCs w:val="21"/>
        </w:rPr>
        <w:t>评标活动将按以下五个步骤进行：</w:t>
      </w:r>
    </w:p>
    <w:p w14:paraId="24CAEDED">
      <w:pPr>
        <w:spacing w:before="72" w:beforeLines="30" w:line="420" w:lineRule="exact"/>
        <w:ind w:firstLine="420" w:firstLineChars="200"/>
        <w:rPr>
          <w:rFonts w:hint="eastAsia" w:ascii="宋体" w:hAnsi="宋体"/>
          <w:szCs w:val="21"/>
        </w:rPr>
      </w:pPr>
      <w:r>
        <w:rPr>
          <w:rFonts w:hint="eastAsia" w:ascii="宋体" w:hAnsi="宋体"/>
          <w:szCs w:val="21"/>
        </w:rPr>
        <w:t>（1）评标准备；</w:t>
      </w:r>
    </w:p>
    <w:p w14:paraId="3B572EB2">
      <w:pPr>
        <w:spacing w:before="72" w:beforeLines="30" w:line="420" w:lineRule="exact"/>
        <w:ind w:firstLine="420" w:firstLineChars="200"/>
        <w:rPr>
          <w:rFonts w:hint="eastAsia" w:ascii="宋体" w:hAnsi="宋体"/>
          <w:szCs w:val="21"/>
        </w:rPr>
      </w:pPr>
      <w:r>
        <w:rPr>
          <w:rFonts w:hint="eastAsia" w:ascii="宋体" w:hAnsi="宋体"/>
          <w:szCs w:val="21"/>
        </w:rPr>
        <w:t>（2）初步评审；</w:t>
      </w:r>
    </w:p>
    <w:p w14:paraId="3BD46316">
      <w:pPr>
        <w:spacing w:before="72" w:beforeLines="30" w:line="420" w:lineRule="exact"/>
        <w:ind w:firstLine="420" w:firstLineChars="200"/>
        <w:rPr>
          <w:rFonts w:hint="eastAsia" w:ascii="宋体" w:hAnsi="宋体"/>
          <w:szCs w:val="21"/>
        </w:rPr>
      </w:pPr>
      <w:r>
        <w:rPr>
          <w:rFonts w:hint="eastAsia" w:ascii="宋体" w:hAnsi="宋体"/>
          <w:szCs w:val="21"/>
        </w:rPr>
        <w:t>（3）详细评审；</w:t>
      </w:r>
    </w:p>
    <w:p w14:paraId="27E0693C">
      <w:pPr>
        <w:spacing w:before="72" w:beforeLines="30" w:line="420" w:lineRule="exact"/>
        <w:ind w:firstLine="420" w:firstLineChars="200"/>
        <w:rPr>
          <w:rFonts w:hint="eastAsia" w:ascii="宋体" w:hAnsi="宋体"/>
          <w:szCs w:val="21"/>
        </w:rPr>
      </w:pPr>
      <w:r>
        <w:rPr>
          <w:rFonts w:hint="eastAsia" w:ascii="宋体" w:hAnsi="宋体"/>
          <w:szCs w:val="21"/>
        </w:rPr>
        <w:t>（4）澄清、说明或补正；</w:t>
      </w:r>
    </w:p>
    <w:p w14:paraId="6BD7F9B8">
      <w:pPr>
        <w:spacing w:before="72" w:beforeLines="30" w:after="72" w:afterLines="30" w:line="420" w:lineRule="exact"/>
        <w:ind w:firstLine="420" w:firstLineChars="200"/>
        <w:rPr>
          <w:rFonts w:hint="eastAsia" w:ascii="宋体" w:hAnsi="宋体"/>
          <w:szCs w:val="21"/>
        </w:rPr>
      </w:pPr>
      <w:r>
        <w:rPr>
          <w:rFonts w:hint="eastAsia" w:ascii="宋体" w:hAnsi="宋体"/>
          <w:szCs w:val="21"/>
        </w:rPr>
        <w:t>（5）推荐中标候选人或者直接确定中标人及提交评标报告。</w:t>
      </w:r>
    </w:p>
    <w:p w14:paraId="15B1315A">
      <w:pPr>
        <w:pStyle w:val="20"/>
        <w:rPr>
          <w:rFonts w:hint="eastAsia"/>
        </w:rPr>
      </w:pPr>
      <w:bookmarkStart w:id="374" w:name="_Toc108513601"/>
      <w:r>
        <w:rPr>
          <w:rFonts w:hint="eastAsia"/>
        </w:rPr>
        <w:t>A2.评标准备</w:t>
      </w:r>
      <w:bookmarkEnd w:id="374"/>
    </w:p>
    <w:p w14:paraId="193A3A71">
      <w:pPr>
        <w:pStyle w:val="20"/>
        <w:rPr>
          <w:rFonts w:hint="eastAsia" w:ascii="宋体" w:hAnsi="宋体"/>
          <w:b/>
          <w:sz w:val="21"/>
          <w:szCs w:val="21"/>
        </w:rPr>
      </w:pPr>
      <w:bookmarkStart w:id="375" w:name="_Toc108513602"/>
      <w:r>
        <w:rPr>
          <w:rFonts w:hint="eastAsia"/>
          <w:b/>
          <w:sz w:val="21"/>
          <w:szCs w:val="21"/>
        </w:rPr>
        <w:t>A2.1评标委员会成员签到</w:t>
      </w:r>
      <w:bookmarkEnd w:id="375"/>
    </w:p>
    <w:p w14:paraId="52DD7CA2">
      <w:pPr>
        <w:spacing w:line="420" w:lineRule="exact"/>
        <w:ind w:firstLine="420" w:firstLineChars="200"/>
        <w:rPr>
          <w:rFonts w:hint="eastAsia" w:ascii="宋体" w:hAnsi="宋体"/>
          <w:szCs w:val="21"/>
        </w:rPr>
      </w:pPr>
      <w:r>
        <w:rPr>
          <w:rFonts w:hint="eastAsia" w:ascii="宋体" w:hAnsi="宋体"/>
          <w:szCs w:val="21"/>
        </w:rPr>
        <w:t>评标委员会成员到达评标现场时应在签到表上签到以证明其出席。评标委员会签到表见</w:t>
      </w:r>
      <w:r>
        <w:rPr>
          <w:rFonts w:hint="eastAsia" w:ascii="宋体" w:hAnsi="宋体"/>
          <w:b/>
          <w:szCs w:val="21"/>
        </w:rPr>
        <w:t>附表A-1</w:t>
      </w:r>
      <w:r>
        <w:rPr>
          <w:rFonts w:hint="eastAsia" w:ascii="宋体" w:hAnsi="宋体"/>
          <w:szCs w:val="21"/>
        </w:rPr>
        <w:t>。</w:t>
      </w:r>
    </w:p>
    <w:p w14:paraId="33DC6173">
      <w:pPr>
        <w:spacing w:line="420" w:lineRule="exact"/>
        <w:ind w:firstLine="420" w:firstLineChars="200"/>
        <w:rPr>
          <w:rFonts w:hint="eastAsia" w:ascii="宋体" w:hAnsi="宋体"/>
          <w:szCs w:val="21"/>
        </w:rPr>
      </w:pPr>
      <w:r>
        <w:rPr>
          <w:rFonts w:hint="eastAsia" w:ascii="宋体" w:hAnsi="宋体"/>
          <w:szCs w:val="21"/>
        </w:rPr>
        <w:t>评标委员会成员在评标前，应当使用</w:t>
      </w:r>
      <w:r>
        <w:rPr>
          <w:rFonts w:hint="eastAsia" w:ascii="宋体" w:hAnsi="宋体"/>
          <w:b/>
          <w:szCs w:val="21"/>
        </w:rPr>
        <w:t>附表A-2</w:t>
      </w:r>
      <w:r>
        <w:rPr>
          <w:rFonts w:hint="eastAsia" w:ascii="宋体" w:hAnsi="宋体"/>
          <w:szCs w:val="21"/>
        </w:rPr>
        <w:t>签署评标专家声明书。声明本人不存在法律法规定的应当回避情形，保证遵守有关评标管理规定以及评标纪律，客观、公正地进行评标，并接受招投标监管部门的监督。</w:t>
      </w:r>
    </w:p>
    <w:p w14:paraId="6670ACEE">
      <w:pPr>
        <w:pStyle w:val="20"/>
        <w:rPr>
          <w:rFonts w:hint="eastAsia"/>
          <w:b/>
          <w:sz w:val="21"/>
          <w:szCs w:val="21"/>
        </w:rPr>
      </w:pPr>
      <w:bookmarkStart w:id="376" w:name="_Toc108513603"/>
      <w:r>
        <w:rPr>
          <w:rFonts w:hint="eastAsia"/>
          <w:b/>
          <w:sz w:val="21"/>
          <w:szCs w:val="21"/>
        </w:rPr>
        <w:t>A2.2评标委员会的分工</w:t>
      </w:r>
      <w:bookmarkEnd w:id="376"/>
    </w:p>
    <w:p w14:paraId="4BCEB9A2">
      <w:pPr>
        <w:spacing w:line="420" w:lineRule="exact"/>
        <w:ind w:firstLine="420" w:firstLineChars="200"/>
        <w:rPr>
          <w:rFonts w:hint="eastAsia" w:ascii="宋体" w:hAnsi="宋体"/>
          <w:szCs w:val="21"/>
        </w:rPr>
      </w:pPr>
      <w:r>
        <w:rPr>
          <w:rFonts w:hint="eastAsia" w:ascii="宋体" w:hAnsi="宋体"/>
          <w:szCs w:val="21"/>
        </w:rPr>
        <w:t>A2.2.1评标委员会首先推选一名评标委员会主任。招标人也可以直接指定评标委员会主任。如招标人指定的评标委员会主任是招标人的代表，则该成员应当具备招标工程相关专业中级以上技术职称，熟悉有关招标投标的法律法规，并熟悉招标项目的情况。评标委员会主任负责评标活动的组织工作。</w:t>
      </w:r>
    </w:p>
    <w:p w14:paraId="03865750">
      <w:pPr>
        <w:spacing w:line="430" w:lineRule="exact"/>
        <w:ind w:firstLine="420" w:firstLineChars="200"/>
        <w:rPr>
          <w:rFonts w:hint="eastAsia" w:ascii="宋体" w:hAnsi="宋体"/>
          <w:szCs w:val="21"/>
        </w:rPr>
      </w:pPr>
      <w:r>
        <w:rPr>
          <w:rFonts w:hint="eastAsia" w:ascii="宋体" w:hAnsi="宋体"/>
          <w:szCs w:val="21"/>
        </w:rPr>
        <w:t>A2.2.2 评标委员会主任除履行自己作为评标委员会成员独立评标的职责外，主要负责以下工作：</w:t>
      </w:r>
    </w:p>
    <w:p w14:paraId="12D1CD69">
      <w:pPr>
        <w:spacing w:line="430" w:lineRule="exact"/>
        <w:ind w:firstLine="420" w:firstLineChars="200"/>
        <w:rPr>
          <w:rFonts w:hint="eastAsia" w:ascii="宋体" w:hAnsi="宋体"/>
          <w:szCs w:val="21"/>
        </w:rPr>
      </w:pPr>
      <w:r>
        <w:rPr>
          <w:rFonts w:hint="eastAsia" w:ascii="宋体" w:hAnsi="宋体"/>
          <w:szCs w:val="21"/>
        </w:rPr>
        <w:t>（1） 组织评标委员会成员学习招标文件中载明的评标标准和方法；</w:t>
      </w:r>
    </w:p>
    <w:p w14:paraId="3AA4832F">
      <w:pPr>
        <w:spacing w:line="430" w:lineRule="exact"/>
        <w:ind w:firstLine="420" w:firstLineChars="200"/>
        <w:rPr>
          <w:rFonts w:hint="eastAsia" w:ascii="宋体" w:hAnsi="宋体"/>
          <w:szCs w:val="21"/>
        </w:rPr>
      </w:pPr>
      <w:r>
        <w:rPr>
          <w:rFonts w:hint="eastAsia" w:ascii="宋体" w:hAnsi="宋体"/>
          <w:szCs w:val="21"/>
        </w:rPr>
        <w:t>（2） 提醒招标人做好评标准备工作，包括提供所需的评标基础资料，</w:t>
      </w:r>
    </w:p>
    <w:p w14:paraId="3AC379AF">
      <w:pPr>
        <w:spacing w:line="430" w:lineRule="exact"/>
        <w:ind w:firstLine="420" w:firstLineChars="200"/>
        <w:rPr>
          <w:rFonts w:hint="eastAsia" w:ascii="宋体" w:hAnsi="宋体"/>
          <w:szCs w:val="21"/>
        </w:rPr>
      </w:pPr>
      <w:r>
        <w:rPr>
          <w:rFonts w:hint="eastAsia" w:ascii="宋体" w:hAnsi="宋体"/>
          <w:szCs w:val="21"/>
        </w:rPr>
        <w:t>（3） 汇总各评标委员会成员认为需要投标人澄清、说明或者补正的问题，组织评标委员会对投标人质询并对投标人的答复进行评审；</w:t>
      </w:r>
    </w:p>
    <w:p w14:paraId="5CB40949">
      <w:pPr>
        <w:spacing w:line="430" w:lineRule="exact"/>
        <w:ind w:firstLine="420" w:firstLineChars="200"/>
        <w:rPr>
          <w:rFonts w:hint="eastAsia" w:ascii="宋体" w:hAnsi="宋体"/>
          <w:szCs w:val="21"/>
        </w:rPr>
      </w:pPr>
      <w:r>
        <w:rPr>
          <w:rFonts w:hint="eastAsia" w:ascii="宋体" w:hAnsi="宋体"/>
          <w:szCs w:val="21"/>
        </w:rPr>
        <w:t>（4） 对出现较大争议的事项进行书面记录；</w:t>
      </w:r>
    </w:p>
    <w:p w14:paraId="400665C3">
      <w:pPr>
        <w:spacing w:line="430" w:lineRule="exact"/>
        <w:ind w:firstLine="420" w:firstLineChars="200"/>
        <w:rPr>
          <w:rFonts w:hint="eastAsia" w:ascii="宋体" w:hAnsi="宋体"/>
          <w:szCs w:val="21"/>
        </w:rPr>
      </w:pPr>
      <w:r>
        <w:rPr>
          <w:rFonts w:hint="eastAsia" w:ascii="宋体" w:hAnsi="宋体"/>
          <w:szCs w:val="21"/>
        </w:rPr>
        <w:t>（5） 查验评标用表格和评标记录的完整性及有效性；</w:t>
      </w:r>
    </w:p>
    <w:p w14:paraId="7C666231">
      <w:pPr>
        <w:spacing w:line="430" w:lineRule="exact"/>
        <w:ind w:firstLine="420" w:firstLineChars="200"/>
        <w:rPr>
          <w:rFonts w:hint="eastAsia" w:ascii="宋体" w:hAnsi="宋体"/>
          <w:szCs w:val="21"/>
        </w:rPr>
      </w:pPr>
      <w:r>
        <w:rPr>
          <w:rFonts w:hint="eastAsia" w:ascii="宋体" w:hAnsi="宋体"/>
          <w:szCs w:val="21"/>
        </w:rPr>
        <w:t>（6） 组织对评标结论进行复核确认；</w:t>
      </w:r>
    </w:p>
    <w:p w14:paraId="78CAAAE6">
      <w:pPr>
        <w:spacing w:line="420" w:lineRule="exact"/>
        <w:ind w:firstLine="420" w:firstLineChars="200"/>
        <w:rPr>
          <w:rFonts w:hint="eastAsia" w:ascii="宋体" w:hAnsi="宋体"/>
          <w:szCs w:val="21"/>
        </w:rPr>
      </w:pPr>
      <w:r>
        <w:rPr>
          <w:rFonts w:hint="eastAsia" w:ascii="宋体" w:hAnsi="宋体"/>
          <w:szCs w:val="21"/>
        </w:rPr>
        <w:t>（7） 组织编写评标报告，推荐中标候选人。</w:t>
      </w:r>
    </w:p>
    <w:p w14:paraId="23CD8CF1">
      <w:pPr>
        <w:spacing w:line="420" w:lineRule="exact"/>
        <w:ind w:firstLine="420" w:firstLineChars="200"/>
        <w:rPr>
          <w:rFonts w:hint="eastAsia" w:ascii="宋体" w:hAnsi="宋体"/>
          <w:szCs w:val="21"/>
        </w:rPr>
      </w:pPr>
      <w:r>
        <w:rPr>
          <w:rFonts w:hint="eastAsia" w:ascii="宋体" w:hAnsi="宋体"/>
          <w:szCs w:val="21"/>
        </w:rPr>
        <w:t>A2.2.3评标委员会主任在与其他评标委员会成员商议的基础上可以将评标委员会划分为技术组和商务组。</w:t>
      </w:r>
    </w:p>
    <w:p w14:paraId="156E6902">
      <w:pPr>
        <w:pStyle w:val="20"/>
        <w:rPr>
          <w:rFonts w:hint="eastAsia"/>
          <w:b/>
          <w:sz w:val="21"/>
          <w:szCs w:val="21"/>
        </w:rPr>
      </w:pPr>
      <w:bookmarkStart w:id="377" w:name="_Toc108513604"/>
      <w:r>
        <w:rPr>
          <w:rFonts w:hint="eastAsia"/>
          <w:b/>
          <w:sz w:val="21"/>
          <w:szCs w:val="21"/>
        </w:rPr>
        <w:t>A2.3熟悉文件资料</w:t>
      </w:r>
      <w:bookmarkEnd w:id="377"/>
    </w:p>
    <w:p w14:paraId="0B5E5542">
      <w:pPr>
        <w:spacing w:line="420" w:lineRule="exact"/>
        <w:ind w:firstLine="420" w:firstLineChars="200"/>
        <w:rPr>
          <w:rFonts w:hint="eastAsia" w:ascii="宋体" w:hAnsi="宋体"/>
          <w:szCs w:val="21"/>
        </w:rPr>
      </w:pPr>
      <w:r>
        <w:rPr>
          <w:rFonts w:hint="eastAsia" w:ascii="宋体" w:hAnsi="宋体"/>
          <w:szCs w:val="21"/>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570EF3DC">
      <w:pPr>
        <w:spacing w:line="430" w:lineRule="exact"/>
        <w:ind w:firstLine="420" w:firstLineChars="200"/>
        <w:rPr>
          <w:rFonts w:hint="eastAsia" w:ascii="宋体" w:hAnsi="宋体"/>
          <w:szCs w:val="21"/>
        </w:rPr>
      </w:pPr>
      <w:r>
        <w:rPr>
          <w:rFonts w:hint="eastAsia" w:ascii="宋体" w:hAnsi="宋体"/>
          <w:szCs w:val="21"/>
        </w:rPr>
        <w:t>A2.3.2  招标人或招标代理机构应向评标委员会提供评标所需的信息和数据，包括：</w:t>
      </w:r>
    </w:p>
    <w:p w14:paraId="7347EDE3">
      <w:pPr>
        <w:spacing w:line="430" w:lineRule="exact"/>
        <w:ind w:firstLine="420" w:firstLineChars="200"/>
        <w:rPr>
          <w:rFonts w:hint="eastAsia" w:ascii="宋体" w:hAnsi="宋体"/>
          <w:szCs w:val="21"/>
        </w:rPr>
      </w:pPr>
      <w:r>
        <w:rPr>
          <w:rFonts w:hint="eastAsia" w:ascii="宋体" w:hAnsi="宋体"/>
          <w:szCs w:val="21"/>
        </w:rPr>
        <w:t>（1）经招投标监管部门备案的招标文件及其澄清、修改文件；</w:t>
      </w:r>
    </w:p>
    <w:p w14:paraId="08DCE4EB">
      <w:pPr>
        <w:spacing w:line="430" w:lineRule="exact"/>
        <w:ind w:firstLine="420" w:firstLineChars="200"/>
        <w:rPr>
          <w:rFonts w:hint="eastAsia" w:ascii="宋体" w:hAnsi="宋体"/>
          <w:szCs w:val="21"/>
        </w:rPr>
      </w:pPr>
      <w:r>
        <w:rPr>
          <w:rFonts w:hint="eastAsia" w:ascii="宋体" w:hAnsi="宋体"/>
          <w:szCs w:val="21"/>
        </w:rPr>
        <w:t>（2）未在开标会上当场拒绝的各投标文件；</w:t>
      </w:r>
    </w:p>
    <w:p w14:paraId="519C60B2">
      <w:pPr>
        <w:spacing w:line="430" w:lineRule="exact"/>
        <w:ind w:firstLine="420" w:firstLineChars="200"/>
        <w:rPr>
          <w:rFonts w:hint="eastAsia" w:ascii="宋体" w:hAnsi="宋体"/>
          <w:szCs w:val="21"/>
        </w:rPr>
      </w:pPr>
      <w:r>
        <w:rPr>
          <w:rFonts w:hint="eastAsia" w:ascii="宋体" w:hAnsi="宋体"/>
          <w:szCs w:val="21"/>
        </w:rPr>
        <w:t>（3）开标记录表；</w:t>
      </w:r>
    </w:p>
    <w:p w14:paraId="79B4DAA5">
      <w:pPr>
        <w:spacing w:line="430" w:lineRule="exact"/>
        <w:ind w:firstLine="420" w:firstLineChars="200"/>
        <w:rPr>
          <w:rFonts w:hint="eastAsia" w:ascii="宋体" w:hAnsi="宋体"/>
          <w:szCs w:val="21"/>
        </w:rPr>
      </w:pPr>
      <w:r>
        <w:rPr>
          <w:rFonts w:hint="eastAsia" w:ascii="宋体" w:hAnsi="宋体"/>
          <w:szCs w:val="21"/>
        </w:rPr>
        <w:t>（4）招标控制价、工程所在地工程造价管理部门颁布的工程造价信息、定额（如作为计价依据时）；</w:t>
      </w:r>
    </w:p>
    <w:p w14:paraId="50357B4C">
      <w:pPr>
        <w:spacing w:line="430" w:lineRule="exact"/>
        <w:ind w:firstLine="420" w:firstLineChars="200"/>
        <w:rPr>
          <w:rFonts w:hint="eastAsia" w:ascii="宋体" w:hAnsi="宋体"/>
          <w:szCs w:val="21"/>
        </w:rPr>
      </w:pPr>
      <w:r>
        <w:rPr>
          <w:rFonts w:hint="eastAsia" w:ascii="宋体" w:hAnsi="宋体"/>
          <w:szCs w:val="21"/>
        </w:rPr>
        <w:t>（5）评标表格；</w:t>
      </w:r>
    </w:p>
    <w:p w14:paraId="723CF269">
      <w:pPr>
        <w:spacing w:line="430" w:lineRule="exact"/>
        <w:ind w:firstLine="420" w:firstLineChars="200"/>
        <w:rPr>
          <w:rFonts w:hint="eastAsia" w:ascii="宋体" w:hAnsi="宋体"/>
          <w:szCs w:val="21"/>
        </w:rPr>
      </w:pPr>
      <w:r>
        <w:rPr>
          <w:rFonts w:hint="eastAsia" w:ascii="宋体" w:hAnsi="宋体"/>
          <w:szCs w:val="21"/>
        </w:rPr>
        <w:t>（6）有关的法律、法规、规章、国家标准以及招标人或评标委员会认为必要的其他信息和数据。</w:t>
      </w:r>
    </w:p>
    <w:p w14:paraId="044210DF">
      <w:pPr>
        <w:pStyle w:val="20"/>
        <w:rPr>
          <w:rFonts w:hint="eastAsia"/>
          <w:b/>
          <w:sz w:val="21"/>
          <w:szCs w:val="21"/>
        </w:rPr>
      </w:pPr>
      <w:bookmarkStart w:id="378" w:name="_Toc108513605"/>
      <w:r>
        <w:rPr>
          <w:rFonts w:hint="eastAsia"/>
          <w:b/>
          <w:sz w:val="21"/>
          <w:szCs w:val="21"/>
        </w:rPr>
        <w:t>A2.4暗标编号(适用于对施工组织设计进行暗标评审的)</w:t>
      </w:r>
      <w:bookmarkEnd w:id="378"/>
    </w:p>
    <w:p w14:paraId="3236C464">
      <w:pPr>
        <w:adjustRightInd w:val="0"/>
        <w:snapToGrid w:val="0"/>
        <w:spacing w:line="402" w:lineRule="atLeast"/>
        <w:ind w:firstLine="420" w:firstLineChars="200"/>
        <w:rPr>
          <w:rFonts w:hint="eastAsia" w:ascii="宋体" w:hAnsi="宋体"/>
          <w:szCs w:val="21"/>
        </w:rPr>
      </w:pPr>
      <w:r>
        <w:rPr>
          <w:rFonts w:hint="eastAsia" w:ascii="宋体" w:hAnsi="宋体"/>
          <w:szCs w:val="21"/>
        </w:rPr>
        <w:t>第二章“投标人须知”前附表第10．3款要求对施工组织设计采用“暗标”评审方式且第八章“投标文件格式”中对施工组织设计的编制有暗标要求，则在评标工作开始前，招标人将指定专人负责编制投标文件暗标编码，并就暗标编码与投标人的对应关系使用</w:t>
      </w:r>
      <w:r>
        <w:rPr>
          <w:rFonts w:ascii="宋体" w:hAnsi="宋体"/>
          <w:b/>
          <w:szCs w:val="21"/>
        </w:rPr>
        <w:t>附表 A-3</w:t>
      </w:r>
      <w:r>
        <w:rPr>
          <w:rFonts w:hint="eastAsia" w:ascii="宋体" w:hAnsi="宋体"/>
          <w:szCs w:val="21"/>
        </w:rPr>
        <w:t>做好暗标记录。暗标编码按随机方式编制。在评标委员会全体成员均完成暗标部分评审并对评审结果进行汇总和签字确认后，招标人方可向评标委员会公布暗标记录。暗标记录公布前必须妥善保管并予以保密。</w:t>
      </w:r>
    </w:p>
    <w:p w14:paraId="0A16E861">
      <w:pPr>
        <w:pStyle w:val="20"/>
        <w:rPr>
          <w:rFonts w:hint="eastAsia"/>
          <w:b/>
          <w:sz w:val="21"/>
          <w:szCs w:val="21"/>
        </w:rPr>
      </w:pPr>
      <w:bookmarkStart w:id="379" w:name="_Toc108513606"/>
      <w:r>
        <w:rPr>
          <w:rFonts w:hint="eastAsia"/>
          <w:b/>
          <w:sz w:val="21"/>
          <w:szCs w:val="21"/>
        </w:rPr>
        <w:t>A2.5对投标文件进行基础性数据分析和整理工作(清标)</w:t>
      </w:r>
      <w:bookmarkEnd w:id="379"/>
    </w:p>
    <w:p w14:paraId="3526BE93">
      <w:pPr>
        <w:spacing w:line="410" w:lineRule="exact"/>
        <w:ind w:firstLine="420" w:firstLineChars="200"/>
        <w:rPr>
          <w:rFonts w:hint="eastAsia" w:ascii="宋体" w:hAnsi="宋体"/>
          <w:szCs w:val="21"/>
        </w:rPr>
      </w:pPr>
      <w:r>
        <w:rPr>
          <w:rFonts w:hint="eastAsia" w:ascii="宋体" w:hAnsi="宋体"/>
          <w:szCs w:val="21"/>
        </w:rPr>
        <w:t>A2.5.1在不改变投标人投标文件实质性内容的前提下，评标委员会应当借助</w:t>
      </w:r>
      <w:r>
        <w:rPr>
          <w:rFonts w:ascii="宋体" w:hAnsi="宋体"/>
          <w:szCs w:val="21"/>
        </w:rPr>
        <w:t>计算机辅助评标系统</w:t>
      </w:r>
      <w:r>
        <w:rPr>
          <w:rFonts w:hint="eastAsia" w:ascii="宋体" w:hAnsi="宋体"/>
          <w:szCs w:val="21"/>
        </w:rPr>
        <w:t>对投标文件进行基础性数据分析和整理(本章中简称为“清标”)，从而发现并提取其中可能存在的对招标范围理解的偏差、投标报价的算术错误、错漏项、投标报价构成不合理、不平衡报价等存在明显异常的问题，并就这些问题整理形成清标报告。评标委员会对清标成果审议后，决定需要投标人进行书面澄清、说明或补正的，通过“电子交易平台”向投标人发出</w:t>
      </w:r>
      <w:r>
        <w:rPr>
          <w:rFonts w:ascii="宋体" w:hAnsi="宋体"/>
          <w:szCs w:val="21"/>
        </w:rPr>
        <w:t>投标文件</w:t>
      </w:r>
      <w:r>
        <w:rPr>
          <w:rFonts w:hint="eastAsia" w:ascii="宋体" w:hAnsi="宋体"/>
          <w:szCs w:val="21"/>
        </w:rPr>
        <w:t>澄清通知。《</w:t>
      </w:r>
      <w:r>
        <w:rPr>
          <w:rFonts w:ascii="宋体" w:hAnsi="宋体"/>
          <w:szCs w:val="21"/>
        </w:rPr>
        <w:t>投标文件</w:t>
      </w:r>
      <w:r>
        <w:rPr>
          <w:rFonts w:hint="eastAsia" w:ascii="宋体" w:hAnsi="宋体"/>
          <w:szCs w:val="21"/>
        </w:rPr>
        <w:t>澄清通知》采用投标人须知附表六所提供的格式。</w:t>
      </w:r>
    </w:p>
    <w:p w14:paraId="7BDB2C8A">
      <w:pPr>
        <w:adjustRightInd w:val="0"/>
        <w:snapToGrid w:val="0"/>
        <w:spacing w:line="402" w:lineRule="atLeast"/>
        <w:ind w:firstLine="420" w:firstLineChars="200"/>
        <w:rPr>
          <w:rFonts w:hint="eastAsia" w:ascii="宋体" w:hAnsi="宋体"/>
          <w:szCs w:val="21"/>
        </w:rPr>
      </w:pPr>
      <w:r>
        <w:rPr>
          <w:rFonts w:hint="eastAsia" w:ascii="宋体" w:hAnsi="宋体"/>
          <w:szCs w:val="21"/>
        </w:rPr>
        <w:t>A2.5.2投标人接到评标委员会发出的</w:t>
      </w:r>
      <w:r>
        <w:rPr>
          <w:rFonts w:ascii="宋体" w:hAnsi="宋体"/>
          <w:szCs w:val="21"/>
        </w:rPr>
        <w:t>投标文件</w:t>
      </w:r>
      <w:r>
        <w:rPr>
          <w:rFonts w:hint="eastAsia" w:ascii="宋体" w:hAnsi="宋体"/>
          <w:szCs w:val="21"/>
        </w:rPr>
        <w:t>澄清通知后，</w:t>
      </w:r>
      <w:r>
        <w:rPr>
          <w:rFonts w:ascii="宋体" w:hAnsi="宋体"/>
          <w:szCs w:val="21"/>
        </w:rPr>
        <w:t>应按评标委员会的要求在规定的时间</w:t>
      </w:r>
      <w:r>
        <w:rPr>
          <w:rFonts w:hint="eastAsia" w:ascii="宋体" w:hAnsi="宋体"/>
          <w:szCs w:val="21"/>
        </w:rPr>
        <w:t>内，</w:t>
      </w:r>
      <w:r>
        <w:rPr>
          <w:rFonts w:ascii="宋体" w:hAnsi="宋体"/>
          <w:szCs w:val="21"/>
        </w:rPr>
        <w:t>通过</w:t>
      </w:r>
      <w:r>
        <w:rPr>
          <w:rFonts w:hint="eastAsia" w:ascii="宋体" w:hAnsi="宋体"/>
          <w:szCs w:val="21"/>
        </w:rPr>
        <w:t>“电子交易平台”“投标文件澄清”菜单提交</w:t>
      </w:r>
      <w:r>
        <w:rPr>
          <w:rFonts w:ascii="宋体" w:hAnsi="宋体"/>
          <w:szCs w:val="21"/>
        </w:rPr>
        <w:t>投标文件</w:t>
      </w:r>
      <w:r>
        <w:rPr>
          <w:rFonts w:hint="eastAsia" w:ascii="宋体" w:hAnsi="宋体"/>
          <w:szCs w:val="21"/>
        </w:rPr>
        <w:t>的</w:t>
      </w:r>
      <w:r>
        <w:rPr>
          <w:rFonts w:ascii="宋体" w:hAnsi="宋体"/>
          <w:szCs w:val="21"/>
        </w:rPr>
        <w:t>澄清</w:t>
      </w:r>
      <w:r>
        <w:rPr>
          <w:rFonts w:hint="eastAsia" w:ascii="宋体" w:hAnsi="宋体"/>
          <w:szCs w:val="21"/>
        </w:rPr>
        <w:t>和相关资料（如有）</w:t>
      </w:r>
      <w:r>
        <w:rPr>
          <w:rFonts w:ascii="宋体" w:hAnsi="宋体"/>
          <w:szCs w:val="21"/>
        </w:rPr>
        <w:t>。</w:t>
      </w:r>
      <w:r>
        <w:rPr>
          <w:rFonts w:hint="eastAsia" w:ascii="宋体" w:hAnsi="宋体"/>
          <w:szCs w:val="21"/>
        </w:rPr>
        <w:t>《</w:t>
      </w:r>
      <w:r>
        <w:rPr>
          <w:rFonts w:ascii="宋体" w:hAnsi="宋体"/>
          <w:szCs w:val="21"/>
        </w:rPr>
        <w:t>投标文件</w:t>
      </w:r>
      <w:r>
        <w:rPr>
          <w:rFonts w:hint="eastAsia" w:ascii="宋体" w:hAnsi="宋体"/>
          <w:szCs w:val="21"/>
        </w:rPr>
        <w:t>的澄清》采用投标人须知附表七所提供的格式。</w:t>
      </w:r>
    </w:p>
    <w:p w14:paraId="5654C0D1">
      <w:pPr>
        <w:pStyle w:val="20"/>
        <w:rPr>
          <w:rFonts w:hint="eastAsia"/>
        </w:rPr>
      </w:pPr>
      <w:bookmarkStart w:id="380" w:name="_Toc108513607"/>
      <w:r>
        <w:rPr>
          <w:rFonts w:hint="eastAsia"/>
        </w:rPr>
        <w:t>A3初步评审</w:t>
      </w:r>
      <w:bookmarkEnd w:id="380"/>
    </w:p>
    <w:p w14:paraId="0927566F">
      <w:pPr>
        <w:pStyle w:val="20"/>
        <w:rPr>
          <w:rFonts w:hint="eastAsia"/>
          <w:b/>
          <w:sz w:val="21"/>
          <w:szCs w:val="21"/>
        </w:rPr>
      </w:pPr>
      <w:bookmarkStart w:id="381" w:name="_Toc108513608"/>
      <w:r>
        <w:rPr>
          <w:rFonts w:hint="eastAsia"/>
          <w:b/>
          <w:sz w:val="21"/>
          <w:szCs w:val="21"/>
        </w:rPr>
        <w:t>A3.1形式评审</w:t>
      </w:r>
      <w:bookmarkEnd w:id="381"/>
    </w:p>
    <w:p w14:paraId="2F6BC241">
      <w:pPr>
        <w:adjustRightInd w:val="0"/>
        <w:snapToGrid w:val="0"/>
        <w:spacing w:line="402" w:lineRule="atLeast"/>
        <w:ind w:firstLine="420" w:firstLineChars="200"/>
        <w:rPr>
          <w:rFonts w:hint="eastAsia" w:ascii="宋体" w:hAnsi="宋体"/>
          <w:szCs w:val="21"/>
        </w:rPr>
      </w:pPr>
      <w:r>
        <w:rPr>
          <w:rFonts w:hint="eastAsia" w:ascii="宋体" w:hAnsi="宋体"/>
          <w:szCs w:val="21"/>
        </w:rPr>
        <w:t>评标委员会根据评标办法前附表中规定的评审因素和评审标准，对投标人的投标文件进行形式评审，并使用</w:t>
      </w:r>
      <w:r>
        <w:rPr>
          <w:rFonts w:hint="eastAsia" w:ascii="宋体" w:hAnsi="宋体"/>
          <w:b/>
          <w:szCs w:val="21"/>
        </w:rPr>
        <w:t>附表A-4</w:t>
      </w:r>
      <w:r>
        <w:rPr>
          <w:rFonts w:hint="eastAsia" w:ascii="宋体" w:hAnsi="宋体"/>
          <w:szCs w:val="21"/>
        </w:rPr>
        <w:t>记录评审结果。</w:t>
      </w:r>
    </w:p>
    <w:p w14:paraId="79C69DED">
      <w:pPr>
        <w:pStyle w:val="20"/>
        <w:rPr>
          <w:rFonts w:hint="eastAsia"/>
          <w:b/>
          <w:sz w:val="21"/>
          <w:szCs w:val="21"/>
        </w:rPr>
      </w:pPr>
      <w:bookmarkStart w:id="382" w:name="_Toc108513609"/>
      <w:r>
        <w:rPr>
          <w:rFonts w:hint="eastAsia"/>
          <w:b/>
          <w:sz w:val="21"/>
          <w:szCs w:val="21"/>
        </w:rPr>
        <w:t>A3.2资格评审</w:t>
      </w:r>
      <w:bookmarkEnd w:id="382"/>
    </w:p>
    <w:p w14:paraId="68E5ED94">
      <w:pPr>
        <w:adjustRightInd w:val="0"/>
        <w:snapToGrid w:val="0"/>
        <w:spacing w:line="402" w:lineRule="atLeast"/>
        <w:ind w:firstLine="420" w:firstLineChars="200"/>
        <w:rPr>
          <w:rFonts w:hint="eastAsia" w:ascii="宋体" w:hAnsi="宋体"/>
          <w:szCs w:val="21"/>
        </w:rPr>
      </w:pPr>
      <w:r>
        <w:rPr>
          <w:rFonts w:hint="eastAsia" w:ascii="宋体" w:hAnsi="宋体"/>
          <w:szCs w:val="21"/>
        </w:rPr>
        <w:t>评标委员会根据评标办法前附表中规定的评审因素和评审标准，对投标人的投标文件进行资格评审，并使用</w:t>
      </w:r>
      <w:r>
        <w:rPr>
          <w:rFonts w:hint="eastAsia" w:ascii="宋体" w:hAnsi="宋体"/>
          <w:b/>
          <w:szCs w:val="21"/>
        </w:rPr>
        <w:t>附表A-5</w:t>
      </w:r>
      <w:r>
        <w:rPr>
          <w:rFonts w:hint="eastAsia" w:ascii="宋体" w:hAnsi="宋体"/>
          <w:szCs w:val="21"/>
        </w:rPr>
        <w:t>记录评审结果。(适用于未进行资格预审的)</w:t>
      </w:r>
    </w:p>
    <w:p w14:paraId="0BB07C95">
      <w:pPr>
        <w:pStyle w:val="20"/>
        <w:rPr>
          <w:rFonts w:hint="eastAsia"/>
          <w:b/>
          <w:sz w:val="21"/>
          <w:szCs w:val="21"/>
        </w:rPr>
      </w:pPr>
      <w:bookmarkStart w:id="383" w:name="_Toc108513610"/>
      <w:r>
        <w:rPr>
          <w:rFonts w:hint="eastAsia"/>
          <w:b/>
          <w:sz w:val="21"/>
          <w:szCs w:val="21"/>
        </w:rPr>
        <w:t>A3.3响应性评审</w:t>
      </w:r>
      <w:bookmarkEnd w:id="383"/>
    </w:p>
    <w:p w14:paraId="1183CAC8">
      <w:pPr>
        <w:adjustRightInd w:val="0"/>
        <w:snapToGrid w:val="0"/>
        <w:spacing w:line="430" w:lineRule="exact"/>
        <w:ind w:firstLine="420" w:firstLineChars="200"/>
        <w:rPr>
          <w:rFonts w:hint="eastAsia" w:ascii="宋体" w:hAnsi="宋体"/>
          <w:szCs w:val="21"/>
        </w:rPr>
      </w:pPr>
      <w:r>
        <w:rPr>
          <w:rFonts w:hint="eastAsia" w:ascii="宋体" w:hAnsi="宋体"/>
          <w:szCs w:val="21"/>
        </w:rPr>
        <w:t>A3.3.1评标委员会根据评标办法前附表中规定的评审因素和评审标准，对投标人的投标文件进行响应性评审，并使用</w:t>
      </w:r>
      <w:r>
        <w:rPr>
          <w:rFonts w:hint="eastAsia" w:ascii="宋体" w:hAnsi="宋体"/>
          <w:b/>
          <w:szCs w:val="21"/>
        </w:rPr>
        <w:t>附表A-6</w:t>
      </w:r>
      <w:r>
        <w:rPr>
          <w:rFonts w:hint="eastAsia" w:ascii="宋体" w:hAnsi="宋体"/>
          <w:szCs w:val="21"/>
        </w:rPr>
        <w:t>记录评审结果。</w:t>
      </w:r>
    </w:p>
    <w:p w14:paraId="375FC2FE">
      <w:pPr>
        <w:adjustRightInd w:val="0"/>
        <w:snapToGrid w:val="0"/>
        <w:spacing w:line="430" w:lineRule="exact"/>
        <w:ind w:firstLine="420" w:firstLineChars="200"/>
        <w:rPr>
          <w:rFonts w:hint="eastAsia" w:ascii="宋体" w:hAnsi="宋体"/>
          <w:szCs w:val="21"/>
        </w:rPr>
      </w:pPr>
      <w:r>
        <w:rPr>
          <w:rFonts w:hint="eastAsia" w:ascii="宋体" w:hAnsi="宋体"/>
          <w:szCs w:val="21"/>
        </w:rPr>
        <w:t>A3.3.2投标人投标价格不得超出(不含等于)按照第二章“投标人须知”前附表载明的招标控制价总价（投标人投标价格是指投标函中的大写报价或经投标人确认的算术错误修正后的价格不超过本项目招标控制价总价），凡投标人的投标价格超出招标控制价总价的，该投标人的投标文件不能通过响应性评审。</w:t>
      </w:r>
    </w:p>
    <w:p w14:paraId="1AC464D2">
      <w:pPr>
        <w:pStyle w:val="20"/>
        <w:rPr>
          <w:rFonts w:hint="eastAsia"/>
          <w:b/>
          <w:sz w:val="21"/>
          <w:szCs w:val="21"/>
        </w:rPr>
      </w:pPr>
      <w:bookmarkStart w:id="384" w:name="_Toc108513611"/>
      <w:r>
        <w:rPr>
          <w:rFonts w:hint="eastAsia"/>
          <w:b/>
          <w:sz w:val="21"/>
          <w:szCs w:val="21"/>
        </w:rPr>
        <w:t>A3.4施工组织设计评审</w:t>
      </w:r>
      <w:bookmarkEnd w:id="384"/>
    </w:p>
    <w:p w14:paraId="24512A00">
      <w:pPr>
        <w:adjustRightInd w:val="0"/>
        <w:snapToGrid w:val="0"/>
        <w:spacing w:line="430" w:lineRule="exact"/>
        <w:ind w:firstLine="420" w:firstLineChars="200"/>
        <w:rPr>
          <w:rFonts w:hint="eastAsia" w:ascii="宋体" w:hAnsi="宋体"/>
          <w:szCs w:val="21"/>
        </w:rPr>
      </w:pPr>
      <w:r>
        <w:rPr>
          <w:rFonts w:hint="eastAsia" w:ascii="宋体" w:hAnsi="宋体"/>
          <w:szCs w:val="21"/>
        </w:rPr>
        <w:t>评标委员会根据评标办法前附表中规定的评审因素和评审标准，对投标人的投标文件的施工组织设计进行合格性评审，并使用</w:t>
      </w:r>
      <w:r>
        <w:rPr>
          <w:rFonts w:hint="eastAsia" w:ascii="宋体" w:hAnsi="宋体"/>
          <w:b/>
          <w:szCs w:val="21"/>
        </w:rPr>
        <w:t>附表A-7</w:t>
      </w:r>
      <w:r>
        <w:rPr>
          <w:rFonts w:hint="eastAsia" w:ascii="宋体" w:hAnsi="宋体"/>
          <w:szCs w:val="21"/>
        </w:rPr>
        <w:t>记录评审结</w:t>
      </w:r>
      <w:r>
        <w:rPr>
          <w:rFonts w:hint="eastAsia" w:ascii="黑体" w:hAnsi="宋体" w:eastAsia="黑体"/>
          <w:szCs w:val="21"/>
        </w:rPr>
        <w:t>果</w:t>
      </w:r>
      <w:r>
        <w:rPr>
          <w:rFonts w:hint="eastAsia" w:ascii="宋体" w:hAnsi="宋体"/>
          <w:szCs w:val="21"/>
        </w:rPr>
        <w:t>。（适用于</w:t>
      </w:r>
      <w:r>
        <w:rPr>
          <w:rFonts w:hint="eastAsia"/>
        </w:rPr>
        <w:t>办</w:t>
      </w:r>
      <w:r>
        <w:rPr>
          <w:rFonts w:hint="eastAsia" w:ascii="宋体" w:hAnsi="宋体"/>
          <w:szCs w:val="21"/>
        </w:rPr>
        <w:t>法五、六、七、八）</w:t>
      </w:r>
    </w:p>
    <w:p w14:paraId="6AFB6040">
      <w:pPr>
        <w:pStyle w:val="20"/>
        <w:rPr>
          <w:rFonts w:hint="eastAsia"/>
          <w:b/>
          <w:sz w:val="21"/>
          <w:szCs w:val="21"/>
        </w:rPr>
      </w:pPr>
      <w:bookmarkStart w:id="385" w:name="_Toc108513612"/>
      <w:r>
        <w:rPr>
          <w:rFonts w:hint="eastAsia"/>
          <w:b/>
          <w:sz w:val="21"/>
          <w:szCs w:val="21"/>
        </w:rPr>
        <w:t>A3.5算术错误修正</w:t>
      </w:r>
      <w:bookmarkEnd w:id="385"/>
    </w:p>
    <w:p w14:paraId="4E1A6D3D">
      <w:pPr>
        <w:adjustRightInd w:val="0"/>
        <w:snapToGrid w:val="0"/>
        <w:spacing w:line="430" w:lineRule="exact"/>
        <w:ind w:firstLine="420" w:firstLineChars="200"/>
        <w:rPr>
          <w:rFonts w:hint="eastAsia" w:ascii="宋体" w:hAnsi="宋体"/>
          <w:szCs w:val="21"/>
        </w:rPr>
      </w:pPr>
      <w:r>
        <w:rPr>
          <w:rFonts w:hint="eastAsia" w:ascii="宋体" w:hAnsi="宋体"/>
          <w:szCs w:val="21"/>
        </w:rPr>
        <w:t>评标委员会依据本章中规定的相关原则对投标报价中存在的算术错误进行修正，修正的价格经投标人书面确认后具有约束力。投标人不接受修正价格的，或者</w:t>
      </w:r>
      <w:r>
        <w:rPr>
          <w:rFonts w:ascii="宋体" w:hAnsi="宋体"/>
          <w:szCs w:val="21"/>
        </w:rPr>
        <w:t>修正后</w:t>
      </w:r>
      <w:r>
        <w:rPr>
          <w:rFonts w:hint="eastAsia" w:ascii="宋体" w:hAnsi="宋体"/>
          <w:szCs w:val="21"/>
        </w:rPr>
        <w:t>的价格</w:t>
      </w:r>
      <w:r>
        <w:rPr>
          <w:rFonts w:ascii="宋体" w:hAnsi="宋体"/>
          <w:szCs w:val="21"/>
        </w:rPr>
        <w:t>与投标报价相比偏差在</w:t>
      </w:r>
      <w:r>
        <w:rPr>
          <w:rFonts w:hint="eastAsia" w:ascii="宋体" w:hAnsi="宋体"/>
          <w:szCs w:val="21"/>
        </w:rPr>
        <w:t>±1</w:t>
      </w:r>
      <w:r>
        <w:rPr>
          <w:rFonts w:ascii="宋体" w:hAnsi="宋体"/>
          <w:szCs w:val="21"/>
        </w:rPr>
        <w:t>%以上</w:t>
      </w:r>
      <w:r>
        <w:rPr>
          <w:rFonts w:hint="eastAsia" w:ascii="宋体" w:hAnsi="宋体"/>
          <w:szCs w:val="21"/>
        </w:rPr>
        <w:t>的，或者修正后的投标价格超过招标控制价总价的（如有），其投标应当被否决。</w:t>
      </w:r>
    </w:p>
    <w:p w14:paraId="24A4B799">
      <w:pPr>
        <w:adjustRightInd w:val="0"/>
        <w:snapToGrid w:val="0"/>
        <w:spacing w:line="430" w:lineRule="exact"/>
        <w:ind w:firstLine="420" w:firstLineChars="200"/>
        <w:rPr>
          <w:rFonts w:hint="eastAsia" w:ascii="黑体" w:eastAsia="黑体"/>
          <w:szCs w:val="21"/>
        </w:rPr>
      </w:pPr>
      <w:r>
        <w:rPr>
          <w:rFonts w:hint="eastAsia" w:ascii="宋体" w:hAnsi="宋体"/>
          <w:szCs w:val="21"/>
        </w:rPr>
        <w:t>算术错误修正用清标报告</w:t>
      </w:r>
      <w:r>
        <w:rPr>
          <w:rFonts w:hint="eastAsia" w:ascii="宋体" w:hAnsi="宋体"/>
          <w:b/>
          <w:szCs w:val="21"/>
        </w:rPr>
        <w:t>附表C-8、附表C-9</w:t>
      </w:r>
      <w:r>
        <w:rPr>
          <w:rFonts w:hint="eastAsia" w:ascii="宋体" w:hAnsi="宋体"/>
          <w:szCs w:val="21"/>
        </w:rPr>
        <w:t>记录评审结果。</w:t>
      </w:r>
    </w:p>
    <w:p w14:paraId="17FA2190">
      <w:pPr>
        <w:pStyle w:val="20"/>
        <w:rPr>
          <w:rFonts w:hint="eastAsia"/>
          <w:b/>
          <w:sz w:val="21"/>
          <w:szCs w:val="21"/>
        </w:rPr>
      </w:pPr>
      <w:bookmarkStart w:id="386" w:name="_Toc108513613"/>
      <w:r>
        <w:rPr>
          <w:rFonts w:hint="eastAsia"/>
          <w:b/>
          <w:sz w:val="21"/>
          <w:szCs w:val="21"/>
        </w:rPr>
        <w:t>A3.6 判断投标报价是否低于成本</w:t>
      </w:r>
      <w:bookmarkEnd w:id="386"/>
    </w:p>
    <w:p w14:paraId="1C803BC8">
      <w:pPr>
        <w:adjustRightInd w:val="0"/>
        <w:snapToGrid w:val="0"/>
        <w:spacing w:line="440" w:lineRule="exact"/>
        <w:ind w:firstLine="420" w:firstLineChars="200"/>
        <w:rPr>
          <w:rFonts w:hint="eastAsia" w:ascii="宋体" w:hAnsi="宋体"/>
          <w:szCs w:val="21"/>
        </w:rPr>
      </w:pPr>
      <w:r>
        <w:rPr>
          <w:rFonts w:hint="eastAsia" w:ascii="宋体" w:hAnsi="宋体"/>
          <w:szCs w:val="21"/>
        </w:rPr>
        <w:t>根据本章第3.1.4项的规定，评标委员会根据本章附件D中规定的程序、标准和方法，判断投标报价是否低于其成本。评标委员会认定投标人以低于成本竞标的，其投标应当被否决。并使用</w:t>
      </w:r>
      <w:r>
        <w:rPr>
          <w:rFonts w:hint="eastAsia" w:ascii="宋体" w:hAnsi="宋体"/>
          <w:b/>
          <w:szCs w:val="21"/>
        </w:rPr>
        <w:t>附表D-1</w:t>
      </w:r>
      <w:r>
        <w:rPr>
          <w:rFonts w:hint="eastAsia" w:ascii="宋体" w:hAnsi="宋体"/>
          <w:szCs w:val="21"/>
        </w:rPr>
        <w:t>记录评审结果</w:t>
      </w:r>
    </w:p>
    <w:p w14:paraId="74FBE4E2">
      <w:pPr>
        <w:pStyle w:val="20"/>
        <w:rPr>
          <w:rFonts w:hint="eastAsia"/>
          <w:b/>
          <w:sz w:val="21"/>
          <w:szCs w:val="21"/>
        </w:rPr>
      </w:pPr>
      <w:bookmarkStart w:id="387" w:name="_Toc108513614"/>
      <w:r>
        <w:rPr>
          <w:rFonts w:hint="eastAsia"/>
          <w:b/>
          <w:sz w:val="21"/>
          <w:szCs w:val="21"/>
        </w:rPr>
        <w:t>A3.7 判断投标是否为应当被否决</w:t>
      </w:r>
      <w:bookmarkEnd w:id="387"/>
    </w:p>
    <w:p w14:paraId="0FC7AB6A">
      <w:pPr>
        <w:adjustRightInd w:val="0"/>
        <w:snapToGrid w:val="0"/>
        <w:spacing w:line="430" w:lineRule="exact"/>
        <w:ind w:firstLine="420" w:firstLineChars="200"/>
        <w:rPr>
          <w:rFonts w:hint="eastAsia" w:ascii="宋体" w:hAnsi="宋体"/>
          <w:szCs w:val="21"/>
        </w:rPr>
      </w:pPr>
      <w:r>
        <w:rPr>
          <w:rFonts w:hint="eastAsia" w:ascii="宋体" w:hAnsi="宋体"/>
          <w:szCs w:val="21"/>
        </w:rPr>
        <w:t>A3.7.1 判断投标人的投标是否应当被否决的全部条件(包括本章第3.1.2项、第3.1.3项中规定的条件)，在本章前附表中集中列示。并使用</w:t>
      </w:r>
      <w:r>
        <w:rPr>
          <w:rFonts w:hint="eastAsia" w:ascii="宋体" w:hAnsi="宋体"/>
          <w:b/>
          <w:szCs w:val="21"/>
        </w:rPr>
        <w:t>附表A-14</w:t>
      </w:r>
      <w:r>
        <w:rPr>
          <w:rFonts w:hint="eastAsia" w:ascii="宋体" w:hAnsi="宋体"/>
          <w:szCs w:val="21"/>
        </w:rPr>
        <w:t>记录评审结果。</w:t>
      </w:r>
    </w:p>
    <w:p w14:paraId="2DEBA233">
      <w:pPr>
        <w:adjustRightInd w:val="0"/>
        <w:snapToGrid w:val="0"/>
        <w:spacing w:line="430" w:lineRule="exact"/>
        <w:ind w:firstLine="420" w:firstLineChars="200"/>
        <w:rPr>
          <w:rFonts w:hint="eastAsia" w:ascii="宋体" w:hAnsi="宋体"/>
          <w:szCs w:val="21"/>
        </w:rPr>
      </w:pPr>
      <w:r>
        <w:rPr>
          <w:rFonts w:hint="eastAsia" w:ascii="宋体" w:hAnsi="宋体"/>
          <w:szCs w:val="21"/>
        </w:rPr>
        <w:t>A3.7.2本章</w:t>
      </w:r>
      <w:r>
        <w:rPr>
          <w:rFonts w:hint="eastAsia" w:ascii="宋体" w:hAnsi="宋体"/>
          <w:b/>
          <w:szCs w:val="21"/>
        </w:rPr>
        <w:t>附件B</w:t>
      </w:r>
      <w:r>
        <w:rPr>
          <w:rFonts w:hint="eastAsia" w:ascii="宋体" w:hAnsi="宋体"/>
          <w:szCs w:val="21"/>
        </w:rPr>
        <w:t>集中列示的否决投标的条件不应与第二章“投标人须知”和本章前附表和正文部分包括的否决投标的条件抵触，如果出现相互矛盾的情况，以本章前附表和正文部分的规定为准。</w:t>
      </w:r>
    </w:p>
    <w:p w14:paraId="2FF87CFE">
      <w:pPr>
        <w:adjustRightInd w:val="0"/>
        <w:snapToGrid w:val="0"/>
        <w:spacing w:line="430" w:lineRule="exact"/>
        <w:ind w:firstLine="420" w:firstLineChars="200"/>
        <w:rPr>
          <w:rFonts w:hint="eastAsia" w:ascii="宋体" w:hAnsi="宋体"/>
          <w:szCs w:val="21"/>
        </w:rPr>
      </w:pPr>
      <w:r>
        <w:rPr>
          <w:rFonts w:hint="eastAsia" w:ascii="宋体" w:hAnsi="宋体"/>
          <w:szCs w:val="21"/>
        </w:rPr>
        <w:t>A3.7.3评标委员会在评标(包括初步评审和详细评审)过程中，依据本章前附表和正文部分中规定的否决投标的条件判断投标人的投标是否为应当被否决。</w:t>
      </w:r>
    </w:p>
    <w:p w14:paraId="145BE02A">
      <w:pPr>
        <w:pStyle w:val="20"/>
        <w:rPr>
          <w:rFonts w:hint="eastAsia"/>
          <w:b/>
          <w:sz w:val="21"/>
          <w:szCs w:val="21"/>
        </w:rPr>
      </w:pPr>
      <w:bookmarkStart w:id="388" w:name="_Toc108513615"/>
      <w:r>
        <w:rPr>
          <w:rFonts w:hint="eastAsia"/>
          <w:b/>
          <w:sz w:val="21"/>
          <w:szCs w:val="21"/>
        </w:rPr>
        <w:t>A3.8 澄清、说明或补正</w:t>
      </w:r>
      <w:bookmarkEnd w:id="388"/>
    </w:p>
    <w:p w14:paraId="4FB80BF6">
      <w:pPr>
        <w:adjustRightInd w:val="0"/>
        <w:snapToGrid w:val="0"/>
        <w:spacing w:line="430" w:lineRule="exact"/>
        <w:ind w:firstLine="420" w:firstLineChars="200"/>
        <w:rPr>
          <w:rFonts w:hint="eastAsia" w:ascii="宋体" w:hAnsi="宋体"/>
          <w:szCs w:val="21"/>
        </w:rPr>
      </w:pPr>
      <w:r>
        <w:rPr>
          <w:rFonts w:hint="eastAsia" w:ascii="宋体" w:hAnsi="宋体"/>
          <w:szCs w:val="21"/>
        </w:rPr>
        <w:t>在初步评审过程中，评标委员会应当就投标文件中</w:t>
      </w:r>
      <w:r>
        <w:rPr>
          <w:rFonts w:hint="eastAsia"/>
        </w:rPr>
        <w:t>含义不明确、对同类问题表述不一致或者有明显文字和计算错误的内容</w:t>
      </w:r>
      <w:r>
        <w:rPr>
          <w:rFonts w:hint="eastAsia" w:ascii="宋体" w:hAnsi="宋体"/>
          <w:szCs w:val="21"/>
        </w:rPr>
        <w:t>要求投标人进行澄清、说明或者补正。投标人对此以书面形式予以澄清、说明或者补正。澄清、说明或补正根据本章第3.3款的规定执行。《</w:t>
      </w:r>
      <w:r>
        <w:rPr>
          <w:rFonts w:hint="eastAsia"/>
        </w:rPr>
        <w:t>投标文件</w:t>
      </w:r>
      <w:r>
        <w:rPr>
          <w:rFonts w:hint="eastAsia" w:ascii="宋体" w:hAnsi="宋体"/>
          <w:szCs w:val="21"/>
        </w:rPr>
        <w:t>澄清通知》及《</w:t>
      </w:r>
      <w:r>
        <w:rPr>
          <w:rFonts w:hint="eastAsia"/>
        </w:rPr>
        <w:t>投标文件</w:t>
      </w:r>
      <w:r>
        <w:rPr>
          <w:rFonts w:hint="eastAsia" w:ascii="宋体" w:hAnsi="宋体"/>
          <w:szCs w:val="21"/>
        </w:rPr>
        <w:t>的澄清》采用投标人须知附表六与投标人须知附表七所提供的格式，并</w:t>
      </w:r>
      <w:r>
        <w:rPr>
          <w:rFonts w:hint="eastAsia"/>
        </w:rPr>
        <w:t>通过“电子交易平台”“投标文件澄清”菜单以书面形式进行。</w:t>
      </w:r>
    </w:p>
    <w:p w14:paraId="731BA98B">
      <w:pPr>
        <w:pStyle w:val="20"/>
        <w:rPr>
          <w:rFonts w:hint="eastAsia"/>
        </w:rPr>
      </w:pPr>
      <w:bookmarkStart w:id="389" w:name="_Toc108513616"/>
      <w:r>
        <w:rPr>
          <w:rFonts w:hint="eastAsia"/>
        </w:rPr>
        <w:t>A4．详细评审</w:t>
      </w:r>
      <w:bookmarkEnd w:id="389"/>
    </w:p>
    <w:p w14:paraId="634F680A">
      <w:pPr>
        <w:adjustRightInd w:val="0"/>
        <w:snapToGrid w:val="0"/>
        <w:spacing w:line="430" w:lineRule="exact"/>
        <w:ind w:firstLine="420" w:firstLineChars="200"/>
        <w:rPr>
          <w:rFonts w:hint="eastAsia" w:ascii="宋体" w:hAnsi="宋体"/>
          <w:szCs w:val="21"/>
        </w:rPr>
      </w:pPr>
      <w:r>
        <w:rPr>
          <w:rFonts w:hint="eastAsia" w:ascii="宋体" w:hAnsi="宋体"/>
          <w:szCs w:val="21"/>
        </w:rPr>
        <w:t>只有通过了初步评审、被判定为合格的投标方可进入详细评审。</w:t>
      </w:r>
    </w:p>
    <w:p w14:paraId="42C37234">
      <w:pPr>
        <w:pStyle w:val="20"/>
        <w:rPr>
          <w:rFonts w:hint="eastAsia"/>
          <w:b/>
          <w:sz w:val="21"/>
          <w:szCs w:val="21"/>
        </w:rPr>
      </w:pPr>
      <w:bookmarkStart w:id="390" w:name="_Toc108513617"/>
      <w:r>
        <w:rPr>
          <w:rFonts w:hint="eastAsia"/>
          <w:b/>
          <w:sz w:val="21"/>
          <w:szCs w:val="21"/>
        </w:rPr>
        <w:t>A4.1详细评审的程序</w:t>
      </w:r>
      <w:bookmarkEnd w:id="390"/>
    </w:p>
    <w:p w14:paraId="2F67AA3B">
      <w:pPr>
        <w:adjustRightInd w:val="0"/>
        <w:snapToGrid w:val="0"/>
        <w:spacing w:line="430" w:lineRule="exact"/>
        <w:ind w:firstLine="420" w:firstLineChars="200"/>
        <w:rPr>
          <w:rFonts w:hint="eastAsia" w:ascii="宋体" w:hAnsi="宋体"/>
          <w:szCs w:val="21"/>
        </w:rPr>
      </w:pPr>
      <w:r>
        <w:rPr>
          <w:rFonts w:hint="eastAsia" w:ascii="宋体" w:hAnsi="宋体"/>
          <w:szCs w:val="21"/>
        </w:rPr>
        <w:t>评标委员会按照本章第3．2款中规定的程序进行详细评审：</w:t>
      </w:r>
    </w:p>
    <w:p w14:paraId="2A1F1585">
      <w:pPr>
        <w:adjustRightInd w:val="0"/>
        <w:snapToGrid w:val="0"/>
        <w:spacing w:line="430" w:lineRule="exact"/>
        <w:ind w:firstLine="852" w:firstLineChars="406"/>
        <w:rPr>
          <w:rFonts w:hint="eastAsia" w:ascii="宋体" w:hAnsi="宋体"/>
          <w:szCs w:val="21"/>
        </w:rPr>
      </w:pPr>
      <w:r>
        <w:rPr>
          <w:rFonts w:hint="eastAsia" w:ascii="宋体" w:hAnsi="宋体"/>
          <w:szCs w:val="21"/>
        </w:rPr>
        <w:t>(1) 投标报价评审和评分；</w:t>
      </w:r>
    </w:p>
    <w:p w14:paraId="2DD0BDD4">
      <w:pPr>
        <w:adjustRightInd w:val="0"/>
        <w:snapToGrid w:val="0"/>
        <w:spacing w:line="430" w:lineRule="exact"/>
        <w:ind w:firstLine="852" w:firstLineChars="406"/>
        <w:rPr>
          <w:rFonts w:hint="eastAsia" w:ascii="宋体" w:hAnsi="宋体"/>
          <w:szCs w:val="21"/>
        </w:rPr>
      </w:pPr>
      <w:r>
        <w:rPr>
          <w:rFonts w:hint="eastAsia" w:ascii="宋体" w:hAnsi="宋体"/>
          <w:szCs w:val="21"/>
        </w:rPr>
        <w:t xml:space="preserve">(2) 施工组织设计评审和评分； </w:t>
      </w:r>
    </w:p>
    <w:p w14:paraId="58581CC5">
      <w:pPr>
        <w:adjustRightInd w:val="0"/>
        <w:snapToGrid w:val="0"/>
        <w:spacing w:line="430" w:lineRule="exact"/>
        <w:ind w:firstLine="852" w:firstLineChars="406"/>
        <w:rPr>
          <w:rFonts w:hint="eastAsia" w:ascii="宋体" w:hAnsi="宋体"/>
          <w:szCs w:val="21"/>
        </w:rPr>
      </w:pPr>
      <w:r>
        <w:rPr>
          <w:rFonts w:hint="eastAsia" w:ascii="宋体" w:hAnsi="宋体"/>
          <w:szCs w:val="21"/>
        </w:rPr>
        <w:t>(3) 项目管理机构评审和评分；</w:t>
      </w:r>
    </w:p>
    <w:p w14:paraId="16639F76">
      <w:pPr>
        <w:adjustRightInd w:val="0"/>
        <w:snapToGrid w:val="0"/>
        <w:spacing w:line="430" w:lineRule="exact"/>
        <w:ind w:firstLine="882" w:firstLineChars="420"/>
        <w:rPr>
          <w:rFonts w:hint="eastAsia" w:ascii="宋体" w:hAnsi="宋体"/>
          <w:szCs w:val="21"/>
        </w:rPr>
      </w:pPr>
      <w:r>
        <w:rPr>
          <w:rFonts w:hint="eastAsia" w:ascii="宋体" w:hAnsi="宋体"/>
          <w:szCs w:val="21"/>
        </w:rPr>
        <w:t>(4) 其他因素评审和评分；</w:t>
      </w:r>
    </w:p>
    <w:p w14:paraId="46976A26">
      <w:pPr>
        <w:adjustRightInd w:val="0"/>
        <w:snapToGrid w:val="0"/>
        <w:spacing w:line="430" w:lineRule="exact"/>
        <w:ind w:firstLine="882" w:firstLineChars="420"/>
        <w:rPr>
          <w:rFonts w:hint="eastAsia" w:ascii="宋体" w:hAnsi="宋体"/>
          <w:szCs w:val="21"/>
        </w:rPr>
      </w:pPr>
      <w:r>
        <w:rPr>
          <w:rFonts w:hint="eastAsia" w:ascii="宋体" w:hAnsi="宋体"/>
          <w:szCs w:val="21"/>
        </w:rPr>
        <w:t>(5) 汇总评分结果。</w:t>
      </w:r>
    </w:p>
    <w:p w14:paraId="5A8D2224">
      <w:pPr>
        <w:pStyle w:val="20"/>
        <w:rPr>
          <w:rFonts w:hint="eastAsia"/>
          <w:b/>
          <w:sz w:val="21"/>
          <w:szCs w:val="21"/>
        </w:rPr>
      </w:pPr>
      <w:bookmarkStart w:id="391" w:name="_Toc108513618"/>
      <w:r>
        <w:rPr>
          <w:rFonts w:hint="eastAsia"/>
          <w:b/>
          <w:sz w:val="21"/>
          <w:szCs w:val="21"/>
        </w:rPr>
        <w:t>A4.2投标报价评审和评分</w:t>
      </w:r>
      <w:bookmarkEnd w:id="391"/>
    </w:p>
    <w:p w14:paraId="161F9712">
      <w:pPr>
        <w:adjustRightInd w:val="0"/>
        <w:snapToGrid w:val="0"/>
        <w:spacing w:line="430" w:lineRule="exact"/>
        <w:ind w:firstLine="420" w:firstLineChars="200"/>
        <w:rPr>
          <w:rFonts w:hint="eastAsia" w:ascii="宋体" w:hAnsi="宋体"/>
          <w:szCs w:val="21"/>
        </w:rPr>
      </w:pPr>
      <w:r>
        <w:rPr>
          <w:rFonts w:hint="eastAsia" w:ascii="宋体" w:hAnsi="宋体"/>
          <w:szCs w:val="21"/>
        </w:rPr>
        <w:t>A4.2.1按照评标办法前附表中规定的方法计算各投标人的 “评标价”。</w:t>
      </w:r>
    </w:p>
    <w:p w14:paraId="1C69EB01">
      <w:pPr>
        <w:adjustRightInd w:val="0"/>
        <w:snapToGrid w:val="0"/>
        <w:spacing w:line="430" w:lineRule="exact"/>
        <w:ind w:firstLine="420" w:firstLineChars="200"/>
        <w:rPr>
          <w:rFonts w:hint="eastAsia" w:ascii="宋体" w:hAnsi="宋体"/>
          <w:szCs w:val="21"/>
        </w:rPr>
      </w:pPr>
      <w:r>
        <w:rPr>
          <w:rFonts w:hint="eastAsia" w:ascii="宋体" w:hAnsi="宋体"/>
          <w:szCs w:val="21"/>
        </w:rPr>
        <w:t>A4.2.2按照评标办法前附表中规定的方法计算“评标基准价”。</w:t>
      </w:r>
    </w:p>
    <w:p w14:paraId="6DDF0F94">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A4.2.3按照评标办法前附表中规定的方法，计算期望合理价。（适用于</w:t>
      </w:r>
      <w:r>
        <w:rPr>
          <w:rFonts w:hint="eastAsia"/>
        </w:rPr>
        <w:t>办</w:t>
      </w:r>
      <w:r>
        <w:rPr>
          <w:rFonts w:hint="eastAsia" w:ascii="宋体" w:hAnsi="宋体"/>
          <w:szCs w:val="21"/>
        </w:rPr>
        <w:t>法八）</w:t>
      </w:r>
    </w:p>
    <w:p w14:paraId="7BE21FF9">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A4.2.4按照评标办法前附表中规定的方法，计算各个已通过了初步评审的投标报价的“偏差率”。</w:t>
      </w:r>
    </w:p>
    <w:p w14:paraId="68AB0B57">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A4.2.5按照评标办法前附表中规定的评分标准，对照投标报价的偏差率，分别对各个投标报价进行评分，使用</w:t>
      </w:r>
      <w:r>
        <w:rPr>
          <w:rFonts w:hint="eastAsia" w:ascii="宋体" w:hAnsi="宋体"/>
          <w:b/>
          <w:szCs w:val="21"/>
        </w:rPr>
        <w:t>附表A-8</w:t>
      </w:r>
      <w:r>
        <w:rPr>
          <w:rFonts w:hint="eastAsia" w:ascii="宋体" w:hAnsi="宋体"/>
          <w:szCs w:val="21"/>
        </w:rPr>
        <w:t>记录对投标报价的评分结果，投标报价的得分记录为</w:t>
      </w:r>
      <w:r>
        <w:rPr>
          <w:rFonts w:hint="eastAsia" w:ascii="宋体" w:hAnsi="宋体"/>
          <w:b/>
          <w:szCs w:val="21"/>
        </w:rPr>
        <w:t>A</w:t>
      </w:r>
      <w:r>
        <w:rPr>
          <w:rFonts w:hint="eastAsia" w:ascii="宋体" w:hAnsi="宋体"/>
          <w:szCs w:val="21"/>
        </w:rPr>
        <w:t>。</w:t>
      </w:r>
    </w:p>
    <w:p w14:paraId="6222BAD9">
      <w:pPr>
        <w:adjustRightInd w:val="0"/>
        <w:snapToGrid w:val="0"/>
        <w:spacing w:before="48" w:beforeLines="20" w:line="430" w:lineRule="exact"/>
        <w:ind w:firstLine="420" w:firstLineChars="200"/>
        <w:rPr>
          <w:rFonts w:hint="eastAsia" w:ascii="宋体" w:hAnsi="宋体"/>
          <w:szCs w:val="21"/>
        </w:rPr>
      </w:pPr>
      <w:r>
        <w:rPr>
          <w:rFonts w:hint="eastAsia" w:ascii="宋体" w:hAnsi="宋体"/>
          <w:szCs w:val="21"/>
        </w:rPr>
        <w:t>A4.2.5按照评标办法前附表中规定的评审标准，使用</w:t>
      </w:r>
      <w:r>
        <w:rPr>
          <w:rFonts w:hint="eastAsia" w:ascii="宋体" w:hAnsi="宋体"/>
          <w:b/>
          <w:szCs w:val="21"/>
        </w:rPr>
        <w:t>附表A-13</w:t>
      </w:r>
      <w:r>
        <w:rPr>
          <w:rFonts w:hint="eastAsia" w:ascii="宋体" w:hAnsi="宋体"/>
          <w:szCs w:val="21"/>
        </w:rPr>
        <w:t>记录对投标报价的评审结果。（适用于</w:t>
      </w:r>
      <w:r>
        <w:rPr>
          <w:rFonts w:hint="eastAsia"/>
        </w:rPr>
        <w:t>办</w:t>
      </w:r>
      <w:r>
        <w:rPr>
          <w:rFonts w:hint="eastAsia" w:ascii="宋体" w:hAnsi="宋体"/>
          <w:szCs w:val="21"/>
        </w:rPr>
        <w:t>法八）</w:t>
      </w:r>
    </w:p>
    <w:p w14:paraId="02D189D1">
      <w:pPr>
        <w:pStyle w:val="20"/>
        <w:rPr>
          <w:rFonts w:hint="eastAsia"/>
          <w:b/>
          <w:sz w:val="21"/>
          <w:szCs w:val="21"/>
        </w:rPr>
      </w:pPr>
      <w:bookmarkStart w:id="392" w:name="_Toc108513619"/>
      <w:r>
        <w:rPr>
          <w:rFonts w:hint="eastAsia"/>
          <w:b/>
          <w:sz w:val="21"/>
          <w:szCs w:val="21"/>
        </w:rPr>
        <w:t>A4.3 施工组织设计评审和评分</w:t>
      </w:r>
      <w:bookmarkEnd w:id="392"/>
    </w:p>
    <w:p w14:paraId="2DEC0847">
      <w:pPr>
        <w:adjustRightInd w:val="0"/>
        <w:snapToGrid w:val="0"/>
        <w:spacing w:line="430" w:lineRule="exact"/>
        <w:ind w:firstLine="420" w:firstLineChars="200"/>
        <w:rPr>
          <w:rFonts w:hint="eastAsia" w:ascii="宋体" w:hAnsi="宋体"/>
          <w:szCs w:val="21"/>
        </w:rPr>
      </w:pPr>
      <w:r>
        <w:rPr>
          <w:rFonts w:hint="eastAsia" w:ascii="宋体" w:hAnsi="宋体"/>
          <w:szCs w:val="21"/>
        </w:rPr>
        <w:t>按照评标办法前附表中规定的分值设定、各项评分因素、评分标准，对施工组织设计进行评审和评分，并使用</w:t>
      </w:r>
      <w:r>
        <w:rPr>
          <w:rFonts w:hint="eastAsia" w:ascii="宋体" w:hAnsi="宋体"/>
          <w:b/>
          <w:szCs w:val="21"/>
        </w:rPr>
        <w:t>附表A-9</w:t>
      </w:r>
      <w:r>
        <w:rPr>
          <w:rFonts w:hint="eastAsia" w:ascii="宋体" w:hAnsi="宋体"/>
          <w:szCs w:val="21"/>
        </w:rPr>
        <w:t>记录对施工组织设计的评分结果，施工组织设计的得分记录为</w:t>
      </w:r>
      <w:r>
        <w:rPr>
          <w:rFonts w:hint="eastAsia" w:ascii="宋体" w:hAnsi="宋体"/>
          <w:b/>
          <w:szCs w:val="21"/>
        </w:rPr>
        <w:t>B</w:t>
      </w:r>
      <w:r>
        <w:rPr>
          <w:rFonts w:hint="eastAsia" w:ascii="宋体" w:hAnsi="宋体"/>
          <w:szCs w:val="21"/>
        </w:rPr>
        <w:t>。（适用于</w:t>
      </w:r>
      <w:r>
        <w:rPr>
          <w:rFonts w:hint="eastAsia"/>
        </w:rPr>
        <w:t>办</w:t>
      </w:r>
      <w:r>
        <w:rPr>
          <w:rFonts w:hint="eastAsia" w:ascii="宋体" w:hAnsi="宋体"/>
          <w:szCs w:val="21"/>
        </w:rPr>
        <w:t>法一、二、三、四）</w:t>
      </w:r>
    </w:p>
    <w:p w14:paraId="679936AF">
      <w:pPr>
        <w:pStyle w:val="20"/>
        <w:rPr>
          <w:rFonts w:hint="eastAsia"/>
          <w:b/>
          <w:sz w:val="21"/>
          <w:szCs w:val="21"/>
        </w:rPr>
      </w:pPr>
      <w:bookmarkStart w:id="393" w:name="_Toc108513620"/>
      <w:r>
        <w:rPr>
          <w:rFonts w:hint="eastAsia"/>
          <w:b/>
          <w:sz w:val="21"/>
          <w:szCs w:val="21"/>
        </w:rPr>
        <w:t>A4.4项目管理机构评审和评分</w:t>
      </w:r>
      <w:bookmarkEnd w:id="393"/>
    </w:p>
    <w:p w14:paraId="374B86AB">
      <w:pPr>
        <w:adjustRightInd w:val="0"/>
        <w:snapToGrid w:val="0"/>
        <w:spacing w:line="430" w:lineRule="exact"/>
        <w:ind w:firstLine="420" w:firstLineChars="200"/>
        <w:rPr>
          <w:rFonts w:hint="eastAsia" w:ascii="宋体" w:hAnsi="宋体"/>
          <w:szCs w:val="21"/>
        </w:rPr>
      </w:pPr>
      <w:r>
        <w:rPr>
          <w:rFonts w:hint="eastAsia" w:ascii="宋体" w:hAnsi="宋体"/>
          <w:szCs w:val="21"/>
        </w:rPr>
        <w:t>按照评标办法前附表中规定的分值设定、各项评分因素、评分标准，对项目管理机构进行评审和评分，并使用</w:t>
      </w:r>
      <w:r>
        <w:rPr>
          <w:rFonts w:hint="eastAsia" w:ascii="宋体" w:hAnsi="宋体"/>
          <w:b/>
          <w:szCs w:val="21"/>
        </w:rPr>
        <w:t>附表A-10</w:t>
      </w:r>
      <w:r>
        <w:rPr>
          <w:rFonts w:hint="eastAsia" w:ascii="宋体" w:hAnsi="宋体"/>
          <w:szCs w:val="21"/>
        </w:rPr>
        <w:t>记录对项目管理机构的评分结果，项目管理机构的得分记录为</w:t>
      </w:r>
      <w:r>
        <w:rPr>
          <w:rFonts w:hint="eastAsia" w:ascii="宋体" w:hAnsi="宋体"/>
          <w:b/>
          <w:szCs w:val="21"/>
        </w:rPr>
        <w:t>C</w:t>
      </w:r>
      <w:r>
        <w:rPr>
          <w:rFonts w:hint="eastAsia" w:ascii="宋体" w:hAnsi="宋体"/>
          <w:szCs w:val="21"/>
        </w:rPr>
        <w:t>。</w:t>
      </w:r>
    </w:p>
    <w:p w14:paraId="3C9AE0BC">
      <w:pPr>
        <w:pStyle w:val="20"/>
        <w:rPr>
          <w:rFonts w:hint="eastAsia"/>
          <w:b/>
          <w:sz w:val="21"/>
          <w:szCs w:val="21"/>
        </w:rPr>
      </w:pPr>
      <w:bookmarkStart w:id="394" w:name="_Toc108513621"/>
      <w:r>
        <w:rPr>
          <w:rFonts w:hint="eastAsia"/>
          <w:b/>
          <w:sz w:val="21"/>
          <w:szCs w:val="21"/>
        </w:rPr>
        <w:t>A4.5 其他因素的评审和评分</w:t>
      </w:r>
      <w:bookmarkEnd w:id="394"/>
    </w:p>
    <w:p w14:paraId="32736EF4">
      <w:pPr>
        <w:adjustRightInd w:val="0"/>
        <w:snapToGrid w:val="0"/>
        <w:spacing w:line="440" w:lineRule="exact"/>
        <w:ind w:firstLine="420" w:firstLineChars="200"/>
        <w:rPr>
          <w:rFonts w:hint="eastAsia" w:ascii="宋体" w:hAnsi="宋体"/>
          <w:szCs w:val="21"/>
        </w:rPr>
      </w:pPr>
      <w:r>
        <w:rPr>
          <w:rFonts w:hint="eastAsia" w:ascii="宋体" w:hAnsi="宋体"/>
          <w:szCs w:val="21"/>
        </w:rPr>
        <w:t>根据评标办法前附表中规定的分值设定、各项评分因素和相应的评分标准，对其他因素(如果有)进行评审和评分，并使用</w:t>
      </w:r>
      <w:r>
        <w:rPr>
          <w:rFonts w:hint="eastAsia" w:ascii="宋体" w:hAnsi="宋体"/>
          <w:b/>
          <w:szCs w:val="21"/>
        </w:rPr>
        <w:t>附表A-11</w:t>
      </w:r>
      <w:r>
        <w:rPr>
          <w:rFonts w:hint="eastAsia" w:ascii="宋体" w:hAnsi="宋体"/>
          <w:szCs w:val="21"/>
        </w:rPr>
        <w:t>记录对其他因素的评分结果，其他因素的得分记录为</w:t>
      </w:r>
      <w:r>
        <w:rPr>
          <w:rFonts w:hint="eastAsia" w:ascii="宋体" w:hAnsi="宋体"/>
          <w:b/>
          <w:szCs w:val="21"/>
        </w:rPr>
        <w:t>D</w:t>
      </w:r>
      <w:r>
        <w:rPr>
          <w:rFonts w:hint="eastAsia" w:ascii="宋体" w:hAnsi="宋体"/>
          <w:szCs w:val="21"/>
        </w:rPr>
        <w:t>。</w:t>
      </w:r>
    </w:p>
    <w:p w14:paraId="4C3BCBB1">
      <w:pPr>
        <w:pStyle w:val="20"/>
        <w:rPr>
          <w:rFonts w:hint="eastAsia"/>
          <w:b/>
          <w:sz w:val="21"/>
          <w:szCs w:val="21"/>
        </w:rPr>
      </w:pPr>
      <w:bookmarkStart w:id="395" w:name="_Toc108513622"/>
      <w:r>
        <w:rPr>
          <w:rFonts w:hint="eastAsia"/>
          <w:b/>
          <w:sz w:val="21"/>
          <w:szCs w:val="21"/>
        </w:rPr>
        <w:t>A4.6 澄清、说明或补正</w:t>
      </w:r>
      <w:bookmarkEnd w:id="395"/>
    </w:p>
    <w:p w14:paraId="683F3BA8">
      <w:pPr>
        <w:spacing w:line="410" w:lineRule="exact"/>
        <w:ind w:firstLine="420" w:firstLineChars="200"/>
        <w:rPr>
          <w:rFonts w:hint="eastAsia" w:ascii="宋体" w:hAnsi="宋体"/>
          <w:szCs w:val="21"/>
        </w:rPr>
      </w:pPr>
      <w:r>
        <w:rPr>
          <w:rFonts w:hint="eastAsia" w:ascii="宋体" w:hAnsi="宋体"/>
          <w:szCs w:val="21"/>
        </w:rPr>
        <w:t>在详细评审过程中，评标委员会应当就投标文件中</w:t>
      </w:r>
      <w:r>
        <w:rPr>
          <w:rFonts w:hint="eastAsia"/>
        </w:rPr>
        <w:t>含义不明确、对同类问题表述不一致或者有明显文字和计算错误的内容</w:t>
      </w:r>
      <w:r>
        <w:rPr>
          <w:rFonts w:hint="eastAsia" w:ascii="宋体" w:hAnsi="宋体"/>
          <w:szCs w:val="21"/>
        </w:rPr>
        <w:t>要求投标人进行澄清、说明或者补正。投标人对此以书面形式予以澄清、说明或者补正。澄清、说明或补正根据本章第3.3款的规定执行。《</w:t>
      </w:r>
      <w:r>
        <w:rPr>
          <w:rFonts w:hint="eastAsia"/>
        </w:rPr>
        <w:t>投标文件</w:t>
      </w:r>
      <w:r>
        <w:rPr>
          <w:rFonts w:hint="eastAsia" w:ascii="宋体" w:hAnsi="宋体"/>
          <w:szCs w:val="21"/>
        </w:rPr>
        <w:t>澄清通知》及《</w:t>
      </w:r>
      <w:r>
        <w:rPr>
          <w:rFonts w:hint="eastAsia"/>
        </w:rPr>
        <w:t>投标文件</w:t>
      </w:r>
      <w:r>
        <w:rPr>
          <w:rFonts w:hint="eastAsia" w:ascii="宋体" w:hAnsi="宋体"/>
          <w:szCs w:val="21"/>
        </w:rPr>
        <w:t>的澄清》采用投标人须知附表七与投标人须知附表八所提供的格式，并</w:t>
      </w:r>
      <w:r>
        <w:rPr>
          <w:rFonts w:hint="eastAsia"/>
        </w:rPr>
        <w:t>通过“电子交易平台”“投标文件澄清”菜单以书面形式进行。</w:t>
      </w:r>
    </w:p>
    <w:p w14:paraId="121169D1">
      <w:pPr>
        <w:pStyle w:val="20"/>
        <w:rPr>
          <w:rFonts w:hint="eastAsia"/>
          <w:b/>
          <w:sz w:val="21"/>
          <w:szCs w:val="21"/>
        </w:rPr>
      </w:pPr>
      <w:bookmarkStart w:id="396" w:name="_Toc108513623"/>
      <w:r>
        <w:rPr>
          <w:rFonts w:hint="eastAsia"/>
          <w:b/>
          <w:sz w:val="21"/>
          <w:szCs w:val="21"/>
        </w:rPr>
        <w:t>A4.7  汇总评分（评审）结果</w:t>
      </w:r>
      <w:bookmarkEnd w:id="396"/>
    </w:p>
    <w:p w14:paraId="0D8C6D57">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评标委员会成员应按照</w:t>
      </w:r>
      <w:r>
        <w:rPr>
          <w:rFonts w:hint="eastAsia" w:ascii="宋体" w:hAnsi="宋体"/>
          <w:b/>
          <w:szCs w:val="21"/>
        </w:rPr>
        <w:t>附表A-12</w:t>
      </w:r>
      <w:r>
        <w:rPr>
          <w:rFonts w:hint="eastAsia" w:ascii="宋体" w:hAnsi="宋体"/>
          <w:szCs w:val="21"/>
        </w:rPr>
        <w:t>的格式填写详细评审评分汇总表。按照</w:t>
      </w:r>
      <w:r>
        <w:rPr>
          <w:rFonts w:hint="eastAsia" w:ascii="宋体" w:hAnsi="宋体"/>
          <w:b/>
          <w:szCs w:val="21"/>
        </w:rPr>
        <w:t>附表A-13</w:t>
      </w:r>
      <w:r>
        <w:rPr>
          <w:rFonts w:hint="eastAsia" w:ascii="宋体" w:hAnsi="宋体"/>
          <w:szCs w:val="21"/>
        </w:rPr>
        <w:t>的格式汇总各个评标委员会成员的详细评审评分结果，并按照详细评审最终得分由高至低的次序对投标人进行排序。（适用于</w:t>
      </w:r>
      <w:r>
        <w:rPr>
          <w:rFonts w:hint="eastAsia"/>
        </w:rPr>
        <w:t>办</w:t>
      </w:r>
      <w:r>
        <w:rPr>
          <w:rFonts w:hint="eastAsia" w:ascii="宋体" w:hAnsi="宋体"/>
          <w:szCs w:val="21"/>
        </w:rPr>
        <w:t>法一、二、三、四、五、六、七）</w:t>
      </w:r>
    </w:p>
    <w:p w14:paraId="0EFE161B">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评标委员会应按照</w:t>
      </w:r>
      <w:r>
        <w:rPr>
          <w:rFonts w:hint="eastAsia" w:ascii="宋体" w:hAnsi="宋体"/>
          <w:b/>
          <w:szCs w:val="21"/>
        </w:rPr>
        <w:t>附表A-13</w:t>
      </w:r>
      <w:r>
        <w:rPr>
          <w:rFonts w:hint="eastAsia" w:ascii="宋体" w:hAnsi="宋体"/>
          <w:szCs w:val="21"/>
        </w:rPr>
        <w:t>的格式记录对投标报价的评审结果，并按有效评标价由低到高的顺序对投标人进行排序。（适用于</w:t>
      </w:r>
      <w:r>
        <w:rPr>
          <w:rFonts w:hint="eastAsia"/>
        </w:rPr>
        <w:t>办</w:t>
      </w:r>
      <w:r>
        <w:rPr>
          <w:rFonts w:hint="eastAsia" w:ascii="宋体" w:hAnsi="宋体"/>
          <w:szCs w:val="21"/>
        </w:rPr>
        <w:t>法八）</w:t>
      </w:r>
    </w:p>
    <w:p w14:paraId="54611773">
      <w:pPr>
        <w:pStyle w:val="20"/>
        <w:rPr>
          <w:rFonts w:hint="eastAsia"/>
        </w:rPr>
      </w:pPr>
      <w:bookmarkStart w:id="397" w:name="_Toc108513624"/>
      <w:r>
        <w:rPr>
          <w:rFonts w:hint="eastAsia"/>
        </w:rPr>
        <w:t>A5.  推荐中标候选人或者直接确定中标人</w:t>
      </w:r>
      <w:bookmarkEnd w:id="397"/>
    </w:p>
    <w:p w14:paraId="6A5EA674">
      <w:pPr>
        <w:pStyle w:val="20"/>
        <w:rPr>
          <w:rFonts w:hint="eastAsia"/>
          <w:b/>
          <w:sz w:val="21"/>
          <w:szCs w:val="21"/>
        </w:rPr>
      </w:pPr>
      <w:bookmarkStart w:id="398" w:name="_Toc108513625"/>
      <w:r>
        <w:rPr>
          <w:rFonts w:hint="eastAsia"/>
          <w:b/>
          <w:sz w:val="21"/>
          <w:szCs w:val="21"/>
        </w:rPr>
        <w:t>A5.1  推荐中标候选人</w:t>
      </w:r>
      <w:bookmarkEnd w:id="398"/>
    </w:p>
    <w:p w14:paraId="78A3B580">
      <w:pPr>
        <w:adjustRightInd w:val="0"/>
        <w:snapToGrid w:val="0"/>
        <w:spacing w:line="440" w:lineRule="exact"/>
        <w:ind w:firstLine="420" w:firstLineChars="200"/>
        <w:rPr>
          <w:rFonts w:hint="eastAsia" w:ascii="宋体" w:hAnsi="宋体"/>
          <w:szCs w:val="21"/>
        </w:rPr>
      </w:pPr>
      <w:r>
        <w:rPr>
          <w:rFonts w:hint="eastAsia" w:ascii="宋体" w:hAnsi="宋体"/>
          <w:szCs w:val="21"/>
        </w:rPr>
        <w:t>A5.1.1  除第二章“投标人须知”前附表第7．1款授权直接确定中标人外，评标委员会在推荐中标候选人时，应遵照以下原则:</w:t>
      </w:r>
    </w:p>
    <w:p w14:paraId="6A0BBB27">
      <w:pPr>
        <w:adjustRightInd w:val="0"/>
        <w:snapToGrid w:val="0"/>
        <w:spacing w:line="441" w:lineRule="exact"/>
        <w:ind w:left="951" w:leftChars="187" w:hanging="558" w:hangingChars="266"/>
        <w:rPr>
          <w:rFonts w:hint="eastAsia" w:ascii="宋体" w:hAnsi="宋体"/>
          <w:szCs w:val="21"/>
        </w:rPr>
      </w:pPr>
      <w:r>
        <w:rPr>
          <w:rFonts w:hint="eastAsia" w:ascii="宋体" w:hAnsi="宋体"/>
          <w:szCs w:val="21"/>
        </w:rPr>
        <w:t>(1)  评标委员会按照最终得分由高至低的次序排列（适用于</w:t>
      </w:r>
      <w:r>
        <w:rPr>
          <w:rFonts w:hint="eastAsia"/>
        </w:rPr>
        <w:t>办</w:t>
      </w:r>
      <w:r>
        <w:rPr>
          <w:rFonts w:hint="eastAsia" w:ascii="宋体" w:hAnsi="宋体"/>
          <w:szCs w:val="21"/>
        </w:rPr>
        <w:t>法一、二、三、四、五、六、七）或按有效评标价由低到高的次序排列（适用于</w:t>
      </w:r>
      <w:r>
        <w:rPr>
          <w:rFonts w:hint="eastAsia"/>
        </w:rPr>
        <w:t>办</w:t>
      </w:r>
      <w:r>
        <w:rPr>
          <w:rFonts w:hint="eastAsia" w:ascii="宋体" w:hAnsi="宋体"/>
          <w:szCs w:val="21"/>
        </w:rPr>
        <w:t>法八），并根据第二章“投标人须知”前附表第7.1款规定的中标候选人数量，将排序在前的投标人推荐为中标候选人。</w:t>
      </w:r>
      <w:r>
        <w:rPr>
          <w:rFonts w:hint="eastAsia"/>
        </w:rPr>
        <w:t>招标文件允许多标段投标、多标段中标的，各标段中标候选人的推荐按第二章“投标人须知” 第10.1款规定执行，对某些标段由此产生的空缺由排序在后的投标人依次替补。</w:t>
      </w:r>
    </w:p>
    <w:p w14:paraId="6012E2B6">
      <w:pPr>
        <w:adjustRightInd w:val="0"/>
        <w:snapToGrid w:val="0"/>
        <w:spacing w:line="441" w:lineRule="exact"/>
        <w:ind w:left="936" w:leftChars="200" w:hanging="516" w:hangingChars="246"/>
        <w:rPr>
          <w:rFonts w:hint="eastAsia" w:ascii="宋体" w:hAnsi="宋体"/>
          <w:szCs w:val="21"/>
        </w:rPr>
      </w:pPr>
      <w:r>
        <w:rPr>
          <w:rFonts w:hint="eastAsia" w:ascii="宋体" w:hAnsi="宋体"/>
          <w:szCs w:val="21"/>
        </w:rPr>
        <w:t>(2)  如果评标委员会根据本章的规定否决有关投标后，有效投标不足三个，且少于第二章“投标人须知”前附表第7.1款规定的中标候选人数量的，则评标委员会可以将所有有效投标按最终得分由高至低的次序（适用于</w:t>
      </w:r>
      <w:r>
        <w:rPr>
          <w:rFonts w:hint="eastAsia"/>
        </w:rPr>
        <w:t>办</w:t>
      </w:r>
      <w:r>
        <w:rPr>
          <w:rFonts w:hint="eastAsia" w:ascii="宋体" w:hAnsi="宋体"/>
          <w:szCs w:val="21"/>
        </w:rPr>
        <w:t>法一、二、三、四、五、六、七）或按有效评标价由低到高的次序（适用于</w:t>
      </w:r>
      <w:r>
        <w:rPr>
          <w:rFonts w:hint="eastAsia"/>
        </w:rPr>
        <w:t>办</w:t>
      </w:r>
      <w:r>
        <w:rPr>
          <w:rFonts w:hint="eastAsia" w:ascii="宋体" w:hAnsi="宋体"/>
          <w:szCs w:val="21"/>
        </w:rPr>
        <w:t>法八）作为中标候选人向招标人推荐。如果因有效投标不足三个使得投标明显缺乏竞争的，评标委员会可以否决所有投标，并建议招标人重新招标。</w:t>
      </w:r>
    </w:p>
    <w:p w14:paraId="527D4F16">
      <w:pPr>
        <w:adjustRightInd w:val="0"/>
        <w:snapToGrid w:val="0"/>
        <w:spacing w:line="441" w:lineRule="exact"/>
        <w:ind w:firstLine="420" w:firstLineChars="200"/>
        <w:rPr>
          <w:rFonts w:hint="eastAsia" w:ascii="宋体" w:hAnsi="宋体"/>
          <w:szCs w:val="21"/>
        </w:rPr>
      </w:pPr>
      <w:r>
        <w:rPr>
          <w:rFonts w:hint="eastAsia" w:ascii="宋体" w:hAnsi="宋体"/>
          <w:szCs w:val="21"/>
        </w:rPr>
        <w:t>A5.2.2  投标人数量少于三个或者所有投标被否决的，招标人应当依法重新招标。</w:t>
      </w:r>
    </w:p>
    <w:p w14:paraId="6698AF85">
      <w:pPr>
        <w:pStyle w:val="20"/>
        <w:rPr>
          <w:rFonts w:hint="eastAsia"/>
          <w:b/>
          <w:sz w:val="21"/>
          <w:szCs w:val="21"/>
        </w:rPr>
      </w:pPr>
      <w:bookmarkStart w:id="399" w:name="_Toc108513626"/>
      <w:r>
        <w:rPr>
          <w:rFonts w:hint="eastAsia"/>
          <w:b/>
          <w:sz w:val="21"/>
          <w:szCs w:val="21"/>
        </w:rPr>
        <w:t>A5.2直接确定中标人</w:t>
      </w:r>
      <w:bookmarkEnd w:id="399"/>
    </w:p>
    <w:p w14:paraId="43003284">
      <w:pPr>
        <w:adjustRightInd w:val="0"/>
        <w:snapToGrid w:val="0"/>
        <w:spacing w:line="441" w:lineRule="exact"/>
        <w:ind w:firstLine="420" w:firstLineChars="200"/>
        <w:rPr>
          <w:rFonts w:hint="eastAsia" w:ascii="宋体" w:hAnsi="宋体"/>
          <w:szCs w:val="21"/>
        </w:rPr>
      </w:pPr>
      <w:r>
        <w:rPr>
          <w:rFonts w:hint="eastAsia" w:ascii="宋体" w:hAnsi="宋体"/>
          <w:szCs w:val="21"/>
        </w:rPr>
        <w:t>第二章“投标人须知”前附表授权评标委员会直接确定中标人的，评标委员会按照最终得分由高至低的次序排列（适用于</w:t>
      </w:r>
      <w:r>
        <w:rPr>
          <w:rFonts w:hint="eastAsia"/>
        </w:rPr>
        <w:t>办</w:t>
      </w:r>
      <w:r>
        <w:rPr>
          <w:rFonts w:hint="eastAsia" w:ascii="宋体" w:hAnsi="宋体"/>
          <w:szCs w:val="21"/>
        </w:rPr>
        <w:t>法一、二、三、四、五、六、七）或按有效评标价由低到高的次序排列（适用于</w:t>
      </w:r>
      <w:r>
        <w:rPr>
          <w:rFonts w:hint="eastAsia"/>
        </w:rPr>
        <w:t>办</w:t>
      </w:r>
      <w:r>
        <w:rPr>
          <w:rFonts w:hint="eastAsia" w:ascii="宋体" w:hAnsi="宋体"/>
          <w:szCs w:val="21"/>
        </w:rPr>
        <w:t>法八），并依法确定中标人。</w:t>
      </w:r>
    </w:p>
    <w:p w14:paraId="11E30FA2">
      <w:pPr>
        <w:pStyle w:val="20"/>
        <w:rPr>
          <w:rFonts w:hint="eastAsia"/>
          <w:b/>
          <w:sz w:val="21"/>
          <w:szCs w:val="21"/>
        </w:rPr>
      </w:pPr>
      <w:bookmarkStart w:id="400" w:name="_Toc108513627"/>
      <w:r>
        <w:rPr>
          <w:rFonts w:hint="eastAsia"/>
          <w:b/>
          <w:sz w:val="21"/>
          <w:szCs w:val="21"/>
        </w:rPr>
        <w:t>A5.3编制评标报告</w:t>
      </w:r>
      <w:bookmarkEnd w:id="400"/>
    </w:p>
    <w:p w14:paraId="11DF1DE1">
      <w:pPr>
        <w:adjustRightInd w:val="0"/>
        <w:snapToGrid w:val="0"/>
        <w:spacing w:line="441" w:lineRule="exact"/>
        <w:ind w:firstLine="420" w:firstLineChars="200"/>
        <w:rPr>
          <w:rFonts w:hint="eastAsia" w:ascii="宋体" w:hAnsi="宋体"/>
          <w:szCs w:val="21"/>
        </w:rPr>
      </w:pPr>
      <w:r>
        <w:rPr>
          <w:rFonts w:hint="eastAsia" w:ascii="宋体" w:hAnsi="宋体"/>
          <w:szCs w:val="21"/>
        </w:rPr>
        <w:t>评标委员会根据本章第3.4.2项的规定向招标人提交评标报告。评标报告应当由全体评标委员会成员签字，并于评标结束时抄送有关行政监督部门。评标报告应当包括以下内容：</w:t>
      </w:r>
    </w:p>
    <w:p w14:paraId="37273A1B">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（1）基本情况和数据表；</w:t>
      </w:r>
    </w:p>
    <w:p w14:paraId="027B1582">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（2）评标委员会成员名单；</w:t>
      </w:r>
    </w:p>
    <w:p w14:paraId="72612EA7">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（3）开标记录；</w:t>
      </w:r>
    </w:p>
    <w:p w14:paraId="710CFD5D">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（4）符合要求的投标一览表；</w:t>
      </w:r>
    </w:p>
    <w:p w14:paraId="5B0FAA54">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（5）被否决投标的情况说明；</w:t>
      </w:r>
    </w:p>
    <w:p w14:paraId="4CB3F7CE">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（6）评标标准、评标方法或者评标因素一览表；</w:t>
      </w:r>
    </w:p>
    <w:p w14:paraId="0693684C">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（7）经评审的价格一览表(包括评标委员会在评标过程中所形成的所有记载评标结果、结论的表格、说明、记录等文件)；</w:t>
      </w:r>
    </w:p>
    <w:p w14:paraId="07CFE5E8">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（8）经评审的投标人排序；</w:t>
      </w:r>
    </w:p>
    <w:p w14:paraId="17E83497">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（9）推荐的中标候选人名单(如果第二章“投标人须知”前附表授权评标委员会直接确定中标人，则为“确定的中标人”)与签订合同前要处理的事宜；</w:t>
      </w:r>
    </w:p>
    <w:p w14:paraId="16CEF861">
      <w:pPr>
        <w:adjustRightInd w:val="0"/>
        <w:snapToGrid w:val="0"/>
        <w:spacing w:before="72" w:beforeLines="30" w:line="441" w:lineRule="exact"/>
        <w:ind w:firstLine="420" w:firstLineChars="200"/>
        <w:rPr>
          <w:rFonts w:hint="eastAsia" w:ascii="宋体" w:hAnsi="宋体"/>
          <w:szCs w:val="21"/>
        </w:rPr>
      </w:pPr>
      <w:r>
        <w:rPr>
          <w:rFonts w:hint="eastAsia" w:ascii="宋体" w:hAnsi="宋体"/>
          <w:szCs w:val="21"/>
        </w:rPr>
        <w:t>（10）澄清、说明、补正事项纪要。</w:t>
      </w:r>
    </w:p>
    <w:p w14:paraId="26C7AE0D">
      <w:pPr>
        <w:pStyle w:val="20"/>
        <w:rPr>
          <w:rFonts w:hint="eastAsia"/>
        </w:rPr>
      </w:pPr>
      <w:bookmarkStart w:id="401" w:name="_Toc108513628"/>
      <w:r>
        <w:rPr>
          <w:rFonts w:hint="eastAsia"/>
        </w:rPr>
        <w:t>A6．特殊情况的处置程序</w:t>
      </w:r>
      <w:bookmarkEnd w:id="401"/>
    </w:p>
    <w:p w14:paraId="13756841">
      <w:pPr>
        <w:pStyle w:val="20"/>
        <w:rPr>
          <w:rFonts w:hint="eastAsia" w:ascii="宋体" w:hAnsi="宋体"/>
          <w:b/>
          <w:szCs w:val="21"/>
        </w:rPr>
      </w:pPr>
      <w:bookmarkStart w:id="402" w:name="_Toc108513629"/>
      <w:r>
        <w:rPr>
          <w:rFonts w:hint="eastAsia"/>
          <w:b/>
          <w:sz w:val="21"/>
          <w:szCs w:val="21"/>
        </w:rPr>
        <w:t>A6.1  暗标评审的评审程序规定(适用于对施工组织设计进行暗标评审的)</w:t>
      </w:r>
      <w:bookmarkEnd w:id="402"/>
    </w:p>
    <w:p w14:paraId="5E80E545">
      <w:pPr>
        <w:adjustRightInd w:val="0"/>
        <w:snapToGrid w:val="0"/>
        <w:spacing w:line="441" w:lineRule="exact"/>
        <w:ind w:firstLine="420" w:firstLineChars="200"/>
        <w:rPr>
          <w:rFonts w:hint="eastAsia" w:ascii="宋体" w:hAnsi="宋体"/>
          <w:szCs w:val="21"/>
        </w:rPr>
      </w:pPr>
      <w:r>
        <w:rPr>
          <w:rFonts w:hint="eastAsia" w:ascii="宋体" w:hAnsi="宋体"/>
          <w:szCs w:val="21"/>
        </w:rPr>
        <w:t>如果第二章“投标人须知”前附表第</w:t>
      </w:r>
      <w:r>
        <w:rPr>
          <w:rFonts w:hint="eastAsia"/>
        </w:rPr>
        <w:t>3.7.4</w:t>
      </w:r>
      <w:r>
        <w:rPr>
          <w:rFonts w:hint="eastAsia" w:ascii="宋体" w:hAnsi="宋体"/>
          <w:szCs w:val="21"/>
        </w:rPr>
        <w:t>项要求对施工组织设计采用“暗标”方式，则评标委员会需将施工组织设计(暗标)的形式评审在初步评审阶段完成；如果施工组织设计只进行合格性审查的，也应在初步评审阶段完成。所有被否决的投标，在上述评审完成后再公开其暗标编码与投标人名称之间的对应关系。被否决的投标不再进入详细评审阶段。</w:t>
      </w:r>
    </w:p>
    <w:p w14:paraId="313956FA">
      <w:pPr>
        <w:adjustRightInd w:val="0"/>
        <w:snapToGrid w:val="0"/>
        <w:spacing w:line="441" w:lineRule="exact"/>
        <w:ind w:firstLine="420" w:firstLineChars="200"/>
        <w:rPr>
          <w:rFonts w:hint="eastAsia" w:ascii="宋体" w:hAnsi="宋体"/>
          <w:szCs w:val="21"/>
        </w:rPr>
      </w:pPr>
      <w:r>
        <w:rPr>
          <w:rFonts w:hint="eastAsia" w:ascii="宋体" w:hAnsi="宋体"/>
          <w:szCs w:val="21"/>
        </w:rPr>
        <w:t>如果施工组织设计是详细评审阶段的评审内容，电子交易平台应采取措施，在投标报价、施工组织设计、项目管理机构、其他因素的评审完成后，再公开相应暗标编码与投标人名称之间的对应关系。</w:t>
      </w:r>
    </w:p>
    <w:p w14:paraId="0E15B691">
      <w:pPr>
        <w:pStyle w:val="20"/>
        <w:rPr>
          <w:rFonts w:hint="eastAsia"/>
          <w:b/>
          <w:sz w:val="21"/>
          <w:szCs w:val="21"/>
        </w:rPr>
      </w:pPr>
      <w:bookmarkStart w:id="403" w:name="_Toc108513630"/>
      <w:r>
        <w:rPr>
          <w:rFonts w:hint="eastAsia"/>
          <w:b/>
          <w:sz w:val="21"/>
          <w:szCs w:val="21"/>
        </w:rPr>
        <w:t>A6.2关于评标活动暂停</w:t>
      </w:r>
      <w:bookmarkEnd w:id="403"/>
    </w:p>
    <w:p w14:paraId="087E3E5B">
      <w:pPr>
        <w:adjustRightInd w:val="0"/>
        <w:snapToGrid w:val="0"/>
        <w:spacing w:line="440" w:lineRule="exact"/>
        <w:ind w:firstLine="420" w:firstLineChars="200"/>
        <w:rPr>
          <w:rFonts w:hint="eastAsia" w:ascii="宋体" w:hAnsi="宋体"/>
          <w:szCs w:val="21"/>
        </w:rPr>
      </w:pPr>
      <w:r>
        <w:rPr>
          <w:rFonts w:hint="eastAsia" w:ascii="宋体" w:hAnsi="宋体"/>
          <w:szCs w:val="21"/>
        </w:rPr>
        <w:t>A6.2.1评标委员会应当执行连续评标的原则，按评标办法中规定的程序、内容、方法、标准完成全部评标工作。只有发生不可抗力导致评标工作无法继续时，评标活动方可暂停。</w:t>
      </w:r>
    </w:p>
    <w:p w14:paraId="3EC96F2B">
      <w:pPr>
        <w:adjustRightInd w:val="0"/>
        <w:snapToGrid w:val="0"/>
        <w:spacing w:before="48" w:beforeLines="20" w:line="440" w:lineRule="exact"/>
        <w:ind w:firstLine="420" w:firstLineChars="200"/>
        <w:rPr>
          <w:rFonts w:hint="eastAsia" w:ascii="宋体" w:hAnsi="宋体"/>
          <w:szCs w:val="21"/>
        </w:rPr>
      </w:pPr>
      <w:r>
        <w:rPr>
          <w:rFonts w:hint="eastAsia" w:ascii="宋体" w:hAnsi="宋体"/>
          <w:szCs w:val="21"/>
        </w:rPr>
        <w:t>A6.2.2发生评标暂停情况时，评标委员会应当封存全部投标文件和评标记录，待不可抗力的影响结束且具备继续评标的条件时，由原评标委员会继续评标。</w:t>
      </w:r>
    </w:p>
    <w:p w14:paraId="27E32456">
      <w:pPr>
        <w:pStyle w:val="20"/>
        <w:rPr>
          <w:rFonts w:hint="eastAsia"/>
          <w:b/>
          <w:sz w:val="21"/>
          <w:szCs w:val="21"/>
        </w:rPr>
      </w:pPr>
      <w:bookmarkStart w:id="404" w:name="_Toc108513631"/>
      <w:r>
        <w:rPr>
          <w:rFonts w:hint="eastAsia"/>
          <w:b/>
          <w:sz w:val="21"/>
          <w:szCs w:val="21"/>
        </w:rPr>
        <w:t>A6.3  关于评标中途更换评标委员会成员</w:t>
      </w:r>
      <w:bookmarkEnd w:id="404"/>
    </w:p>
    <w:p w14:paraId="6F218057">
      <w:pPr>
        <w:adjustRightInd w:val="0"/>
        <w:snapToGrid w:val="0"/>
        <w:spacing w:line="440" w:lineRule="exact"/>
        <w:ind w:firstLine="420" w:firstLineChars="200"/>
        <w:rPr>
          <w:rFonts w:hint="eastAsia" w:ascii="宋体" w:hAnsi="宋体"/>
          <w:szCs w:val="21"/>
        </w:rPr>
      </w:pPr>
      <w:r>
        <w:rPr>
          <w:rFonts w:hint="eastAsia" w:ascii="宋体" w:hAnsi="宋体"/>
          <w:szCs w:val="21"/>
        </w:rPr>
        <w:t>A6.3.1  除非发生下列情况之一，评标委员会成员不得在评标中途更换：</w:t>
      </w:r>
    </w:p>
    <w:p w14:paraId="5CFAC9BF">
      <w:pPr>
        <w:adjustRightInd w:val="0"/>
        <w:snapToGrid w:val="0"/>
        <w:spacing w:line="440" w:lineRule="exact"/>
        <w:ind w:firstLine="420" w:firstLineChars="200"/>
        <w:rPr>
          <w:rFonts w:hint="eastAsia" w:ascii="宋体" w:hAnsi="宋体"/>
          <w:szCs w:val="21"/>
        </w:rPr>
      </w:pPr>
      <w:r>
        <w:rPr>
          <w:rFonts w:hint="eastAsia" w:ascii="宋体" w:hAnsi="宋体"/>
          <w:szCs w:val="21"/>
        </w:rPr>
        <w:t>(1) 因不可抗拒的客观原因，不能到场或需在评标中途退出评标活动。</w:t>
      </w:r>
    </w:p>
    <w:p w14:paraId="795748D5">
      <w:pPr>
        <w:adjustRightInd w:val="0"/>
        <w:snapToGrid w:val="0"/>
        <w:spacing w:line="440" w:lineRule="exact"/>
        <w:ind w:firstLine="420" w:firstLineChars="200"/>
        <w:rPr>
          <w:rFonts w:hint="eastAsia" w:ascii="宋体" w:hAnsi="宋体"/>
          <w:szCs w:val="21"/>
        </w:rPr>
      </w:pPr>
      <w:r>
        <w:rPr>
          <w:rFonts w:hint="eastAsia" w:ascii="宋体" w:hAnsi="宋体"/>
          <w:szCs w:val="21"/>
        </w:rPr>
        <w:t>(2) 根据法律法规规定，某个或某几个评标委员会成员需要回避。</w:t>
      </w:r>
    </w:p>
    <w:p w14:paraId="68B32442">
      <w:pPr>
        <w:adjustRightInd w:val="0"/>
        <w:snapToGrid w:val="0"/>
        <w:spacing w:line="440" w:lineRule="exact"/>
        <w:ind w:firstLine="420" w:firstLineChars="200"/>
        <w:rPr>
          <w:rFonts w:hint="eastAsia" w:ascii="宋体" w:hAnsi="宋体"/>
          <w:szCs w:val="21"/>
        </w:rPr>
      </w:pPr>
      <w:r>
        <w:rPr>
          <w:rFonts w:hint="eastAsia" w:ascii="宋体" w:hAnsi="宋体"/>
          <w:szCs w:val="21"/>
        </w:rPr>
        <w:t>A6.3.2退出评标的评标委员会成员，其已完成的评标行为无效。由招标人根据本招标文件规定的评标委员会成员生产方式另行确定替代者进行评标。</w:t>
      </w:r>
    </w:p>
    <w:p w14:paraId="5D820CD4">
      <w:pPr>
        <w:pStyle w:val="20"/>
        <w:rPr>
          <w:rFonts w:hint="eastAsia"/>
          <w:b/>
          <w:sz w:val="21"/>
          <w:szCs w:val="21"/>
        </w:rPr>
      </w:pPr>
      <w:bookmarkStart w:id="405" w:name="_Toc108513632"/>
      <w:r>
        <w:rPr>
          <w:rFonts w:hint="eastAsia"/>
          <w:b/>
          <w:sz w:val="21"/>
          <w:szCs w:val="21"/>
        </w:rPr>
        <w:t>A6.4 评标争议处理</w:t>
      </w:r>
      <w:bookmarkEnd w:id="405"/>
    </w:p>
    <w:p w14:paraId="358FC8FB">
      <w:pPr>
        <w:spacing w:line="430" w:lineRule="exact"/>
        <w:ind w:firstLine="525" w:firstLineChars="250"/>
        <w:rPr>
          <w:rFonts w:hint="eastAsia" w:ascii="宋体" w:hAnsi="宋体"/>
          <w:szCs w:val="21"/>
        </w:rPr>
      </w:pPr>
      <w:r>
        <w:rPr>
          <w:rFonts w:hint="eastAsia" w:ascii="宋体" w:hAnsi="宋体"/>
          <w:szCs w:val="21"/>
        </w:rPr>
        <w:t>A6.4.1 评标委员会全体成员应独立评审，对所提出的评审意见承担个人责任。</w:t>
      </w:r>
    </w:p>
    <w:p w14:paraId="48F3B193">
      <w:pPr>
        <w:spacing w:line="430" w:lineRule="exact"/>
        <w:ind w:firstLine="420" w:firstLineChars="200"/>
        <w:rPr>
          <w:rFonts w:hint="eastAsia" w:ascii="宋体" w:hAnsi="宋体"/>
          <w:szCs w:val="21"/>
        </w:rPr>
      </w:pPr>
      <w:r>
        <w:rPr>
          <w:rFonts w:hint="eastAsia" w:ascii="宋体" w:hAnsi="宋体"/>
          <w:szCs w:val="21"/>
        </w:rPr>
        <w:t xml:space="preserve"> A6.4.2在任何评标环节中，需评标委员会就某项定性的评审结论做出表决的，由评标委员会全体成员按照少数服从多数的原则，以记名投票方式表决。表决不得违背法律、法规、规章和招标文件的规定。</w:t>
      </w:r>
    </w:p>
    <w:p w14:paraId="0C1A2839">
      <w:pPr>
        <w:adjustRightInd w:val="0"/>
        <w:snapToGrid w:val="0"/>
        <w:spacing w:line="440" w:lineRule="exact"/>
        <w:ind w:firstLine="525" w:firstLineChars="250"/>
        <w:rPr>
          <w:rFonts w:hint="eastAsia" w:ascii="宋体" w:hAnsi="宋体"/>
          <w:szCs w:val="21"/>
          <w:bdr w:val="single" w:color="auto" w:sz="4" w:space="0"/>
        </w:rPr>
      </w:pPr>
      <w:r>
        <w:rPr>
          <w:rFonts w:hint="eastAsia" w:ascii="宋体" w:hAnsi="宋体"/>
          <w:szCs w:val="21"/>
        </w:rPr>
        <w:t xml:space="preserve">A6.4.3 </w:t>
      </w:r>
      <w:r>
        <w:rPr>
          <w:rFonts w:hint="eastAsia"/>
        </w:rPr>
        <w:t>评标委员会成员对书面决议或评审结论持有异议的，</w:t>
      </w:r>
      <w:r>
        <w:rPr>
          <w:rFonts w:hint="eastAsia" w:ascii="宋体" w:hAnsi="宋体"/>
        </w:rPr>
        <w:t>可以</w:t>
      </w:r>
      <w:r>
        <w:rPr>
          <w:rFonts w:hint="eastAsia"/>
        </w:rPr>
        <w:t>书面阐述其不同意见和理由。拒绝在书面决议或评标报告上签名，且不陈述其不同意见和理由的，视为同意书面决议或评标结论，评标委员会应当</w:t>
      </w:r>
      <w:r>
        <w:rPr>
          <w:rFonts w:hint="eastAsia" w:ascii="宋体" w:hAnsi="宋体"/>
        </w:rPr>
        <w:t>对此</w:t>
      </w:r>
      <w:r>
        <w:rPr>
          <w:rFonts w:hint="eastAsia"/>
        </w:rPr>
        <w:t>在评标报告中做出书面说明。</w:t>
      </w:r>
    </w:p>
    <w:p w14:paraId="0C559328">
      <w:pPr>
        <w:pStyle w:val="20"/>
        <w:rPr>
          <w:rFonts w:hint="eastAsia"/>
        </w:rPr>
      </w:pPr>
      <w:bookmarkStart w:id="406" w:name="_Toc108513633"/>
      <w:r>
        <w:rPr>
          <w:rFonts w:hint="eastAsia"/>
        </w:rPr>
        <w:t>A7.补充条款</w:t>
      </w:r>
      <w:bookmarkEnd w:id="406"/>
    </w:p>
    <w:p w14:paraId="6E547652">
      <w:pPr>
        <w:adjustRightInd w:val="0"/>
        <w:snapToGrid w:val="0"/>
        <w:spacing w:line="440" w:lineRule="exact"/>
        <w:ind w:firstLine="420" w:firstLineChars="200"/>
        <w:rPr>
          <w:rFonts w:ascii="宋体" w:hAnsi="宋体"/>
          <w:szCs w:val="21"/>
        </w:rPr>
        <w:sectPr>
          <w:pgSz w:w="11907" w:h="16840"/>
          <w:pgMar w:top="1701" w:right="1531" w:bottom="1588" w:left="1474" w:header="851" w:footer="851" w:gutter="0"/>
          <w:cols w:space="720" w:num="1"/>
          <w:docGrid w:linePitch="312" w:charSpace="0"/>
        </w:sectPr>
      </w:pPr>
      <w:r>
        <w:rPr>
          <w:rFonts w:hint="eastAsia" w:ascii="宋体" w:hAnsi="宋体"/>
          <w:szCs w:val="21"/>
        </w:rPr>
        <w:t>……</w:t>
      </w:r>
    </w:p>
    <w:p w14:paraId="6761EF59">
      <w:pPr>
        <w:pStyle w:val="3"/>
        <w:rPr>
          <w:rFonts w:hint="eastAsia"/>
          <w:b w:val="0"/>
          <w:sz w:val="24"/>
          <w:szCs w:val="24"/>
        </w:rPr>
      </w:pPr>
      <w:bookmarkStart w:id="407" w:name="_Toc108513634"/>
      <w:r>
        <w:rPr>
          <w:rFonts w:hint="eastAsia"/>
          <w:b w:val="0"/>
          <w:sz w:val="24"/>
          <w:szCs w:val="24"/>
        </w:rPr>
        <w:t>附件B：否决投标的条件</w:t>
      </w:r>
      <w:bookmarkEnd w:id="407"/>
    </w:p>
    <w:p w14:paraId="7F38DFBE">
      <w:pPr>
        <w:jc w:val="center"/>
        <w:rPr>
          <w:rFonts w:hint="eastAsia" w:ascii="黑体" w:eastAsia="黑体"/>
          <w:b/>
          <w:sz w:val="28"/>
          <w:szCs w:val="28"/>
        </w:rPr>
      </w:pPr>
      <w:r>
        <w:rPr>
          <w:rFonts w:hint="eastAsia" w:ascii="黑体" w:eastAsia="黑体"/>
          <w:b/>
          <w:sz w:val="28"/>
          <w:szCs w:val="28"/>
        </w:rPr>
        <w:t>否决投标的条件</w:t>
      </w:r>
    </w:p>
    <w:p w14:paraId="35C9A8BD">
      <w:pPr>
        <w:pStyle w:val="20"/>
        <w:rPr>
          <w:rFonts w:hint="eastAsia"/>
        </w:rPr>
      </w:pPr>
      <w:bookmarkStart w:id="408" w:name="_Toc108513635"/>
      <w:r>
        <w:rPr>
          <w:rFonts w:hint="eastAsia"/>
        </w:rPr>
        <w:t>B0.总  则</w:t>
      </w:r>
      <w:bookmarkEnd w:id="408"/>
    </w:p>
    <w:p w14:paraId="5CF20620">
      <w:pPr>
        <w:spacing w:line="430" w:lineRule="exact"/>
        <w:ind w:firstLine="420" w:firstLineChars="200"/>
        <w:rPr>
          <w:rFonts w:hint="eastAsia" w:ascii="宋体" w:hAnsi="宋体"/>
        </w:rPr>
      </w:pPr>
      <w:r>
        <w:rPr>
          <w:rFonts w:hint="eastAsia" w:ascii="宋体" w:hAnsi="宋体"/>
        </w:rPr>
        <w:t>本附件所集中列示的否决投标的条件，是本章“评标办法”的组成部分，是对第二章“投标人须知”和本章正文部分所规定的否决投标的条件的总结和补充，如果出现不一致的情况，</w:t>
      </w:r>
      <w:r>
        <w:rPr>
          <w:rFonts w:hint="eastAsia"/>
        </w:rPr>
        <w:t>以本章前附表和正文部分的规定为准。</w:t>
      </w:r>
    </w:p>
    <w:p w14:paraId="70545150">
      <w:pPr>
        <w:pStyle w:val="20"/>
        <w:rPr>
          <w:rFonts w:hint="eastAsia"/>
        </w:rPr>
      </w:pPr>
      <w:bookmarkStart w:id="409" w:name="_Toc108513636"/>
      <w:r>
        <w:rPr>
          <w:rFonts w:hint="eastAsia"/>
        </w:rPr>
        <w:t>B1. 否决投标的条件</w:t>
      </w:r>
      <w:bookmarkEnd w:id="409"/>
    </w:p>
    <w:p w14:paraId="2AE793BD">
      <w:pPr>
        <w:spacing w:line="430" w:lineRule="exact"/>
        <w:ind w:firstLine="420" w:firstLineChars="200"/>
        <w:rPr>
          <w:rFonts w:hint="eastAsia" w:ascii="宋体" w:hAnsi="宋体"/>
        </w:rPr>
      </w:pPr>
      <w:r>
        <w:rPr>
          <w:rFonts w:hint="eastAsia" w:ascii="宋体" w:hAnsi="宋体"/>
        </w:rPr>
        <w:t>投标人或其投标文件有下列情形之一的，</w:t>
      </w:r>
      <w:r>
        <w:rPr>
          <w:rFonts w:hint="eastAsia"/>
        </w:rPr>
        <w:t>评标委员会应当否决其投标</w:t>
      </w:r>
      <w:r>
        <w:rPr>
          <w:rFonts w:hint="eastAsia" w:ascii="宋体" w:hAnsi="宋体"/>
        </w:rPr>
        <w:t>：</w:t>
      </w:r>
    </w:p>
    <w:p w14:paraId="2D9928BC">
      <w:pPr>
        <w:spacing w:line="430" w:lineRule="exact"/>
        <w:ind w:firstLine="420" w:firstLineChars="200"/>
        <w:rPr>
          <w:rFonts w:hint="eastAsia" w:ascii="宋体" w:hAnsi="宋体"/>
        </w:rPr>
      </w:pPr>
      <w:r>
        <w:rPr>
          <w:rFonts w:hint="eastAsia" w:ascii="宋体" w:hAnsi="宋体"/>
        </w:rPr>
        <w:t>B1.1  在形式评审、资格评审（适用于未进行资格预审的）、响应性评审中，评标委员会认定投标人的投标文件不符合评标办法前附表中规定的任何一项评审标准的。</w:t>
      </w:r>
    </w:p>
    <w:p w14:paraId="42772638">
      <w:pPr>
        <w:spacing w:line="430" w:lineRule="exact"/>
        <w:ind w:firstLine="420" w:firstLineChars="200"/>
        <w:rPr>
          <w:rFonts w:hint="eastAsia" w:ascii="宋体" w:hAnsi="宋体"/>
        </w:rPr>
      </w:pPr>
      <w:r>
        <w:rPr>
          <w:rFonts w:hint="eastAsia" w:ascii="宋体" w:hAnsi="宋体"/>
        </w:rPr>
        <w:t>B1.2  不按评标委员会要求澄清、说明或补正的。</w:t>
      </w:r>
    </w:p>
    <w:p w14:paraId="41ECCE89">
      <w:pPr>
        <w:spacing w:line="430" w:lineRule="exact"/>
        <w:ind w:firstLine="420" w:firstLineChars="200"/>
        <w:rPr>
          <w:rFonts w:hint="eastAsia" w:ascii="宋体" w:hAnsi="宋体"/>
        </w:rPr>
      </w:pPr>
      <w:r>
        <w:rPr>
          <w:rFonts w:hint="eastAsia" w:ascii="宋体" w:hAnsi="宋体"/>
        </w:rPr>
        <w:t>B1.3  有串通投标、弄虚作假</w:t>
      </w:r>
      <w:r>
        <w:rPr>
          <w:rFonts w:hint="eastAsia"/>
        </w:rPr>
        <w:t>、行贿或</w:t>
      </w:r>
      <w:r>
        <w:rPr>
          <w:rFonts w:hint="eastAsia" w:ascii="宋体" w:hAnsi="宋体"/>
        </w:rPr>
        <w:t>有其他违法行为的。</w:t>
      </w:r>
    </w:p>
    <w:p w14:paraId="4B709868">
      <w:pPr>
        <w:spacing w:line="430" w:lineRule="exact"/>
        <w:ind w:firstLine="420" w:firstLineChars="200"/>
        <w:rPr>
          <w:rFonts w:hint="eastAsia" w:ascii="仿宋_GB2312" w:eastAsia="仿宋_GB2312"/>
        </w:rPr>
      </w:pPr>
      <w:r>
        <w:rPr>
          <w:rFonts w:hint="eastAsia" w:ascii="仿宋_GB2312" w:eastAsia="仿宋_GB2312"/>
        </w:rPr>
        <w:t>……</w:t>
      </w:r>
    </w:p>
    <w:p w14:paraId="6A4FF0CB">
      <w:pPr>
        <w:adjustRightInd w:val="0"/>
        <w:snapToGrid w:val="0"/>
        <w:spacing w:line="440" w:lineRule="exact"/>
        <w:rPr>
          <w:rFonts w:hint="eastAsia" w:ascii="仿宋_GB2312" w:hAnsi="宋体" w:eastAsia="仿宋_GB2312"/>
          <w:szCs w:val="21"/>
        </w:rPr>
      </w:pPr>
    </w:p>
    <w:p w14:paraId="0340A782">
      <w:pPr>
        <w:adjustRightInd w:val="0"/>
        <w:snapToGrid w:val="0"/>
        <w:spacing w:line="440" w:lineRule="exact"/>
        <w:rPr>
          <w:rFonts w:hint="eastAsia" w:ascii="仿宋_GB2312" w:hAnsi="宋体" w:eastAsia="仿宋_GB2312"/>
          <w:szCs w:val="21"/>
        </w:rPr>
      </w:pPr>
    </w:p>
    <w:p w14:paraId="64F94398">
      <w:pPr>
        <w:adjustRightInd w:val="0"/>
        <w:snapToGrid w:val="0"/>
        <w:spacing w:line="440" w:lineRule="exact"/>
        <w:rPr>
          <w:rFonts w:hint="eastAsia" w:ascii="仿宋_GB2312" w:hAnsi="宋体" w:eastAsia="仿宋_GB2312"/>
          <w:szCs w:val="21"/>
        </w:rPr>
      </w:pPr>
    </w:p>
    <w:p w14:paraId="4568B6B5">
      <w:pPr>
        <w:adjustRightInd w:val="0"/>
        <w:snapToGrid w:val="0"/>
        <w:spacing w:line="440" w:lineRule="exact"/>
        <w:rPr>
          <w:rFonts w:hint="eastAsia" w:ascii="仿宋_GB2312" w:hAnsi="宋体" w:eastAsia="仿宋_GB2312"/>
          <w:szCs w:val="21"/>
        </w:rPr>
      </w:pPr>
    </w:p>
    <w:p w14:paraId="3B2F6B3D">
      <w:pPr>
        <w:adjustRightInd w:val="0"/>
        <w:snapToGrid w:val="0"/>
        <w:spacing w:line="440" w:lineRule="exact"/>
        <w:rPr>
          <w:rFonts w:hint="eastAsia" w:ascii="仿宋_GB2312" w:hAnsi="宋体" w:eastAsia="仿宋_GB2312"/>
          <w:szCs w:val="21"/>
        </w:rPr>
      </w:pPr>
    </w:p>
    <w:p w14:paraId="70C9624E">
      <w:pPr>
        <w:adjustRightInd w:val="0"/>
        <w:snapToGrid w:val="0"/>
        <w:spacing w:line="440" w:lineRule="exact"/>
        <w:rPr>
          <w:rFonts w:hint="eastAsia" w:ascii="仿宋_GB2312" w:hAnsi="宋体" w:eastAsia="仿宋_GB2312"/>
          <w:szCs w:val="21"/>
        </w:rPr>
      </w:pPr>
    </w:p>
    <w:p w14:paraId="1A60DA22">
      <w:pPr>
        <w:adjustRightInd w:val="0"/>
        <w:snapToGrid w:val="0"/>
        <w:spacing w:line="440" w:lineRule="exact"/>
        <w:rPr>
          <w:rFonts w:hint="eastAsia" w:ascii="仿宋_GB2312" w:hAnsi="宋体" w:eastAsia="仿宋_GB2312"/>
          <w:szCs w:val="21"/>
        </w:rPr>
      </w:pPr>
    </w:p>
    <w:p w14:paraId="7BD8A5F0">
      <w:pPr>
        <w:adjustRightInd w:val="0"/>
        <w:snapToGrid w:val="0"/>
        <w:spacing w:line="440" w:lineRule="exact"/>
        <w:rPr>
          <w:rFonts w:hint="eastAsia" w:ascii="仿宋_GB2312" w:hAnsi="宋体" w:eastAsia="仿宋_GB2312"/>
          <w:szCs w:val="21"/>
        </w:rPr>
      </w:pPr>
    </w:p>
    <w:p w14:paraId="356C7371">
      <w:pPr>
        <w:adjustRightInd w:val="0"/>
        <w:snapToGrid w:val="0"/>
        <w:spacing w:line="440" w:lineRule="exact"/>
        <w:rPr>
          <w:rFonts w:hint="eastAsia" w:ascii="仿宋_GB2312" w:hAnsi="宋体" w:eastAsia="仿宋_GB2312"/>
          <w:szCs w:val="21"/>
        </w:rPr>
      </w:pPr>
    </w:p>
    <w:p w14:paraId="3D10AE16">
      <w:pPr>
        <w:adjustRightInd w:val="0"/>
        <w:snapToGrid w:val="0"/>
        <w:spacing w:line="440" w:lineRule="exact"/>
        <w:rPr>
          <w:rFonts w:hint="eastAsia" w:ascii="仿宋_GB2312" w:hAnsi="宋体" w:eastAsia="仿宋_GB2312"/>
          <w:szCs w:val="21"/>
        </w:rPr>
      </w:pPr>
    </w:p>
    <w:p w14:paraId="0466CA6E">
      <w:pPr>
        <w:adjustRightInd w:val="0"/>
        <w:snapToGrid w:val="0"/>
        <w:spacing w:line="440" w:lineRule="exact"/>
        <w:rPr>
          <w:rFonts w:hint="eastAsia" w:ascii="仿宋_GB2312" w:hAnsi="宋体" w:eastAsia="仿宋_GB2312"/>
          <w:szCs w:val="21"/>
        </w:rPr>
      </w:pPr>
    </w:p>
    <w:p w14:paraId="02935CB6">
      <w:pPr>
        <w:adjustRightInd w:val="0"/>
        <w:snapToGrid w:val="0"/>
        <w:spacing w:line="440" w:lineRule="exact"/>
        <w:rPr>
          <w:rFonts w:hint="eastAsia" w:ascii="仿宋_GB2312" w:hAnsi="宋体" w:eastAsia="仿宋_GB2312"/>
          <w:szCs w:val="21"/>
        </w:rPr>
      </w:pPr>
    </w:p>
    <w:p w14:paraId="3A01F5E5">
      <w:pPr>
        <w:adjustRightInd w:val="0"/>
        <w:snapToGrid w:val="0"/>
        <w:spacing w:line="440" w:lineRule="exact"/>
        <w:rPr>
          <w:rFonts w:hint="eastAsia" w:ascii="仿宋_GB2312" w:hAnsi="宋体" w:eastAsia="仿宋_GB2312"/>
          <w:szCs w:val="21"/>
        </w:rPr>
      </w:pPr>
    </w:p>
    <w:p w14:paraId="4B8DD408">
      <w:pPr>
        <w:adjustRightInd w:val="0"/>
        <w:snapToGrid w:val="0"/>
        <w:spacing w:line="440" w:lineRule="exact"/>
        <w:rPr>
          <w:rFonts w:hint="eastAsia" w:ascii="仿宋_GB2312" w:hAnsi="宋体" w:eastAsia="仿宋_GB2312"/>
          <w:szCs w:val="21"/>
        </w:rPr>
      </w:pPr>
    </w:p>
    <w:p w14:paraId="3BC27AF0">
      <w:pPr>
        <w:pStyle w:val="3"/>
        <w:rPr>
          <w:rFonts w:hint="eastAsia"/>
          <w:b w:val="0"/>
          <w:sz w:val="24"/>
          <w:szCs w:val="24"/>
        </w:rPr>
      </w:pPr>
      <w:bookmarkStart w:id="410" w:name="_Toc108513637"/>
      <w:r>
        <w:rPr>
          <w:rFonts w:hint="eastAsia"/>
          <w:b w:val="0"/>
          <w:sz w:val="24"/>
          <w:szCs w:val="24"/>
        </w:rPr>
        <w:t>附件C：清标报告</w:t>
      </w:r>
      <w:bookmarkEnd w:id="410"/>
    </w:p>
    <w:p w14:paraId="64019EE4">
      <w:pPr>
        <w:jc w:val="center"/>
        <w:rPr>
          <w:rFonts w:hint="eastAsia" w:ascii="黑体" w:eastAsia="黑体"/>
          <w:b/>
          <w:sz w:val="28"/>
          <w:szCs w:val="28"/>
        </w:rPr>
      </w:pPr>
      <w:r>
        <w:rPr>
          <w:rFonts w:hint="eastAsia" w:ascii="黑体" w:eastAsia="黑体"/>
          <w:b/>
          <w:sz w:val="28"/>
          <w:szCs w:val="28"/>
        </w:rPr>
        <w:t>清标报告</w:t>
      </w:r>
    </w:p>
    <w:p w14:paraId="42FD0DE2">
      <w:pPr>
        <w:adjustRightInd w:val="0"/>
        <w:snapToGrid w:val="0"/>
        <w:spacing w:line="440" w:lineRule="exact"/>
        <w:rPr>
          <w:rFonts w:hint="eastAsia" w:ascii="黑体" w:hAnsi="宋体" w:eastAsia="黑体"/>
          <w:sz w:val="24"/>
        </w:rPr>
      </w:pPr>
    </w:p>
    <w:p w14:paraId="7A4F6760">
      <w:pPr>
        <w:pStyle w:val="20"/>
      </w:pPr>
      <w:bookmarkStart w:id="411" w:name="_Toc108513638"/>
      <w:r>
        <w:rPr>
          <w:rFonts w:hint="eastAsia"/>
        </w:rPr>
        <w:t>C0.</w:t>
      </w:r>
      <w:r>
        <w:t>总  则</w:t>
      </w:r>
      <w:bookmarkEnd w:id="411"/>
    </w:p>
    <w:p w14:paraId="2002B5E8">
      <w:pPr>
        <w:adjustRightInd w:val="0"/>
        <w:snapToGrid w:val="0"/>
        <w:spacing w:line="402" w:lineRule="atLeast"/>
        <w:ind w:firstLine="420" w:firstLineChars="200"/>
        <w:rPr>
          <w:rFonts w:hint="eastAsia" w:ascii="宋体" w:hAnsi="宋体"/>
        </w:rPr>
      </w:pPr>
      <w:r>
        <w:rPr>
          <w:rFonts w:hint="eastAsia" w:ascii="宋体" w:hAnsi="宋体"/>
        </w:rPr>
        <w:t>本附件是本章“评标办法”的组成部分，评标委员会在评标准备和初步评审阶段对投标文件进行基础性数据分析和整理工作(清标)</w:t>
      </w:r>
      <w:r>
        <w:rPr>
          <w:rFonts w:ascii="宋体" w:hAnsi="宋体"/>
        </w:rPr>
        <w:t>时，适用本</w:t>
      </w:r>
      <w:r>
        <w:rPr>
          <w:rFonts w:hint="eastAsia" w:ascii="宋体" w:hAnsi="宋体"/>
        </w:rPr>
        <w:t>附件所规定的办法。</w:t>
      </w:r>
    </w:p>
    <w:p w14:paraId="3BC54057">
      <w:pPr>
        <w:pStyle w:val="20"/>
        <w:rPr>
          <w:rFonts w:hint="eastAsia"/>
        </w:rPr>
      </w:pPr>
      <w:bookmarkStart w:id="412" w:name="_Toc108513639"/>
      <w:r>
        <w:rPr>
          <w:rFonts w:hint="eastAsia"/>
        </w:rPr>
        <w:t>C1.清标程序</w:t>
      </w:r>
      <w:bookmarkEnd w:id="412"/>
    </w:p>
    <w:p w14:paraId="7F7657CD">
      <w:pPr>
        <w:spacing w:line="440" w:lineRule="exact"/>
        <w:ind w:firstLine="420" w:firstLineChars="200"/>
        <w:rPr>
          <w:rFonts w:hint="eastAsia" w:ascii="宋体" w:hAnsi="宋体"/>
        </w:rPr>
      </w:pPr>
      <w:r>
        <w:rPr>
          <w:rFonts w:hint="eastAsia" w:ascii="宋体" w:hAnsi="宋体"/>
        </w:rPr>
        <w:t>投标人的投标文件在本章“评标办法”规定的“初步评审”阶段，不存在应当否决的情形的投标应当进入清标程序。清标程序包括：</w:t>
      </w:r>
    </w:p>
    <w:p w14:paraId="4353ECAC">
      <w:pPr>
        <w:adjustRightInd w:val="0"/>
        <w:snapToGrid w:val="0"/>
        <w:spacing w:line="402" w:lineRule="atLeast"/>
        <w:ind w:firstLine="420" w:firstLineChars="200"/>
        <w:rPr>
          <w:rFonts w:hint="eastAsia" w:ascii="宋体" w:hAnsi="宋体"/>
          <w:szCs w:val="21"/>
        </w:rPr>
      </w:pPr>
      <w:r>
        <w:rPr>
          <w:rFonts w:hint="eastAsia" w:ascii="宋体" w:hAnsi="宋体"/>
        </w:rPr>
        <w:t>C1.1</w:t>
      </w:r>
      <w:r>
        <w:rPr>
          <w:rFonts w:hint="eastAsia" w:ascii="宋体" w:hAnsi="宋体"/>
          <w:szCs w:val="21"/>
        </w:rPr>
        <w:t>已标价工程量清单符合性检查</w:t>
      </w:r>
    </w:p>
    <w:p w14:paraId="1A2A3829">
      <w:pPr>
        <w:adjustRightInd w:val="0"/>
        <w:snapToGrid w:val="0"/>
        <w:spacing w:line="402" w:lineRule="atLeast"/>
        <w:ind w:firstLine="420" w:firstLineChars="200"/>
        <w:rPr>
          <w:rFonts w:hint="eastAsia" w:ascii="宋体" w:hAnsi="宋体"/>
        </w:rPr>
      </w:pPr>
      <w:r>
        <w:rPr>
          <w:rFonts w:hint="eastAsia" w:ascii="宋体" w:hAnsi="宋体"/>
        </w:rPr>
        <w:t>C1.2</w:t>
      </w:r>
      <w:r>
        <w:rPr>
          <w:rFonts w:hint="eastAsia" w:ascii="宋体" w:hAnsi="宋体"/>
          <w:szCs w:val="21"/>
        </w:rPr>
        <w:t>已标价工程量清单算术</w:t>
      </w:r>
      <w:r>
        <w:rPr>
          <w:rFonts w:hint="eastAsia" w:ascii="宋体" w:hAnsi="宋体"/>
        </w:rPr>
        <w:t>错误修正</w:t>
      </w:r>
    </w:p>
    <w:p w14:paraId="40D69A41">
      <w:pPr>
        <w:adjustRightInd w:val="0"/>
        <w:snapToGrid w:val="0"/>
        <w:spacing w:line="402" w:lineRule="atLeast"/>
        <w:ind w:firstLine="420" w:firstLineChars="200"/>
        <w:rPr>
          <w:rFonts w:hint="eastAsia" w:ascii="宋体" w:hAnsi="宋体"/>
          <w:b/>
        </w:rPr>
      </w:pPr>
      <w:r>
        <w:rPr>
          <w:rFonts w:hint="eastAsia" w:ascii="宋体" w:hAnsi="宋体"/>
        </w:rPr>
        <w:t>C1.3</w:t>
      </w:r>
      <w:r>
        <w:rPr>
          <w:rFonts w:hint="eastAsia" w:ascii="宋体" w:hAnsi="宋体"/>
          <w:szCs w:val="21"/>
        </w:rPr>
        <w:t>已标价工程量清单合理性分析</w:t>
      </w:r>
    </w:p>
    <w:p w14:paraId="31CD0A22">
      <w:pPr>
        <w:pStyle w:val="20"/>
        <w:rPr>
          <w:rFonts w:hint="eastAsia"/>
        </w:rPr>
      </w:pPr>
      <w:bookmarkStart w:id="413" w:name="_Toc108513640"/>
      <w:r>
        <w:rPr>
          <w:rFonts w:hint="eastAsia"/>
        </w:rPr>
        <w:t>C2.清标内容</w:t>
      </w:r>
      <w:bookmarkEnd w:id="413"/>
    </w:p>
    <w:p w14:paraId="11A72CB5">
      <w:pPr>
        <w:adjustRightInd w:val="0"/>
        <w:snapToGrid w:val="0"/>
        <w:spacing w:line="402" w:lineRule="atLeast"/>
        <w:ind w:firstLine="420" w:firstLineChars="200"/>
        <w:rPr>
          <w:rFonts w:hint="eastAsia" w:ascii="宋体" w:hAnsi="宋体"/>
          <w:szCs w:val="21"/>
        </w:rPr>
      </w:pPr>
      <w:r>
        <w:rPr>
          <w:rFonts w:hint="eastAsia" w:ascii="宋体" w:hAnsi="宋体"/>
        </w:rPr>
        <w:t>评标委员会</w:t>
      </w:r>
      <w:r>
        <w:rPr>
          <w:rFonts w:ascii="宋体" w:hAnsi="宋体" w:cs="Arial"/>
          <w:szCs w:val="21"/>
        </w:rPr>
        <w:t>在不改变投标人投标文件实质性内容的前提下</w:t>
      </w:r>
      <w:r>
        <w:rPr>
          <w:rFonts w:hint="eastAsia" w:ascii="宋体" w:hAnsi="宋体" w:cs="Arial"/>
          <w:szCs w:val="21"/>
        </w:rPr>
        <w:t>，</w:t>
      </w:r>
      <w:r>
        <w:rPr>
          <w:rFonts w:ascii="宋体" w:hAnsi="宋体" w:cs="Arial"/>
          <w:szCs w:val="21"/>
        </w:rPr>
        <w:t>对投标文件</w:t>
      </w:r>
      <w:r>
        <w:rPr>
          <w:rFonts w:hint="eastAsia" w:ascii="宋体" w:hAnsi="宋体"/>
          <w:szCs w:val="21"/>
        </w:rPr>
        <w:t>已标价工程量清单</w:t>
      </w:r>
      <w:r>
        <w:rPr>
          <w:rFonts w:ascii="宋体" w:hAnsi="宋体" w:cs="Arial"/>
          <w:szCs w:val="21"/>
        </w:rPr>
        <w:t>进行</w:t>
      </w:r>
      <w:r>
        <w:rPr>
          <w:rFonts w:hint="eastAsia" w:ascii="宋体" w:hAnsi="宋体"/>
          <w:szCs w:val="21"/>
        </w:rPr>
        <w:t>符合性检查、算术</w:t>
      </w:r>
      <w:r>
        <w:rPr>
          <w:rFonts w:hint="eastAsia" w:ascii="宋体" w:hAnsi="宋体"/>
        </w:rPr>
        <w:t>错误修正，对其报价进行</w:t>
      </w:r>
      <w:r>
        <w:rPr>
          <w:rFonts w:hint="eastAsia" w:ascii="宋体" w:hAnsi="宋体"/>
          <w:szCs w:val="21"/>
        </w:rPr>
        <w:t>合理性分析，并形成清标报告。清标报告应当包括以下内容：</w:t>
      </w:r>
    </w:p>
    <w:p w14:paraId="7BD40E5C">
      <w:pPr>
        <w:pStyle w:val="20"/>
        <w:ind w:firstLine="413" w:firstLineChars="196"/>
        <w:rPr>
          <w:rFonts w:hint="eastAsia"/>
          <w:b/>
          <w:sz w:val="21"/>
          <w:szCs w:val="21"/>
        </w:rPr>
      </w:pPr>
      <w:bookmarkStart w:id="414" w:name="_Toc108513641"/>
      <w:r>
        <w:rPr>
          <w:rFonts w:hint="eastAsia"/>
          <w:b/>
          <w:sz w:val="21"/>
          <w:szCs w:val="21"/>
        </w:rPr>
        <w:t>C2.1已标价工程量清单符合性检查</w:t>
      </w:r>
      <w:bookmarkEnd w:id="414"/>
    </w:p>
    <w:p w14:paraId="4AD9EF34">
      <w:pPr>
        <w:adjustRightInd w:val="0"/>
        <w:snapToGrid w:val="0"/>
        <w:spacing w:line="402" w:lineRule="atLeast"/>
        <w:ind w:firstLine="420" w:firstLineChars="200"/>
        <w:rPr>
          <w:rFonts w:hint="eastAsia" w:ascii="宋体" w:hAnsi="宋体"/>
          <w:szCs w:val="21"/>
        </w:rPr>
      </w:pPr>
      <w:r>
        <w:rPr>
          <w:rFonts w:hint="eastAsia" w:ascii="宋体" w:hAnsi="宋体"/>
          <w:szCs w:val="21"/>
        </w:rPr>
        <w:t>已标价工程量清单符合性检查主要是检查各投标人编制的已标价工程量清单编制的规范性。并用使用附表C-1至附表C-6记录检查结果。</w:t>
      </w:r>
    </w:p>
    <w:p w14:paraId="175AAAA5">
      <w:pPr>
        <w:adjustRightInd w:val="0"/>
        <w:snapToGrid w:val="0"/>
        <w:spacing w:line="402" w:lineRule="atLeast"/>
        <w:ind w:firstLine="420" w:firstLineChars="200"/>
        <w:rPr>
          <w:rFonts w:hint="eastAsia" w:ascii="宋体" w:hAnsi="宋体"/>
          <w:szCs w:val="21"/>
        </w:rPr>
      </w:pPr>
      <w:r>
        <w:rPr>
          <w:rFonts w:hint="eastAsia" w:ascii="宋体" w:hAnsi="宋体"/>
        </w:rPr>
        <w:t>C2.1.1</w:t>
      </w:r>
      <w:r>
        <w:rPr>
          <w:rFonts w:hint="eastAsia" w:ascii="宋体" w:hAnsi="宋体"/>
          <w:szCs w:val="21"/>
        </w:rPr>
        <w:t>分部分项工程</w:t>
      </w:r>
      <w:r>
        <w:rPr>
          <w:rFonts w:ascii="宋体" w:hAnsi="宋体"/>
          <w:szCs w:val="21"/>
        </w:rPr>
        <w:t>和单价措施项目</w:t>
      </w:r>
      <w:r>
        <w:rPr>
          <w:rFonts w:hint="eastAsia" w:ascii="宋体" w:hAnsi="宋体"/>
          <w:szCs w:val="21"/>
        </w:rPr>
        <w:t>符合性检查：</w:t>
      </w:r>
    </w:p>
    <w:p w14:paraId="07209296">
      <w:pPr>
        <w:adjustRightInd w:val="0"/>
        <w:snapToGrid w:val="0"/>
        <w:spacing w:line="402" w:lineRule="atLeast"/>
        <w:ind w:firstLine="420" w:firstLineChars="200"/>
        <w:rPr>
          <w:rFonts w:hint="eastAsia"/>
        </w:rPr>
      </w:pPr>
      <w:r>
        <w:rPr>
          <w:rFonts w:hint="eastAsia" w:ascii="宋体" w:hAnsi="宋体"/>
          <w:szCs w:val="21"/>
        </w:rPr>
        <w:t>即检查各投标人已标价的工程量清单中分部分项工程</w:t>
      </w:r>
      <w:r>
        <w:rPr>
          <w:rFonts w:ascii="宋体" w:hAnsi="宋体"/>
          <w:szCs w:val="21"/>
        </w:rPr>
        <w:t>和单价措施项目</w:t>
      </w:r>
      <w:r>
        <w:rPr>
          <w:rFonts w:hint="eastAsia" w:ascii="宋体" w:hAnsi="宋体"/>
          <w:szCs w:val="21"/>
        </w:rPr>
        <w:t>是否存在项目编码错误、项目名称错误、项目特征描述错误、计量单位错误、工程量错误，是否存在未填报的项目、是否存多填报的项目，</w:t>
      </w:r>
      <w:r>
        <w:rPr>
          <w:rFonts w:hint="eastAsia"/>
        </w:rPr>
        <w:t>已标价清单中相应材料、设备材料设备与材料（工程设备）暂估或发包人提供材料和工程设备单价是否一致。</w:t>
      </w:r>
    </w:p>
    <w:p w14:paraId="28A379AE">
      <w:pPr>
        <w:adjustRightInd w:val="0"/>
        <w:snapToGrid w:val="0"/>
        <w:spacing w:line="402" w:lineRule="atLeast"/>
        <w:ind w:firstLine="420" w:firstLineChars="200"/>
        <w:rPr>
          <w:rFonts w:hint="eastAsia" w:ascii="宋体" w:hAnsi="宋体"/>
          <w:szCs w:val="21"/>
        </w:rPr>
      </w:pPr>
      <w:r>
        <w:rPr>
          <w:rFonts w:hint="eastAsia" w:ascii="宋体" w:hAnsi="宋体"/>
        </w:rPr>
        <w:t>C2.1.2</w:t>
      </w:r>
      <w:r>
        <w:rPr>
          <w:rFonts w:hint="eastAsia" w:ascii="宋体" w:hAnsi="宋体"/>
          <w:szCs w:val="21"/>
        </w:rPr>
        <w:t>总价措施项目符合性检查：</w:t>
      </w:r>
    </w:p>
    <w:p w14:paraId="5AC11BDC">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即检查各投标人已标价的工程量清单中总价措施项目是否存在项目编码错误、项目名称错误、计算基础错误、安全文明施工费的取费费率是否存在错误。</w:t>
      </w:r>
    </w:p>
    <w:p w14:paraId="2636C8BA">
      <w:pPr>
        <w:adjustRightInd w:val="0"/>
        <w:snapToGrid w:val="0"/>
        <w:spacing w:line="402" w:lineRule="atLeast"/>
        <w:ind w:firstLine="420" w:firstLineChars="200"/>
        <w:rPr>
          <w:rFonts w:hint="eastAsia" w:ascii="宋体" w:hAnsi="宋体"/>
          <w:szCs w:val="21"/>
        </w:rPr>
      </w:pPr>
      <w:r>
        <w:rPr>
          <w:rFonts w:hint="eastAsia" w:ascii="宋体" w:hAnsi="宋体"/>
        </w:rPr>
        <w:t>C2.1.3</w:t>
      </w:r>
      <w:r>
        <w:rPr>
          <w:rFonts w:hint="eastAsia" w:ascii="宋体" w:hAnsi="宋体"/>
          <w:szCs w:val="21"/>
        </w:rPr>
        <w:t>其他项目符合性检查</w:t>
      </w:r>
    </w:p>
    <w:p w14:paraId="5D667452">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即检查各投标人已标价的工程量清单中其他项目是否存在项目名称错误、金额错误。包括：</w:t>
      </w:r>
    </w:p>
    <w:p w14:paraId="4F9FABE4">
      <w:pPr>
        <w:adjustRightInd w:val="0"/>
        <w:snapToGrid w:val="0"/>
        <w:spacing w:line="402" w:lineRule="atLeast"/>
        <w:ind w:firstLine="420" w:firstLineChars="200"/>
        <w:rPr>
          <w:rFonts w:hint="eastAsia" w:ascii="宋体" w:hAnsi="宋体"/>
          <w:szCs w:val="21"/>
        </w:rPr>
      </w:pPr>
      <w:r>
        <w:rPr>
          <w:rFonts w:hint="eastAsia" w:ascii="宋体" w:hAnsi="宋体"/>
          <w:szCs w:val="21"/>
        </w:rPr>
        <w:t>检查暂列金是否存在项目名称错误、计量单位错误、暂定金额错误、是否存在未填报的项目、是否存多填报的项目。</w:t>
      </w:r>
    </w:p>
    <w:p w14:paraId="529E168C">
      <w:pPr>
        <w:adjustRightInd w:val="0"/>
        <w:snapToGrid w:val="0"/>
        <w:spacing w:line="402" w:lineRule="atLeast"/>
        <w:ind w:firstLine="420" w:firstLineChars="200"/>
        <w:rPr>
          <w:rFonts w:ascii="宋体" w:hAnsi="宋体"/>
          <w:szCs w:val="21"/>
        </w:rPr>
      </w:pPr>
      <w:r>
        <w:rPr>
          <w:rFonts w:hint="eastAsia" w:ascii="宋体" w:hAnsi="宋体"/>
          <w:szCs w:val="21"/>
        </w:rPr>
        <w:t>检查材料（工程设备）暂估是否存在材料（设备）名称、规格、型号错误、计量单位错误、数量错误、暂估单价错误、是否存在未填报的项目、是否存多填报的项目。</w:t>
      </w:r>
    </w:p>
    <w:p w14:paraId="545C17BE">
      <w:pPr>
        <w:adjustRightInd w:val="0"/>
        <w:snapToGrid w:val="0"/>
        <w:spacing w:line="402" w:lineRule="atLeast"/>
        <w:ind w:firstLine="420" w:firstLineChars="200"/>
        <w:rPr>
          <w:rFonts w:hint="eastAsia" w:ascii="宋体" w:hAnsi="宋体"/>
          <w:szCs w:val="21"/>
        </w:rPr>
      </w:pPr>
      <w:r>
        <w:rPr>
          <w:rFonts w:hint="eastAsia" w:ascii="宋体" w:hAnsi="宋体"/>
          <w:szCs w:val="21"/>
        </w:rPr>
        <w:t>检查专业工程暂估是否存在工程名称错误、工程内容错误、暂估金额错误，是否存在未填报的项目、是否存多填报的项目。</w:t>
      </w:r>
    </w:p>
    <w:p w14:paraId="47C46A19">
      <w:pPr>
        <w:adjustRightInd w:val="0"/>
        <w:snapToGrid w:val="0"/>
        <w:spacing w:line="402" w:lineRule="atLeast"/>
        <w:ind w:firstLine="420" w:firstLineChars="200"/>
        <w:rPr>
          <w:rFonts w:hint="eastAsia" w:ascii="宋体" w:hAnsi="宋体"/>
          <w:szCs w:val="21"/>
        </w:rPr>
      </w:pPr>
      <w:r>
        <w:rPr>
          <w:rFonts w:hint="eastAsia" w:ascii="宋体" w:hAnsi="宋体"/>
          <w:szCs w:val="21"/>
        </w:rPr>
        <w:t>检查计日工是否存在项目名称错误、暂定数量错误，是否存在未填报的项目、是否存多填报的项目。</w:t>
      </w:r>
    </w:p>
    <w:p w14:paraId="4DABD30C">
      <w:pPr>
        <w:adjustRightInd w:val="0"/>
        <w:snapToGrid w:val="0"/>
        <w:spacing w:line="402" w:lineRule="atLeast"/>
        <w:ind w:firstLine="420" w:firstLineChars="200"/>
        <w:rPr>
          <w:rFonts w:hint="eastAsia" w:ascii="宋体" w:hAnsi="宋体"/>
          <w:szCs w:val="21"/>
        </w:rPr>
      </w:pPr>
      <w:r>
        <w:rPr>
          <w:rFonts w:hint="eastAsia" w:ascii="宋体" w:hAnsi="宋体"/>
          <w:szCs w:val="21"/>
        </w:rPr>
        <w:t>检查总承包服务费是否存工程名称错误、项目价值错误、服务内容错误、计算基础错误、在是否存在未填报的项目、是否存多填报的项目。</w:t>
      </w:r>
    </w:p>
    <w:p w14:paraId="1D6D0A64">
      <w:pPr>
        <w:adjustRightInd w:val="0"/>
        <w:snapToGrid w:val="0"/>
        <w:spacing w:line="402" w:lineRule="atLeast"/>
        <w:ind w:firstLine="420" w:firstLineChars="200"/>
        <w:rPr>
          <w:rFonts w:hint="eastAsia" w:ascii="宋体" w:hAnsi="宋体"/>
          <w:szCs w:val="21"/>
        </w:rPr>
      </w:pPr>
      <w:r>
        <w:rPr>
          <w:rFonts w:hint="eastAsia" w:ascii="宋体" w:hAnsi="宋体"/>
        </w:rPr>
        <w:t>C2.1.4</w:t>
      </w:r>
      <w:r>
        <w:rPr>
          <w:rFonts w:hint="eastAsia" w:ascii="宋体" w:hAnsi="宋体"/>
          <w:szCs w:val="21"/>
        </w:rPr>
        <w:t>规费、税金项目符合性检查</w:t>
      </w:r>
    </w:p>
    <w:p w14:paraId="1D8EA308">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即检查各投标人已标价的工程量清单中规费、税金项目是否存在项目名称错误、计税方法错误、计算基础错误、计算基数错误、费率（%）错误。（税金定义见第五章工程量清单第3.1.8项，下同）</w:t>
      </w:r>
    </w:p>
    <w:p w14:paraId="55B9C386">
      <w:pPr>
        <w:adjustRightInd w:val="0"/>
        <w:snapToGrid w:val="0"/>
        <w:spacing w:line="402" w:lineRule="atLeast"/>
        <w:ind w:firstLine="420" w:firstLineChars="200"/>
        <w:rPr>
          <w:rFonts w:hint="eastAsia" w:ascii="宋体" w:hAnsi="宋体"/>
          <w:szCs w:val="21"/>
        </w:rPr>
      </w:pPr>
      <w:r>
        <w:rPr>
          <w:rFonts w:hint="eastAsia" w:ascii="宋体" w:hAnsi="宋体"/>
        </w:rPr>
        <w:t>C2.1.5</w:t>
      </w:r>
      <w:r>
        <w:rPr>
          <w:rFonts w:hint="eastAsia" w:ascii="宋体" w:hAnsi="宋体"/>
          <w:szCs w:val="21"/>
        </w:rPr>
        <w:t>发包人提供材料和工程设备符合性检查</w:t>
      </w:r>
    </w:p>
    <w:p w14:paraId="218265EA">
      <w:pPr>
        <w:adjustRightInd w:val="0"/>
        <w:snapToGrid w:val="0"/>
        <w:spacing w:line="402" w:lineRule="atLeast"/>
        <w:ind w:firstLine="420" w:firstLineChars="200"/>
        <w:rPr>
          <w:rFonts w:hint="eastAsia" w:ascii="宋体" w:hAnsi="宋体"/>
          <w:szCs w:val="21"/>
        </w:rPr>
      </w:pPr>
      <w:r>
        <w:rPr>
          <w:rFonts w:hint="eastAsia" w:ascii="宋体" w:hAnsi="宋体"/>
          <w:szCs w:val="21"/>
        </w:rPr>
        <w:t>即检查各投标人已标价的工程量清单中发包人提供材料和工程设备是否存在材料（工程设备）名称、规格、型号错误、单位错误、数量错误、单价错误。</w:t>
      </w:r>
    </w:p>
    <w:p w14:paraId="398933A3">
      <w:pPr>
        <w:adjustRightInd w:val="0"/>
        <w:snapToGrid w:val="0"/>
        <w:spacing w:line="402" w:lineRule="atLeast"/>
        <w:ind w:firstLine="420" w:firstLineChars="200"/>
        <w:rPr>
          <w:rFonts w:hint="eastAsia" w:ascii="宋体" w:hAnsi="宋体"/>
          <w:szCs w:val="21"/>
        </w:rPr>
      </w:pPr>
      <w:r>
        <w:rPr>
          <w:rFonts w:hint="eastAsia" w:ascii="宋体" w:hAnsi="宋体"/>
        </w:rPr>
        <w:t>C2.1.6</w:t>
      </w:r>
      <w:r>
        <w:rPr>
          <w:rFonts w:hint="eastAsia" w:ascii="宋体" w:hAnsi="宋体"/>
          <w:szCs w:val="21"/>
        </w:rPr>
        <w:t>算术错误检查</w:t>
      </w:r>
    </w:p>
    <w:p w14:paraId="6785BDDC">
      <w:pPr>
        <w:adjustRightInd w:val="0"/>
        <w:snapToGrid w:val="0"/>
        <w:spacing w:line="402" w:lineRule="atLeast"/>
        <w:ind w:firstLine="525" w:firstLineChars="250"/>
        <w:rPr>
          <w:rFonts w:hint="eastAsia" w:ascii="宋体" w:hAnsi="宋体"/>
          <w:szCs w:val="21"/>
        </w:rPr>
      </w:pPr>
      <w:r>
        <w:rPr>
          <w:rFonts w:hint="eastAsia" w:ascii="宋体" w:hAnsi="宋体"/>
          <w:szCs w:val="21"/>
        </w:rPr>
        <w:t>即检查各投标人已标价的工程量清单相应表格中是否存在算术错误，并标示错误类型。</w:t>
      </w:r>
    </w:p>
    <w:p w14:paraId="70541A14">
      <w:pPr>
        <w:pStyle w:val="20"/>
        <w:ind w:firstLine="413" w:firstLineChars="196"/>
        <w:rPr>
          <w:rFonts w:hint="eastAsia"/>
          <w:b/>
          <w:sz w:val="21"/>
          <w:szCs w:val="21"/>
        </w:rPr>
      </w:pPr>
      <w:bookmarkStart w:id="415" w:name="_Toc108513642"/>
      <w:r>
        <w:rPr>
          <w:rFonts w:hint="eastAsia"/>
          <w:b/>
          <w:sz w:val="21"/>
          <w:szCs w:val="21"/>
        </w:rPr>
        <w:t>C2.2已标价工程量清单算术错误修正</w:t>
      </w:r>
      <w:bookmarkEnd w:id="415"/>
    </w:p>
    <w:p w14:paraId="67DF8133">
      <w:pPr>
        <w:adjustRightInd w:val="0"/>
        <w:snapToGrid w:val="0"/>
        <w:spacing w:line="402" w:lineRule="atLeast"/>
        <w:ind w:firstLine="420" w:firstLineChars="200"/>
        <w:rPr>
          <w:rFonts w:hint="eastAsia" w:ascii="宋体" w:hAnsi="宋体"/>
          <w:szCs w:val="21"/>
        </w:rPr>
      </w:pPr>
      <w:r>
        <w:rPr>
          <w:rFonts w:hint="eastAsia" w:ascii="宋体" w:hAnsi="宋体"/>
        </w:rPr>
        <w:t>评标委员会对已标价工程量清单中</w:t>
      </w:r>
      <w:r>
        <w:rPr>
          <w:rFonts w:hint="eastAsia" w:ascii="宋体" w:hAnsi="宋体"/>
          <w:szCs w:val="21"/>
        </w:rPr>
        <w:t>存在算术错误和错误类型</w:t>
      </w:r>
      <w:r>
        <w:rPr>
          <w:rFonts w:hint="eastAsia" w:ascii="宋体" w:hAnsi="宋体"/>
        </w:rPr>
        <w:t>进行逐项分析，根据本章第3.1.3项规定的原则，对投标报价中的算术错误进行修正，按附表C-7、C-8的格式记录分析和修正结果。</w:t>
      </w:r>
      <w:r>
        <w:rPr>
          <w:rFonts w:hint="eastAsia" w:ascii="宋体" w:hAnsi="宋体"/>
          <w:szCs w:val="21"/>
        </w:rPr>
        <w:t>并按修正后的价格修正投标人已标价工程量清单相应表格，并计算其修正后的投标报价。</w:t>
      </w:r>
    </w:p>
    <w:p w14:paraId="00639E33">
      <w:pPr>
        <w:adjustRightInd w:val="0"/>
        <w:snapToGrid w:val="0"/>
        <w:spacing w:line="402" w:lineRule="atLeast"/>
        <w:ind w:firstLine="420" w:firstLineChars="200"/>
        <w:rPr>
          <w:rFonts w:hint="eastAsia" w:ascii="宋体" w:hAnsi="宋体"/>
          <w:b/>
          <w:szCs w:val="21"/>
        </w:rPr>
      </w:pPr>
      <w:r>
        <w:rPr>
          <w:rFonts w:hint="eastAsia" w:ascii="宋体" w:hAnsi="宋体"/>
          <w:szCs w:val="21"/>
        </w:rPr>
        <w:t>修正后的投标报价应按本章第A2.5款的澄清程序和第A3.5款的要求通知投标人书面确认。</w:t>
      </w:r>
    </w:p>
    <w:p w14:paraId="3B6BE989">
      <w:pPr>
        <w:pStyle w:val="20"/>
        <w:ind w:firstLine="413" w:firstLineChars="196"/>
        <w:rPr>
          <w:rFonts w:hint="eastAsia"/>
          <w:b/>
          <w:sz w:val="21"/>
          <w:szCs w:val="21"/>
        </w:rPr>
      </w:pPr>
      <w:bookmarkStart w:id="416" w:name="_Toc108513643"/>
      <w:r>
        <w:rPr>
          <w:rFonts w:hint="eastAsia"/>
          <w:b/>
          <w:sz w:val="21"/>
          <w:szCs w:val="21"/>
        </w:rPr>
        <w:t>C2.3已标价工程量清单偏差分析</w:t>
      </w:r>
      <w:bookmarkEnd w:id="416"/>
    </w:p>
    <w:p w14:paraId="54A570CE">
      <w:pPr>
        <w:adjustRightInd w:val="0"/>
        <w:snapToGrid w:val="0"/>
        <w:spacing w:line="402" w:lineRule="atLeast"/>
        <w:ind w:firstLine="420" w:firstLineChars="200"/>
        <w:rPr>
          <w:rFonts w:hint="eastAsia" w:ascii="宋体" w:hAnsi="宋体"/>
          <w:szCs w:val="21"/>
        </w:rPr>
      </w:pPr>
      <w:r>
        <w:rPr>
          <w:rFonts w:hint="eastAsia" w:ascii="宋体" w:hAnsi="宋体"/>
          <w:szCs w:val="21"/>
        </w:rPr>
        <w:t>根据本章第A3.5款完成各投标人已标价工程量清单算术错误修正后，以算术错误修正后的已标价工程量清单为基础，对各投标人已标价工程量清单综合单价进行偏差分析。并用使用附表C-9至附表C-13记录结果。</w:t>
      </w:r>
    </w:p>
    <w:p w14:paraId="2B48D478">
      <w:pPr>
        <w:adjustRightInd w:val="0"/>
        <w:snapToGrid w:val="0"/>
        <w:spacing w:line="402" w:lineRule="atLeast"/>
        <w:ind w:firstLine="420" w:firstLineChars="200"/>
        <w:rPr>
          <w:rFonts w:hint="eastAsia" w:ascii="宋体" w:hAnsi="宋体"/>
          <w:szCs w:val="21"/>
        </w:rPr>
      </w:pPr>
      <w:r>
        <w:rPr>
          <w:rFonts w:hint="eastAsia" w:ascii="宋体" w:hAnsi="宋体"/>
          <w:szCs w:val="21"/>
        </w:rPr>
        <w:t>1）分部分项工程和单价措施项目清单价格分析记录表</w:t>
      </w:r>
    </w:p>
    <w:p w14:paraId="32BC0CAC">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分部分项工程和单价措施项目与招标控制价相应项目对比，综合单价高于招标控制价相应项目10%以上或低于招标控制价相应项目（房建、安装、仿古、桥梁、隧道20%；装饰、园林25%以上；市政（不含桥梁、隧道）、单独土石方、绿化低于招标控制价相应项目35%以上）；或者主要材料单价高于招标控制价相应材料单价10%以上或低于招标控制价相应材料单价25%以上，其中钢材、沥青、砼或水泥材料单价低于招标控制价相应材料单价10%以上，予以记录。综合单价的企业管理费和利润小于等于0；或者所报的主要材料消耗量低于工程量清单实体量的，予以记录。</w:t>
      </w:r>
    </w:p>
    <w:p w14:paraId="1A466934">
      <w:pPr>
        <w:adjustRightInd w:val="0"/>
        <w:snapToGrid w:val="0"/>
        <w:spacing w:line="402" w:lineRule="atLeast"/>
        <w:ind w:firstLine="420" w:firstLineChars="200"/>
        <w:rPr>
          <w:rFonts w:hint="eastAsia" w:ascii="宋体" w:hAnsi="宋体"/>
          <w:szCs w:val="21"/>
        </w:rPr>
      </w:pPr>
      <w:r>
        <w:rPr>
          <w:rFonts w:hint="eastAsia" w:ascii="宋体" w:hAnsi="宋体"/>
          <w:szCs w:val="21"/>
        </w:rPr>
        <w:t>2）总价措施项目清单价格分析记录表</w:t>
      </w:r>
    </w:p>
    <w:p w14:paraId="2326481F">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单位工程的总价措施项目费与招标控制价相应单位工程的总价措施项目费对比，其总价措施项目费高于招标控制价的总价措施项目费20%以上或低于招标控制价的总价措施项目费40%以上，予以记录。</w:t>
      </w:r>
    </w:p>
    <w:p w14:paraId="0B088343">
      <w:pPr>
        <w:adjustRightInd w:val="0"/>
        <w:snapToGrid w:val="0"/>
        <w:spacing w:line="402" w:lineRule="atLeast"/>
        <w:ind w:firstLine="420" w:firstLineChars="200"/>
        <w:rPr>
          <w:rFonts w:hint="eastAsia" w:ascii="宋体" w:hAnsi="宋体"/>
          <w:szCs w:val="21"/>
        </w:rPr>
      </w:pPr>
      <w:r>
        <w:rPr>
          <w:rFonts w:hint="eastAsia" w:ascii="宋体" w:hAnsi="宋体"/>
          <w:szCs w:val="21"/>
        </w:rPr>
        <w:t>3）其他项目清单价格分析记录表</w:t>
      </w:r>
    </w:p>
    <w:p w14:paraId="70FCC47B">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投标人已标价工程量清单的单位工程其他项目清单中计日工的企业管理费和利润小于等于0，予以记录。</w:t>
      </w:r>
    </w:p>
    <w:p w14:paraId="0C468E1B">
      <w:pPr>
        <w:adjustRightInd w:val="0"/>
        <w:snapToGrid w:val="0"/>
        <w:spacing w:line="402" w:lineRule="atLeast"/>
        <w:ind w:firstLine="420" w:firstLineChars="200"/>
        <w:rPr>
          <w:rFonts w:hint="eastAsia" w:ascii="宋体" w:hAnsi="宋体"/>
          <w:szCs w:val="21"/>
        </w:rPr>
      </w:pPr>
      <w:r>
        <w:rPr>
          <w:rFonts w:hint="eastAsia" w:ascii="宋体" w:hAnsi="宋体"/>
          <w:szCs w:val="21"/>
        </w:rPr>
        <w:t>4）建设项目总人工费分析记录表</w:t>
      </w:r>
    </w:p>
    <w:p w14:paraId="0B1ECA14">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投标人已标价工程量清单的建设项目的总人工费与招标控制价的总人工费对比，其总人工费高于招标控制价总人工费15%以上或低于招标控制价的总人工费30%以上，予以记录。</w:t>
      </w:r>
    </w:p>
    <w:p w14:paraId="7EBE440D">
      <w:pPr>
        <w:adjustRightInd w:val="0"/>
        <w:snapToGrid w:val="0"/>
        <w:spacing w:line="402" w:lineRule="atLeast"/>
        <w:ind w:firstLine="420" w:firstLineChars="200"/>
        <w:rPr>
          <w:rFonts w:hint="eastAsia" w:ascii="宋体" w:hAnsi="宋体"/>
          <w:szCs w:val="21"/>
        </w:rPr>
      </w:pPr>
      <w:r>
        <w:rPr>
          <w:rFonts w:hint="eastAsia" w:ascii="宋体" w:hAnsi="宋体"/>
          <w:szCs w:val="21"/>
        </w:rPr>
        <w:t>5）单位工程投标报价分析记录表</w:t>
      </w:r>
    </w:p>
    <w:p w14:paraId="7035D2CE">
      <w:pPr>
        <w:adjustRightInd w:val="0"/>
        <w:snapToGrid w:val="0"/>
        <w:spacing w:line="402" w:lineRule="atLeast"/>
        <w:ind w:firstLine="420" w:firstLineChars="200"/>
        <w:rPr>
          <w:rFonts w:hint="eastAsia" w:ascii="宋体" w:hAnsi="宋体"/>
          <w:szCs w:val="21"/>
        </w:rPr>
      </w:pPr>
      <w:r>
        <w:rPr>
          <w:rFonts w:hint="eastAsia" w:ascii="宋体" w:hAnsi="宋体"/>
          <w:szCs w:val="21"/>
        </w:rPr>
        <w:t>投标人已标价工程量清单的单位工程的投标报价合价与招标控制价相应单位工程的合价对比，其单位工程的投标报价合价高于招标控制价相应单位工程的合价的，予以记录。</w:t>
      </w:r>
    </w:p>
    <w:p w14:paraId="51A201AE">
      <w:pPr>
        <w:pStyle w:val="20"/>
        <w:rPr>
          <w:rFonts w:hint="eastAsia"/>
        </w:rPr>
      </w:pPr>
      <w:bookmarkStart w:id="417" w:name="_Toc108513644"/>
      <w:r>
        <w:rPr>
          <w:rFonts w:hint="eastAsia"/>
        </w:rPr>
        <w:t>C3.清标报告</w:t>
      </w:r>
      <w:bookmarkEnd w:id="417"/>
    </w:p>
    <w:p w14:paraId="27BCD161">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按本附件第C2.2款对投标文件进行基础性数据分析和整理工作形成的清标成果文件为清标报告的内容。评标委员会根据本章附件A评标详细程序和本章评标办法的规定，结合清标成果完成初步评审、详细评审、推荐中标候选人或者直接确定中标人。</w:t>
      </w:r>
    </w:p>
    <w:p w14:paraId="1800A743">
      <w:pPr>
        <w:adjustRightInd w:val="0"/>
        <w:snapToGrid w:val="0"/>
        <w:spacing w:line="440" w:lineRule="exact"/>
        <w:ind w:firstLine="420" w:firstLineChars="200"/>
        <w:rPr>
          <w:rFonts w:hint="eastAsia" w:ascii="宋体" w:hAnsi="宋体"/>
          <w:szCs w:val="21"/>
        </w:rPr>
      </w:pPr>
      <w:r>
        <w:rPr>
          <w:rFonts w:hint="eastAsia" w:ascii="宋体" w:hAnsi="宋体"/>
          <w:szCs w:val="21"/>
        </w:rPr>
        <w:t>清标报告是评标报告的组成部分。</w:t>
      </w:r>
    </w:p>
    <w:p w14:paraId="0AA995EE">
      <w:pPr>
        <w:adjustRightInd w:val="0"/>
        <w:snapToGrid w:val="0"/>
        <w:spacing w:line="440" w:lineRule="exact"/>
        <w:rPr>
          <w:rFonts w:hint="eastAsia" w:ascii="黑体" w:hAnsi="宋体" w:eastAsia="黑体"/>
          <w:sz w:val="24"/>
        </w:rPr>
      </w:pPr>
    </w:p>
    <w:p w14:paraId="55A107FC">
      <w:pPr>
        <w:adjustRightInd w:val="0"/>
        <w:snapToGrid w:val="0"/>
        <w:spacing w:line="440" w:lineRule="exact"/>
        <w:rPr>
          <w:rFonts w:hint="eastAsia" w:ascii="黑体" w:hAnsi="宋体" w:eastAsia="黑体"/>
          <w:sz w:val="24"/>
        </w:rPr>
      </w:pPr>
    </w:p>
    <w:p w14:paraId="370764E8">
      <w:pPr>
        <w:adjustRightInd w:val="0"/>
        <w:snapToGrid w:val="0"/>
        <w:spacing w:line="440" w:lineRule="exact"/>
        <w:rPr>
          <w:rFonts w:hint="eastAsia" w:ascii="黑体" w:hAnsi="宋体" w:eastAsia="黑体"/>
          <w:sz w:val="24"/>
        </w:rPr>
      </w:pPr>
    </w:p>
    <w:p w14:paraId="42FBC665">
      <w:pPr>
        <w:adjustRightInd w:val="0"/>
        <w:snapToGrid w:val="0"/>
        <w:spacing w:line="440" w:lineRule="exact"/>
        <w:rPr>
          <w:rFonts w:hint="eastAsia" w:ascii="黑体" w:hAnsi="宋体" w:eastAsia="黑体"/>
          <w:sz w:val="24"/>
        </w:rPr>
      </w:pPr>
    </w:p>
    <w:p w14:paraId="5F4A6507">
      <w:pPr>
        <w:adjustRightInd w:val="0"/>
        <w:snapToGrid w:val="0"/>
        <w:spacing w:line="440" w:lineRule="exact"/>
        <w:rPr>
          <w:rFonts w:hint="eastAsia" w:ascii="黑体" w:hAnsi="宋体" w:eastAsia="黑体"/>
          <w:sz w:val="24"/>
        </w:rPr>
      </w:pPr>
    </w:p>
    <w:p w14:paraId="23743611">
      <w:pPr>
        <w:adjustRightInd w:val="0"/>
        <w:snapToGrid w:val="0"/>
        <w:spacing w:line="440" w:lineRule="exact"/>
        <w:rPr>
          <w:rFonts w:hint="eastAsia" w:ascii="黑体" w:hAnsi="宋体" w:eastAsia="黑体"/>
          <w:sz w:val="24"/>
        </w:rPr>
      </w:pPr>
    </w:p>
    <w:p w14:paraId="5F4DBCD3">
      <w:pPr>
        <w:adjustRightInd w:val="0"/>
        <w:snapToGrid w:val="0"/>
        <w:spacing w:line="440" w:lineRule="exact"/>
        <w:rPr>
          <w:rFonts w:hint="eastAsia" w:ascii="黑体" w:hAnsi="宋体" w:eastAsia="黑体"/>
          <w:sz w:val="24"/>
        </w:rPr>
      </w:pPr>
    </w:p>
    <w:p w14:paraId="73412319">
      <w:pPr>
        <w:adjustRightInd w:val="0"/>
        <w:snapToGrid w:val="0"/>
        <w:spacing w:line="440" w:lineRule="exact"/>
        <w:rPr>
          <w:rFonts w:hint="eastAsia" w:ascii="黑体" w:hAnsi="宋体" w:eastAsia="黑体"/>
          <w:sz w:val="24"/>
        </w:rPr>
      </w:pPr>
    </w:p>
    <w:p w14:paraId="1B1C04C6">
      <w:pPr>
        <w:adjustRightInd w:val="0"/>
        <w:snapToGrid w:val="0"/>
        <w:spacing w:line="440" w:lineRule="exact"/>
        <w:rPr>
          <w:rFonts w:hint="eastAsia" w:ascii="黑体" w:hAnsi="宋体" w:eastAsia="黑体"/>
          <w:sz w:val="24"/>
        </w:rPr>
      </w:pPr>
    </w:p>
    <w:p w14:paraId="64349F47">
      <w:pPr>
        <w:adjustRightInd w:val="0"/>
        <w:snapToGrid w:val="0"/>
        <w:spacing w:line="440" w:lineRule="exact"/>
        <w:rPr>
          <w:rFonts w:hint="eastAsia" w:ascii="黑体" w:hAnsi="宋体" w:eastAsia="黑体"/>
          <w:sz w:val="24"/>
        </w:rPr>
      </w:pPr>
    </w:p>
    <w:p w14:paraId="1F005EEE">
      <w:pPr>
        <w:adjustRightInd w:val="0"/>
        <w:snapToGrid w:val="0"/>
        <w:spacing w:line="440" w:lineRule="exact"/>
        <w:rPr>
          <w:rFonts w:hint="eastAsia" w:ascii="黑体" w:hAnsi="宋体" w:eastAsia="黑体"/>
          <w:sz w:val="24"/>
        </w:rPr>
      </w:pPr>
    </w:p>
    <w:p w14:paraId="369BD096">
      <w:pPr>
        <w:adjustRightInd w:val="0"/>
        <w:snapToGrid w:val="0"/>
        <w:spacing w:line="440" w:lineRule="exact"/>
        <w:rPr>
          <w:rFonts w:hint="eastAsia" w:ascii="黑体" w:hAnsi="宋体" w:eastAsia="黑体"/>
          <w:sz w:val="24"/>
        </w:rPr>
      </w:pPr>
    </w:p>
    <w:p w14:paraId="7E95E8C6">
      <w:pPr>
        <w:adjustRightInd w:val="0"/>
        <w:snapToGrid w:val="0"/>
        <w:spacing w:line="440" w:lineRule="exact"/>
        <w:rPr>
          <w:rFonts w:hint="eastAsia" w:ascii="黑体" w:hAnsi="宋体" w:eastAsia="黑体"/>
          <w:sz w:val="24"/>
        </w:rPr>
      </w:pPr>
    </w:p>
    <w:p w14:paraId="3DC54A4E">
      <w:pPr>
        <w:adjustRightInd w:val="0"/>
        <w:snapToGrid w:val="0"/>
        <w:spacing w:line="440" w:lineRule="exact"/>
        <w:rPr>
          <w:rFonts w:hint="eastAsia" w:ascii="黑体" w:hAnsi="宋体" w:eastAsia="黑体"/>
          <w:sz w:val="24"/>
        </w:rPr>
      </w:pPr>
    </w:p>
    <w:p w14:paraId="0451D73E">
      <w:pPr>
        <w:pStyle w:val="3"/>
        <w:rPr>
          <w:rFonts w:hint="eastAsia"/>
          <w:b w:val="0"/>
          <w:sz w:val="24"/>
          <w:szCs w:val="24"/>
        </w:rPr>
      </w:pPr>
      <w:bookmarkStart w:id="418" w:name="_Toc108513645"/>
      <w:r>
        <w:rPr>
          <w:rFonts w:hint="eastAsia"/>
          <w:b w:val="0"/>
          <w:sz w:val="24"/>
          <w:szCs w:val="24"/>
        </w:rPr>
        <w:t>附件D：投标人成本评审办法</w:t>
      </w:r>
      <w:bookmarkEnd w:id="418"/>
    </w:p>
    <w:p w14:paraId="32341906">
      <w:pPr>
        <w:jc w:val="center"/>
        <w:rPr>
          <w:rFonts w:hint="eastAsia" w:ascii="黑体" w:eastAsia="黑体"/>
          <w:b/>
          <w:sz w:val="28"/>
          <w:szCs w:val="28"/>
        </w:rPr>
      </w:pPr>
      <w:r>
        <w:rPr>
          <w:rFonts w:hint="eastAsia" w:ascii="黑体" w:eastAsia="黑体"/>
          <w:b/>
          <w:sz w:val="28"/>
          <w:szCs w:val="28"/>
        </w:rPr>
        <w:t>投标人成本评审办法</w:t>
      </w:r>
    </w:p>
    <w:p w14:paraId="6E5F2D52">
      <w:pPr>
        <w:adjustRightInd w:val="0"/>
        <w:snapToGrid w:val="0"/>
        <w:spacing w:before="240" w:beforeLines="100" w:after="240" w:afterLines="100" w:line="440" w:lineRule="exact"/>
        <w:jc w:val="center"/>
        <w:rPr>
          <w:rFonts w:hint="eastAsia" w:ascii="黑体" w:hAnsi="宋体" w:eastAsia="黑体"/>
          <w:sz w:val="32"/>
          <w:szCs w:val="32"/>
        </w:rPr>
      </w:pPr>
    </w:p>
    <w:p w14:paraId="69E04975">
      <w:pPr>
        <w:pStyle w:val="20"/>
      </w:pPr>
      <w:bookmarkStart w:id="419" w:name="_Toc108513646"/>
      <w:r>
        <w:rPr>
          <w:rFonts w:hint="eastAsia"/>
        </w:rPr>
        <w:t>D0.</w:t>
      </w:r>
      <w:r>
        <w:t>总  则</w:t>
      </w:r>
      <w:bookmarkEnd w:id="419"/>
    </w:p>
    <w:p w14:paraId="1828063B">
      <w:pPr>
        <w:spacing w:line="440" w:lineRule="exact"/>
        <w:ind w:firstLine="420" w:firstLineChars="200"/>
        <w:rPr>
          <w:rFonts w:hint="eastAsia" w:ascii="宋体" w:hAnsi="宋体"/>
        </w:rPr>
      </w:pPr>
      <w:r>
        <w:rPr>
          <w:rFonts w:hint="eastAsia" w:ascii="宋体" w:hAnsi="宋体"/>
        </w:rPr>
        <w:t>本附件是本章“评标办法”的组成部分，评标委员会按照本章第</w:t>
      </w:r>
      <w:r>
        <w:t>3.</w:t>
      </w:r>
      <w:r>
        <w:rPr>
          <w:rFonts w:hint="eastAsia"/>
        </w:rPr>
        <w:t>1</w:t>
      </w:r>
      <w:r>
        <w:t>.</w:t>
      </w:r>
      <w:r>
        <w:rPr>
          <w:rFonts w:hint="eastAsia"/>
        </w:rPr>
        <w:t>4</w:t>
      </w:r>
      <w:r>
        <w:rPr>
          <w:rFonts w:hAnsi="宋体"/>
        </w:rPr>
        <w:t>项的规定，对投标人投标报价是否低于其成本进行评审和判断时，适用本</w:t>
      </w:r>
      <w:r>
        <w:rPr>
          <w:rFonts w:hint="eastAsia" w:ascii="宋体" w:hAnsi="宋体"/>
        </w:rPr>
        <w:t>附件所规定的办法。</w:t>
      </w:r>
    </w:p>
    <w:p w14:paraId="68D59FC0">
      <w:pPr>
        <w:pStyle w:val="20"/>
        <w:rPr>
          <w:rFonts w:hint="eastAsia"/>
        </w:rPr>
      </w:pPr>
      <w:bookmarkStart w:id="420" w:name="_Toc108513647"/>
      <w:r>
        <w:rPr>
          <w:rFonts w:hint="eastAsia"/>
        </w:rPr>
        <w:t>D1.启动成本评审工作的前提条件</w:t>
      </w:r>
      <w:bookmarkEnd w:id="420"/>
    </w:p>
    <w:p w14:paraId="722300F0">
      <w:pPr>
        <w:spacing w:line="440" w:lineRule="exact"/>
        <w:ind w:firstLine="420" w:firstLineChars="200"/>
        <w:rPr>
          <w:rFonts w:hint="eastAsia" w:ascii="宋体" w:hAnsi="宋体"/>
        </w:rPr>
      </w:pPr>
      <w:r>
        <w:rPr>
          <w:rFonts w:hint="eastAsia" w:ascii="宋体" w:hAnsi="宋体"/>
        </w:rPr>
        <w:t>在满足下列两项条件的前提下，评标委员会应当启动并进行本办法所规定的评审，以判别投标人的投标报价是否低于其成本：</w:t>
      </w:r>
    </w:p>
    <w:p w14:paraId="0A90BC0E">
      <w:pPr>
        <w:spacing w:line="440" w:lineRule="exact"/>
        <w:ind w:firstLine="420" w:firstLineChars="200"/>
        <w:rPr>
          <w:rFonts w:hint="eastAsia" w:ascii="宋体" w:hAnsi="宋体"/>
        </w:rPr>
      </w:pPr>
      <w:r>
        <w:rPr>
          <w:rFonts w:hint="eastAsia" w:ascii="宋体" w:hAnsi="宋体"/>
        </w:rPr>
        <w:t>C1.1投标人的投标文件在本章“评标办法”规定的“初步评审”阶段，不存在应当否决的情形；</w:t>
      </w:r>
    </w:p>
    <w:p w14:paraId="3B57D33C">
      <w:pPr>
        <w:spacing w:line="440" w:lineRule="exact"/>
        <w:ind w:firstLine="420" w:firstLineChars="200"/>
        <w:rPr>
          <w:rFonts w:hint="eastAsia" w:ascii="宋体" w:hAnsi="宋体"/>
        </w:rPr>
      </w:pPr>
      <w:r>
        <w:rPr>
          <w:rFonts w:hint="eastAsia" w:ascii="宋体" w:hAnsi="宋体"/>
        </w:rPr>
        <w:t>C1.2投标人的投标总报价－</w:t>
      </w:r>
      <w:r>
        <w:rPr>
          <w:rFonts w:hint="eastAsia" w:ascii="宋体" w:hAnsi="宋体"/>
          <w:szCs w:val="21"/>
        </w:rPr>
        <w:t>（暂列金额+税金）－（专业工程暂估价+税金）</w:t>
      </w:r>
      <w:r>
        <w:rPr>
          <w:rFonts w:hint="eastAsia" w:ascii="宋体" w:hAnsi="宋体"/>
        </w:rPr>
        <w:t>低于（不含）</w:t>
      </w:r>
      <w:r>
        <w:rPr>
          <w:rFonts w:hint="eastAsia" w:ascii="宋体" w:hAnsi="宋体"/>
          <w:szCs w:val="21"/>
        </w:rPr>
        <w:t>招标控制价总价</w:t>
      </w:r>
      <w:r>
        <w:rPr>
          <w:rFonts w:hint="eastAsia" w:ascii="宋体" w:hAnsi="宋体"/>
        </w:rPr>
        <w:t>－</w:t>
      </w:r>
      <w:r>
        <w:rPr>
          <w:rFonts w:hint="eastAsia" w:ascii="宋体" w:hAnsi="宋体"/>
          <w:szCs w:val="21"/>
        </w:rPr>
        <w:t>（暂列金额+税金）－（专业工程暂估价+税金）</w:t>
      </w:r>
      <w:r>
        <w:rPr>
          <w:rFonts w:hint="eastAsia" w:ascii="宋体" w:hAnsi="宋体"/>
          <w:szCs w:val="21"/>
          <w:u w:val="single"/>
        </w:rPr>
        <w:t xml:space="preserve">   H%    </w:t>
      </w:r>
      <w:r>
        <w:rPr>
          <w:rFonts w:hint="eastAsia" w:ascii="宋体" w:hAnsi="宋体"/>
        </w:rPr>
        <w:t>的。</w:t>
      </w:r>
    </w:p>
    <w:p w14:paraId="68C12F46">
      <w:pPr>
        <w:spacing w:line="440" w:lineRule="exact"/>
        <w:ind w:firstLine="420" w:firstLineChars="200"/>
        <w:rPr>
          <w:rFonts w:hint="eastAsia" w:ascii="宋体" w:hAnsi="宋体"/>
        </w:rPr>
      </w:pPr>
      <w:r>
        <w:rPr>
          <w:rFonts w:hint="eastAsia" w:ascii="宋体" w:hAnsi="宋体"/>
        </w:rPr>
        <w:t>招标人</w:t>
      </w:r>
      <w:r>
        <w:rPr>
          <w:rFonts w:hint="eastAsia" w:ascii="宋体" w:hAnsi="宋体"/>
          <w:szCs w:val="21"/>
        </w:rPr>
        <w:t>根据招标项目具体情况宜选择75-80中的具体数值作为</w:t>
      </w:r>
      <w:r>
        <w:rPr>
          <w:rFonts w:hint="eastAsia" w:ascii="宋体" w:hAnsi="宋体"/>
        </w:rPr>
        <w:t>H的取值</w:t>
      </w:r>
      <w:r>
        <w:rPr>
          <w:rFonts w:hint="eastAsia" w:ascii="宋体" w:hAnsi="宋体"/>
          <w:szCs w:val="21"/>
        </w:rPr>
        <w:t>，H的取值见第二章投标人须知前附表第10.2.2项。</w:t>
      </w:r>
    </w:p>
    <w:p w14:paraId="5AD43443">
      <w:pPr>
        <w:pStyle w:val="20"/>
        <w:rPr>
          <w:rFonts w:hint="eastAsia"/>
        </w:rPr>
      </w:pPr>
      <w:bookmarkStart w:id="421" w:name="_Toc108513648"/>
      <w:r>
        <w:rPr>
          <w:rFonts w:hint="eastAsia"/>
        </w:rPr>
        <w:t>D2.评审的依据</w:t>
      </w:r>
      <w:bookmarkEnd w:id="421"/>
    </w:p>
    <w:p w14:paraId="588595A0">
      <w:pPr>
        <w:spacing w:line="440" w:lineRule="exact"/>
        <w:ind w:firstLine="420" w:firstLineChars="200"/>
        <w:rPr>
          <w:rFonts w:hint="eastAsia" w:ascii="宋体" w:hAnsi="宋体"/>
        </w:rPr>
      </w:pPr>
      <w:r>
        <w:rPr>
          <w:rFonts w:hint="eastAsia" w:ascii="宋体" w:hAnsi="宋体"/>
        </w:rPr>
        <w:t>评标委员会判断投标人的投标报价是否低于其成本，所参考的评审依据包括：</w:t>
      </w:r>
    </w:p>
    <w:p w14:paraId="6AE9C0A0">
      <w:pPr>
        <w:spacing w:line="440" w:lineRule="exact"/>
        <w:ind w:firstLine="420" w:firstLineChars="200"/>
        <w:rPr>
          <w:rFonts w:hint="eastAsia" w:ascii="宋体" w:hAnsi="宋体"/>
        </w:rPr>
      </w:pPr>
      <w:r>
        <w:rPr>
          <w:rFonts w:hint="eastAsia" w:ascii="宋体" w:hAnsi="宋体"/>
        </w:rPr>
        <w:t>（1）  招标文件及招标工程量清单；</w:t>
      </w:r>
    </w:p>
    <w:p w14:paraId="4CB1D867">
      <w:pPr>
        <w:spacing w:line="440" w:lineRule="exact"/>
        <w:ind w:firstLine="420" w:firstLineChars="200"/>
        <w:rPr>
          <w:rFonts w:hint="eastAsia" w:ascii="宋体" w:hAnsi="宋体"/>
        </w:rPr>
      </w:pPr>
      <w:r>
        <w:rPr>
          <w:rFonts w:hint="eastAsia" w:ascii="宋体" w:hAnsi="宋体"/>
        </w:rPr>
        <w:t>（2）  招标控制价；</w:t>
      </w:r>
    </w:p>
    <w:p w14:paraId="772FE616">
      <w:pPr>
        <w:spacing w:line="440" w:lineRule="exact"/>
        <w:ind w:firstLine="420" w:firstLineChars="200"/>
        <w:rPr>
          <w:rFonts w:hint="eastAsia" w:ascii="宋体" w:hAnsi="宋体"/>
        </w:rPr>
      </w:pPr>
      <w:r>
        <w:rPr>
          <w:rFonts w:hint="eastAsia" w:ascii="宋体" w:hAnsi="宋体"/>
        </w:rPr>
        <w:t>（3）  施工组织设计；</w:t>
      </w:r>
    </w:p>
    <w:p w14:paraId="04C7DBF1">
      <w:pPr>
        <w:spacing w:line="440" w:lineRule="exact"/>
        <w:ind w:firstLine="420" w:firstLineChars="200"/>
        <w:rPr>
          <w:rFonts w:hint="eastAsia" w:ascii="宋体" w:hAnsi="宋体"/>
        </w:rPr>
      </w:pPr>
      <w:r>
        <w:rPr>
          <w:rFonts w:hint="eastAsia" w:ascii="宋体" w:hAnsi="宋体"/>
        </w:rPr>
        <w:t>（4）  投标人已标价的工程量清单或经算术错误修正后的已标价的工程量清单（如果有）；</w:t>
      </w:r>
    </w:p>
    <w:p w14:paraId="0440DAEA">
      <w:pPr>
        <w:spacing w:line="440" w:lineRule="exact"/>
        <w:ind w:firstLine="420" w:firstLineChars="200"/>
        <w:rPr>
          <w:rFonts w:hint="eastAsia" w:ascii="宋体" w:hAnsi="宋体"/>
        </w:rPr>
      </w:pPr>
      <w:r>
        <w:rPr>
          <w:rFonts w:hint="eastAsia" w:ascii="宋体" w:hAnsi="宋体"/>
        </w:rPr>
        <w:t>（5）  工程所在地工程造价管理部门颁布的工程造价信息（如果有）；</w:t>
      </w:r>
    </w:p>
    <w:p w14:paraId="5A90BCF4">
      <w:pPr>
        <w:spacing w:line="440" w:lineRule="exact"/>
        <w:ind w:firstLine="420" w:firstLineChars="200"/>
        <w:rPr>
          <w:rFonts w:hint="eastAsia" w:ascii="宋体" w:hAnsi="宋体"/>
        </w:rPr>
      </w:pPr>
      <w:r>
        <w:rPr>
          <w:rFonts w:hint="eastAsia" w:ascii="宋体" w:hAnsi="宋体"/>
        </w:rPr>
        <w:t>（6）  工程所在地市场价格水平；</w:t>
      </w:r>
    </w:p>
    <w:p w14:paraId="554911E3">
      <w:pPr>
        <w:spacing w:line="440" w:lineRule="exact"/>
        <w:ind w:firstLine="420" w:firstLineChars="200"/>
        <w:rPr>
          <w:rFonts w:hint="eastAsia" w:ascii="宋体" w:hAnsi="宋体"/>
        </w:rPr>
      </w:pPr>
      <w:r>
        <w:rPr>
          <w:rFonts w:hint="eastAsia" w:ascii="宋体" w:hAnsi="宋体"/>
        </w:rPr>
        <w:t>（7）  工程所在地工程造价管理部门颁布的定额或投标人企业定额；</w:t>
      </w:r>
    </w:p>
    <w:p w14:paraId="1E9C5126">
      <w:pPr>
        <w:spacing w:line="440" w:lineRule="exact"/>
        <w:ind w:firstLine="420" w:firstLineChars="200"/>
        <w:rPr>
          <w:rFonts w:hint="eastAsia" w:ascii="宋体" w:hAnsi="宋体"/>
        </w:rPr>
      </w:pPr>
      <w:r>
        <w:rPr>
          <w:rFonts w:hint="eastAsia" w:ascii="宋体" w:hAnsi="宋体"/>
        </w:rPr>
        <w:t>（8）  经审计的企业近三年财务报表；</w:t>
      </w:r>
    </w:p>
    <w:p w14:paraId="479D752C">
      <w:pPr>
        <w:spacing w:line="440" w:lineRule="exact"/>
        <w:ind w:firstLine="420" w:firstLineChars="200"/>
        <w:rPr>
          <w:rFonts w:hint="eastAsia" w:ascii="宋体" w:hAnsi="宋体"/>
        </w:rPr>
      </w:pPr>
      <w:r>
        <w:rPr>
          <w:rFonts w:hint="eastAsia" w:ascii="宋体" w:hAnsi="宋体"/>
        </w:rPr>
        <w:t>（9）  投标人所附其他证明资料；</w:t>
      </w:r>
    </w:p>
    <w:p w14:paraId="53040B7F">
      <w:pPr>
        <w:spacing w:line="440" w:lineRule="exact"/>
        <w:ind w:firstLine="420" w:firstLineChars="200"/>
        <w:rPr>
          <w:rFonts w:hint="eastAsia" w:ascii="宋体" w:hAnsi="宋体"/>
          <w:b/>
        </w:rPr>
      </w:pPr>
      <w:r>
        <w:rPr>
          <w:rFonts w:hint="eastAsia" w:ascii="宋体" w:hAnsi="宋体"/>
        </w:rPr>
        <w:t>（10） 法律法规允许的和招标文件规定的参考依据等。</w:t>
      </w:r>
    </w:p>
    <w:p w14:paraId="71F4E7D3">
      <w:pPr>
        <w:pStyle w:val="20"/>
        <w:rPr>
          <w:rFonts w:hint="eastAsia"/>
        </w:rPr>
      </w:pPr>
      <w:bookmarkStart w:id="422" w:name="_Toc108513649"/>
      <w:r>
        <w:rPr>
          <w:rFonts w:hint="eastAsia"/>
        </w:rPr>
        <w:t>D3.对投标价格的合理性进行评审</w:t>
      </w:r>
      <w:bookmarkEnd w:id="422"/>
    </w:p>
    <w:p w14:paraId="1440B18B">
      <w:pPr>
        <w:spacing w:line="440" w:lineRule="exact"/>
        <w:ind w:firstLine="420" w:firstLineChars="200"/>
        <w:rPr>
          <w:rFonts w:hint="eastAsia" w:ascii="宋体" w:hAnsi="宋体"/>
        </w:rPr>
      </w:pPr>
      <w:r>
        <w:rPr>
          <w:rFonts w:hint="eastAsia" w:ascii="宋体" w:hAnsi="宋体"/>
        </w:rPr>
        <w:t>评标委员会结合清标成果，对各个投标价格和影响投标价格合理性的以下因素逐一进行分析：</w:t>
      </w:r>
      <w:r>
        <w:rPr>
          <w:rFonts w:hint="eastAsia" w:ascii="宋体" w:hAnsi="宋体"/>
          <w:szCs w:val="21"/>
        </w:rPr>
        <w:t>当出现下列情况时，应当按本章A3.7款的程序，要求该投标人作出书面说明并提供相应的证明材料。</w:t>
      </w:r>
    </w:p>
    <w:p w14:paraId="3E0245E7">
      <w:pPr>
        <w:adjustRightInd w:val="0"/>
        <w:snapToGrid w:val="0"/>
        <w:spacing w:line="402" w:lineRule="atLeast"/>
        <w:ind w:firstLine="420" w:firstLineChars="200"/>
        <w:rPr>
          <w:rFonts w:hint="eastAsia" w:ascii="宋体" w:hAnsi="宋体"/>
          <w:szCs w:val="21"/>
        </w:rPr>
      </w:pPr>
      <w:r>
        <w:rPr>
          <w:rFonts w:hint="eastAsia" w:ascii="宋体" w:hAnsi="宋体"/>
          <w:szCs w:val="21"/>
        </w:rPr>
        <w:t>1）分部分项工程和单价措施项目清单价格</w:t>
      </w:r>
    </w:p>
    <w:p w14:paraId="3AF4A78A">
      <w:pPr>
        <w:spacing w:line="440" w:lineRule="exact"/>
        <w:ind w:firstLine="420" w:firstLineChars="200"/>
        <w:rPr>
          <w:rFonts w:hint="eastAsia" w:ascii="宋体" w:hAnsi="宋体"/>
          <w:szCs w:val="21"/>
        </w:rPr>
      </w:pPr>
      <w:r>
        <w:rPr>
          <w:rFonts w:hint="eastAsia" w:ascii="宋体" w:hAnsi="宋体"/>
          <w:szCs w:val="21"/>
        </w:rPr>
        <w:t>投标人已标价工程量清单的分部分项工程和单价措施项目与招标控制价相应项目对比，</w:t>
      </w:r>
      <w:r>
        <w:rPr>
          <w:rFonts w:hint="eastAsia" w:ascii="宋体" w:hAnsi="宋体"/>
          <w:b/>
          <w:szCs w:val="21"/>
        </w:rPr>
        <w:t>综合单价</w:t>
      </w:r>
      <w:r>
        <w:rPr>
          <w:rFonts w:hint="eastAsia" w:ascii="宋体" w:hAnsi="宋体"/>
          <w:szCs w:val="21"/>
        </w:rPr>
        <w:t>低于招标控制价相应项目（房建、安装、仿古、桥梁、隧道20%；装饰、园林25%以上；市政（不含桥梁、隧道）、单独土石方、绿化低于招标控制价相应项目35%以上）；或者</w:t>
      </w:r>
      <w:r>
        <w:rPr>
          <w:rFonts w:hint="eastAsia" w:ascii="宋体" w:hAnsi="宋体"/>
          <w:b/>
          <w:szCs w:val="21"/>
        </w:rPr>
        <w:t>主要材料单价</w:t>
      </w:r>
      <w:r>
        <w:rPr>
          <w:rFonts w:hint="eastAsia" w:ascii="宋体" w:hAnsi="宋体"/>
          <w:szCs w:val="21"/>
        </w:rPr>
        <w:t>低于招标控制价相应材料单价25%以上，其中钢材、沥青、砼或水泥材料单价低于招标控制价相应材料单价10%以上。综合单价的企业管理费和利润小于等于0；或者所报的主要材料消耗量低于工程量清单实体量。</w:t>
      </w:r>
    </w:p>
    <w:p w14:paraId="74FA9CEB">
      <w:pPr>
        <w:adjustRightInd w:val="0"/>
        <w:snapToGrid w:val="0"/>
        <w:spacing w:line="402" w:lineRule="atLeast"/>
        <w:ind w:firstLine="420" w:firstLineChars="200"/>
        <w:rPr>
          <w:rFonts w:hint="eastAsia" w:ascii="宋体" w:hAnsi="宋体"/>
          <w:szCs w:val="21"/>
        </w:rPr>
      </w:pPr>
      <w:r>
        <w:rPr>
          <w:rFonts w:hint="eastAsia" w:ascii="宋体" w:hAnsi="宋体"/>
          <w:szCs w:val="21"/>
        </w:rPr>
        <w:t>2）总价措施项目清单价格</w:t>
      </w:r>
    </w:p>
    <w:p w14:paraId="6A813C64">
      <w:pPr>
        <w:spacing w:line="440" w:lineRule="exact"/>
        <w:ind w:firstLine="420" w:firstLineChars="200"/>
        <w:rPr>
          <w:rFonts w:hint="eastAsia" w:ascii="宋体" w:hAnsi="宋体"/>
          <w:szCs w:val="21"/>
        </w:rPr>
      </w:pPr>
      <w:r>
        <w:rPr>
          <w:rFonts w:hint="eastAsia" w:ascii="宋体" w:hAnsi="宋体"/>
          <w:szCs w:val="21"/>
        </w:rPr>
        <w:t>投标人已标价工程量清单的单位工程的总价措施项目费与招标控制价相应单位工程的总价措施项目费对比，其总价措施项目费低于招标控制价的总价措施项目费40%以上。</w:t>
      </w:r>
    </w:p>
    <w:p w14:paraId="57305EA4">
      <w:pPr>
        <w:adjustRightInd w:val="0"/>
        <w:snapToGrid w:val="0"/>
        <w:spacing w:line="402" w:lineRule="atLeast"/>
        <w:ind w:firstLine="420" w:firstLineChars="200"/>
        <w:rPr>
          <w:rFonts w:hint="eastAsia" w:ascii="宋体" w:hAnsi="宋体"/>
          <w:szCs w:val="21"/>
        </w:rPr>
      </w:pPr>
      <w:r>
        <w:rPr>
          <w:rFonts w:hint="eastAsia" w:ascii="宋体" w:hAnsi="宋体"/>
          <w:szCs w:val="21"/>
        </w:rPr>
        <w:t>3）其他项目清单价格</w:t>
      </w:r>
    </w:p>
    <w:p w14:paraId="6E90E4D9">
      <w:pPr>
        <w:spacing w:line="440" w:lineRule="exact"/>
        <w:ind w:firstLine="420" w:firstLineChars="200"/>
        <w:rPr>
          <w:rFonts w:hint="eastAsia" w:ascii="宋体" w:hAnsi="宋体"/>
          <w:szCs w:val="21"/>
        </w:rPr>
      </w:pPr>
      <w:r>
        <w:rPr>
          <w:rFonts w:hint="eastAsia" w:ascii="宋体" w:hAnsi="宋体"/>
          <w:szCs w:val="21"/>
        </w:rPr>
        <w:t>投标人已标价工程量清单的单位工程其他项目清单中计日工的企业管理费和利润小于等于0。</w:t>
      </w:r>
    </w:p>
    <w:p w14:paraId="6BE80FC0">
      <w:pPr>
        <w:adjustRightInd w:val="0"/>
        <w:snapToGrid w:val="0"/>
        <w:spacing w:line="402" w:lineRule="atLeast"/>
        <w:ind w:firstLine="420" w:firstLineChars="200"/>
        <w:rPr>
          <w:rFonts w:hint="eastAsia" w:ascii="宋体" w:hAnsi="宋体"/>
          <w:szCs w:val="21"/>
        </w:rPr>
      </w:pPr>
      <w:r>
        <w:rPr>
          <w:rFonts w:hint="eastAsia" w:ascii="宋体" w:hAnsi="宋体"/>
          <w:szCs w:val="21"/>
        </w:rPr>
        <w:t>4）建设项目总人工费</w:t>
      </w:r>
    </w:p>
    <w:p w14:paraId="2A12BC81">
      <w:pPr>
        <w:spacing w:line="440" w:lineRule="exact"/>
        <w:ind w:firstLine="420" w:firstLineChars="200"/>
        <w:rPr>
          <w:rFonts w:hint="eastAsia" w:ascii="宋体" w:hAnsi="宋体"/>
          <w:szCs w:val="21"/>
        </w:rPr>
      </w:pPr>
      <w:r>
        <w:rPr>
          <w:rFonts w:hint="eastAsia" w:ascii="宋体" w:hAnsi="宋体"/>
          <w:szCs w:val="21"/>
        </w:rPr>
        <w:t>投标人已标价工程量清单的建设项目的总人工费与招标控制价的总人工费对比，其总人工费低于招标控制价总人工费的30%以上。</w:t>
      </w:r>
    </w:p>
    <w:p w14:paraId="51780A09">
      <w:pPr>
        <w:spacing w:line="440" w:lineRule="exact"/>
        <w:ind w:firstLine="420" w:firstLineChars="200"/>
        <w:rPr>
          <w:rFonts w:hint="eastAsia" w:ascii="宋体" w:hAnsi="宋体"/>
        </w:rPr>
      </w:pPr>
      <w:r>
        <w:rPr>
          <w:rFonts w:hint="eastAsia" w:ascii="宋体" w:hAnsi="宋体"/>
          <w:szCs w:val="21"/>
        </w:rPr>
        <w:t>5）未填报的项目费用</w:t>
      </w:r>
    </w:p>
    <w:p w14:paraId="03248A48">
      <w:pPr>
        <w:pStyle w:val="20"/>
        <w:rPr>
          <w:rFonts w:hint="eastAsia"/>
        </w:rPr>
      </w:pPr>
      <w:bookmarkStart w:id="423" w:name="_Toc108513650"/>
      <w:r>
        <w:rPr>
          <w:rFonts w:hint="eastAsia"/>
        </w:rPr>
        <w:t>D4.澄清、说明或补正</w:t>
      </w:r>
      <w:bookmarkEnd w:id="423"/>
    </w:p>
    <w:p w14:paraId="68CEB026">
      <w:pPr>
        <w:spacing w:line="440" w:lineRule="exact"/>
        <w:ind w:firstLine="420" w:firstLineChars="200"/>
        <w:rPr>
          <w:rFonts w:hint="eastAsia" w:ascii="宋体" w:hAnsi="宋体"/>
        </w:rPr>
      </w:pPr>
      <w:r>
        <w:rPr>
          <w:rFonts w:hint="eastAsia" w:ascii="宋体" w:hAnsi="宋体"/>
        </w:rPr>
        <w:t>评标委员会汇总对投标报价的疑问，按</w:t>
      </w:r>
      <w:r>
        <w:rPr>
          <w:rFonts w:hint="eastAsia" w:ascii="宋体" w:hAnsi="宋体"/>
          <w:szCs w:val="21"/>
        </w:rPr>
        <w:t>A3.7款的程序</w:t>
      </w:r>
      <w:r>
        <w:rPr>
          <w:rFonts w:hint="eastAsia" w:ascii="宋体" w:hAnsi="宋体"/>
        </w:rPr>
        <w:t>启动“澄清、说明或补正”程序，发出投标文件澄清通知，要求投标人进行澄清和说明并提交有关证明材料。</w:t>
      </w:r>
    </w:p>
    <w:p w14:paraId="24D0993E">
      <w:pPr>
        <w:pStyle w:val="20"/>
        <w:rPr>
          <w:rFonts w:hint="eastAsia"/>
        </w:rPr>
      </w:pPr>
      <w:bookmarkStart w:id="424" w:name="_Toc108513651"/>
      <w:r>
        <w:rPr>
          <w:rFonts w:hint="eastAsia"/>
        </w:rPr>
        <w:t>D5.判断投标报价是否低于其成本</w:t>
      </w:r>
      <w:bookmarkEnd w:id="424"/>
    </w:p>
    <w:p w14:paraId="574287F3">
      <w:pPr>
        <w:spacing w:line="440" w:lineRule="exact"/>
        <w:ind w:firstLine="420" w:firstLineChars="200"/>
        <w:rPr>
          <w:rFonts w:hint="eastAsia" w:ascii="宋体" w:hAnsi="宋体"/>
        </w:rPr>
      </w:pPr>
      <w:r>
        <w:rPr>
          <w:rFonts w:hint="eastAsia" w:ascii="宋体" w:hAnsi="宋体"/>
        </w:rPr>
        <w:t>评标委员会根据投标人澄清和说明并提交的有关证明材料，判断投标人的投标报价是否低于其成本。使用</w:t>
      </w:r>
      <w:r>
        <w:rPr>
          <w:rFonts w:hint="eastAsia" w:ascii="宋体" w:hAnsi="宋体"/>
          <w:b/>
        </w:rPr>
        <w:t>附表D-1</w:t>
      </w:r>
      <w:r>
        <w:rPr>
          <w:rFonts w:hint="eastAsia" w:ascii="宋体" w:hAnsi="宋体"/>
        </w:rPr>
        <w:t>记录记录评审结果。</w:t>
      </w:r>
    </w:p>
    <w:p w14:paraId="7F1D8B93">
      <w:pPr>
        <w:spacing w:line="430" w:lineRule="exact"/>
        <w:ind w:firstLine="420" w:firstLineChars="200"/>
        <w:rPr>
          <w:rFonts w:hint="eastAsia" w:ascii="宋体" w:hAnsi="宋体"/>
          <w:szCs w:val="21"/>
        </w:rPr>
      </w:pPr>
      <w:r>
        <w:rPr>
          <w:rFonts w:hint="eastAsia" w:ascii="宋体" w:hAnsi="宋体"/>
          <w:szCs w:val="21"/>
        </w:rPr>
        <w:t>如投标人能合理说明或者提供相应证明材料，充分说明低于上述各项定量指标为合理的，并经过评标委员会确认，可视为未低于成本报价。</w:t>
      </w:r>
    </w:p>
    <w:p w14:paraId="20372242">
      <w:pPr>
        <w:spacing w:line="430" w:lineRule="exact"/>
        <w:ind w:firstLine="420" w:firstLineChars="200"/>
        <w:rPr>
          <w:rFonts w:hint="eastAsia" w:ascii="宋体" w:hAnsi="宋体"/>
          <w:szCs w:val="21"/>
        </w:rPr>
      </w:pPr>
      <w:r>
        <w:rPr>
          <w:rFonts w:hint="eastAsia" w:ascii="宋体" w:hAnsi="宋体"/>
          <w:szCs w:val="21"/>
        </w:rPr>
        <w:t>（1）提供该投标人在近三年中已完成一个类似工程（结构特征和规模相似）的投标报价、分部分项工程项目报价，考虑价格变化因素后，与本次投标报价情况近似，同时应由有资质的工程造价咨询单位对该工程结算价出具审价报告，表明该投标人已按投标报价及合同约定圆满完成了工程施工，并未发生投标人原因而增加的费用。</w:t>
      </w:r>
    </w:p>
    <w:p w14:paraId="143D36A1">
      <w:pPr>
        <w:spacing w:line="430" w:lineRule="exact"/>
        <w:ind w:firstLine="420" w:firstLineChars="200"/>
        <w:rPr>
          <w:rFonts w:hint="eastAsia" w:ascii="宋体" w:hAnsi="宋体"/>
          <w:szCs w:val="21"/>
        </w:rPr>
      </w:pPr>
      <w:r>
        <w:rPr>
          <w:rFonts w:hint="eastAsia" w:ascii="宋体" w:hAnsi="宋体"/>
          <w:szCs w:val="21"/>
        </w:rPr>
        <w:t>（2）能提供该投标人由于使用经省级及以上行业管理部门确认的新技术、新工艺或先进管理办法，从而降低工程成本的相关材料。</w:t>
      </w:r>
    </w:p>
    <w:p w14:paraId="54C3EA9C">
      <w:pPr>
        <w:spacing w:line="430" w:lineRule="exact"/>
        <w:ind w:firstLine="420" w:firstLineChars="200"/>
        <w:rPr>
          <w:rFonts w:hint="eastAsia" w:ascii="宋体" w:hAnsi="宋体"/>
          <w:szCs w:val="21"/>
        </w:rPr>
      </w:pPr>
      <w:r>
        <w:rPr>
          <w:rFonts w:hint="eastAsia" w:ascii="宋体" w:hAnsi="宋体"/>
          <w:szCs w:val="21"/>
        </w:rPr>
        <w:t>（3）能提供货物采购合同、发票等可信的证据，以证明其采购到的材料、设备单价低于规定的。</w:t>
      </w:r>
    </w:p>
    <w:p w14:paraId="43BC24E2">
      <w:pPr>
        <w:spacing w:line="430" w:lineRule="exact"/>
        <w:ind w:firstLine="420" w:firstLineChars="200"/>
        <w:rPr>
          <w:rFonts w:hint="eastAsia" w:ascii="宋体" w:hAnsi="宋体"/>
          <w:szCs w:val="21"/>
        </w:rPr>
      </w:pPr>
      <w:r>
        <w:rPr>
          <w:rFonts w:hint="eastAsia" w:ascii="宋体" w:hAnsi="宋体"/>
          <w:szCs w:val="21"/>
        </w:rPr>
        <w:t>（4）能提供其他有关降低该投标人工程成本的分析报告和证据材料。</w:t>
      </w:r>
    </w:p>
    <w:p w14:paraId="0E6D2441">
      <w:pPr>
        <w:adjustRightInd w:val="0"/>
        <w:snapToGrid w:val="0"/>
        <w:spacing w:line="440" w:lineRule="exact"/>
        <w:ind w:firstLine="420" w:firstLineChars="200"/>
        <w:rPr>
          <w:rFonts w:hint="eastAsia" w:ascii="宋体" w:hAnsi="宋体"/>
          <w:szCs w:val="21"/>
        </w:rPr>
      </w:pPr>
      <w:r>
        <w:rPr>
          <w:rFonts w:hint="eastAsia" w:ascii="宋体" w:hAnsi="宋体"/>
          <w:szCs w:val="21"/>
        </w:rPr>
        <w:t>（5）在本章评标办法前附表允许未填报项目的项数范围内，对未填报的项目，以招标控制价相应项目价格代替未填报的项目计算其未填报的费用合计。如未填报的费用合计不超过其投标总报价（修正后的投标总报价，如有）的±1%，由投标人澄清未填报的项目包括在其已标价工程量清单的哪个项目中，或承诺如中标后将无条件实施该未填报的项目。如</w:t>
      </w:r>
      <w:r>
        <w:rPr>
          <w:rFonts w:hint="eastAsia" w:ascii="宋体" w:hAnsi="宋体" w:cs="宋体"/>
          <w:szCs w:val="21"/>
        </w:rPr>
        <w:t>未填报</w:t>
      </w:r>
      <w:r>
        <w:rPr>
          <w:rFonts w:hint="eastAsia" w:ascii="宋体" w:hAnsi="宋体"/>
          <w:szCs w:val="21"/>
        </w:rPr>
        <w:t>的费用合计超过其投标总报价（修正后的投标总报价，如有）的±1%，评标委员会否决其投标。</w:t>
      </w:r>
    </w:p>
    <w:p w14:paraId="2B478FE0">
      <w:pPr>
        <w:adjustRightInd w:val="0"/>
        <w:snapToGrid w:val="0"/>
        <w:spacing w:line="440" w:lineRule="exact"/>
        <w:ind w:firstLine="420" w:firstLineChars="200"/>
        <w:rPr>
          <w:rFonts w:hint="eastAsia" w:ascii="宋体" w:hAnsi="宋体"/>
          <w:szCs w:val="21"/>
        </w:rPr>
      </w:pPr>
      <w:r>
        <w:rPr>
          <w:rFonts w:hint="eastAsia" w:ascii="宋体" w:hAnsi="宋体"/>
          <w:szCs w:val="21"/>
        </w:rPr>
        <w:t>评标委员会不接受投标人以自有机械闲置、自有材料等不计成本为由进行投标报价的澄清和说明。投标人不能合理说明或者不能提供相应证明材料的，只要任意一个需投标人</w:t>
      </w:r>
      <w:r>
        <w:rPr>
          <w:rFonts w:hint="eastAsia" w:ascii="宋体" w:hAnsi="宋体"/>
        </w:rPr>
        <w:t>澄清、说明的疑问不能令评标委员会认可，</w:t>
      </w:r>
      <w:r>
        <w:rPr>
          <w:rFonts w:hint="eastAsia" w:ascii="宋体" w:hAnsi="宋体"/>
          <w:szCs w:val="21"/>
        </w:rPr>
        <w:t>由评标委员会认定该投标人以低于成本报价竞标，否决其投标。</w:t>
      </w:r>
    </w:p>
    <w:p w14:paraId="131DFF64">
      <w:pPr>
        <w:adjustRightInd w:val="0"/>
        <w:snapToGrid w:val="0"/>
        <w:spacing w:line="440" w:lineRule="exact"/>
        <w:ind w:firstLine="420" w:firstLineChars="200"/>
        <w:rPr>
          <w:rFonts w:hint="eastAsia" w:ascii="宋体" w:hAnsi="宋体"/>
          <w:szCs w:val="21"/>
        </w:rPr>
      </w:pPr>
    </w:p>
    <w:p w14:paraId="0EA9738E">
      <w:pPr>
        <w:adjustRightInd w:val="0"/>
        <w:snapToGrid w:val="0"/>
        <w:spacing w:line="440" w:lineRule="exact"/>
        <w:ind w:firstLine="420" w:firstLineChars="200"/>
        <w:rPr>
          <w:rFonts w:hint="eastAsia" w:ascii="宋体" w:hAnsi="宋体"/>
          <w:szCs w:val="21"/>
        </w:rPr>
      </w:pPr>
    </w:p>
    <w:p w14:paraId="411FF8F4">
      <w:pPr>
        <w:adjustRightInd w:val="0"/>
        <w:snapToGrid w:val="0"/>
        <w:spacing w:line="440" w:lineRule="exact"/>
        <w:ind w:firstLine="420" w:firstLineChars="200"/>
        <w:rPr>
          <w:rFonts w:hint="eastAsia" w:ascii="宋体" w:hAnsi="宋体"/>
          <w:szCs w:val="21"/>
        </w:rPr>
      </w:pPr>
    </w:p>
    <w:p w14:paraId="30B6FA09">
      <w:pPr>
        <w:adjustRightInd w:val="0"/>
        <w:snapToGrid w:val="0"/>
        <w:spacing w:line="440" w:lineRule="exact"/>
        <w:ind w:firstLine="420" w:firstLineChars="200"/>
        <w:rPr>
          <w:rFonts w:hint="eastAsia" w:ascii="宋体" w:hAnsi="宋体"/>
          <w:szCs w:val="21"/>
        </w:rPr>
      </w:pPr>
    </w:p>
    <w:p w14:paraId="5E507D17">
      <w:pPr>
        <w:adjustRightInd w:val="0"/>
        <w:snapToGrid w:val="0"/>
        <w:spacing w:line="440" w:lineRule="exact"/>
        <w:ind w:firstLine="420" w:firstLineChars="200"/>
        <w:rPr>
          <w:rFonts w:hint="eastAsia" w:ascii="宋体" w:hAnsi="宋体"/>
          <w:szCs w:val="21"/>
        </w:rPr>
      </w:pPr>
    </w:p>
    <w:p w14:paraId="0E1206C0">
      <w:pPr>
        <w:adjustRightInd w:val="0"/>
        <w:snapToGrid w:val="0"/>
        <w:spacing w:line="440" w:lineRule="exact"/>
        <w:ind w:firstLine="420" w:firstLineChars="200"/>
        <w:rPr>
          <w:rFonts w:hint="eastAsia" w:ascii="宋体" w:hAnsi="宋体"/>
          <w:szCs w:val="21"/>
        </w:rPr>
      </w:pPr>
    </w:p>
    <w:p w14:paraId="0CE0F4DB">
      <w:pPr>
        <w:adjustRightInd w:val="0"/>
        <w:snapToGrid w:val="0"/>
        <w:spacing w:line="440" w:lineRule="exact"/>
        <w:ind w:firstLine="420" w:firstLineChars="200"/>
        <w:rPr>
          <w:rFonts w:hint="eastAsia" w:ascii="宋体" w:hAnsi="宋体"/>
          <w:szCs w:val="21"/>
        </w:rPr>
      </w:pPr>
    </w:p>
    <w:p w14:paraId="34F9B74F">
      <w:pPr>
        <w:adjustRightInd w:val="0"/>
        <w:snapToGrid w:val="0"/>
        <w:spacing w:line="440" w:lineRule="exact"/>
        <w:ind w:firstLine="420" w:firstLineChars="200"/>
        <w:rPr>
          <w:rFonts w:hint="eastAsia" w:ascii="宋体" w:hAnsi="宋体"/>
          <w:szCs w:val="21"/>
        </w:rPr>
      </w:pPr>
    </w:p>
    <w:p w14:paraId="1B1F77B6">
      <w:pPr>
        <w:adjustRightInd w:val="0"/>
        <w:snapToGrid w:val="0"/>
        <w:spacing w:line="440" w:lineRule="exact"/>
        <w:ind w:firstLine="420" w:firstLineChars="200"/>
        <w:rPr>
          <w:rFonts w:hint="eastAsia" w:ascii="宋体" w:hAnsi="宋体"/>
          <w:szCs w:val="21"/>
        </w:rPr>
      </w:pPr>
    </w:p>
    <w:p w14:paraId="774CCD36">
      <w:pPr>
        <w:adjustRightInd w:val="0"/>
        <w:snapToGrid w:val="0"/>
        <w:spacing w:line="440" w:lineRule="exact"/>
        <w:ind w:firstLine="420" w:firstLineChars="200"/>
        <w:rPr>
          <w:rFonts w:hint="eastAsia" w:ascii="宋体" w:hAnsi="宋体"/>
          <w:szCs w:val="21"/>
        </w:rPr>
      </w:pPr>
    </w:p>
    <w:p w14:paraId="6EEEA7FC">
      <w:pPr>
        <w:adjustRightInd w:val="0"/>
        <w:snapToGrid w:val="0"/>
        <w:spacing w:line="440" w:lineRule="exact"/>
        <w:ind w:firstLine="420" w:firstLineChars="200"/>
        <w:rPr>
          <w:rFonts w:hint="eastAsia" w:ascii="宋体" w:hAnsi="宋体"/>
          <w:szCs w:val="21"/>
        </w:rPr>
      </w:pPr>
    </w:p>
    <w:p w14:paraId="0E944EB3">
      <w:pPr>
        <w:adjustRightInd w:val="0"/>
        <w:snapToGrid w:val="0"/>
        <w:spacing w:line="440" w:lineRule="exact"/>
        <w:ind w:firstLine="420" w:firstLineChars="200"/>
        <w:rPr>
          <w:rFonts w:hint="eastAsia" w:ascii="宋体" w:hAnsi="宋体"/>
          <w:szCs w:val="21"/>
        </w:rPr>
      </w:pPr>
    </w:p>
    <w:p w14:paraId="24B0D4DA">
      <w:pPr>
        <w:adjustRightInd w:val="0"/>
        <w:snapToGrid w:val="0"/>
        <w:spacing w:line="440" w:lineRule="exact"/>
        <w:ind w:firstLine="420" w:firstLineChars="200"/>
        <w:rPr>
          <w:rFonts w:hint="eastAsia" w:ascii="宋体" w:hAnsi="宋体"/>
          <w:szCs w:val="21"/>
        </w:rPr>
      </w:pPr>
    </w:p>
    <w:p w14:paraId="4CDACCC5">
      <w:pPr>
        <w:adjustRightInd w:val="0"/>
        <w:snapToGrid w:val="0"/>
        <w:spacing w:line="440" w:lineRule="exact"/>
        <w:ind w:firstLine="420" w:firstLineChars="200"/>
        <w:rPr>
          <w:rFonts w:hint="eastAsia" w:ascii="宋体" w:hAnsi="宋体"/>
          <w:szCs w:val="21"/>
        </w:rPr>
      </w:pPr>
    </w:p>
    <w:p w14:paraId="716171FC">
      <w:pPr>
        <w:adjustRightInd w:val="0"/>
        <w:snapToGrid w:val="0"/>
        <w:spacing w:line="440" w:lineRule="exact"/>
        <w:ind w:firstLine="420" w:firstLineChars="200"/>
        <w:rPr>
          <w:rFonts w:hint="eastAsia" w:ascii="宋体" w:hAnsi="宋体"/>
          <w:szCs w:val="21"/>
        </w:rPr>
      </w:pPr>
    </w:p>
    <w:p w14:paraId="217AD133">
      <w:pPr>
        <w:adjustRightInd w:val="0"/>
        <w:snapToGrid w:val="0"/>
        <w:spacing w:line="440" w:lineRule="exact"/>
        <w:ind w:firstLine="420" w:firstLineChars="200"/>
        <w:rPr>
          <w:rFonts w:hint="eastAsia" w:ascii="宋体" w:hAnsi="宋体"/>
          <w:szCs w:val="21"/>
        </w:rPr>
      </w:pPr>
    </w:p>
    <w:p w14:paraId="444D7A95">
      <w:pPr>
        <w:adjustRightInd w:val="0"/>
        <w:snapToGrid w:val="0"/>
        <w:spacing w:line="440" w:lineRule="exact"/>
        <w:ind w:firstLine="420" w:firstLineChars="200"/>
        <w:rPr>
          <w:rFonts w:hint="eastAsia" w:ascii="宋体" w:hAnsi="宋体"/>
          <w:szCs w:val="21"/>
        </w:rPr>
      </w:pPr>
    </w:p>
    <w:p w14:paraId="63D6B3A5">
      <w:pPr>
        <w:adjustRightInd w:val="0"/>
        <w:snapToGrid w:val="0"/>
        <w:spacing w:line="440" w:lineRule="exact"/>
        <w:ind w:firstLine="420" w:firstLineChars="200"/>
        <w:rPr>
          <w:rFonts w:hint="eastAsia" w:ascii="宋体" w:hAnsi="宋体"/>
          <w:szCs w:val="21"/>
        </w:rPr>
      </w:pPr>
    </w:p>
    <w:p w14:paraId="7FD0BEC9">
      <w:pPr>
        <w:adjustRightInd w:val="0"/>
        <w:snapToGrid w:val="0"/>
        <w:spacing w:line="440" w:lineRule="exact"/>
        <w:rPr>
          <w:rFonts w:ascii="楷体_GB2312" w:hAnsi="宋体" w:eastAsia="楷体_GB2312"/>
          <w:szCs w:val="21"/>
          <w:bdr w:val="single" w:color="auto" w:sz="4" w:space="0"/>
        </w:rPr>
        <w:sectPr>
          <w:pgSz w:w="11907" w:h="16840"/>
          <w:pgMar w:top="1701" w:right="1531" w:bottom="1588" w:left="1474" w:header="851" w:footer="851" w:gutter="0"/>
          <w:cols w:space="720" w:num="1"/>
          <w:docGrid w:linePitch="312" w:charSpace="0"/>
        </w:sectPr>
      </w:pPr>
    </w:p>
    <w:p w14:paraId="370F3DD9">
      <w:pPr>
        <w:pStyle w:val="20"/>
        <w:rPr>
          <w:rFonts w:hint="eastAsia"/>
        </w:rPr>
      </w:pPr>
      <w:bookmarkStart w:id="425" w:name="_Toc108513652"/>
      <w:r>
        <w:rPr>
          <w:rFonts w:hint="eastAsia"/>
        </w:rPr>
        <w:t>附表A-1：评标委员会签到表</w:t>
      </w:r>
      <w:bookmarkEnd w:id="425"/>
    </w:p>
    <w:p w14:paraId="1F7AF6B0">
      <w:pPr>
        <w:adjustRightInd w:val="0"/>
        <w:snapToGrid w:val="0"/>
        <w:spacing w:before="240" w:beforeLines="100" w:after="240" w:afterLines="100" w:line="440" w:lineRule="exact"/>
        <w:jc w:val="center"/>
        <w:rPr>
          <w:rFonts w:hint="eastAsia" w:ascii="黑体" w:hAnsi="宋体" w:eastAsia="黑体"/>
          <w:sz w:val="28"/>
          <w:szCs w:val="28"/>
        </w:rPr>
      </w:pPr>
      <w:r>
        <w:rPr>
          <w:rFonts w:hint="eastAsia" w:ascii="黑体" w:hAnsi="宋体" w:eastAsia="黑体"/>
          <w:sz w:val="28"/>
          <w:szCs w:val="28"/>
        </w:rPr>
        <w:t>评标委员会签到表</w:t>
      </w:r>
    </w:p>
    <w:p w14:paraId="6E4A5BD4">
      <w:pPr>
        <w:rPr>
          <w:rFonts w:hint="eastAsia"/>
          <w:szCs w:val="44"/>
        </w:rPr>
      </w:pPr>
    </w:p>
    <w:p w14:paraId="3AF13780">
      <w:pPr>
        <w:spacing w:after="240" w:afterLines="100"/>
        <w:rPr>
          <w:rFonts w:hint="eastAsia"/>
          <w:szCs w:val="44"/>
        </w:rPr>
      </w:pPr>
      <w:r>
        <w:rPr>
          <w:rFonts w:hint="eastAsia"/>
          <w:szCs w:val="44"/>
        </w:rPr>
        <w:t>工程名称：</w:t>
      </w:r>
      <w:r>
        <w:rPr>
          <w:rFonts w:hint="eastAsia"/>
          <w:szCs w:val="44"/>
          <w:u w:val="single"/>
        </w:rPr>
        <w:t xml:space="preserve">          </w:t>
      </w:r>
      <w:r>
        <w:rPr>
          <w:rFonts w:hint="eastAsia"/>
          <w:szCs w:val="44"/>
        </w:rPr>
        <w:t>(项目名称)</w:t>
      </w:r>
      <w:r>
        <w:rPr>
          <w:rFonts w:hint="eastAsia"/>
          <w:szCs w:val="44"/>
          <w:u w:val="single"/>
        </w:rPr>
        <w:t xml:space="preserve">       </w:t>
      </w:r>
      <w:r>
        <w:rPr>
          <w:rFonts w:hint="eastAsia"/>
          <w:szCs w:val="44"/>
        </w:rPr>
        <w:t xml:space="preserve"> </w:t>
      </w:r>
      <w:r>
        <w:rPr>
          <w:rFonts w:hint="eastAsia"/>
        </w:rPr>
        <w:t>（标段名称）</w:t>
      </w:r>
      <w:r>
        <w:rPr>
          <w:rFonts w:hint="eastAsia"/>
          <w:szCs w:val="44"/>
        </w:rPr>
        <w:t xml:space="preserve">                                         评标时间：         年    月    日</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9"/>
        <w:gridCol w:w="3419"/>
        <w:gridCol w:w="2294"/>
        <w:gridCol w:w="2294"/>
        <w:gridCol w:w="2295"/>
        <w:gridCol w:w="2296"/>
      </w:tblGrid>
      <w:tr w14:paraId="68D0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00156A24">
            <w:pPr>
              <w:jc w:val="center"/>
              <w:rPr>
                <w:rFonts w:hint="eastAsia"/>
                <w:szCs w:val="44"/>
              </w:rPr>
            </w:pPr>
            <w:r>
              <w:rPr>
                <w:rFonts w:hint="eastAsia"/>
                <w:szCs w:val="44"/>
              </w:rPr>
              <w:t>序号</w:t>
            </w:r>
          </w:p>
        </w:tc>
        <w:tc>
          <w:tcPr>
            <w:tcW w:w="3494" w:type="dxa"/>
            <w:noWrap w:val="0"/>
            <w:vAlign w:val="center"/>
          </w:tcPr>
          <w:p w14:paraId="79831166">
            <w:pPr>
              <w:jc w:val="center"/>
              <w:rPr>
                <w:rFonts w:hint="eastAsia"/>
                <w:szCs w:val="44"/>
              </w:rPr>
            </w:pPr>
            <w:r>
              <w:rPr>
                <w:rFonts w:hint="eastAsia"/>
                <w:szCs w:val="44"/>
              </w:rPr>
              <w:t>姓名</w:t>
            </w:r>
          </w:p>
        </w:tc>
        <w:tc>
          <w:tcPr>
            <w:tcW w:w="2341" w:type="dxa"/>
            <w:noWrap w:val="0"/>
            <w:vAlign w:val="center"/>
          </w:tcPr>
          <w:p w14:paraId="7E1EA665">
            <w:pPr>
              <w:jc w:val="center"/>
              <w:rPr>
                <w:rFonts w:hint="eastAsia"/>
                <w:szCs w:val="44"/>
              </w:rPr>
            </w:pPr>
            <w:r>
              <w:rPr>
                <w:rFonts w:hint="eastAsia"/>
                <w:szCs w:val="44"/>
              </w:rPr>
              <w:t>职称</w:t>
            </w:r>
          </w:p>
        </w:tc>
        <w:tc>
          <w:tcPr>
            <w:tcW w:w="2341" w:type="dxa"/>
            <w:noWrap w:val="0"/>
            <w:vAlign w:val="center"/>
          </w:tcPr>
          <w:p w14:paraId="05A02FBA">
            <w:pPr>
              <w:jc w:val="center"/>
              <w:rPr>
                <w:rFonts w:hint="eastAsia"/>
                <w:szCs w:val="44"/>
              </w:rPr>
            </w:pPr>
            <w:r>
              <w:rPr>
                <w:rFonts w:hint="eastAsia"/>
                <w:szCs w:val="44"/>
              </w:rPr>
              <w:t>工作单位</w:t>
            </w:r>
          </w:p>
        </w:tc>
        <w:tc>
          <w:tcPr>
            <w:tcW w:w="2342" w:type="dxa"/>
            <w:noWrap w:val="0"/>
            <w:vAlign w:val="center"/>
          </w:tcPr>
          <w:p w14:paraId="1294E0EF">
            <w:pPr>
              <w:jc w:val="center"/>
              <w:rPr>
                <w:rFonts w:hint="eastAsia"/>
                <w:szCs w:val="44"/>
              </w:rPr>
            </w:pPr>
            <w:r>
              <w:rPr>
                <w:rFonts w:hint="eastAsia"/>
                <w:szCs w:val="44"/>
              </w:rPr>
              <w:t>专家身份证证号</w:t>
            </w:r>
          </w:p>
        </w:tc>
        <w:tc>
          <w:tcPr>
            <w:tcW w:w="2342" w:type="dxa"/>
            <w:noWrap w:val="0"/>
            <w:vAlign w:val="center"/>
          </w:tcPr>
          <w:p w14:paraId="6075A225">
            <w:pPr>
              <w:jc w:val="center"/>
              <w:rPr>
                <w:rFonts w:hint="eastAsia"/>
                <w:szCs w:val="44"/>
              </w:rPr>
            </w:pPr>
            <w:r>
              <w:rPr>
                <w:rFonts w:hint="eastAsia"/>
                <w:szCs w:val="44"/>
              </w:rPr>
              <w:t>签到时间</w:t>
            </w:r>
          </w:p>
        </w:tc>
      </w:tr>
      <w:tr w14:paraId="000B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389ADAE5">
            <w:pPr>
              <w:jc w:val="center"/>
              <w:rPr>
                <w:rFonts w:hint="eastAsia" w:ascii="黑体" w:eastAsia="黑体"/>
                <w:szCs w:val="44"/>
              </w:rPr>
            </w:pPr>
            <w:r>
              <w:rPr>
                <w:rFonts w:hint="eastAsia" w:ascii="黑体" w:eastAsia="黑体"/>
                <w:szCs w:val="44"/>
              </w:rPr>
              <w:t>1</w:t>
            </w:r>
          </w:p>
        </w:tc>
        <w:tc>
          <w:tcPr>
            <w:tcW w:w="3494" w:type="dxa"/>
            <w:noWrap w:val="0"/>
            <w:vAlign w:val="center"/>
          </w:tcPr>
          <w:p w14:paraId="5D028B30">
            <w:pPr>
              <w:jc w:val="center"/>
              <w:rPr>
                <w:rFonts w:hint="eastAsia" w:ascii="黑体" w:eastAsia="黑体"/>
                <w:szCs w:val="44"/>
              </w:rPr>
            </w:pPr>
          </w:p>
        </w:tc>
        <w:tc>
          <w:tcPr>
            <w:tcW w:w="2341" w:type="dxa"/>
            <w:noWrap w:val="0"/>
            <w:vAlign w:val="center"/>
          </w:tcPr>
          <w:p w14:paraId="3DD4AD6E">
            <w:pPr>
              <w:jc w:val="center"/>
              <w:rPr>
                <w:rFonts w:hint="eastAsia" w:ascii="黑体" w:eastAsia="黑体"/>
                <w:szCs w:val="44"/>
              </w:rPr>
            </w:pPr>
          </w:p>
        </w:tc>
        <w:tc>
          <w:tcPr>
            <w:tcW w:w="2341" w:type="dxa"/>
            <w:noWrap w:val="0"/>
            <w:vAlign w:val="center"/>
          </w:tcPr>
          <w:p w14:paraId="07BF6D2D">
            <w:pPr>
              <w:jc w:val="center"/>
              <w:rPr>
                <w:rFonts w:hint="eastAsia" w:ascii="黑体" w:eastAsia="黑体"/>
                <w:szCs w:val="44"/>
              </w:rPr>
            </w:pPr>
          </w:p>
        </w:tc>
        <w:tc>
          <w:tcPr>
            <w:tcW w:w="2342" w:type="dxa"/>
            <w:noWrap w:val="0"/>
            <w:vAlign w:val="center"/>
          </w:tcPr>
          <w:p w14:paraId="0318ED98">
            <w:pPr>
              <w:jc w:val="center"/>
              <w:rPr>
                <w:rFonts w:hint="eastAsia" w:ascii="黑体" w:eastAsia="黑体"/>
                <w:szCs w:val="44"/>
              </w:rPr>
            </w:pPr>
          </w:p>
        </w:tc>
        <w:tc>
          <w:tcPr>
            <w:tcW w:w="2342" w:type="dxa"/>
            <w:noWrap w:val="0"/>
            <w:vAlign w:val="center"/>
          </w:tcPr>
          <w:p w14:paraId="5CCAC10E">
            <w:pPr>
              <w:jc w:val="center"/>
              <w:rPr>
                <w:rFonts w:hint="eastAsia" w:ascii="黑体" w:eastAsia="黑体"/>
                <w:szCs w:val="44"/>
              </w:rPr>
            </w:pPr>
          </w:p>
        </w:tc>
      </w:tr>
      <w:tr w14:paraId="72B3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255F2E24">
            <w:pPr>
              <w:jc w:val="center"/>
              <w:rPr>
                <w:rFonts w:hint="eastAsia" w:ascii="黑体" w:eastAsia="黑体"/>
                <w:szCs w:val="44"/>
              </w:rPr>
            </w:pPr>
            <w:r>
              <w:rPr>
                <w:rFonts w:hint="eastAsia" w:ascii="黑体" w:eastAsia="黑体"/>
                <w:szCs w:val="44"/>
              </w:rPr>
              <w:t>2</w:t>
            </w:r>
          </w:p>
        </w:tc>
        <w:tc>
          <w:tcPr>
            <w:tcW w:w="3494" w:type="dxa"/>
            <w:noWrap w:val="0"/>
            <w:vAlign w:val="center"/>
          </w:tcPr>
          <w:p w14:paraId="50D4DB28">
            <w:pPr>
              <w:jc w:val="center"/>
              <w:rPr>
                <w:rFonts w:hint="eastAsia" w:ascii="黑体" w:eastAsia="黑体"/>
                <w:szCs w:val="44"/>
              </w:rPr>
            </w:pPr>
          </w:p>
        </w:tc>
        <w:tc>
          <w:tcPr>
            <w:tcW w:w="2341" w:type="dxa"/>
            <w:noWrap w:val="0"/>
            <w:vAlign w:val="center"/>
          </w:tcPr>
          <w:p w14:paraId="7954B5E4">
            <w:pPr>
              <w:jc w:val="center"/>
              <w:rPr>
                <w:rFonts w:hint="eastAsia" w:ascii="黑体" w:eastAsia="黑体"/>
                <w:szCs w:val="44"/>
              </w:rPr>
            </w:pPr>
          </w:p>
        </w:tc>
        <w:tc>
          <w:tcPr>
            <w:tcW w:w="2341" w:type="dxa"/>
            <w:noWrap w:val="0"/>
            <w:vAlign w:val="center"/>
          </w:tcPr>
          <w:p w14:paraId="407C801E">
            <w:pPr>
              <w:jc w:val="center"/>
              <w:rPr>
                <w:rFonts w:hint="eastAsia" w:ascii="黑体" w:eastAsia="黑体"/>
                <w:szCs w:val="44"/>
              </w:rPr>
            </w:pPr>
          </w:p>
        </w:tc>
        <w:tc>
          <w:tcPr>
            <w:tcW w:w="2342" w:type="dxa"/>
            <w:noWrap w:val="0"/>
            <w:vAlign w:val="center"/>
          </w:tcPr>
          <w:p w14:paraId="6DBDFEC8">
            <w:pPr>
              <w:jc w:val="center"/>
              <w:rPr>
                <w:rFonts w:hint="eastAsia" w:ascii="黑体" w:eastAsia="黑体"/>
                <w:szCs w:val="44"/>
              </w:rPr>
            </w:pPr>
          </w:p>
        </w:tc>
        <w:tc>
          <w:tcPr>
            <w:tcW w:w="2342" w:type="dxa"/>
            <w:noWrap w:val="0"/>
            <w:vAlign w:val="center"/>
          </w:tcPr>
          <w:p w14:paraId="130B21B4">
            <w:pPr>
              <w:jc w:val="center"/>
              <w:rPr>
                <w:rFonts w:hint="eastAsia" w:ascii="黑体" w:eastAsia="黑体"/>
                <w:szCs w:val="44"/>
              </w:rPr>
            </w:pPr>
          </w:p>
        </w:tc>
      </w:tr>
      <w:tr w14:paraId="4A39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7FA366B4">
            <w:pPr>
              <w:jc w:val="center"/>
              <w:rPr>
                <w:rFonts w:hint="eastAsia" w:ascii="黑体" w:eastAsia="黑体"/>
                <w:szCs w:val="44"/>
              </w:rPr>
            </w:pPr>
            <w:r>
              <w:rPr>
                <w:rFonts w:hint="eastAsia" w:ascii="黑体" w:eastAsia="黑体"/>
                <w:szCs w:val="44"/>
              </w:rPr>
              <w:t>3</w:t>
            </w:r>
          </w:p>
        </w:tc>
        <w:tc>
          <w:tcPr>
            <w:tcW w:w="3494" w:type="dxa"/>
            <w:noWrap w:val="0"/>
            <w:vAlign w:val="center"/>
          </w:tcPr>
          <w:p w14:paraId="0F270D8E">
            <w:pPr>
              <w:jc w:val="center"/>
              <w:rPr>
                <w:rFonts w:hint="eastAsia" w:ascii="黑体" w:eastAsia="黑体"/>
                <w:szCs w:val="44"/>
              </w:rPr>
            </w:pPr>
          </w:p>
        </w:tc>
        <w:tc>
          <w:tcPr>
            <w:tcW w:w="2341" w:type="dxa"/>
            <w:noWrap w:val="0"/>
            <w:vAlign w:val="center"/>
          </w:tcPr>
          <w:p w14:paraId="7C9E27D2">
            <w:pPr>
              <w:jc w:val="center"/>
              <w:rPr>
                <w:rFonts w:hint="eastAsia" w:ascii="黑体" w:eastAsia="黑体"/>
                <w:szCs w:val="44"/>
              </w:rPr>
            </w:pPr>
          </w:p>
        </w:tc>
        <w:tc>
          <w:tcPr>
            <w:tcW w:w="2341" w:type="dxa"/>
            <w:noWrap w:val="0"/>
            <w:vAlign w:val="center"/>
          </w:tcPr>
          <w:p w14:paraId="0B17D6DD">
            <w:pPr>
              <w:jc w:val="center"/>
              <w:rPr>
                <w:rFonts w:hint="eastAsia" w:ascii="黑体" w:eastAsia="黑体"/>
                <w:szCs w:val="44"/>
              </w:rPr>
            </w:pPr>
          </w:p>
        </w:tc>
        <w:tc>
          <w:tcPr>
            <w:tcW w:w="2342" w:type="dxa"/>
            <w:noWrap w:val="0"/>
            <w:vAlign w:val="center"/>
          </w:tcPr>
          <w:p w14:paraId="765CEC54">
            <w:pPr>
              <w:jc w:val="center"/>
              <w:rPr>
                <w:rFonts w:hint="eastAsia" w:ascii="黑体" w:eastAsia="黑体"/>
                <w:szCs w:val="44"/>
              </w:rPr>
            </w:pPr>
          </w:p>
        </w:tc>
        <w:tc>
          <w:tcPr>
            <w:tcW w:w="2342" w:type="dxa"/>
            <w:noWrap w:val="0"/>
            <w:vAlign w:val="center"/>
          </w:tcPr>
          <w:p w14:paraId="6E48D935">
            <w:pPr>
              <w:jc w:val="center"/>
              <w:rPr>
                <w:rFonts w:hint="eastAsia" w:ascii="黑体" w:eastAsia="黑体"/>
                <w:szCs w:val="44"/>
              </w:rPr>
            </w:pPr>
          </w:p>
        </w:tc>
      </w:tr>
      <w:tr w14:paraId="20DA2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5F9A89AA">
            <w:pPr>
              <w:jc w:val="center"/>
              <w:rPr>
                <w:rFonts w:hint="eastAsia" w:ascii="黑体" w:eastAsia="黑体"/>
                <w:szCs w:val="44"/>
              </w:rPr>
            </w:pPr>
            <w:r>
              <w:rPr>
                <w:rFonts w:hint="eastAsia" w:ascii="黑体" w:eastAsia="黑体"/>
                <w:szCs w:val="44"/>
              </w:rPr>
              <w:t>4</w:t>
            </w:r>
          </w:p>
        </w:tc>
        <w:tc>
          <w:tcPr>
            <w:tcW w:w="3494" w:type="dxa"/>
            <w:noWrap w:val="0"/>
            <w:vAlign w:val="center"/>
          </w:tcPr>
          <w:p w14:paraId="047565D6">
            <w:pPr>
              <w:jc w:val="center"/>
              <w:rPr>
                <w:rFonts w:hint="eastAsia" w:ascii="黑体" w:eastAsia="黑体"/>
                <w:szCs w:val="44"/>
              </w:rPr>
            </w:pPr>
          </w:p>
        </w:tc>
        <w:tc>
          <w:tcPr>
            <w:tcW w:w="2341" w:type="dxa"/>
            <w:noWrap w:val="0"/>
            <w:vAlign w:val="center"/>
          </w:tcPr>
          <w:p w14:paraId="630A7F88">
            <w:pPr>
              <w:jc w:val="center"/>
              <w:rPr>
                <w:rFonts w:hint="eastAsia" w:ascii="黑体" w:eastAsia="黑体"/>
                <w:szCs w:val="44"/>
              </w:rPr>
            </w:pPr>
          </w:p>
        </w:tc>
        <w:tc>
          <w:tcPr>
            <w:tcW w:w="2341" w:type="dxa"/>
            <w:noWrap w:val="0"/>
            <w:vAlign w:val="center"/>
          </w:tcPr>
          <w:p w14:paraId="38E941CD">
            <w:pPr>
              <w:jc w:val="center"/>
              <w:rPr>
                <w:rFonts w:hint="eastAsia" w:ascii="黑体" w:eastAsia="黑体"/>
                <w:szCs w:val="44"/>
              </w:rPr>
            </w:pPr>
          </w:p>
        </w:tc>
        <w:tc>
          <w:tcPr>
            <w:tcW w:w="2342" w:type="dxa"/>
            <w:noWrap w:val="0"/>
            <w:vAlign w:val="center"/>
          </w:tcPr>
          <w:p w14:paraId="25262FA0">
            <w:pPr>
              <w:jc w:val="center"/>
              <w:rPr>
                <w:rFonts w:hint="eastAsia" w:ascii="黑体" w:eastAsia="黑体"/>
                <w:szCs w:val="44"/>
              </w:rPr>
            </w:pPr>
          </w:p>
        </w:tc>
        <w:tc>
          <w:tcPr>
            <w:tcW w:w="2342" w:type="dxa"/>
            <w:noWrap w:val="0"/>
            <w:vAlign w:val="center"/>
          </w:tcPr>
          <w:p w14:paraId="02445DE8">
            <w:pPr>
              <w:jc w:val="center"/>
              <w:rPr>
                <w:rFonts w:hint="eastAsia" w:ascii="黑体" w:eastAsia="黑体"/>
                <w:szCs w:val="44"/>
              </w:rPr>
            </w:pPr>
          </w:p>
        </w:tc>
      </w:tr>
      <w:tr w14:paraId="2ED9A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7A6154EA">
            <w:pPr>
              <w:jc w:val="center"/>
              <w:rPr>
                <w:rFonts w:hint="eastAsia" w:ascii="黑体" w:eastAsia="黑体"/>
                <w:szCs w:val="44"/>
              </w:rPr>
            </w:pPr>
            <w:r>
              <w:rPr>
                <w:rFonts w:hint="eastAsia" w:ascii="黑体" w:eastAsia="黑体"/>
                <w:szCs w:val="44"/>
              </w:rPr>
              <w:t>5</w:t>
            </w:r>
          </w:p>
        </w:tc>
        <w:tc>
          <w:tcPr>
            <w:tcW w:w="3494" w:type="dxa"/>
            <w:noWrap w:val="0"/>
            <w:vAlign w:val="center"/>
          </w:tcPr>
          <w:p w14:paraId="2D817260">
            <w:pPr>
              <w:jc w:val="center"/>
              <w:rPr>
                <w:rFonts w:hint="eastAsia" w:ascii="黑体" w:eastAsia="黑体"/>
                <w:szCs w:val="44"/>
              </w:rPr>
            </w:pPr>
          </w:p>
        </w:tc>
        <w:tc>
          <w:tcPr>
            <w:tcW w:w="2341" w:type="dxa"/>
            <w:noWrap w:val="0"/>
            <w:vAlign w:val="center"/>
          </w:tcPr>
          <w:p w14:paraId="2488FFDC">
            <w:pPr>
              <w:jc w:val="center"/>
              <w:rPr>
                <w:rFonts w:hint="eastAsia" w:ascii="黑体" w:eastAsia="黑体"/>
                <w:szCs w:val="44"/>
              </w:rPr>
            </w:pPr>
          </w:p>
        </w:tc>
        <w:tc>
          <w:tcPr>
            <w:tcW w:w="2341" w:type="dxa"/>
            <w:noWrap w:val="0"/>
            <w:vAlign w:val="center"/>
          </w:tcPr>
          <w:p w14:paraId="1A5DB161">
            <w:pPr>
              <w:jc w:val="center"/>
              <w:rPr>
                <w:rFonts w:hint="eastAsia" w:ascii="黑体" w:eastAsia="黑体"/>
                <w:szCs w:val="44"/>
              </w:rPr>
            </w:pPr>
          </w:p>
        </w:tc>
        <w:tc>
          <w:tcPr>
            <w:tcW w:w="2342" w:type="dxa"/>
            <w:noWrap w:val="0"/>
            <w:vAlign w:val="center"/>
          </w:tcPr>
          <w:p w14:paraId="7BC3876D">
            <w:pPr>
              <w:jc w:val="center"/>
              <w:rPr>
                <w:rFonts w:hint="eastAsia" w:ascii="黑体" w:eastAsia="黑体"/>
                <w:szCs w:val="44"/>
              </w:rPr>
            </w:pPr>
          </w:p>
        </w:tc>
        <w:tc>
          <w:tcPr>
            <w:tcW w:w="2342" w:type="dxa"/>
            <w:noWrap w:val="0"/>
            <w:vAlign w:val="center"/>
          </w:tcPr>
          <w:p w14:paraId="4EABEEB5">
            <w:pPr>
              <w:jc w:val="center"/>
              <w:rPr>
                <w:rFonts w:hint="eastAsia" w:ascii="黑体" w:eastAsia="黑体"/>
                <w:szCs w:val="44"/>
              </w:rPr>
            </w:pPr>
          </w:p>
        </w:tc>
      </w:tr>
      <w:tr w14:paraId="286E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1CFC6CAB">
            <w:pPr>
              <w:jc w:val="center"/>
              <w:rPr>
                <w:rFonts w:hint="eastAsia" w:ascii="黑体" w:eastAsia="黑体"/>
                <w:szCs w:val="44"/>
              </w:rPr>
            </w:pPr>
            <w:r>
              <w:rPr>
                <w:rFonts w:hint="eastAsia" w:ascii="黑体" w:eastAsia="黑体"/>
                <w:szCs w:val="44"/>
              </w:rPr>
              <w:t>6</w:t>
            </w:r>
          </w:p>
        </w:tc>
        <w:tc>
          <w:tcPr>
            <w:tcW w:w="3494" w:type="dxa"/>
            <w:noWrap w:val="0"/>
            <w:vAlign w:val="center"/>
          </w:tcPr>
          <w:p w14:paraId="7E9BB595">
            <w:pPr>
              <w:jc w:val="center"/>
              <w:rPr>
                <w:rFonts w:hint="eastAsia" w:ascii="黑体" w:eastAsia="黑体"/>
                <w:szCs w:val="44"/>
              </w:rPr>
            </w:pPr>
          </w:p>
        </w:tc>
        <w:tc>
          <w:tcPr>
            <w:tcW w:w="2341" w:type="dxa"/>
            <w:noWrap w:val="0"/>
            <w:vAlign w:val="center"/>
          </w:tcPr>
          <w:p w14:paraId="3B1AB21F">
            <w:pPr>
              <w:jc w:val="center"/>
              <w:rPr>
                <w:rFonts w:hint="eastAsia" w:ascii="黑体" w:eastAsia="黑体"/>
                <w:szCs w:val="44"/>
              </w:rPr>
            </w:pPr>
          </w:p>
        </w:tc>
        <w:tc>
          <w:tcPr>
            <w:tcW w:w="2341" w:type="dxa"/>
            <w:noWrap w:val="0"/>
            <w:vAlign w:val="center"/>
          </w:tcPr>
          <w:p w14:paraId="22D72996">
            <w:pPr>
              <w:jc w:val="center"/>
              <w:rPr>
                <w:rFonts w:hint="eastAsia" w:ascii="黑体" w:eastAsia="黑体"/>
                <w:szCs w:val="44"/>
              </w:rPr>
            </w:pPr>
          </w:p>
        </w:tc>
        <w:tc>
          <w:tcPr>
            <w:tcW w:w="2342" w:type="dxa"/>
            <w:noWrap w:val="0"/>
            <w:vAlign w:val="center"/>
          </w:tcPr>
          <w:p w14:paraId="18FAA53A">
            <w:pPr>
              <w:jc w:val="center"/>
              <w:rPr>
                <w:rFonts w:hint="eastAsia" w:ascii="黑体" w:eastAsia="黑体"/>
                <w:szCs w:val="44"/>
              </w:rPr>
            </w:pPr>
          </w:p>
        </w:tc>
        <w:tc>
          <w:tcPr>
            <w:tcW w:w="2342" w:type="dxa"/>
            <w:noWrap w:val="0"/>
            <w:vAlign w:val="center"/>
          </w:tcPr>
          <w:p w14:paraId="50608F7E">
            <w:pPr>
              <w:jc w:val="center"/>
              <w:rPr>
                <w:rFonts w:hint="eastAsia" w:ascii="黑体" w:eastAsia="黑体"/>
                <w:szCs w:val="44"/>
              </w:rPr>
            </w:pPr>
          </w:p>
        </w:tc>
      </w:tr>
      <w:tr w14:paraId="61C9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10423E66">
            <w:pPr>
              <w:jc w:val="center"/>
              <w:rPr>
                <w:rFonts w:hint="eastAsia" w:ascii="黑体" w:eastAsia="黑体"/>
                <w:szCs w:val="44"/>
              </w:rPr>
            </w:pPr>
            <w:r>
              <w:rPr>
                <w:rFonts w:hint="eastAsia" w:ascii="黑体" w:eastAsia="黑体"/>
                <w:szCs w:val="44"/>
              </w:rPr>
              <w:t>7</w:t>
            </w:r>
          </w:p>
        </w:tc>
        <w:tc>
          <w:tcPr>
            <w:tcW w:w="3494" w:type="dxa"/>
            <w:noWrap w:val="0"/>
            <w:vAlign w:val="center"/>
          </w:tcPr>
          <w:p w14:paraId="7F13FCBE">
            <w:pPr>
              <w:jc w:val="center"/>
              <w:rPr>
                <w:rFonts w:hint="eastAsia" w:ascii="黑体" w:eastAsia="黑体"/>
                <w:szCs w:val="44"/>
              </w:rPr>
            </w:pPr>
          </w:p>
        </w:tc>
        <w:tc>
          <w:tcPr>
            <w:tcW w:w="2341" w:type="dxa"/>
            <w:noWrap w:val="0"/>
            <w:vAlign w:val="center"/>
          </w:tcPr>
          <w:p w14:paraId="5D321C80">
            <w:pPr>
              <w:jc w:val="center"/>
              <w:rPr>
                <w:rFonts w:hint="eastAsia" w:ascii="黑体" w:eastAsia="黑体"/>
                <w:szCs w:val="44"/>
              </w:rPr>
            </w:pPr>
          </w:p>
        </w:tc>
        <w:tc>
          <w:tcPr>
            <w:tcW w:w="2341" w:type="dxa"/>
            <w:noWrap w:val="0"/>
            <w:vAlign w:val="center"/>
          </w:tcPr>
          <w:p w14:paraId="0142AACE">
            <w:pPr>
              <w:jc w:val="center"/>
              <w:rPr>
                <w:rFonts w:hint="eastAsia" w:ascii="黑体" w:eastAsia="黑体"/>
                <w:szCs w:val="44"/>
              </w:rPr>
            </w:pPr>
          </w:p>
        </w:tc>
        <w:tc>
          <w:tcPr>
            <w:tcW w:w="2342" w:type="dxa"/>
            <w:noWrap w:val="0"/>
            <w:vAlign w:val="center"/>
          </w:tcPr>
          <w:p w14:paraId="0AB8AFC9">
            <w:pPr>
              <w:jc w:val="center"/>
              <w:rPr>
                <w:rFonts w:hint="eastAsia" w:ascii="黑体" w:eastAsia="黑体"/>
                <w:szCs w:val="44"/>
              </w:rPr>
            </w:pPr>
          </w:p>
        </w:tc>
        <w:tc>
          <w:tcPr>
            <w:tcW w:w="2342" w:type="dxa"/>
            <w:noWrap w:val="0"/>
            <w:vAlign w:val="center"/>
          </w:tcPr>
          <w:p w14:paraId="6EBB454F">
            <w:pPr>
              <w:jc w:val="center"/>
              <w:rPr>
                <w:rFonts w:hint="eastAsia" w:ascii="黑体" w:eastAsia="黑体"/>
                <w:szCs w:val="44"/>
              </w:rPr>
            </w:pPr>
          </w:p>
        </w:tc>
      </w:tr>
      <w:tr w14:paraId="295B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4796386D">
            <w:pPr>
              <w:jc w:val="center"/>
              <w:rPr>
                <w:rFonts w:hint="eastAsia" w:ascii="黑体" w:eastAsia="黑体"/>
                <w:szCs w:val="44"/>
              </w:rPr>
            </w:pPr>
            <w:r>
              <w:rPr>
                <w:rFonts w:hint="eastAsia" w:ascii="黑体" w:eastAsia="黑体"/>
                <w:szCs w:val="44"/>
              </w:rPr>
              <w:t>8</w:t>
            </w:r>
          </w:p>
        </w:tc>
        <w:tc>
          <w:tcPr>
            <w:tcW w:w="3494" w:type="dxa"/>
            <w:noWrap w:val="0"/>
            <w:vAlign w:val="center"/>
          </w:tcPr>
          <w:p w14:paraId="51778E1E">
            <w:pPr>
              <w:jc w:val="center"/>
              <w:rPr>
                <w:rFonts w:hint="eastAsia" w:ascii="黑体" w:eastAsia="黑体"/>
                <w:szCs w:val="44"/>
              </w:rPr>
            </w:pPr>
          </w:p>
        </w:tc>
        <w:tc>
          <w:tcPr>
            <w:tcW w:w="2341" w:type="dxa"/>
            <w:noWrap w:val="0"/>
            <w:vAlign w:val="center"/>
          </w:tcPr>
          <w:p w14:paraId="30E80A4E">
            <w:pPr>
              <w:jc w:val="center"/>
              <w:rPr>
                <w:rFonts w:hint="eastAsia" w:ascii="黑体" w:eastAsia="黑体"/>
                <w:szCs w:val="44"/>
              </w:rPr>
            </w:pPr>
          </w:p>
        </w:tc>
        <w:tc>
          <w:tcPr>
            <w:tcW w:w="2341" w:type="dxa"/>
            <w:noWrap w:val="0"/>
            <w:vAlign w:val="center"/>
          </w:tcPr>
          <w:p w14:paraId="39A422A4">
            <w:pPr>
              <w:jc w:val="center"/>
              <w:rPr>
                <w:rFonts w:hint="eastAsia" w:ascii="黑体" w:eastAsia="黑体"/>
                <w:szCs w:val="44"/>
              </w:rPr>
            </w:pPr>
          </w:p>
        </w:tc>
        <w:tc>
          <w:tcPr>
            <w:tcW w:w="2342" w:type="dxa"/>
            <w:noWrap w:val="0"/>
            <w:vAlign w:val="center"/>
          </w:tcPr>
          <w:p w14:paraId="0DB1B5CD">
            <w:pPr>
              <w:jc w:val="center"/>
              <w:rPr>
                <w:rFonts w:hint="eastAsia" w:ascii="黑体" w:eastAsia="黑体"/>
                <w:szCs w:val="44"/>
              </w:rPr>
            </w:pPr>
          </w:p>
        </w:tc>
        <w:tc>
          <w:tcPr>
            <w:tcW w:w="2342" w:type="dxa"/>
            <w:noWrap w:val="0"/>
            <w:vAlign w:val="center"/>
          </w:tcPr>
          <w:p w14:paraId="3D272450">
            <w:pPr>
              <w:jc w:val="center"/>
              <w:rPr>
                <w:rFonts w:hint="eastAsia" w:ascii="黑体" w:eastAsia="黑体"/>
                <w:szCs w:val="44"/>
              </w:rPr>
            </w:pPr>
          </w:p>
        </w:tc>
      </w:tr>
      <w:tr w14:paraId="0072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8" w:type="dxa"/>
            <w:noWrap w:val="0"/>
            <w:vAlign w:val="center"/>
          </w:tcPr>
          <w:p w14:paraId="2ECE3AA4">
            <w:pPr>
              <w:jc w:val="center"/>
              <w:rPr>
                <w:rFonts w:hint="eastAsia" w:ascii="黑体" w:eastAsia="黑体"/>
                <w:szCs w:val="44"/>
              </w:rPr>
            </w:pPr>
            <w:r>
              <w:rPr>
                <w:rFonts w:hint="eastAsia" w:ascii="黑体" w:eastAsia="黑体"/>
                <w:szCs w:val="44"/>
              </w:rPr>
              <w:t>9</w:t>
            </w:r>
          </w:p>
        </w:tc>
        <w:tc>
          <w:tcPr>
            <w:tcW w:w="3494" w:type="dxa"/>
            <w:noWrap w:val="0"/>
            <w:vAlign w:val="center"/>
          </w:tcPr>
          <w:p w14:paraId="39F38A7F">
            <w:pPr>
              <w:jc w:val="center"/>
              <w:rPr>
                <w:rFonts w:hint="eastAsia" w:ascii="黑体" w:eastAsia="黑体"/>
                <w:szCs w:val="44"/>
              </w:rPr>
            </w:pPr>
          </w:p>
        </w:tc>
        <w:tc>
          <w:tcPr>
            <w:tcW w:w="2341" w:type="dxa"/>
            <w:noWrap w:val="0"/>
            <w:vAlign w:val="center"/>
          </w:tcPr>
          <w:p w14:paraId="213D961F">
            <w:pPr>
              <w:jc w:val="center"/>
              <w:rPr>
                <w:rFonts w:hint="eastAsia" w:ascii="黑体" w:eastAsia="黑体"/>
                <w:szCs w:val="44"/>
              </w:rPr>
            </w:pPr>
          </w:p>
        </w:tc>
        <w:tc>
          <w:tcPr>
            <w:tcW w:w="2341" w:type="dxa"/>
            <w:noWrap w:val="0"/>
            <w:vAlign w:val="center"/>
          </w:tcPr>
          <w:p w14:paraId="10608FCF">
            <w:pPr>
              <w:jc w:val="center"/>
              <w:rPr>
                <w:rFonts w:hint="eastAsia" w:ascii="黑体" w:eastAsia="黑体"/>
                <w:szCs w:val="44"/>
              </w:rPr>
            </w:pPr>
          </w:p>
        </w:tc>
        <w:tc>
          <w:tcPr>
            <w:tcW w:w="2342" w:type="dxa"/>
            <w:noWrap w:val="0"/>
            <w:vAlign w:val="center"/>
          </w:tcPr>
          <w:p w14:paraId="0EC7BBB4">
            <w:pPr>
              <w:jc w:val="center"/>
              <w:rPr>
                <w:rFonts w:hint="eastAsia" w:ascii="黑体" w:eastAsia="黑体"/>
                <w:szCs w:val="44"/>
              </w:rPr>
            </w:pPr>
          </w:p>
        </w:tc>
        <w:tc>
          <w:tcPr>
            <w:tcW w:w="2342" w:type="dxa"/>
            <w:noWrap w:val="0"/>
            <w:vAlign w:val="center"/>
          </w:tcPr>
          <w:p w14:paraId="1132F5A5">
            <w:pPr>
              <w:jc w:val="center"/>
              <w:rPr>
                <w:rFonts w:hint="eastAsia" w:ascii="黑体" w:eastAsia="黑体"/>
                <w:szCs w:val="44"/>
              </w:rPr>
            </w:pPr>
          </w:p>
        </w:tc>
      </w:tr>
    </w:tbl>
    <w:p w14:paraId="7FAD3EF7">
      <w:pPr>
        <w:rPr>
          <w:rFonts w:hint="eastAsia" w:ascii="黑体" w:eastAsia="黑体"/>
          <w:szCs w:val="44"/>
        </w:rPr>
      </w:pPr>
    </w:p>
    <w:p w14:paraId="3DEE80D9">
      <w:pPr>
        <w:rPr>
          <w:rFonts w:hint="eastAsia" w:ascii="黑体" w:eastAsia="黑体"/>
          <w:szCs w:val="44"/>
        </w:rPr>
      </w:pPr>
    </w:p>
    <w:p w14:paraId="5B68F940">
      <w:pPr>
        <w:adjustRightInd w:val="0"/>
        <w:snapToGrid w:val="0"/>
        <w:spacing w:line="440" w:lineRule="exact"/>
        <w:rPr>
          <w:rFonts w:hint="eastAsia" w:ascii="黑体" w:eastAsia="黑体"/>
          <w:sz w:val="24"/>
        </w:rPr>
      </w:pPr>
    </w:p>
    <w:p w14:paraId="6C20CC26">
      <w:pPr>
        <w:adjustRightInd w:val="0"/>
        <w:snapToGrid w:val="0"/>
        <w:spacing w:line="440" w:lineRule="exact"/>
        <w:rPr>
          <w:rFonts w:ascii="黑体" w:eastAsia="黑体"/>
          <w:sz w:val="24"/>
        </w:rPr>
        <w:sectPr>
          <w:footerReference r:id="rId8" w:type="default"/>
          <w:footerReference r:id="rId9" w:type="even"/>
          <w:pgSz w:w="16840" w:h="11907" w:orient="landscape"/>
          <w:pgMar w:top="1531" w:right="1588" w:bottom="1474" w:left="1701" w:header="851" w:footer="851" w:gutter="0"/>
          <w:cols w:space="720" w:num="1"/>
          <w:docGrid w:linePitch="312" w:charSpace="0"/>
        </w:sectPr>
      </w:pPr>
    </w:p>
    <w:p w14:paraId="683BF05B">
      <w:pPr>
        <w:pStyle w:val="20"/>
        <w:rPr>
          <w:rFonts w:hint="eastAsia"/>
        </w:rPr>
      </w:pPr>
      <w:bookmarkStart w:id="426" w:name="_Toc108513653"/>
      <w:r>
        <w:t>附表 A-2：评标专家声明书</w:t>
      </w:r>
      <w:bookmarkEnd w:id="426"/>
    </w:p>
    <w:p w14:paraId="1810782E">
      <w:pPr>
        <w:adjustRightInd w:val="0"/>
        <w:snapToGrid w:val="0"/>
        <w:spacing w:line="440" w:lineRule="exact"/>
        <w:rPr>
          <w:rFonts w:hint="eastAsia" w:ascii="黑体" w:eastAsia="黑体"/>
          <w:sz w:val="24"/>
        </w:rPr>
      </w:pPr>
    </w:p>
    <w:p w14:paraId="4D45FAEF">
      <w:pPr>
        <w:adjustRightInd w:val="0"/>
        <w:snapToGrid w:val="0"/>
        <w:spacing w:line="440" w:lineRule="exact"/>
        <w:rPr>
          <w:rFonts w:hint="eastAsia" w:ascii="黑体" w:eastAsia="黑体"/>
          <w:sz w:val="24"/>
        </w:rPr>
      </w:pPr>
    </w:p>
    <w:p w14:paraId="5FC1EC4D">
      <w:pPr>
        <w:adjustRightInd w:val="0"/>
        <w:snapToGrid w:val="0"/>
        <w:spacing w:line="440" w:lineRule="exact"/>
        <w:rPr>
          <w:rFonts w:hint="eastAsia" w:ascii="黑体" w:eastAsia="黑体"/>
          <w:sz w:val="24"/>
        </w:rPr>
      </w:pPr>
    </w:p>
    <w:p w14:paraId="5E242ED1">
      <w:pPr>
        <w:adjustRightInd w:val="0"/>
        <w:snapToGrid w:val="0"/>
        <w:spacing w:before="240" w:beforeLines="100" w:after="240" w:afterLines="100" w:line="440" w:lineRule="exact"/>
        <w:jc w:val="center"/>
        <w:rPr>
          <w:rFonts w:hint="eastAsia" w:ascii="黑体" w:hAnsi="宋体" w:eastAsia="黑体"/>
          <w:sz w:val="28"/>
          <w:szCs w:val="28"/>
        </w:rPr>
      </w:pPr>
      <w:r>
        <w:rPr>
          <w:rFonts w:ascii="黑体" w:hAnsi="宋体" w:eastAsia="黑体"/>
          <w:sz w:val="28"/>
          <w:szCs w:val="28"/>
        </w:rPr>
        <w:t>评标专家声明书</w:t>
      </w:r>
    </w:p>
    <w:p w14:paraId="13103B1E">
      <w:pPr>
        <w:spacing w:line="720" w:lineRule="auto"/>
        <w:jc w:val="center"/>
        <w:rPr>
          <w:rFonts w:hint="eastAsia" w:ascii="仿宋_GB2312" w:eastAsia="仿宋_GB2312"/>
          <w:b/>
          <w:sz w:val="28"/>
          <w:szCs w:val="28"/>
        </w:rPr>
      </w:pPr>
    </w:p>
    <w:p w14:paraId="09D6902A">
      <w:pPr>
        <w:spacing w:line="430" w:lineRule="exact"/>
        <w:ind w:firstLine="420" w:firstLineChars="200"/>
      </w:pPr>
      <w:r>
        <w:t>本人接受招标人邀请，担任</w:t>
      </w:r>
      <w:r>
        <w:rPr>
          <w:rFonts w:hint="eastAsia"/>
        </w:rPr>
        <w:t xml:space="preserve"> </w:t>
      </w:r>
      <w:r>
        <w:rPr>
          <w:rFonts w:hint="eastAsia"/>
          <w:u w:val="single"/>
        </w:rPr>
        <w:t xml:space="preserve">         </w:t>
      </w:r>
      <w:r>
        <w:t>（项目名称）</w:t>
      </w:r>
      <w:r>
        <w:rPr>
          <w:rFonts w:hint="eastAsia"/>
          <w:u w:val="single"/>
        </w:rPr>
        <w:t xml:space="preserve">    </w:t>
      </w:r>
      <w:r>
        <w:rPr>
          <w:rFonts w:hint="eastAsia"/>
        </w:rPr>
        <w:t>（标段名称）</w:t>
      </w:r>
      <w:r>
        <w:t>施工招标的评标专家。</w:t>
      </w:r>
    </w:p>
    <w:p w14:paraId="4233E75F">
      <w:pPr>
        <w:spacing w:line="430" w:lineRule="exact"/>
        <w:ind w:firstLine="420" w:firstLineChars="200"/>
      </w:pPr>
      <w:r>
        <w:t>本人声明：本人在评标前未与招标人、招标代理机构以及</w:t>
      </w:r>
      <w:r>
        <w:rPr>
          <w:rFonts w:hint="eastAsia"/>
        </w:rPr>
        <w:t>任何投标人或者与招标结果有利害关系的人</w:t>
      </w:r>
      <w:r>
        <w:t>发生可能影响评标结果的接触；在中标结果确定之前，不向外透露对投标文件的评审、中标候选人的推荐情况以及与评标有关的其他情况；不收受招标人超出合理报酬以外的任何现金、有价证券和礼物；不收受关利害关系人的任何财物和好处；</w:t>
      </w:r>
      <w:r>
        <w:rPr>
          <w:rFonts w:hint="eastAsia"/>
        </w:rPr>
        <w:t>不存在按投标人须知第6.1.2款</w:t>
      </w:r>
      <w:r>
        <w:t>规定需要回避的情形。</w:t>
      </w:r>
    </w:p>
    <w:p w14:paraId="424B387D">
      <w:pPr>
        <w:spacing w:line="430" w:lineRule="exact"/>
        <w:ind w:firstLine="420" w:firstLineChars="200"/>
      </w:pPr>
      <w:r>
        <w:t>本人保证：在评标过程中，遵守有评标纪律</w:t>
      </w:r>
      <w:r>
        <w:rPr>
          <w:rFonts w:hint="eastAsia"/>
        </w:rPr>
        <w:t>，不向招标人征询其确定中标人的意向，不接受任何单位或者个人明示或者暗示提出的倾向或者排斥特定投标人的要求，不对依法应当否决的投标不提出否决意见，不暗示或者诱导投标人作出澄清、说明或者接受投标人主动提出的澄清、说明；</w:t>
      </w:r>
      <w:r>
        <w:t>服从评标委员会的统一安排；独立、客观、公正地履行评标专家职责。</w:t>
      </w:r>
    </w:p>
    <w:p w14:paraId="76C09B1C">
      <w:pPr>
        <w:spacing w:line="430" w:lineRule="exact"/>
        <w:ind w:firstLine="420" w:firstLineChars="200"/>
      </w:pPr>
      <w:r>
        <w:t>本人接受有关行政监督部门依法实施监督。如违反上述承诺或者不能履行评标专家职责，本人愿意承担一切由此带来的法律责任。</w:t>
      </w:r>
    </w:p>
    <w:p w14:paraId="2504A5C5">
      <w:pPr>
        <w:spacing w:line="430" w:lineRule="exact"/>
        <w:ind w:firstLine="420" w:firstLineChars="200"/>
      </w:pPr>
      <w:r>
        <w:t>特此声明。</w:t>
      </w:r>
    </w:p>
    <w:p w14:paraId="350BD3E5">
      <w:pPr>
        <w:spacing w:line="430" w:lineRule="exact"/>
        <w:ind w:firstLine="420" w:firstLineChars="200"/>
        <w:rPr>
          <w:rFonts w:hint="eastAsia"/>
        </w:rPr>
      </w:pPr>
    </w:p>
    <w:p w14:paraId="11574B7B">
      <w:pPr>
        <w:spacing w:line="430" w:lineRule="exact"/>
        <w:ind w:firstLine="5145" w:firstLineChars="2450"/>
      </w:pPr>
      <w:r>
        <w:t>评标委员会成员签名：</w:t>
      </w:r>
    </w:p>
    <w:p w14:paraId="233714E6">
      <w:pPr>
        <w:spacing w:line="430" w:lineRule="exact"/>
        <w:ind w:firstLine="5460" w:firstLineChars="2600"/>
        <w:rPr>
          <w:rFonts w:hint="eastAsia"/>
        </w:rPr>
      </w:pPr>
      <w:r>
        <w:rPr>
          <w:rFonts w:hint="eastAsia"/>
        </w:rPr>
        <w:t>日期：      年    月    日</w:t>
      </w:r>
    </w:p>
    <w:p w14:paraId="217991EB">
      <w:pPr>
        <w:spacing w:line="430" w:lineRule="exact"/>
        <w:ind w:firstLine="5460" w:firstLineChars="2600"/>
        <w:rPr>
          <w:rFonts w:hint="eastAsia"/>
        </w:rPr>
      </w:pPr>
    </w:p>
    <w:p w14:paraId="3D22EC94">
      <w:pPr>
        <w:spacing w:line="430" w:lineRule="exact"/>
        <w:ind w:firstLine="5460" w:firstLineChars="2600"/>
        <w:rPr>
          <w:rFonts w:hint="eastAsia"/>
        </w:rPr>
      </w:pPr>
    </w:p>
    <w:p w14:paraId="6AB43BCD">
      <w:pPr>
        <w:spacing w:line="430" w:lineRule="exact"/>
        <w:ind w:firstLine="5460" w:firstLineChars="2600"/>
        <w:rPr>
          <w:rFonts w:hint="eastAsia"/>
        </w:rPr>
      </w:pPr>
    </w:p>
    <w:p w14:paraId="77B51929">
      <w:pPr>
        <w:spacing w:line="430" w:lineRule="exact"/>
        <w:ind w:firstLine="5460" w:firstLineChars="2600"/>
        <w:rPr>
          <w:rFonts w:hint="eastAsia"/>
        </w:rPr>
      </w:pPr>
    </w:p>
    <w:p w14:paraId="02AA88D6">
      <w:pPr>
        <w:spacing w:line="430" w:lineRule="exact"/>
        <w:ind w:firstLine="5460" w:firstLineChars="2600"/>
        <w:rPr>
          <w:rFonts w:hint="eastAsia"/>
        </w:rPr>
      </w:pPr>
    </w:p>
    <w:p w14:paraId="3925E998">
      <w:pPr>
        <w:spacing w:line="430" w:lineRule="exact"/>
        <w:ind w:firstLine="5460" w:firstLineChars="2600"/>
        <w:rPr>
          <w:rFonts w:hint="eastAsia"/>
        </w:rPr>
      </w:pPr>
    </w:p>
    <w:p w14:paraId="6D6E800C">
      <w:pPr>
        <w:pStyle w:val="20"/>
      </w:pPr>
      <w:bookmarkStart w:id="427" w:name="_Toc108513654"/>
      <w:r>
        <w:t>附表 A-3：技术暗标编号确认表（适用于非计算机辅助评标）</w:t>
      </w:r>
      <w:bookmarkEnd w:id="427"/>
    </w:p>
    <w:p w14:paraId="3559E2F6">
      <w:pPr>
        <w:spacing w:after="240" w:afterLines="100"/>
        <w:rPr>
          <w:rFonts w:hint="eastAsia" w:ascii="宋体" w:hAnsi="宋体"/>
          <w:szCs w:val="44"/>
        </w:rPr>
      </w:pPr>
    </w:p>
    <w:p w14:paraId="3D493B50">
      <w:pPr>
        <w:adjustRightInd w:val="0"/>
        <w:snapToGrid w:val="0"/>
        <w:spacing w:before="240" w:beforeLines="100" w:after="240" w:afterLines="100" w:line="440" w:lineRule="exact"/>
        <w:jc w:val="center"/>
        <w:rPr>
          <w:rFonts w:hint="eastAsia" w:ascii="黑体" w:hAnsi="宋体" w:eastAsia="黑体"/>
          <w:sz w:val="28"/>
          <w:szCs w:val="28"/>
        </w:rPr>
      </w:pPr>
    </w:p>
    <w:p w14:paraId="129ADA55">
      <w:pPr>
        <w:adjustRightInd w:val="0"/>
        <w:snapToGrid w:val="0"/>
        <w:spacing w:before="240" w:beforeLines="100" w:after="240" w:afterLines="100" w:line="440" w:lineRule="exact"/>
        <w:jc w:val="center"/>
        <w:rPr>
          <w:rFonts w:hint="eastAsia" w:ascii="黑体" w:hAnsi="宋体" w:eastAsia="黑体"/>
          <w:sz w:val="28"/>
          <w:szCs w:val="28"/>
        </w:rPr>
      </w:pPr>
      <w:r>
        <w:rPr>
          <w:rFonts w:ascii="黑体" w:hAnsi="宋体" w:eastAsia="黑体"/>
          <w:sz w:val="28"/>
          <w:szCs w:val="28"/>
        </w:rPr>
        <w:t>技术暗标编号确认表</w:t>
      </w:r>
    </w:p>
    <w:p w14:paraId="7A98A463">
      <w:pPr>
        <w:adjustRightInd w:val="0"/>
        <w:snapToGrid w:val="0"/>
        <w:spacing w:before="240" w:beforeLines="100" w:after="240" w:afterLines="100" w:line="440" w:lineRule="exact"/>
        <w:jc w:val="center"/>
        <w:rPr>
          <w:rFonts w:hint="eastAsia" w:ascii="黑体" w:hAnsi="宋体" w:eastAsia="黑体"/>
          <w:sz w:val="28"/>
          <w:szCs w:val="28"/>
        </w:rPr>
      </w:pPr>
    </w:p>
    <w:p w14:paraId="27B3580E">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2700"/>
        <w:gridCol w:w="5770"/>
      </w:tblGrid>
      <w:tr w14:paraId="19466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0E4D0D94">
            <w:pPr>
              <w:spacing w:line="430" w:lineRule="exact"/>
              <w:rPr>
                <w:rFonts w:hint="eastAsia"/>
              </w:rPr>
            </w:pPr>
            <w:r>
              <w:rPr>
                <w:rFonts w:hint="eastAsia"/>
              </w:rPr>
              <w:t>序号</w:t>
            </w:r>
          </w:p>
        </w:tc>
        <w:tc>
          <w:tcPr>
            <w:tcW w:w="2700" w:type="dxa"/>
            <w:noWrap w:val="0"/>
            <w:vAlign w:val="center"/>
          </w:tcPr>
          <w:p w14:paraId="7287E619">
            <w:pPr>
              <w:spacing w:line="430" w:lineRule="exact"/>
              <w:jc w:val="center"/>
              <w:rPr>
                <w:rFonts w:hint="eastAsia"/>
              </w:rPr>
            </w:pPr>
            <w:r>
              <w:rPr>
                <w:rFonts w:hint="eastAsia"/>
              </w:rPr>
              <w:t>暗标编号</w:t>
            </w:r>
          </w:p>
        </w:tc>
        <w:tc>
          <w:tcPr>
            <w:tcW w:w="5770" w:type="dxa"/>
            <w:noWrap w:val="0"/>
            <w:vAlign w:val="center"/>
          </w:tcPr>
          <w:p w14:paraId="4F921D31">
            <w:pPr>
              <w:spacing w:line="430" w:lineRule="exact"/>
              <w:jc w:val="center"/>
              <w:rPr>
                <w:rFonts w:hint="eastAsia"/>
              </w:rPr>
            </w:pPr>
            <w:r>
              <w:rPr>
                <w:rFonts w:hint="eastAsia" w:ascii="宋体" w:hAnsi="宋体" w:cs="Arial"/>
                <w:bCs/>
                <w:szCs w:val="21"/>
              </w:rPr>
              <w:t>确认的投标单位名称</w:t>
            </w:r>
          </w:p>
        </w:tc>
      </w:tr>
      <w:tr w14:paraId="216A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20C848B4">
            <w:pPr>
              <w:spacing w:line="430" w:lineRule="exact"/>
              <w:rPr>
                <w:rFonts w:hint="eastAsia"/>
              </w:rPr>
            </w:pPr>
          </w:p>
        </w:tc>
        <w:tc>
          <w:tcPr>
            <w:tcW w:w="2700" w:type="dxa"/>
            <w:noWrap w:val="0"/>
            <w:vAlign w:val="top"/>
          </w:tcPr>
          <w:p w14:paraId="0A5592CD">
            <w:pPr>
              <w:spacing w:line="430" w:lineRule="exact"/>
              <w:rPr>
                <w:rFonts w:hint="eastAsia"/>
              </w:rPr>
            </w:pPr>
          </w:p>
        </w:tc>
        <w:tc>
          <w:tcPr>
            <w:tcW w:w="5770" w:type="dxa"/>
            <w:noWrap w:val="0"/>
            <w:vAlign w:val="top"/>
          </w:tcPr>
          <w:p w14:paraId="0CDE23C6">
            <w:pPr>
              <w:spacing w:line="430" w:lineRule="exact"/>
              <w:rPr>
                <w:rFonts w:hint="eastAsia"/>
              </w:rPr>
            </w:pPr>
          </w:p>
        </w:tc>
      </w:tr>
      <w:tr w14:paraId="6AF8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4816208D">
            <w:pPr>
              <w:spacing w:line="430" w:lineRule="exact"/>
              <w:rPr>
                <w:rFonts w:hint="eastAsia"/>
              </w:rPr>
            </w:pPr>
          </w:p>
        </w:tc>
        <w:tc>
          <w:tcPr>
            <w:tcW w:w="2700" w:type="dxa"/>
            <w:noWrap w:val="0"/>
            <w:vAlign w:val="top"/>
          </w:tcPr>
          <w:p w14:paraId="1E53BD4A">
            <w:pPr>
              <w:spacing w:line="430" w:lineRule="exact"/>
              <w:rPr>
                <w:rFonts w:hint="eastAsia"/>
              </w:rPr>
            </w:pPr>
          </w:p>
        </w:tc>
        <w:tc>
          <w:tcPr>
            <w:tcW w:w="5770" w:type="dxa"/>
            <w:noWrap w:val="0"/>
            <w:vAlign w:val="top"/>
          </w:tcPr>
          <w:p w14:paraId="6AC1D75B">
            <w:pPr>
              <w:spacing w:line="430" w:lineRule="exact"/>
              <w:rPr>
                <w:rFonts w:hint="eastAsia"/>
              </w:rPr>
            </w:pPr>
          </w:p>
        </w:tc>
      </w:tr>
      <w:tr w14:paraId="0011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1BAF5833">
            <w:pPr>
              <w:spacing w:line="430" w:lineRule="exact"/>
              <w:rPr>
                <w:rFonts w:hint="eastAsia"/>
              </w:rPr>
            </w:pPr>
          </w:p>
        </w:tc>
        <w:tc>
          <w:tcPr>
            <w:tcW w:w="2700" w:type="dxa"/>
            <w:noWrap w:val="0"/>
            <w:vAlign w:val="top"/>
          </w:tcPr>
          <w:p w14:paraId="2830CC91">
            <w:pPr>
              <w:spacing w:line="430" w:lineRule="exact"/>
              <w:rPr>
                <w:rFonts w:hint="eastAsia"/>
              </w:rPr>
            </w:pPr>
          </w:p>
        </w:tc>
        <w:tc>
          <w:tcPr>
            <w:tcW w:w="5770" w:type="dxa"/>
            <w:noWrap w:val="0"/>
            <w:vAlign w:val="top"/>
          </w:tcPr>
          <w:p w14:paraId="2F3F15AA">
            <w:pPr>
              <w:spacing w:line="430" w:lineRule="exact"/>
              <w:rPr>
                <w:rFonts w:hint="eastAsia"/>
              </w:rPr>
            </w:pPr>
          </w:p>
        </w:tc>
      </w:tr>
      <w:tr w14:paraId="4173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3076969E">
            <w:pPr>
              <w:spacing w:line="430" w:lineRule="exact"/>
              <w:rPr>
                <w:rFonts w:hint="eastAsia"/>
              </w:rPr>
            </w:pPr>
          </w:p>
        </w:tc>
        <w:tc>
          <w:tcPr>
            <w:tcW w:w="2700" w:type="dxa"/>
            <w:noWrap w:val="0"/>
            <w:vAlign w:val="top"/>
          </w:tcPr>
          <w:p w14:paraId="0E7F5B9C">
            <w:pPr>
              <w:spacing w:line="430" w:lineRule="exact"/>
              <w:rPr>
                <w:rFonts w:hint="eastAsia"/>
              </w:rPr>
            </w:pPr>
          </w:p>
        </w:tc>
        <w:tc>
          <w:tcPr>
            <w:tcW w:w="5770" w:type="dxa"/>
            <w:noWrap w:val="0"/>
            <w:vAlign w:val="top"/>
          </w:tcPr>
          <w:p w14:paraId="6BCA4008">
            <w:pPr>
              <w:spacing w:line="430" w:lineRule="exact"/>
              <w:rPr>
                <w:rFonts w:hint="eastAsia"/>
              </w:rPr>
            </w:pPr>
          </w:p>
        </w:tc>
      </w:tr>
      <w:tr w14:paraId="1B44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0E87BC3F">
            <w:pPr>
              <w:spacing w:line="430" w:lineRule="exact"/>
              <w:rPr>
                <w:rFonts w:hint="eastAsia"/>
              </w:rPr>
            </w:pPr>
          </w:p>
        </w:tc>
        <w:tc>
          <w:tcPr>
            <w:tcW w:w="2700" w:type="dxa"/>
            <w:noWrap w:val="0"/>
            <w:vAlign w:val="top"/>
          </w:tcPr>
          <w:p w14:paraId="65D10DF0">
            <w:pPr>
              <w:spacing w:line="430" w:lineRule="exact"/>
              <w:rPr>
                <w:rFonts w:hint="eastAsia"/>
              </w:rPr>
            </w:pPr>
          </w:p>
        </w:tc>
        <w:tc>
          <w:tcPr>
            <w:tcW w:w="5770" w:type="dxa"/>
            <w:noWrap w:val="0"/>
            <w:vAlign w:val="top"/>
          </w:tcPr>
          <w:p w14:paraId="538B7C4F">
            <w:pPr>
              <w:spacing w:line="430" w:lineRule="exact"/>
              <w:rPr>
                <w:rFonts w:hint="eastAsia"/>
              </w:rPr>
            </w:pPr>
          </w:p>
        </w:tc>
      </w:tr>
      <w:tr w14:paraId="1654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47197A76">
            <w:pPr>
              <w:spacing w:line="430" w:lineRule="exact"/>
              <w:rPr>
                <w:rFonts w:hint="eastAsia"/>
              </w:rPr>
            </w:pPr>
          </w:p>
        </w:tc>
        <w:tc>
          <w:tcPr>
            <w:tcW w:w="2700" w:type="dxa"/>
            <w:noWrap w:val="0"/>
            <w:vAlign w:val="top"/>
          </w:tcPr>
          <w:p w14:paraId="620BD627">
            <w:pPr>
              <w:spacing w:line="430" w:lineRule="exact"/>
              <w:rPr>
                <w:rFonts w:hint="eastAsia"/>
              </w:rPr>
            </w:pPr>
          </w:p>
        </w:tc>
        <w:tc>
          <w:tcPr>
            <w:tcW w:w="5770" w:type="dxa"/>
            <w:noWrap w:val="0"/>
            <w:vAlign w:val="top"/>
          </w:tcPr>
          <w:p w14:paraId="1FC50B68">
            <w:pPr>
              <w:spacing w:line="430" w:lineRule="exact"/>
              <w:rPr>
                <w:rFonts w:hint="eastAsia"/>
              </w:rPr>
            </w:pPr>
          </w:p>
        </w:tc>
      </w:tr>
      <w:tr w14:paraId="7009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356BD1BC">
            <w:pPr>
              <w:spacing w:line="430" w:lineRule="exact"/>
              <w:rPr>
                <w:rFonts w:hint="eastAsia"/>
              </w:rPr>
            </w:pPr>
          </w:p>
        </w:tc>
        <w:tc>
          <w:tcPr>
            <w:tcW w:w="2700" w:type="dxa"/>
            <w:noWrap w:val="0"/>
            <w:vAlign w:val="top"/>
          </w:tcPr>
          <w:p w14:paraId="4F7FAE7D">
            <w:pPr>
              <w:spacing w:line="430" w:lineRule="exact"/>
              <w:rPr>
                <w:rFonts w:hint="eastAsia"/>
              </w:rPr>
            </w:pPr>
          </w:p>
        </w:tc>
        <w:tc>
          <w:tcPr>
            <w:tcW w:w="5770" w:type="dxa"/>
            <w:noWrap w:val="0"/>
            <w:vAlign w:val="top"/>
          </w:tcPr>
          <w:p w14:paraId="17DF14C5">
            <w:pPr>
              <w:spacing w:line="430" w:lineRule="exact"/>
              <w:rPr>
                <w:rFonts w:hint="eastAsia"/>
              </w:rPr>
            </w:pPr>
          </w:p>
        </w:tc>
      </w:tr>
      <w:tr w14:paraId="6112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65A2B3DD">
            <w:pPr>
              <w:spacing w:line="430" w:lineRule="exact"/>
              <w:rPr>
                <w:rFonts w:hint="eastAsia"/>
              </w:rPr>
            </w:pPr>
          </w:p>
        </w:tc>
        <w:tc>
          <w:tcPr>
            <w:tcW w:w="2700" w:type="dxa"/>
            <w:noWrap w:val="0"/>
            <w:vAlign w:val="top"/>
          </w:tcPr>
          <w:p w14:paraId="6A206441">
            <w:pPr>
              <w:spacing w:line="430" w:lineRule="exact"/>
              <w:rPr>
                <w:rFonts w:hint="eastAsia"/>
              </w:rPr>
            </w:pPr>
          </w:p>
        </w:tc>
        <w:tc>
          <w:tcPr>
            <w:tcW w:w="5770" w:type="dxa"/>
            <w:noWrap w:val="0"/>
            <w:vAlign w:val="top"/>
          </w:tcPr>
          <w:p w14:paraId="273511DA">
            <w:pPr>
              <w:spacing w:line="430" w:lineRule="exact"/>
              <w:rPr>
                <w:rFonts w:hint="eastAsia"/>
              </w:rPr>
            </w:pPr>
          </w:p>
        </w:tc>
      </w:tr>
      <w:tr w14:paraId="12BB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676AABAA">
            <w:pPr>
              <w:spacing w:line="430" w:lineRule="exact"/>
              <w:rPr>
                <w:rFonts w:hint="eastAsia"/>
              </w:rPr>
            </w:pPr>
          </w:p>
        </w:tc>
        <w:tc>
          <w:tcPr>
            <w:tcW w:w="2700" w:type="dxa"/>
            <w:noWrap w:val="0"/>
            <w:vAlign w:val="top"/>
          </w:tcPr>
          <w:p w14:paraId="53BF3A04">
            <w:pPr>
              <w:spacing w:line="430" w:lineRule="exact"/>
              <w:rPr>
                <w:rFonts w:hint="eastAsia"/>
              </w:rPr>
            </w:pPr>
          </w:p>
        </w:tc>
        <w:tc>
          <w:tcPr>
            <w:tcW w:w="5770" w:type="dxa"/>
            <w:noWrap w:val="0"/>
            <w:vAlign w:val="top"/>
          </w:tcPr>
          <w:p w14:paraId="14CE8D95">
            <w:pPr>
              <w:spacing w:line="430" w:lineRule="exact"/>
              <w:rPr>
                <w:rFonts w:hint="eastAsia"/>
              </w:rPr>
            </w:pPr>
          </w:p>
        </w:tc>
      </w:tr>
      <w:tr w14:paraId="3D26D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8" w:type="dxa"/>
            <w:noWrap w:val="0"/>
            <w:vAlign w:val="top"/>
          </w:tcPr>
          <w:p w14:paraId="3F7D6EBC">
            <w:pPr>
              <w:spacing w:line="430" w:lineRule="exact"/>
              <w:rPr>
                <w:rFonts w:hint="eastAsia"/>
              </w:rPr>
            </w:pPr>
          </w:p>
        </w:tc>
        <w:tc>
          <w:tcPr>
            <w:tcW w:w="2700" w:type="dxa"/>
            <w:noWrap w:val="0"/>
            <w:vAlign w:val="top"/>
          </w:tcPr>
          <w:p w14:paraId="4BC40720">
            <w:pPr>
              <w:spacing w:line="430" w:lineRule="exact"/>
              <w:rPr>
                <w:rFonts w:hint="eastAsia"/>
              </w:rPr>
            </w:pPr>
          </w:p>
        </w:tc>
        <w:tc>
          <w:tcPr>
            <w:tcW w:w="5770" w:type="dxa"/>
            <w:noWrap w:val="0"/>
            <w:vAlign w:val="top"/>
          </w:tcPr>
          <w:p w14:paraId="4155D7FA">
            <w:pPr>
              <w:spacing w:line="430" w:lineRule="exact"/>
              <w:rPr>
                <w:rFonts w:hint="eastAsia"/>
              </w:rPr>
            </w:pPr>
          </w:p>
        </w:tc>
      </w:tr>
    </w:tbl>
    <w:p w14:paraId="61F74C10">
      <w:pPr>
        <w:spacing w:line="430" w:lineRule="exact"/>
        <w:rPr>
          <w:rFonts w:hint="eastAsia" w:ascii="宋体" w:hAnsi="宋体"/>
          <w:szCs w:val="44"/>
        </w:rPr>
      </w:pPr>
    </w:p>
    <w:p w14:paraId="3408DEDF">
      <w:pPr>
        <w:spacing w:line="430" w:lineRule="exact"/>
        <w:rPr>
          <w:rFonts w:hint="eastAsia" w:ascii="黑体" w:eastAsia="黑体"/>
          <w:sz w:val="24"/>
        </w:rPr>
        <w:sectPr>
          <w:pgSz w:w="11907" w:h="16840"/>
          <w:pgMar w:top="1701" w:right="1531" w:bottom="1588" w:left="1474" w:header="851" w:footer="851" w:gutter="0"/>
          <w:cols w:space="720" w:num="1"/>
          <w:docGrid w:linePitch="312" w:charSpace="0"/>
        </w:sectPr>
      </w:pPr>
      <w:r>
        <w:rPr>
          <w:rFonts w:hint="eastAsia" w:ascii="宋体" w:hAnsi="宋体"/>
          <w:szCs w:val="44"/>
        </w:rPr>
        <w:t>评标委员会全体成员签名：                                  日期：    年    月    日</w:t>
      </w:r>
    </w:p>
    <w:p w14:paraId="5CB2662D">
      <w:pPr>
        <w:pStyle w:val="20"/>
      </w:pPr>
      <w:bookmarkStart w:id="428" w:name="_Toc108513655"/>
      <w:r>
        <w:t>附表 A-3：技术暗标编号确认表（适用于计算机辅助评标）</w:t>
      </w:r>
      <w:bookmarkEnd w:id="428"/>
    </w:p>
    <w:p w14:paraId="1E36062A">
      <w:pPr>
        <w:adjustRightInd w:val="0"/>
        <w:snapToGrid w:val="0"/>
        <w:spacing w:before="240" w:beforeLines="100" w:after="240" w:afterLines="100" w:line="440" w:lineRule="exact"/>
        <w:jc w:val="center"/>
        <w:rPr>
          <w:rFonts w:hint="eastAsia" w:ascii="黑体" w:hAnsi="宋体" w:eastAsia="黑体"/>
          <w:sz w:val="28"/>
          <w:szCs w:val="28"/>
        </w:rPr>
      </w:pPr>
      <w:r>
        <w:rPr>
          <w:rFonts w:ascii="黑体" w:hAnsi="宋体" w:eastAsia="黑体"/>
          <w:sz w:val="28"/>
          <w:szCs w:val="28"/>
        </w:rPr>
        <w:t>技术暗标编号确认表</w:t>
      </w:r>
    </w:p>
    <w:p w14:paraId="07699274">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13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2731"/>
        <w:gridCol w:w="1177"/>
        <w:gridCol w:w="1178"/>
        <w:gridCol w:w="1178"/>
        <w:gridCol w:w="1178"/>
        <w:gridCol w:w="1178"/>
        <w:gridCol w:w="1178"/>
        <w:gridCol w:w="1178"/>
        <w:gridCol w:w="1178"/>
        <w:gridCol w:w="1178"/>
      </w:tblGrid>
      <w:tr w14:paraId="7890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665" w:type="dxa"/>
            <w:noWrap w:val="0"/>
            <w:vAlign w:val="center"/>
          </w:tcPr>
          <w:p w14:paraId="494E0A48">
            <w:pPr>
              <w:jc w:val="center"/>
              <w:rPr>
                <w:rFonts w:hint="eastAsia" w:ascii="宋体" w:hAnsi="宋体"/>
                <w:szCs w:val="44"/>
              </w:rPr>
            </w:pPr>
            <w:r>
              <w:rPr>
                <w:rFonts w:hint="eastAsia" w:ascii="宋体" w:hAnsi="宋体"/>
                <w:szCs w:val="44"/>
              </w:rPr>
              <w:t>序号</w:t>
            </w:r>
          </w:p>
        </w:tc>
        <w:tc>
          <w:tcPr>
            <w:tcW w:w="2731" w:type="dxa"/>
            <w:noWrap w:val="0"/>
            <w:vAlign w:val="center"/>
          </w:tcPr>
          <w:p w14:paraId="2FD72361">
            <w:pPr>
              <w:jc w:val="center"/>
              <w:rPr>
                <w:rFonts w:hint="eastAsia" w:ascii="宋体" w:hAnsi="宋体"/>
                <w:szCs w:val="44"/>
              </w:rPr>
            </w:pPr>
            <w:r>
              <w:rPr>
                <w:rFonts w:ascii="宋体" w:hAnsi="宋体"/>
                <w:szCs w:val="44"/>
              </w:rPr>
              <w:t>施工组织设计模块名称</w:t>
            </w:r>
          </w:p>
        </w:tc>
        <w:tc>
          <w:tcPr>
            <w:tcW w:w="10601" w:type="dxa"/>
            <w:gridSpan w:val="9"/>
            <w:noWrap w:val="0"/>
            <w:vAlign w:val="center"/>
          </w:tcPr>
          <w:p w14:paraId="051232F6">
            <w:pPr>
              <w:jc w:val="center"/>
              <w:rPr>
                <w:rFonts w:hint="eastAsia" w:ascii="宋体" w:hAnsi="宋体"/>
                <w:szCs w:val="44"/>
              </w:rPr>
            </w:pPr>
            <w:r>
              <w:rPr>
                <w:rFonts w:ascii="宋体" w:hAnsi="宋体"/>
                <w:szCs w:val="44"/>
              </w:rPr>
              <w:t>投标人名称及模块暗标编号</w:t>
            </w:r>
          </w:p>
        </w:tc>
      </w:tr>
      <w:tr w14:paraId="6F7B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5" w:type="dxa"/>
            <w:noWrap w:val="0"/>
            <w:vAlign w:val="top"/>
          </w:tcPr>
          <w:p w14:paraId="4B0CF3B2">
            <w:pPr>
              <w:spacing w:after="240" w:afterLines="100"/>
              <w:rPr>
                <w:rFonts w:hint="eastAsia" w:ascii="黑体" w:eastAsia="黑体"/>
                <w:sz w:val="24"/>
              </w:rPr>
            </w:pPr>
          </w:p>
        </w:tc>
        <w:tc>
          <w:tcPr>
            <w:tcW w:w="2731" w:type="dxa"/>
            <w:noWrap w:val="0"/>
            <w:vAlign w:val="top"/>
          </w:tcPr>
          <w:p w14:paraId="2EEF8B37">
            <w:pPr>
              <w:spacing w:after="240" w:afterLines="100"/>
              <w:rPr>
                <w:rFonts w:hint="eastAsia" w:ascii="黑体" w:eastAsia="黑体"/>
                <w:sz w:val="24"/>
              </w:rPr>
            </w:pPr>
          </w:p>
        </w:tc>
        <w:tc>
          <w:tcPr>
            <w:tcW w:w="1177" w:type="dxa"/>
            <w:noWrap w:val="0"/>
            <w:vAlign w:val="top"/>
          </w:tcPr>
          <w:p w14:paraId="1DFAF008">
            <w:pPr>
              <w:spacing w:after="240" w:afterLines="100"/>
              <w:rPr>
                <w:rFonts w:hint="eastAsia" w:ascii="黑体" w:eastAsia="黑体"/>
                <w:sz w:val="24"/>
              </w:rPr>
            </w:pPr>
          </w:p>
        </w:tc>
        <w:tc>
          <w:tcPr>
            <w:tcW w:w="1178" w:type="dxa"/>
            <w:noWrap w:val="0"/>
            <w:vAlign w:val="top"/>
          </w:tcPr>
          <w:p w14:paraId="2682CD5D">
            <w:pPr>
              <w:spacing w:after="240" w:afterLines="100"/>
              <w:rPr>
                <w:rFonts w:hint="eastAsia" w:ascii="黑体" w:eastAsia="黑体"/>
                <w:sz w:val="24"/>
              </w:rPr>
            </w:pPr>
          </w:p>
        </w:tc>
        <w:tc>
          <w:tcPr>
            <w:tcW w:w="1178" w:type="dxa"/>
            <w:noWrap w:val="0"/>
            <w:vAlign w:val="top"/>
          </w:tcPr>
          <w:p w14:paraId="43021D0B">
            <w:pPr>
              <w:spacing w:after="240" w:afterLines="100"/>
              <w:rPr>
                <w:rFonts w:hint="eastAsia" w:ascii="黑体" w:eastAsia="黑体"/>
                <w:sz w:val="24"/>
              </w:rPr>
            </w:pPr>
          </w:p>
        </w:tc>
        <w:tc>
          <w:tcPr>
            <w:tcW w:w="1178" w:type="dxa"/>
            <w:noWrap w:val="0"/>
            <w:vAlign w:val="top"/>
          </w:tcPr>
          <w:p w14:paraId="13750B28">
            <w:pPr>
              <w:spacing w:after="240" w:afterLines="100"/>
              <w:rPr>
                <w:rFonts w:hint="eastAsia" w:ascii="黑体" w:eastAsia="黑体"/>
                <w:sz w:val="24"/>
              </w:rPr>
            </w:pPr>
          </w:p>
        </w:tc>
        <w:tc>
          <w:tcPr>
            <w:tcW w:w="1178" w:type="dxa"/>
            <w:noWrap w:val="0"/>
            <w:vAlign w:val="top"/>
          </w:tcPr>
          <w:p w14:paraId="04B32622">
            <w:pPr>
              <w:spacing w:after="240" w:afterLines="100"/>
              <w:rPr>
                <w:rFonts w:hint="eastAsia" w:ascii="黑体" w:eastAsia="黑体"/>
                <w:sz w:val="24"/>
              </w:rPr>
            </w:pPr>
          </w:p>
        </w:tc>
        <w:tc>
          <w:tcPr>
            <w:tcW w:w="1178" w:type="dxa"/>
            <w:noWrap w:val="0"/>
            <w:vAlign w:val="top"/>
          </w:tcPr>
          <w:p w14:paraId="65E35C78">
            <w:pPr>
              <w:spacing w:after="240" w:afterLines="100"/>
              <w:rPr>
                <w:rFonts w:hint="eastAsia" w:ascii="黑体" w:eastAsia="黑体"/>
                <w:sz w:val="24"/>
              </w:rPr>
            </w:pPr>
          </w:p>
        </w:tc>
        <w:tc>
          <w:tcPr>
            <w:tcW w:w="1178" w:type="dxa"/>
            <w:noWrap w:val="0"/>
            <w:vAlign w:val="top"/>
          </w:tcPr>
          <w:p w14:paraId="110E2DEA">
            <w:pPr>
              <w:spacing w:after="240" w:afterLines="100"/>
              <w:rPr>
                <w:rFonts w:hint="eastAsia" w:ascii="黑体" w:eastAsia="黑体"/>
                <w:sz w:val="24"/>
              </w:rPr>
            </w:pPr>
          </w:p>
        </w:tc>
        <w:tc>
          <w:tcPr>
            <w:tcW w:w="1178" w:type="dxa"/>
            <w:noWrap w:val="0"/>
            <w:vAlign w:val="top"/>
          </w:tcPr>
          <w:p w14:paraId="69FA05B9">
            <w:pPr>
              <w:spacing w:after="240" w:afterLines="100"/>
              <w:rPr>
                <w:rFonts w:hint="eastAsia" w:ascii="黑体" w:eastAsia="黑体"/>
                <w:sz w:val="24"/>
              </w:rPr>
            </w:pPr>
          </w:p>
        </w:tc>
        <w:tc>
          <w:tcPr>
            <w:tcW w:w="1178" w:type="dxa"/>
            <w:noWrap w:val="0"/>
            <w:vAlign w:val="top"/>
          </w:tcPr>
          <w:p w14:paraId="46FA4D37">
            <w:pPr>
              <w:spacing w:after="240" w:afterLines="100"/>
              <w:rPr>
                <w:rFonts w:hint="eastAsia" w:ascii="黑体" w:eastAsia="黑体"/>
                <w:sz w:val="24"/>
              </w:rPr>
            </w:pPr>
          </w:p>
        </w:tc>
      </w:tr>
      <w:tr w14:paraId="46E33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5A1BE518">
            <w:pPr>
              <w:spacing w:after="240" w:afterLines="100"/>
              <w:rPr>
                <w:rFonts w:hint="eastAsia" w:ascii="黑体" w:eastAsia="黑体"/>
                <w:sz w:val="24"/>
              </w:rPr>
            </w:pPr>
          </w:p>
        </w:tc>
        <w:tc>
          <w:tcPr>
            <w:tcW w:w="2731" w:type="dxa"/>
            <w:noWrap w:val="0"/>
            <w:vAlign w:val="top"/>
          </w:tcPr>
          <w:p w14:paraId="4B4292DD">
            <w:pPr>
              <w:spacing w:after="240" w:afterLines="100"/>
              <w:rPr>
                <w:rFonts w:hint="eastAsia" w:ascii="黑体" w:eastAsia="黑体"/>
                <w:sz w:val="24"/>
              </w:rPr>
            </w:pPr>
          </w:p>
        </w:tc>
        <w:tc>
          <w:tcPr>
            <w:tcW w:w="1177" w:type="dxa"/>
            <w:noWrap w:val="0"/>
            <w:vAlign w:val="top"/>
          </w:tcPr>
          <w:p w14:paraId="4DA8C449">
            <w:pPr>
              <w:spacing w:after="240" w:afterLines="100"/>
              <w:rPr>
                <w:rFonts w:hint="eastAsia" w:ascii="黑体" w:eastAsia="黑体"/>
                <w:sz w:val="24"/>
              </w:rPr>
            </w:pPr>
          </w:p>
        </w:tc>
        <w:tc>
          <w:tcPr>
            <w:tcW w:w="1178" w:type="dxa"/>
            <w:noWrap w:val="0"/>
            <w:vAlign w:val="top"/>
          </w:tcPr>
          <w:p w14:paraId="13A73EE6">
            <w:pPr>
              <w:spacing w:after="240" w:afterLines="100"/>
              <w:rPr>
                <w:rFonts w:hint="eastAsia" w:ascii="黑体" w:eastAsia="黑体"/>
                <w:sz w:val="24"/>
              </w:rPr>
            </w:pPr>
          </w:p>
        </w:tc>
        <w:tc>
          <w:tcPr>
            <w:tcW w:w="1178" w:type="dxa"/>
            <w:noWrap w:val="0"/>
            <w:vAlign w:val="top"/>
          </w:tcPr>
          <w:p w14:paraId="5A16D0D2">
            <w:pPr>
              <w:spacing w:after="240" w:afterLines="100"/>
              <w:rPr>
                <w:rFonts w:hint="eastAsia" w:ascii="黑体" w:eastAsia="黑体"/>
                <w:sz w:val="24"/>
              </w:rPr>
            </w:pPr>
          </w:p>
        </w:tc>
        <w:tc>
          <w:tcPr>
            <w:tcW w:w="1178" w:type="dxa"/>
            <w:noWrap w:val="0"/>
            <w:vAlign w:val="top"/>
          </w:tcPr>
          <w:p w14:paraId="4DA746D4">
            <w:pPr>
              <w:spacing w:after="240" w:afterLines="100"/>
              <w:rPr>
                <w:rFonts w:hint="eastAsia" w:ascii="黑体" w:eastAsia="黑体"/>
                <w:sz w:val="24"/>
              </w:rPr>
            </w:pPr>
          </w:p>
        </w:tc>
        <w:tc>
          <w:tcPr>
            <w:tcW w:w="1178" w:type="dxa"/>
            <w:noWrap w:val="0"/>
            <w:vAlign w:val="top"/>
          </w:tcPr>
          <w:p w14:paraId="2C9185F6">
            <w:pPr>
              <w:spacing w:after="240" w:afterLines="100"/>
              <w:rPr>
                <w:rFonts w:hint="eastAsia" w:ascii="黑体" w:eastAsia="黑体"/>
                <w:sz w:val="24"/>
              </w:rPr>
            </w:pPr>
          </w:p>
        </w:tc>
        <w:tc>
          <w:tcPr>
            <w:tcW w:w="1178" w:type="dxa"/>
            <w:noWrap w:val="0"/>
            <w:vAlign w:val="top"/>
          </w:tcPr>
          <w:p w14:paraId="671BB406">
            <w:pPr>
              <w:spacing w:after="240" w:afterLines="100"/>
              <w:rPr>
                <w:rFonts w:hint="eastAsia" w:ascii="黑体" w:eastAsia="黑体"/>
                <w:sz w:val="24"/>
              </w:rPr>
            </w:pPr>
          </w:p>
        </w:tc>
        <w:tc>
          <w:tcPr>
            <w:tcW w:w="1178" w:type="dxa"/>
            <w:noWrap w:val="0"/>
            <w:vAlign w:val="top"/>
          </w:tcPr>
          <w:p w14:paraId="39FB0799">
            <w:pPr>
              <w:spacing w:after="240" w:afterLines="100"/>
              <w:rPr>
                <w:rFonts w:hint="eastAsia" w:ascii="黑体" w:eastAsia="黑体"/>
                <w:sz w:val="24"/>
              </w:rPr>
            </w:pPr>
          </w:p>
        </w:tc>
        <w:tc>
          <w:tcPr>
            <w:tcW w:w="1178" w:type="dxa"/>
            <w:noWrap w:val="0"/>
            <w:vAlign w:val="top"/>
          </w:tcPr>
          <w:p w14:paraId="143333F0">
            <w:pPr>
              <w:spacing w:after="240" w:afterLines="100"/>
              <w:rPr>
                <w:rFonts w:hint="eastAsia" w:ascii="黑体" w:eastAsia="黑体"/>
                <w:sz w:val="24"/>
              </w:rPr>
            </w:pPr>
          </w:p>
        </w:tc>
        <w:tc>
          <w:tcPr>
            <w:tcW w:w="1178" w:type="dxa"/>
            <w:noWrap w:val="0"/>
            <w:vAlign w:val="top"/>
          </w:tcPr>
          <w:p w14:paraId="20864CB7">
            <w:pPr>
              <w:spacing w:after="240" w:afterLines="100"/>
              <w:rPr>
                <w:rFonts w:hint="eastAsia" w:ascii="黑体" w:eastAsia="黑体"/>
                <w:sz w:val="24"/>
              </w:rPr>
            </w:pPr>
          </w:p>
        </w:tc>
      </w:tr>
      <w:tr w14:paraId="42E7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0CA7B667">
            <w:pPr>
              <w:spacing w:after="240" w:afterLines="100"/>
              <w:rPr>
                <w:rFonts w:hint="eastAsia" w:ascii="黑体" w:eastAsia="黑体"/>
                <w:sz w:val="24"/>
              </w:rPr>
            </w:pPr>
          </w:p>
        </w:tc>
        <w:tc>
          <w:tcPr>
            <w:tcW w:w="2731" w:type="dxa"/>
            <w:noWrap w:val="0"/>
            <w:vAlign w:val="top"/>
          </w:tcPr>
          <w:p w14:paraId="322B0600">
            <w:pPr>
              <w:spacing w:after="240" w:afterLines="100"/>
              <w:rPr>
                <w:rFonts w:hint="eastAsia" w:ascii="黑体" w:eastAsia="黑体"/>
                <w:sz w:val="24"/>
              </w:rPr>
            </w:pPr>
          </w:p>
        </w:tc>
        <w:tc>
          <w:tcPr>
            <w:tcW w:w="1177" w:type="dxa"/>
            <w:noWrap w:val="0"/>
            <w:vAlign w:val="top"/>
          </w:tcPr>
          <w:p w14:paraId="1682988C">
            <w:pPr>
              <w:spacing w:after="240" w:afterLines="100"/>
              <w:rPr>
                <w:rFonts w:hint="eastAsia" w:ascii="黑体" w:eastAsia="黑体"/>
                <w:sz w:val="24"/>
              </w:rPr>
            </w:pPr>
          </w:p>
        </w:tc>
        <w:tc>
          <w:tcPr>
            <w:tcW w:w="1178" w:type="dxa"/>
            <w:noWrap w:val="0"/>
            <w:vAlign w:val="top"/>
          </w:tcPr>
          <w:p w14:paraId="7248FE35">
            <w:pPr>
              <w:spacing w:after="240" w:afterLines="100"/>
              <w:rPr>
                <w:rFonts w:hint="eastAsia" w:ascii="黑体" w:eastAsia="黑体"/>
                <w:sz w:val="24"/>
              </w:rPr>
            </w:pPr>
          </w:p>
        </w:tc>
        <w:tc>
          <w:tcPr>
            <w:tcW w:w="1178" w:type="dxa"/>
            <w:noWrap w:val="0"/>
            <w:vAlign w:val="top"/>
          </w:tcPr>
          <w:p w14:paraId="3388998B">
            <w:pPr>
              <w:spacing w:after="240" w:afterLines="100"/>
              <w:rPr>
                <w:rFonts w:hint="eastAsia" w:ascii="黑体" w:eastAsia="黑体"/>
                <w:sz w:val="24"/>
              </w:rPr>
            </w:pPr>
          </w:p>
        </w:tc>
        <w:tc>
          <w:tcPr>
            <w:tcW w:w="1178" w:type="dxa"/>
            <w:noWrap w:val="0"/>
            <w:vAlign w:val="top"/>
          </w:tcPr>
          <w:p w14:paraId="2EC24953">
            <w:pPr>
              <w:spacing w:after="240" w:afterLines="100"/>
              <w:rPr>
                <w:rFonts w:hint="eastAsia" w:ascii="黑体" w:eastAsia="黑体"/>
                <w:sz w:val="24"/>
              </w:rPr>
            </w:pPr>
          </w:p>
        </w:tc>
        <w:tc>
          <w:tcPr>
            <w:tcW w:w="1178" w:type="dxa"/>
            <w:noWrap w:val="0"/>
            <w:vAlign w:val="top"/>
          </w:tcPr>
          <w:p w14:paraId="06486245">
            <w:pPr>
              <w:spacing w:after="240" w:afterLines="100"/>
              <w:rPr>
                <w:rFonts w:hint="eastAsia" w:ascii="黑体" w:eastAsia="黑体"/>
                <w:sz w:val="24"/>
              </w:rPr>
            </w:pPr>
          </w:p>
        </w:tc>
        <w:tc>
          <w:tcPr>
            <w:tcW w:w="1178" w:type="dxa"/>
            <w:noWrap w:val="0"/>
            <w:vAlign w:val="top"/>
          </w:tcPr>
          <w:p w14:paraId="00A9DE50">
            <w:pPr>
              <w:spacing w:after="240" w:afterLines="100"/>
              <w:rPr>
                <w:rFonts w:hint="eastAsia" w:ascii="黑体" w:eastAsia="黑体"/>
                <w:sz w:val="24"/>
              </w:rPr>
            </w:pPr>
          </w:p>
        </w:tc>
        <w:tc>
          <w:tcPr>
            <w:tcW w:w="1178" w:type="dxa"/>
            <w:noWrap w:val="0"/>
            <w:vAlign w:val="top"/>
          </w:tcPr>
          <w:p w14:paraId="01963D31">
            <w:pPr>
              <w:spacing w:after="240" w:afterLines="100"/>
              <w:rPr>
                <w:rFonts w:hint="eastAsia" w:ascii="黑体" w:eastAsia="黑体"/>
                <w:sz w:val="24"/>
              </w:rPr>
            </w:pPr>
          </w:p>
        </w:tc>
        <w:tc>
          <w:tcPr>
            <w:tcW w:w="1178" w:type="dxa"/>
            <w:noWrap w:val="0"/>
            <w:vAlign w:val="top"/>
          </w:tcPr>
          <w:p w14:paraId="099A2A8C">
            <w:pPr>
              <w:spacing w:after="240" w:afterLines="100"/>
              <w:rPr>
                <w:rFonts w:hint="eastAsia" w:ascii="黑体" w:eastAsia="黑体"/>
                <w:sz w:val="24"/>
              </w:rPr>
            </w:pPr>
          </w:p>
        </w:tc>
        <w:tc>
          <w:tcPr>
            <w:tcW w:w="1178" w:type="dxa"/>
            <w:noWrap w:val="0"/>
            <w:vAlign w:val="top"/>
          </w:tcPr>
          <w:p w14:paraId="1528793D">
            <w:pPr>
              <w:spacing w:after="240" w:afterLines="100"/>
              <w:rPr>
                <w:rFonts w:hint="eastAsia" w:ascii="黑体" w:eastAsia="黑体"/>
                <w:sz w:val="24"/>
              </w:rPr>
            </w:pPr>
          </w:p>
        </w:tc>
      </w:tr>
      <w:tr w14:paraId="0A6B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00A16289">
            <w:pPr>
              <w:spacing w:after="240" w:afterLines="100"/>
              <w:rPr>
                <w:rFonts w:hint="eastAsia" w:ascii="黑体" w:eastAsia="黑体"/>
                <w:sz w:val="24"/>
              </w:rPr>
            </w:pPr>
          </w:p>
        </w:tc>
        <w:tc>
          <w:tcPr>
            <w:tcW w:w="2731" w:type="dxa"/>
            <w:noWrap w:val="0"/>
            <w:vAlign w:val="top"/>
          </w:tcPr>
          <w:p w14:paraId="49B4ED29">
            <w:pPr>
              <w:spacing w:after="240" w:afterLines="100"/>
              <w:rPr>
                <w:rFonts w:hint="eastAsia" w:ascii="黑体" w:eastAsia="黑体"/>
                <w:sz w:val="24"/>
              </w:rPr>
            </w:pPr>
          </w:p>
        </w:tc>
        <w:tc>
          <w:tcPr>
            <w:tcW w:w="1177" w:type="dxa"/>
            <w:noWrap w:val="0"/>
            <w:vAlign w:val="top"/>
          </w:tcPr>
          <w:p w14:paraId="5AB91DF9">
            <w:pPr>
              <w:spacing w:after="240" w:afterLines="100"/>
              <w:rPr>
                <w:rFonts w:hint="eastAsia" w:ascii="黑体" w:eastAsia="黑体"/>
                <w:sz w:val="24"/>
              </w:rPr>
            </w:pPr>
          </w:p>
        </w:tc>
        <w:tc>
          <w:tcPr>
            <w:tcW w:w="1178" w:type="dxa"/>
            <w:noWrap w:val="0"/>
            <w:vAlign w:val="top"/>
          </w:tcPr>
          <w:p w14:paraId="078EBDA5">
            <w:pPr>
              <w:spacing w:after="240" w:afterLines="100"/>
              <w:rPr>
                <w:rFonts w:hint="eastAsia" w:ascii="黑体" w:eastAsia="黑体"/>
                <w:sz w:val="24"/>
              </w:rPr>
            </w:pPr>
          </w:p>
        </w:tc>
        <w:tc>
          <w:tcPr>
            <w:tcW w:w="1178" w:type="dxa"/>
            <w:noWrap w:val="0"/>
            <w:vAlign w:val="top"/>
          </w:tcPr>
          <w:p w14:paraId="37AF52B3">
            <w:pPr>
              <w:spacing w:after="240" w:afterLines="100"/>
              <w:rPr>
                <w:rFonts w:hint="eastAsia" w:ascii="黑体" w:eastAsia="黑体"/>
                <w:sz w:val="24"/>
              </w:rPr>
            </w:pPr>
          </w:p>
        </w:tc>
        <w:tc>
          <w:tcPr>
            <w:tcW w:w="1178" w:type="dxa"/>
            <w:noWrap w:val="0"/>
            <w:vAlign w:val="top"/>
          </w:tcPr>
          <w:p w14:paraId="390D1C3A">
            <w:pPr>
              <w:spacing w:after="240" w:afterLines="100"/>
              <w:rPr>
                <w:rFonts w:hint="eastAsia" w:ascii="黑体" w:eastAsia="黑体"/>
                <w:sz w:val="24"/>
              </w:rPr>
            </w:pPr>
          </w:p>
        </w:tc>
        <w:tc>
          <w:tcPr>
            <w:tcW w:w="1178" w:type="dxa"/>
            <w:noWrap w:val="0"/>
            <w:vAlign w:val="top"/>
          </w:tcPr>
          <w:p w14:paraId="38A9DBAF">
            <w:pPr>
              <w:spacing w:after="240" w:afterLines="100"/>
              <w:rPr>
                <w:rFonts w:hint="eastAsia" w:ascii="黑体" w:eastAsia="黑体"/>
                <w:sz w:val="24"/>
              </w:rPr>
            </w:pPr>
          </w:p>
        </w:tc>
        <w:tc>
          <w:tcPr>
            <w:tcW w:w="1178" w:type="dxa"/>
            <w:noWrap w:val="0"/>
            <w:vAlign w:val="top"/>
          </w:tcPr>
          <w:p w14:paraId="317FD2EE">
            <w:pPr>
              <w:spacing w:after="240" w:afterLines="100"/>
              <w:rPr>
                <w:rFonts w:hint="eastAsia" w:ascii="黑体" w:eastAsia="黑体"/>
                <w:sz w:val="24"/>
              </w:rPr>
            </w:pPr>
          </w:p>
        </w:tc>
        <w:tc>
          <w:tcPr>
            <w:tcW w:w="1178" w:type="dxa"/>
            <w:noWrap w:val="0"/>
            <w:vAlign w:val="top"/>
          </w:tcPr>
          <w:p w14:paraId="667BE5B3">
            <w:pPr>
              <w:spacing w:after="240" w:afterLines="100"/>
              <w:rPr>
                <w:rFonts w:hint="eastAsia" w:ascii="黑体" w:eastAsia="黑体"/>
                <w:sz w:val="24"/>
              </w:rPr>
            </w:pPr>
          </w:p>
        </w:tc>
        <w:tc>
          <w:tcPr>
            <w:tcW w:w="1178" w:type="dxa"/>
            <w:noWrap w:val="0"/>
            <w:vAlign w:val="top"/>
          </w:tcPr>
          <w:p w14:paraId="2E8738CC">
            <w:pPr>
              <w:spacing w:after="240" w:afterLines="100"/>
              <w:rPr>
                <w:rFonts w:hint="eastAsia" w:ascii="黑体" w:eastAsia="黑体"/>
                <w:sz w:val="24"/>
              </w:rPr>
            </w:pPr>
          </w:p>
        </w:tc>
        <w:tc>
          <w:tcPr>
            <w:tcW w:w="1178" w:type="dxa"/>
            <w:noWrap w:val="0"/>
            <w:vAlign w:val="top"/>
          </w:tcPr>
          <w:p w14:paraId="37B5FFC1">
            <w:pPr>
              <w:spacing w:after="240" w:afterLines="100"/>
              <w:rPr>
                <w:rFonts w:hint="eastAsia" w:ascii="黑体" w:eastAsia="黑体"/>
                <w:sz w:val="24"/>
              </w:rPr>
            </w:pPr>
          </w:p>
        </w:tc>
      </w:tr>
      <w:tr w14:paraId="06EC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7FFED765">
            <w:pPr>
              <w:spacing w:after="240" w:afterLines="100"/>
              <w:rPr>
                <w:rFonts w:hint="eastAsia" w:ascii="黑体" w:eastAsia="黑体"/>
                <w:sz w:val="24"/>
              </w:rPr>
            </w:pPr>
          </w:p>
        </w:tc>
        <w:tc>
          <w:tcPr>
            <w:tcW w:w="2731" w:type="dxa"/>
            <w:noWrap w:val="0"/>
            <w:vAlign w:val="top"/>
          </w:tcPr>
          <w:p w14:paraId="6161401E">
            <w:pPr>
              <w:spacing w:after="240" w:afterLines="100"/>
              <w:rPr>
                <w:rFonts w:hint="eastAsia" w:ascii="黑体" w:eastAsia="黑体"/>
                <w:sz w:val="24"/>
              </w:rPr>
            </w:pPr>
          </w:p>
        </w:tc>
        <w:tc>
          <w:tcPr>
            <w:tcW w:w="1177" w:type="dxa"/>
            <w:noWrap w:val="0"/>
            <w:vAlign w:val="top"/>
          </w:tcPr>
          <w:p w14:paraId="1FEFB23E">
            <w:pPr>
              <w:spacing w:after="240" w:afterLines="100"/>
              <w:rPr>
                <w:rFonts w:hint="eastAsia" w:ascii="黑体" w:eastAsia="黑体"/>
                <w:sz w:val="24"/>
              </w:rPr>
            </w:pPr>
          </w:p>
        </w:tc>
        <w:tc>
          <w:tcPr>
            <w:tcW w:w="1178" w:type="dxa"/>
            <w:noWrap w:val="0"/>
            <w:vAlign w:val="top"/>
          </w:tcPr>
          <w:p w14:paraId="61DFD425">
            <w:pPr>
              <w:spacing w:after="240" w:afterLines="100"/>
              <w:rPr>
                <w:rFonts w:hint="eastAsia" w:ascii="黑体" w:eastAsia="黑体"/>
                <w:sz w:val="24"/>
              </w:rPr>
            </w:pPr>
          </w:p>
        </w:tc>
        <w:tc>
          <w:tcPr>
            <w:tcW w:w="1178" w:type="dxa"/>
            <w:noWrap w:val="0"/>
            <w:vAlign w:val="top"/>
          </w:tcPr>
          <w:p w14:paraId="131CC2B0">
            <w:pPr>
              <w:spacing w:after="240" w:afterLines="100"/>
              <w:rPr>
                <w:rFonts w:hint="eastAsia" w:ascii="黑体" w:eastAsia="黑体"/>
                <w:sz w:val="24"/>
              </w:rPr>
            </w:pPr>
          </w:p>
        </w:tc>
        <w:tc>
          <w:tcPr>
            <w:tcW w:w="1178" w:type="dxa"/>
            <w:noWrap w:val="0"/>
            <w:vAlign w:val="top"/>
          </w:tcPr>
          <w:p w14:paraId="57DE1AEE">
            <w:pPr>
              <w:spacing w:after="240" w:afterLines="100"/>
              <w:rPr>
                <w:rFonts w:hint="eastAsia" w:ascii="黑体" w:eastAsia="黑体"/>
                <w:sz w:val="24"/>
              </w:rPr>
            </w:pPr>
          </w:p>
        </w:tc>
        <w:tc>
          <w:tcPr>
            <w:tcW w:w="1178" w:type="dxa"/>
            <w:noWrap w:val="0"/>
            <w:vAlign w:val="top"/>
          </w:tcPr>
          <w:p w14:paraId="72126BEA">
            <w:pPr>
              <w:spacing w:after="240" w:afterLines="100"/>
              <w:rPr>
                <w:rFonts w:hint="eastAsia" w:ascii="黑体" w:eastAsia="黑体"/>
                <w:sz w:val="24"/>
              </w:rPr>
            </w:pPr>
          </w:p>
        </w:tc>
        <w:tc>
          <w:tcPr>
            <w:tcW w:w="1178" w:type="dxa"/>
            <w:noWrap w:val="0"/>
            <w:vAlign w:val="top"/>
          </w:tcPr>
          <w:p w14:paraId="4AFDEFDC">
            <w:pPr>
              <w:spacing w:after="240" w:afterLines="100"/>
              <w:rPr>
                <w:rFonts w:hint="eastAsia" w:ascii="黑体" w:eastAsia="黑体"/>
                <w:sz w:val="24"/>
              </w:rPr>
            </w:pPr>
          </w:p>
        </w:tc>
        <w:tc>
          <w:tcPr>
            <w:tcW w:w="1178" w:type="dxa"/>
            <w:noWrap w:val="0"/>
            <w:vAlign w:val="top"/>
          </w:tcPr>
          <w:p w14:paraId="1AA66D7E">
            <w:pPr>
              <w:spacing w:after="240" w:afterLines="100"/>
              <w:rPr>
                <w:rFonts w:hint="eastAsia" w:ascii="黑体" w:eastAsia="黑体"/>
                <w:sz w:val="24"/>
              </w:rPr>
            </w:pPr>
          </w:p>
        </w:tc>
        <w:tc>
          <w:tcPr>
            <w:tcW w:w="1178" w:type="dxa"/>
            <w:noWrap w:val="0"/>
            <w:vAlign w:val="top"/>
          </w:tcPr>
          <w:p w14:paraId="04BB92F8">
            <w:pPr>
              <w:spacing w:after="240" w:afterLines="100"/>
              <w:rPr>
                <w:rFonts w:hint="eastAsia" w:ascii="黑体" w:eastAsia="黑体"/>
                <w:sz w:val="24"/>
              </w:rPr>
            </w:pPr>
          </w:p>
        </w:tc>
        <w:tc>
          <w:tcPr>
            <w:tcW w:w="1178" w:type="dxa"/>
            <w:noWrap w:val="0"/>
            <w:vAlign w:val="top"/>
          </w:tcPr>
          <w:p w14:paraId="7F156B0F">
            <w:pPr>
              <w:spacing w:after="240" w:afterLines="100"/>
              <w:rPr>
                <w:rFonts w:hint="eastAsia" w:ascii="黑体" w:eastAsia="黑体"/>
                <w:sz w:val="24"/>
              </w:rPr>
            </w:pPr>
          </w:p>
        </w:tc>
      </w:tr>
      <w:tr w14:paraId="7225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44D1A403">
            <w:pPr>
              <w:spacing w:after="240" w:afterLines="100"/>
              <w:rPr>
                <w:rFonts w:hint="eastAsia" w:ascii="黑体" w:eastAsia="黑体"/>
                <w:sz w:val="24"/>
              </w:rPr>
            </w:pPr>
          </w:p>
        </w:tc>
        <w:tc>
          <w:tcPr>
            <w:tcW w:w="2731" w:type="dxa"/>
            <w:noWrap w:val="0"/>
            <w:vAlign w:val="top"/>
          </w:tcPr>
          <w:p w14:paraId="47B85E81">
            <w:pPr>
              <w:spacing w:after="240" w:afterLines="100"/>
              <w:rPr>
                <w:rFonts w:hint="eastAsia" w:ascii="黑体" w:eastAsia="黑体"/>
                <w:sz w:val="24"/>
              </w:rPr>
            </w:pPr>
          </w:p>
        </w:tc>
        <w:tc>
          <w:tcPr>
            <w:tcW w:w="1177" w:type="dxa"/>
            <w:noWrap w:val="0"/>
            <w:vAlign w:val="top"/>
          </w:tcPr>
          <w:p w14:paraId="1252663E">
            <w:pPr>
              <w:spacing w:after="240" w:afterLines="100"/>
              <w:rPr>
                <w:rFonts w:hint="eastAsia" w:ascii="黑体" w:eastAsia="黑体"/>
                <w:sz w:val="24"/>
              </w:rPr>
            </w:pPr>
          </w:p>
        </w:tc>
        <w:tc>
          <w:tcPr>
            <w:tcW w:w="1178" w:type="dxa"/>
            <w:noWrap w:val="0"/>
            <w:vAlign w:val="top"/>
          </w:tcPr>
          <w:p w14:paraId="36BCAFDD">
            <w:pPr>
              <w:spacing w:after="240" w:afterLines="100"/>
              <w:rPr>
                <w:rFonts w:hint="eastAsia" w:ascii="黑体" w:eastAsia="黑体"/>
                <w:sz w:val="24"/>
              </w:rPr>
            </w:pPr>
          </w:p>
        </w:tc>
        <w:tc>
          <w:tcPr>
            <w:tcW w:w="1178" w:type="dxa"/>
            <w:noWrap w:val="0"/>
            <w:vAlign w:val="top"/>
          </w:tcPr>
          <w:p w14:paraId="2CC6F74E">
            <w:pPr>
              <w:spacing w:after="240" w:afterLines="100"/>
              <w:rPr>
                <w:rFonts w:hint="eastAsia" w:ascii="黑体" w:eastAsia="黑体"/>
                <w:sz w:val="24"/>
              </w:rPr>
            </w:pPr>
          </w:p>
        </w:tc>
        <w:tc>
          <w:tcPr>
            <w:tcW w:w="1178" w:type="dxa"/>
            <w:noWrap w:val="0"/>
            <w:vAlign w:val="top"/>
          </w:tcPr>
          <w:p w14:paraId="5F12F198">
            <w:pPr>
              <w:spacing w:after="240" w:afterLines="100"/>
              <w:rPr>
                <w:rFonts w:hint="eastAsia" w:ascii="黑体" w:eastAsia="黑体"/>
                <w:sz w:val="24"/>
              </w:rPr>
            </w:pPr>
          </w:p>
        </w:tc>
        <w:tc>
          <w:tcPr>
            <w:tcW w:w="1178" w:type="dxa"/>
            <w:noWrap w:val="0"/>
            <w:vAlign w:val="top"/>
          </w:tcPr>
          <w:p w14:paraId="767FD756">
            <w:pPr>
              <w:spacing w:after="240" w:afterLines="100"/>
              <w:rPr>
                <w:rFonts w:hint="eastAsia" w:ascii="黑体" w:eastAsia="黑体"/>
                <w:sz w:val="24"/>
              </w:rPr>
            </w:pPr>
          </w:p>
        </w:tc>
        <w:tc>
          <w:tcPr>
            <w:tcW w:w="1178" w:type="dxa"/>
            <w:noWrap w:val="0"/>
            <w:vAlign w:val="top"/>
          </w:tcPr>
          <w:p w14:paraId="768CCDC7">
            <w:pPr>
              <w:spacing w:after="240" w:afterLines="100"/>
              <w:rPr>
                <w:rFonts w:hint="eastAsia" w:ascii="黑体" w:eastAsia="黑体"/>
                <w:sz w:val="24"/>
              </w:rPr>
            </w:pPr>
          </w:p>
        </w:tc>
        <w:tc>
          <w:tcPr>
            <w:tcW w:w="1178" w:type="dxa"/>
            <w:noWrap w:val="0"/>
            <w:vAlign w:val="top"/>
          </w:tcPr>
          <w:p w14:paraId="6A779CAD">
            <w:pPr>
              <w:spacing w:after="240" w:afterLines="100"/>
              <w:rPr>
                <w:rFonts w:hint="eastAsia" w:ascii="黑体" w:eastAsia="黑体"/>
                <w:sz w:val="24"/>
              </w:rPr>
            </w:pPr>
          </w:p>
        </w:tc>
        <w:tc>
          <w:tcPr>
            <w:tcW w:w="1178" w:type="dxa"/>
            <w:noWrap w:val="0"/>
            <w:vAlign w:val="top"/>
          </w:tcPr>
          <w:p w14:paraId="173A5351">
            <w:pPr>
              <w:spacing w:after="240" w:afterLines="100"/>
              <w:rPr>
                <w:rFonts w:hint="eastAsia" w:ascii="黑体" w:eastAsia="黑体"/>
                <w:sz w:val="24"/>
              </w:rPr>
            </w:pPr>
          </w:p>
        </w:tc>
        <w:tc>
          <w:tcPr>
            <w:tcW w:w="1178" w:type="dxa"/>
            <w:noWrap w:val="0"/>
            <w:vAlign w:val="top"/>
          </w:tcPr>
          <w:p w14:paraId="0A903210">
            <w:pPr>
              <w:spacing w:after="240" w:afterLines="100"/>
              <w:rPr>
                <w:rFonts w:hint="eastAsia" w:ascii="黑体" w:eastAsia="黑体"/>
                <w:sz w:val="24"/>
              </w:rPr>
            </w:pPr>
          </w:p>
        </w:tc>
      </w:tr>
      <w:tr w14:paraId="1A08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523C7782">
            <w:pPr>
              <w:spacing w:after="240" w:afterLines="100"/>
              <w:rPr>
                <w:rFonts w:hint="eastAsia" w:ascii="黑体" w:eastAsia="黑体"/>
                <w:sz w:val="24"/>
              </w:rPr>
            </w:pPr>
          </w:p>
        </w:tc>
        <w:tc>
          <w:tcPr>
            <w:tcW w:w="2731" w:type="dxa"/>
            <w:noWrap w:val="0"/>
            <w:vAlign w:val="top"/>
          </w:tcPr>
          <w:p w14:paraId="7A43AF97">
            <w:pPr>
              <w:spacing w:after="240" w:afterLines="100"/>
              <w:rPr>
                <w:rFonts w:hint="eastAsia" w:ascii="黑体" w:eastAsia="黑体"/>
                <w:sz w:val="24"/>
              </w:rPr>
            </w:pPr>
          </w:p>
        </w:tc>
        <w:tc>
          <w:tcPr>
            <w:tcW w:w="1177" w:type="dxa"/>
            <w:noWrap w:val="0"/>
            <w:vAlign w:val="top"/>
          </w:tcPr>
          <w:p w14:paraId="5B03E40B">
            <w:pPr>
              <w:spacing w:after="240" w:afterLines="100"/>
              <w:rPr>
                <w:rFonts w:hint="eastAsia" w:ascii="黑体" w:eastAsia="黑体"/>
                <w:sz w:val="24"/>
              </w:rPr>
            </w:pPr>
          </w:p>
        </w:tc>
        <w:tc>
          <w:tcPr>
            <w:tcW w:w="1178" w:type="dxa"/>
            <w:noWrap w:val="0"/>
            <w:vAlign w:val="top"/>
          </w:tcPr>
          <w:p w14:paraId="714D2232">
            <w:pPr>
              <w:spacing w:after="240" w:afterLines="100"/>
              <w:rPr>
                <w:rFonts w:hint="eastAsia" w:ascii="黑体" w:eastAsia="黑体"/>
                <w:sz w:val="24"/>
              </w:rPr>
            </w:pPr>
          </w:p>
        </w:tc>
        <w:tc>
          <w:tcPr>
            <w:tcW w:w="1178" w:type="dxa"/>
            <w:noWrap w:val="0"/>
            <w:vAlign w:val="top"/>
          </w:tcPr>
          <w:p w14:paraId="598B786C">
            <w:pPr>
              <w:spacing w:after="240" w:afterLines="100"/>
              <w:rPr>
                <w:rFonts w:hint="eastAsia" w:ascii="黑体" w:eastAsia="黑体"/>
                <w:sz w:val="24"/>
              </w:rPr>
            </w:pPr>
          </w:p>
        </w:tc>
        <w:tc>
          <w:tcPr>
            <w:tcW w:w="1178" w:type="dxa"/>
            <w:noWrap w:val="0"/>
            <w:vAlign w:val="top"/>
          </w:tcPr>
          <w:p w14:paraId="6238E127">
            <w:pPr>
              <w:spacing w:after="240" w:afterLines="100"/>
              <w:rPr>
                <w:rFonts w:hint="eastAsia" w:ascii="黑体" w:eastAsia="黑体"/>
                <w:sz w:val="24"/>
              </w:rPr>
            </w:pPr>
          </w:p>
        </w:tc>
        <w:tc>
          <w:tcPr>
            <w:tcW w:w="1178" w:type="dxa"/>
            <w:noWrap w:val="0"/>
            <w:vAlign w:val="top"/>
          </w:tcPr>
          <w:p w14:paraId="2BF07D27">
            <w:pPr>
              <w:spacing w:after="240" w:afterLines="100"/>
              <w:rPr>
                <w:rFonts w:hint="eastAsia" w:ascii="黑体" w:eastAsia="黑体"/>
                <w:sz w:val="24"/>
              </w:rPr>
            </w:pPr>
          </w:p>
        </w:tc>
        <w:tc>
          <w:tcPr>
            <w:tcW w:w="1178" w:type="dxa"/>
            <w:noWrap w:val="0"/>
            <w:vAlign w:val="top"/>
          </w:tcPr>
          <w:p w14:paraId="3613BA9A">
            <w:pPr>
              <w:spacing w:after="240" w:afterLines="100"/>
              <w:rPr>
                <w:rFonts w:hint="eastAsia" w:ascii="黑体" w:eastAsia="黑体"/>
                <w:sz w:val="24"/>
              </w:rPr>
            </w:pPr>
          </w:p>
        </w:tc>
        <w:tc>
          <w:tcPr>
            <w:tcW w:w="1178" w:type="dxa"/>
            <w:noWrap w:val="0"/>
            <w:vAlign w:val="top"/>
          </w:tcPr>
          <w:p w14:paraId="3D2410C0">
            <w:pPr>
              <w:spacing w:after="240" w:afterLines="100"/>
              <w:rPr>
                <w:rFonts w:hint="eastAsia" w:ascii="黑体" w:eastAsia="黑体"/>
                <w:sz w:val="24"/>
              </w:rPr>
            </w:pPr>
          </w:p>
        </w:tc>
        <w:tc>
          <w:tcPr>
            <w:tcW w:w="1178" w:type="dxa"/>
            <w:noWrap w:val="0"/>
            <w:vAlign w:val="top"/>
          </w:tcPr>
          <w:p w14:paraId="65205283">
            <w:pPr>
              <w:spacing w:after="240" w:afterLines="100"/>
              <w:rPr>
                <w:rFonts w:hint="eastAsia" w:ascii="黑体" w:eastAsia="黑体"/>
                <w:sz w:val="24"/>
              </w:rPr>
            </w:pPr>
          </w:p>
        </w:tc>
        <w:tc>
          <w:tcPr>
            <w:tcW w:w="1178" w:type="dxa"/>
            <w:noWrap w:val="0"/>
            <w:vAlign w:val="top"/>
          </w:tcPr>
          <w:p w14:paraId="22FFEA54">
            <w:pPr>
              <w:spacing w:after="240" w:afterLines="100"/>
              <w:rPr>
                <w:rFonts w:hint="eastAsia" w:ascii="黑体" w:eastAsia="黑体"/>
                <w:sz w:val="24"/>
              </w:rPr>
            </w:pPr>
          </w:p>
        </w:tc>
      </w:tr>
      <w:tr w14:paraId="107A4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5B81BBF9">
            <w:pPr>
              <w:spacing w:after="240" w:afterLines="100"/>
              <w:rPr>
                <w:rFonts w:hint="eastAsia" w:ascii="黑体" w:eastAsia="黑体"/>
                <w:sz w:val="24"/>
              </w:rPr>
            </w:pPr>
          </w:p>
        </w:tc>
        <w:tc>
          <w:tcPr>
            <w:tcW w:w="2731" w:type="dxa"/>
            <w:noWrap w:val="0"/>
            <w:vAlign w:val="top"/>
          </w:tcPr>
          <w:p w14:paraId="50BA2AC1">
            <w:pPr>
              <w:spacing w:after="240" w:afterLines="100"/>
              <w:rPr>
                <w:rFonts w:hint="eastAsia" w:ascii="黑体" w:eastAsia="黑体"/>
                <w:sz w:val="24"/>
              </w:rPr>
            </w:pPr>
          </w:p>
        </w:tc>
        <w:tc>
          <w:tcPr>
            <w:tcW w:w="1177" w:type="dxa"/>
            <w:noWrap w:val="0"/>
            <w:vAlign w:val="top"/>
          </w:tcPr>
          <w:p w14:paraId="1A62A1E9">
            <w:pPr>
              <w:spacing w:after="240" w:afterLines="100"/>
              <w:rPr>
                <w:rFonts w:hint="eastAsia" w:ascii="黑体" w:eastAsia="黑体"/>
                <w:sz w:val="24"/>
              </w:rPr>
            </w:pPr>
          </w:p>
        </w:tc>
        <w:tc>
          <w:tcPr>
            <w:tcW w:w="1178" w:type="dxa"/>
            <w:noWrap w:val="0"/>
            <w:vAlign w:val="top"/>
          </w:tcPr>
          <w:p w14:paraId="23E5539A">
            <w:pPr>
              <w:spacing w:after="240" w:afterLines="100"/>
              <w:rPr>
                <w:rFonts w:hint="eastAsia" w:ascii="黑体" w:eastAsia="黑体"/>
                <w:sz w:val="24"/>
              </w:rPr>
            </w:pPr>
          </w:p>
        </w:tc>
        <w:tc>
          <w:tcPr>
            <w:tcW w:w="1178" w:type="dxa"/>
            <w:noWrap w:val="0"/>
            <w:vAlign w:val="top"/>
          </w:tcPr>
          <w:p w14:paraId="413C5525">
            <w:pPr>
              <w:spacing w:after="240" w:afterLines="100"/>
              <w:rPr>
                <w:rFonts w:hint="eastAsia" w:ascii="黑体" w:eastAsia="黑体"/>
                <w:sz w:val="24"/>
              </w:rPr>
            </w:pPr>
          </w:p>
        </w:tc>
        <w:tc>
          <w:tcPr>
            <w:tcW w:w="1178" w:type="dxa"/>
            <w:noWrap w:val="0"/>
            <w:vAlign w:val="top"/>
          </w:tcPr>
          <w:p w14:paraId="596F8DA0">
            <w:pPr>
              <w:spacing w:after="240" w:afterLines="100"/>
              <w:rPr>
                <w:rFonts w:hint="eastAsia" w:ascii="黑体" w:eastAsia="黑体"/>
                <w:sz w:val="24"/>
              </w:rPr>
            </w:pPr>
          </w:p>
        </w:tc>
        <w:tc>
          <w:tcPr>
            <w:tcW w:w="1178" w:type="dxa"/>
            <w:noWrap w:val="0"/>
            <w:vAlign w:val="top"/>
          </w:tcPr>
          <w:p w14:paraId="3A8B5A81">
            <w:pPr>
              <w:spacing w:after="240" w:afterLines="100"/>
              <w:rPr>
                <w:rFonts w:hint="eastAsia" w:ascii="黑体" w:eastAsia="黑体"/>
                <w:sz w:val="24"/>
              </w:rPr>
            </w:pPr>
          </w:p>
        </w:tc>
        <w:tc>
          <w:tcPr>
            <w:tcW w:w="1178" w:type="dxa"/>
            <w:noWrap w:val="0"/>
            <w:vAlign w:val="top"/>
          </w:tcPr>
          <w:p w14:paraId="74E2D21A">
            <w:pPr>
              <w:spacing w:after="240" w:afterLines="100"/>
              <w:rPr>
                <w:rFonts w:hint="eastAsia" w:ascii="黑体" w:eastAsia="黑体"/>
                <w:sz w:val="24"/>
              </w:rPr>
            </w:pPr>
          </w:p>
        </w:tc>
        <w:tc>
          <w:tcPr>
            <w:tcW w:w="1178" w:type="dxa"/>
            <w:noWrap w:val="0"/>
            <w:vAlign w:val="top"/>
          </w:tcPr>
          <w:p w14:paraId="2783F506">
            <w:pPr>
              <w:spacing w:after="240" w:afterLines="100"/>
              <w:rPr>
                <w:rFonts w:hint="eastAsia" w:ascii="黑体" w:eastAsia="黑体"/>
                <w:sz w:val="24"/>
              </w:rPr>
            </w:pPr>
          </w:p>
        </w:tc>
        <w:tc>
          <w:tcPr>
            <w:tcW w:w="1178" w:type="dxa"/>
            <w:noWrap w:val="0"/>
            <w:vAlign w:val="top"/>
          </w:tcPr>
          <w:p w14:paraId="002E882D">
            <w:pPr>
              <w:spacing w:after="240" w:afterLines="100"/>
              <w:rPr>
                <w:rFonts w:hint="eastAsia" w:ascii="黑体" w:eastAsia="黑体"/>
                <w:sz w:val="24"/>
              </w:rPr>
            </w:pPr>
          </w:p>
        </w:tc>
        <w:tc>
          <w:tcPr>
            <w:tcW w:w="1178" w:type="dxa"/>
            <w:noWrap w:val="0"/>
            <w:vAlign w:val="top"/>
          </w:tcPr>
          <w:p w14:paraId="791451DC">
            <w:pPr>
              <w:spacing w:after="240" w:afterLines="100"/>
              <w:rPr>
                <w:rFonts w:hint="eastAsia" w:ascii="黑体" w:eastAsia="黑体"/>
                <w:sz w:val="24"/>
              </w:rPr>
            </w:pPr>
          </w:p>
        </w:tc>
      </w:tr>
      <w:tr w14:paraId="1CC5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noWrap w:val="0"/>
            <w:vAlign w:val="top"/>
          </w:tcPr>
          <w:p w14:paraId="7FAB4B2D">
            <w:pPr>
              <w:spacing w:after="240" w:afterLines="100"/>
              <w:rPr>
                <w:rFonts w:hint="eastAsia" w:ascii="黑体" w:eastAsia="黑体"/>
                <w:sz w:val="24"/>
              </w:rPr>
            </w:pPr>
          </w:p>
        </w:tc>
        <w:tc>
          <w:tcPr>
            <w:tcW w:w="2731" w:type="dxa"/>
            <w:noWrap w:val="0"/>
            <w:vAlign w:val="top"/>
          </w:tcPr>
          <w:p w14:paraId="731686E1">
            <w:pPr>
              <w:spacing w:after="240" w:afterLines="100"/>
              <w:rPr>
                <w:rFonts w:hint="eastAsia" w:ascii="黑体" w:eastAsia="黑体"/>
                <w:sz w:val="24"/>
              </w:rPr>
            </w:pPr>
          </w:p>
        </w:tc>
        <w:tc>
          <w:tcPr>
            <w:tcW w:w="1177" w:type="dxa"/>
            <w:noWrap w:val="0"/>
            <w:vAlign w:val="top"/>
          </w:tcPr>
          <w:p w14:paraId="2E7C40E8">
            <w:pPr>
              <w:spacing w:after="240" w:afterLines="100"/>
              <w:rPr>
                <w:rFonts w:hint="eastAsia" w:ascii="黑体" w:eastAsia="黑体"/>
                <w:sz w:val="24"/>
              </w:rPr>
            </w:pPr>
          </w:p>
        </w:tc>
        <w:tc>
          <w:tcPr>
            <w:tcW w:w="1178" w:type="dxa"/>
            <w:noWrap w:val="0"/>
            <w:vAlign w:val="top"/>
          </w:tcPr>
          <w:p w14:paraId="27872E41">
            <w:pPr>
              <w:spacing w:after="240" w:afterLines="100"/>
              <w:rPr>
                <w:rFonts w:hint="eastAsia" w:ascii="黑体" w:eastAsia="黑体"/>
                <w:sz w:val="24"/>
              </w:rPr>
            </w:pPr>
          </w:p>
        </w:tc>
        <w:tc>
          <w:tcPr>
            <w:tcW w:w="1178" w:type="dxa"/>
            <w:noWrap w:val="0"/>
            <w:vAlign w:val="top"/>
          </w:tcPr>
          <w:p w14:paraId="476D88A2">
            <w:pPr>
              <w:spacing w:after="240" w:afterLines="100"/>
              <w:rPr>
                <w:rFonts w:hint="eastAsia" w:ascii="黑体" w:eastAsia="黑体"/>
                <w:sz w:val="24"/>
              </w:rPr>
            </w:pPr>
          </w:p>
        </w:tc>
        <w:tc>
          <w:tcPr>
            <w:tcW w:w="1178" w:type="dxa"/>
            <w:noWrap w:val="0"/>
            <w:vAlign w:val="top"/>
          </w:tcPr>
          <w:p w14:paraId="55761569">
            <w:pPr>
              <w:spacing w:after="240" w:afterLines="100"/>
              <w:rPr>
                <w:rFonts w:hint="eastAsia" w:ascii="黑体" w:eastAsia="黑体"/>
                <w:sz w:val="24"/>
              </w:rPr>
            </w:pPr>
          </w:p>
        </w:tc>
        <w:tc>
          <w:tcPr>
            <w:tcW w:w="1178" w:type="dxa"/>
            <w:noWrap w:val="0"/>
            <w:vAlign w:val="top"/>
          </w:tcPr>
          <w:p w14:paraId="6A0A0482">
            <w:pPr>
              <w:spacing w:after="240" w:afterLines="100"/>
              <w:rPr>
                <w:rFonts w:hint="eastAsia" w:ascii="黑体" w:eastAsia="黑体"/>
                <w:sz w:val="24"/>
              </w:rPr>
            </w:pPr>
          </w:p>
        </w:tc>
        <w:tc>
          <w:tcPr>
            <w:tcW w:w="1178" w:type="dxa"/>
            <w:noWrap w:val="0"/>
            <w:vAlign w:val="top"/>
          </w:tcPr>
          <w:p w14:paraId="41E0E069">
            <w:pPr>
              <w:spacing w:after="240" w:afterLines="100"/>
              <w:rPr>
                <w:rFonts w:hint="eastAsia" w:ascii="黑体" w:eastAsia="黑体"/>
                <w:sz w:val="24"/>
              </w:rPr>
            </w:pPr>
          </w:p>
        </w:tc>
        <w:tc>
          <w:tcPr>
            <w:tcW w:w="1178" w:type="dxa"/>
            <w:noWrap w:val="0"/>
            <w:vAlign w:val="top"/>
          </w:tcPr>
          <w:p w14:paraId="65979C20">
            <w:pPr>
              <w:spacing w:after="240" w:afterLines="100"/>
              <w:rPr>
                <w:rFonts w:hint="eastAsia" w:ascii="黑体" w:eastAsia="黑体"/>
                <w:sz w:val="24"/>
              </w:rPr>
            </w:pPr>
          </w:p>
        </w:tc>
        <w:tc>
          <w:tcPr>
            <w:tcW w:w="1178" w:type="dxa"/>
            <w:noWrap w:val="0"/>
            <w:vAlign w:val="top"/>
          </w:tcPr>
          <w:p w14:paraId="17CDBE36">
            <w:pPr>
              <w:spacing w:after="240" w:afterLines="100"/>
              <w:rPr>
                <w:rFonts w:hint="eastAsia" w:ascii="黑体" w:eastAsia="黑体"/>
                <w:sz w:val="24"/>
              </w:rPr>
            </w:pPr>
          </w:p>
        </w:tc>
        <w:tc>
          <w:tcPr>
            <w:tcW w:w="1178" w:type="dxa"/>
            <w:noWrap w:val="0"/>
            <w:vAlign w:val="top"/>
          </w:tcPr>
          <w:p w14:paraId="63EA8C73">
            <w:pPr>
              <w:spacing w:after="240" w:afterLines="100"/>
              <w:rPr>
                <w:rFonts w:hint="eastAsia" w:ascii="黑体" w:eastAsia="黑体"/>
                <w:sz w:val="24"/>
              </w:rPr>
            </w:pPr>
          </w:p>
        </w:tc>
      </w:tr>
    </w:tbl>
    <w:p w14:paraId="107DEB2E">
      <w:pPr>
        <w:rPr>
          <w:rFonts w:hint="eastAsia" w:ascii="宋体" w:hAnsi="宋体"/>
          <w:szCs w:val="44"/>
        </w:rPr>
      </w:pPr>
    </w:p>
    <w:p w14:paraId="7C67B01D">
      <w:pPr>
        <w:rPr>
          <w:rFonts w:ascii="宋体" w:hAnsi="宋体"/>
          <w:szCs w:val="44"/>
        </w:rPr>
      </w:pPr>
      <w:r>
        <w:rPr>
          <w:rFonts w:hint="eastAsia" w:ascii="宋体" w:hAnsi="宋体"/>
          <w:szCs w:val="44"/>
        </w:rPr>
        <w:t>评标委员会全体成员签名：                                                                                日期：    年    月    日</w:t>
      </w:r>
    </w:p>
    <w:p w14:paraId="09733EA5">
      <w:pPr>
        <w:spacing w:after="240" w:afterLines="100"/>
        <w:rPr>
          <w:rFonts w:hint="eastAsia" w:ascii="黑体" w:eastAsia="黑体"/>
          <w:sz w:val="24"/>
        </w:rPr>
      </w:pPr>
    </w:p>
    <w:p w14:paraId="6FDA22ED">
      <w:pPr>
        <w:pStyle w:val="20"/>
        <w:rPr>
          <w:rFonts w:hint="eastAsia"/>
        </w:rPr>
      </w:pPr>
      <w:bookmarkStart w:id="429" w:name="_Toc108513656"/>
      <w:r>
        <w:rPr>
          <w:rFonts w:hint="eastAsia"/>
        </w:rPr>
        <w:t>附表A-4：形式评审记录表</w:t>
      </w:r>
      <w:bookmarkEnd w:id="429"/>
    </w:p>
    <w:p w14:paraId="6B824A71">
      <w:pPr>
        <w:spacing w:after="240" w:afterLines="100"/>
        <w:jc w:val="center"/>
        <w:rPr>
          <w:rFonts w:hint="eastAsia" w:ascii="黑体" w:eastAsia="黑体"/>
          <w:sz w:val="28"/>
          <w:szCs w:val="28"/>
        </w:rPr>
      </w:pPr>
      <w:r>
        <w:rPr>
          <w:rFonts w:hint="eastAsia" w:ascii="黑体" w:eastAsia="黑体"/>
          <w:sz w:val="28"/>
          <w:szCs w:val="28"/>
        </w:rPr>
        <w:t>形式评审记录表</w:t>
      </w:r>
    </w:p>
    <w:p w14:paraId="196B6F5B">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p w14:paraId="30712294">
      <w:pPr>
        <w:spacing w:after="240" w:afterLines="100"/>
        <w:rPr>
          <w:rFonts w:hint="eastAsia" w:ascii="宋体" w:hAnsi="宋体"/>
          <w:szCs w:val="44"/>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800"/>
        <w:gridCol w:w="2700"/>
        <w:gridCol w:w="797"/>
        <w:gridCol w:w="978"/>
        <w:gridCol w:w="978"/>
        <w:gridCol w:w="977"/>
        <w:gridCol w:w="978"/>
        <w:gridCol w:w="978"/>
        <w:gridCol w:w="977"/>
        <w:gridCol w:w="978"/>
        <w:gridCol w:w="978"/>
      </w:tblGrid>
      <w:tr w14:paraId="0A86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restart"/>
            <w:noWrap w:val="0"/>
            <w:vAlign w:val="center"/>
          </w:tcPr>
          <w:p w14:paraId="3F51D566">
            <w:pPr>
              <w:jc w:val="center"/>
              <w:rPr>
                <w:rFonts w:hint="eastAsia" w:ascii="宋体" w:hAnsi="宋体"/>
                <w:szCs w:val="44"/>
              </w:rPr>
            </w:pPr>
            <w:r>
              <w:rPr>
                <w:rFonts w:hint="eastAsia" w:ascii="宋体" w:hAnsi="宋体"/>
                <w:szCs w:val="44"/>
              </w:rPr>
              <w:t>序号</w:t>
            </w:r>
          </w:p>
        </w:tc>
        <w:tc>
          <w:tcPr>
            <w:tcW w:w="1800" w:type="dxa"/>
            <w:vMerge w:val="restart"/>
            <w:noWrap w:val="0"/>
            <w:vAlign w:val="center"/>
          </w:tcPr>
          <w:p w14:paraId="4D1728C1">
            <w:pPr>
              <w:jc w:val="center"/>
              <w:rPr>
                <w:rFonts w:hint="eastAsia" w:ascii="宋体" w:hAnsi="宋体"/>
                <w:szCs w:val="44"/>
              </w:rPr>
            </w:pPr>
            <w:r>
              <w:rPr>
                <w:rFonts w:hint="eastAsia" w:ascii="宋体" w:hAnsi="宋体"/>
                <w:szCs w:val="44"/>
              </w:rPr>
              <w:t>评审因素</w:t>
            </w:r>
          </w:p>
        </w:tc>
        <w:tc>
          <w:tcPr>
            <w:tcW w:w="2700" w:type="dxa"/>
            <w:vMerge w:val="restart"/>
            <w:noWrap w:val="0"/>
            <w:vAlign w:val="center"/>
          </w:tcPr>
          <w:p w14:paraId="7C7C029D">
            <w:pPr>
              <w:jc w:val="center"/>
              <w:rPr>
                <w:rFonts w:hint="eastAsia" w:ascii="宋体" w:hAnsi="宋体"/>
                <w:szCs w:val="44"/>
              </w:rPr>
            </w:pPr>
            <w:r>
              <w:rPr>
                <w:rFonts w:hint="eastAsia" w:ascii="宋体" w:hAnsi="宋体"/>
                <w:szCs w:val="44"/>
              </w:rPr>
              <w:t>评审标准</w:t>
            </w:r>
          </w:p>
        </w:tc>
        <w:tc>
          <w:tcPr>
            <w:tcW w:w="8619" w:type="dxa"/>
            <w:gridSpan w:val="9"/>
            <w:noWrap w:val="0"/>
            <w:vAlign w:val="center"/>
          </w:tcPr>
          <w:p w14:paraId="3FF0E102">
            <w:pPr>
              <w:jc w:val="center"/>
              <w:rPr>
                <w:rFonts w:hint="eastAsia" w:ascii="宋体" w:hAnsi="宋体"/>
                <w:szCs w:val="44"/>
              </w:rPr>
            </w:pPr>
            <w:r>
              <w:rPr>
                <w:rFonts w:hint="eastAsia" w:ascii="宋体" w:hAnsi="宋体"/>
                <w:szCs w:val="44"/>
              </w:rPr>
              <w:t>投标人名称及评审意见</w:t>
            </w:r>
          </w:p>
        </w:tc>
      </w:tr>
      <w:tr w14:paraId="4A5F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continue"/>
            <w:noWrap w:val="0"/>
            <w:vAlign w:val="center"/>
          </w:tcPr>
          <w:p w14:paraId="49DF93AD">
            <w:pPr>
              <w:jc w:val="center"/>
              <w:rPr>
                <w:rFonts w:hint="eastAsia" w:ascii="宋体" w:hAnsi="宋体"/>
                <w:szCs w:val="44"/>
              </w:rPr>
            </w:pPr>
          </w:p>
        </w:tc>
        <w:tc>
          <w:tcPr>
            <w:tcW w:w="1800" w:type="dxa"/>
            <w:vMerge w:val="continue"/>
            <w:noWrap w:val="0"/>
            <w:vAlign w:val="top"/>
          </w:tcPr>
          <w:p w14:paraId="16C11242">
            <w:pPr>
              <w:jc w:val="center"/>
              <w:rPr>
                <w:rFonts w:hint="eastAsia" w:ascii="宋体" w:hAnsi="宋体"/>
                <w:szCs w:val="44"/>
              </w:rPr>
            </w:pPr>
          </w:p>
        </w:tc>
        <w:tc>
          <w:tcPr>
            <w:tcW w:w="2700" w:type="dxa"/>
            <w:vMerge w:val="continue"/>
            <w:noWrap w:val="0"/>
            <w:vAlign w:val="center"/>
          </w:tcPr>
          <w:p w14:paraId="367BC5EB">
            <w:pPr>
              <w:jc w:val="center"/>
              <w:rPr>
                <w:rFonts w:hint="eastAsia" w:ascii="宋体" w:hAnsi="宋体"/>
                <w:szCs w:val="44"/>
              </w:rPr>
            </w:pPr>
          </w:p>
        </w:tc>
        <w:tc>
          <w:tcPr>
            <w:tcW w:w="797" w:type="dxa"/>
            <w:noWrap w:val="0"/>
            <w:vAlign w:val="center"/>
          </w:tcPr>
          <w:p w14:paraId="158C8303">
            <w:pPr>
              <w:jc w:val="center"/>
              <w:rPr>
                <w:rFonts w:hint="eastAsia" w:ascii="宋体" w:hAnsi="宋体"/>
                <w:szCs w:val="44"/>
              </w:rPr>
            </w:pPr>
          </w:p>
        </w:tc>
        <w:tc>
          <w:tcPr>
            <w:tcW w:w="978" w:type="dxa"/>
            <w:noWrap w:val="0"/>
            <w:vAlign w:val="center"/>
          </w:tcPr>
          <w:p w14:paraId="3591C666">
            <w:pPr>
              <w:jc w:val="center"/>
              <w:rPr>
                <w:rFonts w:hint="eastAsia" w:ascii="宋体" w:hAnsi="宋体"/>
                <w:szCs w:val="44"/>
              </w:rPr>
            </w:pPr>
          </w:p>
        </w:tc>
        <w:tc>
          <w:tcPr>
            <w:tcW w:w="978" w:type="dxa"/>
            <w:noWrap w:val="0"/>
            <w:vAlign w:val="center"/>
          </w:tcPr>
          <w:p w14:paraId="5105CC04">
            <w:pPr>
              <w:jc w:val="center"/>
              <w:rPr>
                <w:rFonts w:hint="eastAsia" w:ascii="宋体" w:hAnsi="宋体"/>
                <w:szCs w:val="44"/>
              </w:rPr>
            </w:pPr>
          </w:p>
        </w:tc>
        <w:tc>
          <w:tcPr>
            <w:tcW w:w="977" w:type="dxa"/>
            <w:noWrap w:val="0"/>
            <w:vAlign w:val="center"/>
          </w:tcPr>
          <w:p w14:paraId="217C9E3F">
            <w:pPr>
              <w:jc w:val="center"/>
              <w:rPr>
                <w:rFonts w:hint="eastAsia" w:ascii="宋体" w:hAnsi="宋体"/>
                <w:szCs w:val="44"/>
              </w:rPr>
            </w:pPr>
          </w:p>
        </w:tc>
        <w:tc>
          <w:tcPr>
            <w:tcW w:w="978" w:type="dxa"/>
            <w:noWrap w:val="0"/>
            <w:vAlign w:val="center"/>
          </w:tcPr>
          <w:p w14:paraId="377CF282">
            <w:pPr>
              <w:jc w:val="center"/>
              <w:rPr>
                <w:rFonts w:hint="eastAsia" w:ascii="宋体" w:hAnsi="宋体"/>
                <w:szCs w:val="44"/>
              </w:rPr>
            </w:pPr>
          </w:p>
        </w:tc>
        <w:tc>
          <w:tcPr>
            <w:tcW w:w="978" w:type="dxa"/>
            <w:noWrap w:val="0"/>
            <w:vAlign w:val="center"/>
          </w:tcPr>
          <w:p w14:paraId="6D35F124">
            <w:pPr>
              <w:jc w:val="center"/>
              <w:rPr>
                <w:rFonts w:hint="eastAsia" w:ascii="宋体" w:hAnsi="宋体"/>
                <w:szCs w:val="44"/>
              </w:rPr>
            </w:pPr>
          </w:p>
        </w:tc>
        <w:tc>
          <w:tcPr>
            <w:tcW w:w="977" w:type="dxa"/>
            <w:noWrap w:val="0"/>
            <w:vAlign w:val="center"/>
          </w:tcPr>
          <w:p w14:paraId="4A73D023">
            <w:pPr>
              <w:jc w:val="center"/>
              <w:rPr>
                <w:rFonts w:hint="eastAsia" w:ascii="宋体" w:hAnsi="宋体"/>
                <w:szCs w:val="44"/>
              </w:rPr>
            </w:pPr>
          </w:p>
        </w:tc>
        <w:tc>
          <w:tcPr>
            <w:tcW w:w="978" w:type="dxa"/>
            <w:noWrap w:val="0"/>
            <w:vAlign w:val="center"/>
          </w:tcPr>
          <w:p w14:paraId="1C3E43B5">
            <w:pPr>
              <w:jc w:val="center"/>
              <w:rPr>
                <w:rFonts w:hint="eastAsia" w:ascii="宋体" w:hAnsi="宋体"/>
                <w:szCs w:val="44"/>
              </w:rPr>
            </w:pPr>
          </w:p>
        </w:tc>
        <w:tc>
          <w:tcPr>
            <w:tcW w:w="978" w:type="dxa"/>
            <w:noWrap w:val="0"/>
            <w:vAlign w:val="center"/>
          </w:tcPr>
          <w:p w14:paraId="4F8EAFD7">
            <w:pPr>
              <w:jc w:val="center"/>
              <w:rPr>
                <w:rFonts w:hint="eastAsia" w:ascii="宋体" w:hAnsi="宋体"/>
                <w:szCs w:val="44"/>
              </w:rPr>
            </w:pPr>
          </w:p>
        </w:tc>
      </w:tr>
      <w:tr w14:paraId="6A1A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02DFD5A1">
            <w:pPr>
              <w:jc w:val="center"/>
              <w:rPr>
                <w:rFonts w:hint="eastAsia" w:ascii="黑体" w:hAnsi="宋体" w:eastAsia="黑体"/>
                <w:szCs w:val="44"/>
              </w:rPr>
            </w:pPr>
            <w:r>
              <w:rPr>
                <w:rFonts w:hint="eastAsia" w:ascii="黑体" w:hAnsi="宋体" w:eastAsia="黑体"/>
                <w:szCs w:val="44"/>
              </w:rPr>
              <w:t>1</w:t>
            </w:r>
          </w:p>
        </w:tc>
        <w:tc>
          <w:tcPr>
            <w:tcW w:w="1800" w:type="dxa"/>
            <w:noWrap w:val="0"/>
            <w:vAlign w:val="center"/>
          </w:tcPr>
          <w:p w14:paraId="7EADBF02">
            <w:pPr>
              <w:jc w:val="center"/>
              <w:rPr>
                <w:rFonts w:hint="eastAsia" w:ascii="宋体" w:hAnsi="宋体"/>
                <w:szCs w:val="21"/>
              </w:rPr>
            </w:pPr>
            <w:r>
              <w:rPr>
                <w:rFonts w:hint="eastAsia" w:ascii="宋体" w:hAnsi="宋体"/>
                <w:szCs w:val="21"/>
              </w:rPr>
              <w:t>投标文件</w:t>
            </w:r>
          </w:p>
        </w:tc>
        <w:tc>
          <w:tcPr>
            <w:tcW w:w="2700" w:type="dxa"/>
            <w:noWrap w:val="0"/>
            <w:vAlign w:val="center"/>
          </w:tcPr>
          <w:p w14:paraId="10687770">
            <w:pPr>
              <w:rPr>
                <w:rFonts w:hint="eastAsia" w:ascii="宋体" w:hAnsi="宋体"/>
                <w:szCs w:val="21"/>
              </w:rPr>
            </w:pPr>
            <w:r>
              <w:rPr>
                <w:rFonts w:hint="eastAsia" w:ascii="宋体" w:hAnsi="宋体"/>
                <w:szCs w:val="21"/>
              </w:rPr>
              <w:t>投标文件能正常</w:t>
            </w:r>
            <w:r>
              <w:rPr>
                <w:rFonts w:ascii="宋体" w:hAnsi="宋体"/>
              </w:rPr>
              <w:t>打开</w:t>
            </w:r>
          </w:p>
        </w:tc>
        <w:tc>
          <w:tcPr>
            <w:tcW w:w="797" w:type="dxa"/>
            <w:noWrap w:val="0"/>
            <w:vAlign w:val="center"/>
          </w:tcPr>
          <w:p w14:paraId="249E0A25">
            <w:pPr>
              <w:jc w:val="center"/>
              <w:rPr>
                <w:rFonts w:hint="eastAsia" w:ascii="宋体" w:hAnsi="宋体"/>
                <w:szCs w:val="44"/>
              </w:rPr>
            </w:pPr>
          </w:p>
        </w:tc>
        <w:tc>
          <w:tcPr>
            <w:tcW w:w="978" w:type="dxa"/>
            <w:noWrap w:val="0"/>
            <w:vAlign w:val="center"/>
          </w:tcPr>
          <w:p w14:paraId="01E04FAA">
            <w:pPr>
              <w:jc w:val="center"/>
              <w:rPr>
                <w:rFonts w:hint="eastAsia" w:ascii="宋体" w:hAnsi="宋体"/>
                <w:szCs w:val="44"/>
              </w:rPr>
            </w:pPr>
          </w:p>
        </w:tc>
        <w:tc>
          <w:tcPr>
            <w:tcW w:w="978" w:type="dxa"/>
            <w:noWrap w:val="0"/>
            <w:vAlign w:val="center"/>
          </w:tcPr>
          <w:p w14:paraId="34B1BBDE">
            <w:pPr>
              <w:jc w:val="center"/>
              <w:rPr>
                <w:rFonts w:hint="eastAsia" w:ascii="宋体" w:hAnsi="宋体"/>
                <w:szCs w:val="44"/>
              </w:rPr>
            </w:pPr>
          </w:p>
        </w:tc>
        <w:tc>
          <w:tcPr>
            <w:tcW w:w="977" w:type="dxa"/>
            <w:noWrap w:val="0"/>
            <w:vAlign w:val="center"/>
          </w:tcPr>
          <w:p w14:paraId="40CAA045">
            <w:pPr>
              <w:jc w:val="center"/>
              <w:rPr>
                <w:rFonts w:hint="eastAsia" w:ascii="宋体" w:hAnsi="宋体"/>
                <w:szCs w:val="44"/>
              </w:rPr>
            </w:pPr>
          </w:p>
        </w:tc>
        <w:tc>
          <w:tcPr>
            <w:tcW w:w="978" w:type="dxa"/>
            <w:noWrap w:val="0"/>
            <w:vAlign w:val="center"/>
          </w:tcPr>
          <w:p w14:paraId="71899CEF">
            <w:pPr>
              <w:jc w:val="center"/>
              <w:rPr>
                <w:rFonts w:hint="eastAsia" w:ascii="宋体" w:hAnsi="宋体"/>
                <w:szCs w:val="44"/>
              </w:rPr>
            </w:pPr>
          </w:p>
        </w:tc>
        <w:tc>
          <w:tcPr>
            <w:tcW w:w="978" w:type="dxa"/>
            <w:noWrap w:val="0"/>
            <w:vAlign w:val="center"/>
          </w:tcPr>
          <w:p w14:paraId="1E542693">
            <w:pPr>
              <w:jc w:val="center"/>
              <w:rPr>
                <w:rFonts w:hint="eastAsia" w:ascii="宋体" w:hAnsi="宋体"/>
                <w:szCs w:val="44"/>
              </w:rPr>
            </w:pPr>
          </w:p>
        </w:tc>
        <w:tc>
          <w:tcPr>
            <w:tcW w:w="977" w:type="dxa"/>
            <w:noWrap w:val="0"/>
            <w:vAlign w:val="center"/>
          </w:tcPr>
          <w:p w14:paraId="79B2EF71">
            <w:pPr>
              <w:jc w:val="center"/>
              <w:rPr>
                <w:rFonts w:hint="eastAsia" w:ascii="宋体" w:hAnsi="宋体"/>
                <w:szCs w:val="44"/>
              </w:rPr>
            </w:pPr>
          </w:p>
        </w:tc>
        <w:tc>
          <w:tcPr>
            <w:tcW w:w="978" w:type="dxa"/>
            <w:noWrap w:val="0"/>
            <w:vAlign w:val="center"/>
          </w:tcPr>
          <w:p w14:paraId="3CFC1185">
            <w:pPr>
              <w:jc w:val="center"/>
              <w:rPr>
                <w:rFonts w:hint="eastAsia" w:ascii="宋体" w:hAnsi="宋体"/>
                <w:szCs w:val="44"/>
              </w:rPr>
            </w:pPr>
          </w:p>
        </w:tc>
        <w:tc>
          <w:tcPr>
            <w:tcW w:w="978" w:type="dxa"/>
            <w:noWrap w:val="0"/>
            <w:vAlign w:val="center"/>
          </w:tcPr>
          <w:p w14:paraId="3F201D4F">
            <w:pPr>
              <w:jc w:val="center"/>
              <w:rPr>
                <w:rFonts w:hint="eastAsia" w:ascii="宋体" w:hAnsi="宋体"/>
                <w:szCs w:val="44"/>
              </w:rPr>
            </w:pPr>
          </w:p>
        </w:tc>
      </w:tr>
      <w:tr w14:paraId="61C9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292251C8">
            <w:pPr>
              <w:jc w:val="center"/>
              <w:rPr>
                <w:rFonts w:hint="eastAsia" w:ascii="黑体" w:hAnsi="宋体" w:eastAsia="黑体"/>
                <w:szCs w:val="44"/>
              </w:rPr>
            </w:pPr>
            <w:r>
              <w:rPr>
                <w:rFonts w:hint="eastAsia" w:ascii="黑体" w:hAnsi="宋体" w:eastAsia="黑体"/>
                <w:szCs w:val="44"/>
              </w:rPr>
              <w:t>2</w:t>
            </w:r>
          </w:p>
        </w:tc>
        <w:tc>
          <w:tcPr>
            <w:tcW w:w="1800" w:type="dxa"/>
            <w:noWrap w:val="0"/>
            <w:vAlign w:val="center"/>
          </w:tcPr>
          <w:p w14:paraId="17411655">
            <w:pPr>
              <w:jc w:val="center"/>
              <w:rPr>
                <w:rFonts w:hint="eastAsia" w:ascii="宋体" w:hAnsi="宋体"/>
                <w:szCs w:val="44"/>
              </w:rPr>
            </w:pPr>
            <w:r>
              <w:rPr>
                <w:rFonts w:hint="eastAsia" w:ascii="宋体" w:hAnsi="宋体"/>
                <w:szCs w:val="44"/>
              </w:rPr>
              <w:t>投标人名称</w:t>
            </w:r>
          </w:p>
        </w:tc>
        <w:tc>
          <w:tcPr>
            <w:tcW w:w="2700" w:type="dxa"/>
            <w:noWrap w:val="0"/>
            <w:vAlign w:val="center"/>
          </w:tcPr>
          <w:p w14:paraId="690C2533">
            <w:pPr>
              <w:rPr>
                <w:rFonts w:hint="eastAsia"/>
              </w:rPr>
            </w:pPr>
            <w:r>
              <w:t>与营业执照、资质证书、安全生产许可证一致</w:t>
            </w:r>
          </w:p>
        </w:tc>
        <w:tc>
          <w:tcPr>
            <w:tcW w:w="797" w:type="dxa"/>
            <w:noWrap w:val="0"/>
            <w:vAlign w:val="center"/>
          </w:tcPr>
          <w:p w14:paraId="42D335D6">
            <w:pPr>
              <w:jc w:val="center"/>
              <w:rPr>
                <w:rFonts w:hint="eastAsia" w:ascii="宋体" w:hAnsi="宋体"/>
                <w:szCs w:val="44"/>
              </w:rPr>
            </w:pPr>
          </w:p>
        </w:tc>
        <w:tc>
          <w:tcPr>
            <w:tcW w:w="978" w:type="dxa"/>
            <w:noWrap w:val="0"/>
            <w:vAlign w:val="center"/>
          </w:tcPr>
          <w:p w14:paraId="651739F6">
            <w:pPr>
              <w:jc w:val="center"/>
              <w:rPr>
                <w:rFonts w:hint="eastAsia" w:ascii="宋体" w:hAnsi="宋体"/>
                <w:szCs w:val="44"/>
              </w:rPr>
            </w:pPr>
          </w:p>
        </w:tc>
        <w:tc>
          <w:tcPr>
            <w:tcW w:w="978" w:type="dxa"/>
            <w:noWrap w:val="0"/>
            <w:vAlign w:val="center"/>
          </w:tcPr>
          <w:p w14:paraId="627C70E6">
            <w:pPr>
              <w:jc w:val="center"/>
              <w:rPr>
                <w:rFonts w:hint="eastAsia" w:ascii="宋体" w:hAnsi="宋体"/>
                <w:szCs w:val="44"/>
              </w:rPr>
            </w:pPr>
          </w:p>
        </w:tc>
        <w:tc>
          <w:tcPr>
            <w:tcW w:w="977" w:type="dxa"/>
            <w:noWrap w:val="0"/>
            <w:vAlign w:val="center"/>
          </w:tcPr>
          <w:p w14:paraId="7668BAC4">
            <w:pPr>
              <w:jc w:val="center"/>
              <w:rPr>
                <w:rFonts w:hint="eastAsia" w:ascii="宋体" w:hAnsi="宋体"/>
                <w:szCs w:val="44"/>
              </w:rPr>
            </w:pPr>
          </w:p>
        </w:tc>
        <w:tc>
          <w:tcPr>
            <w:tcW w:w="978" w:type="dxa"/>
            <w:noWrap w:val="0"/>
            <w:vAlign w:val="center"/>
          </w:tcPr>
          <w:p w14:paraId="1F84172C">
            <w:pPr>
              <w:jc w:val="center"/>
              <w:rPr>
                <w:rFonts w:hint="eastAsia" w:ascii="宋体" w:hAnsi="宋体"/>
                <w:szCs w:val="44"/>
              </w:rPr>
            </w:pPr>
          </w:p>
        </w:tc>
        <w:tc>
          <w:tcPr>
            <w:tcW w:w="978" w:type="dxa"/>
            <w:noWrap w:val="0"/>
            <w:vAlign w:val="center"/>
          </w:tcPr>
          <w:p w14:paraId="63F2709F">
            <w:pPr>
              <w:jc w:val="center"/>
              <w:rPr>
                <w:rFonts w:hint="eastAsia" w:ascii="宋体" w:hAnsi="宋体"/>
                <w:szCs w:val="44"/>
              </w:rPr>
            </w:pPr>
          </w:p>
        </w:tc>
        <w:tc>
          <w:tcPr>
            <w:tcW w:w="977" w:type="dxa"/>
            <w:noWrap w:val="0"/>
            <w:vAlign w:val="center"/>
          </w:tcPr>
          <w:p w14:paraId="7E56D5D1">
            <w:pPr>
              <w:jc w:val="center"/>
              <w:rPr>
                <w:rFonts w:hint="eastAsia" w:ascii="宋体" w:hAnsi="宋体"/>
                <w:szCs w:val="44"/>
              </w:rPr>
            </w:pPr>
          </w:p>
        </w:tc>
        <w:tc>
          <w:tcPr>
            <w:tcW w:w="978" w:type="dxa"/>
            <w:noWrap w:val="0"/>
            <w:vAlign w:val="center"/>
          </w:tcPr>
          <w:p w14:paraId="4911346B">
            <w:pPr>
              <w:jc w:val="center"/>
              <w:rPr>
                <w:rFonts w:hint="eastAsia" w:ascii="宋体" w:hAnsi="宋体"/>
                <w:szCs w:val="44"/>
              </w:rPr>
            </w:pPr>
          </w:p>
        </w:tc>
        <w:tc>
          <w:tcPr>
            <w:tcW w:w="978" w:type="dxa"/>
            <w:noWrap w:val="0"/>
            <w:vAlign w:val="center"/>
          </w:tcPr>
          <w:p w14:paraId="0D91DA93">
            <w:pPr>
              <w:jc w:val="center"/>
              <w:rPr>
                <w:rFonts w:hint="eastAsia" w:ascii="宋体" w:hAnsi="宋体"/>
                <w:szCs w:val="44"/>
              </w:rPr>
            </w:pPr>
          </w:p>
        </w:tc>
      </w:tr>
      <w:tr w14:paraId="40D4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62089438">
            <w:pPr>
              <w:jc w:val="center"/>
              <w:rPr>
                <w:rFonts w:hint="eastAsia" w:ascii="黑体" w:hAnsi="宋体" w:eastAsia="黑体"/>
                <w:szCs w:val="44"/>
              </w:rPr>
            </w:pPr>
            <w:r>
              <w:rPr>
                <w:rFonts w:hint="eastAsia" w:ascii="黑体" w:hAnsi="宋体" w:eastAsia="黑体"/>
                <w:szCs w:val="44"/>
              </w:rPr>
              <w:t>3</w:t>
            </w:r>
          </w:p>
        </w:tc>
        <w:tc>
          <w:tcPr>
            <w:tcW w:w="1800" w:type="dxa"/>
            <w:noWrap w:val="0"/>
            <w:vAlign w:val="center"/>
          </w:tcPr>
          <w:p w14:paraId="1471399F">
            <w:pPr>
              <w:jc w:val="center"/>
              <w:rPr>
                <w:rFonts w:hint="eastAsia" w:ascii="宋体" w:hAnsi="宋体"/>
                <w:szCs w:val="21"/>
              </w:rPr>
            </w:pPr>
            <w:r>
              <w:rPr>
                <w:rFonts w:hint="eastAsia" w:ascii="宋体" w:hAnsi="宋体"/>
                <w:szCs w:val="21"/>
              </w:rPr>
              <w:t>投标文件</w:t>
            </w:r>
          </w:p>
          <w:p w14:paraId="34780641">
            <w:pPr>
              <w:jc w:val="center"/>
              <w:rPr>
                <w:rFonts w:hint="eastAsia" w:ascii="宋体" w:hAnsi="宋体"/>
                <w:szCs w:val="44"/>
              </w:rPr>
            </w:pPr>
            <w:r>
              <w:rPr>
                <w:rFonts w:hint="eastAsia" w:ascii="宋体" w:hAnsi="宋体"/>
                <w:szCs w:val="44"/>
              </w:rPr>
              <w:t>签字盖章</w:t>
            </w:r>
          </w:p>
        </w:tc>
        <w:tc>
          <w:tcPr>
            <w:tcW w:w="2700" w:type="dxa"/>
            <w:noWrap w:val="0"/>
            <w:vAlign w:val="center"/>
          </w:tcPr>
          <w:p w14:paraId="75157D08">
            <w:pPr>
              <w:rPr>
                <w:rFonts w:hint="eastAsia"/>
              </w:rPr>
            </w:pPr>
            <w:r>
              <w:rPr>
                <w:rFonts w:hint="eastAsia" w:ascii="宋体" w:hAnsi="宋体"/>
                <w:szCs w:val="21"/>
              </w:rPr>
              <w:t>符合第二章“投标人须知”第3.7.3（5）目规定</w:t>
            </w:r>
          </w:p>
        </w:tc>
        <w:tc>
          <w:tcPr>
            <w:tcW w:w="797" w:type="dxa"/>
            <w:noWrap w:val="0"/>
            <w:vAlign w:val="center"/>
          </w:tcPr>
          <w:p w14:paraId="11D23FBA">
            <w:pPr>
              <w:jc w:val="center"/>
              <w:rPr>
                <w:rFonts w:hint="eastAsia" w:ascii="宋体" w:hAnsi="宋体"/>
                <w:szCs w:val="44"/>
              </w:rPr>
            </w:pPr>
          </w:p>
        </w:tc>
        <w:tc>
          <w:tcPr>
            <w:tcW w:w="978" w:type="dxa"/>
            <w:noWrap w:val="0"/>
            <w:vAlign w:val="center"/>
          </w:tcPr>
          <w:p w14:paraId="51C159E5">
            <w:pPr>
              <w:jc w:val="center"/>
              <w:rPr>
                <w:rFonts w:hint="eastAsia" w:ascii="宋体" w:hAnsi="宋体"/>
                <w:szCs w:val="44"/>
              </w:rPr>
            </w:pPr>
          </w:p>
        </w:tc>
        <w:tc>
          <w:tcPr>
            <w:tcW w:w="978" w:type="dxa"/>
            <w:noWrap w:val="0"/>
            <w:vAlign w:val="center"/>
          </w:tcPr>
          <w:p w14:paraId="43CE6312">
            <w:pPr>
              <w:jc w:val="center"/>
              <w:rPr>
                <w:rFonts w:hint="eastAsia" w:ascii="宋体" w:hAnsi="宋体"/>
                <w:szCs w:val="44"/>
              </w:rPr>
            </w:pPr>
          </w:p>
        </w:tc>
        <w:tc>
          <w:tcPr>
            <w:tcW w:w="977" w:type="dxa"/>
            <w:noWrap w:val="0"/>
            <w:vAlign w:val="center"/>
          </w:tcPr>
          <w:p w14:paraId="3057311F">
            <w:pPr>
              <w:jc w:val="center"/>
              <w:rPr>
                <w:rFonts w:hint="eastAsia" w:ascii="宋体" w:hAnsi="宋体"/>
                <w:szCs w:val="44"/>
              </w:rPr>
            </w:pPr>
          </w:p>
        </w:tc>
        <w:tc>
          <w:tcPr>
            <w:tcW w:w="978" w:type="dxa"/>
            <w:noWrap w:val="0"/>
            <w:vAlign w:val="center"/>
          </w:tcPr>
          <w:p w14:paraId="6B2C83FA">
            <w:pPr>
              <w:jc w:val="center"/>
              <w:rPr>
                <w:rFonts w:hint="eastAsia" w:ascii="宋体" w:hAnsi="宋体"/>
                <w:szCs w:val="44"/>
              </w:rPr>
            </w:pPr>
          </w:p>
        </w:tc>
        <w:tc>
          <w:tcPr>
            <w:tcW w:w="978" w:type="dxa"/>
            <w:noWrap w:val="0"/>
            <w:vAlign w:val="center"/>
          </w:tcPr>
          <w:p w14:paraId="491C11C4">
            <w:pPr>
              <w:jc w:val="center"/>
              <w:rPr>
                <w:rFonts w:hint="eastAsia" w:ascii="宋体" w:hAnsi="宋体"/>
                <w:szCs w:val="44"/>
              </w:rPr>
            </w:pPr>
          </w:p>
        </w:tc>
        <w:tc>
          <w:tcPr>
            <w:tcW w:w="977" w:type="dxa"/>
            <w:noWrap w:val="0"/>
            <w:vAlign w:val="center"/>
          </w:tcPr>
          <w:p w14:paraId="4AB8424B">
            <w:pPr>
              <w:jc w:val="center"/>
              <w:rPr>
                <w:rFonts w:hint="eastAsia" w:ascii="宋体" w:hAnsi="宋体"/>
                <w:szCs w:val="44"/>
              </w:rPr>
            </w:pPr>
          </w:p>
        </w:tc>
        <w:tc>
          <w:tcPr>
            <w:tcW w:w="978" w:type="dxa"/>
            <w:noWrap w:val="0"/>
            <w:vAlign w:val="center"/>
          </w:tcPr>
          <w:p w14:paraId="5C6D553A">
            <w:pPr>
              <w:jc w:val="center"/>
              <w:rPr>
                <w:rFonts w:hint="eastAsia" w:ascii="宋体" w:hAnsi="宋体"/>
                <w:szCs w:val="44"/>
              </w:rPr>
            </w:pPr>
          </w:p>
        </w:tc>
        <w:tc>
          <w:tcPr>
            <w:tcW w:w="978" w:type="dxa"/>
            <w:noWrap w:val="0"/>
            <w:vAlign w:val="center"/>
          </w:tcPr>
          <w:p w14:paraId="5E2BC1E3">
            <w:pPr>
              <w:jc w:val="center"/>
              <w:rPr>
                <w:rFonts w:hint="eastAsia" w:ascii="宋体" w:hAnsi="宋体"/>
                <w:szCs w:val="44"/>
              </w:rPr>
            </w:pPr>
          </w:p>
        </w:tc>
      </w:tr>
      <w:tr w14:paraId="4611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20F1B7D8">
            <w:pPr>
              <w:jc w:val="center"/>
              <w:rPr>
                <w:rFonts w:hint="eastAsia" w:ascii="黑体" w:hAnsi="宋体" w:eastAsia="黑体"/>
                <w:szCs w:val="44"/>
              </w:rPr>
            </w:pPr>
            <w:r>
              <w:rPr>
                <w:rFonts w:hint="eastAsia" w:ascii="黑体" w:hAnsi="宋体" w:eastAsia="黑体"/>
                <w:szCs w:val="44"/>
              </w:rPr>
              <w:t>4</w:t>
            </w:r>
          </w:p>
        </w:tc>
        <w:tc>
          <w:tcPr>
            <w:tcW w:w="1800" w:type="dxa"/>
            <w:noWrap w:val="0"/>
            <w:vAlign w:val="center"/>
          </w:tcPr>
          <w:p w14:paraId="4FD03738">
            <w:pPr>
              <w:jc w:val="center"/>
              <w:rPr>
                <w:rFonts w:hint="eastAsia" w:ascii="宋体" w:hAnsi="宋体"/>
                <w:szCs w:val="21"/>
              </w:rPr>
            </w:pPr>
            <w:r>
              <w:rPr>
                <w:rFonts w:hint="eastAsia" w:ascii="宋体" w:hAnsi="宋体"/>
                <w:szCs w:val="44"/>
              </w:rPr>
              <w:t>投标文件格式</w:t>
            </w:r>
            <w:r>
              <w:rPr>
                <w:rFonts w:ascii="宋体" w:hAnsi="宋体"/>
                <w:szCs w:val="21"/>
              </w:rPr>
              <w:t>、</w:t>
            </w:r>
          </w:p>
          <w:p w14:paraId="0D1CCC28">
            <w:pPr>
              <w:jc w:val="center"/>
              <w:rPr>
                <w:rFonts w:hint="eastAsia" w:ascii="宋体" w:hAnsi="宋体"/>
                <w:szCs w:val="44"/>
              </w:rPr>
            </w:pPr>
            <w:r>
              <w:rPr>
                <w:rFonts w:hint="eastAsia" w:ascii="宋体" w:hAnsi="宋体"/>
                <w:szCs w:val="21"/>
              </w:rPr>
              <w:t>内容</w:t>
            </w:r>
          </w:p>
        </w:tc>
        <w:tc>
          <w:tcPr>
            <w:tcW w:w="2700" w:type="dxa"/>
            <w:noWrap w:val="0"/>
            <w:vAlign w:val="center"/>
          </w:tcPr>
          <w:p w14:paraId="41AF5F88">
            <w:pPr>
              <w:rPr>
                <w:rFonts w:hint="eastAsia"/>
              </w:rPr>
            </w:pPr>
            <w:r>
              <w:t>符合第八章“投标文件格式”的要求</w:t>
            </w:r>
            <w:r>
              <w:rPr>
                <w:rFonts w:hint="eastAsia" w:ascii="宋体" w:hAnsi="宋体"/>
                <w:szCs w:val="21"/>
              </w:rPr>
              <w:t>，</w:t>
            </w:r>
            <w:r>
              <w:rPr>
                <w:rFonts w:ascii="宋体" w:hAnsi="宋体"/>
                <w:szCs w:val="21"/>
              </w:rPr>
              <w:t>实质性内容齐全、关键字迹清晰可辨</w:t>
            </w:r>
          </w:p>
        </w:tc>
        <w:tc>
          <w:tcPr>
            <w:tcW w:w="797" w:type="dxa"/>
            <w:noWrap w:val="0"/>
            <w:vAlign w:val="center"/>
          </w:tcPr>
          <w:p w14:paraId="31CA6DBA">
            <w:pPr>
              <w:jc w:val="center"/>
              <w:rPr>
                <w:rFonts w:hint="eastAsia" w:ascii="宋体" w:hAnsi="宋体"/>
                <w:szCs w:val="44"/>
              </w:rPr>
            </w:pPr>
          </w:p>
        </w:tc>
        <w:tc>
          <w:tcPr>
            <w:tcW w:w="978" w:type="dxa"/>
            <w:noWrap w:val="0"/>
            <w:vAlign w:val="center"/>
          </w:tcPr>
          <w:p w14:paraId="32833BCC">
            <w:pPr>
              <w:jc w:val="center"/>
              <w:rPr>
                <w:rFonts w:hint="eastAsia" w:ascii="宋体" w:hAnsi="宋体"/>
                <w:szCs w:val="44"/>
              </w:rPr>
            </w:pPr>
          </w:p>
        </w:tc>
        <w:tc>
          <w:tcPr>
            <w:tcW w:w="978" w:type="dxa"/>
            <w:noWrap w:val="0"/>
            <w:vAlign w:val="center"/>
          </w:tcPr>
          <w:p w14:paraId="2188AF09">
            <w:pPr>
              <w:jc w:val="center"/>
              <w:rPr>
                <w:rFonts w:hint="eastAsia" w:ascii="宋体" w:hAnsi="宋体"/>
                <w:szCs w:val="44"/>
              </w:rPr>
            </w:pPr>
          </w:p>
        </w:tc>
        <w:tc>
          <w:tcPr>
            <w:tcW w:w="977" w:type="dxa"/>
            <w:noWrap w:val="0"/>
            <w:vAlign w:val="center"/>
          </w:tcPr>
          <w:p w14:paraId="0200191B">
            <w:pPr>
              <w:jc w:val="center"/>
              <w:rPr>
                <w:rFonts w:hint="eastAsia" w:ascii="宋体" w:hAnsi="宋体"/>
                <w:szCs w:val="44"/>
              </w:rPr>
            </w:pPr>
          </w:p>
        </w:tc>
        <w:tc>
          <w:tcPr>
            <w:tcW w:w="978" w:type="dxa"/>
            <w:noWrap w:val="0"/>
            <w:vAlign w:val="center"/>
          </w:tcPr>
          <w:p w14:paraId="3F872C55">
            <w:pPr>
              <w:jc w:val="center"/>
              <w:rPr>
                <w:rFonts w:hint="eastAsia" w:ascii="宋体" w:hAnsi="宋体"/>
                <w:szCs w:val="44"/>
              </w:rPr>
            </w:pPr>
          </w:p>
        </w:tc>
        <w:tc>
          <w:tcPr>
            <w:tcW w:w="978" w:type="dxa"/>
            <w:noWrap w:val="0"/>
            <w:vAlign w:val="center"/>
          </w:tcPr>
          <w:p w14:paraId="28F57D00">
            <w:pPr>
              <w:jc w:val="center"/>
              <w:rPr>
                <w:rFonts w:hint="eastAsia" w:ascii="宋体" w:hAnsi="宋体"/>
                <w:szCs w:val="44"/>
              </w:rPr>
            </w:pPr>
          </w:p>
        </w:tc>
        <w:tc>
          <w:tcPr>
            <w:tcW w:w="977" w:type="dxa"/>
            <w:noWrap w:val="0"/>
            <w:vAlign w:val="center"/>
          </w:tcPr>
          <w:p w14:paraId="1FD5C4F2">
            <w:pPr>
              <w:jc w:val="center"/>
              <w:rPr>
                <w:rFonts w:hint="eastAsia" w:ascii="宋体" w:hAnsi="宋体"/>
                <w:szCs w:val="44"/>
              </w:rPr>
            </w:pPr>
          </w:p>
        </w:tc>
        <w:tc>
          <w:tcPr>
            <w:tcW w:w="978" w:type="dxa"/>
            <w:noWrap w:val="0"/>
            <w:vAlign w:val="center"/>
          </w:tcPr>
          <w:p w14:paraId="20537570">
            <w:pPr>
              <w:jc w:val="center"/>
              <w:rPr>
                <w:rFonts w:hint="eastAsia" w:ascii="宋体" w:hAnsi="宋体"/>
                <w:szCs w:val="44"/>
              </w:rPr>
            </w:pPr>
          </w:p>
        </w:tc>
        <w:tc>
          <w:tcPr>
            <w:tcW w:w="978" w:type="dxa"/>
            <w:noWrap w:val="0"/>
            <w:vAlign w:val="center"/>
          </w:tcPr>
          <w:p w14:paraId="57695BF7">
            <w:pPr>
              <w:jc w:val="center"/>
              <w:rPr>
                <w:rFonts w:hint="eastAsia" w:ascii="宋体" w:hAnsi="宋体"/>
                <w:szCs w:val="44"/>
              </w:rPr>
            </w:pPr>
          </w:p>
        </w:tc>
      </w:tr>
      <w:tr w14:paraId="7B05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5DC0F051">
            <w:pPr>
              <w:jc w:val="center"/>
              <w:rPr>
                <w:rFonts w:hint="eastAsia" w:ascii="黑体" w:hAnsi="宋体" w:eastAsia="黑体"/>
                <w:szCs w:val="44"/>
              </w:rPr>
            </w:pPr>
            <w:r>
              <w:rPr>
                <w:rFonts w:hint="eastAsia" w:ascii="黑体" w:hAnsi="宋体" w:eastAsia="黑体"/>
                <w:szCs w:val="44"/>
              </w:rPr>
              <w:t>5</w:t>
            </w:r>
          </w:p>
        </w:tc>
        <w:tc>
          <w:tcPr>
            <w:tcW w:w="1800" w:type="dxa"/>
            <w:noWrap w:val="0"/>
            <w:vAlign w:val="center"/>
          </w:tcPr>
          <w:p w14:paraId="1DC1D4EF">
            <w:pPr>
              <w:jc w:val="center"/>
              <w:rPr>
                <w:rFonts w:hint="eastAsia" w:ascii="宋体" w:hAnsi="宋体"/>
                <w:szCs w:val="44"/>
              </w:rPr>
            </w:pPr>
            <w:r>
              <w:rPr>
                <w:rFonts w:hint="eastAsia" w:ascii="宋体" w:hAnsi="宋体"/>
                <w:szCs w:val="44"/>
              </w:rPr>
              <w:t>联合体投标人</w:t>
            </w:r>
          </w:p>
          <w:p w14:paraId="0BE81CBE">
            <w:pPr>
              <w:jc w:val="center"/>
              <w:rPr>
                <w:rFonts w:hint="eastAsia" w:ascii="宋体" w:hAnsi="宋体"/>
                <w:szCs w:val="44"/>
              </w:rPr>
            </w:pPr>
            <w:r>
              <w:rPr>
                <w:rFonts w:hint="eastAsia"/>
              </w:rPr>
              <w:t>(如有)</w:t>
            </w:r>
          </w:p>
        </w:tc>
        <w:tc>
          <w:tcPr>
            <w:tcW w:w="2700" w:type="dxa"/>
            <w:noWrap w:val="0"/>
            <w:vAlign w:val="center"/>
          </w:tcPr>
          <w:p w14:paraId="502F72D0">
            <w:pPr>
              <w:rPr>
                <w:rFonts w:hint="eastAsia"/>
              </w:rPr>
            </w:pPr>
            <w:r>
              <w:t>提交联合体协议书，并明确联合体牵头人</w:t>
            </w:r>
          </w:p>
        </w:tc>
        <w:tc>
          <w:tcPr>
            <w:tcW w:w="797" w:type="dxa"/>
            <w:noWrap w:val="0"/>
            <w:vAlign w:val="center"/>
          </w:tcPr>
          <w:p w14:paraId="25711A8A">
            <w:pPr>
              <w:jc w:val="center"/>
              <w:rPr>
                <w:rFonts w:hint="eastAsia" w:ascii="宋体" w:hAnsi="宋体"/>
                <w:szCs w:val="44"/>
              </w:rPr>
            </w:pPr>
          </w:p>
        </w:tc>
        <w:tc>
          <w:tcPr>
            <w:tcW w:w="978" w:type="dxa"/>
            <w:noWrap w:val="0"/>
            <w:vAlign w:val="center"/>
          </w:tcPr>
          <w:p w14:paraId="4E8842BA">
            <w:pPr>
              <w:jc w:val="center"/>
              <w:rPr>
                <w:rFonts w:hint="eastAsia" w:ascii="宋体" w:hAnsi="宋体"/>
                <w:szCs w:val="44"/>
              </w:rPr>
            </w:pPr>
          </w:p>
        </w:tc>
        <w:tc>
          <w:tcPr>
            <w:tcW w:w="978" w:type="dxa"/>
            <w:noWrap w:val="0"/>
            <w:vAlign w:val="center"/>
          </w:tcPr>
          <w:p w14:paraId="39BC358A">
            <w:pPr>
              <w:jc w:val="center"/>
              <w:rPr>
                <w:rFonts w:hint="eastAsia" w:ascii="宋体" w:hAnsi="宋体"/>
                <w:szCs w:val="44"/>
              </w:rPr>
            </w:pPr>
          </w:p>
        </w:tc>
        <w:tc>
          <w:tcPr>
            <w:tcW w:w="977" w:type="dxa"/>
            <w:noWrap w:val="0"/>
            <w:vAlign w:val="center"/>
          </w:tcPr>
          <w:p w14:paraId="450A4249">
            <w:pPr>
              <w:jc w:val="center"/>
              <w:rPr>
                <w:rFonts w:hint="eastAsia" w:ascii="宋体" w:hAnsi="宋体"/>
                <w:szCs w:val="44"/>
              </w:rPr>
            </w:pPr>
          </w:p>
        </w:tc>
        <w:tc>
          <w:tcPr>
            <w:tcW w:w="978" w:type="dxa"/>
            <w:noWrap w:val="0"/>
            <w:vAlign w:val="center"/>
          </w:tcPr>
          <w:p w14:paraId="1D60048D">
            <w:pPr>
              <w:jc w:val="center"/>
              <w:rPr>
                <w:rFonts w:hint="eastAsia" w:ascii="宋体" w:hAnsi="宋体"/>
                <w:szCs w:val="44"/>
              </w:rPr>
            </w:pPr>
          </w:p>
        </w:tc>
        <w:tc>
          <w:tcPr>
            <w:tcW w:w="978" w:type="dxa"/>
            <w:noWrap w:val="0"/>
            <w:vAlign w:val="center"/>
          </w:tcPr>
          <w:p w14:paraId="195CEC07">
            <w:pPr>
              <w:jc w:val="center"/>
              <w:rPr>
                <w:rFonts w:hint="eastAsia" w:ascii="宋体" w:hAnsi="宋体"/>
                <w:szCs w:val="44"/>
              </w:rPr>
            </w:pPr>
          </w:p>
        </w:tc>
        <w:tc>
          <w:tcPr>
            <w:tcW w:w="977" w:type="dxa"/>
            <w:noWrap w:val="0"/>
            <w:vAlign w:val="center"/>
          </w:tcPr>
          <w:p w14:paraId="410ADE07">
            <w:pPr>
              <w:jc w:val="center"/>
              <w:rPr>
                <w:rFonts w:hint="eastAsia" w:ascii="宋体" w:hAnsi="宋体"/>
                <w:szCs w:val="44"/>
              </w:rPr>
            </w:pPr>
          </w:p>
        </w:tc>
        <w:tc>
          <w:tcPr>
            <w:tcW w:w="978" w:type="dxa"/>
            <w:noWrap w:val="0"/>
            <w:vAlign w:val="center"/>
          </w:tcPr>
          <w:p w14:paraId="3CFD073C">
            <w:pPr>
              <w:jc w:val="center"/>
              <w:rPr>
                <w:rFonts w:hint="eastAsia" w:ascii="宋体" w:hAnsi="宋体"/>
                <w:szCs w:val="44"/>
              </w:rPr>
            </w:pPr>
          </w:p>
        </w:tc>
        <w:tc>
          <w:tcPr>
            <w:tcW w:w="978" w:type="dxa"/>
            <w:noWrap w:val="0"/>
            <w:vAlign w:val="center"/>
          </w:tcPr>
          <w:p w14:paraId="1504AECA">
            <w:pPr>
              <w:jc w:val="center"/>
              <w:rPr>
                <w:rFonts w:hint="eastAsia" w:ascii="宋体" w:hAnsi="宋体"/>
                <w:szCs w:val="44"/>
              </w:rPr>
            </w:pPr>
          </w:p>
        </w:tc>
      </w:tr>
      <w:tr w14:paraId="730E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2F19DF61">
            <w:pPr>
              <w:jc w:val="center"/>
              <w:rPr>
                <w:rFonts w:hint="eastAsia" w:ascii="黑体" w:hAnsi="宋体" w:eastAsia="黑体"/>
                <w:szCs w:val="44"/>
              </w:rPr>
            </w:pPr>
            <w:r>
              <w:rPr>
                <w:rFonts w:hint="eastAsia" w:ascii="黑体" w:hAnsi="宋体" w:eastAsia="黑体"/>
                <w:szCs w:val="44"/>
              </w:rPr>
              <w:t>6</w:t>
            </w:r>
          </w:p>
        </w:tc>
        <w:tc>
          <w:tcPr>
            <w:tcW w:w="1800" w:type="dxa"/>
            <w:noWrap w:val="0"/>
            <w:vAlign w:val="center"/>
          </w:tcPr>
          <w:p w14:paraId="17C63CEB">
            <w:pPr>
              <w:jc w:val="center"/>
              <w:rPr>
                <w:rFonts w:hint="eastAsia" w:ascii="宋体" w:hAnsi="宋体"/>
                <w:szCs w:val="44"/>
              </w:rPr>
            </w:pPr>
            <w:r>
              <w:rPr>
                <w:rFonts w:hint="eastAsia" w:ascii="宋体" w:hAnsi="宋体"/>
                <w:szCs w:val="44"/>
              </w:rPr>
              <w:t>报价唯一</w:t>
            </w:r>
          </w:p>
        </w:tc>
        <w:tc>
          <w:tcPr>
            <w:tcW w:w="2700" w:type="dxa"/>
            <w:noWrap w:val="0"/>
            <w:vAlign w:val="center"/>
          </w:tcPr>
          <w:p w14:paraId="54D77B08">
            <w:pPr>
              <w:rPr>
                <w:rFonts w:hint="eastAsia"/>
              </w:rPr>
            </w:pPr>
            <w:r>
              <w:t>只能有一个有效报价</w:t>
            </w:r>
            <w:r>
              <w:rPr>
                <w:rFonts w:hint="eastAsia" w:ascii="宋体" w:hAnsi="宋体"/>
                <w:szCs w:val="21"/>
              </w:rPr>
              <w:t>（指投标函中的大写报价）</w:t>
            </w:r>
          </w:p>
        </w:tc>
        <w:tc>
          <w:tcPr>
            <w:tcW w:w="797" w:type="dxa"/>
            <w:noWrap w:val="0"/>
            <w:vAlign w:val="center"/>
          </w:tcPr>
          <w:p w14:paraId="2D14D6AF">
            <w:pPr>
              <w:jc w:val="center"/>
              <w:rPr>
                <w:rFonts w:hint="eastAsia" w:ascii="宋体" w:hAnsi="宋体"/>
                <w:szCs w:val="44"/>
              </w:rPr>
            </w:pPr>
          </w:p>
        </w:tc>
        <w:tc>
          <w:tcPr>
            <w:tcW w:w="978" w:type="dxa"/>
            <w:noWrap w:val="0"/>
            <w:vAlign w:val="center"/>
          </w:tcPr>
          <w:p w14:paraId="10330C97">
            <w:pPr>
              <w:jc w:val="center"/>
              <w:rPr>
                <w:rFonts w:hint="eastAsia" w:ascii="宋体" w:hAnsi="宋体"/>
                <w:szCs w:val="44"/>
              </w:rPr>
            </w:pPr>
          </w:p>
        </w:tc>
        <w:tc>
          <w:tcPr>
            <w:tcW w:w="978" w:type="dxa"/>
            <w:noWrap w:val="0"/>
            <w:vAlign w:val="center"/>
          </w:tcPr>
          <w:p w14:paraId="69348F9A">
            <w:pPr>
              <w:jc w:val="center"/>
              <w:rPr>
                <w:rFonts w:hint="eastAsia" w:ascii="宋体" w:hAnsi="宋体"/>
                <w:szCs w:val="44"/>
              </w:rPr>
            </w:pPr>
          </w:p>
        </w:tc>
        <w:tc>
          <w:tcPr>
            <w:tcW w:w="977" w:type="dxa"/>
            <w:noWrap w:val="0"/>
            <w:vAlign w:val="center"/>
          </w:tcPr>
          <w:p w14:paraId="3897408C">
            <w:pPr>
              <w:jc w:val="center"/>
              <w:rPr>
                <w:rFonts w:hint="eastAsia" w:ascii="宋体" w:hAnsi="宋体"/>
                <w:szCs w:val="44"/>
              </w:rPr>
            </w:pPr>
          </w:p>
        </w:tc>
        <w:tc>
          <w:tcPr>
            <w:tcW w:w="978" w:type="dxa"/>
            <w:noWrap w:val="0"/>
            <w:vAlign w:val="center"/>
          </w:tcPr>
          <w:p w14:paraId="7D9FB364">
            <w:pPr>
              <w:jc w:val="center"/>
              <w:rPr>
                <w:rFonts w:hint="eastAsia" w:ascii="宋体" w:hAnsi="宋体"/>
                <w:szCs w:val="44"/>
              </w:rPr>
            </w:pPr>
          </w:p>
        </w:tc>
        <w:tc>
          <w:tcPr>
            <w:tcW w:w="978" w:type="dxa"/>
            <w:noWrap w:val="0"/>
            <w:vAlign w:val="center"/>
          </w:tcPr>
          <w:p w14:paraId="665DFA3E">
            <w:pPr>
              <w:jc w:val="center"/>
              <w:rPr>
                <w:rFonts w:hint="eastAsia" w:ascii="宋体" w:hAnsi="宋体"/>
                <w:szCs w:val="44"/>
              </w:rPr>
            </w:pPr>
          </w:p>
        </w:tc>
        <w:tc>
          <w:tcPr>
            <w:tcW w:w="977" w:type="dxa"/>
            <w:noWrap w:val="0"/>
            <w:vAlign w:val="center"/>
          </w:tcPr>
          <w:p w14:paraId="38109407">
            <w:pPr>
              <w:jc w:val="center"/>
              <w:rPr>
                <w:rFonts w:hint="eastAsia" w:ascii="宋体" w:hAnsi="宋体"/>
                <w:szCs w:val="44"/>
              </w:rPr>
            </w:pPr>
          </w:p>
        </w:tc>
        <w:tc>
          <w:tcPr>
            <w:tcW w:w="978" w:type="dxa"/>
            <w:noWrap w:val="0"/>
            <w:vAlign w:val="center"/>
          </w:tcPr>
          <w:p w14:paraId="247F8866">
            <w:pPr>
              <w:jc w:val="center"/>
              <w:rPr>
                <w:rFonts w:hint="eastAsia" w:ascii="宋体" w:hAnsi="宋体"/>
                <w:szCs w:val="44"/>
              </w:rPr>
            </w:pPr>
          </w:p>
        </w:tc>
        <w:tc>
          <w:tcPr>
            <w:tcW w:w="978" w:type="dxa"/>
            <w:noWrap w:val="0"/>
            <w:vAlign w:val="center"/>
          </w:tcPr>
          <w:p w14:paraId="59913B7F">
            <w:pPr>
              <w:jc w:val="center"/>
              <w:rPr>
                <w:rFonts w:hint="eastAsia" w:ascii="宋体" w:hAnsi="宋体"/>
                <w:szCs w:val="44"/>
              </w:rPr>
            </w:pPr>
          </w:p>
        </w:tc>
      </w:tr>
    </w:tbl>
    <w:p w14:paraId="0FED702E">
      <w:pPr>
        <w:rPr>
          <w:rFonts w:hint="eastAsia" w:ascii="宋体" w:hAnsi="宋体"/>
          <w:szCs w:val="44"/>
        </w:rPr>
      </w:pPr>
    </w:p>
    <w:p w14:paraId="2CCF5319">
      <w:pPr>
        <w:rPr>
          <w:rFonts w:hint="eastAsia" w:ascii="宋体" w:hAnsi="宋体"/>
          <w:szCs w:val="44"/>
        </w:rPr>
      </w:pPr>
    </w:p>
    <w:p w14:paraId="519B3B83">
      <w:pPr>
        <w:rPr>
          <w:rFonts w:hint="eastAsia" w:ascii="宋体" w:hAnsi="宋体"/>
          <w:szCs w:val="44"/>
        </w:rPr>
      </w:pPr>
    </w:p>
    <w:p w14:paraId="247B1E9B">
      <w:pPr>
        <w:rPr>
          <w:rFonts w:hint="eastAsia" w:ascii="宋体" w:hAnsi="宋体"/>
          <w:szCs w:val="44"/>
        </w:rPr>
      </w:pPr>
    </w:p>
    <w:p w14:paraId="4CFD0FCE">
      <w:pPr>
        <w:rPr>
          <w:rFonts w:hint="eastAsia" w:ascii="宋体" w:hAnsi="宋体"/>
          <w:szCs w:val="44"/>
        </w:rPr>
      </w:pPr>
    </w:p>
    <w:p w14:paraId="0C13E7CD">
      <w:pPr>
        <w:rPr>
          <w:rFonts w:hint="eastAsia" w:ascii="宋体" w:hAnsi="宋体"/>
          <w:szCs w:val="44"/>
        </w:rPr>
      </w:pPr>
    </w:p>
    <w:p w14:paraId="5457FD9F">
      <w:pPr>
        <w:rPr>
          <w:rFonts w:hint="eastAsia" w:ascii="宋体" w:hAnsi="宋体"/>
          <w:szCs w:val="44"/>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800"/>
        <w:gridCol w:w="2700"/>
        <w:gridCol w:w="797"/>
        <w:gridCol w:w="978"/>
        <w:gridCol w:w="978"/>
        <w:gridCol w:w="977"/>
        <w:gridCol w:w="978"/>
        <w:gridCol w:w="978"/>
        <w:gridCol w:w="977"/>
        <w:gridCol w:w="978"/>
        <w:gridCol w:w="978"/>
      </w:tblGrid>
      <w:tr w14:paraId="5CA4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restart"/>
            <w:noWrap w:val="0"/>
            <w:vAlign w:val="center"/>
          </w:tcPr>
          <w:p w14:paraId="4E21A7BB">
            <w:pPr>
              <w:jc w:val="center"/>
              <w:rPr>
                <w:rFonts w:hint="eastAsia" w:ascii="宋体" w:hAnsi="宋体"/>
                <w:szCs w:val="44"/>
              </w:rPr>
            </w:pPr>
            <w:r>
              <w:rPr>
                <w:rFonts w:hint="eastAsia" w:ascii="宋体" w:hAnsi="宋体"/>
                <w:szCs w:val="44"/>
              </w:rPr>
              <w:t>序号</w:t>
            </w:r>
          </w:p>
        </w:tc>
        <w:tc>
          <w:tcPr>
            <w:tcW w:w="1800" w:type="dxa"/>
            <w:vMerge w:val="restart"/>
            <w:noWrap w:val="0"/>
            <w:vAlign w:val="center"/>
          </w:tcPr>
          <w:p w14:paraId="6EE4FED3">
            <w:pPr>
              <w:jc w:val="center"/>
              <w:rPr>
                <w:rFonts w:hint="eastAsia" w:ascii="宋体" w:hAnsi="宋体"/>
                <w:szCs w:val="44"/>
              </w:rPr>
            </w:pPr>
            <w:r>
              <w:rPr>
                <w:rFonts w:hint="eastAsia" w:ascii="宋体" w:hAnsi="宋体"/>
                <w:szCs w:val="44"/>
              </w:rPr>
              <w:t>评审因素</w:t>
            </w:r>
          </w:p>
        </w:tc>
        <w:tc>
          <w:tcPr>
            <w:tcW w:w="2700" w:type="dxa"/>
            <w:vMerge w:val="restart"/>
            <w:noWrap w:val="0"/>
            <w:vAlign w:val="center"/>
          </w:tcPr>
          <w:p w14:paraId="38239D8D">
            <w:pPr>
              <w:jc w:val="center"/>
              <w:rPr>
                <w:rFonts w:hint="eastAsia" w:ascii="宋体" w:hAnsi="宋体"/>
                <w:szCs w:val="44"/>
              </w:rPr>
            </w:pPr>
            <w:r>
              <w:rPr>
                <w:rFonts w:hint="eastAsia" w:ascii="宋体" w:hAnsi="宋体"/>
                <w:szCs w:val="44"/>
              </w:rPr>
              <w:t>评审标准</w:t>
            </w:r>
          </w:p>
        </w:tc>
        <w:tc>
          <w:tcPr>
            <w:tcW w:w="8619" w:type="dxa"/>
            <w:gridSpan w:val="9"/>
            <w:noWrap w:val="0"/>
            <w:vAlign w:val="center"/>
          </w:tcPr>
          <w:p w14:paraId="4C54048E">
            <w:pPr>
              <w:jc w:val="center"/>
              <w:rPr>
                <w:rFonts w:hint="eastAsia" w:ascii="宋体" w:hAnsi="宋体"/>
                <w:szCs w:val="44"/>
              </w:rPr>
            </w:pPr>
            <w:r>
              <w:rPr>
                <w:rFonts w:hint="eastAsia" w:ascii="宋体" w:hAnsi="宋体"/>
                <w:szCs w:val="44"/>
              </w:rPr>
              <w:t>投标人名称及评审意见</w:t>
            </w:r>
          </w:p>
        </w:tc>
      </w:tr>
      <w:tr w14:paraId="00CB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continue"/>
            <w:noWrap w:val="0"/>
            <w:vAlign w:val="center"/>
          </w:tcPr>
          <w:p w14:paraId="73E791D6">
            <w:pPr>
              <w:jc w:val="center"/>
              <w:rPr>
                <w:rFonts w:hint="eastAsia" w:ascii="宋体" w:hAnsi="宋体"/>
                <w:szCs w:val="44"/>
              </w:rPr>
            </w:pPr>
          </w:p>
        </w:tc>
        <w:tc>
          <w:tcPr>
            <w:tcW w:w="1800" w:type="dxa"/>
            <w:vMerge w:val="continue"/>
            <w:noWrap w:val="0"/>
            <w:vAlign w:val="top"/>
          </w:tcPr>
          <w:p w14:paraId="2186093B">
            <w:pPr>
              <w:jc w:val="center"/>
              <w:rPr>
                <w:rFonts w:hint="eastAsia" w:ascii="宋体" w:hAnsi="宋体"/>
                <w:szCs w:val="44"/>
              </w:rPr>
            </w:pPr>
          </w:p>
        </w:tc>
        <w:tc>
          <w:tcPr>
            <w:tcW w:w="2700" w:type="dxa"/>
            <w:vMerge w:val="continue"/>
            <w:noWrap w:val="0"/>
            <w:vAlign w:val="center"/>
          </w:tcPr>
          <w:p w14:paraId="14233E6E">
            <w:pPr>
              <w:jc w:val="center"/>
              <w:rPr>
                <w:rFonts w:hint="eastAsia" w:ascii="宋体" w:hAnsi="宋体"/>
                <w:szCs w:val="44"/>
              </w:rPr>
            </w:pPr>
          </w:p>
        </w:tc>
        <w:tc>
          <w:tcPr>
            <w:tcW w:w="797" w:type="dxa"/>
            <w:noWrap w:val="0"/>
            <w:vAlign w:val="center"/>
          </w:tcPr>
          <w:p w14:paraId="436D8041">
            <w:pPr>
              <w:jc w:val="center"/>
              <w:rPr>
                <w:rFonts w:hint="eastAsia" w:ascii="宋体" w:hAnsi="宋体"/>
                <w:szCs w:val="44"/>
              </w:rPr>
            </w:pPr>
          </w:p>
        </w:tc>
        <w:tc>
          <w:tcPr>
            <w:tcW w:w="978" w:type="dxa"/>
            <w:noWrap w:val="0"/>
            <w:vAlign w:val="center"/>
          </w:tcPr>
          <w:p w14:paraId="599D19E3">
            <w:pPr>
              <w:jc w:val="center"/>
              <w:rPr>
                <w:rFonts w:hint="eastAsia" w:ascii="宋体" w:hAnsi="宋体"/>
                <w:szCs w:val="44"/>
              </w:rPr>
            </w:pPr>
          </w:p>
        </w:tc>
        <w:tc>
          <w:tcPr>
            <w:tcW w:w="978" w:type="dxa"/>
            <w:noWrap w:val="0"/>
            <w:vAlign w:val="center"/>
          </w:tcPr>
          <w:p w14:paraId="63ED4983">
            <w:pPr>
              <w:jc w:val="center"/>
              <w:rPr>
                <w:rFonts w:hint="eastAsia" w:ascii="宋体" w:hAnsi="宋体"/>
                <w:szCs w:val="44"/>
              </w:rPr>
            </w:pPr>
          </w:p>
        </w:tc>
        <w:tc>
          <w:tcPr>
            <w:tcW w:w="977" w:type="dxa"/>
            <w:noWrap w:val="0"/>
            <w:vAlign w:val="center"/>
          </w:tcPr>
          <w:p w14:paraId="58170724">
            <w:pPr>
              <w:jc w:val="center"/>
              <w:rPr>
                <w:rFonts w:hint="eastAsia" w:ascii="宋体" w:hAnsi="宋体"/>
                <w:szCs w:val="44"/>
              </w:rPr>
            </w:pPr>
          </w:p>
        </w:tc>
        <w:tc>
          <w:tcPr>
            <w:tcW w:w="978" w:type="dxa"/>
            <w:noWrap w:val="0"/>
            <w:vAlign w:val="center"/>
          </w:tcPr>
          <w:p w14:paraId="4595BF26">
            <w:pPr>
              <w:jc w:val="center"/>
              <w:rPr>
                <w:rFonts w:hint="eastAsia" w:ascii="宋体" w:hAnsi="宋体"/>
                <w:szCs w:val="44"/>
              </w:rPr>
            </w:pPr>
          </w:p>
        </w:tc>
        <w:tc>
          <w:tcPr>
            <w:tcW w:w="978" w:type="dxa"/>
            <w:noWrap w:val="0"/>
            <w:vAlign w:val="center"/>
          </w:tcPr>
          <w:p w14:paraId="1BA5B848">
            <w:pPr>
              <w:jc w:val="center"/>
              <w:rPr>
                <w:rFonts w:hint="eastAsia" w:ascii="宋体" w:hAnsi="宋体"/>
                <w:szCs w:val="44"/>
              </w:rPr>
            </w:pPr>
          </w:p>
        </w:tc>
        <w:tc>
          <w:tcPr>
            <w:tcW w:w="977" w:type="dxa"/>
            <w:noWrap w:val="0"/>
            <w:vAlign w:val="center"/>
          </w:tcPr>
          <w:p w14:paraId="6EC004D2">
            <w:pPr>
              <w:jc w:val="center"/>
              <w:rPr>
                <w:rFonts w:hint="eastAsia" w:ascii="宋体" w:hAnsi="宋体"/>
                <w:szCs w:val="44"/>
              </w:rPr>
            </w:pPr>
          </w:p>
        </w:tc>
        <w:tc>
          <w:tcPr>
            <w:tcW w:w="978" w:type="dxa"/>
            <w:noWrap w:val="0"/>
            <w:vAlign w:val="center"/>
          </w:tcPr>
          <w:p w14:paraId="76FF30AA">
            <w:pPr>
              <w:jc w:val="center"/>
              <w:rPr>
                <w:rFonts w:hint="eastAsia" w:ascii="宋体" w:hAnsi="宋体"/>
                <w:szCs w:val="44"/>
              </w:rPr>
            </w:pPr>
          </w:p>
        </w:tc>
        <w:tc>
          <w:tcPr>
            <w:tcW w:w="978" w:type="dxa"/>
            <w:noWrap w:val="0"/>
            <w:vAlign w:val="center"/>
          </w:tcPr>
          <w:p w14:paraId="2F2DA300">
            <w:pPr>
              <w:jc w:val="center"/>
              <w:rPr>
                <w:rFonts w:hint="eastAsia" w:ascii="宋体" w:hAnsi="宋体"/>
                <w:szCs w:val="44"/>
              </w:rPr>
            </w:pPr>
          </w:p>
        </w:tc>
      </w:tr>
      <w:tr w14:paraId="6A95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60533B49">
            <w:pPr>
              <w:jc w:val="center"/>
              <w:rPr>
                <w:rFonts w:hint="eastAsia" w:ascii="黑体" w:hAnsi="宋体" w:eastAsia="黑体"/>
                <w:szCs w:val="44"/>
              </w:rPr>
            </w:pPr>
            <w:r>
              <w:rPr>
                <w:rFonts w:hint="eastAsia" w:ascii="黑体" w:hAnsi="宋体" w:eastAsia="黑体"/>
                <w:szCs w:val="44"/>
              </w:rPr>
              <w:t>7</w:t>
            </w:r>
          </w:p>
        </w:tc>
        <w:tc>
          <w:tcPr>
            <w:tcW w:w="1800" w:type="dxa"/>
            <w:noWrap w:val="0"/>
            <w:vAlign w:val="center"/>
          </w:tcPr>
          <w:p w14:paraId="3BDD9D19">
            <w:pPr>
              <w:rPr>
                <w:rFonts w:hint="eastAsia" w:ascii="宋体" w:hAnsi="宋体"/>
                <w:szCs w:val="21"/>
              </w:rPr>
            </w:pPr>
            <w:r>
              <w:rPr>
                <w:rFonts w:hint="eastAsia"/>
                <w:szCs w:val="21"/>
              </w:rPr>
              <w:t>多标段投标</w:t>
            </w:r>
          </w:p>
        </w:tc>
        <w:tc>
          <w:tcPr>
            <w:tcW w:w="2700" w:type="dxa"/>
            <w:noWrap w:val="0"/>
            <w:vAlign w:val="center"/>
          </w:tcPr>
          <w:p w14:paraId="58FEF609">
            <w:pPr>
              <w:rPr>
                <w:rFonts w:hint="eastAsia"/>
              </w:rPr>
            </w:pPr>
            <w:r>
              <w:rPr>
                <w:rFonts w:hint="eastAsia"/>
              </w:rPr>
              <w:t>符合第二章“投标人须知”第10.1款规定</w:t>
            </w:r>
          </w:p>
        </w:tc>
        <w:tc>
          <w:tcPr>
            <w:tcW w:w="797" w:type="dxa"/>
            <w:noWrap w:val="0"/>
            <w:vAlign w:val="center"/>
          </w:tcPr>
          <w:p w14:paraId="234D7C5D">
            <w:pPr>
              <w:jc w:val="center"/>
              <w:rPr>
                <w:rFonts w:hint="eastAsia" w:ascii="宋体" w:hAnsi="宋体"/>
                <w:szCs w:val="44"/>
              </w:rPr>
            </w:pPr>
          </w:p>
        </w:tc>
        <w:tc>
          <w:tcPr>
            <w:tcW w:w="978" w:type="dxa"/>
            <w:noWrap w:val="0"/>
            <w:vAlign w:val="center"/>
          </w:tcPr>
          <w:p w14:paraId="19CDAFD8">
            <w:pPr>
              <w:jc w:val="center"/>
              <w:rPr>
                <w:rFonts w:hint="eastAsia" w:ascii="宋体" w:hAnsi="宋体"/>
                <w:szCs w:val="44"/>
              </w:rPr>
            </w:pPr>
          </w:p>
        </w:tc>
        <w:tc>
          <w:tcPr>
            <w:tcW w:w="978" w:type="dxa"/>
            <w:noWrap w:val="0"/>
            <w:vAlign w:val="center"/>
          </w:tcPr>
          <w:p w14:paraId="5747EDE3">
            <w:pPr>
              <w:jc w:val="center"/>
              <w:rPr>
                <w:rFonts w:hint="eastAsia" w:ascii="宋体" w:hAnsi="宋体"/>
                <w:szCs w:val="44"/>
              </w:rPr>
            </w:pPr>
          </w:p>
        </w:tc>
        <w:tc>
          <w:tcPr>
            <w:tcW w:w="977" w:type="dxa"/>
            <w:noWrap w:val="0"/>
            <w:vAlign w:val="center"/>
          </w:tcPr>
          <w:p w14:paraId="57457188">
            <w:pPr>
              <w:jc w:val="center"/>
              <w:rPr>
                <w:rFonts w:hint="eastAsia" w:ascii="宋体" w:hAnsi="宋体"/>
                <w:szCs w:val="44"/>
              </w:rPr>
            </w:pPr>
          </w:p>
        </w:tc>
        <w:tc>
          <w:tcPr>
            <w:tcW w:w="978" w:type="dxa"/>
            <w:noWrap w:val="0"/>
            <w:vAlign w:val="center"/>
          </w:tcPr>
          <w:p w14:paraId="71F05D60">
            <w:pPr>
              <w:jc w:val="center"/>
              <w:rPr>
                <w:rFonts w:hint="eastAsia" w:ascii="宋体" w:hAnsi="宋体"/>
                <w:szCs w:val="44"/>
              </w:rPr>
            </w:pPr>
          </w:p>
        </w:tc>
        <w:tc>
          <w:tcPr>
            <w:tcW w:w="978" w:type="dxa"/>
            <w:noWrap w:val="0"/>
            <w:vAlign w:val="center"/>
          </w:tcPr>
          <w:p w14:paraId="0E6B417E">
            <w:pPr>
              <w:jc w:val="center"/>
              <w:rPr>
                <w:rFonts w:hint="eastAsia" w:ascii="宋体" w:hAnsi="宋体"/>
                <w:szCs w:val="44"/>
              </w:rPr>
            </w:pPr>
          </w:p>
        </w:tc>
        <w:tc>
          <w:tcPr>
            <w:tcW w:w="977" w:type="dxa"/>
            <w:noWrap w:val="0"/>
            <w:vAlign w:val="center"/>
          </w:tcPr>
          <w:p w14:paraId="05C0C236">
            <w:pPr>
              <w:jc w:val="center"/>
              <w:rPr>
                <w:rFonts w:hint="eastAsia" w:ascii="宋体" w:hAnsi="宋体"/>
                <w:szCs w:val="44"/>
              </w:rPr>
            </w:pPr>
          </w:p>
        </w:tc>
        <w:tc>
          <w:tcPr>
            <w:tcW w:w="978" w:type="dxa"/>
            <w:noWrap w:val="0"/>
            <w:vAlign w:val="center"/>
          </w:tcPr>
          <w:p w14:paraId="5D6B1E78">
            <w:pPr>
              <w:jc w:val="center"/>
              <w:rPr>
                <w:rFonts w:hint="eastAsia" w:ascii="宋体" w:hAnsi="宋体"/>
                <w:szCs w:val="44"/>
              </w:rPr>
            </w:pPr>
          </w:p>
        </w:tc>
        <w:tc>
          <w:tcPr>
            <w:tcW w:w="978" w:type="dxa"/>
            <w:noWrap w:val="0"/>
            <w:vAlign w:val="center"/>
          </w:tcPr>
          <w:p w14:paraId="03DE2C17">
            <w:pPr>
              <w:jc w:val="center"/>
              <w:rPr>
                <w:rFonts w:hint="eastAsia" w:ascii="宋体" w:hAnsi="宋体"/>
                <w:szCs w:val="44"/>
              </w:rPr>
            </w:pPr>
          </w:p>
        </w:tc>
      </w:tr>
      <w:tr w14:paraId="79BCF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8" w:type="dxa"/>
            <w:noWrap w:val="0"/>
            <w:vAlign w:val="center"/>
          </w:tcPr>
          <w:p w14:paraId="407AE033">
            <w:pPr>
              <w:jc w:val="center"/>
              <w:rPr>
                <w:rFonts w:hint="eastAsia" w:ascii="黑体" w:hAnsi="宋体" w:eastAsia="黑体"/>
                <w:szCs w:val="44"/>
              </w:rPr>
            </w:pPr>
            <w:r>
              <w:rPr>
                <w:rFonts w:hint="eastAsia" w:ascii="黑体" w:hAnsi="宋体" w:eastAsia="黑体"/>
                <w:szCs w:val="44"/>
              </w:rPr>
              <w:t>8</w:t>
            </w:r>
          </w:p>
        </w:tc>
        <w:tc>
          <w:tcPr>
            <w:tcW w:w="1800" w:type="dxa"/>
            <w:noWrap w:val="0"/>
            <w:vAlign w:val="center"/>
          </w:tcPr>
          <w:p w14:paraId="4BF46838">
            <w:pPr>
              <w:spacing w:line="440" w:lineRule="exact"/>
              <w:rPr>
                <w:rFonts w:hint="eastAsia"/>
                <w:szCs w:val="21"/>
              </w:rPr>
            </w:pPr>
            <w:r>
              <w:rPr>
                <w:rFonts w:hint="eastAsia"/>
                <w:szCs w:val="21"/>
              </w:rPr>
              <w:t>“技术</w:t>
            </w:r>
            <w:r>
              <w:rPr>
                <w:rFonts w:ascii="宋体" w:hAnsi="宋体"/>
                <w:szCs w:val="21"/>
              </w:rPr>
              <w:t>暗标</w:t>
            </w:r>
            <w:r>
              <w:rPr>
                <w:rFonts w:hint="eastAsia" w:ascii="宋体" w:hAnsi="宋体"/>
                <w:szCs w:val="21"/>
              </w:rPr>
              <w:t>”</w:t>
            </w:r>
          </w:p>
        </w:tc>
        <w:tc>
          <w:tcPr>
            <w:tcW w:w="2700" w:type="dxa"/>
            <w:noWrap w:val="0"/>
            <w:vAlign w:val="center"/>
          </w:tcPr>
          <w:p w14:paraId="4EC8FECF">
            <w:pPr>
              <w:rPr>
                <w:rFonts w:hint="eastAsia"/>
              </w:rPr>
            </w:pPr>
            <w:r>
              <w:rPr>
                <w:rFonts w:hint="eastAsia"/>
              </w:rPr>
              <w:t>符合第二章“投标人须知”</w:t>
            </w:r>
            <w:r>
              <w:rPr>
                <w:rFonts w:hint="eastAsia"/>
                <w:szCs w:val="21"/>
              </w:rPr>
              <w:t xml:space="preserve"> 第</w:t>
            </w:r>
            <w:r>
              <w:rPr>
                <w:rFonts w:hint="eastAsia"/>
              </w:rPr>
              <w:t>3.7.4（5）</w:t>
            </w:r>
            <w:r>
              <w:rPr>
                <w:rFonts w:hint="eastAsia"/>
                <w:szCs w:val="21"/>
              </w:rPr>
              <w:t>目</w:t>
            </w:r>
            <w:r>
              <w:rPr>
                <w:rFonts w:hint="eastAsia"/>
              </w:rPr>
              <w:t>规定</w:t>
            </w:r>
          </w:p>
        </w:tc>
        <w:tc>
          <w:tcPr>
            <w:tcW w:w="797" w:type="dxa"/>
            <w:noWrap w:val="0"/>
            <w:vAlign w:val="center"/>
          </w:tcPr>
          <w:p w14:paraId="357BE028">
            <w:pPr>
              <w:jc w:val="center"/>
              <w:rPr>
                <w:rFonts w:hint="eastAsia" w:ascii="宋体" w:hAnsi="宋体"/>
                <w:szCs w:val="44"/>
              </w:rPr>
            </w:pPr>
          </w:p>
        </w:tc>
        <w:tc>
          <w:tcPr>
            <w:tcW w:w="978" w:type="dxa"/>
            <w:noWrap w:val="0"/>
            <w:vAlign w:val="center"/>
          </w:tcPr>
          <w:p w14:paraId="6527E922">
            <w:pPr>
              <w:jc w:val="center"/>
              <w:rPr>
                <w:rFonts w:hint="eastAsia" w:ascii="宋体" w:hAnsi="宋体"/>
                <w:szCs w:val="44"/>
              </w:rPr>
            </w:pPr>
          </w:p>
        </w:tc>
        <w:tc>
          <w:tcPr>
            <w:tcW w:w="978" w:type="dxa"/>
            <w:noWrap w:val="0"/>
            <w:vAlign w:val="center"/>
          </w:tcPr>
          <w:p w14:paraId="6DE68BC2">
            <w:pPr>
              <w:jc w:val="center"/>
              <w:rPr>
                <w:rFonts w:hint="eastAsia" w:ascii="宋体" w:hAnsi="宋体"/>
                <w:szCs w:val="44"/>
              </w:rPr>
            </w:pPr>
          </w:p>
        </w:tc>
        <w:tc>
          <w:tcPr>
            <w:tcW w:w="977" w:type="dxa"/>
            <w:noWrap w:val="0"/>
            <w:vAlign w:val="center"/>
          </w:tcPr>
          <w:p w14:paraId="68745933">
            <w:pPr>
              <w:jc w:val="center"/>
              <w:rPr>
                <w:rFonts w:hint="eastAsia" w:ascii="宋体" w:hAnsi="宋体"/>
                <w:szCs w:val="44"/>
              </w:rPr>
            </w:pPr>
          </w:p>
        </w:tc>
        <w:tc>
          <w:tcPr>
            <w:tcW w:w="978" w:type="dxa"/>
            <w:noWrap w:val="0"/>
            <w:vAlign w:val="center"/>
          </w:tcPr>
          <w:p w14:paraId="517A8731">
            <w:pPr>
              <w:jc w:val="center"/>
              <w:rPr>
                <w:rFonts w:hint="eastAsia" w:ascii="宋体" w:hAnsi="宋体"/>
                <w:szCs w:val="44"/>
              </w:rPr>
            </w:pPr>
          </w:p>
        </w:tc>
        <w:tc>
          <w:tcPr>
            <w:tcW w:w="978" w:type="dxa"/>
            <w:noWrap w:val="0"/>
            <w:vAlign w:val="center"/>
          </w:tcPr>
          <w:p w14:paraId="5D7AE604">
            <w:pPr>
              <w:jc w:val="center"/>
              <w:rPr>
                <w:rFonts w:hint="eastAsia" w:ascii="宋体" w:hAnsi="宋体"/>
                <w:szCs w:val="44"/>
              </w:rPr>
            </w:pPr>
          </w:p>
        </w:tc>
        <w:tc>
          <w:tcPr>
            <w:tcW w:w="977" w:type="dxa"/>
            <w:noWrap w:val="0"/>
            <w:vAlign w:val="center"/>
          </w:tcPr>
          <w:p w14:paraId="2FED6D57">
            <w:pPr>
              <w:jc w:val="center"/>
              <w:rPr>
                <w:rFonts w:hint="eastAsia" w:ascii="宋体" w:hAnsi="宋体"/>
                <w:szCs w:val="44"/>
              </w:rPr>
            </w:pPr>
          </w:p>
        </w:tc>
        <w:tc>
          <w:tcPr>
            <w:tcW w:w="978" w:type="dxa"/>
            <w:noWrap w:val="0"/>
            <w:vAlign w:val="center"/>
          </w:tcPr>
          <w:p w14:paraId="0D14F8A3">
            <w:pPr>
              <w:jc w:val="center"/>
              <w:rPr>
                <w:rFonts w:hint="eastAsia" w:ascii="宋体" w:hAnsi="宋体"/>
                <w:szCs w:val="44"/>
              </w:rPr>
            </w:pPr>
          </w:p>
        </w:tc>
        <w:tc>
          <w:tcPr>
            <w:tcW w:w="978" w:type="dxa"/>
            <w:noWrap w:val="0"/>
            <w:vAlign w:val="center"/>
          </w:tcPr>
          <w:p w14:paraId="56C8AA7C">
            <w:pPr>
              <w:jc w:val="center"/>
              <w:rPr>
                <w:rFonts w:hint="eastAsia" w:ascii="宋体" w:hAnsi="宋体"/>
                <w:szCs w:val="44"/>
              </w:rPr>
            </w:pPr>
          </w:p>
        </w:tc>
      </w:tr>
      <w:tr w14:paraId="74E3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48" w:type="dxa"/>
            <w:gridSpan w:val="3"/>
            <w:noWrap w:val="0"/>
            <w:vAlign w:val="center"/>
          </w:tcPr>
          <w:p w14:paraId="11A831DA">
            <w:pPr>
              <w:rPr>
                <w:rFonts w:hint="eastAsia" w:ascii="宋体" w:hAnsi="宋体"/>
                <w:szCs w:val="21"/>
              </w:rPr>
            </w:pPr>
            <w:r>
              <w:rPr>
                <w:rFonts w:ascii="宋体" w:hAnsi="宋体"/>
                <w:szCs w:val="21"/>
              </w:rPr>
              <w:t>形式评审结论：通过形式评审标注为√；未通过形式评审标注为×</w:t>
            </w:r>
          </w:p>
        </w:tc>
        <w:tc>
          <w:tcPr>
            <w:tcW w:w="797" w:type="dxa"/>
            <w:noWrap w:val="0"/>
            <w:vAlign w:val="center"/>
          </w:tcPr>
          <w:p w14:paraId="0AAA1745">
            <w:pPr>
              <w:jc w:val="center"/>
              <w:rPr>
                <w:rFonts w:hint="eastAsia" w:ascii="宋体" w:hAnsi="宋体"/>
                <w:szCs w:val="44"/>
              </w:rPr>
            </w:pPr>
          </w:p>
        </w:tc>
        <w:tc>
          <w:tcPr>
            <w:tcW w:w="978" w:type="dxa"/>
            <w:noWrap w:val="0"/>
            <w:vAlign w:val="center"/>
          </w:tcPr>
          <w:p w14:paraId="470D14A8">
            <w:pPr>
              <w:jc w:val="center"/>
              <w:rPr>
                <w:rFonts w:hint="eastAsia" w:ascii="宋体" w:hAnsi="宋体"/>
                <w:szCs w:val="44"/>
              </w:rPr>
            </w:pPr>
          </w:p>
        </w:tc>
        <w:tc>
          <w:tcPr>
            <w:tcW w:w="978" w:type="dxa"/>
            <w:noWrap w:val="0"/>
            <w:vAlign w:val="center"/>
          </w:tcPr>
          <w:p w14:paraId="3F80E8F0">
            <w:pPr>
              <w:jc w:val="center"/>
              <w:rPr>
                <w:rFonts w:hint="eastAsia" w:ascii="宋体" w:hAnsi="宋体"/>
                <w:szCs w:val="44"/>
              </w:rPr>
            </w:pPr>
          </w:p>
        </w:tc>
        <w:tc>
          <w:tcPr>
            <w:tcW w:w="977" w:type="dxa"/>
            <w:noWrap w:val="0"/>
            <w:vAlign w:val="center"/>
          </w:tcPr>
          <w:p w14:paraId="5A45C8F8">
            <w:pPr>
              <w:jc w:val="center"/>
              <w:rPr>
                <w:rFonts w:hint="eastAsia" w:ascii="宋体" w:hAnsi="宋体"/>
                <w:szCs w:val="44"/>
              </w:rPr>
            </w:pPr>
          </w:p>
        </w:tc>
        <w:tc>
          <w:tcPr>
            <w:tcW w:w="978" w:type="dxa"/>
            <w:noWrap w:val="0"/>
            <w:vAlign w:val="center"/>
          </w:tcPr>
          <w:p w14:paraId="2A5C8004">
            <w:pPr>
              <w:jc w:val="center"/>
              <w:rPr>
                <w:rFonts w:hint="eastAsia" w:ascii="宋体" w:hAnsi="宋体"/>
                <w:szCs w:val="44"/>
              </w:rPr>
            </w:pPr>
          </w:p>
        </w:tc>
        <w:tc>
          <w:tcPr>
            <w:tcW w:w="978" w:type="dxa"/>
            <w:noWrap w:val="0"/>
            <w:vAlign w:val="center"/>
          </w:tcPr>
          <w:p w14:paraId="15AD62A8">
            <w:pPr>
              <w:jc w:val="center"/>
              <w:rPr>
                <w:rFonts w:hint="eastAsia" w:ascii="宋体" w:hAnsi="宋体"/>
                <w:szCs w:val="44"/>
              </w:rPr>
            </w:pPr>
          </w:p>
        </w:tc>
        <w:tc>
          <w:tcPr>
            <w:tcW w:w="977" w:type="dxa"/>
            <w:noWrap w:val="0"/>
            <w:vAlign w:val="center"/>
          </w:tcPr>
          <w:p w14:paraId="06338ADA">
            <w:pPr>
              <w:jc w:val="center"/>
              <w:rPr>
                <w:rFonts w:hint="eastAsia" w:ascii="宋体" w:hAnsi="宋体"/>
                <w:szCs w:val="44"/>
              </w:rPr>
            </w:pPr>
          </w:p>
        </w:tc>
        <w:tc>
          <w:tcPr>
            <w:tcW w:w="978" w:type="dxa"/>
            <w:noWrap w:val="0"/>
            <w:vAlign w:val="center"/>
          </w:tcPr>
          <w:p w14:paraId="6D6369DA">
            <w:pPr>
              <w:jc w:val="center"/>
              <w:rPr>
                <w:rFonts w:hint="eastAsia" w:ascii="宋体" w:hAnsi="宋体"/>
                <w:szCs w:val="44"/>
              </w:rPr>
            </w:pPr>
          </w:p>
        </w:tc>
        <w:tc>
          <w:tcPr>
            <w:tcW w:w="978" w:type="dxa"/>
            <w:noWrap w:val="0"/>
            <w:vAlign w:val="center"/>
          </w:tcPr>
          <w:p w14:paraId="317BCA83">
            <w:pPr>
              <w:jc w:val="center"/>
              <w:rPr>
                <w:rFonts w:hint="eastAsia" w:ascii="宋体" w:hAnsi="宋体"/>
                <w:szCs w:val="44"/>
              </w:rPr>
            </w:pPr>
          </w:p>
        </w:tc>
      </w:tr>
    </w:tbl>
    <w:p w14:paraId="23CCD53F">
      <w:pPr>
        <w:rPr>
          <w:rFonts w:hint="eastAsia" w:ascii="宋体" w:hAnsi="宋体"/>
          <w:szCs w:val="44"/>
        </w:rPr>
      </w:pPr>
    </w:p>
    <w:p w14:paraId="4463CB58">
      <w:pPr>
        <w:rPr>
          <w:rFonts w:hint="eastAsia" w:ascii="宋体" w:hAnsi="宋体"/>
          <w:szCs w:val="44"/>
        </w:rPr>
      </w:pPr>
      <w:r>
        <w:rPr>
          <w:rFonts w:hint="eastAsia" w:ascii="宋体" w:hAnsi="宋体"/>
          <w:szCs w:val="44"/>
        </w:rPr>
        <w:t>评标委员会全体成员签名：                                                                                日期：    年    月    日</w:t>
      </w:r>
    </w:p>
    <w:p w14:paraId="40E77653">
      <w:pPr>
        <w:rPr>
          <w:rFonts w:hint="eastAsia" w:ascii="宋体" w:hAnsi="宋体"/>
          <w:szCs w:val="44"/>
        </w:rPr>
      </w:pPr>
    </w:p>
    <w:p w14:paraId="76F32239">
      <w:pPr>
        <w:rPr>
          <w:rFonts w:hint="eastAsia" w:ascii="宋体" w:hAnsi="宋体"/>
          <w:szCs w:val="44"/>
        </w:rPr>
      </w:pPr>
    </w:p>
    <w:p w14:paraId="70460AFD">
      <w:pPr>
        <w:rPr>
          <w:rFonts w:hint="eastAsia" w:ascii="宋体" w:hAnsi="宋体"/>
          <w:szCs w:val="44"/>
        </w:rPr>
      </w:pPr>
    </w:p>
    <w:p w14:paraId="2BAA3D8C">
      <w:pPr>
        <w:rPr>
          <w:rFonts w:hint="eastAsia" w:ascii="宋体" w:hAnsi="宋体"/>
          <w:szCs w:val="44"/>
        </w:rPr>
      </w:pPr>
    </w:p>
    <w:p w14:paraId="32C03F28">
      <w:pPr>
        <w:rPr>
          <w:rFonts w:hint="eastAsia" w:ascii="宋体" w:hAnsi="宋体"/>
          <w:szCs w:val="44"/>
        </w:rPr>
      </w:pPr>
    </w:p>
    <w:p w14:paraId="05F48A7E">
      <w:pPr>
        <w:rPr>
          <w:rFonts w:hint="eastAsia" w:ascii="宋体" w:hAnsi="宋体"/>
          <w:szCs w:val="44"/>
        </w:rPr>
      </w:pPr>
    </w:p>
    <w:p w14:paraId="126594E3">
      <w:pPr>
        <w:rPr>
          <w:rFonts w:hint="eastAsia" w:ascii="宋体" w:hAnsi="宋体"/>
          <w:szCs w:val="44"/>
        </w:rPr>
      </w:pPr>
    </w:p>
    <w:p w14:paraId="2F94DA0E">
      <w:pPr>
        <w:rPr>
          <w:rFonts w:hint="eastAsia" w:ascii="宋体" w:hAnsi="宋体"/>
          <w:szCs w:val="44"/>
        </w:rPr>
      </w:pPr>
    </w:p>
    <w:p w14:paraId="6D4B03A6">
      <w:pPr>
        <w:rPr>
          <w:rFonts w:hint="eastAsia" w:ascii="宋体" w:hAnsi="宋体"/>
          <w:szCs w:val="44"/>
        </w:rPr>
      </w:pPr>
    </w:p>
    <w:p w14:paraId="19A351A7">
      <w:pPr>
        <w:rPr>
          <w:rFonts w:hint="eastAsia" w:ascii="宋体" w:hAnsi="宋体"/>
          <w:szCs w:val="44"/>
        </w:rPr>
      </w:pPr>
    </w:p>
    <w:p w14:paraId="1AF190A6">
      <w:pPr>
        <w:rPr>
          <w:rFonts w:hint="eastAsia" w:ascii="宋体" w:hAnsi="宋体"/>
          <w:szCs w:val="44"/>
        </w:rPr>
      </w:pPr>
    </w:p>
    <w:p w14:paraId="3338BA7E">
      <w:pPr>
        <w:rPr>
          <w:rFonts w:hint="eastAsia" w:ascii="宋体" w:hAnsi="宋体"/>
          <w:szCs w:val="44"/>
        </w:rPr>
      </w:pPr>
    </w:p>
    <w:p w14:paraId="3FBC15CF">
      <w:pPr>
        <w:rPr>
          <w:rFonts w:hint="eastAsia" w:ascii="宋体" w:hAnsi="宋体"/>
          <w:szCs w:val="44"/>
        </w:rPr>
      </w:pPr>
    </w:p>
    <w:p w14:paraId="43A808E3">
      <w:pPr>
        <w:rPr>
          <w:rFonts w:hint="eastAsia" w:ascii="宋体" w:hAnsi="宋体"/>
          <w:szCs w:val="44"/>
        </w:rPr>
      </w:pPr>
    </w:p>
    <w:p w14:paraId="02E773A2">
      <w:pPr>
        <w:rPr>
          <w:rFonts w:hint="eastAsia" w:ascii="宋体" w:hAnsi="宋体"/>
          <w:szCs w:val="44"/>
        </w:rPr>
      </w:pPr>
    </w:p>
    <w:p w14:paraId="664CF798">
      <w:pPr>
        <w:rPr>
          <w:rFonts w:hint="eastAsia" w:ascii="宋体" w:hAnsi="宋体"/>
          <w:szCs w:val="44"/>
        </w:rPr>
      </w:pPr>
    </w:p>
    <w:p w14:paraId="4E7C9519">
      <w:pPr>
        <w:rPr>
          <w:rFonts w:hint="eastAsia" w:ascii="宋体" w:hAnsi="宋体"/>
          <w:szCs w:val="44"/>
        </w:rPr>
      </w:pPr>
    </w:p>
    <w:p w14:paraId="43D6F533">
      <w:pPr>
        <w:rPr>
          <w:rFonts w:hint="eastAsia" w:ascii="宋体" w:hAnsi="宋体"/>
          <w:szCs w:val="44"/>
        </w:rPr>
      </w:pPr>
    </w:p>
    <w:p w14:paraId="68254873">
      <w:pPr>
        <w:rPr>
          <w:rFonts w:hint="eastAsia" w:ascii="宋体" w:hAnsi="宋体"/>
          <w:szCs w:val="44"/>
        </w:rPr>
      </w:pPr>
    </w:p>
    <w:p w14:paraId="548774DF">
      <w:pPr>
        <w:pStyle w:val="20"/>
        <w:rPr>
          <w:rFonts w:hint="eastAsia" w:ascii="黑体" w:hAnsi="宋体"/>
        </w:rPr>
      </w:pPr>
      <w:bookmarkStart w:id="430" w:name="_Toc108513657"/>
      <w:r>
        <w:rPr>
          <w:rFonts w:hint="eastAsia"/>
        </w:rPr>
        <w:t>附表A-5：资格评审记录表</w:t>
      </w:r>
      <w:bookmarkEnd w:id="430"/>
    </w:p>
    <w:p w14:paraId="6543B51B">
      <w:pPr>
        <w:spacing w:after="240" w:afterLines="100"/>
        <w:jc w:val="center"/>
        <w:rPr>
          <w:rFonts w:hint="eastAsia" w:ascii="黑体" w:hAnsi="宋体" w:eastAsia="黑体"/>
          <w:sz w:val="28"/>
          <w:szCs w:val="28"/>
        </w:rPr>
      </w:pPr>
      <w:r>
        <w:rPr>
          <w:rFonts w:hint="eastAsia" w:ascii="黑体" w:hAnsi="宋体" w:eastAsia="黑体"/>
          <w:sz w:val="28"/>
          <w:szCs w:val="28"/>
        </w:rPr>
        <w:t>资格评审记录表</w:t>
      </w:r>
    </w:p>
    <w:p w14:paraId="515A8F12">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p w14:paraId="71BB2413">
      <w:pPr>
        <w:spacing w:after="240" w:afterLines="100"/>
        <w:rPr>
          <w:rFonts w:hint="eastAsia" w:ascii="宋体" w:hAnsi="宋体"/>
          <w:szCs w:val="44"/>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542"/>
        <w:gridCol w:w="2004"/>
        <w:gridCol w:w="2349"/>
        <w:gridCol w:w="815"/>
        <w:gridCol w:w="818"/>
        <w:gridCol w:w="818"/>
        <w:gridCol w:w="818"/>
        <w:gridCol w:w="815"/>
        <w:gridCol w:w="818"/>
        <w:gridCol w:w="818"/>
        <w:gridCol w:w="818"/>
        <w:gridCol w:w="812"/>
      </w:tblGrid>
      <w:tr w14:paraId="0B73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90" w:type="pct"/>
            <w:vMerge w:val="restart"/>
            <w:noWrap w:val="0"/>
            <w:vAlign w:val="center"/>
          </w:tcPr>
          <w:p w14:paraId="765B9323">
            <w:pPr>
              <w:jc w:val="center"/>
              <w:rPr>
                <w:rFonts w:hint="eastAsia" w:ascii="宋体" w:hAnsi="宋体"/>
                <w:szCs w:val="44"/>
              </w:rPr>
            </w:pPr>
            <w:r>
              <w:rPr>
                <w:rFonts w:hint="eastAsia" w:ascii="宋体" w:hAnsi="宋体"/>
                <w:szCs w:val="44"/>
              </w:rPr>
              <w:t>序号</w:t>
            </w:r>
          </w:p>
        </w:tc>
        <w:tc>
          <w:tcPr>
            <w:tcW w:w="560" w:type="pct"/>
            <w:vMerge w:val="restart"/>
            <w:noWrap w:val="0"/>
            <w:vAlign w:val="center"/>
          </w:tcPr>
          <w:p w14:paraId="412F640D">
            <w:pPr>
              <w:jc w:val="center"/>
              <w:rPr>
                <w:rFonts w:hint="eastAsia" w:ascii="宋体" w:hAnsi="宋体"/>
                <w:szCs w:val="44"/>
              </w:rPr>
            </w:pPr>
            <w:r>
              <w:rPr>
                <w:rFonts w:hint="eastAsia" w:ascii="宋体" w:hAnsi="宋体"/>
                <w:szCs w:val="44"/>
              </w:rPr>
              <w:t>评审因素</w:t>
            </w:r>
          </w:p>
        </w:tc>
        <w:tc>
          <w:tcPr>
            <w:tcW w:w="728" w:type="pct"/>
            <w:vMerge w:val="restart"/>
            <w:noWrap w:val="0"/>
            <w:vAlign w:val="center"/>
          </w:tcPr>
          <w:p w14:paraId="57ABC1C7">
            <w:pPr>
              <w:jc w:val="center"/>
              <w:rPr>
                <w:rFonts w:hint="eastAsia" w:ascii="宋体" w:hAnsi="宋体"/>
                <w:szCs w:val="44"/>
              </w:rPr>
            </w:pPr>
            <w:r>
              <w:rPr>
                <w:rFonts w:hint="eastAsia" w:ascii="宋体" w:hAnsi="宋体"/>
                <w:szCs w:val="44"/>
              </w:rPr>
              <w:t>评审标准</w:t>
            </w:r>
          </w:p>
        </w:tc>
        <w:tc>
          <w:tcPr>
            <w:tcW w:w="853" w:type="pct"/>
            <w:vMerge w:val="restart"/>
            <w:noWrap w:val="0"/>
            <w:vAlign w:val="center"/>
          </w:tcPr>
          <w:p w14:paraId="1423C3B7">
            <w:pPr>
              <w:autoSpaceDE w:val="0"/>
              <w:autoSpaceDN w:val="0"/>
              <w:adjustRightInd w:val="0"/>
              <w:snapToGrid w:val="0"/>
              <w:jc w:val="center"/>
              <w:rPr>
                <w:rFonts w:hint="eastAsia"/>
                <w:kern w:val="0"/>
                <w:sz w:val="24"/>
              </w:rPr>
            </w:pPr>
            <w:r>
              <w:rPr>
                <w:rFonts w:ascii="宋体" w:hAnsi="宋体"/>
                <w:szCs w:val="44"/>
              </w:rPr>
              <w:t>有效的证明材料</w:t>
            </w:r>
          </w:p>
        </w:tc>
        <w:tc>
          <w:tcPr>
            <w:tcW w:w="2669" w:type="pct"/>
            <w:gridSpan w:val="9"/>
            <w:noWrap w:val="0"/>
            <w:vAlign w:val="center"/>
          </w:tcPr>
          <w:p w14:paraId="52BBF6CE">
            <w:pPr>
              <w:jc w:val="center"/>
              <w:rPr>
                <w:rFonts w:hint="eastAsia" w:ascii="宋体" w:hAnsi="宋体"/>
                <w:szCs w:val="44"/>
              </w:rPr>
            </w:pPr>
            <w:r>
              <w:rPr>
                <w:rFonts w:hint="eastAsia" w:ascii="宋体" w:hAnsi="宋体"/>
                <w:szCs w:val="44"/>
              </w:rPr>
              <w:t>投标人名称及评审意见</w:t>
            </w:r>
          </w:p>
        </w:tc>
      </w:tr>
      <w:tr w14:paraId="6FFA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90" w:type="pct"/>
            <w:vMerge w:val="continue"/>
            <w:noWrap w:val="0"/>
            <w:vAlign w:val="center"/>
          </w:tcPr>
          <w:p w14:paraId="1190F106">
            <w:pPr>
              <w:jc w:val="center"/>
              <w:rPr>
                <w:rFonts w:hint="eastAsia" w:ascii="宋体" w:hAnsi="宋体"/>
                <w:szCs w:val="44"/>
              </w:rPr>
            </w:pPr>
          </w:p>
        </w:tc>
        <w:tc>
          <w:tcPr>
            <w:tcW w:w="560" w:type="pct"/>
            <w:vMerge w:val="continue"/>
            <w:noWrap w:val="0"/>
            <w:vAlign w:val="center"/>
          </w:tcPr>
          <w:p w14:paraId="7C826FD5">
            <w:pPr>
              <w:jc w:val="center"/>
              <w:rPr>
                <w:rFonts w:hint="eastAsia" w:ascii="宋体" w:hAnsi="宋体"/>
                <w:szCs w:val="44"/>
              </w:rPr>
            </w:pPr>
          </w:p>
        </w:tc>
        <w:tc>
          <w:tcPr>
            <w:tcW w:w="728" w:type="pct"/>
            <w:vMerge w:val="continue"/>
            <w:noWrap w:val="0"/>
            <w:vAlign w:val="center"/>
          </w:tcPr>
          <w:p w14:paraId="3A117D71">
            <w:pPr>
              <w:rPr>
                <w:rFonts w:hint="eastAsia" w:ascii="宋体" w:hAnsi="宋体"/>
                <w:szCs w:val="44"/>
              </w:rPr>
            </w:pPr>
          </w:p>
        </w:tc>
        <w:tc>
          <w:tcPr>
            <w:tcW w:w="853" w:type="pct"/>
            <w:vMerge w:val="continue"/>
            <w:noWrap w:val="0"/>
            <w:vAlign w:val="top"/>
          </w:tcPr>
          <w:p w14:paraId="4CDE28F4">
            <w:pPr>
              <w:jc w:val="center"/>
              <w:rPr>
                <w:rFonts w:hint="eastAsia" w:ascii="宋体" w:hAnsi="宋体"/>
                <w:szCs w:val="44"/>
              </w:rPr>
            </w:pPr>
          </w:p>
        </w:tc>
        <w:tc>
          <w:tcPr>
            <w:tcW w:w="296" w:type="pct"/>
            <w:noWrap w:val="0"/>
            <w:vAlign w:val="center"/>
          </w:tcPr>
          <w:p w14:paraId="67F05FEE">
            <w:pPr>
              <w:jc w:val="center"/>
              <w:rPr>
                <w:rFonts w:hint="eastAsia" w:ascii="宋体" w:hAnsi="宋体"/>
                <w:szCs w:val="44"/>
              </w:rPr>
            </w:pPr>
          </w:p>
        </w:tc>
        <w:tc>
          <w:tcPr>
            <w:tcW w:w="297" w:type="pct"/>
            <w:noWrap w:val="0"/>
            <w:vAlign w:val="center"/>
          </w:tcPr>
          <w:p w14:paraId="1773DCCB">
            <w:pPr>
              <w:jc w:val="center"/>
              <w:rPr>
                <w:rFonts w:hint="eastAsia" w:ascii="宋体" w:hAnsi="宋体"/>
                <w:szCs w:val="44"/>
              </w:rPr>
            </w:pPr>
          </w:p>
        </w:tc>
        <w:tc>
          <w:tcPr>
            <w:tcW w:w="297" w:type="pct"/>
            <w:noWrap w:val="0"/>
            <w:vAlign w:val="center"/>
          </w:tcPr>
          <w:p w14:paraId="3EC458AC">
            <w:pPr>
              <w:jc w:val="center"/>
              <w:rPr>
                <w:rFonts w:hint="eastAsia" w:ascii="宋体" w:hAnsi="宋体"/>
                <w:szCs w:val="44"/>
              </w:rPr>
            </w:pPr>
          </w:p>
        </w:tc>
        <w:tc>
          <w:tcPr>
            <w:tcW w:w="297" w:type="pct"/>
            <w:noWrap w:val="0"/>
            <w:vAlign w:val="center"/>
          </w:tcPr>
          <w:p w14:paraId="0375938A">
            <w:pPr>
              <w:jc w:val="center"/>
              <w:rPr>
                <w:rFonts w:hint="eastAsia" w:ascii="宋体" w:hAnsi="宋体"/>
                <w:szCs w:val="44"/>
              </w:rPr>
            </w:pPr>
          </w:p>
        </w:tc>
        <w:tc>
          <w:tcPr>
            <w:tcW w:w="296" w:type="pct"/>
            <w:noWrap w:val="0"/>
            <w:vAlign w:val="center"/>
          </w:tcPr>
          <w:p w14:paraId="05025C2A">
            <w:pPr>
              <w:jc w:val="center"/>
              <w:rPr>
                <w:rFonts w:hint="eastAsia" w:ascii="宋体" w:hAnsi="宋体"/>
                <w:szCs w:val="44"/>
              </w:rPr>
            </w:pPr>
          </w:p>
        </w:tc>
        <w:tc>
          <w:tcPr>
            <w:tcW w:w="297" w:type="pct"/>
            <w:noWrap w:val="0"/>
            <w:vAlign w:val="center"/>
          </w:tcPr>
          <w:p w14:paraId="37AE0FB2">
            <w:pPr>
              <w:jc w:val="center"/>
              <w:rPr>
                <w:rFonts w:hint="eastAsia" w:ascii="宋体" w:hAnsi="宋体"/>
                <w:szCs w:val="44"/>
              </w:rPr>
            </w:pPr>
          </w:p>
        </w:tc>
        <w:tc>
          <w:tcPr>
            <w:tcW w:w="297" w:type="pct"/>
            <w:noWrap w:val="0"/>
            <w:vAlign w:val="center"/>
          </w:tcPr>
          <w:p w14:paraId="3CDACA8C">
            <w:pPr>
              <w:jc w:val="center"/>
              <w:rPr>
                <w:rFonts w:hint="eastAsia" w:ascii="宋体" w:hAnsi="宋体"/>
                <w:szCs w:val="44"/>
              </w:rPr>
            </w:pPr>
          </w:p>
        </w:tc>
        <w:tc>
          <w:tcPr>
            <w:tcW w:w="297" w:type="pct"/>
            <w:noWrap w:val="0"/>
            <w:vAlign w:val="center"/>
          </w:tcPr>
          <w:p w14:paraId="710637A7">
            <w:pPr>
              <w:jc w:val="center"/>
              <w:rPr>
                <w:rFonts w:hint="eastAsia" w:ascii="宋体" w:hAnsi="宋体"/>
                <w:szCs w:val="44"/>
              </w:rPr>
            </w:pPr>
          </w:p>
        </w:tc>
        <w:tc>
          <w:tcPr>
            <w:tcW w:w="295" w:type="pct"/>
            <w:noWrap w:val="0"/>
            <w:vAlign w:val="center"/>
          </w:tcPr>
          <w:p w14:paraId="5F31C108">
            <w:pPr>
              <w:jc w:val="center"/>
              <w:rPr>
                <w:rFonts w:hint="eastAsia" w:ascii="宋体" w:hAnsi="宋体"/>
                <w:szCs w:val="44"/>
              </w:rPr>
            </w:pPr>
          </w:p>
        </w:tc>
      </w:tr>
      <w:tr w14:paraId="2762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5462B312">
            <w:pPr>
              <w:jc w:val="center"/>
              <w:rPr>
                <w:rFonts w:hint="eastAsia" w:ascii="黑体" w:hAnsi="宋体" w:eastAsia="黑体"/>
                <w:szCs w:val="44"/>
              </w:rPr>
            </w:pPr>
            <w:r>
              <w:rPr>
                <w:rFonts w:hint="eastAsia" w:ascii="黑体" w:hAnsi="宋体" w:eastAsia="黑体"/>
                <w:szCs w:val="44"/>
              </w:rPr>
              <w:t>1</w:t>
            </w:r>
          </w:p>
        </w:tc>
        <w:tc>
          <w:tcPr>
            <w:tcW w:w="560" w:type="pct"/>
            <w:noWrap w:val="0"/>
            <w:vAlign w:val="center"/>
          </w:tcPr>
          <w:p w14:paraId="0B4E46F9">
            <w:pPr>
              <w:jc w:val="center"/>
              <w:rPr>
                <w:rFonts w:hint="eastAsia" w:ascii="宋体" w:hAnsi="宋体"/>
                <w:szCs w:val="44"/>
              </w:rPr>
            </w:pPr>
            <w:r>
              <w:rPr>
                <w:rFonts w:hint="eastAsia" w:ascii="宋体" w:hAnsi="宋体"/>
                <w:szCs w:val="44"/>
              </w:rPr>
              <w:t>营业执照</w:t>
            </w:r>
          </w:p>
        </w:tc>
        <w:tc>
          <w:tcPr>
            <w:tcW w:w="728" w:type="pct"/>
            <w:noWrap w:val="0"/>
            <w:vAlign w:val="center"/>
          </w:tcPr>
          <w:p w14:paraId="14B71E8D">
            <w:pPr>
              <w:rPr>
                <w:rFonts w:hint="eastAsia" w:ascii="宋体" w:hAnsi="宋体"/>
                <w:szCs w:val="44"/>
              </w:rPr>
            </w:pPr>
            <w:r>
              <w:rPr>
                <w:rFonts w:ascii="宋体" w:hAnsi="宋体"/>
                <w:szCs w:val="44"/>
              </w:rPr>
              <w:t>具备有效的营业执照</w:t>
            </w:r>
          </w:p>
        </w:tc>
        <w:tc>
          <w:tcPr>
            <w:tcW w:w="853" w:type="pct"/>
            <w:noWrap w:val="0"/>
            <w:vAlign w:val="top"/>
          </w:tcPr>
          <w:p w14:paraId="4D2A89FF">
            <w:pPr>
              <w:rPr>
                <w:rFonts w:hint="eastAsia" w:ascii="宋体" w:hAnsi="宋体"/>
                <w:szCs w:val="44"/>
              </w:rPr>
            </w:pPr>
            <w:r>
              <w:rPr>
                <w:rFonts w:ascii="宋体" w:hAnsi="宋体"/>
                <w:szCs w:val="44"/>
              </w:rPr>
              <w:t>营业执照扫描件</w:t>
            </w:r>
          </w:p>
        </w:tc>
        <w:tc>
          <w:tcPr>
            <w:tcW w:w="296" w:type="pct"/>
            <w:noWrap w:val="0"/>
            <w:vAlign w:val="center"/>
          </w:tcPr>
          <w:p w14:paraId="5D947960">
            <w:pPr>
              <w:jc w:val="center"/>
              <w:rPr>
                <w:rFonts w:hint="eastAsia" w:ascii="宋体" w:hAnsi="宋体"/>
                <w:szCs w:val="44"/>
              </w:rPr>
            </w:pPr>
          </w:p>
        </w:tc>
        <w:tc>
          <w:tcPr>
            <w:tcW w:w="297" w:type="pct"/>
            <w:noWrap w:val="0"/>
            <w:vAlign w:val="center"/>
          </w:tcPr>
          <w:p w14:paraId="1D25CB80">
            <w:pPr>
              <w:jc w:val="center"/>
              <w:rPr>
                <w:rFonts w:hint="eastAsia" w:ascii="宋体" w:hAnsi="宋体"/>
                <w:szCs w:val="44"/>
              </w:rPr>
            </w:pPr>
          </w:p>
        </w:tc>
        <w:tc>
          <w:tcPr>
            <w:tcW w:w="297" w:type="pct"/>
            <w:noWrap w:val="0"/>
            <w:vAlign w:val="center"/>
          </w:tcPr>
          <w:p w14:paraId="010379FC">
            <w:pPr>
              <w:jc w:val="center"/>
              <w:rPr>
                <w:rFonts w:hint="eastAsia" w:ascii="宋体" w:hAnsi="宋体"/>
                <w:szCs w:val="44"/>
              </w:rPr>
            </w:pPr>
          </w:p>
        </w:tc>
        <w:tc>
          <w:tcPr>
            <w:tcW w:w="297" w:type="pct"/>
            <w:noWrap w:val="0"/>
            <w:vAlign w:val="center"/>
          </w:tcPr>
          <w:p w14:paraId="50B2A635">
            <w:pPr>
              <w:jc w:val="center"/>
              <w:rPr>
                <w:rFonts w:hint="eastAsia" w:ascii="宋体" w:hAnsi="宋体"/>
                <w:szCs w:val="44"/>
              </w:rPr>
            </w:pPr>
          </w:p>
        </w:tc>
        <w:tc>
          <w:tcPr>
            <w:tcW w:w="296" w:type="pct"/>
            <w:noWrap w:val="0"/>
            <w:vAlign w:val="center"/>
          </w:tcPr>
          <w:p w14:paraId="01DE82C1">
            <w:pPr>
              <w:jc w:val="center"/>
              <w:rPr>
                <w:rFonts w:hint="eastAsia" w:ascii="宋体" w:hAnsi="宋体"/>
                <w:szCs w:val="44"/>
              </w:rPr>
            </w:pPr>
          </w:p>
        </w:tc>
        <w:tc>
          <w:tcPr>
            <w:tcW w:w="297" w:type="pct"/>
            <w:noWrap w:val="0"/>
            <w:vAlign w:val="center"/>
          </w:tcPr>
          <w:p w14:paraId="0B5FD8A2">
            <w:pPr>
              <w:jc w:val="center"/>
              <w:rPr>
                <w:rFonts w:hint="eastAsia" w:ascii="宋体" w:hAnsi="宋体"/>
                <w:szCs w:val="44"/>
              </w:rPr>
            </w:pPr>
          </w:p>
        </w:tc>
        <w:tc>
          <w:tcPr>
            <w:tcW w:w="297" w:type="pct"/>
            <w:noWrap w:val="0"/>
            <w:vAlign w:val="center"/>
          </w:tcPr>
          <w:p w14:paraId="719BF3C1">
            <w:pPr>
              <w:jc w:val="center"/>
              <w:rPr>
                <w:rFonts w:hint="eastAsia" w:ascii="宋体" w:hAnsi="宋体"/>
                <w:szCs w:val="44"/>
              </w:rPr>
            </w:pPr>
          </w:p>
        </w:tc>
        <w:tc>
          <w:tcPr>
            <w:tcW w:w="297" w:type="pct"/>
            <w:noWrap w:val="0"/>
            <w:vAlign w:val="center"/>
          </w:tcPr>
          <w:p w14:paraId="287DCAD7">
            <w:pPr>
              <w:jc w:val="center"/>
              <w:rPr>
                <w:rFonts w:hint="eastAsia" w:ascii="宋体" w:hAnsi="宋体"/>
                <w:szCs w:val="44"/>
              </w:rPr>
            </w:pPr>
          </w:p>
        </w:tc>
        <w:tc>
          <w:tcPr>
            <w:tcW w:w="295" w:type="pct"/>
            <w:noWrap w:val="0"/>
            <w:vAlign w:val="center"/>
          </w:tcPr>
          <w:p w14:paraId="259CBF27">
            <w:pPr>
              <w:jc w:val="center"/>
              <w:rPr>
                <w:rFonts w:hint="eastAsia" w:ascii="宋体" w:hAnsi="宋体"/>
                <w:szCs w:val="44"/>
              </w:rPr>
            </w:pPr>
          </w:p>
        </w:tc>
      </w:tr>
      <w:tr w14:paraId="37EC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1CD2E276">
            <w:pPr>
              <w:jc w:val="center"/>
              <w:rPr>
                <w:rFonts w:hint="eastAsia" w:ascii="黑体" w:hAnsi="宋体" w:eastAsia="黑体"/>
                <w:szCs w:val="44"/>
              </w:rPr>
            </w:pPr>
            <w:r>
              <w:rPr>
                <w:rFonts w:hint="eastAsia" w:ascii="黑体" w:hAnsi="宋体" w:eastAsia="黑体"/>
                <w:szCs w:val="44"/>
              </w:rPr>
              <w:t>2</w:t>
            </w:r>
          </w:p>
        </w:tc>
        <w:tc>
          <w:tcPr>
            <w:tcW w:w="560" w:type="pct"/>
            <w:noWrap w:val="0"/>
            <w:vAlign w:val="center"/>
          </w:tcPr>
          <w:p w14:paraId="47A37F72">
            <w:pPr>
              <w:jc w:val="center"/>
              <w:rPr>
                <w:rFonts w:hint="eastAsia" w:ascii="宋体" w:hAnsi="宋体"/>
                <w:szCs w:val="44"/>
              </w:rPr>
            </w:pPr>
            <w:r>
              <w:rPr>
                <w:rFonts w:hint="eastAsia" w:ascii="宋体" w:hAnsi="宋体"/>
                <w:szCs w:val="44"/>
              </w:rPr>
              <w:t>安全生产</w:t>
            </w:r>
          </w:p>
          <w:p w14:paraId="214BC45E">
            <w:pPr>
              <w:jc w:val="center"/>
              <w:rPr>
                <w:rFonts w:hint="eastAsia" w:ascii="宋体" w:hAnsi="宋体"/>
                <w:szCs w:val="44"/>
              </w:rPr>
            </w:pPr>
            <w:r>
              <w:rPr>
                <w:rFonts w:hint="eastAsia" w:ascii="宋体" w:hAnsi="宋体"/>
                <w:szCs w:val="44"/>
              </w:rPr>
              <w:t>许可证</w:t>
            </w:r>
          </w:p>
        </w:tc>
        <w:tc>
          <w:tcPr>
            <w:tcW w:w="728" w:type="pct"/>
            <w:noWrap w:val="0"/>
            <w:vAlign w:val="center"/>
          </w:tcPr>
          <w:p w14:paraId="2E3BFC36">
            <w:pPr>
              <w:rPr>
                <w:rFonts w:hint="eastAsia" w:ascii="宋体" w:hAnsi="宋体"/>
                <w:szCs w:val="44"/>
              </w:rPr>
            </w:pPr>
            <w:r>
              <w:rPr>
                <w:rFonts w:ascii="宋体" w:hAnsi="宋体"/>
                <w:szCs w:val="44"/>
              </w:rPr>
              <w:t>具备有效的安全生产许可证</w:t>
            </w:r>
          </w:p>
        </w:tc>
        <w:tc>
          <w:tcPr>
            <w:tcW w:w="853" w:type="pct"/>
            <w:noWrap w:val="0"/>
            <w:vAlign w:val="top"/>
          </w:tcPr>
          <w:p w14:paraId="6FE951BD">
            <w:pPr>
              <w:rPr>
                <w:rFonts w:hint="eastAsia" w:ascii="宋体" w:hAnsi="宋体"/>
                <w:szCs w:val="44"/>
              </w:rPr>
            </w:pPr>
            <w:r>
              <w:rPr>
                <w:rFonts w:hint="eastAsia"/>
                <w:szCs w:val="21"/>
              </w:rPr>
              <w:t>住房城乡建设</w:t>
            </w:r>
            <w:r>
              <w:rPr>
                <w:rFonts w:ascii="宋体" w:hAnsi="宋体"/>
                <w:szCs w:val="44"/>
              </w:rPr>
              <w:t>主管部门核发的安全生产许可证扫描件</w:t>
            </w:r>
          </w:p>
        </w:tc>
        <w:tc>
          <w:tcPr>
            <w:tcW w:w="296" w:type="pct"/>
            <w:noWrap w:val="0"/>
            <w:vAlign w:val="center"/>
          </w:tcPr>
          <w:p w14:paraId="7D465414">
            <w:pPr>
              <w:jc w:val="center"/>
              <w:rPr>
                <w:rFonts w:hint="eastAsia" w:ascii="宋体" w:hAnsi="宋体"/>
                <w:szCs w:val="44"/>
              </w:rPr>
            </w:pPr>
          </w:p>
        </w:tc>
        <w:tc>
          <w:tcPr>
            <w:tcW w:w="297" w:type="pct"/>
            <w:noWrap w:val="0"/>
            <w:vAlign w:val="center"/>
          </w:tcPr>
          <w:p w14:paraId="388F2B1D">
            <w:pPr>
              <w:jc w:val="center"/>
              <w:rPr>
                <w:rFonts w:hint="eastAsia" w:ascii="宋体" w:hAnsi="宋体"/>
                <w:szCs w:val="44"/>
              </w:rPr>
            </w:pPr>
          </w:p>
        </w:tc>
        <w:tc>
          <w:tcPr>
            <w:tcW w:w="297" w:type="pct"/>
            <w:noWrap w:val="0"/>
            <w:vAlign w:val="center"/>
          </w:tcPr>
          <w:p w14:paraId="14CCC8BB">
            <w:pPr>
              <w:jc w:val="center"/>
              <w:rPr>
                <w:rFonts w:hint="eastAsia" w:ascii="宋体" w:hAnsi="宋体"/>
                <w:szCs w:val="44"/>
              </w:rPr>
            </w:pPr>
          </w:p>
        </w:tc>
        <w:tc>
          <w:tcPr>
            <w:tcW w:w="297" w:type="pct"/>
            <w:noWrap w:val="0"/>
            <w:vAlign w:val="center"/>
          </w:tcPr>
          <w:p w14:paraId="15F960D6">
            <w:pPr>
              <w:jc w:val="center"/>
              <w:rPr>
                <w:rFonts w:hint="eastAsia" w:ascii="宋体" w:hAnsi="宋体"/>
                <w:szCs w:val="44"/>
              </w:rPr>
            </w:pPr>
          </w:p>
        </w:tc>
        <w:tc>
          <w:tcPr>
            <w:tcW w:w="296" w:type="pct"/>
            <w:noWrap w:val="0"/>
            <w:vAlign w:val="center"/>
          </w:tcPr>
          <w:p w14:paraId="019ABC96">
            <w:pPr>
              <w:jc w:val="center"/>
              <w:rPr>
                <w:rFonts w:hint="eastAsia" w:ascii="宋体" w:hAnsi="宋体"/>
                <w:szCs w:val="44"/>
              </w:rPr>
            </w:pPr>
          </w:p>
        </w:tc>
        <w:tc>
          <w:tcPr>
            <w:tcW w:w="297" w:type="pct"/>
            <w:noWrap w:val="0"/>
            <w:vAlign w:val="center"/>
          </w:tcPr>
          <w:p w14:paraId="65F506FC">
            <w:pPr>
              <w:jc w:val="center"/>
              <w:rPr>
                <w:rFonts w:hint="eastAsia" w:ascii="宋体" w:hAnsi="宋体"/>
                <w:szCs w:val="44"/>
              </w:rPr>
            </w:pPr>
          </w:p>
        </w:tc>
        <w:tc>
          <w:tcPr>
            <w:tcW w:w="297" w:type="pct"/>
            <w:noWrap w:val="0"/>
            <w:vAlign w:val="center"/>
          </w:tcPr>
          <w:p w14:paraId="1021329B">
            <w:pPr>
              <w:jc w:val="center"/>
              <w:rPr>
                <w:rFonts w:hint="eastAsia" w:ascii="宋体" w:hAnsi="宋体"/>
                <w:szCs w:val="44"/>
              </w:rPr>
            </w:pPr>
          </w:p>
        </w:tc>
        <w:tc>
          <w:tcPr>
            <w:tcW w:w="297" w:type="pct"/>
            <w:noWrap w:val="0"/>
            <w:vAlign w:val="center"/>
          </w:tcPr>
          <w:p w14:paraId="1C575698">
            <w:pPr>
              <w:jc w:val="center"/>
              <w:rPr>
                <w:rFonts w:hint="eastAsia" w:ascii="宋体" w:hAnsi="宋体"/>
                <w:szCs w:val="44"/>
              </w:rPr>
            </w:pPr>
          </w:p>
        </w:tc>
        <w:tc>
          <w:tcPr>
            <w:tcW w:w="295" w:type="pct"/>
            <w:noWrap w:val="0"/>
            <w:vAlign w:val="center"/>
          </w:tcPr>
          <w:p w14:paraId="632C9CD8">
            <w:pPr>
              <w:jc w:val="center"/>
              <w:rPr>
                <w:rFonts w:hint="eastAsia" w:ascii="宋体" w:hAnsi="宋体"/>
                <w:szCs w:val="44"/>
              </w:rPr>
            </w:pPr>
          </w:p>
        </w:tc>
      </w:tr>
      <w:tr w14:paraId="7C457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3AD7CC06">
            <w:pPr>
              <w:jc w:val="center"/>
              <w:rPr>
                <w:rFonts w:hint="eastAsia" w:ascii="黑体" w:hAnsi="宋体" w:eastAsia="黑体"/>
                <w:szCs w:val="44"/>
              </w:rPr>
            </w:pPr>
            <w:r>
              <w:rPr>
                <w:rFonts w:hint="eastAsia" w:ascii="黑体" w:hAnsi="宋体" w:eastAsia="黑体"/>
                <w:szCs w:val="44"/>
              </w:rPr>
              <w:t>3</w:t>
            </w:r>
          </w:p>
        </w:tc>
        <w:tc>
          <w:tcPr>
            <w:tcW w:w="560" w:type="pct"/>
            <w:noWrap w:val="0"/>
            <w:vAlign w:val="center"/>
          </w:tcPr>
          <w:p w14:paraId="4A4D67AA">
            <w:pPr>
              <w:jc w:val="center"/>
              <w:rPr>
                <w:rFonts w:hint="eastAsia" w:ascii="宋体" w:hAnsi="宋体"/>
                <w:szCs w:val="44"/>
              </w:rPr>
            </w:pPr>
            <w:r>
              <w:rPr>
                <w:rFonts w:hint="eastAsia" w:ascii="宋体" w:hAnsi="宋体"/>
                <w:szCs w:val="44"/>
              </w:rPr>
              <w:t>资质等级</w:t>
            </w:r>
          </w:p>
        </w:tc>
        <w:tc>
          <w:tcPr>
            <w:tcW w:w="728" w:type="pct"/>
            <w:noWrap w:val="0"/>
            <w:vAlign w:val="center"/>
          </w:tcPr>
          <w:p w14:paraId="6670323A">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77FE5135">
            <w:pPr>
              <w:rPr>
                <w:rFonts w:hint="eastAsia" w:ascii="宋体" w:hAnsi="宋体"/>
                <w:szCs w:val="44"/>
              </w:rPr>
            </w:pPr>
            <w:r>
              <w:rPr>
                <w:rFonts w:hint="eastAsia"/>
                <w:szCs w:val="21"/>
              </w:rPr>
              <w:t>住房城乡建设</w:t>
            </w:r>
            <w:r>
              <w:rPr>
                <w:rFonts w:ascii="宋体" w:hAnsi="宋体"/>
                <w:szCs w:val="44"/>
              </w:rPr>
              <w:t>主管部门核发的资质等级证书扫描件</w:t>
            </w:r>
          </w:p>
        </w:tc>
        <w:tc>
          <w:tcPr>
            <w:tcW w:w="296" w:type="pct"/>
            <w:noWrap w:val="0"/>
            <w:vAlign w:val="center"/>
          </w:tcPr>
          <w:p w14:paraId="08D54D1F">
            <w:pPr>
              <w:jc w:val="center"/>
              <w:rPr>
                <w:rFonts w:hint="eastAsia" w:ascii="宋体" w:hAnsi="宋体"/>
                <w:szCs w:val="44"/>
              </w:rPr>
            </w:pPr>
          </w:p>
        </w:tc>
        <w:tc>
          <w:tcPr>
            <w:tcW w:w="297" w:type="pct"/>
            <w:noWrap w:val="0"/>
            <w:vAlign w:val="center"/>
          </w:tcPr>
          <w:p w14:paraId="794C1B34">
            <w:pPr>
              <w:jc w:val="center"/>
              <w:rPr>
                <w:rFonts w:hint="eastAsia" w:ascii="宋体" w:hAnsi="宋体"/>
                <w:szCs w:val="44"/>
              </w:rPr>
            </w:pPr>
          </w:p>
        </w:tc>
        <w:tc>
          <w:tcPr>
            <w:tcW w:w="297" w:type="pct"/>
            <w:noWrap w:val="0"/>
            <w:vAlign w:val="center"/>
          </w:tcPr>
          <w:p w14:paraId="1BE21BCD">
            <w:pPr>
              <w:jc w:val="center"/>
              <w:rPr>
                <w:rFonts w:hint="eastAsia" w:ascii="宋体" w:hAnsi="宋体"/>
                <w:szCs w:val="44"/>
              </w:rPr>
            </w:pPr>
          </w:p>
        </w:tc>
        <w:tc>
          <w:tcPr>
            <w:tcW w:w="297" w:type="pct"/>
            <w:noWrap w:val="0"/>
            <w:vAlign w:val="center"/>
          </w:tcPr>
          <w:p w14:paraId="3A0460BC">
            <w:pPr>
              <w:jc w:val="center"/>
              <w:rPr>
                <w:rFonts w:hint="eastAsia" w:ascii="宋体" w:hAnsi="宋体"/>
                <w:szCs w:val="44"/>
              </w:rPr>
            </w:pPr>
          </w:p>
        </w:tc>
        <w:tc>
          <w:tcPr>
            <w:tcW w:w="296" w:type="pct"/>
            <w:noWrap w:val="0"/>
            <w:vAlign w:val="center"/>
          </w:tcPr>
          <w:p w14:paraId="4D7916BF">
            <w:pPr>
              <w:jc w:val="center"/>
              <w:rPr>
                <w:rFonts w:hint="eastAsia" w:ascii="宋体" w:hAnsi="宋体"/>
                <w:szCs w:val="44"/>
              </w:rPr>
            </w:pPr>
          </w:p>
        </w:tc>
        <w:tc>
          <w:tcPr>
            <w:tcW w:w="297" w:type="pct"/>
            <w:noWrap w:val="0"/>
            <w:vAlign w:val="center"/>
          </w:tcPr>
          <w:p w14:paraId="306B6506">
            <w:pPr>
              <w:jc w:val="center"/>
              <w:rPr>
                <w:rFonts w:hint="eastAsia" w:ascii="宋体" w:hAnsi="宋体"/>
                <w:szCs w:val="44"/>
              </w:rPr>
            </w:pPr>
          </w:p>
        </w:tc>
        <w:tc>
          <w:tcPr>
            <w:tcW w:w="297" w:type="pct"/>
            <w:noWrap w:val="0"/>
            <w:vAlign w:val="center"/>
          </w:tcPr>
          <w:p w14:paraId="73B19D65">
            <w:pPr>
              <w:jc w:val="center"/>
              <w:rPr>
                <w:rFonts w:hint="eastAsia" w:ascii="宋体" w:hAnsi="宋体"/>
                <w:szCs w:val="44"/>
              </w:rPr>
            </w:pPr>
          </w:p>
        </w:tc>
        <w:tc>
          <w:tcPr>
            <w:tcW w:w="297" w:type="pct"/>
            <w:noWrap w:val="0"/>
            <w:vAlign w:val="center"/>
          </w:tcPr>
          <w:p w14:paraId="3EC722B1">
            <w:pPr>
              <w:jc w:val="center"/>
              <w:rPr>
                <w:rFonts w:hint="eastAsia" w:ascii="宋体" w:hAnsi="宋体"/>
                <w:szCs w:val="44"/>
              </w:rPr>
            </w:pPr>
          </w:p>
        </w:tc>
        <w:tc>
          <w:tcPr>
            <w:tcW w:w="295" w:type="pct"/>
            <w:noWrap w:val="0"/>
            <w:vAlign w:val="center"/>
          </w:tcPr>
          <w:p w14:paraId="2967082F">
            <w:pPr>
              <w:jc w:val="center"/>
              <w:rPr>
                <w:rFonts w:hint="eastAsia" w:ascii="宋体" w:hAnsi="宋体"/>
                <w:szCs w:val="44"/>
              </w:rPr>
            </w:pPr>
          </w:p>
        </w:tc>
      </w:tr>
      <w:tr w14:paraId="09AA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7A14FC3F">
            <w:pPr>
              <w:jc w:val="center"/>
              <w:rPr>
                <w:rFonts w:hint="eastAsia" w:ascii="黑体" w:hAnsi="宋体" w:eastAsia="黑体"/>
                <w:szCs w:val="44"/>
              </w:rPr>
            </w:pPr>
            <w:r>
              <w:rPr>
                <w:rFonts w:hint="eastAsia" w:ascii="黑体" w:hAnsi="宋体" w:eastAsia="黑体"/>
                <w:szCs w:val="44"/>
              </w:rPr>
              <w:t>4</w:t>
            </w:r>
          </w:p>
        </w:tc>
        <w:tc>
          <w:tcPr>
            <w:tcW w:w="560" w:type="pct"/>
            <w:noWrap w:val="0"/>
            <w:vAlign w:val="center"/>
          </w:tcPr>
          <w:p w14:paraId="0C7E069E">
            <w:pPr>
              <w:jc w:val="center"/>
              <w:rPr>
                <w:rFonts w:hint="eastAsia" w:ascii="宋体" w:hAnsi="宋体"/>
                <w:szCs w:val="44"/>
              </w:rPr>
            </w:pPr>
            <w:r>
              <w:rPr>
                <w:rFonts w:hint="eastAsia" w:ascii="宋体" w:hAnsi="宋体"/>
                <w:szCs w:val="44"/>
              </w:rPr>
              <w:t>财务状况</w:t>
            </w:r>
          </w:p>
        </w:tc>
        <w:tc>
          <w:tcPr>
            <w:tcW w:w="728" w:type="pct"/>
            <w:noWrap w:val="0"/>
            <w:vAlign w:val="center"/>
          </w:tcPr>
          <w:p w14:paraId="7A7AD6DE">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457767DB">
            <w:pPr>
              <w:rPr>
                <w:rFonts w:hint="eastAsia" w:ascii="宋体" w:hAnsi="宋体"/>
                <w:szCs w:val="44"/>
              </w:rPr>
            </w:pPr>
            <w:r>
              <w:rPr>
                <w:rFonts w:ascii="宋体" w:hAnsi="宋体"/>
                <w:szCs w:val="44"/>
              </w:rPr>
              <w:t>经会计师事务所或者审计机构审计的财务会计报表，包括资产负债表、损益表、现金流量表、利润表和财务状况说明书扫描件</w:t>
            </w:r>
          </w:p>
        </w:tc>
        <w:tc>
          <w:tcPr>
            <w:tcW w:w="296" w:type="pct"/>
            <w:noWrap w:val="0"/>
            <w:vAlign w:val="center"/>
          </w:tcPr>
          <w:p w14:paraId="083BA347">
            <w:pPr>
              <w:jc w:val="center"/>
              <w:rPr>
                <w:rFonts w:hint="eastAsia" w:ascii="宋体" w:hAnsi="宋体"/>
                <w:szCs w:val="44"/>
              </w:rPr>
            </w:pPr>
          </w:p>
        </w:tc>
        <w:tc>
          <w:tcPr>
            <w:tcW w:w="297" w:type="pct"/>
            <w:noWrap w:val="0"/>
            <w:vAlign w:val="center"/>
          </w:tcPr>
          <w:p w14:paraId="133D744B">
            <w:pPr>
              <w:jc w:val="center"/>
              <w:rPr>
                <w:rFonts w:hint="eastAsia" w:ascii="宋体" w:hAnsi="宋体"/>
                <w:szCs w:val="44"/>
              </w:rPr>
            </w:pPr>
          </w:p>
        </w:tc>
        <w:tc>
          <w:tcPr>
            <w:tcW w:w="297" w:type="pct"/>
            <w:noWrap w:val="0"/>
            <w:vAlign w:val="center"/>
          </w:tcPr>
          <w:p w14:paraId="39B755D2">
            <w:pPr>
              <w:jc w:val="center"/>
              <w:rPr>
                <w:rFonts w:hint="eastAsia" w:ascii="宋体" w:hAnsi="宋体"/>
                <w:szCs w:val="44"/>
              </w:rPr>
            </w:pPr>
          </w:p>
        </w:tc>
        <w:tc>
          <w:tcPr>
            <w:tcW w:w="297" w:type="pct"/>
            <w:noWrap w:val="0"/>
            <w:vAlign w:val="center"/>
          </w:tcPr>
          <w:p w14:paraId="0BAD0773">
            <w:pPr>
              <w:jc w:val="center"/>
              <w:rPr>
                <w:rFonts w:hint="eastAsia" w:ascii="宋体" w:hAnsi="宋体"/>
                <w:szCs w:val="44"/>
              </w:rPr>
            </w:pPr>
          </w:p>
        </w:tc>
        <w:tc>
          <w:tcPr>
            <w:tcW w:w="296" w:type="pct"/>
            <w:noWrap w:val="0"/>
            <w:vAlign w:val="center"/>
          </w:tcPr>
          <w:p w14:paraId="5761B1BF">
            <w:pPr>
              <w:jc w:val="center"/>
              <w:rPr>
                <w:rFonts w:hint="eastAsia" w:ascii="宋体" w:hAnsi="宋体"/>
                <w:szCs w:val="44"/>
              </w:rPr>
            </w:pPr>
          </w:p>
        </w:tc>
        <w:tc>
          <w:tcPr>
            <w:tcW w:w="297" w:type="pct"/>
            <w:noWrap w:val="0"/>
            <w:vAlign w:val="center"/>
          </w:tcPr>
          <w:p w14:paraId="46C046EC">
            <w:pPr>
              <w:jc w:val="center"/>
              <w:rPr>
                <w:rFonts w:hint="eastAsia" w:ascii="宋体" w:hAnsi="宋体"/>
                <w:szCs w:val="44"/>
              </w:rPr>
            </w:pPr>
          </w:p>
        </w:tc>
        <w:tc>
          <w:tcPr>
            <w:tcW w:w="297" w:type="pct"/>
            <w:noWrap w:val="0"/>
            <w:vAlign w:val="center"/>
          </w:tcPr>
          <w:p w14:paraId="6E7D7468">
            <w:pPr>
              <w:jc w:val="center"/>
              <w:rPr>
                <w:rFonts w:hint="eastAsia" w:ascii="宋体" w:hAnsi="宋体"/>
                <w:szCs w:val="44"/>
              </w:rPr>
            </w:pPr>
          </w:p>
        </w:tc>
        <w:tc>
          <w:tcPr>
            <w:tcW w:w="297" w:type="pct"/>
            <w:noWrap w:val="0"/>
            <w:vAlign w:val="center"/>
          </w:tcPr>
          <w:p w14:paraId="4C35E8C9">
            <w:pPr>
              <w:jc w:val="center"/>
              <w:rPr>
                <w:rFonts w:hint="eastAsia" w:ascii="宋体" w:hAnsi="宋体"/>
                <w:szCs w:val="44"/>
              </w:rPr>
            </w:pPr>
          </w:p>
        </w:tc>
        <w:tc>
          <w:tcPr>
            <w:tcW w:w="295" w:type="pct"/>
            <w:noWrap w:val="0"/>
            <w:vAlign w:val="center"/>
          </w:tcPr>
          <w:p w14:paraId="61A68F51">
            <w:pPr>
              <w:jc w:val="center"/>
              <w:rPr>
                <w:rFonts w:hint="eastAsia" w:ascii="宋体" w:hAnsi="宋体"/>
                <w:szCs w:val="44"/>
              </w:rPr>
            </w:pPr>
          </w:p>
        </w:tc>
      </w:tr>
      <w:tr w14:paraId="2580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07E5DDD2">
            <w:pPr>
              <w:jc w:val="center"/>
              <w:rPr>
                <w:rFonts w:hint="eastAsia" w:ascii="黑体" w:hAnsi="宋体" w:eastAsia="黑体"/>
                <w:szCs w:val="44"/>
              </w:rPr>
            </w:pPr>
            <w:r>
              <w:rPr>
                <w:rFonts w:hint="eastAsia" w:ascii="黑体" w:hAnsi="宋体" w:eastAsia="黑体"/>
                <w:szCs w:val="44"/>
              </w:rPr>
              <w:t>5</w:t>
            </w:r>
          </w:p>
        </w:tc>
        <w:tc>
          <w:tcPr>
            <w:tcW w:w="560" w:type="pct"/>
            <w:noWrap w:val="0"/>
            <w:vAlign w:val="center"/>
          </w:tcPr>
          <w:p w14:paraId="57662CBA">
            <w:pPr>
              <w:jc w:val="center"/>
              <w:rPr>
                <w:rFonts w:hint="eastAsia" w:ascii="宋体" w:hAnsi="宋体"/>
                <w:szCs w:val="44"/>
              </w:rPr>
            </w:pPr>
            <w:r>
              <w:rPr>
                <w:rFonts w:hint="eastAsia" w:ascii="宋体" w:hAnsi="宋体"/>
                <w:szCs w:val="44"/>
              </w:rPr>
              <w:t>类似项目</w:t>
            </w:r>
          </w:p>
          <w:p w14:paraId="49F95C18">
            <w:pPr>
              <w:jc w:val="center"/>
              <w:rPr>
                <w:rFonts w:hint="eastAsia" w:ascii="宋体" w:hAnsi="宋体"/>
                <w:szCs w:val="44"/>
              </w:rPr>
            </w:pPr>
            <w:r>
              <w:rPr>
                <w:rFonts w:hint="eastAsia" w:ascii="宋体" w:hAnsi="宋体"/>
                <w:szCs w:val="44"/>
              </w:rPr>
              <w:t>业绩</w:t>
            </w:r>
          </w:p>
        </w:tc>
        <w:tc>
          <w:tcPr>
            <w:tcW w:w="728" w:type="pct"/>
            <w:noWrap w:val="0"/>
            <w:vAlign w:val="center"/>
          </w:tcPr>
          <w:p w14:paraId="681207EA">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3BEE56F1">
            <w:pPr>
              <w:rPr>
                <w:rFonts w:hint="eastAsia" w:ascii="宋体" w:hAnsi="宋体"/>
                <w:szCs w:val="44"/>
              </w:rPr>
            </w:pPr>
            <w:r>
              <w:rPr>
                <w:rFonts w:ascii="宋体" w:hAnsi="宋体"/>
                <w:szCs w:val="44"/>
              </w:rPr>
              <w:t>中标通知书、合同协议书</w:t>
            </w:r>
            <w:r>
              <w:rPr>
                <w:rFonts w:hint="eastAsia" w:ascii="宋体" w:hAnsi="宋体"/>
                <w:szCs w:val="44"/>
              </w:rPr>
              <w:t>、施工许可证（如有）、工程接收证书</w:t>
            </w:r>
            <w:r>
              <w:rPr>
                <w:rFonts w:hint="eastAsia"/>
              </w:rPr>
              <w:t>或工程竣工验收证书（工程竣工验收备案证）及其他证明材料（如需要）</w:t>
            </w:r>
            <w:r>
              <w:rPr>
                <w:rFonts w:hint="eastAsia" w:ascii="宋体" w:hAnsi="宋体"/>
                <w:szCs w:val="44"/>
              </w:rPr>
              <w:t>的</w:t>
            </w:r>
            <w:r>
              <w:rPr>
                <w:rFonts w:ascii="宋体" w:hAnsi="宋体"/>
                <w:szCs w:val="44"/>
              </w:rPr>
              <w:t>扫描件</w:t>
            </w:r>
          </w:p>
        </w:tc>
        <w:tc>
          <w:tcPr>
            <w:tcW w:w="296" w:type="pct"/>
            <w:noWrap w:val="0"/>
            <w:vAlign w:val="center"/>
          </w:tcPr>
          <w:p w14:paraId="6051CA5C">
            <w:pPr>
              <w:jc w:val="center"/>
              <w:rPr>
                <w:rFonts w:hint="eastAsia" w:ascii="宋体" w:hAnsi="宋体"/>
                <w:szCs w:val="44"/>
              </w:rPr>
            </w:pPr>
          </w:p>
        </w:tc>
        <w:tc>
          <w:tcPr>
            <w:tcW w:w="297" w:type="pct"/>
            <w:noWrap w:val="0"/>
            <w:vAlign w:val="center"/>
          </w:tcPr>
          <w:p w14:paraId="17279AAE">
            <w:pPr>
              <w:jc w:val="center"/>
              <w:rPr>
                <w:rFonts w:hint="eastAsia" w:ascii="宋体" w:hAnsi="宋体"/>
                <w:szCs w:val="44"/>
              </w:rPr>
            </w:pPr>
          </w:p>
        </w:tc>
        <w:tc>
          <w:tcPr>
            <w:tcW w:w="297" w:type="pct"/>
            <w:noWrap w:val="0"/>
            <w:vAlign w:val="center"/>
          </w:tcPr>
          <w:p w14:paraId="76E2EFB6">
            <w:pPr>
              <w:jc w:val="center"/>
              <w:rPr>
                <w:rFonts w:hint="eastAsia" w:ascii="宋体" w:hAnsi="宋体"/>
                <w:szCs w:val="44"/>
              </w:rPr>
            </w:pPr>
          </w:p>
        </w:tc>
        <w:tc>
          <w:tcPr>
            <w:tcW w:w="297" w:type="pct"/>
            <w:noWrap w:val="0"/>
            <w:vAlign w:val="center"/>
          </w:tcPr>
          <w:p w14:paraId="0C7871A2">
            <w:pPr>
              <w:jc w:val="center"/>
              <w:rPr>
                <w:rFonts w:hint="eastAsia" w:ascii="宋体" w:hAnsi="宋体"/>
                <w:szCs w:val="44"/>
              </w:rPr>
            </w:pPr>
          </w:p>
        </w:tc>
        <w:tc>
          <w:tcPr>
            <w:tcW w:w="296" w:type="pct"/>
            <w:noWrap w:val="0"/>
            <w:vAlign w:val="center"/>
          </w:tcPr>
          <w:p w14:paraId="3940F5FB">
            <w:pPr>
              <w:jc w:val="center"/>
              <w:rPr>
                <w:rFonts w:hint="eastAsia" w:ascii="宋体" w:hAnsi="宋体"/>
                <w:szCs w:val="44"/>
              </w:rPr>
            </w:pPr>
          </w:p>
        </w:tc>
        <w:tc>
          <w:tcPr>
            <w:tcW w:w="297" w:type="pct"/>
            <w:noWrap w:val="0"/>
            <w:vAlign w:val="center"/>
          </w:tcPr>
          <w:p w14:paraId="2E65033D">
            <w:pPr>
              <w:jc w:val="center"/>
              <w:rPr>
                <w:rFonts w:hint="eastAsia" w:ascii="宋体" w:hAnsi="宋体"/>
                <w:szCs w:val="44"/>
              </w:rPr>
            </w:pPr>
          </w:p>
        </w:tc>
        <w:tc>
          <w:tcPr>
            <w:tcW w:w="297" w:type="pct"/>
            <w:noWrap w:val="0"/>
            <w:vAlign w:val="center"/>
          </w:tcPr>
          <w:p w14:paraId="6A19866E">
            <w:pPr>
              <w:jc w:val="center"/>
              <w:rPr>
                <w:rFonts w:hint="eastAsia" w:ascii="宋体" w:hAnsi="宋体"/>
                <w:szCs w:val="44"/>
              </w:rPr>
            </w:pPr>
          </w:p>
        </w:tc>
        <w:tc>
          <w:tcPr>
            <w:tcW w:w="297" w:type="pct"/>
            <w:noWrap w:val="0"/>
            <w:vAlign w:val="center"/>
          </w:tcPr>
          <w:p w14:paraId="400EE4B2">
            <w:pPr>
              <w:jc w:val="center"/>
              <w:rPr>
                <w:rFonts w:hint="eastAsia" w:ascii="宋体" w:hAnsi="宋体"/>
                <w:szCs w:val="44"/>
              </w:rPr>
            </w:pPr>
          </w:p>
        </w:tc>
        <w:tc>
          <w:tcPr>
            <w:tcW w:w="295" w:type="pct"/>
            <w:noWrap w:val="0"/>
            <w:vAlign w:val="center"/>
          </w:tcPr>
          <w:p w14:paraId="139B5BC5">
            <w:pPr>
              <w:jc w:val="center"/>
              <w:rPr>
                <w:rFonts w:hint="eastAsia" w:ascii="宋体" w:hAnsi="宋体"/>
                <w:szCs w:val="44"/>
              </w:rPr>
            </w:pPr>
          </w:p>
        </w:tc>
      </w:tr>
    </w:tbl>
    <w:p w14:paraId="42AAB754">
      <w:pPr>
        <w:rPr>
          <w:rFonts w:hint="eastAsia" w:ascii="宋体" w:hAnsi="宋体"/>
          <w:szCs w:val="44"/>
        </w:rPr>
      </w:pPr>
    </w:p>
    <w:p w14:paraId="5C85EBCF">
      <w:pPr>
        <w:rPr>
          <w:rFonts w:hint="eastAsia" w:ascii="宋体" w:hAnsi="宋体"/>
          <w:szCs w:val="44"/>
        </w:rPr>
      </w:pPr>
    </w:p>
    <w:p w14:paraId="18A0A4B4">
      <w:pPr>
        <w:rPr>
          <w:rFonts w:hint="eastAsia" w:ascii="宋体" w:hAnsi="宋体"/>
          <w:szCs w:val="44"/>
        </w:rPr>
      </w:pPr>
    </w:p>
    <w:p w14:paraId="3CE258ED">
      <w:pPr>
        <w:rPr>
          <w:rFonts w:hint="eastAsia" w:ascii="宋体" w:hAnsi="宋体"/>
          <w:szCs w:val="44"/>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542"/>
        <w:gridCol w:w="2004"/>
        <w:gridCol w:w="2349"/>
        <w:gridCol w:w="815"/>
        <w:gridCol w:w="818"/>
        <w:gridCol w:w="818"/>
        <w:gridCol w:w="818"/>
        <w:gridCol w:w="815"/>
        <w:gridCol w:w="818"/>
        <w:gridCol w:w="818"/>
        <w:gridCol w:w="818"/>
        <w:gridCol w:w="812"/>
      </w:tblGrid>
      <w:tr w14:paraId="2B69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vMerge w:val="restart"/>
            <w:noWrap w:val="0"/>
            <w:vAlign w:val="center"/>
          </w:tcPr>
          <w:p w14:paraId="3D2B33ED">
            <w:pPr>
              <w:jc w:val="center"/>
              <w:rPr>
                <w:rFonts w:hint="eastAsia" w:ascii="宋体" w:hAnsi="宋体"/>
                <w:szCs w:val="44"/>
              </w:rPr>
            </w:pPr>
            <w:r>
              <w:rPr>
                <w:rFonts w:hint="eastAsia" w:ascii="宋体" w:hAnsi="宋体"/>
                <w:szCs w:val="44"/>
              </w:rPr>
              <w:t>序号</w:t>
            </w:r>
          </w:p>
        </w:tc>
        <w:tc>
          <w:tcPr>
            <w:tcW w:w="560" w:type="pct"/>
            <w:vMerge w:val="restart"/>
            <w:noWrap w:val="0"/>
            <w:vAlign w:val="center"/>
          </w:tcPr>
          <w:p w14:paraId="07BA3C2D">
            <w:pPr>
              <w:jc w:val="center"/>
              <w:rPr>
                <w:rFonts w:hint="eastAsia" w:ascii="宋体" w:hAnsi="宋体"/>
                <w:szCs w:val="44"/>
              </w:rPr>
            </w:pPr>
            <w:r>
              <w:rPr>
                <w:rFonts w:hint="eastAsia" w:ascii="宋体" w:hAnsi="宋体"/>
                <w:szCs w:val="44"/>
              </w:rPr>
              <w:t>评审因素</w:t>
            </w:r>
          </w:p>
        </w:tc>
        <w:tc>
          <w:tcPr>
            <w:tcW w:w="728" w:type="pct"/>
            <w:vMerge w:val="restart"/>
            <w:noWrap w:val="0"/>
            <w:vAlign w:val="center"/>
          </w:tcPr>
          <w:p w14:paraId="33C27A82">
            <w:pPr>
              <w:jc w:val="center"/>
              <w:rPr>
                <w:rFonts w:hint="eastAsia" w:ascii="宋体" w:hAnsi="宋体"/>
                <w:szCs w:val="44"/>
              </w:rPr>
            </w:pPr>
            <w:r>
              <w:rPr>
                <w:rFonts w:hint="eastAsia" w:ascii="宋体" w:hAnsi="宋体"/>
                <w:szCs w:val="44"/>
              </w:rPr>
              <w:t>评审标准</w:t>
            </w:r>
          </w:p>
        </w:tc>
        <w:tc>
          <w:tcPr>
            <w:tcW w:w="853" w:type="pct"/>
            <w:vMerge w:val="restart"/>
            <w:noWrap w:val="0"/>
            <w:vAlign w:val="center"/>
          </w:tcPr>
          <w:p w14:paraId="598819A4">
            <w:pPr>
              <w:autoSpaceDE w:val="0"/>
              <w:autoSpaceDN w:val="0"/>
              <w:adjustRightInd w:val="0"/>
              <w:snapToGrid w:val="0"/>
              <w:jc w:val="center"/>
              <w:rPr>
                <w:rFonts w:hint="eastAsia"/>
                <w:kern w:val="0"/>
                <w:sz w:val="24"/>
              </w:rPr>
            </w:pPr>
            <w:r>
              <w:rPr>
                <w:rFonts w:ascii="宋体" w:hAnsi="宋体"/>
                <w:szCs w:val="44"/>
              </w:rPr>
              <w:t>有效的证明材料</w:t>
            </w:r>
          </w:p>
        </w:tc>
        <w:tc>
          <w:tcPr>
            <w:tcW w:w="2669" w:type="pct"/>
            <w:gridSpan w:val="9"/>
            <w:noWrap w:val="0"/>
            <w:vAlign w:val="center"/>
          </w:tcPr>
          <w:p w14:paraId="1A43FA3F">
            <w:pPr>
              <w:jc w:val="center"/>
              <w:rPr>
                <w:rFonts w:hint="eastAsia" w:ascii="宋体" w:hAnsi="宋体"/>
                <w:szCs w:val="44"/>
              </w:rPr>
            </w:pPr>
            <w:r>
              <w:rPr>
                <w:rFonts w:hint="eastAsia" w:ascii="宋体" w:hAnsi="宋体"/>
                <w:szCs w:val="44"/>
              </w:rPr>
              <w:t>投标人名称及评审意见</w:t>
            </w:r>
          </w:p>
        </w:tc>
      </w:tr>
      <w:tr w14:paraId="7D8C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vMerge w:val="continue"/>
            <w:noWrap w:val="0"/>
            <w:vAlign w:val="center"/>
          </w:tcPr>
          <w:p w14:paraId="00C825FE">
            <w:pPr>
              <w:jc w:val="center"/>
              <w:rPr>
                <w:rFonts w:hint="eastAsia" w:ascii="黑体" w:hAnsi="宋体" w:eastAsia="黑体"/>
                <w:szCs w:val="44"/>
              </w:rPr>
            </w:pPr>
          </w:p>
        </w:tc>
        <w:tc>
          <w:tcPr>
            <w:tcW w:w="560" w:type="pct"/>
            <w:vMerge w:val="continue"/>
            <w:noWrap w:val="0"/>
            <w:vAlign w:val="center"/>
          </w:tcPr>
          <w:p w14:paraId="3BF083F9">
            <w:pPr>
              <w:jc w:val="center"/>
              <w:rPr>
                <w:rFonts w:hint="eastAsia" w:ascii="宋体" w:hAnsi="宋体"/>
                <w:szCs w:val="44"/>
              </w:rPr>
            </w:pPr>
          </w:p>
        </w:tc>
        <w:tc>
          <w:tcPr>
            <w:tcW w:w="728" w:type="pct"/>
            <w:vMerge w:val="continue"/>
            <w:noWrap w:val="0"/>
            <w:vAlign w:val="center"/>
          </w:tcPr>
          <w:p w14:paraId="515A6925">
            <w:pPr>
              <w:rPr>
                <w:rFonts w:ascii="宋体" w:hAnsi="宋体"/>
                <w:szCs w:val="44"/>
              </w:rPr>
            </w:pPr>
          </w:p>
        </w:tc>
        <w:tc>
          <w:tcPr>
            <w:tcW w:w="853" w:type="pct"/>
            <w:vMerge w:val="continue"/>
            <w:noWrap w:val="0"/>
            <w:vAlign w:val="top"/>
          </w:tcPr>
          <w:p w14:paraId="47BE5BC0">
            <w:pPr>
              <w:rPr>
                <w:rFonts w:ascii="宋体" w:hAnsi="宋体"/>
                <w:szCs w:val="44"/>
              </w:rPr>
            </w:pPr>
          </w:p>
        </w:tc>
        <w:tc>
          <w:tcPr>
            <w:tcW w:w="296" w:type="pct"/>
            <w:noWrap w:val="0"/>
            <w:vAlign w:val="center"/>
          </w:tcPr>
          <w:p w14:paraId="516F3C98">
            <w:pPr>
              <w:jc w:val="center"/>
              <w:rPr>
                <w:rFonts w:hint="eastAsia" w:ascii="宋体" w:hAnsi="宋体"/>
                <w:szCs w:val="44"/>
              </w:rPr>
            </w:pPr>
          </w:p>
        </w:tc>
        <w:tc>
          <w:tcPr>
            <w:tcW w:w="297" w:type="pct"/>
            <w:noWrap w:val="0"/>
            <w:vAlign w:val="center"/>
          </w:tcPr>
          <w:p w14:paraId="5AA7B000">
            <w:pPr>
              <w:jc w:val="center"/>
              <w:rPr>
                <w:rFonts w:hint="eastAsia" w:ascii="宋体" w:hAnsi="宋体"/>
                <w:szCs w:val="44"/>
              </w:rPr>
            </w:pPr>
          </w:p>
        </w:tc>
        <w:tc>
          <w:tcPr>
            <w:tcW w:w="297" w:type="pct"/>
            <w:noWrap w:val="0"/>
            <w:vAlign w:val="center"/>
          </w:tcPr>
          <w:p w14:paraId="5843BE06">
            <w:pPr>
              <w:jc w:val="center"/>
              <w:rPr>
                <w:rFonts w:hint="eastAsia" w:ascii="宋体" w:hAnsi="宋体"/>
                <w:szCs w:val="44"/>
              </w:rPr>
            </w:pPr>
          </w:p>
        </w:tc>
        <w:tc>
          <w:tcPr>
            <w:tcW w:w="297" w:type="pct"/>
            <w:noWrap w:val="0"/>
            <w:vAlign w:val="center"/>
          </w:tcPr>
          <w:p w14:paraId="4B01036C">
            <w:pPr>
              <w:jc w:val="center"/>
              <w:rPr>
                <w:rFonts w:hint="eastAsia" w:ascii="宋体" w:hAnsi="宋体"/>
                <w:szCs w:val="44"/>
              </w:rPr>
            </w:pPr>
          </w:p>
        </w:tc>
        <w:tc>
          <w:tcPr>
            <w:tcW w:w="296" w:type="pct"/>
            <w:noWrap w:val="0"/>
            <w:vAlign w:val="center"/>
          </w:tcPr>
          <w:p w14:paraId="07EF35A0">
            <w:pPr>
              <w:jc w:val="center"/>
              <w:rPr>
                <w:rFonts w:hint="eastAsia" w:ascii="宋体" w:hAnsi="宋体"/>
                <w:szCs w:val="44"/>
              </w:rPr>
            </w:pPr>
          </w:p>
        </w:tc>
        <w:tc>
          <w:tcPr>
            <w:tcW w:w="297" w:type="pct"/>
            <w:noWrap w:val="0"/>
            <w:vAlign w:val="center"/>
          </w:tcPr>
          <w:p w14:paraId="7BA4DD5B">
            <w:pPr>
              <w:jc w:val="center"/>
              <w:rPr>
                <w:rFonts w:hint="eastAsia" w:ascii="宋体" w:hAnsi="宋体"/>
                <w:szCs w:val="44"/>
              </w:rPr>
            </w:pPr>
          </w:p>
        </w:tc>
        <w:tc>
          <w:tcPr>
            <w:tcW w:w="297" w:type="pct"/>
            <w:noWrap w:val="0"/>
            <w:vAlign w:val="center"/>
          </w:tcPr>
          <w:p w14:paraId="5AE7AAF2">
            <w:pPr>
              <w:jc w:val="center"/>
              <w:rPr>
                <w:rFonts w:hint="eastAsia" w:ascii="宋体" w:hAnsi="宋体"/>
                <w:szCs w:val="44"/>
              </w:rPr>
            </w:pPr>
          </w:p>
        </w:tc>
        <w:tc>
          <w:tcPr>
            <w:tcW w:w="297" w:type="pct"/>
            <w:noWrap w:val="0"/>
            <w:vAlign w:val="center"/>
          </w:tcPr>
          <w:p w14:paraId="5462B745">
            <w:pPr>
              <w:jc w:val="center"/>
              <w:rPr>
                <w:rFonts w:hint="eastAsia" w:ascii="宋体" w:hAnsi="宋体"/>
                <w:szCs w:val="44"/>
              </w:rPr>
            </w:pPr>
          </w:p>
        </w:tc>
        <w:tc>
          <w:tcPr>
            <w:tcW w:w="295" w:type="pct"/>
            <w:noWrap w:val="0"/>
            <w:vAlign w:val="center"/>
          </w:tcPr>
          <w:p w14:paraId="106F40E1">
            <w:pPr>
              <w:jc w:val="center"/>
              <w:rPr>
                <w:rFonts w:hint="eastAsia" w:ascii="宋体" w:hAnsi="宋体"/>
                <w:szCs w:val="44"/>
              </w:rPr>
            </w:pPr>
          </w:p>
        </w:tc>
      </w:tr>
      <w:tr w14:paraId="2644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57925C73">
            <w:pPr>
              <w:jc w:val="center"/>
              <w:rPr>
                <w:rFonts w:hint="eastAsia" w:ascii="黑体" w:hAnsi="宋体" w:eastAsia="黑体"/>
                <w:szCs w:val="44"/>
              </w:rPr>
            </w:pPr>
            <w:r>
              <w:rPr>
                <w:rFonts w:hint="eastAsia" w:ascii="黑体" w:hAnsi="宋体" w:eastAsia="黑体"/>
                <w:szCs w:val="44"/>
              </w:rPr>
              <w:t>6</w:t>
            </w:r>
          </w:p>
        </w:tc>
        <w:tc>
          <w:tcPr>
            <w:tcW w:w="560" w:type="pct"/>
            <w:noWrap w:val="0"/>
            <w:vAlign w:val="center"/>
          </w:tcPr>
          <w:p w14:paraId="492275DA">
            <w:pPr>
              <w:jc w:val="center"/>
              <w:rPr>
                <w:rFonts w:hint="eastAsia" w:ascii="宋体" w:hAnsi="宋体"/>
                <w:szCs w:val="44"/>
              </w:rPr>
            </w:pPr>
            <w:r>
              <w:rPr>
                <w:rFonts w:hint="eastAsia" w:ascii="宋体" w:hAnsi="宋体"/>
                <w:szCs w:val="44"/>
              </w:rPr>
              <w:t>信誉</w:t>
            </w:r>
          </w:p>
        </w:tc>
        <w:tc>
          <w:tcPr>
            <w:tcW w:w="728" w:type="pct"/>
            <w:noWrap w:val="0"/>
            <w:vAlign w:val="center"/>
          </w:tcPr>
          <w:p w14:paraId="6621FD4B">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074881C9">
            <w:pPr>
              <w:spacing w:line="340" w:lineRule="exact"/>
              <w:rPr>
                <w:rFonts w:hint="eastAsia"/>
                <w:szCs w:val="21"/>
              </w:rPr>
            </w:pPr>
            <w:r>
              <w:rPr>
                <w:rFonts w:hint="eastAsia" w:ascii="宋体" w:hAnsi="宋体"/>
                <w:szCs w:val="44"/>
              </w:rPr>
              <w:t>投标人的“</w:t>
            </w:r>
            <w:r>
              <w:rPr>
                <w:rFonts w:hint="eastAsia" w:ascii="宋体" w:hAnsi="宋体"/>
                <w:szCs w:val="21"/>
              </w:rPr>
              <w:t>企业信誉声明”</w:t>
            </w:r>
            <w:r>
              <w:rPr>
                <w:rFonts w:hint="eastAsia" w:ascii="宋体" w:hAnsi="宋体"/>
                <w:szCs w:val="44"/>
              </w:rPr>
              <w:t>及相关证明材料</w:t>
            </w:r>
          </w:p>
        </w:tc>
        <w:tc>
          <w:tcPr>
            <w:tcW w:w="296" w:type="pct"/>
            <w:noWrap w:val="0"/>
            <w:vAlign w:val="center"/>
          </w:tcPr>
          <w:p w14:paraId="43FD427A">
            <w:pPr>
              <w:jc w:val="center"/>
              <w:rPr>
                <w:rFonts w:hint="eastAsia" w:ascii="宋体" w:hAnsi="宋体"/>
                <w:szCs w:val="44"/>
              </w:rPr>
            </w:pPr>
          </w:p>
        </w:tc>
        <w:tc>
          <w:tcPr>
            <w:tcW w:w="297" w:type="pct"/>
            <w:noWrap w:val="0"/>
            <w:vAlign w:val="center"/>
          </w:tcPr>
          <w:p w14:paraId="3B80A0A1">
            <w:pPr>
              <w:jc w:val="center"/>
              <w:rPr>
                <w:rFonts w:hint="eastAsia" w:ascii="宋体" w:hAnsi="宋体"/>
                <w:szCs w:val="44"/>
              </w:rPr>
            </w:pPr>
          </w:p>
        </w:tc>
        <w:tc>
          <w:tcPr>
            <w:tcW w:w="297" w:type="pct"/>
            <w:noWrap w:val="0"/>
            <w:vAlign w:val="center"/>
          </w:tcPr>
          <w:p w14:paraId="5B363C45">
            <w:pPr>
              <w:jc w:val="center"/>
              <w:rPr>
                <w:rFonts w:hint="eastAsia" w:ascii="宋体" w:hAnsi="宋体"/>
                <w:szCs w:val="44"/>
              </w:rPr>
            </w:pPr>
          </w:p>
        </w:tc>
        <w:tc>
          <w:tcPr>
            <w:tcW w:w="297" w:type="pct"/>
            <w:noWrap w:val="0"/>
            <w:vAlign w:val="center"/>
          </w:tcPr>
          <w:p w14:paraId="502542BE">
            <w:pPr>
              <w:jc w:val="center"/>
              <w:rPr>
                <w:rFonts w:hint="eastAsia" w:ascii="宋体" w:hAnsi="宋体"/>
                <w:szCs w:val="44"/>
              </w:rPr>
            </w:pPr>
          </w:p>
        </w:tc>
        <w:tc>
          <w:tcPr>
            <w:tcW w:w="296" w:type="pct"/>
            <w:noWrap w:val="0"/>
            <w:vAlign w:val="center"/>
          </w:tcPr>
          <w:p w14:paraId="3409E9BE">
            <w:pPr>
              <w:jc w:val="center"/>
              <w:rPr>
                <w:rFonts w:hint="eastAsia" w:ascii="宋体" w:hAnsi="宋体"/>
                <w:szCs w:val="44"/>
              </w:rPr>
            </w:pPr>
          </w:p>
        </w:tc>
        <w:tc>
          <w:tcPr>
            <w:tcW w:w="297" w:type="pct"/>
            <w:noWrap w:val="0"/>
            <w:vAlign w:val="center"/>
          </w:tcPr>
          <w:p w14:paraId="6B6F77B0">
            <w:pPr>
              <w:jc w:val="center"/>
              <w:rPr>
                <w:rFonts w:hint="eastAsia" w:ascii="宋体" w:hAnsi="宋体"/>
                <w:szCs w:val="44"/>
              </w:rPr>
            </w:pPr>
          </w:p>
        </w:tc>
        <w:tc>
          <w:tcPr>
            <w:tcW w:w="297" w:type="pct"/>
            <w:noWrap w:val="0"/>
            <w:vAlign w:val="center"/>
          </w:tcPr>
          <w:p w14:paraId="6E775AA8">
            <w:pPr>
              <w:jc w:val="center"/>
              <w:rPr>
                <w:rFonts w:hint="eastAsia" w:ascii="宋体" w:hAnsi="宋体"/>
                <w:szCs w:val="44"/>
              </w:rPr>
            </w:pPr>
          </w:p>
        </w:tc>
        <w:tc>
          <w:tcPr>
            <w:tcW w:w="297" w:type="pct"/>
            <w:noWrap w:val="0"/>
            <w:vAlign w:val="center"/>
          </w:tcPr>
          <w:p w14:paraId="6ACAB925">
            <w:pPr>
              <w:jc w:val="center"/>
              <w:rPr>
                <w:rFonts w:hint="eastAsia" w:ascii="宋体" w:hAnsi="宋体"/>
                <w:szCs w:val="44"/>
              </w:rPr>
            </w:pPr>
          </w:p>
        </w:tc>
        <w:tc>
          <w:tcPr>
            <w:tcW w:w="295" w:type="pct"/>
            <w:noWrap w:val="0"/>
            <w:vAlign w:val="center"/>
          </w:tcPr>
          <w:p w14:paraId="4B84E19E">
            <w:pPr>
              <w:jc w:val="center"/>
              <w:rPr>
                <w:rFonts w:hint="eastAsia" w:ascii="宋体" w:hAnsi="宋体"/>
                <w:szCs w:val="44"/>
              </w:rPr>
            </w:pPr>
          </w:p>
        </w:tc>
      </w:tr>
      <w:tr w14:paraId="3C8A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4F2F57BD">
            <w:pPr>
              <w:jc w:val="center"/>
              <w:rPr>
                <w:rFonts w:hint="eastAsia" w:ascii="黑体" w:hAnsi="宋体" w:eastAsia="黑体"/>
                <w:szCs w:val="44"/>
              </w:rPr>
            </w:pPr>
            <w:r>
              <w:rPr>
                <w:rFonts w:hint="eastAsia" w:ascii="黑体" w:hAnsi="宋体" w:eastAsia="黑体"/>
                <w:szCs w:val="44"/>
              </w:rPr>
              <w:t>7</w:t>
            </w:r>
          </w:p>
        </w:tc>
        <w:tc>
          <w:tcPr>
            <w:tcW w:w="560" w:type="pct"/>
            <w:noWrap w:val="0"/>
            <w:vAlign w:val="center"/>
          </w:tcPr>
          <w:p w14:paraId="466E7E87">
            <w:pPr>
              <w:jc w:val="center"/>
              <w:rPr>
                <w:rFonts w:hint="eastAsia" w:ascii="宋体" w:hAnsi="宋体"/>
                <w:szCs w:val="44"/>
              </w:rPr>
            </w:pPr>
            <w:r>
              <w:rPr>
                <w:rFonts w:hint="eastAsia" w:ascii="宋体" w:hAnsi="宋体"/>
                <w:szCs w:val="44"/>
              </w:rPr>
              <w:t>项目经理</w:t>
            </w:r>
          </w:p>
        </w:tc>
        <w:tc>
          <w:tcPr>
            <w:tcW w:w="728" w:type="pct"/>
            <w:noWrap w:val="0"/>
            <w:vAlign w:val="center"/>
          </w:tcPr>
          <w:p w14:paraId="2EAEA7EB">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44F426CB">
            <w:pPr>
              <w:rPr>
                <w:rFonts w:hint="eastAsia" w:ascii="宋体" w:hAnsi="宋体"/>
                <w:szCs w:val="44"/>
              </w:rPr>
            </w:pPr>
            <w:r>
              <w:rPr>
                <w:rFonts w:hint="eastAsia"/>
                <w:szCs w:val="21"/>
              </w:rPr>
              <w:t>住房城乡建设</w:t>
            </w:r>
            <w:r>
              <w:rPr>
                <w:rFonts w:ascii="宋体" w:hAnsi="宋体"/>
                <w:szCs w:val="44"/>
              </w:rPr>
              <w:t>主管部门核发的建造师执业资格证书、注册证书和有效的安全生产考核合格证书</w:t>
            </w:r>
            <w:r>
              <w:rPr>
                <w:rFonts w:hint="eastAsia" w:ascii="宋体" w:hAnsi="宋体"/>
                <w:szCs w:val="44"/>
              </w:rPr>
              <w:t>（B证）</w:t>
            </w:r>
            <w:r>
              <w:rPr>
                <w:rFonts w:ascii="宋体" w:hAnsi="宋体"/>
                <w:szCs w:val="44"/>
              </w:rPr>
              <w:t>扫描件</w:t>
            </w:r>
          </w:p>
          <w:p w14:paraId="780FEC26">
            <w:pPr>
              <w:rPr>
                <w:rFonts w:hint="eastAsia" w:ascii="宋体" w:hAnsi="宋体"/>
                <w:szCs w:val="44"/>
              </w:rPr>
            </w:pPr>
            <w:r>
              <w:rPr>
                <w:rFonts w:ascii="宋体" w:hAnsi="宋体"/>
                <w:szCs w:val="44"/>
              </w:rPr>
              <w:t>由</w:t>
            </w:r>
            <w:r>
              <w:rPr>
                <w:rFonts w:hint="eastAsia" w:ascii="宋体" w:hAnsi="宋体"/>
                <w:szCs w:val="44"/>
              </w:rPr>
              <w:t>投标</w:t>
            </w:r>
            <w:r>
              <w:rPr>
                <w:rFonts w:ascii="宋体" w:hAnsi="宋体"/>
                <w:szCs w:val="44"/>
              </w:rPr>
              <w:t>人的法定代表人签字并加盖单位章的未在其他在施建设工程项目担任项目经理的书面承诺</w:t>
            </w:r>
          </w:p>
        </w:tc>
        <w:tc>
          <w:tcPr>
            <w:tcW w:w="296" w:type="pct"/>
            <w:noWrap w:val="0"/>
            <w:vAlign w:val="center"/>
          </w:tcPr>
          <w:p w14:paraId="7784866D">
            <w:pPr>
              <w:jc w:val="center"/>
              <w:rPr>
                <w:rFonts w:hint="eastAsia" w:ascii="宋体" w:hAnsi="宋体"/>
                <w:szCs w:val="44"/>
              </w:rPr>
            </w:pPr>
          </w:p>
        </w:tc>
        <w:tc>
          <w:tcPr>
            <w:tcW w:w="297" w:type="pct"/>
            <w:noWrap w:val="0"/>
            <w:vAlign w:val="center"/>
          </w:tcPr>
          <w:p w14:paraId="3BD2980F">
            <w:pPr>
              <w:jc w:val="center"/>
              <w:rPr>
                <w:rFonts w:hint="eastAsia" w:ascii="宋体" w:hAnsi="宋体"/>
                <w:szCs w:val="44"/>
              </w:rPr>
            </w:pPr>
          </w:p>
        </w:tc>
        <w:tc>
          <w:tcPr>
            <w:tcW w:w="297" w:type="pct"/>
            <w:noWrap w:val="0"/>
            <w:vAlign w:val="center"/>
          </w:tcPr>
          <w:p w14:paraId="59B6EDB7">
            <w:pPr>
              <w:jc w:val="center"/>
              <w:rPr>
                <w:rFonts w:hint="eastAsia" w:ascii="宋体" w:hAnsi="宋体"/>
                <w:szCs w:val="44"/>
              </w:rPr>
            </w:pPr>
          </w:p>
        </w:tc>
        <w:tc>
          <w:tcPr>
            <w:tcW w:w="297" w:type="pct"/>
            <w:noWrap w:val="0"/>
            <w:vAlign w:val="center"/>
          </w:tcPr>
          <w:p w14:paraId="07DB2DDC">
            <w:pPr>
              <w:jc w:val="center"/>
              <w:rPr>
                <w:rFonts w:hint="eastAsia" w:ascii="宋体" w:hAnsi="宋体"/>
                <w:szCs w:val="44"/>
              </w:rPr>
            </w:pPr>
          </w:p>
        </w:tc>
        <w:tc>
          <w:tcPr>
            <w:tcW w:w="296" w:type="pct"/>
            <w:noWrap w:val="0"/>
            <w:vAlign w:val="center"/>
          </w:tcPr>
          <w:p w14:paraId="06CF1006">
            <w:pPr>
              <w:jc w:val="center"/>
              <w:rPr>
                <w:rFonts w:hint="eastAsia" w:ascii="宋体" w:hAnsi="宋体"/>
                <w:szCs w:val="44"/>
              </w:rPr>
            </w:pPr>
          </w:p>
        </w:tc>
        <w:tc>
          <w:tcPr>
            <w:tcW w:w="297" w:type="pct"/>
            <w:noWrap w:val="0"/>
            <w:vAlign w:val="center"/>
          </w:tcPr>
          <w:p w14:paraId="063B562B">
            <w:pPr>
              <w:jc w:val="center"/>
              <w:rPr>
                <w:rFonts w:hint="eastAsia" w:ascii="宋体" w:hAnsi="宋体"/>
                <w:szCs w:val="44"/>
              </w:rPr>
            </w:pPr>
          </w:p>
        </w:tc>
        <w:tc>
          <w:tcPr>
            <w:tcW w:w="297" w:type="pct"/>
            <w:noWrap w:val="0"/>
            <w:vAlign w:val="center"/>
          </w:tcPr>
          <w:p w14:paraId="04FA5697">
            <w:pPr>
              <w:jc w:val="center"/>
              <w:rPr>
                <w:rFonts w:hint="eastAsia" w:ascii="宋体" w:hAnsi="宋体"/>
                <w:szCs w:val="44"/>
              </w:rPr>
            </w:pPr>
          </w:p>
        </w:tc>
        <w:tc>
          <w:tcPr>
            <w:tcW w:w="297" w:type="pct"/>
            <w:noWrap w:val="0"/>
            <w:vAlign w:val="center"/>
          </w:tcPr>
          <w:p w14:paraId="7A724CE9">
            <w:pPr>
              <w:jc w:val="center"/>
              <w:rPr>
                <w:rFonts w:hint="eastAsia" w:ascii="宋体" w:hAnsi="宋体"/>
                <w:szCs w:val="44"/>
              </w:rPr>
            </w:pPr>
          </w:p>
        </w:tc>
        <w:tc>
          <w:tcPr>
            <w:tcW w:w="295" w:type="pct"/>
            <w:noWrap w:val="0"/>
            <w:vAlign w:val="center"/>
          </w:tcPr>
          <w:p w14:paraId="12376BD4">
            <w:pPr>
              <w:jc w:val="center"/>
              <w:rPr>
                <w:rFonts w:hint="eastAsia" w:ascii="宋体" w:hAnsi="宋体"/>
                <w:szCs w:val="44"/>
              </w:rPr>
            </w:pPr>
          </w:p>
        </w:tc>
      </w:tr>
      <w:tr w14:paraId="7A9C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318E8150">
            <w:pPr>
              <w:jc w:val="center"/>
              <w:rPr>
                <w:rFonts w:hint="eastAsia" w:ascii="黑体" w:hAnsi="宋体" w:eastAsia="黑体"/>
                <w:szCs w:val="44"/>
              </w:rPr>
            </w:pPr>
            <w:r>
              <w:rPr>
                <w:rFonts w:hint="eastAsia" w:ascii="黑体" w:hAnsi="宋体" w:eastAsia="黑体"/>
                <w:szCs w:val="44"/>
              </w:rPr>
              <w:t>8</w:t>
            </w:r>
          </w:p>
        </w:tc>
        <w:tc>
          <w:tcPr>
            <w:tcW w:w="560" w:type="pct"/>
            <w:noWrap w:val="0"/>
            <w:vAlign w:val="center"/>
          </w:tcPr>
          <w:p w14:paraId="1BA45C34">
            <w:pPr>
              <w:jc w:val="center"/>
              <w:rPr>
                <w:rFonts w:hint="eastAsia" w:ascii="宋体" w:hAnsi="宋体"/>
                <w:szCs w:val="44"/>
              </w:rPr>
            </w:pPr>
            <w:r>
              <w:rPr>
                <w:rFonts w:hint="eastAsia" w:ascii="宋体" w:hAnsi="宋体"/>
                <w:szCs w:val="44"/>
              </w:rPr>
              <w:t>其他要求</w:t>
            </w:r>
          </w:p>
        </w:tc>
        <w:tc>
          <w:tcPr>
            <w:tcW w:w="728" w:type="pct"/>
            <w:noWrap w:val="0"/>
            <w:vAlign w:val="center"/>
          </w:tcPr>
          <w:p w14:paraId="28A61F47">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2200A271">
            <w:pPr>
              <w:rPr>
                <w:rFonts w:hint="eastAsia" w:ascii="宋体" w:hAnsi="宋体"/>
                <w:szCs w:val="44"/>
              </w:rPr>
            </w:pPr>
          </w:p>
        </w:tc>
        <w:tc>
          <w:tcPr>
            <w:tcW w:w="296" w:type="pct"/>
            <w:noWrap w:val="0"/>
            <w:vAlign w:val="center"/>
          </w:tcPr>
          <w:p w14:paraId="5513AD7D">
            <w:pPr>
              <w:jc w:val="center"/>
              <w:rPr>
                <w:rFonts w:hint="eastAsia" w:ascii="宋体" w:hAnsi="宋体"/>
                <w:szCs w:val="44"/>
              </w:rPr>
            </w:pPr>
          </w:p>
        </w:tc>
        <w:tc>
          <w:tcPr>
            <w:tcW w:w="297" w:type="pct"/>
            <w:noWrap w:val="0"/>
            <w:vAlign w:val="center"/>
          </w:tcPr>
          <w:p w14:paraId="1178A0FD">
            <w:pPr>
              <w:jc w:val="center"/>
              <w:rPr>
                <w:rFonts w:hint="eastAsia" w:ascii="宋体" w:hAnsi="宋体"/>
                <w:szCs w:val="44"/>
              </w:rPr>
            </w:pPr>
          </w:p>
        </w:tc>
        <w:tc>
          <w:tcPr>
            <w:tcW w:w="297" w:type="pct"/>
            <w:noWrap w:val="0"/>
            <w:vAlign w:val="center"/>
          </w:tcPr>
          <w:p w14:paraId="38D1A98F">
            <w:pPr>
              <w:jc w:val="center"/>
              <w:rPr>
                <w:rFonts w:hint="eastAsia" w:ascii="宋体" w:hAnsi="宋体"/>
                <w:szCs w:val="44"/>
              </w:rPr>
            </w:pPr>
          </w:p>
        </w:tc>
        <w:tc>
          <w:tcPr>
            <w:tcW w:w="297" w:type="pct"/>
            <w:noWrap w:val="0"/>
            <w:vAlign w:val="center"/>
          </w:tcPr>
          <w:p w14:paraId="756ECBEF">
            <w:pPr>
              <w:jc w:val="center"/>
              <w:rPr>
                <w:rFonts w:hint="eastAsia" w:ascii="宋体" w:hAnsi="宋体"/>
                <w:szCs w:val="44"/>
              </w:rPr>
            </w:pPr>
          </w:p>
        </w:tc>
        <w:tc>
          <w:tcPr>
            <w:tcW w:w="296" w:type="pct"/>
            <w:noWrap w:val="0"/>
            <w:vAlign w:val="center"/>
          </w:tcPr>
          <w:p w14:paraId="1B346C83">
            <w:pPr>
              <w:jc w:val="center"/>
              <w:rPr>
                <w:rFonts w:hint="eastAsia" w:ascii="宋体" w:hAnsi="宋体"/>
                <w:szCs w:val="44"/>
              </w:rPr>
            </w:pPr>
          </w:p>
        </w:tc>
        <w:tc>
          <w:tcPr>
            <w:tcW w:w="297" w:type="pct"/>
            <w:noWrap w:val="0"/>
            <w:vAlign w:val="center"/>
          </w:tcPr>
          <w:p w14:paraId="4B2FEC3F">
            <w:pPr>
              <w:jc w:val="center"/>
              <w:rPr>
                <w:rFonts w:hint="eastAsia" w:ascii="宋体" w:hAnsi="宋体"/>
                <w:szCs w:val="44"/>
              </w:rPr>
            </w:pPr>
          </w:p>
        </w:tc>
        <w:tc>
          <w:tcPr>
            <w:tcW w:w="297" w:type="pct"/>
            <w:noWrap w:val="0"/>
            <w:vAlign w:val="center"/>
          </w:tcPr>
          <w:p w14:paraId="58410D5F">
            <w:pPr>
              <w:jc w:val="center"/>
              <w:rPr>
                <w:rFonts w:hint="eastAsia" w:ascii="宋体" w:hAnsi="宋体"/>
                <w:szCs w:val="44"/>
              </w:rPr>
            </w:pPr>
          </w:p>
        </w:tc>
        <w:tc>
          <w:tcPr>
            <w:tcW w:w="297" w:type="pct"/>
            <w:noWrap w:val="0"/>
            <w:vAlign w:val="center"/>
          </w:tcPr>
          <w:p w14:paraId="49CC7A16">
            <w:pPr>
              <w:jc w:val="center"/>
              <w:rPr>
                <w:rFonts w:hint="eastAsia" w:ascii="宋体" w:hAnsi="宋体"/>
                <w:szCs w:val="44"/>
              </w:rPr>
            </w:pPr>
          </w:p>
        </w:tc>
        <w:tc>
          <w:tcPr>
            <w:tcW w:w="295" w:type="pct"/>
            <w:noWrap w:val="0"/>
            <w:vAlign w:val="center"/>
          </w:tcPr>
          <w:p w14:paraId="20EE56E8">
            <w:pPr>
              <w:jc w:val="center"/>
              <w:rPr>
                <w:rFonts w:hint="eastAsia" w:ascii="宋体" w:hAnsi="宋体"/>
                <w:szCs w:val="44"/>
              </w:rPr>
            </w:pPr>
          </w:p>
        </w:tc>
      </w:tr>
      <w:tr w14:paraId="7960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0" w:type="pct"/>
            <w:noWrap w:val="0"/>
            <w:vAlign w:val="center"/>
          </w:tcPr>
          <w:p w14:paraId="7DE6310F">
            <w:pPr>
              <w:jc w:val="center"/>
              <w:rPr>
                <w:rFonts w:hint="eastAsia" w:ascii="黑体" w:hAnsi="宋体" w:eastAsia="黑体"/>
                <w:szCs w:val="44"/>
              </w:rPr>
            </w:pPr>
            <w:r>
              <w:rPr>
                <w:rFonts w:hint="eastAsia" w:ascii="黑体" w:hAnsi="宋体" w:eastAsia="黑体"/>
                <w:szCs w:val="44"/>
              </w:rPr>
              <w:t>9</w:t>
            </w:r>
          </w:p>
        </w:tc>
        <w:tc>
          <w:tcPr>
            <w:tcW w:w="560" w:type="pct"/>
            <w:noWrap w:val="0"/>
            <w:vAlign w:val="center"/>
          </w:tcPr>
          <w:p w14:paraId="1890207A">
            <w:pPr>
              <w:jc w:val="center"/>
              <w:rPr>
                <w:rFonts w:hint="eastAsia" w:ascii="宋体" w:hAnsi="宋体"/>
                <w:szCs w:val="44"/>
              </w:rPr>
            </w:pPr>
            <w:r>
              <w:rPr>
                <w:rFonts w:hint="eastAsia" w:ascii="宋体" w:hAnsi="宋体"/>
                <w:szCs w:val="44"/>
              </w:rPr>
              <w:t>联合体</w:t>
            </w:r>
          </w:p>
          <w:p w14:paraId="51CD062B">
            <w:pPr>
              <w:jc w:val="center"/>
              <w:rPr>
                <w:rFonts w:hint="eastAsia" w:ascii="宋体" w:hAnsi="宋体"/>
                <w:szCs w:val="44"/>
              </w:rPr>
            </w:pPr>
            <w:r>
              <w:rPr>
                <w:rFonts w:hint="eastAsia" w:ascii="宋体" w:hAnsi="宋体"/>
                <w:szCs w:val="44"/>
              </w:rPr>
              <w:t>投标人</w:t>
            </w:r>
          </w:p>
          <w:p w14:paraId="62C87CE2">
            <w:pPr>
              <w:jc w:val="center"/>
              <w:rPr>
                <w:rFonts w:hint="eastAsia" w:ascii="宋体" w:hAnsi="宋体"/>
                <w:szCs w:val="44"/>
              </w:rPr>
            </w:pPr>
            <w:r>
              <w:rPr>
                <w:rFonts w:hint="eastAsia" w:ascii="宋体" w:hAnsi="宋体"/>
                <w:szCs w:val="44"/>
              </w:rPr>
              <w:t>（如有）</w:t>
            </w:r>
          </w:p>
        </w:tc>
        <w:tc>
          <w:tcPr>
            <w:tcW w:w="728" w:type="pct"/>
            <w:noWrap w:val="0"/>
            <w:vAlign w:val="center"/>
          </w:tcPr>
          <w:p w14:paraId="53C8186D">
            <w:pPr>
              <w:rPr>
                <w:rFonts w:hint="eastAsia" w:ascii="宋体" w:hAnsi="宋体"/>
                <w:szCs w:val="44"/>
              </w:rPr>
            </w:pPr>
            <w:r>
              <w:rPr>
                <w:rFonts w:ascii="宋体" w:hAnsi="宋体"/>
                <w:szCs w:val="44"/>
              </w:rPr>
              <w:t>符合第二章“投标人须知”第1.4.1 项规定</w:t>
            </w:r>
          </w:p>
        </w:tc>
        <w:tc>
          <w:tcPr>
            <w:tcW w:w="853" w:type="pct"/>
            <w:noWrap w:val="0"/>
            <w:vAlign w:val="top"/>
          </w:tcPr>
          <w:p w14:paraId="5971484B">
            <w:pPr>
              <w:rPr>
                <w:rFonts w:hint="eastAsia" w:ascii="宋体" w:hAnsi="宋体"/>
                <w:szCs w:val="44"/>
              </w:rPr>
            </w:pPr>
            <w:r>
              <w:rPr>
                <w:rFonts w:ascii="宋体" w:hAnsi="宋体"/>
                <w:szCs w:val="44"/>
              </w:rPr>
              <w:t>联合体协议书及联合体各成员单位提供的上述详细审查因素所需的证明材料</w:t>
            </w:r>
          </w:p>
        </w:tc>
        <w:tc>
          <w:tcPr>
            <w:tcW w:w="296" w:type="pct"/>
            <w:noWrap w:val="0"/>
            <w:vAlign w:val="center"/>
          </w:tcPr>
          <w:p w14:paraId="57F1D908">
            <w:pPr>
              <w:jc w:val="center"/>
              <w:rPr>
                <w:rFonts w:hint="eastAsia" w:ascii="宋体" w:hAnsi="宋体"/>
                <w:szCs w:val="44"/>
              </w:rPr>
            </w:pPr>
          </w:p>
        </w:tc>
        <w:tc>
          <w:tcPr>
            <w:tcW w:w="297" w:type="pct"/>
            <w:noWrap w:val="0"/>
            <w:vAlign w:val="center"/>
          </w:tcPr>
          <w:p w14:paraId="51BC3B79">
            <w:pPr>
              <w:jc w:val="center"/>
              <w:rPr>
                <w:rFonts w:hint="eastAsia" w:ascii="宋体" w:hAnsi="宋体"/>
                <w:szCs w:val="44"/>
              </w:rPr>
            </w:pPr>
          </w:p>
        </w:tc>
        <w:tc>
          <w:tcPr>
            <w:tcW w:w="297" w:type="pct"/>
            <w:noWrap w:val="0"/>
            <w:vAlign w:val="center"/>
          </w:tcPr>
          <w:p w14:paraId="2E845328">
            <w:pPr>
              <w:jc w:val="center"/>
              <w:rPr>
                <w:rFonts w:hint="eastAsia" w:ascii="宋体" w:hAnsi="宋体"/>
                <w:szCs w:val="44"/>
              </w:rPr>
            </w:pPr>
          </w:p>
        </w:tc>
        <w:tc>
          <w:tcPr>
            <w:tcW w:w="297" w:type="pct"/>
            <w:noWrap w:val="0"/>
            <w:vAlign w:val="center"/>
          </w:tcPr>
          <w:p w14:paraId="1ECDDF81">
            <w:pPr>
              <w:jc w:val="center"/>
              <w:rPr>
                <w:rFonts w:hint="eastAsia" w:ascii="宋体" w:hAnsi="宋体"/>
                <w:szCs w:val="44"/>
              </w:rPr>
            </w:pPr>
          </w:p>
        </w:tc>
        <w:tc>
          <w:tcPr>
            <w:tcW w:w="296" w:type="pct"/>
            <w:noWrap w:val="0"/>
            <w:vAlign w:val="center"/>
          </w:tcPr>
          <w:p w14:paraId="68141F2C">
            <w:pPr>
              <w:jc w:val="center"/>
              <w:rPr>
                <w:rFonts w:hint="eastAsia" w:ascii="宋体" w:hAnsi="宋体"/>
                <w:szCs w:val="44"/>
              </w:rPr>
            </w:pPr>
          </w:p>
        </w:tc>
        <w:tc>
          <w:tcPr>
            <w:tcW w:w="297" w:type="pct"/>
            <w:noWrap w:val="0"/>
            <w:vAlign w:val="center"/>
          </w:tcPr>
          <w:p w14:paraId="19A5C344">
            <w:pPr>
              <w:jc w:val="center"/>
              <w:rPr>
                <w:rFonts w:hint="eastAsia" w:ascii="宋体" w:hAnsi="宋体"/>
                <w:szCs w:val="44"/>
              </w:rPr>
            </w:pPr>
          </w:p>
        </w:tc>
        <w:tc>
          <w:tcPr>
            <w:tcW w:w="297" w:type="pct"/>
            <w:noWrap w:val="0"/>
            <w:vAlign w:val="center"/>
          </w:tcPr>
          <w:p w14:paraId="46996B8F">
            <w:pPr>
              <w:jc w:val="center"/>
              <w:rPr>
                <w:rFonts w:hint="eastAsia" w:ascii="宋体" w:hAnsi="宋体"/>
                <w:szCs w:val="44"/>
              </w:rPr>
            </w:pPr>
          </w:p>
        </w:tc>
        <w:tc>
          <w:tcPr>
            <w:tcW w:w="297" w:type="pct"/>
            <w:noWrap w:val="0"/>
            <w:vAlign w:val="center"/>
          </w:tcPr>
          <w:p w14:paraId="5E25C5DC">
            <w:pPr>
              <w:jc w:val="center"/>
              <w:rPr>
                <w:rFonts w:hint="eastAsia" w:ascii="宋体" w:hAnsi="宋体"/>
                <w:szCs w:val="44"/>
              </w:rPr>
            </w:pPr>
          </w:p>
        </w:tc>
        <w:tc>
          <w:tcPr>
            <w:tcW w:w="295" w:type="pct"/>
            <w:noWrap w:val="0"/>
            <w:vAlign w:val="center"/>
          </w:tcPr>
          <w:p w14:paraId="1F10E49F">
            <w:pPr>
              <w:jc w:val="center"/>
              <w:rPr>
                <w:rFonts w:hint="eastAsia" w:ascii="宋体" w:hAnsi="宋体"/>
                <w:szCs w:val="44"/>
              </w:rPr>
            </w:pPr>
          </w:p>
        </w:tc>
      </w:tr>
    </w:tbl>
    <w:p w14:paraId="1B621EA0">
      <w:pPr>
        <w:rPr>
          <w:rFonts w:hint="eastAsia" w:ascii="宋体" w:hAnsi="宋体"/>
          <w:szCs w:val="44"/>
        </w:rPr>
      </w:pPr>
    </w:p>
    <w:p w14:paraId="28CA6C0D">
      <w:pPr>
        <w:rPr>
          <w:rFonts w:hint="eastAsia" w:ascii="宋体" w:hAnsi="宋体"/>
          <w:szCs w:val="44"/>
        </w:rPr>
      </w:pPr>
    </w:p>
    <w:p w14:paraId="60713A6A">
      <w:pPr>
        <w:rPr>
          <w:rFonts w:hint="eastAsia" w:ascii="宋体" w:hAnsi="宋体"/>
          <w:szCs w:val="44"/>
        </w:rPr>
      </w:pPr>
    </w:p>
    <w:p w14:paraId="4F885114">
      <w:pPr>
        <w:rPr>
          <w:rFonts w:hint="eastAsia" w:ascii="宋体" w:hAnsi="宋体"/>
          <w:szCs w:val="44"/>
        </w:rPr>
      </w:pPr>
    </w:p>
    <w:p w14:paraId="3C1AF1D1">
      <w:pPr>
        <w:rPr>
          <w:rFonts w:hint="eastAsia" w:ascii="宋体" w:hAnsi="宋体"/>
          <w:szCs w:val="44"/>
        </w:rPr>
      </w:pPr>
    </w:p>
    <w:p w14:paraId="04CD335E">
      <w:pPr>
        <w:rPr>
          <w:rFonts w:hint="eastAsia" w:ascii="宋体" w:hAnsi="宋体"/>
          <w:szCs w:val="44"/>
        </w:rPr>
      </w:pPr>
    </w:p>
    <w:p w14:paraId="11F446C4">
      <w:pPr>
        <w:rPr>
          <w:rFonts w:hint="eastAsia" w:ascii="宋体" w:hAnsi="宋体"/>
          <w:szCs w:val="44"/>
        </w:rPr>
      </w:pP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1508"/>
        <w:gridCol w:w="1968"/>
        <w:gridCol w:w="2316"/>
        <w:gridCol w:w="782"/>
        <w:gridCol w:w="785"/>
        <w:gridCol w:w="785"/>
        <w:gridCol w:w="785"/>
        <w:gridCol w:w="782"/>
        <w:gridCol w:w="785"/>
        <w:gridCol w:w="785"/>
        <w:gridCol w:w="785"/>
        <w:gridCol w:w="774"/>
      </w:tblGrid>
      <w:tr w14:paraId="5EAC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vMerge w:val="restart"/>
            <w:noWrap w:val="0"/>
            <w:vAlign w:val="center"/>
          </w:tcPr>
          <w:p w14:paraId="56397C76">
            <w:pPr>
              <w:jc w:val="center"/>
              <w:rPr>
                <w:rFonts w:hint="eastAsia" w:ascii="宋体" w:hAnsi="宋体"/>
                <w:szCs w:val="44"/>
              </w:rPr>
            </w:pPr>
            <w:r>
              <w:rPr>
                <w:rFonts w:hint="eastAsia" w:ascii="宋体" w:hAnsi="宋体"/>
                <w:szCs w:val="44"/>
              </w:rPr>
              <w:t>序号</w:t>
            </w:r>
          </w:p>
        </w:tc>
        <w:tc>
          <w:tcPr>
            <w:tcW w:w="548" w:type="pct"/>
            <w:vMerge w:val="restart"/>
            <w:noWrap w:val="0"/>
            <w:vAlign w:val="center"/>
          </w:tcPr>
          <w:p w14:paraId="7903EAFD">
            <w:pPr>
              <w:jc w:val="center"/>
              <w:rPr>
                <w:rFonts w:hint="eastAsia" w:ascii="宋体" w:hAnsi="宋体"/>
                <w:szCs w:val="44"/>
              </w:rPr>
            </w:pPr>
            <w:r>
              <w:rPr>
                <w:rFonts w:hint="eastAsia" w:ascii="宋体" w:hAnsi="宋体"/>
                <w:szCs w:val="44"/>
              </w:rPr>
              <w:t>评审因素</w:t>
            </w:r>
          </w:p>
        </w:tc>
        <w:tc>
          <w:tcPr>
            <w:tcW w:w="715" w:type="pct"/>
            <w:vMerge w:val="restart"/>
            <w:noWrap w:val="0"/>
            <w:vAlign w:val="center"/>
          </w:tcPr>
          <w:p w14:paraId="04963DD7">
            <w:pPr>
              <w:jc w:val="center"/>
              <w:rPr>
                <w:rFonts w:hint="eastAsia" w:ascii="宋体" w:hAnsi="宋体"/>
                <w:szCs w:val="44"/>
              </w:rPr>
            </w:pPr>
            <w:r>
              <w:rPr>
                <w:rFonts w:hint="eastAsia" w:ascii="宋体" w:hAnsi="宋体"/>
                <w:szCs w:val="44"/>
              </w:rPr>
              <w:t>评审标准</w:t>
            </w:r>
          </w:p>
        </w:tc>
        <w:tc>
          <w:tcPr>
            <w:tcW w:w="841" w:type="pct"/>
            <w:vMerge w:val="restart"/>
            <w:noWrap w:val="0"/>
            <w:vAlign w:val="center"/>
          </w:tcPr>
          <w:p w14:paraId="5C61881D">
            <w:pPr>
              <w:autoSpaceDE w:val="0"/>
              <w:autoSpaceDN w:val="0"/>
              <w:adjustRightInd w:val="0"/>
              <w:snapToGrid w:val="0"/>
              <w:jc w:val="center"/>
              <w:rPr>
                <w:rFonts w:hint="eastAsia"/>
                <w:kern w:val="0"/>
                <w:sz w:val="24"/>
              </w:rPr>
            </w:pPr>
            <w:r>
              <w:rPr>
                <w:rFonts w:ascii="宋体" w:hAnsi="宋体"/>
                <w:szCs w:val="44"/>
              </w:rPr>
              <w:t>有效的证明材料</w:t>
            </w:r>
          </w:p>
        </w:tc>
        <w:tc>
          <w:tcPr>
            <w:tcW w:w="2559" w:type="pct"/>
            <w:gridSpan w:val="9"/>
            <w:noWrap w:val="0"/>
            <w:vAlign w:val="center"/>
          </w:tcPr>
          <w:p w14:paraId="66547B0E">
            <w:pPr>
              <w:jc w:val="center"/>
              <w:rPr>
                <w:rFonts w:hint="eastAsia" w:ascii="宋体" w:hAnsi="宋体"/>
                <w:szCs w:val="44"/>
              </w:rPr>
            </w:pPr>
            <w:r>
              <w:rPr>
                <w:rFonts w:hint="eastAsia" w:ascii="宋体" w:hAnsi="宋体"/>
                <w:szCs w:val="44"/>
              </w:rPr>
              <w:t>投标人名称及评审意见</w:t>
            </w:r>
          </w:p>
        </w:tc>
      </w:tr>
      <w:tr w14:paraId="71507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vMerge w:val="continue"/>
            <w:noWrap w:val="0"/>
            <w:vAlign w:val="center"/>
          </w:tcPr>
          <w:p w14:paraId="7429E3E0">
            <w:pPr>
              <w:spacing w:line="440" w:lineRule="exact"/>
              <w:jc w:val="center"/>
              <w:rPr>
                <w:rFonts w:hint="eastAsia" w:ascii="黑体" w:hAnsi="宋体" w:eastAsia="黑体"/>
              </w:rPr>
            </w:pPr>
          </w:p>
        </w:tc>
        <w:tc>
          <w:tcPr>
            <w:tcW w:w="548" w:type="pct"/>
            <w:vMerge w:val="continue"/>
            <w:noWrap w:val="0"/>
            <w:vAlign w:val="center"/>
          </w:tcPr>
          <w:p w14:paraId="766EC81A">
            <w:pPr>
              <w:jc w:val="center"/>
              <w:rPr>
                <w:rFonts w:hint="eastAsia" w:ascii="宋体" w:hAnsi="宋体"/>
                <w:szCs w:val="21"/>
              </w:rPr>
            </w:pPr>
          </w:p>
        </w:tc>
        <w:tc>
          <w:tcPr>
            <w:tcW w:w="715" w:type="pct"/>
            <w:vMerge w:val="continue"/>
            <w:noWrap w:val="0"/>
            <w:vAlign w:val="center"/>
          </w:tcPr>
          <w:p w14:paraId="6159E7BF">
            <w:pPr>
              <w:rPr>
                <w:rFonts w:hint="eastAsia" w:ascii="宋体" w:hAnsi="宋体"/>
                <w:szCs w:val="44"/>
              </w:rPr>
            </w:pPr>
          </w:p>
        </w:tc>
        <w:tc>
          <w:tcPr>
            <w:tcW w:w="841" w:type="pct"/>
            <w:vMerge w:val="continue"/>
            <w:noWrap w:val="0"/>
            <w:vAlign w:val="top"/>
          </w:tcPr>
          <w:p w14:paraId="42AB2FB5">
            <w:pPr>
              <w:rPr>
                <w:rFonts w:hint="eastAsia" w:ascii="宋体" w:hAnsi="宋体"/>
                <w:szCs w:val="44"/>
              </w:rPr>
            </w:pPr>
          </w:p>
        </w:tc>
        <w:tc>
          <w:tcPr>
            <w:tcW w:w="284" w:type="pct"/>
            <w:noWrap w:val="0"/>
            <w:vAlign w:val="center"/>
          </w:tcPr>
          <w:p w14:paraId="03F793C0">
            <w:pPr>
              <w:jc w:val="center"/>
              <w:rPr>
                <w:rFonts w:hint="eastAsia" w:ascii="宋体" w:hAnsi="宋体"/>
                <w:szCs w:val="44"/>
              </w:rPr>
            </w:pPr>
          </w:p>
        </w:tc>
        <w:tc>
          <w:tcPr>
            <w:tcW w:w="285" w:type="pct"/>
            <w:noWrap w:val="0"/>
            <w:vAlign w:val="center"/>
          </w:tcPr>
          <w:p w14:paraId="53F5D721">
            <w:pPr>
              <w:jc w:val="center"/>
              <w:rPr>
                <w:rFonts w:hint="eastAsia" w:ascii="宋体" w:hAnsi="宋体"/>
                <w:szCs w:val="44"/>
              </w:rPr>
            </w:pPr>
          </w:p>
        </w:tc>
        <w:tc>
          <w:tcPr>
            <w:tcW w:w="285" w:type="pct"/>
            <w:noWrap w:val="0"/>
            <w:vAlign w:val="center"/>
          </w:tcPr>
          <w:p w14:paraId="07AD778E">
            <w:pPr>
              <w:jc w:val="center"/>
              <w:rPr>
                <w:rFonts w:hint="eastAsia" w:ascii="宋体" w:hAnsi="宋体"/>
                <w:szCs w:val="44"/>
              </w:rPr>
            </w:pPr>
          </w:p>
        </w:tc>
        <w:tc>
          <w:tcPr>
            <w:tcW w:w="285" w:type="pct"/>
            <w:noWrap w:val="0"/>
            <w:vAlign w:val="center"/>
          </w:tcPr>
          <w:p w14:paraId="4FF30A57">
            <w:pPr>
              <w:jc w:val="center"/>
              <w:rPr>
                <w:rFonts w:hint="eastAsia" w:ascii="宋体" w:hAnsi="宋体"/>
                <w:szCs w:val="44"/>
              </w:rPr>
            </w:pPr>
          </w:p>
        </w:tc>
        <w:tc>
          <w:tcPr>
            <w:tcW w:w="284" w:type="pct"/>
            <w:noWrap w:val="0"/>
            <w:vAlign w:val="center"/>
          </w:tcPr>
          <w:p w14:paraId="7426264E">
            <w:pPr>
              <w:jc w:val="center"/>
              <w:rPr>
                <w:rFonts w:hint="eastAsia" w:ascii="宋体" w:hAnsi="宋体"/>
                <w:szCs w:val="44"/>
              </w:rPr>
            </w:pPr>
          </w:p>
        </w:tc>
        <w:tc>
          <w:tcPr>
            <w:tcW w:w="285" w:type="pct"/>
            <w:noWrap w:val="0"/>
            <w:vAlign w:val="center"/>
          </w:tcPr>
          <w:p w14:paraId="5269F97C">
            <w:pPr>
              <w:jc w:val="center"/>
              <w:rPr>
                <w:rFonts w:hint="eastAsia" w:ascii="宋体" w:hAnsi="宋体"/>
                <w:szCs w:val="44"/>
              </w:rPr>
            </w:pPr>
          </w:p>
        </w:tc>
        <w:tc>
          <w:tcPr>
            <w:tcW w:w="285" w:type="pct"/>
            <w:noWrap w:val="0"/>
            <w:vAlign w:val="center"/>
          </w:tcPr>
          <w:p w14:paraId="662E082A">
            <w:pPr>
              <w:jc w:val="center"/>
              <w:rPr>
                <w:rFonts w:hint="eastAsia" w:ascii="宋体" w:hAnsi="宋体"/>
                <w:szCs w:val="44"/>
              </w:rPr>
            </w:pPr>
          </w:p>
        </w:tc>
        <w:tc>
          <w:tcPr>
            <w:tcW w:w="285" w:type="pct"/>
            <w:noWrap w:val="0"/>
            <w:vAlign w:val="center"/>
          </w:tcPr>
          <w:p w14:paraId="5E39981A">
            <w:pPr>
              <w:jc w:val="center"/>
              <w:rPr>
                <w:rFonts w:hint="eastAsia" w:ascii="宋体" w:hAnsi="宋体"/>
                <w:szCs w:val="44"/>
              </w:rPr>
            </w:pPr>
          </w:p>
        </w:tc>
        <w:tc>
          <w:tcPr>
            <w:tcW w:w="283" w:type="pct"/>
            <w:noWrap w:val="0"/>
            <w:vAlign w:val="center"/>
          </w:tcPr>
          <w:p w14:paraId="327D23A0">
            <w:pPr>
              <w:jc w:val="center"/>
              <w:rPr>
                <w:rFonts w:hint="eastAsia" w:ascii="宋体" w:hAnsi="宋体"/>
                <w:szCs w:val="44"/>
              </w:rPr>
            </w:pPr>
          </w:p>
        </w:tc>
      </w:tr>
      <w:tr w14:paraId="0F663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7" w:type="pct"/>
            <w:noWrap w:val="0"/>
            <w:vAlign w:val="center"/>
          </w:tcPr>
          <w:p w14:paraId="24A13C29">
            <w:pPr>
              <w:spacing w:line="440" w:lineRule="exact"/>
              <w:jc w:val="center"/>
              <w:rPr>
                <w:rFonts w:hint="eastAsia" w:ascii="黑体" w:hAnsi="宋体" w:eastAsia="黑体"/>
              </w:rPr>
            </w:pPr>
            <w:r>
              <w:rPr>
                <w:rFonts w:hint="eastAsia" w:ascii="黑体" w:hAnsi="宋体" w:eastAsia="黑体"/>
              </w:rPr>
              <w:t>10</w:t>
            </w:r>
          </w:p>
        </w:tc>
        <w:tc>
          <w:tcPr>
            <w:tcW w:w="548" w:type="pct"/>
            <w:noWrap w:val="0"/>
            <w:vAlign w:val="center"/>
          </w:tcPr>
          <w:p w14:paraId="4251447E">
            <w:pPr>
              <w:spacing w:line="420" w:lineRule="exact"/>
              <w:rPr>
                <w:rFonts w:hint="eastAsia"/>
              </w:rPr>
            </w:pPr>
            <w:r>
              <w:rPr>
                <w:rFonts w:hint="eastAsia"/>
              </w:rPr>
              <w:t>不存在禁止投标的情形</w:t>
            </w:r>
          </w:p>
        </w:tc>
        <w:tc>
          <w:tcPr>
            <w:tcW w:w="715" w:type="pct"/>
            <w:noWrap w:val="0"/>
            <w:vAlign w:val="center"/>
          </w:tcPr>
          <w:p w14:paraId="3DE9D364">
            <w:pPr>
              <w:spacing w:line="360" w:lineRule="exact"/>
              <w:rPr>
                <w:rFonts w:hint="eastAsia"/>
                <w:szCs w:val="21"/>
              </w:rPr>
            </w:pPr>
            <w:r>
              <w:rPr>
                <w:rFonts w:hint="eastAsia"/>
                <w:szCs w:val="21"/>
              </w:rPr>
              <w:t>不存在</w:t>
            </w:r>
            <w:r>
              <w:rPr>
                <w:szCs w:val="21"/>
              </w:rPr>
              <w:t>第二章“投标人须知”第1.4.</w:t>
            </w:r>
            <w:r>
              <w:rPr>
                <w:rFonts w:hint="eastAsia"/>
                <w:szCs w:val="21"/>
              </w:rPr>
              <w:t>3</w:t>
            </w:r>
            <w:r>
              <w:rPr>
                <w:szCs w:val="21"/>
              </w:rPr>
              <w:t xml:space="preserve"> 项规定</w:t>
            </w:r>
            <w:r>
              <w:rPr>
                <w:rFonts w:hint="eastAsia"/>
                <w:szCs w:val="21"/>
              </w:rPr>
              <w:t>的</w:t>
            </w:r>
            <w:r>
              <w:rPr>
                <w:rFonts w:hint="eastAsia"/>
              </w:rPr>
              <w:t>任何一种</w:t>
            </w:r>
            <w:r>
              <w:rPr>
                <w:rFonts w:hint="eastAsia"/>
                <w:szCs w:val="21"/>
              </w:rPr>
              <w:t>情形</w:t>
            </w:r>
          </w:p>
        </w:tc>
        <w:tc>
          <w:tcPr>
            <w:tcW w:w="841" w:type="pct"/>
            <w:noWrap w:val="0"/>
            <w:vAlign w:val="center"/>
          </w:tcPr>
          <w:p w14:paraId="6B4EAA7F">
            <w:pPr>
              <w:rPr>
                <w:rFonts w:hint="eastAsia" w:ascii="宋体" w:hAnsi="宋体"/>
                <w:szCs w:val="44"/>
              </w:rPr>
            </w:pPr>
            <w:r>
              <w:rPr>
                <w:rFonts w:hint="eastAsia"/>
                <w:szCs w:val="21"/>
              </w:rPr>
              <w:t>企业法人营业执照扫描件及</w:t>
            </w:r>
            <w:r>
              <w:rPr>
                <w:rFonts w:hint="eastAsia" w:ascii="宋体" w:hAnsi="宋体"/>
                <w:szCs w:val="44"/>
              </w:rPr>
              <w:t>“投标函”</w:t>
            </w:r>
            <w:r>
              <w:rPr>
                <w:rFonts w:hint="eastAsia"/>
                <w:szCs w:val="21"/>
              </w:rPr>
              <w:t xml:space="preserve"> 、关联单位情况说明、</w:t>
            </w:r>
            <w:r>
              <w:rPr>
                <w:rFonts w:hint="eastAsia"/>
              </w:rPr>
              <w:t>企业信誉声明</w:t>
            </w:r>
            <w:r>
              <w:rPr>
                <w:rFonts w:hint="eastAsia" w:ascii="宋体" w:hAnsi="宋体"/>
                <w:szCs w:val="44"/>
              </w:rPr>
              <w:t>及相关证明材料</w:t>
            </w:r>
          </w:p>
        </w:tc>
        <w:tc>
          <w:tcPr>
            <w:tcW w:w="284" w:type="pct"/>
            <w:noWrap w:val="0"/>
            <w:vAlign w:val="center"/>
          </w:tcPr>
          <w:p w14:paraId="4927959E">
            <w:pPr>
              <w:jc w:val="center"/>
              <w:rPr>
                <w:rFonts w:hint="eastAsia" w:ascii="宋体" w:hAnsi="宋体"/>
                <w:szCs w:val="44"/>
              </w:rPr>
            </w:pPr>
          </w:p>
        </w:tc>
        <w:tc>
          <w:tcPr>
            <w:tcW w:w="285" w:type="pct"/>
            <w:noWrap w:val="0"/>
            <w:vAlign w:val="center"/>
          </w:tcPr>
          <w:p w14:paraId="195A8047">
            <w:pPr>
              <w:jc w:val="center"/>
              <w:rPr>
                <w:rFonts w:hint="eastAsia" w:ascii="宋体" w:hAnsi="宋体"/>
                <w:szCs w:val="44"/>
              </w:rPr>
            </w:pPr>
          </w:p>
        </w:tc>
        <w:tc>
          <w:tcPr>
            <w:tcW w:w="285" w:type="pct"/>
            <w:noWrap w:val="0"/>
            <w:vAlign w:val="center"/>
          </w:tcPr>
          <w:p w14:paraId="2FE472A0">
            <w:pPr>
              <w:jc w:val="center"/>
              <w:rPr>
                <w:rFonts w:hint="eastAsia" w:ascii="宋体" w:hAnsi="宋体"/>
                <w:szCs w:val="44"/>
              </w:rPr>
            </w:pPr>
          </w:p>
        </w:tc>
        <w:tc>
          <w:tcPr>
            <w:tcW w:w="285" w:type="pct"/>
            <w:noWrap w:val="0"/>
            <w:vAlign w:val="center"/>
          </w:tcPr>
          <w:p w14:paraId="0D919C74">
            <w:pPr>
              <w:jc w:val="center"/>
              <w:rPr>
                <w:rFonts w:hint="eastAsia" w:ascii="宋体" w:hAnsi="宋体"/>
                <w:szCs w:val="44"/>
              </w:rPr>
            </w:pPr>
          </w:p>
        </w:tc>
        <w:tc>
          <w:tcPr>
            <w:tcW w:w="284" w:type="pct"/>
            <w:noWrap w:val="0"/>
            <w:vAlign w:val="center"/>
          </w:tcPr>
          <w:p w14:paraId="13C39C19">
            <w:pPr>
              <w:jc w:val="center"/>
              <w:rPr>
                <w:rFonts w:hint="eastAsia" w:ascii="宋体" w:hAnsi="宋体"/>
                <w:szCs w:val="44"/>
              </w:rPr>
            </w:pPr>
          </w:p>
        </w:tc>
        <w:tc>
          <w:tcPr>
            <w:tcW w:w="285" w:type="pct"/>
            <w:noWrap w:val="0"/>
            <w:vAlign w:val="center"/>
          </w:tcPr>
          <w:p w14:paraId="11FCF013">
            <w:pPr>
              <w:jc w:val="center"/>
              <w:rPr>
                <w:rFonts w:hint="eastAsia" w:ascii="宋体" w:hAnsi="宋体"/>
                <w:szCs w:val="44"/>
              </w:rPr>
            </w:pPr>
          </w:p>
        </w:tc>
        <w:tc>
          <w:tcPr>
            <w:tcW w:w="285" w:type="pct"/>
            <w:noWrap w:val="0"/>
            <w:vAlign w:val="center"/>
          </w:tcPr>
          <w:p w14:paraId="1FD20875">
            <w:pPr>
              <w:jc w:val="center"/>
              <w:rPr>
                <w:rFonts w:hint="eastAsia" w:ascii="宋体" w:hAnsi="宋体"/>
                <w:szCs w:val="44"/>
              </w:rPr>
            </w:pPr>
          </w:p>
        </w:tc>
        <w:tc>
          <w:tcPr>
            <w:tcW w:w="285" w:type="pct"/>
            <w:noWrap w:val="0"/>
            <w:vAlign w:val="center"/>
          </w:tcPr>
          <w:p w14:paraId="7169409A">
            <w:pPr>
              <w:jc w:val="center"/>
              <w:rPr>
                <w:rFonts w:hint="eastAsia" w:ascii="宋体" w:hAnsi="宋体"/>
                <w:szCs w:val="44"/>
              </w:rPr>
            </w:pPr>
          </w:p>
        </w:tc>
        <w:tc>
          <w:tcPr>
            <w:tcW w:w="283" w:type="pct"/>
            <w:noWrap w:val="0"/>
            <w:vAlign w:val="center"/>
          </w:tcPr>
          <w:p w14:paraId="5C163205">
            <w:pPr>
              <w:jc w:val="center"/>
              <w:rPr>
                <w:rFonts w:hint="eastAsia" w:ascii="宋体" w:hAnsi="宋体"/>
                <w:szCs w:val="44"/>
              </w:rPr>
            </w:pPr>
          </w:p>
        </w:tc>
      </w:tr>
      <w:tr w14:paraId="5E74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1600" w:type="pct"/>
            <w:gridSpan w:val="3"/>
            <w:noWrap w:val="0"/>
            <w:vAlign w:val="center"/>
          </w:tcPr>
          <w:p w14:paraId="5F7B61C3">
            <w:pPr>
              <w:rPr>
                <w:rFonts w:hint="eastAsia" w:ascii="宋体" w:hAnsi="宋体"/>
                <w:szCs w:val="44"/>
              </w:rPr>
            </w:pPr>
            <w:r>
              <w:rPr>
                <w:rFonts w:ascii="宋体" w:hAnsi="宋体"/>
                <w:szCs w:val="44"/>
              </w:rPr>
              <w:t>资格评审结论：通过资格评审标注为√；未通过资格评审标注为×</w:t>
            </w:r>
          </w:p>
        </w:tc>
        <w:tc>
          <w:tcPr>
            <w:tcW w:w="841" w:type="pct"/>
            <w:noWrap w:val="0"/>
            <w:vAlign w:val="top"/>
          </w:tcPr>
          <w:p w14:paraId="139F452D">
            <w:pPr>
              <w:rPr>
                <w:rFonts w:hint="eastAsia" w:ascii="宋体" w:hAnsi="宋体"/>
                <w:szCs w:val="44"/>
              </w:rPr>
            </w:pPr>
          </w:p>
        </w:tc>
        <w:tc>
          <w:tcPr>
            <w:tcW w:w="284" w:type="pct"/>
            <w:noWrap w:val="0"/>
            <w:vAlign w:val="center"/>
          </w:tcPr>
          <w:p w14:paraId="6FA26600">
            <w:pPr>
              <w:jc w:val="center"/>
              <w:rPr>
                <w:rFonts w:hint="eastAsia" w:ascii="宋体" w:hAnsi="宋体"/>
                <w:szCs w:val="44"/>
              </w:rPr>
            </w:pPr>
          </w:p>
        </w:tc>
        <w:tc>
          <w:tcPr>
            <w:tcW w:w="285" w:type="pct"/>
            <w:noWrap w:val="0"/>
            <w:vAlign w:val="center"/>
          </w:tcPr>
          <w:p w14:paraId="2CDB57F1">
            <w:pPr>
              <w:jc w:val="center"/>
              <w:rPr>
                <w:rFonts w:hint="eastAsia" w:ascii="宋体" w:hAnsi="宋体"/>
                <w:szCs w:val="44"/>
              </w:rPr>
            </w:pPr>
          </w:p>
        </w:tc>
        <w:tc>
          <w:tcPr>
            <w:tcW w:w="285" w:type="pct"/>
            <w:noWrap w:val="0"/>
            <w:vAlign w:val="center"/>
          </w:tcPr>
          <w:p w14:paraId="43A2FCCB">
            <w:pPr>
              <w:jc w:val="center"/>
              <w:rPr>
                <w:rFonts w:hint="eastAsia" w:ascii="宋体" w:hAnsi="宋体"/>
                <w:szCs w:val="44"/>
              </w:rPr>
            </w:pPr>
          </w:p>
        </w:tc>
        <w:tc>
          <w:tcPr>
            <w:tcW w:w="285" w:type="pct"/>
            <w:noWrap w:val="0"/>
            <w:vAlign w:val="center"/>
          </w:tcPr>
          <w:p w14:paraId="038AD1C0">
            <w:pPr>
              <w:jc w:val="center"/>
              <w:rPr>
                <w:rFonts w:hint="eastAsia" w:ascii="宋体" w:hAnsi="宋体"/>
                <w:szCs w:val="44"/>
              </w:rPr>
            </w:pPr>
          </w:p>
        </w:tc>
        <w:tc>
          <w:tcPr>
            <w:tcW w:w="284" w:type="pct"/>
            <w:noWrap w:val="0"/>
            <w:vAlign w:val="center"/>
          </w:tcPr>
          <w:p w14:paraId="34BA20E1">
            <w:pPr>
              <w:jc w:val="center"/>
              <w:rPr>
                <w:rFonts w:hint="eastAsia" w:ascii="宋体" w:hAnsi="宋体"/>
                <w:szCs w:val="44"/>
              </w:rPr>
            </w:pPr>
          </w:p>
        </w:tc>
        <w:tc>
          <w:tcPr>
            <w:tcW w:w="285" w:type="pct"/>
            <w:noWrap w:val="0"/>
            <w:vAlign w:val="center"/>
          </w:tcPr>
          <w:p w14:paraId="2A6182F5">
            <w:pPr>
              <w:jc w:val="center"/>
              <w:rPr>
                <w:rFonts w:hint="eastAsia" w:ascii="宋体" w:hAnsi="宋体"/>
                <w:szCs w:val="44"/>
              </w:rPr>
            </w:pPr>
          </w:p>
        </w:tc>
        <w:tc>
          <w:tcPr>
            <w:tcW w:w="285" w:type="pct"/>
            <w:noWrap w:val="0"/>
            <w:vAlign w:val="center"/>
          </w:tcPr>
          <w:p w14:paraId="273D7929">
            <w:pPr>
              <w:jc w:val="center"/>
              <w:rPr>
                <w:rFonts w:hint="eastAsia" w:ascii="宋体" w:hAnsi="宋体"/>
                <w:szCs w:val="44"/>
              </w:rPr>
            </w:pPr>
          </w:p>
        </w:tc>
        <w:tc>
          <w:tcPr>
            <w:tcW w:w="285" w:type="pct"/>
            <w:noWrap w:val="0"/>
            <w:vAlign w:val="center"/>
          </w:tcPr>
          <w:p w14:paraId="3D016160">
            <w:pPr>
              <w:jc w:val="center"/>
              <w:rPr>
                <w:rFonts w:hint="eastAsia" w:ascii="宋体" w:hAnsi="宋体"/>
                <w:szCs w:val="44"/>
              </w:rPr>
            </w:pPr>
          </w:p>
        </w:tc>
        <w:tc>
          <w:tcPr>
            <w:tcW w:w="283" w:type="pct"/>
            <w:noWrap w:val="0"/>
            <w:vAlign w:val="center"/>
          </w:tcPr>
          <w:p w14:paraId="7A8E9A11">
            <w:pPr>
              <w:jc w:val="center"/>
              <w:rPr>
                <w:rFonts w:hint="eastAsia" w:ascii="宋体" w:hAnsi="宋体"/>
                <w:szCs w:val="44"/>
              </w:rPr>
            </w:pPr>
          </w:p>
        </w:tc>
      </w:tr>
    </w:tbl>
    <w:p w14:paraId="15B8C300">
      <w:pPr>
        <w:rPr>
          <w:rFonts w:hint="eastAsia" w:ascii="宋体" w:hAnsi="宋体"/>
          <w:szCs w:val="44"/>
        </w:rPr>
      </w:pPr>
    </w:p>
    <w:p w14:paraId="188D3BDE">
      <w:pPr>
        <w:rPr>
          <w:rFonts w:hint="eastAsia" w:ascii="宋体" w:hAnsi="宋体"/>
          <w:szCs w:val="44"/>
        </w:rPr>
      </w:pPr>
    </w:p>
    <w:p w14:paraId="7E4E3FF3">
      <w:pPr>
        <w:rPr>
          <w:rFonts w:hint="eastAsia" w:ascii="宋体" w:hAnsi="宋体"/>
          <w:szCs w:val="44"/>
        </w:rPr>
      </w:pPr>
      <w:r>
        <w:rPr>
          <w:rFonts w:hint="eastAsia" w:ascii="宋体" w:hAnsi="宋体"/>
          <w:szCs w:val="44"/>
        </w:rPr>
        <w:t>评标委员会全体成员签名：                                                                                日期：      年    月    日</w:t>
      </w:r>
    </w:p>
    <w:p w14:paraId="6B65C571">
      <w:pPr>
        <w:ind w:firstLine="420" w:firstLineChars="200"/>
        <w:rPr>
          <w:rFonts w:hint="eastAsia" w:ascii="宋体" w:hAnsi="宋体"/>
          <w:szCs w:val="44"/>
        </w:rPr>
      </w:pPr>
    </w:p>
    <w:p w14:paraId="494522A4">
      <w:pPr>
        <w:ind w:firstLine="420" w:firstLineChars="200"/>
        <w:rPr>
          <w:rFonts w:hint="eastAsia" w:ascii="宋体" w:hAnsi="宋体"/>
          <w:szCs w:val="44"/>
        </w:rPr>
      </w:pPr>
    </w:p>
    <w:p w14:paraId="144B92B9">
      <w:pPr>
        <w:ind w:firstLine="420" w:firstLineChars="200"/>
        <w:rPr>
          <w:rFonts w:hint="eastAsia" w:ascii="宋体" w:hAnsi="宋体"/>
          <w:szCs w:val="44"/>
        </w:rPr>
      </w:pPr>
    </w:p>
    <w:p w14:paraId="74D35335">
      <w:pPr>
        <w:ind w:firstLine="420" w:firstLineChars="200"/>
        <w:rPr>
          <w:rFonts w:hint="eastAsia" w:ascii="宋体" w:hAnsi="宋体"/>
          <w:szCs w:val="44"/>
        </w:rPr>
      </w:pPr>
    </w:p>
    <w:p w14:paraId="7F650301">
      <w:pPr>
        <w:ind w:firstLine="420" w:firstLineChars="200"/>
        <w:rPr>
          <w:rFonts w:hint="eastAsia" w:ascii="宋体" w:hAnsi="宋体"/>
          <w:szCs w:val="44"/>
        </w:rPr>
      </w:pPr>
    </w:p>
    <w:p w14:paraId="5B836BCE">
      <w:pPr>
        <w:ind w:firstLine="420" w:firstLineChars="200"/>
        <w:rPr>
          <w:rFonts w:hint="eastAsia" w:ascii="宋体" w:hAnsi="宋体"/>
          <w:szCs w:val="44"/>
        </w:rPr>
      </w:pPr>
    </w:p>
    <w:p w14:paraId="18912CD2">
      <w:pPr>
        <w:ind w:firstLine="420" w:firstLineChars="200"/>
        <w:rPr>
          <w:rFonts w:hint="eastAsia" w:ascii="宋体" w:hAnsi="宋体"/>
          <w:szCs w:val="44"/>
        </w:rPr>
      </w:pPr>
    </w:p>
    <w:p w14:paraId="34A278FE">
      <w:pPr>
        <w:ind w:firstLine="420" w:firstLineChars="200"/>
        <w:rPr>
          <w:rFonts w:hint="eastAsia" w:ascii="宋体" w:hAnsi="宋体"/>
          <w:szCs w:val="44"/>
        </w:rPr>
      </w:pPr>
    </w:p>
    <w:p w14:paraId="430933F6">
      <w:pPr>
        <w:ind w:firstLine="420" w:firstLineChars="200"/>
        <w:rPr>
          <w:rFonts w:hint="eastAsia" w:ascii="宋体" w:hAnsi="宋体"/>
          <w:szCs w:val="44"/>
        </w:rPr>
      </w:pPr>
    </w:p>
    <w:p w14:paraId="3BF43CED">
      <w:pPr>
        <w:ind w:firstLine="420" w:firstLineChars="200"/>
        <w:rPr>
          <w:rFonts w:hint="eastAsia" w:ascii="宋体" w:hAnsi="宋体"/>
          <w:szCs w:val="44"/>
        </w:rPr>
      </w:pPr>
    </w:p>
    <w:p w14:paraId="17EF48DB">
      <w:pPr>
        <w:ind w:firstLine="420" w:firstLineChars="200"/>
        <w:rPr>
          <w:rFonts w:hint="eastAsia" w:ascii="宋体" w:hAnsi="宋体"/>
          <w:szCs w:val="44"/>
        </w:rPr>
      </w:pPr>
    </w:p>
    <w:p w14:paraId="4C2F5A11">
      <w:pPr>
        <w:ind w:firstLine="420" w:firstLineChars="200"/>
        <w:rPr>
          <w:rFonts w:hint="eastAsia" w:ascii="宋体" w:hAnsi="宋体"/>
          <w:szCs w:val="44"/>
        </w:rPr>
      </w:pPr>
    </w:p>
    <w:p w14:paraId="1FD4A6F8">
      <w:pPr>
        <w:ind w:firstLine="420" w:firstLineChars="200"/>
        <w:rPr>
          <w:rFonts w:hint="eastAsia" w:ascii="宋体" w:hAnsi="宋体"/>
          <w:szCs w:val="44"/>
        </w:rPr>
      </w:pPr>
    </w:p>
    <w:p w14:paraId="23C8BA61">
      <w:pPr>
        <w:ind w:firstLine="420" w:firstLineChars="200"/>
        <w:rPr>
          <w:rFonts w:hint="eastAsia" w:ascii="宋体" w:hAnsi="宋体"/>
          <w:szCs w:val="44"/>
        </w:rPr>
      </w:pPr>
    </w:p>
    <w:p w14:paraId="675A23FB">
      <w:pPr>
        <w:pStyle w:val="20"/>
        <w:rPr>
          <w:rFonts w:hint="eastAsia"/>
        </w:rPr>
      </w:pPr>
      <w:bookmarkStart w:id="431" w:name="_Toc108513658"/>
      <w:r>
        <w:rPr>
          <w:rFonts w:hint="eastAsia"/>
        </w:rPr>
        <w:t>附表A-6：响应性评审记录表</w:t>
      </w:r>
      <w:bookmarkEnd w:id="431"/>
    </w:p>
    <w:p w14:paraId="650669ED">
      <w:pPr>
        <w:spacing w:after="240" w:afterLines="100"/>
        <w:jc w:val="center"/>
        <w:rPr>
          <w:rFonts w:hint="eastAsia" w:ascii="黑体" w:hAnsi="宋体" w:eastAsia="黑体"/>
          <w:sz w:val="28"/>
          <w:szCs w:val="28"/>
        </w:rPr>
      </w:pPr>
      <w:r>
        <w:rPr>
          <w:rFonts w:hint="eastAsia" w:ascii="黑体" w:hAnsi="宋体" w:eastAsia="黑体"/>
          <w:sz w:val="28"/>
          <w:szCs w:val="28"/>
        </w:rPr>
        <w:t>响应性评审记录表</w:t>
      </w:r>
    </w:p>
    <w:p w14:paraId="434B89BC">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133"/>
        <w:gridCol w:w="897"/>
        <w:gridCol w:w="898"/>
        <w:gridCol w:w="898"/>
        <w:gridCol w:w="897"/>
        <w:gridCol w:w="898"/>
        <w:gridCol w:w="898"/>
        <w:gridCol w:w="897"/>
        <w:gridCol w:w="898"/>
        <w:gridCol w:w="898"/>
      </w:tblGrid>
      <w:tr w14:paraId="6A4E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3" w:type="dxa"/>
            <w:vMerge w:val="restart"/>
            <w:noWrap w:val="0"/>
            <w:vAlign w:val="center"/>
          </w:tcPr>
          <w:p w14:paraId="26BCEE3A">
            <w:pPr>
              <w:jc w:val="center"/>
              <w:rPr>
                <w:rFonts w:hint="eastAsia" w:ascii="宋体" w:hAnsi="宋体"/>
                <w:szCs w:val="44"/>
              </w:rPr>
            </w:pPr>
            <w:r>
              <w:rPr>
                <w:rFonts w:hint="eastAsia" w:ascii="宋体" w:hAnsi="宋体"/>
                <w:szCs w:val="44"/>
              </w:rPr>
              <w:t>序号</w:t>
            </w:r>
          </w:p>
        </w:tc>
        <w:tc>
          <w:tcPr>
            <w:tcW w:w="1802" w:type="dxa"/>
            <w:vMerge w:val="restart"/>
            <w:noWrap w:val="0"/>
            <w:vAlign w:val="center"/>
          </w:tcPr>
          <w:p w14:paraId="0C184755">
            <w:pPr>
              <w:jc w:val="center"/>
              <w:rPr>
                <w:rFonts w:hint="eastAsia" w:ascii="宋体" w:hAnsi="宋体"/>
                <w:szCs w:val="44"/>
              </w:rPr>
            </w:pPr>
            <w:r>
              <w:rPr>
                <w:rFonts w:hint="eastAsia" w:ascii="宋体" w:hAnsi="宋体"/>
                <w:szCs w:val="44"/>
              </w:rPr>
              <w:t>评审因素</w:t>
            </w:r>
          </w:p>
        </w:tc>
        <w:tc>
          <w:tcPr>
            <w:tcW w:w="3133" w:type="dxa"/>
            <w:vMerge w:val="restart"/>
            <w:noWrap w:val="0"/>
            <w:vAlign w:val="center"/>
          </w:tcPr>
          <w:p w14:paraId="77F72AB6">
            <w:pPr>
              <w:jc w:val="center"/>
              <w:rPr>
                <w:rFonts w:hint="eastAsia" w:ascii="宋体" w:hAnsi="宋体"/>
                <w:szCs w:val="44"/>
              </w:rPr>
            </w:pPr>
            <w:r>
              <w:rPr>
                <w:rFonts w:hint="eastAsia" w:ascii="宋体" w:hAnsi="宋体"/>
                <w:szCs w:val="44"/>
              </w:rPr>
              <w:t>评审标准</w:t>
            </w:r>
          </w:p>
        </w:tc>
        <w:tc>
          <w:tcPr>
            <w:tcW w:w="8079" w:type="dxa"/>
            <w:gridSpan w:val="9"/>
            <w:noWrap w:val="0"/>
            <w:vAlign w:val="center"/>
          </w:tcPr>
          <w:p w14:paraId="0494CE6B">
            <w:pPr>
              <w:jc w:val="center"/>
              <w:rPr>
                <w:rFonts w:hint="eastAsia" w:ascii="宋体" w:hAnsi="宋体"/>
                <w:szCs w:val="44"/>
              </w:rPr>
            </w:pPr>
            <w:r>
              <w:rPr>
                <w:rFonts w:hint="eastAsia" w:ascii="宋体" w:hAnsi="宋体"/>
                <w:szCs w:val="44"/>
              </w:rPr>
              <w:t>投标人名称及评审意见</w:t>
            </w:r>
          </w:p>
        </w:tc>
      </w:tr>
      <w:tr w14:paraId="0F5C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3" w:type="dxa"/>
            <w:vMerge w:val="continue"/>
            <w:noWrap w:val="0"/>
            <w:vAlign w:val="center"/>
          </w:tcPr>
          <w:p w14:paraId="28C1B887">
            <w:pPr>
              <w:jc w:val="center"/>
              <w:rPr>
                <w:rFonts w:hint="eastAsia" w:ascii="宋体" w:hAnsi="宋体"/>
                <w:szCs w:val="44"/>
              </w:rPr>
            </w:pPr>
          </w:p>
        </w:tc>
        <w:tc>
          <w:tcPr>
            <w:tcW w:w="1802" w:type="dxa"/>
            <w:vMerge w:val="continue"/>
            <w:noWrap w:val="0"/>
            <w:vAlign w:val="top"/>
          </w:tcPr>
          <w:p w14:paraId="3AB57BF0">
            <w:pPr>
              <w:jc w:val="center"/>
              <w:rPr>
                <w:rFonts w:hint="eastAsia" w:ascii="宋体" w:hAnsi="宋体"/>
                <w:szCs w:val="44"/>
              </w:rPr>
            </w:pPr>
          </w:p>
        </w:tc>
        <w:tc>
          <w:tcPr>
            <w:tcW w:w="3133" w:type="dxa"/>
            <w:vMerge w:val="continue"/>
            <w:noWrap w:val="0"/>
            <w:vAlign w:val="center"/>
          </w:tcPr>
          <w:p w14:paraId="2BAB112B">
            <w:pPr>
              <w:rPr>
                <w:rFonts w:hint="eastAsia" w:ascii="宋体" w:hAnsi="宋体"/>
                <w:szCs w:val="44"/>
              </w:rPr>
            </w:pPr>
          </w:p>
        </w:tc>
        <w:tc>
          <w:tcPr>
            <w:tcW w:w="897" w:type="dxa"/>
            <w:noWrap w:val="0"/>
            <w:vAlign w:val="center"/>
          </w:tcPr>
          <w:p w14:paraId="0C79E54D">
            <w:pPr>
              <w:jc w:val="center"/>
              <w:rPr>
                <w:rFonts w:hint="eastAsia" w:ascii="宋体" w:hAnsi="宋体"/>
                <w:szCs w:val="44"/>
              </w:rPr>
            </w:pPr>
          </w:p>
        </w:tc>
        <w:tc>
          <w:tcPr>
            <w:tcW w:w="898" w:type="dxa"/>
            <w:noWrap w:val="0"/>
            <w:vAlign w:val="center"/>
          </w:tcPr>
          <w:p w14:paraId="49CD1A46">
            <w:pPr>
              <w:jc w:val="center"/>
              <w:rPr>
                <w:rFonts w:hint="eastAsia" w:ascii="宋体" w:hAnsi="宋体"/>
                <w:szCs w:val="44"/>
              </w:rPr>
            </w:pPr>
          </w:p>
        </w:tc>
        <w:tc>
          <w:tcPr>
            <w:tcW w:w="898" w:type="dxa"/>
            <w:noWrap w:val="0"/>
            <w:vAlign w:val="center"/>
          </w:tcPr>
          <w:p w14:paraId="5CBC672C">
            <w:pPr>
              <w:jc w:val="center"/>
              <w:rPr>
                <w:rFonts w:hint="eastAsia" w:ascii="宋体" w:hAnsi="宋体"/>
                <w:szCs w:val="44"/>
              </w:rPr>
            </w:pPr>
          </w:p>
        </w:tc>
        <w:tc>
          <w:tcPr>
            <w:tcW w:w="897" w:type="dxa"/>
            <w:noWrap w:val="0"/>
            <w:vAlign w:val="center"/>
          </w:tcPr>
          <w:p w14:paraId="5B7C6C85">
            <w:pPr>
              <w:jc w:val="center"/>
              <w:rPr>
                <w:rFonts w:hint="eastAsia" w:ascii="宋体" w:hAnsi="宋体"/>
                <w:szCs w:val="44"/>
              </w:rPr>
            </w:pPr>
          </w:p>
        </w:tc>
        <w:tc>
          <w:tcPr>
            <w:tcW w:w="898" w:type="dxa"/>
            <w:noWrap w:val="0"/>
            <w:vAlign w:val="center"/>
          </w:tcPr>
          <w:p w14:paraId="41F0FA9B">
            <w:pPr>
              <w:jc w:val="center"/>
              <w:rPr>
                <w:rFonts w:hint="eastAsia" w:ascii="宋体" w:hAnsi="宋体"/>
                <w:szCs w:val="44"/>
              </w:rPr>
            </w:pPr>
          </w:p>
        </w:tc>
        <w:tc>
          <w:tcPr>
            <w:tcW w:w="898" w:type="dxa"/>
            <w:noWrap w:val="0"/>
            <w:vAlign w:val="center"/>
          </w:tcPr>
          <w:p w14:paraId="57774CCB">
            <w:pPr>
              <w:jc w:val="center"/>
              <w:rPr>
                <w:rFonts w:hint="eastAsia" w:ascii="宋体" w:hAnsi="宋体"/>
                <w:szCs w:val="44"/>
              </w:rPr>
            </w:pPr>
          </w:p>
        </w:tc>
        <w:tc>
          <w:tcPr>
            <w:tcW w:w="897" w:type="dxa"/>
            <w:noWrap w:val="0"/>
            <w:vAlign w:val="center"/>
          </w:tcPr>
          <w:p w14:paraId="1B572A98">
            <w:pPr>
              <w:jc w:val="center"/>
              <w:rPr>
                <w:rFonts w:hint="eastAsia" w:ascii="宋体" w:hAnsi="宋体"/>
                <w:szCs w:val="44"/>
              </w:rPr>
            </w:pPr>
          </w:p>
        </w:tc>
        <w:tc>
          <w:tcPr>
            <w:tcW w:w="898" w:type="dxa"/>
            <w:noWrap w:val="0"/>
            <w:vAlign w:val="center"/>
          </w:tcPr>
          <w:p w14:paraId="108B50E0">
            <w:pPr>
              <w:jc w:val="center"/>
              <w:rPr>
                <w:rFonts w:hint="eastAsia" w:ascii="宋体" w:hAnsi="宋体"/>
                <w:szCs w:val="44"/>
              </w:rPr>
            </w:pPr>
          </w:p>
        </w:tc>
        <w:tc>
          <w:tcPr>
            <w:tcW w:w="898" w:type="dxa"/>
            <w:noWrap w:val="0"/>
            <w:vAlign w:val="center"/>
          </w:tcPr>
          <w:p w14:paraId="55FDC311">
            <w:pPr>
              <w:jc w:val="center"/>
              <w:rPr>
                <w:rFonts w:hint="eastAsia" w:ascii="宋体" w:hAnsi="宋体"/>
                <w:szCs w:val="44"/>
              </w:rPr>
            </w:pPr>
          </w:p>
        </w:tc>
      </w:tr>
      <w:tr w14:paraId="316EF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1C93FC05">
            <w:pPr>
              <w:jc w:val="center"/>
              <w:rPr>
                <w:rFonts w:hint="eastAsia" w:ascii="黑体" w:hAnsi="宋体" w:eastAsia="黑体"/>
                <w:szCs w:val="44"/>
              </w:rPr>
            </w:pPr>
            <w:r>
              <w:rPr>
                <w:rFonts w:hint="eastAsia" w:ascii="黑体" w:hAnsi="宋体" w:eastAsia="黑体"/>
                <w:szCs w:val="44"/>
              </w:rPr>
              <w:t>1</w:t>
            </w:r>
          </w:p>
        </w:tc>
        <w:tc>
          <w:tcPr>
            <w:tcW w:w="1802" w:type="dxa"/>
            <w:noWrap w:val="0"/>
            <w:vAlign w:val="center"/>
          </w:tcPr>
          <w:p w14:paraId="7697A537">
            <w:pPr>
              <w:jc w:val="center"/>
              <w:rPr>
                <w:rFonts w:hint="eastAsia" w:ascii="宋体" w:hAnsi="宋体"/>
                <w:szCs w:val="44"/>
              </w:rPr>
            </w:pPr>
            <w:r>
              <w:rPr>
                <w:rFonts w:hint="eastAsia" w:ascii="宋体" w:hAnsi="宋体"/>
                <w:szCs w:val="44"/>
              </w:rPr>
              <w:t>投标内容</w:t>
            </w:r>
          </w:p>
        </w:tc>
        <w:tc>
          <w:tcPr>
            <w:tcW w:w="3133" w:type="dxa"/>
            <w:noWrap w:val="0"/>
            <w:vAlign w:val="center"/>
          </w:tcPr>
          <w:p w14:paraId="7177CD46">
            <w:pPr>
              <w:rPr>
                <w:rFonts w:hint="eastAsia" w:ascii="宋体" w:hAnsi="宋体"/>
                <w:szCs w:val="44"/>
              </w:rPr>
            </w:pPr>
            <w:r>
              <w:rPr>
                <w:rFonts w:hint="eastAsia" w:ascii="宋体" w:hAnsi="宋体"/>
                <w:szCs w:val="21"/>
              </w:rPr>
              <w:t>符合第二章“投标人须知”第1.3.1项规定</w:t>
            </w:r>
          </w:p>
        </w:tc>
        <w:tc>
          <w:tcPr>
            <w:tcW w:w="897" w:type="dxa"/>
            <w:noWrap w:val="0"/>
            <w:vAlign w:val="center"/>
          </w:tcPr>
          <w:p w14:paraId="44A74705">
            <w:pPr>
              <w:jc w:val="center"/>
              <w:rPr>
                <w:rFonts w:hint="eastAsia" w:ascii="宋体" w:hAnsi="宋体"/>
                <w:szCs w:val="44"/>
              </w:rPr>
            </w:pPr>
          </w:p>
        </w:tc>
        <w:tc>
          <w:tcPr>
            <w:tcW w:w="898" w:type="dxa"/>
            <w:noWrap w:val="0"/>
            <w:vAlign w:val="center"/>
          </w:tcPr>
          <w:p w14:paraId="66FB4B54">
            <w:pPr>
              <w:jc w:val="center"/>
              <w:rPr>
                <w:rFonts w:hint="eastAsia" w:ascii="宋体" w:hAnsi="宋体"/>
                <w:szCs w:val="44"/>
              </w:rPr>
            </w:pPr>
          </w:p>
        </w:tc>
        <w:tc>
          <w:tcPr>
            <w:tcW w:w="898" w:type="dxa"/>
            <w:noWrap w:val="0"/>
            <w:vAlign w:val="center"/>
          </w:tcPr>
          <w:p w14:paraId="53D698D2">
            <w:pPr>
              <w:jc w:val="center"/>
              <w:rPr>
                <w:rFonts w:hint="eastAsia" w:ascii="宋体" w:hAnsi="宋体"/>
                <w:szCs w:val="44"/>
              </w:rPr>
            </w:pPr>
          </w:p>
        </w:tc>
        <w:tc>
          <w:tcPr>
            <w:tcW w:w="897" w:type="dxa"/>
            <w:noWrap w:val="0"/>
            <w:vAlign w:val="center"/>
          </w:tcPr>
          <w:p w14:paraId="64B100FB">
            <w:pPr>
              <w:jc w:val="center"/>
              <w:rPr>
                <w:rFonts w:hint="eastAsia" w:ascii="宋体" w:hAnsi="宋体"/>
                <w:szCs w:val="44"/>
              </w:rPr>
            </w:pPr>
          </w:p>
        </w:tc>
        <w:tc>
          <w:tcPr>
            <w:tcW w:w="898" w:type="dxa"/>
            <w:noWrap w:val="0"/>
            <w:vAlign w:val="center"/>
          </w:tcPr>
          <w:p w14:paraId="723B5DE8">
            <w:pPr>
              <w:jc w:val="center"/>
              <w:rPr>
                <w:rFonts w:hint="eastAsia" w:ascii="宋体" w:hAnsi="宋体"/>
                <w:szCs w:val="44"/>
              </w:rPr>
            </w:pPr>
          </w:p>
        </w:tc>
        <w:tc>
          <w:tcPr>
            <w:tcW w:w="898" w:type="dxa"/>
            <w:noWrap w:val="0"/>
            <w:vAlign w:val="center"/>
          </w:tcPr>
          <w:p w14:paraId="03A6BF87">
            <w:pPr>
              <w:jc w:val="center"/>
              <w:rPr>
                <w:rFonts w:hint="eastAsia" w:ascii="宋体" w:hAnsi="宋体"/>
                <w:szCs w:val="44"/>
              </w:rPr>
            </w:pPr>
          </w:p>
        </w:tc>
        <w:tc>
          <w:tcPr>
            <w:tcW w:w="897" w:type="dxa"/>
            <w:noWrap w:val="0"/>
            <w:vAlign w:val="center"/>
          </w:tcPr>
          <w:p w14:paraId="6DD0E18F">
            <w:pPr>
              <w:jc w:val="center"/>
              <w:rPr>
                <w:rFonts w:hint="eastAsia" w:ascii="宋体" w:hAnsi="宋体"/>
                <w:szCs w:val="44"/>
              </w:rPr>
            </w:pPr>
          </w:p>
        </w:tc>
        <w:tc>
          <w:tcPr>
            <w:tcW w:w="898" w:type="dxa"/>
            <w:noWrap w:val="0"/>
            <w:vAlign w:val="center"/>
          </w:tcPr>
          <w:p w14:paraId="58EFAC23">
            <w:pPr>
              <w:jc w:val="center"/>
              <w:rPr>
                <w:rFonts w:hint="eastAsia" w:ascii="宋体" w:hAnsi="宋体"/>
                <w:szCs w:val="44"/>
              </w:rPr>
            </w:pPr>
          </w:p>
        </w:tc>
        <w:tc>
          <w:tcPr>
            <w:tcW w:w="898" w:type="dxa"/>
            <w:noWrap w:val="0"/>
            <w:vAlign w:val="center"/>
          </w:tcPr>
          <w:p w14:paraId="63FAD6A1">
            <w:pPr>
              <w:jc w:val="center"/>
              <w:rPr>
                <w:rFonts w:hint="eastAsia" w:ascii="宋体" w:hAnsi="宋体"/>
                <w:szCs w:val="44"/>
              </w:rPr>
            </w:pPr>
          </w:p>
        </w:tc>
      </w:tr>
      <w:tr w14:paraId="7E96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4C732990">
            <w:pPr>
              <w:jc w:val="center"/>
              <w:rPr>
                <w:rFonts w:hint="eastAsia" w:ascii="黑体" w:hAnsi="宋体" w:eastAsia="黑体"/>
                <w:szCs w:val="44"/>
              </w:rPr>
            </w:pPr>
            <w:r>
              <w:rPr>
                <w:rFonts w:hint="eastAsia" w:ascii="黑体" w:hAnsi="宋体" w:eastAsia="黑体"/>
                <w:szCs w:val="44"/>
              </w:rPr>
              <w:t>2</w:t>
            </w:r>
          </w:p>
        </w:tc>
        <w:tc>
          <w:tcPr>
            <w:tcW w:w="1802" w:type="dxa"/>
            <w:noWrap w:val="0"/>
            <w:vAlign w:val="center"/>
          </w:tcPr>
          <w:p w14:paraId="0F60D126">
            <w:pPr>
              <w:jc w:val="center"/>
              <w:rPr>
                <w:rFonts w:hint="eastAsia" w:ascii="宋体" w:hAnsi="宋体"/>
                <w:szCs w:val="44"/>
              </w:rPr>
            </w:pPr>
            <w:r>
              <w:rPr>
                <w:rFonts w:hint="eastAsia" w:ascii="宋体" w:hAnsi="宋体"/>
                <w:szCs w:val="44"/>
              </w:rPr>
              <w:t>工期</w:t>
            </w:r>
          </w:p>
        </w:tc>
        <w:tc>
          <w:tcPr>
            <w:tcW w:w="3133" w:type="dxa"/>
            <w:noWrap w:val="0"/>
            <w:vAlign w:val="center"/>
          </w:tcPr>
          <w:p w14:paraId="1417432E">
            <w:pPr>
              <w:rPr>
                <w:rFonts w:hint="eastAsia" w:ascii="宋体" w:hAnsi="宋体"/>
                <w:szCs w:val="44"/>
              </w:rPr>
            </w:pPr>
            <w:r>
              <w:rPr>
                <w:rFonts w:hint="eastAsia" w:ascii="宋体" w:hAnsi="宋体"/>
                <w:szCs w:val="21"/>
              </w:rPr>
              <w:t>符合第二章“投标人须知”第1.3.2项规定</w:t>
            </w:r>
          </w:p>
        </w:tc>
        <w:tc>
          <w:tcPr>
            <w:tcW w:w="897" w:type="dxa"/>
            <w:noWrap w:val="0"/>
            <w:vAlign w:val="center"/>
          </w:tcPr>
          <w:p w14:paraId="4D5E8AC2">
            <w:pPr>
              <w:jc w:val="center"/>
              <w:rPr>
                <w:rFonts w:hint="eastAsia" w:ascii="宋体" w:hAnsi="宋体"/>
                <w:szCs w:val="44"/>
              </w:rPr>
            </w:pPr>
          </w:p>
        </w:tc>
        <w:tc>
          <w:tcPr>
            <w:tcW w:w="898" w:type="dxa"/>
            <w:noWrap w:val="0"/>
            <w:vAlign w:val="center"/>
          </w:tcPr>
          <w:p w14:paraId="4EE76F1E">
            <w:pPr>
              <w:jc w:val="center"/>
              <w:rPr>
                <w:rFonts w:hint="eastAsia" w:ascii="宋体" w:hAnsi="宋体"/>
                <w:szCs w:val="44"/>
              </w:rPr>
            </w:pPr>
          </w:p>
        </w:tc>
        <w:tc>
          <w:tcPr>
            <w:tcW w:w="898" w:type="dxa"/>
            <w:noWrap w:val="0"/>
            <w:vAlign w:val="center"/>
          </w:tcPr>
          <w:p w14:paraId="30C5F400">
            <w:pPr>
              <w:jc w:val="center"/>
              <w:rPr>
                <w:rFonts w:hint="eastAsia" w:ascii="宋体" w:hAnsi="宋体"/>
                <w:szCs w:val="44"/>
              </w:rPr>
            </w:pPr>
          </w:p>
        </w:tc>
        <w:tc>
          <w:tcPr>
            <w:tcW w:w="897" w:type="dxa"/>
            <w:noWrap w:val="0"/>
            <w:vAlign w:val="center"/>
          </w:tcPr>
          <w:p w14:paraId="5D44D125">
            <w:pPr>
              <w:jc w:val="center"/>
              <w:rPr>
                <w:rFonts w:hint="eastAsia" w:ascii="宋体" w:hAnsi="宋体"/>
                <w:szCs w:val="44"/>
              </w:rPr>
            </w:pPr>
          </w:p>
        </w:tc>
        <w:tc>
          <w:tcPr>
            <w:tcW w:w="898" w:type="dxa"/>
            <w:noWrap w:val="0"/>
            <w:vAlign w:val="center"/>
          </w:tcPr>
          <w:p w14:paraId="71F2BE18">
            <w:pPr>
              <w:jc w:val="center"/>
              <w:rPr>
                <w:rFonts w:hint="eastAsia" w:ascii="宋体" w:hAnsi="宋体"/>
                <w:szCs w:val="44"/>
              </w:rPr>
            </w:pPr>
          </w:p>
        </w:tc>
        <w:tc>
          <w:tcPr>
            <w:tcW w:w="898" w:type="dxa"/>
            <w:noWrap w:val="0"/>
            <w:vAlign w:val="center"/>
          </w:tcPr>
          <w:p w14:paraId="161DEDD4">
            <w:pPr>
              <w:jc w:val="center"/>
              <w:rPr>
                <w:rFonts w:hint="eastAsia" w:ascii="宋体" w:hAnsi="宋体"/>
                <w:szCs w:val="44"/>
              </w:rPr>
            </w:pPr>
          </w:p>
        </w:tc>
        <w:tc>
          <w:tcPr>
            <w:tcW w:w="897" w:type="dxa"/>
            <w:noWrap w:val="0"/>
            <w:vAlign w:val="center"/>
          </w:tcPr>
          <w:p w14:paraId="3F854F71">
            <w:pPr>
              <w:jc w:val="center"/>
              <w:rPr>
                <w:rFonts w:hint="eastAsia" w:ascii="宋体" w:hAnsi="宋体"/>
                <w:szCs w:val="44"/>
              </w:rPr>
            </w:pPr>
          </w:p>
        </w:tc>
        <w:tc>
          <w:tcPr>
            <w:tcW w:w="898" w:type="dxa"/>
            <w:noWrap w:val="0"/>
            <w:vAlign w:val="center"/>
          </w:tcPr>
          <w:p w14:paraId="61FBB0F3">
            <w:pPr>
              <w:jc w:val="center"/>
              <w:rPr>
                <w:rFonts w:hint="eastAsia" w:ascii="宋体" w:hAnsi="宋体"/>
                <w:szCs w:val="44"/>
              </w:rPr>
            </w:pPr>
          </w:p>
        </w:tc>
        <w:tc>
          <w:tcPr>
            <w:tcW w:w="898" w:type="dxa"/>
            <w:noWrap w:val="0"/>
            <w:vAlign w:val="center"/>
          </w:tcPr>
          <w:p w14:paraId="2F5FE126">
            <w:pPr>
              <w:jc w:val="center"/>
              <w:rPr>
                <w:rFonts w:hint="eastAsia" w:ascii="宋体" w:hAnsi="宋体"/>
                <w:szCs w:val="44"/>
              </w:rPr>
            </w:pPr>
          </w:p>
        </w:tc>
      </w:tr>
      <w:tr w14:paraId="5308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19239162">
            <w:pPr>
              <w:jc w:val="center"/>
              <w:rPr>
                <w:rFonts w:hint="eastAsia" w:ascii="黑体" w:hAnsi="宋体" w:eastAsia="黑体"/>
                <w:szCs w:val="44"/>
              </w:rPr>
            </w:pPr>
            <w:r>
              <w:rPr>
                <w:rFonts w:hint="eastAsia" w:ascii="黑体" w:hAnsi="宋体" w:eastAsia="黑体"/>
                <w:szCs w:val="44"/>
              </w:rPr>
              <w:t>3</w:t>
            </w:r>
          </w:p>
        </w:tc>
        <w:tc>
          <w:tcPr>
            <w:tcW w:w="1802" w:type="dxa"/>
            <w:noWrap w:val="0"/>
            <w:vAlign w:val="center"/>
          </w:tcPr>
          <w:p w14:paraId="20ECD409">
            <w:pPr>
              <w:jc w:val="center"/>
              <w:rPr>
                <w:rFonts w:hint="eastAsia" w:ascii="宋体" w:hAnsi="宋体"/>
                <w:szCs w:val="44"/>
              </w:rPr>
            </w:pPr>
            <w:r>
              <w:rPr>
                <w:rFonts w:hint="eastAsia" w:ascii="宋体" w:hAnsi="宋体"/>
                <w:szCs w:val="44"/>
              </w:rPr>
              <w:t>工程质量</w:t>
            </w:r>
          </w:p>
        </w:tc>
        <w:tc>
          <w:tcPr>
            <w:tcW w:w="3133" w:type="dxa"/>
            <w:noWrap w:val="0"/>
            <w:vAlign w:val="center"/>
          </w:tcPr>
          <w:p w14:paraId="60B1E1E6">
            <w:pPr>
              <w:rPr>
                <w:rFonts w:hint="eastAsia" w:ascii="宋体" w:hAnsi="宋体"/>
                <w:szCs w:val="21"/>
              </w:rPr>
            </w:pPr>
            <w:r>
              <w:rPr>
                <w:rFonts w:hint="eastAsia" w:ascii="宋体" w:hAnsi="宋体"/>
                <w:szCs w:val="21"/>
              </w:rPr>
              <w:t>符合第二章“投标人须知”第1.3.3项规定</w:t>
            </w:r>
          </w:p>
          <w:p w14:paraId="5136812A">
            <w:pPr>
              <w:rPr>
                <w:rFonts w:hint="eastAsia" w:ascii="宋体" w:hAnsi="宋体"/>
                <w:szCs w:val="44"/>
              </w:rPr>
            </w:pPr>
            <w:r>
              <w:rPr>
                <w:rFonts w:hint="eastAsia" w:ascii="宋体" w:hAnsi="宋体"/>
                <w:szCs w:val="21"/>
              </w:rPr>
              <w:t>（</w:t>
            </w:r>
            <w:r>
              <w:rPr>
                <w:rFonts w:ascii="宋体" w:hAnsi="宋体"/>
                <w:szCs w:val="21"/>
              </w:rPr>
              <w:t>投标文件中载明的质量</w:t>
            </w:r>
            <w:r>
              <w:rPr>
                <w:rFonts w:hint="eastAsia" w:ascii="宋体" w:hAnsi="宋体"/>
                <w:szCs w:val="21"/>
              </w:rPr>
              <w:t>标准</w:t>
            </w:r>
            <w:r>
              <w:rPr>
                <w:rFonts w:ascii="宋体" w:hAnsi="宋体"/>
                <w:szCs w:val="21"/>
              </w:rPr>
              <w:t>、质量奖项必须达到招标文件规定的质量</w:t>
            </w:r>
            <w:r>
              <w:rPr>
                <w:rFonts w:hint="eastAsia" w:ascii="宋体" w:hAnsi="宋体"/>
                <w:szCs w:val="21"/>
              </w:rPr>
              <w:t>标准</w:t>
            </w:r>
            <w:r>
              <w:rPr>
                <w:rFonts w:ascii="宋体" w:hAnsi="宋体"/>
                <w:szCs w:val="21"/>
              </w:rPr>
              <w:t>、质量奖项</w:t>
            </w:r>
            <w:r>
              <w:rPr>
                <w:rFonts w:hint="eastAsia" w:ascii="宋体" w:hAnsi="宋体"/>
                <w:szCs w:val="21"/>
              </w:rPr>
              <w:t>（如有）</w:t>
            </w:r>
            <w:r>
              <w:rPr>
                <w:rFonts w:ascii="宋体" w:hAnsi="宋体"/>
                <w:szCs w:val="21"/>
              </w:rPr>
              <w:t>，不能以质量奖项代替质量</w:t>
            </w:r>
            <w:r>
              <w:rPr>
                <w:rFonts w:hint="eastAsia" w:ascii="宋体" w:hAnsi="宋体"/>
                <w:szCs w:val="21"/>
              </w:rPr>
              <w:t>标准）</w:t>
            </w:r>
          </w:p>
        </w:tc>
        <w:tc>
          <w:tcPr>
            <w:tcW w:w="897" w:type="dxa"/>
            <w:noWrap w:val="0"/>
            <w:vAlign w:val="center"/>
          </w:tcPr>
          <w:p w14:paraId="7154F247">
            <w:pPr>
              <w:jc w:val="center"/>
              <w:rPr>
                <w:rFonts w:hint="eastAsia" w:ascii="宋体" w:hAnsi="宋体"/>
                <w:szCs w:val="44"/>
              </w:rPr>
            </w:pPr>
          </w:p>
        </w:tc>
        <w:tc>
          <w:tcPr>
            <w:tcW w:w="898" w:type="dxa"/>
            <w:noWrap w:val="0"/>
            <w:vAlign w:val="center"/>
          </w:tcPr>
          <w:p w14:paraId="2C513BB1">
            <w:pPr>
              <w:jc w:val="center"/>
              <w:rPr>
                <w:rFonts w:hint="eastAsia" w:ascii="宋体" w:hAnsi="宋体"/>
                <w:szCs w:val="44"/>
              </w:rPr>
            </w:pPr>
          </w:p>
        </w:tc>
        <w:tc>
          <w:tcPr>
            <w:tcW w:w="898" w:type="dxa"/>
            <w:noWrap w:val="0"/>
            <w:vAlign w:val="center"/>
          </w:tcPr>
          <w:p w14:paraId="552709C9">
            <w:pPr>
              <w:jc w:val="center"/>
              <w:rPr>
                <w:rFonts w:hint="eastAsia" w:ascii="宋体" w:hAnsi="宋体"/>
                <w:szCs w:val="44"/>
              </w:rPr>
            </w:pPr>
          </w:p>
        </w:tc>
        <w:tc>
          <w:tcPr>
            <w:tcW w:w="897" w:type="dxa"/>
            <w:noWrap w:val="0"/>
            <w:vAlign w:val="center"/>
          </w:tcPr>
          <w:p w14:paraId="561B26FB">
            <w:pPr>
              <w:jc w:val="center"/>
              <w:rPr>
                <w:rFonts w:hint="eastAsia" w:ascii="宋体" w:hAnsi="宋体"/>
                <w:szCs w:val="44"/>
              </w:rPr>
            </w:pPr>
          </w:p>
        </w:tc>
        <w:tc>
          <w:tcPr>
            <w:tcW w:w="898" w:type="dxa"/>
            <w:noWrap w:val="0"/>
            <w:vAlign w:val="center"/>
          </w:tcPr>
          <w:p w14:paraId="1993FCA8">
            <w:pPr>
              <w:jc w:val="center"/>
              <w:rPr>
                <w:rFonts w:hint="eastAsia" w:ascii="宋体" w:hAnsi="宋体"/>
                <w:szCs w:val="44"/>
              </w:rPr>
            </w:pPr>
          </w:p>
        </w:tc>
        <w:tc>
          <w:tcPr>
            <w:tcW w:w="898" w:type="dxa"/>
            <w:noWrap w:val="0"/>
            <w:vAlign w:val="center"/>
          </w:tcPr>
          <w:p w14:paraId="60F8D672">
            <w:pPr>
              <w:jc w:val="center"/>
              <w:rPr>
                <w:rFonts w:hint="eastAsia" w:ascii="宋体" w:hAnsi="宋体"/>
                <w:szCs w:val="44"/>
              </w:rPr>
            </w:pPr>
          </w:p>
        </w:tc>
        <w:tc>
          <w:tcPr>
            <w:tcW w:w="897" w:type="dxa"/>
            <w:noWrap w:val="0"/>
            <w:vAlign w:val="center"/>
          </w:tcPr>
          <w:p w14:paraId="1C057749">
            <w:pPr>
              <w:jc w:val="center"/>
              <w:rPr>
                <w:rFonts w:hint="eastAsia" w:ascii="宋体" w:hAnsi="宋体"/>
                <w:szCs w:val="44"/>
              </w:rPr>
            </w:pPr>
          </w:p>
        </w:tc>
        <w:tc>
          <w:tcPr>
            <w:tcW w:w="898" w:type="dxa"/>
            <w:noWrap w:val="0"/>
            <w:vAlign w:val="center"/>
          </w:tcPr>
          <w:p w14:paraId="74A33722">
            <w:pPr>
              <w:jc w:val="center"/>
              <w:rPr>
                <w:rFonts w:hint="eastAsia" w:ascii="宋体" w:hAnsi="宋体"/>
                <w:szCs w:val="44"/>
              </w:rPr>
            </w:pPr>
          </w:p>
        </w:tc>
        <w:tc>
          <w:tcPr>
            <w:tcW w:w="898" w:type="dxa"/>
            <w:noWrap w:val="0"/>
            <w:vAlign w:val="center"/>
          </w:tcPr>
          <w:p w14:paraId="322C8680">
            <w:pPr>
              <w:jc w:val="center"/>
              <w:rPr>
                <w:rFonts w:hint="eastAsia" w:ascii="宋体" w:hAnsi="宋体"/>
                <w:szCs w:val="44"/>
              </w:rPr>
            </w:pPr>
          </w:p>
        </w:tc>
      </w:tr>
      <w:tr w14:paraId="284C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7FF4ED67">
            <w:pPr>
              <w:jc w:val="center"/>
              <w:rPr>
                <w:rFonts w:hint="eastAsia" w:ascii="黑体" w:hAnsi="宋体" w:eastAsia="黑体"/>
                <w:szCs w:val="44"/>
              </w:rPr>
            </w:pPr>
            <w:r>
              <w:rPr>
                <w:rFonts w:hint="eastAsia" w:ascii="黑体" w:hAnsi="宋体" w:eastAsia="黑体"/>
                <w:szCs w:val="44"/>
              </w:rPr>
              <w:t>4</w:t>
            </w:r>
          </w:p>
        </w:tc>
        <w:tc>
          <w:tcPr>
            <w:tcW w:w="1802" w:type="dxa"/>
            <w:noWrap w:val="0"/>
            <w:vAlign w:val="center"/>
          </w:tcPr>
          <w:p w14:paraId="7726E2AE">
            <w:pPr>
              <w:jc w:val="center"/>
              <w:rPr>
                <w:rFonts w:hint="eastAsia" w:ascii="宋体" w:hAnsi="宋体"/>
                <w:szCs w:val="44"/>
              </w:rPr>
            </w:pPr>
            <w:r>
              <w:rPr>
                <w:rFonts w:hint="eastAsia" w:ascii="宋体" w:hAnsi="宋体"/>
                <w:szCs w:val="44"/>
              </w:rPr>
              <w:t>投标有效期</w:t>
            </w:r>
          </w:p>
        </w:tc>
        <w:tc>
          <w:tcPr>
            <w:tcW w:w="3133" w:type="dxa"/>
            <w:noWrap w:val="0"/>
            <w:vAlign w:val="center"/>
          </w:tcPr>
          <w:p w14:paraId="53EE6114">
            <w:pPr>
              <w:rPr>
                <w:rFonts w:hint="eastAsia" w:ascii="宋体" w:hAnsi="宋体"/>
                <w:szCs w:val="44"/>
              </w:rPr>
            </w:pPr>
            <w:r>
              <w:rPr>
                <w:rFonts w:hint="eastAsia" w:ascii="宋体" w:hAnsi="宋体"/>
                <w:szCs w:val="21"/>
              </w:rPr>
              <w:t>符合第二章“投标人须知”第3.3.1项规定</w:t>
            </w:r>
          </w:p>
        </w:tc>
        <w:tc>
          <w:tcPr>
            <w:tcW w:w="897" w:type="dxa"/>
            <w:noWrap w:val="0"/>
            <w:vAlign w:val="center"/>
          </w:tcPr>
          <w:p w14:paraId="37A3A45B">
            <w:pPr>
              <w:jc w:val="center"/>
              <w:rPr>
                <w:rFonts w:hint="eastAsia" w:ascii="宋体" w:hAnsi="宋体"/>
                <w:szCs w:val="44"/>
              </w:rPr>
            </w:pPr>
          </w:p>
        </w:tc>
        <w:tc>
          <w:tcPr>
            <w:tcW w:w="898" w:type="dxa"/>
            <w:noWrap w:val="0"/>
            <w:vAlign w:val="center"/>
          </w:tcPr>
          <w:p w14:paraId="24D79A12">
            <w:pPr>
              <w:jc w:val="center"/>
              <w:rPr>
                <w:rFonts w:hint="eastAsia" w:ascii="宋体" w:hAnsi="宋体"/>
                <w:szCs w:val="44"/>
              </w:rPr>
            </w:pPr>
          </w:p>
        </w:tc>
        <w:tc>
          <w:tcPr>
            <w:tcW w:w="898" w:type="dxa"/>
            <w:noWrap w:val="0"/>
            <w:vAlign w:val="center"/>
          </w:tcPr>
          <w:p w14:paraId="469CB689">
            <w:pPr>
              <w:jc w:val="center"/>
              <w:rPr>
                <w:rFonts w:hint="eastAsia" w:ascii="宋体" w:hAnsi="宋体"/>
                <w:szCs w:val="44"/>
              </w:rPr>
            </w:pPr>
          </w:p>
        </w:tc>
        <w:tc>
          <w:tcPr>
            <w:tcW w:w="897" w:type="dxa"/>
            <w:noWrap w:val="0"/>
            <w:vAlign w:val="center"/>
          </w:tcPr>
          <w:p w14:paraId="706A0EAA">
            <w:pPr>
              <w:jc w:val="center"/>
              <w:rPr>
                <w:rFonts w:hint="eastAsia" w:ascii="宋体" w:hAnsi="宋体"/>
                <w:szCs w:val="44"/>
              </w:rPr>
            </w:pPr>
          </w:p>
        </w:tc>
        <w:tc>
          <w:tcPr>
            <w:tcW w:w="898" w:type="dxa"/>
            <w:noWrap w:val="0"/>
            <w:vAlign w:val="center"/>
          </w:tcPr>
          <w:p w14:paraId="0E24B251">
            <w:pPr>
              <w:jc w:val="center"/>
              <w:rPr>
                <w:rFonts w:hint="eastAsia" w:ascii="宋体" w:hAnsi="宋体"/>
                <w:szCs w:val="44"/>
              </w:rPr>
            </w:pPr>
          </w:p>
        </w:tc>
        <w:tc>
          <w:tcPr>
            <w:tcW w:w="898" w:type="dxa"/>
            <w:noWrap w:val="0"/>
            <w:vAlign w:val="center"/>
          </w:tcPr>
          <w:p w14:paraId="1ACAAA9D">
            <w:pPr>
              <w:jc w:val="center"/>
              <w:rPr>
                <w:rFonts w:hint="eastAsia" w:ascii="宋体" w:hAnsi="宋体"/>
                <w:szCs w:val="44"/>
              </w:rPr>
            </w:pPr>
          </w:p>
        </w:tc>
        <w:tc>
          <w:tcPr>
            <w:tcW w:w="897" w:type="dxa"/>
            <w:noWrap w:val="0"/>
            <w:vAlign w:val="center"/>
          </w:tcPr>
          <w:p w14:paraId="586419D1">
            <w:pPr>
              <w:jc w:val="center"/>
              <w:rPr>
                <w:rFonts w:hint="eastAsia" w:ascii="宋体" w:hAnsi="宋体"/>
                <w:szCs w:val="44"/>
              </w:rPr>
            </w:pPr>
          </w:p>
        </w:tc>
        <w:tc>
          <w:tcPr>
            <w:tcW w:w="898" w:type="dxa"/>
            <w:noWrap w:val="0"/>
            <w:vAlign w:val="center"/>
          </w:tcPr>
          <w:p w14:paraId="0DE9D025">
            <w:pPr>
              <w:jc w:val="center"/>
              <w:rPr>
                <w:rFonts w:hint="eastAsia" w:ascii="宋体" w:hAnsi="宋体"/>
                <w:szCs w:val="44"/>
              </w:rPr>
            </w:pPr>
          </w:p>
        </w:tc>
        <w:tc>
          <w:tcPr>
            <w:tcW w:w="898" w:type="dxa"/>
            <w:noWrap w:val="0"/>
            <w:vAlign w:val="center"/>
          </w:tcPr>
          <w:p w14:paraId="5CBA979D">
            <w:pPr>
              <w:jc w:val="center"/>
              <w:rPr>
                <w:rFonts w:hint="eastAsia" w:ascii="宋体" w:hAnsi="宋体"/>
                <w:szCs w:val="44"/>
              </w:rPr>
            </w:pPr>
          </w:p>
        </w:tc>
      </w:tr>
      <w:tr w14:paraId="64ED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6885BE45">
            <w:pPr>
              <w:jc w:val="center"/>
              <w:rPr>
                <w:rFonts w:hint="eastAsia" w:ascii="黑体" w:hAnsi="宋体" w:eastAsia="黑体"/>
                <w:szCs w:val="44"/>
              </w:rPr>
            </w:pPr>
            <w:r>
              <w:rPr>
                <w:rFonts w:hint="eastAsia" w:ascii="黑体" w:hAnsi="宋体" w:eastAsia="黑体"/>
                <w:szCs w:val="44"/>
              </w:rPr>
              <w:t>5</w:t>
            </w:r>
          </w:p>
        </w:tc>
        <w:tc>
          <w:tcPr>
            <w:tcW w:w="1802" w:type="dxa"/>
            <w:noWrap w:val="0"/>
            <w:vAlign w:val="center"/>
          </w:tcPr>
          <w:p w14:paraId="61F5AC38">
            <w:pPr>
              <w:jc w:val="center"/>
              <w:rPr>
                <w:rFonts w:hint="eastAsia" w:ascii="宋体" w:hAnsi="宋体"/>
                <w:szCs w:val="44"/>
              </w:rPr>
            </w:pPr>
            <w:r>
              <w:rPr>
                <w:rFonts w:hint="eastAsia" w:ascii="宋体" w:hAnsi="宋体"/>
                <w:szCs w:val="44"/>
              </w:rPr>
              <w:t>投标保证金</w:t>
            </w:r>
          </w:p>
        </w:tc>
        <w:tc>
          <w:tcPr>
            <w:tcW w:w="3133" w:type="dxa"/>
            <w:noWrap w:val="0"/>
            <w:vAlign w:val="center"/>
          </w:tcPr>
          <w:p w14:paraId="4B2796B8">
            <w:pPr>
              <w:rPr>
                <w:rFonts w:hint="eastAsia" w:ascii="宋体" w:hAnsi="宋体"/>
                <w:szCs w:val="21"/>
              </w:rPr>
            </w:pPr>
            <w:r>
              <w:rPr>
                <w:rFonts w:hint="eastAsia" w:ascii="宋体" w:hAnsi="宋体"/>
                <w:szCs w:val="21"/>
              </w:rPr>
              <w:t>符合第二章“投标人须知”第3.4.1项规定（</w:t>
            </w:r>
            <w:r>
              <w:rPr>
                <w:rFonts w:ascii="宋体" w:hAnsi="宋体"/>
                <w:szCs w:val="21"/>
              </w:rPr>
              <w:t>投标保证金</w:t>
            </w:r>
            <w:r>
              <w:rPr>
                <w:rFonts w:hint="eastAsia" w:ascii="宋体" w:hAnsi="宋体"/>
                <w:szCs w:val="21"/>
              </w:rPr>
              <w:t>符合要求</w:t>
            </w:r>
            <w:r>
              <w:rPr>
                <w:rFonts w:ascii="宋体" w:hAnsi="宋体"/>
                <w:szCs w:val="21"/>
              </w:rPr>
              <w:t>是</w:t>
            </w:r>
            <w:r>
              <w:rPr>
                <w:rFonts w:hint="eastAsia" w:ascii="宋体" w:hAnsi="宋体"/>
                <w:szCs w:val="21"/>
              </w:rPr>
              <w:t>指</w:t>
            </w:r>
            <w:r>
              <w:rPr>
                <w:rFonts w:hint="eastAsia"/>
              </w:rPr>
              <w:t>投标保证金的形式、金额、递交截止时间、递交方式</w:t>
            </w:r>
            <w:r>
              <w:rPr>
                <w:rFonts w:ascii="宋体" w:hAnsi="宋体"/>
                <w:szCs w:val="21"/>
              </w:rPr>
              <w:t>符合招标文件规定</w:t>
            </w:r>
            <w:r>
              <w:rPr>
                <w:rFonts w:hint="eastAsia" w:ascii="宋体" w:hAnsi="宋体"/>
                <w:szCs w:val="21"/>
              </w:rPr>
              <w:t>；以现金、支票方式提交的应从</w:t>
            </w:r>
            <w:r>
              <w:rPr>
                <w:rFonts w:ascii="宋体" w:hAnsi="宋体"/>
                <w:szCs w:val="21"/>
              </w:rPr>
              <w:t>投标人基本账户转出</w:t>
            </w:r>
            <w:r>
              <w:rPr>
                <w:rFonts w:hint="eastAsia" w:ascii="宋体" w:hAnsi="宋体"/>
                <w:szCs w:val="21"/>
              </w:rPr>
              <w:t>，即投标人汇款凭证的账户号与其基本账户开户许可证的账户号一致）</w:t>
            </w:r>
          </w:p>
        </w:tc>
        <w:tc>
          <w:tcPr>
            <w:tcW w:w="897" w:type="dxa"/>
            <w:noWrap w:val="0"/>
            <w:vAlign w:val="center"/>
          </w:tcPr>
          <w:p w14:paraId="62C681FB">
            <w:pPr>
              <w:jc w:val="center"/>
              <w:rPr>
                <w:rFonts w:hint="eastAsia" w:ascii="宋体" w:hAnsi="宋体"/>
                <w:szCs w:val="44"/>
              </w:rPr>
            </w:pPr>
          </w:p>
        </w:tc>
        <w:tc>
          <w:tcPr>
            <w:tcW w:w="898" w:type="dxa"/>
            <w:noWrap w:val="0"/>
            <w:vAlign w:val="center"/>
          </w:tcPr>
          <w:p w14:paraId="15AB57A0">
            <w:pPr>
              <w:jc w:val="center"/>
              <w:rPr>
                <w:rFonts w:hint="eastAsia" w:ascii="宋体" w:hAnsi="宋体"/>
                <w:szCs w:val="44"/>
              </w:rPr>
            </w:pPr>
          </w:p>
        </w:tc>
        <w:tc>
          <w:tcPr>
            <w:tcW w:w="898" w:type="dxa"/>
            <w:noWrap w:val="0"/>
            <w:vAlign w:val="center"/>
          </w:tcPr>
          <w:p w14:paraId="3E0569CC">
            <w:pPr>
              <w:jc w:val="center"/>
              <w:rPr>
                <w:rFonts w:hint="eastAsia" w:ascii="宋体" w:hAnsi="宋体"/>
                <w:szCs w:val="44"/>
              </w:rPr>
            </w:pPr>
          </w:p>
        </w:tc>
        <w:tc>
          <w:tcPr>
            <w:tcW w:w="897" w:type="dxa"/>
            <w:noWrap w:val="0"/>
            <w:vAlign w:val="center"/>
          </w:tcPr>
          <w:p w14:paraId="12D80B50">
            <w:pPr>
              <w:jc w:val="center"/>
              <w:rPr>
                <w:rFonts w:hint="eastAsia" w:ascii="宋体" w:hAnsi="宋体"/>
                <w:szCs w:val="44"/>
              </w:rPr>
            </w:pPr>
          </w:p>
        </w:tc>
        <w:tc>
          <w:tcPr>
            <w:tcW w:w="898" w:type="dxa"/>
            <w:noWrap w:val="0"/>
            <w:vAlign w:val="center"/>
          </w:tcPr>
          <w:p w14:paraId="69DF0226">
            <w:pPr>
              <w:jc w:val="center"/>
              <w:rPr>
                <w:rFonts w:hint="eastAsia" w:ascii="宋体" w:hAnsi="宋体"/>
                <w:szCs w:val="44"/>
              </w:rPr>
            </w:pPr>
          </w:p>
        </w:tc>
        <w:tc>
          <w:tcPr>
            <w:tcW w:w="898" w:type="dxa"/>
            <w:noWrap w:val="0"/>
            <w:vAlign w:val="center"/>
          </w:tcPr>
          <w:p w14:paraId="3780976E">
            <w:pPr>
              <w:jc w:val="center"/>
              <w:rPr>
                <w:rFonts w:hint="eastAsia" w:ascii="宋体" w:hAnsi="宋体"/>
                <w:szCs w:val="44"/>
              </w:rPr>
            </w:pPr>
          </w:p>
        </w:tc>
        <w:tc>
          <w:tcPr>
            <w:tcW w:w="897" w:type="dxa"/>
            <w:noWrap w:val="0"/>
            <w:vAlign w:val="center"/>
          </w:tcPr>
          <w:p w14:paraId="79531CB3">
            <w:pPr>
              <w:jc w:val="center"/>
              <w:rPr>
                <w:rFonts w:hint="eastAsia" w:ascii="宋体" w:hAnsi="宋体"/>
                <w:szCs w:val="44"/>
              </w:rPr>
            </w:pPr>
          </w:p>
        </w:tc>
        <w:tc>
          <w:tcPr>
            <w:tcW w:w="898" w:type="dxa"/>
            <w:noWrap w:val="0"/>
            <w:vAlign w:val="center"/>
          </w:tcPr>
          <w:p w14:paraId="53C45B94">
            <w:pPr>
              <w:jc w:val="center"/>
              <w:rPr>
                <w:rFonts w:hint="eastAsia" w:ascii="宋体" w:hAnsi="宋体"/>
                <w:szCs w:val="44"/>
              </w:rPr>
            </w:pPr>
          </w:p>
        </w:tc>
        <w:tc>
          <w:tcPr>
            <w:tcW w:w="898" w:type="dxa"/>
            <w:noWrap w:val="0"/>
            <w:vAlign w:val="center"/>
          </w:tcPr>
          <w:p w14:paraId="46AEFF27">
            <w:pPr>
              <w:jc w:val="center"/>
              <w:rPr>
                <w:rFonts w:hint="eastAsia" w:ascii="宋体" w:hAnsi="宋体"/>
                <w:szCs w:val="44"/>
              </w:rPr>
            </w:pPr>
          </w:p>
        </w:tc>
      </w:tr>
    </w:tbl>
    <w:p w14:paraId="043F9FCF">
      <w:pPr>
        <w:rPr>
          <w:rFonts w:hint="eastAsia" w:ascii="宋体" w:hAnsi="宋体"/>
          <w:szCs w:val="44"/>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133"/>
        <w:gridCol w:w="897"/>
        <w:gridCol w:w="898"/>
        <w:gridCol w:w="898"/>
        <w:gridCol w:w="897"/>
        <w:gridCol w:w="898"/>
        <w:gridCol w:w="898"/>
        <w:gridCol w:w="897"/>
        <w:gridCol w:w="898"/>
        <w:gridCol w:w="898"/>
      </w:tblGrid>
      <w:tr w14:paraId="34715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36A41026">
            <w:pPr>
              <w:jc w:val="center"/>
              <w:rPr>
                <w:rFonts w:hint="eastAsia" w:ascii="宋体" w:hAnsi="宋体"/>
                <w:szCs w:val="44"/>
              </w:rPr>
            </w:pPr>
            <w:r>
              <w:rPr>
                <w:rFonts w:hint="eastAsia" w:ascii="宋体" w:hAnsi="宋体"/>
                <w:szCs w:val="44"/>
              </w:rPr>
              <w:t>序号</w:t>
            </w:r>
          </w:p>
        </w:tc>
        <w:tc>
          <w:tcPr>
            <w:tcW w:w="1802" w:type="dxa"/>
            <w:vMerge w:val="restart"/>
            <w:noWrap w:val="0"/>
            <w:vAlign w:val="center"/>
          </w:tcPr>
          <w:p w14:paraId="253A7E89">
            <w:pPr>
              <w:jc w:val="center"/>
              <w:rPr>
                <w:rFonts w:hint="eastAsia" w:ascii="宋体" w:hAnsi="宋体"/>
                <w:szCs w:val="44"/>
              </w:rPr>
            </w:pPr>
            <w:r>
              <w:rPr>
                <w:rFonts w:hint="eastAsia" w:ascii="宋体" w:hAnsi="宋体"/>
                <w:szCs w:val="44"/>
              </w:rPr>
              <w:t>评审因素</w:t>
            </w:r>
          </w:p>
        </w:tc>
        <w:tc>
          <w:tcPr>
            <w:tcW w:w="3133" w:type="dxa"/>
            <w:vMerge w:val="restart"/>
            <w:noWrap w:val="0"/>
            <w:vAlign w:val="center"/>
          </w:tcPr>
          <w:p w14:paraId="37C0A519">
            <w:pPr>
              <w:jc w:val="center"/>
              <w:rPr>
                <w:rFonts w:hint="eastAsia" w:ascii="宋体" w:hAnsi="宋体"/>
                <w:szCs w:val="44"/>
              </w:rPr>
            </w:pPr>
            <w:r>
              <w:rPr>
                <w:rFonts w:hint="eastAsia" w:ascii="宋体" w:hAnsi="宋体"/>
                <w:szCs w:val="44"/>
              </w:rPr>
              <w:t>评审标准</w:t>
            </w:r>
          </w:p>
        </w:tc>
        <w:tc>
          <w:tcPr>
            <w:tcW w:w="8079" w:type="dxa"/>
            <w:gridSpan w:val="9"/>
            <w:noWrap w:val="0"/>
            <w:vAlign w:val="center"/>
          </w:tcPr>
          <w:p w14:paraId="388DBDC4">
            <w:pPr>
              <w:jc w:val="center"/>
              <w:rPr>
                <w:rFonts w:hint="eastAsia" w:ascii="宋体" w:hAnsi="宋体"/>
                <w:szCs w:val="44"/>
              </w:rPr>
            </w:pPr>
            <w:r>
              <w:rPr>
                <w:rFonts w:hint="eastAsia" w:ascii="宋体" w:hAnsi="宋体"/>
                <w:szCs w:val="44"/>
              </w:rPr>
              <w:t>投标人名称及评审意见</w:t>
            </w:r>
          </w:p>
        </w:tc>
      </w:tr>
      <w:tr w14:paraId="6583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155028F8">
            <w:pPr>
              <w:jc w:val="center"/>
              <w:rPr>
                <w:rFonts w:hint="eastAsia" w:ascii="宋体" w:hAnsi="宋体"/>
                <w:szCs w:val="44"/>
              </w:rPr>
            </w:pPr>
          </w:p>
        </w:tc>
        <w:tc>
          <w:tcPr>
            <w:tcW w:w="1802" w:type="dxa"/>
            <w:vMerge w:val="continue"/>
            <w:noWrap w:val="0"/>
            <w:vAlign w:val="center"/>
          </w:tcPr>
          <w:p w14:paraId="6134A3D8">
            <w:pPr>
              <w:jc w:val="center"/>
              <w:rPr>
                <w:rFonts w:hint="eastAsia" w:ascii="宋体" w:hAnsi="宋体"/>
                <w:szCs w:val="44"/>
              </w:rPr>
            </w:pPr>
          </w:p>
        </w:tc>
        <w:tc>
          <w:tcPr>
            <w:tcW w:w="3133" w:type="dxa"/>
            <w:vMerge w:val="continue"/>
            <w:noWrap w:val="0"/>
            <w:vAlign w:val="center"/>
          </w:tcPr>
          <w:p w14:paraId="3DBDC39A">
            <w:pPr>
              <w:rPr>
                <w:rFonts w:hint="eastAsia" w:ascii="宋体" w:hAnsi="宋体"/>
                <w:szCs w:val="44"/>
              </w:rPr>
            </w:pPr>
          </w:p>
        </w:tc>
        <w:tc>
          <w:tcPr>
            <w:tcW w:w="897" w:type="dxa"/>
            <w:noWrap w:val="0"/>
            <w:vAlign w:val="center"/>
          </w:tcPr>
          <w:p w14:paraId="648D4803">
            <w:pPr>
              <w:jc w:val="center"/>
              <w:rPr>
                <w:rFonts w:hint="eastAsia" w:ascii="宋体" w:hAnsi="宋体"/>
                <w:szCs w:val="44"/>
              </w:rPr>
            </w:pPr>
          </w:p>
        </w:tc>
        <w:tc>
          <w:tcPr>
            <w:tcW w:w="898" w:type="dxa"/>
            <w:noWrap w:val="0"/>
            <w:vAlign w:val="center"/>
          </w:tcPr>
          <w:p w14:paraId="18001FD0">
            <w:pPr>
              <w:jc w:val="center"/>
              <w:rPr>
                <w:rFonts w:hint="eastAsia" w:ascii="宋体" w:hAnsi="宋体"/>
                <w:szCs w:val="44"/>
              </w:rPr>
            </w:pPr>
          </w:p>
        </w:tc>
        <w:tc>
          <w:tcPr>
            <w:tcW w:w="898" w:type="dxa"/>
            <w:noWrap w:val="0"/>
            <w:vAlign w:val="center"/>
          </w:tcPr>
          <w:p w14:paraId="123B790A">
            <w:pPr>
              <w:jc w:val="center"/>
              <w:rPr>
                <w:rFonts w:hint="eastAsia" w:ascii="宋体" w:hAnsi="宋体"/>
                <w:szCs w:val="44"/>
              </w:rPr>
            </w:pPr>
          </w:p>
        </w:tc>
        <w:tc>
          <w:tcPr>
            <w:tcW w:w="897" w:type="dxa"/>
            <w:noWrap w:val="0"/>
            <w:vAlign w:val="center"/>
          </w:tcPr>
          <w:p w14:paraId="54455E1C">
            <w:pPr>
              <w:jc w:val="center"/>
              <w:rPr>
                <w:rFonts w:hint="eastAsia" w:ascii="宋体" w:hAnsi="宋体"/>
                <w:szCs w:val="44"/>
              </w:rPr>
            </w:pPr>
          </w:p>
        </w:tc>
        <w:tc>
          <w:tcPr>
            <w:tcW w:w="898" w:type="dxa"/>
            <w:noWrap w:val="0"/>
            <w:vAlign w:val="center"/>
          </w:tcPr>
          <w:p w14:paraId="433DD360">
            <w:pPr>
              <w:jc w:val="center"/>
              <w:rPr>
                <w:rFonts w:hint="eastAsia" w:ascii="宋体" w:hAnsi="宋体"/>
                <w:szCs w:val="44"/>
              </w:rPr>
            </w:pPr>
          </w:p>
        </w:tc>
        <w:tc>
          <w:tcPr>
            <w:tcW w:w="898" w:type="dxa"/>
            <w:noWrap w:val="0"/>
            <w:vAlign w:val="center"/>
          </w:tcPr>
          <w:p w14:paraId="6E0CAEF2">
            <w:pPr>
              <w:jc w:val="center"/>
              <w:rPr>
                <w:rFonts w:hint="eastAsia" w:ascii="宋体" w:hAnsi="宋体"/>
                <w:szCs w:val="44"/>
              </w:rPr>
            </w:pPr>
          </w:p>
        </w:tc>
        <w:tc>
          <w:tcPr>
            <w:tcW w:w="897" w:type="dxa"/>
            <w:noWrap w:val="0"/>
            <w:vAlign w:val="center"/>
          </w:tcPr>
          <w:p w14:paraId="3B9FC078">
            <w:pPr>
              <w:jc w:val="center"/>
              <w:rPr>
                <w:rFonts w:hint="eastAsia" w:ascii="宋体" w:hAnsi="宋体"/>
                <w:szCs w:val="44"/>
              </w:rPr>
            </w:pPr>
          </w:p>
        </w:tc>
        <w:tc>
          <w:tcPr>
            <w:tcW w:w="898" w:type="dxa"/>
            <w:noWrap w:val="0"/>
            <w:vAlign w:val="center"/>
          </w:tcPr>
          <w:p w14:paraId="37AD83A4">
            <w:pPr>
              <w:jc w:val="center"/>
              <w:rPr>
                <w:rFonts w:hint="eastAsia" w:ascii="宋体" w:hAnsi="宋体"/>
                <w:szCs w:val="44"/>
              </w:rPr>
            </w:pPr>
          </w:p>
        </w:tc>
        <w:tc>
          <w:tcPr>
            <w:tcW w:w="898" w:type="dxa"/>
            <w:noWrap w:val="0"/>
            <w:vAlign w:val="center"/>
          </w:tcPr>
          <w:p w14:paraId="77733C22">
            <w:pPr>
              <w:jc w:val="center"/>
              <w:rPr>
                <w:rFonts w:hint="eastAsia" w:ascii="宋体" w:hAnsi="宋体"/>
                <w:szCs w:val="44"/>
              </w:rPr>
            </w:pPr>
          </w:p>
        </w:tc>
      </w:tr>
      <w:tr w14:paraId="17D80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6984F55C">
            <w:pPr>
              <w:jc w:val="center"/>
              <w:rPr>
                <w:rFonts w:hint="eastAsia" w:ascii="黑体" w:hAnsi="宋体" w:eastAsia="黑体"/>
                <w:szCs w:val="44"/>
              </w:rPr>
            </w:pPr>
            <w:r>
              <w:rPr>
                <w:rFonts w:hint="eastAsia" w:ascii="黑体" w:hAnsi="宋体" w:eastAsia="黑体"/>
                <w:szCs w:val="44"/>
              </w:rPr>
              <w:t>6</w:t>
            </w:r>
          </w:p>
        </w:tc>
        <w:tc>
          <w:tcPr>
            <w:tcW w:w="1802" w:type="dxa"/>
            <w:noWrap w:val="0"/>
            <w:vAlign w:val="center"/>
          </w:tcPr>
          <w:p w14:paraId="7B587801">
            <w:pPr>
              <w:jc w:val="center"/>
              <w:rPr>
                <w:rFonts w:hint="eastAsia" w:ascii="宋体" w:hAnsi="宋体"/>
                <w:szCs w:val="44"/>
              </w:rPr>
            </w:pPr>
            <w:r>
              <w:rPr>
                <w:rFonts w:hint="eastAsia" w:ascii="宋体" w:hAnsi="宋体"/>
                <w:szCs w:val="44"/>
              </w:rPr>
              <w:t>权利义务</w:t>
            </w:r>
          </w:p>
        </w:tc>
        <w:tc>
          <w:tcPr>
            <w:tcW w:w="3133" w:type="dxa"/>
            <w:noWrap w:val="0"/>
            <w:vAlign w:val="center"/>
          </w:tcPr>
          <w:p w14:paraId="5FE093F5">
            <w:pPr>
              <w:rPr>
                <w:rFonts w:hint="eastAsia" w:ascii="宋体" w:hAnsi="宋体"/>
                <w:szCs w:val="44"/>
              </w:rPr>
            </w:pPr>
            <w:r>
              <w:rPr>
                <w:rFonts w:ascii="宋体" w:hAnsi="宋体"/>
                <w:szCs w:val="21"/>
              </w:rPr>
              <w:t>投标函附录中的相关承诺符合或优于</w:t>
            </w:r>
            <w:r>
              <w:rPr>
                <w:rFonts w:hint="eastAsia" w:ascii="宋体" w:hAnsi="宋体"/>
                <w:szCs w:val="21"/>
              </w:rPr>
              <w:t>第四章“合同条款及格式”规定</w:t>
            </w:r>
          </w:p>
        </w:tc>
        <w:tc>
          <w:tcPr>
            <w:tcW w:w="897" w:type="dxa"/>
            <w:noWrap w:val="0"/>
            <w:vAlign w:val="center"/>
          </w:tcPr>
          <w:p w14:paraId="0300984B">
            <w:pPr>
              <w:jc w:val="center"/>
              <w:rPr>
                <w:rFonts w:hint="eastAsia" w:ascii="宋体" w:hAnsi="宋体"/>
                <w:szCs w:val="44"/>
              </w:rPr>
            </w:pPr>
          </w:p>
        </w:tc>
        <w:tc>
          <w:tcPr>
            <w:tcW w:w="898" w:type="dxa"/>
            <w:noWrap w:val="0"/>
            <w:vAlign w:val="center"/>
          </w:tcPr>
          <w:p w14:paraId="2E16FDDA">
            <w:pPr>
              <w:jc w:val="center"/>
              <w:rPr>
                <w:rFonts w:hint="eastAsia" w:ascii="宋体" w:hAnsi="宋体"/>
                <w:szCs w:val="44"/>
              </w:rPr>
            </w:pPr>
          </w:p>
        </w:tc>
        <w:tc>
          <w:tcPr>
            <w:tcW w:w="898" w:type="dxa"/>
            <w:noWrap w:val="0"/>
            <w:vAlign w:val="center"/>
          </w:tcPr>
          <w:p w14:paraId="7FE40A9F">
            <w:pPr>
              <w:jc w:val="center"/>
              <w:rPr>
                <w:rFonts w:hint="eastAsia" w:ascii="宋体" w:hAnsi="宋体"/>
                <w:szCs w:val="44"/>
              </w:rPr>
            </w:pPr>
          </w:p>
        </w:tc>
        <w:tc>
          <w:tcPr>
            <w:tcW w:w="897" w:type="dxa"/>
            <w:noWrap w:val="0"/>
            <w:vAlign w:val="center"/>
          </w:tcPr>
          <w:p w14:paraId="730AF422">
            <w:pPr>
              <w:jc w:val="center"/>
              <w:rPr>
                <w:rFonts w:hint="eastAsia" w:ascii="宋体" w:hAnsi="宋体"/>
                <w:szCs w:val="44"/>
              </w:rPr>
            </w:pPr>
          </w:p>
        </w:tc>
        <w:tc>
          <w:tcPr>
            <w:tcW w:w="898" w:type="dxa"/>
            <w:noWrap w:val="0"/>
            <w:vAlign w:val="center"/>
          </w:tcPr>
          <w:p w14:paraId="17BD0687">
            <w:pPr>
              <w:jc w:val="center"/>
              <w:rPr>
                <w:rFonts w:hint="eastAsia" w:ascii="宋体" w:hAnsi="宋体"/>
                <w:szCs w:val="44"/>
              </w:rPr>
            </w:pPr>
          </w:p>
        </w:tc>
        <w:tc>
          <w:tcPr>
            <w:tcW w:w="898" w:type="dxa"/>
            <w:noWrap w:val="0"/>
            <w:vAlign w:val="center"/>
          </w:tcPr>
          <w:p w14:paraId="242CAC25">
            <w:pPr>
              <w:jc w:val="center"/>
              <w:rPr>
                <w:rFonts w:hint="eastAsia" w:ascii="宋体" w:hAnsi="宋体"/>
                <w:szCs w:val="44"/>
              </w:rPr>
            </w:pPr>
          </w:p>
        </w:tc>
        <w:tc>
          <w:tcPr>
            <w:tcW w:w="897" w:type="dxa"/>
            <w:noWrap w:val="0"/>
            <w:vAlign w:val="center"/>
          </w:tcPr>
          <w:p w14:paraId="38A85F73">
            <w:pPr>
              <w:jc w:val="center"/>
              <w:rPr>
                <w:rFonts w:hint="eastAsia" w:ascii="宋体" w:hAnsi="宋体"/>
                <w:szCs w:val="44"/>
              </w:rPr>
            </w:pPr>
          </w:p>
        </w:tc>
        <w:tc>
          <w:tcPr>
            <w:tcW w:w="898" w:type="dxa"/>
            <w:noWrap w:val="0"/>
            <w:vAlign w:val="center"/>
          </w:tcPr>
          <w:p w14:paraId="12D9A18D">
            <w:pPr>
              <w:jc w:val="center"/>
              <w:rPr>
                <w:rFonts w:hint="eastAsia" w:ascii="宋体" w:hAnsi="宋体"/>
                <w:szCs w:val="44"/>
              </w:rPr>
            </w:pPr>
          </w:p>
        </w:tc>
        <w:tc>
          <w:tcPr>
            <w:tcW w:w="898" w:type="dxa"/>
            <w:noWrap w:val="0"/>
            <w:vAlign w:val="center"/>
          </w:tcPr>
          <w:p w14:paraId="17F30197">
            <w:pPr>
              <w:jc w:val="center"/>
              <w:rPr>
                <w:rFonts w:hint="eastAsia" w:ascii="宋体" w:hAnsi="宋体"/>
                <w:szCs w:val="44"/>
              </w:rPr>
            </w:pPr>
          </w:p>
        </w:tc>
      </w:tr>
      <w:tr w14:paraId="70908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19A9A6B6">
            <w:pPr>
              <w:jc w:val="center"/>
              <w:rPr>
                <w:rFonts w:hint="eastAsia" w:ascii="黑体" w:hAnsi="宋体" w:eastAsia="黑体"/>
                <w:szCs w:val="44"/>
              </w:rPr>
            </w:pPr>
            <w:r>
              <w:rPr>
                <w:rFonts w:hint="eastAsia" w:ascii="黑体" w:hAnsi="宋体" w:eastAsia="黑体"/>
                <w:szCs w:val="44"/>
              </w:rPr>
              <w:t>7</w:t>
            </w:r>
          </w:p>
        </w:tc>
        <w:tc>
          <w:tcPr>
            <w:tcW w:w="1802" w:type="dxa"/>
            <w:noWrap w:val="0"/>
            <w:vAlign w:val="center"/>
          </w:tcPr>
          <w:p w14:paraId="7A3932F7">
            <w:pPr>
              <w:jc w:val="center"/>
              <w:rPr>
                <w:rFonts w:hint="eastAsia" w:ascii="宋体" w:hAnsi="宋体"/>
                <w:szCs w:val="44"/>
              </w:rPr>
            </w:pPr>
            <w:r>
              <w:rPr>
                <w:rFonts w:hint="eastAsia" w:ascii="宋体" w:hAnsi="宋体"/>
                <w:szCs w:val="44"/>
              </w:rPr>
              <w:t>技术标准和要求</w:t>
            </w:r>
          </w:p>
        </w:tc>
        <w:tc>
          <w:tcPr>
            <w:tcW w:w="3133" w:type="dxa"/>
            <w:noWrap w:val="0"/>
            <w:vAlign w:val="center"/>
          </w:tcPr>
          <w:p w14:paraId="6D5DACCD">
            <w:pPr>
              <w:rPr>
                <w:rFonts w:hint="eastAsia" w:ascii="宋体" w:hAnsi="宋体"/>
                <w:szCs w:val="44"/>
              </w:rPr>
            </w:pPr>
            <w:r>
              <w:rPr>
                <w:rFonts w:hint="eastAsia" w:ascii="宋体" w:hAnsi="宋体"/>
                <w:szCs w:val="21"/>
              </w:rPr>
              <w:t>符合第七章“技术标准和要求”规定</w:t>
            </w:r>
          </w:p>
        </w:tc>
        <w:tc>
          <w:tcPr>
            <w:tcW w:w="897" w:type="dxa"/>
            <w:noWrap w:val="0"/>
            <w:vAlign w:val="center"/>
          </w:tcPr>
          <w:p w14:paraId="01EF61E7">
            <w:pPr>
              <w:jc w:val="center"/>
              <w:rPr>
                <w:rFonts w:hint="eastAsia" w:ascii="宋体" w:hAnsi="宋体"/>
                <w:szCs w:val="44"/>
              </w:rPr>
            </w:pPr>
          </w:p>
        </w:tc>
        <w:tc>
          <w:tcPr>
            <w:tcW w:w="898" w:type="dxa"/>
            <w:noWrap w:val="0"/>
            <w:vAlign w:val="center"/>
          </w:tcPr>
          <w:p w14:paraId="0BBCD034">
            <w:pPr>
              <w:jc w:val="center"/>
              <w:rPr>
                <w:rFonts w:hint="eastAsia" w:ascii="宋体" w:hAnsi="宋体"/>
                <w:szCs w:val="44"/>
              </w:rPr>
            </w:pPr>
          </w:p>
        </w:tc>
        <w:tc>
          <w:tcPr>
            <w:tcW w:w="898" w:type="dxa"/>
            <w:noWrap w:val="0"/>
            <w:vAlign w:val="center"/>
          </w:tcPr>
          <w:p w14:paraId="2DAC561F">
            <w:pPr>
              <w:jc w:val="center"/>
              <w:rPr>
                <w:rFonts w:hint="eastAsia" w:ascii="宋体" w:hAnsi="宋体"/>
                <w:szCs w:val="44"/>
              </w:rPr>
            </w:pPr>
          </w:p>
        </w:tc>
        <w:tc>
          <w:tcPr>
            <w:tcW w:w="897" w:type="dxa"/>
            <w:noWrap w:val="0"/>
            <w:vAlign w:val="center"/>
          </w:tcPr>
          <w:p w14:paraId="4D9BC518">
            <w:pPr>
              <w:jc w:val="center"/>
              <w:rPr>
                <w:rFonts w:hint="eastAsia" w:ascii="宋体" w:hAnsi="宋体"/>
                <w:szCs w:val="44"/>
              </w:rPr>
            </w:pPr>
          </w:p>
        </w:tc>
        <w:tc>
          <w:tcPr>
            <w:tcW w:w="898" w:type="dxa"/>
            <w:noWrap w:val="0"/>
            <w:vAlign w:val="center"/>
          </w:tcPr>
          <w:p w14:paraId="008420F0">
            <w:pPr>
              <w:jc w:val="center"/>
              <w:rPr>
                <w:rFonts w:hint="eastAsia" w:ascii="宋体" w:hAnsi="宋体"/>
                <w:szCs w:val="44"/>
              </w:rPr>
            </w:pPr>
          </w:p>
        </w:tc>
        <w:tc>
          <w:tcPr>
            <w:tcW w:w="898" w:type="dxa"/>
            <w:noWrap w:val="0"/>
            <w:vAlign w:val="center"/>
          </w:tcPr>
          <w:p w14:paraId="06A6EE33">
            <w:pPr>
              <w:jc w:val="center"/>
              <w:rPr>
                <w:rFonts w:hint="eastAsia" w:ascii="宋体" w:hAnsi="宋体"/>
                <w:szCs w:val="44"/>
              </w:rPr>
            </w:pPr>
          </w:p>
        </w:tc>
        <w:tc>
          <w:tcPr>
            <w:tcW w:w="897" w:type="dxa"/>
            <w:noWrap w:val="0"/>
            <w:vAlign w:val="center"/>
          </w:tcPr>
          <w:p w14:paraId="43874A22">
            <w:pPr>
              <w:jc w:val="center"/>
              <w:rPr>
                <w:rFonts w:hint="eastAsia" w:ascii="宋体" w:hAnsi="宋体"/>
                <w:szCs w:val="44"/>
              </w:rPr>
            </w:pPr>
          </w:p>
        </w:tc>
        <w:tc>
          <w:tcPr>
            <w:tcW w:w="898" w:type="dxa"/>
            <w:noWrap w:val="0"/>
            <w:vAlign w:val="center"/>
          </w:tcPr>
          <w:p w14:paraId="0EA59A8D">
            <w:pPr>
              <w:jc w:val="center"/>
              <w:rPr>
                <w:rFonts w:hint="eastAsia" w:ascii="宋体" w:hAnsi="宋体"/>
                <w:szCs w:val="44"/>
              </w:rPr>
            </w:pPr>
          </w:p>
        </w:tc>
        <w:tc>
          <w:tcPr>
            <w:tcW w:w="898" w:type="dxa"/>
            <w:noWrap w:val="0"/>
            <w:vAlign w:val="center"/>
          </w:tcPr>
          <w:p w14:paraId="11F801EB">
            <w:pPr>
              <w:jc w:val="center"/>
              <w:rPr>
                <w:rFonts w:hint="eastAsia" w:ascii="宋体" w:hAnsi="宋体"/>
                <w:szCs w:val="44"/>
              </w:rPr>
            </w:pPr>
          </w:p>
        </w:tc>
      </w:tr>
      <w:tr w14:paraId="23E5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noWrap w:val="0"/>
            <w:vAlign w:val="center"/>
          </w:tcPr>
          <w:p w14:paraId="24A60C9B">
            <w:pPr>
              <w:jc w:val="center"/>
              <w:rPr>
                <w:rFonts w:hint="eastAsia" w:ascii="黑体" w:hAnsi="宋体" w:eastAsia="黑体"/>
                <w:szCs w:val="44"/>
              </w:rPr>
            </w:pPr>
            <w:r>
              <w:rPr>
                <w:rFonts w:hint="eastAsia" w:ascii="黑体" w:hAnsi="宋体" w:eastAsia="黑体"/>
                <w:szCs w:val="44"/>
              </w:rPr>
              <w:t>8</w:t>
            </w:r>
          </w:p>
        </w:tc>
        <w:tc>
          <w:tcPr>
            <w:tcW w:w="1802" w:type="dxa"/>
            <w:noWrap w:val="0"/>
            <w:vAlign w:val="center"/>
          </w:tcPr>
          <w:p w14:paraId="7329ECD3">
            <w:pPr>
              <w:jc w:val="center"/>
              <w:rPr>
                <w:rFonts w:ascii="宋体" w:hAnsi="宋体"/>
                <w:szCs w:val="21"/>
              </w:rPr>
            </w:pPr>
            <w:r>
              <w:rPr>
                <w:rFonts w:hint="eastAsia" w:ascii="宋体" w:hAnsi="宋体"/>
                <w:szCs w:val="21"/>
              </w:rPr>
              <w:t>分包计划</w:t>
            </w:r>
          </w:p>
        </w:tc>
        <w:tc>
          <w:tcPr>
            <w:tcW w:w="3133" w:type="dxa"/>
            <w:noWrap w:val="0"/>
            <w:vAlign w:val="center"/>
          </w:tcPr>
          <w:p w14:paraId="1A7FFEB5">
            <w:pPr>
              <w:rPr>
                <w:rFonts w:ascii="宋体" w:hAnsi="宋体"/>
                <w:szCs w:val="21"/>
              </w:rPr>
            </w:pPr>
            <w:r>
              <w:rPr>
                <w:rFonts w:hint="eastAsia" w:ascii="宋体" w:hAnsi="宋体"/>
                <w:szCs w:val="21"/>
              </w:rPr>
              <w:t>符合第二章“投标人须知”第1.11款规定</w:t>
            </w:r>
          </w:p>
        </w:tc>
        <w:tc>
          <w:tcPr>
            <w:tcW w:w="897" w:type="dxa"/>
            <w:noWrap w:val="0"/>
            <w:vAlign w:val="center"/>
          </w:tcPr>
          <w:p w14:paraId="6C1149E2">
            <w:pPr>
              <w:jc w:val="center"/>
              <w:rPr>
                <w:rFonts w:hint="eastAsia" w:ascii="宋体" w:hAnsi="宋体"/>
                <w:szCs w:val="44"/>
              </w:rPr>
            </w:pPr>
          </w:p>
        </w:tc>
        <w:tc>
          <w:tcPr>
            <w:tcW w:w="898" w:type="dxa"/>
            <w:noWrap w:val="0"/>
            <w:vAlign w:val="center"/>
          </w:tcPr>
          <w:p w14:paraId="57A0AB61">
            <w:pPr>
              <w:jc w:val="center"/>
              <w:rPr>
                <w:rFonts w:hint="eastAsia" w:ascii="宋体" w:hAnsi="宋体"/>
                <w:szCs w:val="44"/>
              </w:rPr>
            </w:pPr>
          </w:p>
        </w:tc>
        <w:tc>
          <w:tcPr>
            <w:tcW w:w="898" w:type="dxa"/>
            <w:noWrap w:val="0"/>
            <w:vAlign w:val="center"/>
          </w:tcPr>
          <w:p w14:paraId="008DEE2B">
            <w:pPr>
              <w:jc w:val="center"/>
              <w:rPr>
                <w:rFonts w:hint="eastAsia" w:ascii="宋体" w:hAnsi="宋体"/>
                <w:szCs w:val="44"/>
              </w:rPr>
            </w:pPr>
          </w:p>
        </w:tc>
        <w:tc>
          <w:tcPr>
            <w:tcW w:w="897" w:type="dxa"/>
            <w:noWrap w:val="0"/>
            <w:vAlign w:val="center"/>
          </w:tcPr>
          <w:p w14:paraId="3A574059">
            <w:pPr>
              <w:jc w:val="center"/>
              <w:rPr>
                <w:rFonts w:hint="eastAsia" w:ascii="宋体" w:hAnsi="宋体"/>
                <w:szCs w:val="44"/>
              </w:rPr>
            </w:pPr>
          </w:p>
        </w:tc>
        <w:tc>
          <w:tcPr>
            <w:tcW w:w="898" w:type="dxa"/>
            <w:noWrap w:val="0"/>
            <w:vAlign w:val="center"/>
          </w:tcPr>
          <w:p w14:paraId="20D696F2">
            <w:pPr>
              <w:jc w:val="center"/>
              <w:rPr>
                <w:rFonts w:hint="eastAsia" w:ascii="宋体" w:hAnsi="宋体"/>
                <w:szCs w:val="44"/>
              </w:rPr>
            </w:pPr>
          </w:p>
        </w:tc>
        <w:tc>
          <w:tcPr>
            <w:tcW w:w="898" w:type="dxa"/>
            <w:noWrap w:val="0"/>
            <w:vAlign w:val="center"/>
          </w:tcPr>
          <w:p w14:paraId="3881BEA7">
            <w:pPr>
              <w:jc w:val="center"/>
              <w:rPr>
                <w:rFonts w:hint="eastAsia" w:ascii="宋体" w:hAnsi="宋体"/>
                <w:szCs w:val="44"/>
              </w:rPr>
            </w:pPr>
          </w:p>
        </w:tc>
        <w:tc>
          <w:tcPr>
            <w:tcW w:w="897" w:type="dxa"/>
            <w:noWrap w:val="0"/>
            <w:vAlign w:val="center"/>
          </w:tcPr>
          <w:p w14:paraId="6C6770C8">
            <w:pPr>
              <w:jc w:val="center"/>
              <w:rPr>
                <w:rFonts w:hint="eastAsia" w:ascii="宋体" w:hAnsi="宋体"/>
                <w:szCs w:val="44"/>
              </w:rPr>
            </w:pPr>
          </w:p>
        </w:tc>
        <w:tc>
          <w:tcPr>
            <w:tcW w:w="898" w:type="dxa"/>
            <w:noWrap w:val="0"/>
            <w:vAlign w:val="center"/>
          </w:tcPr>
          <w:p w14:paraId="45C7BBBB">
            <w:pPr>
              <w:jc w:val="center"/>
              <w:rPr>
                <w:rFonts w:hint="eastAsia" w:ascii="宋体" w:hAnsi="宋体"/>
                <w:szCs w:val="44"/>
              </w:rPr>
            </w:pPr>
          </w:p>
        </w:tc>
        <w:tc>
          <w:tcPr>
            <w:tcW w:w="898" w:type="dxa"/>
            <w:noWrap w:val="0"/>
            <w:vAlign w:val="center"/>
          </w:tcPr>
          <w:p w14:paraId="05C78642">
            <w:pPr>
              <w:jc w:val="center"/>
              <w:rPr>
                <w:rFonts w:hint="eastAsia" w:ascii="宋体" w:hAnsi="宋体"/>
                <w:szCs w:val="44"/>
              </w:rPr>
            </w:pPr>
          </w:p>
        </w:tc>
      </w:tr>
      <w:tr w14:paraId="0121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4FAF29E8">
            <w:pPr>
              <w:jc w:val="center"/>
              <w:rPr>
                <w:rFonts w:hint="eastAsia" w:ascii="黑体" w:hAnsi="宋体" w:eastAsia="黑体"/>
                <w:szCs w:val="44"/>
              </w:rPr>
            </w:pPr>
            <w:r>
              <w:rPr>
                <w:rFonts w:hint="eastAsia" w:ascii="黑体" w:hAnsi="宋体" w:eastAsia="黑体"/>
                <w:szCs w:val="44"/>
              </w:rPr>
              <w:t>9</w:t>
            </w:r>
          </w:p>
        </w:tc>
        <w:tc>
          <w:tcPr>
            <w:tcW w:w="1802" w:type="dxa"/>
            <w:vMerge w:val="restart"/>
            <w:noWrap w:val="0"/>
            <w:vAlign w:val="center"/>
          </w:tcPr>
          <w:p w14:paraId="1EE50F41">
            <w:pPr>
              <w:jc w:val="center"/>
              <w:rPr>
                <w:rFonts w:hint="eastAsia" w:ascii="宋体" w:hAnsi="宋体"/>
                <w:szCs w:val="21"/>
              </w:rPr>
            </w:pPr>
            <w:r>
              <w:rPr>
                <w:rFonts w:hint="eastAsia" w:ascii="宋体" w:hAnsi="宋体"/>
                <w:szCs w:val="21"/>
              </w:rPr>
              <w:t>投标报价</w:t>
            </w:r>
          </w:p>
          <w:p w14:paraId="6A6C9A49">
            <w:pPr>
              <w:jc w:val="center"/>
              <w:rPr>
                <w:rFonts w:hint="eastAsia" w:ascii="宋体" w:hAnsi="宋体"/>
                <w:szCs w:val="44"/>
              </w:rPr>
            </w:pPr>
            <w:r>
              <w:rPr>
                <w:rFonts w:hint="eastAsia" w:ascii="宋体" w:hAnsi="宋体"/>
                <w:szCs w:val="21"/>
              </w:rPr>
              <w:t>算术错误修正</w:t>
            </w:r>
          </w:p>
        </w:tc>
        <w:tc>
          <w:tcPr>
            <w:tcW w:w="3133" w:type="dxa"/>
            <w:noWrap w:val="0"/>
            <w:vAlign w:val="center"/>
          </w:tcPr>
          <w:p w14:paraId="1A62169D">
            <w:pPr>
              <w:rPr>
                <w:rFonts w:hint="eastAsia" w:ascii="宋体" w:hAnsi="宋体"/>
                <w:szCs w:val="21"/>
              </w:rPr>
            </w:pPr>
            <w:r>
              <w:rPr>
                <w:rFonts w:hint="eastAsia" w:ascii="宋体" w:hAnsi="宋体"/>
                <w:szCs w:val="21"/>
              </w:rPr>
              <w:t>投标人接受算术修正后的报价</w:t>
            </w:r>
          </w:p>
        </w:tc>
        <w:tc>
          <w:tcPr>
            <w:tcW w:w="897" w:type="dxa"/>
            <w:noWrap w:val="0"/>
            <w:vAlign w:val="center"/>
          </w:tcPr>
          <w:p w14:paraId="5A002DF3">
            <w:pPr>
              <w:jc w:val="center"/>
              <w:rPr>
                <w:rFonts w:hint="eastAsia" w:ascii="宋体" w:hAnsi="宋体"/>
                <w:szCs w:val="44"/>
              </w:rPr>
            </w:pPr>
          </w:p>
        </w:tc>
        <w:tc>
          <w:tcPr>
            <w:tcW w:w="898" w:type="dxa"/>
            <w:noWrap w:val="0"/>
            <w:vAlign w:val="center"/>
          </w:tcPr>
          <w:p w14:paraId="1F5293DD">
            <w:pPr>
              <w:jc w:val="center"/>
              <w:rPr>
                <w:rFonts w:hint="eastAsia" w:ascii="宋体" w:hAnsi="宋体"/>
                <w:szCs w:val="44"/>
              </w:rPr>
            </w:pPr>
          </w:p>
        </w:tc>
        <w:tc>
          <w:tcPr>
            <w:tcW w:w="898" w:type="dxa"/>
            <w:noWrap w:val="0"/>
            <w:vAlign w:val="center"/>
          </w:tcPr>
          <w:p w14:paraId="44E71D89">
            <w:pPr>
              <w:jc w:val="center"/>
              <w:rPr>
                <w:rFonts w:hint="eastAsia" w:ascii="宋体" w:hAnsi="宋体"/>
                <w:szCs w:val="44"/>
              </w:rPr>
            </w:pPr>
          </w:p>
        </w:tc>
        <w:tc>
          <w:tcPr>
            <w:tcW w:w="897" w:type="dxa"/>
            <w:noWrap w:val="0"/>
            <w:vAlign w:val="center"/>
          </w:tcPr>
          <w:p w14:paraId="558864B2">
            <w:pPr>
              <w:jc w:val="center"/>
              <w:rPr>
                <w:rFonts w:hint="eastAsia" w:ascii="宋体" w:hAnsi="宋体"/>
                <w:szCs w:val="44"/>
              </w:rPr>
            </w:pPr>
          </w:p>
        </w:tc>
        <w:tc>
          <w:tcPr>
            <w:tcW w:w="898" w:type="dxa"/>
            <w:noWrap w:val="0"/>
            <w:vAlign w:val="center"/>
          </w:tcPr>
          <w:p w14:paraId="191F0348">
            <w:pPr>
              <w:jc w:val="center"/>
              <w:rPr>
                <w:rFonts w:hint="eastAsia" w:ascii="宋体" w:hAnsi="宋体"/>
                <w:szCs w:val="44"/>
              </w:rPr>
            </w:pPr>
          </w:p>
        </w:tc>
        <w:tc>
          <w:tcPr>
            <w:tcW w:w="898" w:type="dxa"/>
            <w:noWrap w:val="0"/>
            <w:vAlign w:val="center"/>
          </w:tcPr>
          <w:p w14:paraId="01713DAE">
            <w:pPr>
              <w:jc w:val="center"/>
              <w:rPr>
                <w:rFonts w:hint="eastAsia" w:ascii="宋体" w:hAnsi="宋体"/>
                <w:szCs w:val="44"/>
              </w:rPr>
            </w:pPr>
          </w:p>
        </w:tc>
        <w:tc>
          <w:tcPr>
            <w:tcW w:w="897" w:type="dxa"/>
            <w:noWrap w:val="0"/>
            <w:vAlign w:val="center"/>
          </w:tcPr>
          <w:p w14:paraId="265CBEEC">
            <w:pPr>
              <w:jc w:val="center"/>
              <w:rPr>
                <w:rFonts w:hint="eastAsia" w:ascii="宋体" w:hAnsi="宋体"/>
                <w:szCs w:val="44"/>
              </w:rPr>
            </w:pPr>
          </w:p>
        </w:tc>
        <w:tc>
          <w:tcPr>
            <w:tcW w:w="898" w:type="dxa"/>
            <w:noWrap w:val="0"/>
            <w:vAlign w:val="center"/>
          </w:tcPr>
          <w:p w14:paraId="2B662EE3">
            <w:pPr>
              <w:jc w:val="center"/>
              <w:rPr>
                <w:rFonts w:hint="eastAsia" w:ascii="宋体" w:hAnsi="宋体"/>
                <w:szCs w:val="44"/>
              </w:rPr>
            </w:pPr>
          </w:p>
        </w:tc>
        <w:tc>
          <w:tcPr>
            <w:tcW w:w="898" w:type="dxa"/>
            <w:noWrap w:val="0"/>
            <w:vAlign w:val="center"/>
          </w:tcPr>
          <w:p w14:paraId="313A47DB">
            <w:pPr>
              <w:jc w:val="center"/>
              <w:rPr>
                <w:rFonts w:hint="eastAsia" w:ascii="宋体" w:hAnsi="宋体"/>
                <w:szCs w:val="44"/>
              </w:rPr>
            </w:pPr>
          </w:p>
        </w:tc>
      </w:tr>
      <w:tr w14:paraId="5EE8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4ECF82AE">
            <w:pPr>
              <w:jc w:val="center"/>
              <w:rPr>
                <w:rFonts w:hint="eastAsia" w:ascii="黑体" w:hAnsi="宋体" w:eastAsia="黑体"/>
                <w:szCs w:val="44"/>
              </w:rPr>
            </w:pPr>
          </w:p>
        </w:tc>
        <w:tc>
          <w:tcPr>
            <w:tcW w:w="1802" w:type="dxa"/>
            <w:vMerge w:val="continue"/>
            <w:noWrap w:val="0"/>
            <w:vAlign w:val="center"/>
          </w:tcPr>
          <w:p w14:paraId="5D474E54">
            <w:pPr>
              <w:jc w:val="center"/>
              <w:rPr>
                <w:rFonts w:hint="eastAsia" w:ascii="宋体" w:hAnsi="宋体"/>
                <w:szCs w:val="21"/>
              </w:rPr>
            </w:pPr>
          </w:p>
        </w:tc>
        <w:tc>
          <w:tcPr>
            <w:tcW w:w="3133" w:type="dxa"/>
            <w:noWrap w:val="0"/>
            <w:vAlign w:val="center"/>
          </w:tcPr>
          <w:p w14:paraId="6D7D3CDC">
            <w:pPr>
              <w:rPr>
                <w:rFonts w:hint="eastAsia" w:ascii="宋体" w:hAnsi="宋体"/>
                <w:szCs w:val="21"/>
              </w:rPr>
            </w:pPr>
            <w:r>
              <w:rPr>
                <w:rFonts w:hint="eastAsia" w:ascii="宋体" w:hAnsi="宋体"/>
                <w:szCs w:val="21"/>
              </w:rPr>
              <w:t>修正后的报价与投标报价相比偏差率不超过±1%。</w:t>
            </w:r>
          </w:p>
        </w:tc>
        <w:tc>
          <w:tcPr>
            <w:tcW w:w="897" w:type="dxa"/>
            <w:noWrap w:val="0"/>
            <w:vAlign w:val="center"/>
          </w:tcPr>
          <w:p w14:paraId="2CA62998">
            <w:pPr>
              <w:jc w:val="center"/>
              <w:rPr>
                <w:rFonts w:hint="eastAsia" w:ascii="宋体" w:hAnsi="宋体"/>
                <w:szCs w:val="44"/>
              </w:rPr>
            </w:pPr>
          </w:p>
        </w:tc>
        <w:tc>
          <w:tcPr>
            <w:tcW w:w="898" w:type="dxa"/>
            <w:noWrap w:val="0"/>
            <w:vAlign w:val="center"/>
          </w:tcPr>
          <w:p w14:paraId="4EB9DAF9">
            <w:pPr>
              <w:jc w:val="center"/>
              <w:rPr>
                <w:rFonts w:hint="eastAsia" w:ascii="宋体" w:hAnsi="宋体"/>
                <w:szCs w:val="44"/>
              </w:rPr>
            </w:pPr>
          </w:p>
        </w:tc>
        <w:tc>
          <w:tcPr>
            <w:tcW w:w="898" w:type="dxa"/>
            <w:noWrap w:val="0"/>
            <w:vAlign w:val="center"/>
          </w:tcPr>
          <w:p w14:paraId="1A16952F">
            <w:pPr>
              <w:jc w:val="center"/>
              <w:rPr>
                <w:rFonts w:hint="eastAsia" w:ascii="宋体" w:hAnsi="宋体"/>
                <w:szCs w:val="44"/>
              </w:rPr>
            </w:pPr>
          </w:p>
        </w:tc>
        <w:tc>
          <w:tcPr>
            <w:tcW w:w="897" w:type="dxa"/>
            <w:noWrap w:val="0"/>
            <w:vAlign w:val="center"/>
          </w:tcPr>
          <w:p w14:paraId="42EEA8E3">
            <w:pPr>
              <w:jc w:val="center"/>
              <w:rPr>
                <w:rFonts w:hint="eastAsia" w:ascii="宋体" w:hAnsi="宋体"/>
                <w:szCs w:val="44"/>
              </w:rPr>
            </w:pPr>
          </w:p>
        </w:tc>
        <w:tc>
          <w:tcPr>
            <w:tcW w:w="898" w:type="dxa"/>
            <w:noWrap w:val="0"/>
            <w:vAlign w:val="center"/>
          </w:tcPr>
          <w:p w14:paraId="182B4BC0">
            <w:pPr>
              <w:jc w:val="center"/>
              <w:rPr>
                <w:rFonts w:hint="eastAsia" w:ascii="宋体" w:hAnsi="宋体"/>
                <w:szCs w:val="44"/>
              </w:rPr>
            </w:pPr>
          </w:p>
        </w:tc>
        <w:tc>
          <w:tcPr>
            <w:tcW w:w="898" w:type="dxa"/>
            <w:noWrap w:val="0"/>
            <w:vAlign w:val="center"/>
          </w:tcPr>
          <w:p w14:paraId="53E3892F">
            <w:pPr>
              <w:jc w:val="center"/>
              <w:rPr>
                <w:rFonts w:hint="eastAsia" w:ascii="宋体" w:hAnsi="宋体"/>
                <w:szCs w:val="44"/>
              </w:rPr>
            </w:pPr>
          </w:p>
        </w:tc>
        <w:tc>
          <w:tcPr>
            <w:tcW w:w="897" w:type="dxa"/>
            <w:noWrap w:val="0"/>
            <w:vAlign w:val="center"/>
          </w:tcPr>
          <w:p w14:paraId="620F3F3B">
            <w:pPr>
              <w:jc w:val="center"/>
              <w:rPr>
                <w:rFonts w:hint="eastAsia" w:ascii="宋体" w:hAnsi="宋体"/>
                <w:szCs w:val="44"/>
              </w:rPr>
            </w:pPr>
          </w:p>
        </w:tc>
        <w:tc>
          <w:tcPr>
            <w:tcW w:w="898" w:type="dxa"/>
            <w:noWrap w:val="0"/>
            <w:vAlign w:val="center"/>
          </w:tcPr>
          <w:p w14:paraId="7CADA0DF">
            <w:pPr>
              <w:jc w:val="center"/>
              <w:rPr>
                <w:rFonts w:hint="eastAsia" w:ascii="宋体" w:hAnsi="宋体"/>
                <w:szCs w:val="44"/>
              </w:rPr>
            </w:pPr>
          </w:p>
        </w:tc>
        <w:tc>
          <w:tcPr>
            <w:tcW w:w="898" w:type="dxa"/>
            <w:noWrap w:val="0"/>
            <w:vAlign w:val="center"/>
          </w:tcPr>
          <w:p w14:paraId="319984DA">
            <w:pPr>
              <w:jc w:val="center"/>
              <w:rPr>
                <w:rFonts w:hint="eastAsia" w:ascii="宋体" w:hAnsi="宋体"/>
                <w:szCs w:val="44"/>
              </w:rPr>
            </w:pPr>
          </w:p>
        </w:tc>
      </w:tr>
      <w:tr w14:paraId="2929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0EF59D00">
            <w:pPr>
              <w:jc w:val="center"/>
              <w:rPr>
                <w:rFonts w:hint="eastAsia" w:ascii="黑体" w:hAnsi="宋体" w:eastAsia="黑体"/>
                <w:szCs w:val="44"/>
              </w:rPr>
            </w:pPr>
            <w:r>
              <w:rPr>
                <w:rFonts w:hint="eastAsia" w:ascii="黑体" w:hAnsi="宋体" w:eastAsia="黑体"/>
                <w:szCs w:val="44"/>
              </w:rPr>
              <w:t>10</w:t>
            </w:r>
          </w:p>
        </w:tc>
        <w:tc>
          <w:tcPr>
            <w:tcW w:w="1802" w:type="dxa"/>
            <w:vMerge w:val="restart"/>
            <w:noWrap w:val="0"/>
            <w:vAlign w:val="center"/>
          </w:tcPr>
          <w:p w14:paraId="08E5B970">
            <w:pPr>
              <w:jc w:val="center"/>
              <w:rPr>
                <w:rFonts w:hint="eastAsia" w:ascii="宋体" w:hAnsi="宋体"/>
                <w:szCs w:val="44"/>
              </w:rPr>
            </w:pPr>
            <w:r>
              <w:rPr>
                <w:rFonts w:hint="eastAsia" w:ascii="宋体" w:hAnsi="宋体"/>
                <w:szCs w:val="21"/>
              </w:rPr>
              <w:t>投标价格</w:t>
            </w:r>
          </w:p>
        </w:tc>
        <w:tc>
          <w:tcPr>
            <w:tcW w:w="3133" w:type="dxa"/>
            <w:noWrap w:val="0"/>
            <w:vAlign w:val="center"/>
          </w:tcPr>
          <w:p w14:paraId="69CED5FB">
            <w:pPr>
              <w:rPr>
                <w:rFonts w:hint="eastAsia" w:ascii="宋体" w:hAnsi="宋体"/>
                <w:szCs w:val="21"/>
              </w:rPr>
            </w:pPr>
            <w:r>
              <w:rPr>
                <w:rFonts w:hint="eastAsia" w:ascii="宋体" w:hAnsi="宋体"/>
                <w:szCs w:val="21"/>
              </w:rPr>
              <w:t>投标函中的大写报价与已标价工程量清单中的投标总价一致</w:t>
            </w:r>
          </w:p>
        </w:tc>
        <w:tc>
          <w:tcPr>
            <w:tcW w:w="897" w:type="dxa"/>
            <w:noWrap w:val="0"/>
            <w:vAlign w:val="center"/>
          </w:tcPr>
          <w:p w14:paraId="4F24B440">
            <w:pPr>
              <w:jc w:val="center"/>
              <w:rPr>
                <w:rFonts w:hint="eastAsia" w:ascii="宋体" w:hAnsi="宋体"/>
                <w:szCs w:val="44"/>
              </w:rPr>
            </w:pPr>
          </w:p>
        </w:tc>
        <w:tc>
          <w:tcPr>
            <w:tcW w:w="898" w:type="dxa"/>
            <w:noWrap w:val="0"/>
            <w:vAlign w:val="center"/>
          </w:tcPr>
          <w:p w14:paraId="1078EA8C">
            <w:pPr>
              <w:jc w:val="center"/>
              <w:rPr>
                <w:rFonts w:hint="eastAsia" w:ascii="宋体" w:hAnsi="宋体"/>
                <w:szCs w:val="44"/>
              </w:rPr>
            </w:pPr>
          </w:p>
        </w:tc>
        <w:tc>
          <w:tcPr>
            <w:tcW w:w="898" w:type="dxa"/>
            <w:noWrap w:val="0"/>
            <w:vAlign w:val="center"/>
          </w:tcPr>
          <w:p w14:paraId="4107C3E8">
            <w:pPr>
              <w:jc w:val="center"/>
              <w:rPr>
                <w:rFonts w:hint="eastAsia" w:ascii="宋体" w:hAnsi="宋体"/>
                <w:szCs w:val="44"/>
              </w:rPr>
            </w:pPr>
          </w:p>
        </w:tc>
        <w:tc>
          <w:tcPr>
            <w:tcW w:w="897" w:type="dxa"/>
            <w:noWrap w:val="0"/>
            <w:vAlign w:val="center"/>
          </w:tcPr>
          <w:p w14:paraId="544BB950">
            <w:pPr>
              <w:jc w:val="center"/>
              <w:rPr>
                <w:rFonts w:hint="eastAsia" w:ascii="宋体" w:hAnsi="宋体"/>
                <w:szCs w:val="44"/>
              </w:rPr>
            </w:pPr>
          </w:p>
        </w:tc>
        <w:tc>
          <w:tcPr>
            <w:tcW w:w="898" w:type="dxa"/>
            <w:noWrap w:val="0"/>
            <w:vAlign w:val="center"/>
          </w:tcPr>
          <w:p w14:paraId="68725DE3">
            <w:pPr>
              <w:jc w:val="center"/>
              <w:rPr>
                <w:rFonts w:hint="eastAsia" w:ascii="宋体" w:hAnsi="宋体"/>
                <w:szCs w:val="44"/>
              </w:rPr>
            </w:pPr>
          </w:p>
        </w:tc>
        <w:tc>
          <w:tcPr>
            <w:tcW w:w="898" w:type="dxa"/>
            <w:noWrap w:val="0"/>
            <w:vAlign w:val="center"/>
          </w:tcPr>
          <w:p w14:paraId="6BCE2823">
            <w:pPr>
              <w:jc w:val="center"/>
              <w:rPr>
                <w:rFonts w:hint="eastAsia" w:ascii="宋体" w:hAnsi="宋体"/>
                <w:szCs w:val="44"/>
              </w:rPr>
            </w:pPr>
          </w:p>
        </w:tc>
        <w:tc>
          <w:tcPr>
            <w:tcW w:w="897" w:type="dxa"/>
            <w:noWrap w:val="0"/>
            <w:vAlign w:val="center"/>
          </w:tcPr>
          <w:p w14:paraId="65F7A744">
            <w:pPr>
              <w:jc w:val="center"/>
              <w:rPr>
                <w:rFonts w:hint="eastAsia" w:ascii="宋体" w:hAnsi="宋体"/>
                <w:szCs w:val="44"/>
              </w:rPr>
            </w:pPr>
          </w:p>
        </w:tc>
        <w:tc>
          <w:tcPr>
            <w:tcW w:w="898" w:type="dxa"/>
            <w:noWrap w:val="0"/>
            <w:vAlign w:val="center"/>
          </w:tcPr>
          <w:p w14:paraId="58BE192E">
            <w:pPr>
              <w:jc w:val="center"/>
              <w:rPr>
                <w:rFonts w:hint="eastAsia" w:ascii="宋体" w:hAnsi="宋体"/>
                <w:szCs w:val="44"/>
              </w:rPr>
            </w:pPr>
          </w:p>
        </w:tc>
        <w:tc>
          <w:tcPr>
            <w:tcW w:w="898" w:type="dxa"/>
            <w:noWrap w:val="0"/>
            <w:vAlign w:val="center"/>
          </w:tcPr>
          <w:p w14:paraId="0BD8E735">
            <w:pPr>
              <w:jc w:val="center"/>
              <w:rPr>
                <w:rFonts w:hint="eastAsia" w:ascii="宋体" w:hAnsi="宋体"/>
                <w:szCs w:val="44"/>
              </w:rPr>
            </w:pPr>
          </w:p>
        </w:tc>
      </w:tr>
      <w:tr w14:paraId="5A04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69F57648">
            <w:pPr>
              <w:jc w:val="center"/>
              <w:rPr>
                <w:rFonts w:hint="eastAsia" w:ascii="黑体" w:hAnsi="宋体" w:eastAsia="黑体"/>
                <w:szCs w:val="44"/>
              </w:rPr>
            </w:pPr>
          </w:p>
        </w:tc>
        <w:tc>
          <w:tcPr>
            <w:tcW w:w="1802" w:type="dxa"/>
            <w:vMerge w:val="continue"/>
            <w:noWrap w:val="0"/>
            <w:vAlign w:val="center"/>
          </w:tcPr>
          <w:p w14:paraId="669E6671">
            <w:pPr>
              <w:jc w:val="center"/>
              <w:rPr>
                <w:rFonts w:hint="eastAsia" w:ascii="宋体" w:hAnsi="宋体"/>
                <w:szCs w:val="21"/>
              </w:rPr>
            </w:pPr>
          </w:p>
        </w:tc>
        <w:tc>
          <w:tcPr>
            <w:tcW w:w="3133" w:type="dxa"/>
            <w:noWrap w:val="0"/>
            <w:vAlign w:val="center"/>
          </w:tcPr>
          <w:p w14:paraId="76B9C590">
            <w:pPr>
              <w:rPr>
                <w:rFonts w:hint="eastAsia" w:ascii="宋体" w:hAnsi="宋体"/>
                <w:szCs w:val="21"/>
              </w:rPr>
            </w:pPr>
            <w:r>
              <w:rPr>
                <w:rFonts w:hint="eastAsia" w:ascii="宋体" w:hAnsi="宋体"/>
                <w:szCs w:val="21"/>
              </w:rPr>
              <w:t>投标函中的大写报价不大于本项目招标控制价总价</w:t>
            </w:r>
          </w:p>
        </w:tc>
        <w:tc>
          <w:tcPr>
            <w:tcW w:w="897" w:type="dxa"/>
            <w:noWrap w:val="0"/>
            <w:vAlign w:val="center"/>
          </w:tcPr>
          <w:p w14:paraId="2118DDE7">
            <w:pPr>
              <w:jc w:val="center"/>
              <w:rPr>
                <w:rFonts w:hint="eastAsia" w:ascii="宋体" w:hAnsi="宋体"/>
                <w:szCs w:val="44"/>
              </w:rPr>
            </w:pPr>
          </w:p>
        </w:tc>
        <w:tc>
          <w:tcPr>
            <w:tcW w:w="898" w:type="dxa"/>
            <w:noWrap w:val="0"/>
            <w:vAlign w:val="center"/>
          </w:tcPr>
          <w:p w14:paraId="3FBCF1B6">
            <w:pPr>
              <w:jc w:val="center"/>
              <w:rPr>
                <w:rFonts w:hint="eastAsia" w:ascii="宋体" w:hAnsi="宋体"/>
                <w:szCs w:val="44"/>
              </w:rPr>
            </w:pPr>
          </w:p>
        </w:tc>
        <w:tc>
          <w:tcPr>
            <w:tcW w:w="898" w:type="dxa"/>
            <w:noWrap w:val="0"/>
            <w:vAlign w:val="center"/>
          </w:tcPr>
          <w:p w14:paraId="6DC71F31">
            <w:pPr>
              <w:jc w:val="center"/>
              <w:rPr>
                <w:rFonts w:hint="eastAsia" w:ascii="宋体" w:hAnsi="宋体"/>
                <w:szCs w:val="44"/>
              </w:rPr>
            </w:pPr>
          </w:p>
        </w:tc>
        <w:tc>
          <w:tcPr>
            <w:tcW w:w="897" w:type="dxa"/>
            <w:noWrap w:val="0"/>
            <w:vAlign w:val="center"/>
          </w:tcPr>
          <w:p w14:paraId="1AD41F66">
            <w:pPr>
              <w:jc w:val="center"/>
              <w:rPr>
                <w:rFonts w:hint="eastAsia" w:ascii="宋体" w:hAnsi="宋体"/>
                <w:szCs w:val="44"/>
              </w:rPr>
            </w:pPr>
          </w:p>
        </w:tc>
        <w:tc>
          <w:tcPr>
            <w:tcW w:w="898" w:type="dxa"/>
            <w:noWrap w:val="0"/>
            <w:vAlign w:val="center"/>
          </w:tcPr>
          <w:p w14:paraId="03F02C24">
            <w:pPr>
              <w:jc w:val="center"/>
              <w:rPr>
                <w:rFonts w:hint="eastAsia" w:ascii="宋体" w:hAnsi="宋体"/>
                <w:szCs w:val="44"/>
              </w:rPr>
            </w:pPr>
          </w:p>
        </w:tc>
        <w:tc>
          <w:tcPr>
            <w:tcW w:w="898" w:type="dxa"/>
            <w:noWrap w:val="0"/>
            <w:vAlign w:val="center"/>
          </w:tcPr>
          <w:p w14:paraId="7DFF4E9B">
            <w:pPr>
              <w:jc w:val="center"/>
              <w:rPr>
                <w:rFonts w:hint="eastAsia" w:ascii="宋体" w:hAnsi="宋体"/>
                <w:szCs w:val="44"/>
              </w:rPr>
            </w:pPr>
          </w:p>
        </w:tc>
        <w:tc>
          <w:tcPr>
            <w:tcW w:w="897" w:type="dxa"/>
            <w:noWrap w:val="0"/>
            <w:vAlign w:val="center"/>
          </w:tcPr>
          <w:p w14:paraId="3B42E7D9">
            <w:pPr>
              <w:jc w:val="center"/>
              <w:rPr>
                <w:rFonts w:hint="eastAsia" w:ascii="宋体" w:hAnsi="宋体"/>
                <w:szCs w:val="44"/>
              </w:rPr>
            </w:pPr>
          </w:p>
        </w:tc>
        <w:tc>
          <w:tcPr>
            <w:tcW w:w="898" w:type="dxa"/>
            <w:noWrap w:val="0"/>
            <w:vAlign w:val="center"/>
          </w:tcPr>
          <w:p w14:paraId="402A4616">
            <w:pPr>
              <w:jc w:val="center"/>
              <w:rPr>
                <w:rFonts w:hint="eastAsia" w:ascii="宋体" w:hAnsi="宋体"/>
                <w:szCs w:val="44"/>
              </w:rPr>
            </w:pPr>
          </w:p>
        </w:tc>
        <w:tc>
          <w:tcPr>
            <w:tcW w:w="898" w:type="dxa"/>
            <w:noWrap w:val="0"/>
            <w:vAlign w:val="center"/>
          </w:tcPr>
          <w:p w14:paraId="78066FF3">
            <w:pPr>
              <w:jc w:val="center"/>
              <w:rPr>
                <w:rFonts w:hint="eastAsia" w:ascii="宋体" w:hAnsi="宋体"/>
                <w:szCs w:val="44"/>
              </w:rPr>
            </w:pPr>
          </w:p>
        </w:tc>
      </w:tr>
      <w:tr w14:paraId="638BD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62812862">
            <w:pPr>
              <w:jc w:val="center"/>
              <w:rPr>
                <w:rFonts w:hint="eastAsia" w:ascii="黑体" w:hAnsi="宋体" w:eastAsia="黑体"/>
                <w:szCs w:val="44"/>
              </w:rPr>
            </w:pPr>
          </w:p>
        </w:tc>
        <w:tc>
          <w:tcPr>
            <w:tcW w:w="1802" w:type="dxa"/>
            <w:vMerge w:val="continue"/>
            <w:noWrap w:val="0"/>
            <w:vAlign w:val="center"/>
          </w:tcPr>
          <w:p w14:paraId="17CEA577">
            <w:pPr>
              <w:jc w:val="center"/>
              <w:rPr>
                <w:rFonts w:hint="eastAsia" w:ascii="宋体" w:hAnsi="宋体"/>
                <w:szCs w:val="21"/>
              </w:rPr>
            </w:pPr>
          </w:p>
        </w:tc>
        <w:tc>
          <w:tcPr>
            <w:tcW w:w="3133" w:type="dxa"/>
            <w:noWrap w:val="0"/>
            <w:vAlign w:val="center"/>
          </w:tcPr>
          <w:p w14:paraId="0E77CECA">
            <w:pPr>
              <w:rPr>
                <w:rFonts w:hint="eastAsia" w:ascii="宋体" w:hAnsi="宋体"/>
                <w:szCs w:val="21"/>
              </w:rPr>
            </w:pPr>
            <w:r>
              <w:rPr>
                <w:rFonts w:hint="eastAsia"/>
              </w:rPr>
              <w:t>算术错误修正后的投标总报价</w:t>
            </w:r>
            <w:r>
              <w:rPr>
                <w:rFonts w:hint="eastAsia" w:ascii="宋体" w:hAnsi="宋体"/>
                <w:szCs w:val="21"/>
              </w:rPr>
              <w:t>不大于本标段招标控制价总价</w:t>
            </w:r>
          </w:p>
        </w:tc>
        <w:tc>
          <w:tcPr>
            <w:tcW w:w="897" w:type="dxa"/>
            <w:noWrap w:val="0"/>
            <w:vAlign w:val="center"/>
          </w:tcPr>
          <w:p w14:paraId="5BCC6C1B">
            <w:pPr>
              <w:jc w:val="center"/>
              <w:rPr>
                <w:rFonts w:hint="eastAsia" w:ascii="宋体" w:hAnsi="宋体"/>
                <w:szCs w:val="44"/>
              </w:rPr>
            </w:pPr>
          </w:p>
        </w:tc>
        <w:tc>
          <w:tcPr>
            <w:tcW w:w="898" w:type="dxa"/>
            <w:noWrap w:val="0"/>
            <w:vAlign w:val="center"/>
          </w:tcPr>
          <w:p w14:paraId="7DEFDC0C">
            <w:pPr>
              <w:jc w:val="center"/>
              <w:rPr>
                <w:rFonts w:hint="eastAsia" w:ascii="宋体" w:hAnsi="宋体"/>
                <w:szCs w:val="44"/>
              </w:rPr>
            </w:pPr>
          </w:p>
        </w:tc>
        <w:tc>
          <w:tcPr>
            <w:tcW w:w="898" w:type="dxa"/>
            <w:noWrap w:val="0"/>
            <w:vAlign w:val="center"/>
          </w:tcPr>
          <w:p w14:paraId="42A98C56">
            <w:pPr>
              <w:jc w:val="center"/>
              <w:rPr>
                <w:rFonts w:hint="eastAsia" w:ascii="宋体" w:hAnsi="宋体"/>
                <w:szCs w:val="44"/>
              </w:rPr>
            </w:pPr>
          </w:p>
        </w:tc>
        <w:tc>
          <w:tcPr>
            <w:tcW w:w="897" w:type="dxa"/>
            <w:noWrap w:val="0"/>
            <w:vAlign w:val="center"/>
          </w:tcPr>
          <w:p w14:paraId="1795BC99">
            <w:pPr>
              <w:jc w:val="center"/>
              <w:rPr>
                <w:rFonts w:hint="eastAsia" w:ascii="宋体" w:hAnsi="宋体"/>
                <w:szCs w:val="44"/>
              </w:rPr>
            </w:pPr>
          </w:p>
        </w:tc>
        <w:tc>
          <w:tcPr>
            <w:tcW w:w="898" w:type="dxa"/>
            <w:noWrap w:val="0"/>
            <w:vAlign w:val="center"/>
          </w:tcPr>
          <w:p w14:paraId="7CD07EA2">
            <w:pPr>
              <w:jc w:val="center"/>
              <w:rPr>
                <w:rFonts w:hint="eastAsia" w:ascii="宋体" w:hAnsi="宋体"/>
                <w:szCs w:val="44"/>
              </w:rPr>
            </w:pPr>
          </w:p>
        </w:tc>
        <w:tc>
          <w:tcPr>
            <w:tcW w:w="898" w:type="dxa"/>
            <w:noWrap w:val="0"/>
            <w:vAlign w:val="center"/>
          </w:tcPr>
          <w:p w14:paraId="3B5F2B3E">
            <w:pPr>
              <w:jc w:val="center"/>
              <w:rPr>
                <w:rFonts w:hint="eastAsia" w:ascii="宋体" w:hAnsi="宋体"/>
                <w:szCs w:val="44"/>
              </w:rPr>
            </w:pPr>
          </w:p>
        </w:tc>
        <w:tc>
          <w:tcPr>
            <w:tcW w:w="897" w:type="dxa"/>
            <w:noWrap w:val="0"/>
            <w:vAlign w:val="center"/>
          </w:tcPr>
          <w:p w14:paraId="4FDC34A9">
            <w:pPr>
              <w:jc w:val="center"/>
              <w:rPr>
                <w:rFonts w:hint="eastAsia" w:ascii="宋体" w:hAnsi="宋体"/>
                <w:szCs w:val="44"/>
              </w:rPr>
            </w:pPr>
          </w:p>
        </w:tc>
        <w:tc>
          <w:tcPr>
            <w:tcW w:w="898" w:type="dxa"/>
            <w:noWrap w:val="0"/>
            <w:vAlign w:val="center"/>
          </w:tcPr>
          <w:p w14:paraId="56945BDD">
            <w:pPr>
              <w:jc w:val="center"/>
              <w:rPr>
                <w:rFonts w:hint="eastAsia" w:ascii="宋体" w:hAnsi="宋体"/>
                <w:szCs w:val="44"/>
              </w:rPr>
            </w:pPr>
          </w:p>
        </w:tc>
        <w:tc>
          <w:tcPr>
            <w:tcW w:w="898" w:type="dxa"/>
            <w:noWrap w:val="0"/>
            <w:vAlign w:val="center"/>
          </w:tcPr>
          <w:p w14:paraId="661DA5CE">
            <w:pPr>
              <w:jc w:val="center"/>
              <w:rPr>
                <w:rFonts w:hint="eastAsia" w:ascii="宋体" w:hAnsi="宋体"/>
                <w:szCs w:val="44"/>
              </w:rPr>
            </w:pPr>
          </w:p>
        </w:tc>
      </w:tr>
      <w:tr w14:paraId="7FD3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19D282FF">
            <w:pPr>
              <w:jc w:val="center"/>
              <w:rPr>
                <w:rFonts w:hint="eastAsia" w:ascii="黑体" w:hAnsi="宋体" w:eastAsia="黑体"/>
                <w:szCs w:val="44"/>
              </w:rPr>
            </w:pPr>
          </w:p>
        </w:tc>
        <w:tc>
          <w:tcPr>
            <w:tcW w:w="1802" w:type="dxa"/>
            <w:vMerge w:val="continue"/>
            <w:noWrap w:val="0"/>
            <w:vAlign w:val="center"/>
          </w:tcPr>
          <w:p w14:paraId="0A2E08C8">
            <w:pPr>
              <w:jc w:val="center"/>
              <w:rPr>
                <w:rFonts w:hint="eastAsia" w:ascii="宋体" w:hAnsi="宋体"/>
                <w:szCs w:val="21"/>
              </w:rPr>
            </w:pPr>
          </w:p>
        </w:tc>
        <w:tc>
          <w:tcPr>
            <w:tcW w:w="3133" w:type="dxa"/>
            <w:noWrap w:val="0"/>
            <w:vAlign w:val="center"/>
          </w:tcPr>
          <w:p w14:paraId="3D156866">
            <w:pPr>
              <w:rPr>
                <w:rFonts w:hint="eastAsia" w:ascii="宋体" w:hAnsi="宋体"/>
                <w:szCs w:val="21"/>
              </w:rPr>
            </w:pPr>
            <w:r>
              <w:rPr>
                <w:rFonts w:hint="eastAsia" w:ascii="宋体" w:hAnsi="宋体"/>
                <w:szCs w:val="21"/>
              </w:rPr>
              <w:t>投标报价不低于其成本</w:t>
            </w:r>
          </w:p>
        </w:tc>
        <w:tc>
          <w:tcPr>
            <w:tcW w:w="897" w:type="dxa"/>
            <w:noWrap w:val="0"/>
            <w:vAlign w:val="center"/>
          </w:tcPr>
          <w:p w14:paraId="3E2C6C76">
            <w:pPr>
              <w:jc w:val="center"/>
              <w:rPr>
                <w:rFonts w:hint="eastAsia" w:ascii="宋体" w:hAnsi="宋体"/>
                <w:szCs w:val="44"/>
              </w:rPr>
            </w:pPr>
          </w:p>
        </w:tc>
        <w:tc>
          <w:tcPr>
            <w:tcW w:w="898" w:type="dxa"/>
            <w:noWrap w:val="0"/>
            <w:vAlign w:val="center"/>
          </w:tcPr>
          <w:p w14:paraId="0DD34F31">
            <w:pPr>
              <w:jc w:val="center"/>
              <w:rPr>
                <w:rFonts w:hint="eastAsia" w:ascii="宋体" w:hAnsi="宋体"/>
                <w:szCs w:val="44"/>
              </w:rPr>
            </w:pPr>
          </w:p>
        </w:tc>
        <w:tc>
          <w:tcPr>
            <w:tcW w:w="898" w:type="dxa"/>
            <w:noWrap w:val="0"/>
            <w:vAlign w:val="center"/>
          </w:tcPr>
          <w:p w14:paraId="4F8880A4">
            <w:pPr>
              <w:jc w:val="center"/>
              <w:rPr>
                <w:rFonts w:hint="eastAsia" w:ascii="宋体" w:hAnsi="宋体"/>
                <w:szCs w:val="44"/>
              </w:rPr>
            </w:pPr>
          </w:p>
        </w:tc>
        <w:tc>
          <w:tcPr>
            <w:tcW w:w="897" w:type="dxa"/>
            <w:noWrap w:val="0"/>
            <w:vAlign w:val="center"/>
          </w:tcPr>
          <w:p w14:paraId="365D9C03">
            <w:pPr>
              <w:jc w:val="center"/>
              <w:rPr>
                <w:rFonts w:hint="eastAsia" w:ascii="宋体" w:hAnsi="宋体"/>
                <w:szCs w:val="44"/>
              </w:rPr>
            </w:pPr>
          </w:p>
        </w:tc>
        <w:tc>
          <w:tcPr>
            <w:tcW w:w="898" w:type="dxa"/>
            <w:noWrap w:val="0"/>
            <w:vAlign w:val="center"/>
          </w:tcPr>
          <w:p w14:paraId="119167F3">
            <w:pPr>
              <w:jc w:val="center"/>
              <w:rPr>
                <w:rFonts w:hint="eastAsia" w:ascii="宋体" w:hAnsi="宋体"/>
                <w:szCs w:val="44"/>
              </w:rPr>
            </w:pPr>
          </w:p>
        </w:tc>
        <w:tc>
          <w:tcPr>
            <w:tcW w:w="898" w:type="dxa"/>
            <w:noWrap w:val="0"/>
            <w:vAlign w:val="center"/>
          </w:tcPr>
          <w:p w14:paraId="34F68DF5">
            <w:pPr>
              <w:jc w:val="center"/>
              <w:rPr>
                <w:rFonts w:hint="eastAsia" w:ascii="宋体" w:hAnsi="宋体"/>
                <w:szCs w:val="44"/>
              </w:rPr>
            </w:pPr>
          </w:p>
        </w:tc>
        <w:tc>
          <w:tcPr>
            <w:tcW w:w="897" w:type="dxa"/>
            <w:noWrap w:val="0"/>
            <w:vAlign w:val="center"/>
          </w:tcPr>
          <w:p w14:paraId="1708380C">
            <w:pPr>
              <w:jc w:val="center"/>
              <w:rPr>
                <w:rFonts w:hint="eastAsia" w:ascii="宋体" w:hAnsi="宋体"/>
                <w:szCs w:val="44"/>
              </w:rPr>
            </w:pPr>
          </w:p>
        </w:tc>
        <w:tc>
          <w:tcPr>
            <w:tcW w:w="898" w:type="dxa"/>
            <w:noWrap w:val="0"/>
            <w:vAlign w:val="center"/>
          </w:tcPr>
          <w:p w14:paraId="27EB8A70">
            <w:pPr>
              <w:jc w:val="center"/>
              <w:rPr>
                <w:rFonts w:hint="eastAsia" w:ascii="宋体" w:hAnsi="宋体"/>
                <w:szCs w:val="44"/>
              </w:rPr>
            </w:pPr>
          </w:p>
        </w:tc>
        <w:tc>
          <w:tcPr>
            <w:tcW w:w="898" w:type="dxa"/>
            <w:noWrap w:val="0"/>
            <w:vAlign w:val="center"/>
          </w:tcPr>
          <w:p w14:paraId="326679F1">
            <w:pPr>
              <w:jc w:val="center"/>
              <w:rPr>
                <w:rFonts w:hint="eastAsia" w:ascii="宋体" w:hAnsi="宋体"/>
                <w:szCs w:val="44"/>
              </w:rPr>
            </w:pPr>
          </w:p>
        </w:tc>
      </w:tr>
      <w:tr w14:paraId="393F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restart"/>
            <w:noWrap w:val="0"/>
            <w:vAlign w:val="center"/>
          </w:tcPr>
          <w:p w14:paraId="25A7FEE9">
            <w:pPr>
              <w:jc w:val="center"/>
              <w:rPr>
                <w:rFonts w:hint="eastAsia" w:ascii="黑体" w:hAnsi="宋体" w:eastAsia="黑体"/>
                <w:szCs w:val="44"/>
              </w:rPr>
            </w:pPr>
            <w:r>
              <w:rPr>
                <w:rFonts w:hint="eastAsia" w:ascii="黑体" w:hAnsi="宋体" w:eastAsia="黑体"/>
                <w:szCs w:val="44"/>
              </w:rPr>
              <w:t>11</w:t>
            </w:r>
          </w:p>
        </w:tc>
        <w:tc>
          <w:tcPr>
            <w:tcW w:w="1802" w:type="dxa"/>
            <w:vMerge w:val="restart"/>
            <w:noWrap w:val="0"/>
            <w:vAlign w:val="center"/>
          </w:tcPr>
          <w:p w14:paraId="6C9226AA">
            <w:pPr>
              <w:jc w:val="center"/>
              <w:rPr>
                <w:rFonts w:hint="eastAsia" w:ascii="宋体" w:hAnsi="宋体"/>
                <w:szCs w:val="44"/>
              </w:rPr>
            </w:pPr>
            <w:r>
              <w:rPr>
                <w:rFonts w:hint="eastAsia" w:ascii="宋体" w:hAnsi="宋体"/>
                <w:szCs w:val="44"/>
              </w:rPr>
              <w:t>已标价</w:t>
            </w:r>
          </w:p>
          <w:p w14:paraId="095DA70B">
            <w:pPr>
              <w:jc w:val="center"/>
              <w:rPr>
                <w:rFonts w:hint="eastAsia" w:ascii="宋体" w:hAnsi="宋体"/>
                <w:szCs w:val="21"/>
              </w:rPr>
            </w:pPr>
            <w:r>
              <w:rPr>
                <w:rFonts w:hint="eastAsia" w:ascii="宋体" w:hAnsi="宋体"/>
                <w:szCs w:val="44"/>
              </w:rPr>
              <w:t>工程量清单</w:t>
            </w:r>
          </w:p>
        </w:tc>
        <w:tc>
          <w:tcPr>
            <w:tcW w:w="3133" w:type="dxa"/>
            <w:noWrap w:val="0"/>
            <w:vAlign w:val="center"/>
          </w:tcPr>
          <w:p w14:paraId="01E09426">
            <w:pPr>
              <w:rPr>
                <w:rFonts w:hint="eastAsia" w:ascii="宋体" w:hAnsi="宋体"/>
                <w:szCs w:val="21"/>
              </w:rPr>
            </w:pPr>
            <w:r>
              <w:rPr>
                <w:rFonts w:hint="eastAsia" w:ascii="宋体" w:hAnsi="宋体"/>
                <w:szCs w:val="21"/>
              </w:rPr>
              <w:t>已标价工程量清单项</w:t>
            </w:r>
            <w:r>
              <w:rPr>
                <w:rFonts w:ascii="宋体" w:hAnsi="宋体"/>
                <w:szCs w:val="21"/>
              </w:rPr>
              <w:t>目编码</w:t>
            </w:r>
            <w:r>
              <w:rPr>
                <w:rFonts w:hint="eastAsia" w:ascii="宋体" w:hAnsi="宋体"/>
                <w:szCs w:val="21"/>
              </w:rPr>
              <w:t>顺序与第五章“工程量清单”给出的项</w:t>
            </w:r>
            <w:r>
              <w:rPr>
                <w:rFonts w:ascii="宋体" w:hAnsi="宋体"/>
                <w:szCs w:val="21"/>
              </w:rPr>
              <w:t>目编码</w:t>
            </w:r>
            <w:r>
              <w:rPr>
                <w:rFonts w:hint="eastAsia" w:ascii="宋体" w:hAnsi="宋体"/>
                <w:szCs w:val="21"/>
              </w:rPr>
              <w:t>顺序一致</w:t>
            </w:r>
          </w:p>
        </w:tc>
        <w:tc>
          <w:tcPr>
            <w:tcW w:w="897" w:type="dxa"/>
            <w:noWrap w:val="0"/>
            <w:vAlign w:val="center"/>
          </w:tcPr>
          <w:p w14:paraId="567C6773">
            <w:pPr>
              <w:jc w:val="center"/>
              <w:rPr>
                <w:rFonts w:hint="eastAsia" w:ascii="宋体" w:hAnsi="宋体"/>
                <w:szCs w:val="44"/>
              </w:rPr>
            </w:pPr>
          </w:p>
        </w:tc>
        <w:tc>
          <w:tcPr>
            <w:tcW w:w="898" w:type="dxa"/>
            <w:noWrap w:val="0"/>
            <w:vAlign w:val="center"/>
          </w:tcPr>
          <w:p w14:paraId="4C4DF7C2">
            <w:pPr>
              <w:jc w:val="center"/>
              <w:rPr>
                <w:rFonts w:hint="eastAsia" w:ascii="宋体" w:hAnsi="宋体"/>
                <w:szCs w:val="44"/>
              </w:rPr>
            </w:pPr>
          </w:p>
        </w:tc>
        <w:tc>
          <w:tcPr>
            <w:tcW w:w="898" w:type="dxa"/>
            <w:noWrap w:val="0"/>
            <w:vAlign w:val="center"/>
          </w:tcPr>
          <w:p w14:paraId="45E8B921">
            <w:pPr>
              <w:jc w:val="center"/>
              <w:rPr>
                <w:rFonts w:hint="eastAsia" w:ascii="宋体" w:hAnsi="宋体"/>
                <w:szCs w:val="44"/>
              </w:rPr>
            </w:pPr>
          </w:p>
        </w:tc>
        <w:tc>
          <w:tcPr>
            <w:tcW w:w="897" w:type="dxa"/>
            <w:noWrap w:val="0"/>
            <w:vAlign w:val="center"/>
          </w:tcPr>
          <w:p w14:paraId="33A9233B">
            <w:pPr>
              <w:jc w:val="center"/>
              <w:rPr>
                <w:rFonts w:hint="eastAsia" w:ascii="宋体" w:hAnsi="宋体"/>
                <w:szCs w:val="44"/>
              </w:rPr>
            </w:pPr>
          </w:p>
        </w:tc>
        <w:tc>
          <w:tcPr>
            <w:tcW w:w="898" w:type="dxa"/>
            <w:noWrap w:val="0"/>
            <w:vAlign w:val="center"/>
          </w:tcPr>
          <w:p w14:paraId="4F3DB286">
            <w:pPr>
              <w:jc w:val="center"/>
              <w:rPr>
                <w:rFonts w:hint="eastAsia" w:ascii="宋体" w:hAnsi="宋体"/>
                <w:szCs w:val="44"/>
              </w:rPr>
            </w:pPr>
          </w:p>
        </w:tc>
        <w:tc>
          <w:tcPr>
            <w:tcW w:w="898" w:type="dxa"/>
            <w:noWrap w:val="0"/>
            <w:vAlign w:val="center"/>
          </w:tcPr>
          <w:p w14:paraId="12AE33D4">
            <w:pPr>
              <w:jc w:val="center"/>
              <w:rPr>
                <w:rFonts w:hint="eastAsia" w:ascii="宋体" w:hAnsi="宋体"/>
                <w:szCs w:val="44"/>
              </w:rPr>
            </w:pPr>
          </w:p>
        </w:tc>
        <w:tc>
          <w:tcPr>
            <w:tcW w:w="897" w:type="dxa"/>
            <w:noWrap w:val="0"/>
            <w:vAlign w:val="center"/>
          </w:tcPr>
          <w:p w14:paraId="0DF34B61">
            <w:pPr>
              <w:jc w:val="center"/>
              <w:rPr>
                <w:rFonts w:hint="eastAsia" w:ascii="宋体" w:hAnsi="宋体"/>
                <w:szCs w:val="44"/>
              </w:rPr>
            </w:pPr>
          </w:p>
        </w:tc>
        <w:tc>
          <w:tcPr>
            <w:tcW w:w="898" w:type="dxa"/>
            <w:noWrap w:val="0"/>
            <w:vAlign w:val="center"/>
          </w:tcPr>
          <w:p w14:paraId="172DA80C">
            <w:pPr>
              <w:jc w:val="center"/>
              <w:rPr>
                <w:rFonts w:hint="eastAsia" w:ascii="宋体" w:hAnsi="宋体"/>
                <w:szCs w:val="44"/>
              </w:rPr>
            </w:pPr>
          </w:p>
        </w:tc>
        <w:tc>
          <w:tcPr>
            <w:tcW w:w="898" w:type="dxa"/>
            <w:noWrap w:val="0"/>
            <w:vAlign w:val="center"/>
          </w:tcPr>
          <w:p w14:paraId="7E60D250">
            <w:pPr>
              <w:jc w:val="center"/>
              <w:rPr>
                <w:rFonts w:hint="eastAsia" w:ascii="宋体" w:hAnsi="宋体"/>
                <w:szCs w:val="44"/>
              </w:rPr>
            </w:pPr>
          </w:p>
        </w:tc>
      </w:tr>
      <w:tr w14:paraId="1C95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7893DC14">
            <w:pPr>
              <w:jc w:val="center"/>
              <w:rPr>
                <w:rFonts w:hint="eastAsia" w:ascii="黑体" w:hAnsi="宋体" w:eastAsia="黑体"/>
                <w:szCs w:val="44"/>
              </w:rPr>
            </w:pPr>
          </w:p>
        </w:tc>
        <w:tc>
          <w:tcPr>
            <w:tcW w:w="1802" w:type="dxa"/>
            <w:vMerge w:val="continue"/>
            <w:noWrap w:val="0"/>
            <w:vAlign w:val="center"/>
          </w:tcPr>
          <w:p w14:paraId="710D4AE0">
            <w:pPr>
              <w:jc w:val="center"/>
              <w:rPr>
                <w:rFonts w:hint="eastAsia" w:ascii="宋体" w:hAnsi="宋体"/>
                <w:szCs w:val="21"/>
              </w:rPr>
            </w:pPr>
          </w:p>
        </w:tc>
        <w:tc>
          <w:tcPr>
            <w:tcW w:w="3133" w:type="dxa"/>
            <w:noWrap w:val="0"/>
            <w:vAlign w:val="center"/>
          </w:tcPr>
          <w:p w14:paraId="179E2499">
            <w:pPr>
              <w:rPr>
                <w:rFonts w:hint="eastAsia" w:ascii="宋体" w:hAnsi="宋体"/>
                <w:szCs w:val="21"/>
              </w:rPr>
            </w:pPr>
            <w:r>
              <w:rPr>
                <w:rFonts w:hint="eastAsia" w:ascii="宋体" w:hAnsi="宋体"/>
                <w:szCs w:val="21"/>
              </w:rPr>
              <w:t>已标价工程量清单符合第五章“工程量清单”给出的项</w:t>
            </w:r>
            <w:r>
              <w:rPr>
                <w:rFonts w:ascii="宋体" w:hAnsi="宋体"/>
                <w:szCs w:val="21"/>
              </w:rPr>
              <w:t>目编码、</w:t>
            </w:r>
            <w:r>
              <w:rPr>
                <w:rFonts w:hint="eastAsia" w:ascii="宋体" w:hAnsi="宋体"/>
                <w:szCs w:val="21"/>
              </w:rPr>
              <w:t>项</w:t>
            </w:r>
            <w:r>
              <w:rPr>
                <w:rFonts w:ascii="宋体" w:hAnsi="宋体"/>
                <w:szCs w:val="21"/>
              </w:rPr>
              <w:t>目名称、</w:t>
            </w:r>
            <w:r>
              <w:rPr>
                <w:rFonts w:hint="eastAsia" w:ascii="宋体" w:hAnsi="宋体"/>
                <w:szCs w:val="21"/>
              </w:rPr>
              <w:t>项</w:t>
            </w:r>
            <w:r>
              <w:rPr>
                <w:rFonts w:ascii="宋体" w:hAnsi="宋体"/>
                <w:szCs w:val="21"/>
              </w:rPr>
              <w:t>目特征、计量单位和工程量</w:t>
            </w:r>
          </w:p>
        </w:tc>
        <w:tc>
          <w:tcPr>
            <w:tcW w:w="897" w:type="dxa"/>
            <w:noWrap w:val="0"/>
            <w:vAlign w:val="center"/>
          </w:tcPr>
          <w:p w14:paraId="3F447116">
            <w:pPr>
              <w:jc w:val="center"/>
              <w:rPr>
                <w:rFonts w:hint="eastAsia" w:ascii="宋体" w:hAnsi="宋体"/>
                <w:szCs w:val="44"/>
              </w:rPr>
            </w:pPr>
          </w:p>
        </w:tc>
        <w:tc>
          <w:tcPr>
            <w:tcW w:w="898" w:type="dxa"/>
            <w:noWrap w:val="0"/>
            <w:vAlign w:val="center"/>
          </w:tcPr>
          <w:p w14:paraId="72580CFB">
            <w:pPr>
              <w:jc w:val="center"/>
              <w:rPr>
                <w:rFonts w:hint="eastAsia" w:ascii="宋体" w:hAnsi="宋体"/>
                <w:szCs w:val="44"/>
              </w:rPr>
            </w:pPr>
          </w:p>
        </w:tc>
        <w:tc>
          <w:tcPr>
            <w:tcW w:w="898" w:type="dxa"/>
            <w:noWrap w:val="0"/>
            <w:vAlign w:val="center"/>
          </w:tcPr>
          <w:p w14:paraId="2C2A704D">
            <w:pPr>
              <w:jc w:val="center"/>
              <w:rPr>
                <w:rFonts w:hint="eastAsia" w:ascii="宋体" w:hAnsi="宋体"/>
                <w:szCs w:val="44"/>
              </w:rPr>
            </w:pPr>
          </w:p>
        </w:tc>
        <w:tc>
          <w:tcPr>
            <w:tcW w:w="897" w:type="dxa"/>
            <w:noWrap w:val="0"/>
            <w:vAlign w:val="center"/>
          </w:tcPr>
          <w:p w14:paraId="6D27A80D">
            <w:pPr>
              <w:jc w:val="center"/>
              <w:rPr>
                <w:rFonts w:hint="eastAsia" w:ascii="宋体" w:hAnsi="宋体"/>
                <w:szCs w:val="44"/>
              </w:rPr>
            </w:pPr>
          </w:p>
        </w:tc>
        <w:tc>
          <w:tcPr>
            <w:tcW w:w="898" w:type="dxa"/>
            <w:noWrap w:val="0"/>
            <w:vAlign w:val="center"/>
          </w:tcPr>
          <w:p w14:paraId="6B78087E">
            <w:pPr>
              <w:jc w:val="center"/>
              <w:rPr>
                <w:rFonts w:hint="eastAsia" w:ascii="宋体" w:hAnsi="宋体"/>
                <w:szCs w:val="44"/>
              </w:rPr>
            </w:pPr>
          </w:p>
        </w:tc>
        <w:tc>
          <w:tcPr>
            <w:tcW w:w="898" w:type="dxa"/>
            <w:noWrap w:val="0"/>
            <w:vAlign w:val="center"/>
          </w:tcPr>
          <w:p w14:paraId="01038011">
            <w:pPr>
              <w:jc w:val="center"/>
              <w:rPr>
                <w:rFonts w:hint="eastAsia" w:ascii="宋体" w:hAnsi="宋体"/>
                <w:szCs w:val="44"/>
              </w:rPr>
            </w:pPr>
          </w:p>
        </w:tc>
        <w:tc>
          <w:tcPr>
            <w:tcW w:w="897" w:type="dxa"/>
            <w:noWrap w:val="0"/>
            <w:vAlign w:val="center"/>
          </w:tcPr>
          <w:p w14:paraId="3E378249">
            <w:pPr>
              <w:jc w:val="center"/>
              <w:rPr>
                <w:rFonts w:hint="eastAsia" w:ascii="宋体" w:hAnsi="宋体"/>
                <w:szCs w:val="44"/>
              </w:rPr>
            </w:pPr>
          </w:p>
        </w:tc>
        <w:tc>
          <w:tcPr>
            <w:tcW w:w="898" w:type="dxa"/>
            <w:noWrap w:val="0"/>
            <w:vAlign w:val="center"/>
          </w:tcPr>
          <w:p w14:paraId="2CED039D">
            <w:pPr>
              <w:jc w:val="center"/>
              <w:rPr>
                <w:rFonts w:hint="eastAsia" w:ascii="宋体" w:hAnsi="宋体"/>
                <w:szCs w:val="44"/>
              </w:rPr>
            </w:pPr>
          </w:p>
        </w:tc>
        <w:tc>
          <w:tcPr>
            <w:tcW w:w="898" w:type="dxa"/>
            <w:noWrap w:val="0"/>
            <w:vAlign w:val="center"/>
          </w:tcPr>
          <w:p w14:paraId="42C6CFD5">
            <w:pPr>
              <w:jc w:val="center"/>
              <w:rPr>
                <w:rFonts w:hint="eastAsia" w:ascii="宋体" w:hAnsi="宋体"/>
                <w:szCs w:val="44"/>
              </w:rPr>
            </w:pPr>
          </w:p>
        </w:tc>
      </w:tr>
    </w:tbl>
    <w:p w14:paraId="1FD32E5B">
      <w:pPr>
        <w:rPr>
          <w:rFonts w:hint="eastAsia" w:ascii="宋体" w:hAnsi="宋体"/>
          <w:szCs w:val="44"/>
        </w:rPr>
      </w:pPr>
    </w:p>
    <w:p w14:paraId="6A71B02A">
      <w:pPr>
        <w:rPr>
          <w:rFonts w:hint="eastAsia" w:ascii="宋体" w:hAnsi="宋体"/>
          <w:szCs w:val="44"/>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02"/>
        <w:gridCol w:w="3794"/>
        <w:gridCol w:w="824"/>
        <w:gridCol w:w="824"/>
        <w:gridCol w:w="824"/>
        <w:gridCol w:w="824"/>
        <w:gridCol w:w="825"/>
        <w:gridCol w:w="824"/>
        <w:gridCol w:w="824"/>
        <w:gridCol w:w="824"/>
        <w:gridCol w:w="825"/>
      </w:tblGrid>
      <w:tr w14:paraId="1E86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753" w:type="dxa"/>
            <w:vMerge w:val="restart"/>
            <w:noWrap w:val="0"/>
            <w:vAlign w:val="center"/>
          </w:tcPr>
          <w:p w14:paraId="4CA3E809">
            <w:pPr>
              <w:jc w:val="center"/>
              <w:rPr>
                <w:rFonts w:hint="eastAsia" w:ascii="宋体" w:hAnsi="宋体"/>
                <w:szCs w:val="44"/>
              </w:rPr>
            </w:pPr>
            <w:r>
              <w:rPr>
                <w:rFonts w:hint="eastAsia" w:ascii="宋体" w:hAnsi="宋体"/>
                <w:szCs w:val="44"/>
              </w:rPr>
              <w:t>序号</w:t>
            </w:r>
          </w:p>
        </w:tc>
        <w:tc>
          <w:tcPr>
            <w:tcW w:w="1802" w:type="dxa"/>
            <w:vMerge w:val="restart"/>
            <w:noWrap w:val="0"/>
            <w:vAlign w:val="center"/>
          </w:tcPr>
          <w:p w14:paraId="7C44A466">
            <w:pPr>
              <w:jc w:val="center"/>
              <w:rPr>
                <w:rFonts w:hint="eastAsia" w:ascii="宋体" w:hAnsi="宋体"/>
                <w:szCs w:val="44"/>
              </w:rPr>
            </w:pPr>
            <w:r>
              <w:rPr>
                <w:rFonts w:hint="eastAsia" w:ascii="宋体" w:hAnsi="宋体"/>
                <w:szCs w:val="44"/>
              </w:rPr>
              <w:t>评审因素</w:t>
            </w:r>
          </w:p>
        </w:tc>
        <w:tc>
          <w:tcPr>
            <w:tcW w:w="3794" w:type="dxa"/>
            <w:vMerge w:val="restart"/>
            <w:noWrap w:val="0"/>
            <w:vAlign w:val="center"/>
          </w:tcPr>
          <w:p w14:paraId="4775D205">
            <w:pPr>
              <w:jc w:val="center"/>
              <w:rPr>
                <w:rFonts w:hint="eastAsia" w:ascii="宋体" w:hAnsi="宋体"/>
                <w:szCs w:val="44"/>
              </w:rPr>
            </w:pPr>
            <w:r>
              <w:rPr>
                <w:rFonts w:hint="eastAsia" w:ascii="宋体" w:hAnsi="宋体"/>
                <w:szCs w:val="44"/>
              </w:rPr>
              <w:t>评审标准</w:t>
            </w:r>
          </w:p>
        </w:tc>
        <w:tc>
          <w:tcPr>
            <w:tcW w:w="7418" w:type="dxa"/>
            <w:gridSpan w:val="9"/>
            <w:noWrap w:val="0"/>
            <w:vAlign w:val="center"/>
          </w:tcPr>
          <w:p w14:paraId="513EC1AC">
            <w:pPr>
              <w:jc w:val="center"/>
              <w:rPr>
                <w:rFonts w:hint="eastAsia" w:ascii="宋体" w:hAnsi="宋体"/>
                <w:szCs w:val="44"/>
              </w:rPr>
            </w:pPr>
            <w:r>
              <w:rPr>
                <w:rFonts w:hint="eastAsia" w:ascii="宋体" w:hAnsi="宋体"/>
                <w:szCs w:val="44"/>
              </w:rPr>
              <w:t>投标人名称及评审意见</w:t>
            </w:r>
          </w:p>
        </w:tc>
      </w:tr>
      <w:tr w14:paraId="6B81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3" w:type="dxa"/>
            <w:vMerge w:val="continue"/>
            <w:noWrap w:val="0"/>
            <w:vAlign w:val="center"/>
          </w:tcPr>
          <w:p w14:paraId="761BE75D">
            <w:pPr>
              <w:jc w:val="center"/>
              <w:rPr>
                <w:rFonts w:hint="eastAsia" w:ascii="黑体" w:hAnsi="宋体" w:eastAsia="黑体"/>
                <w:szCs w:val="44"/>
              </w:rPr>
            </w:pPr>
          </w:p>
        </w:tc>
        <w:tc>
          <w:tcPr>
            <w:tcW w:w="1802" w:type="dxa"/>
            <w:vMerge w:val="continue"/>
            <w:noWrap w:val="0"/>
            <w:vAlign w:val="center"/>
          </w:tcPr>
          <w:p w14:paraId="46B0CBDA">
            <w:pPr>
              <w:rPr>
                <w:rFonts w:hint="eastAsia" w:ascii="宋体" w:hAnsi="宋体"/>
                <w:szCs w:val="44"/>
              </w:rPr>
            </w:pPr>
          </w:p>
        </w:tc>
        <w:tc>
          <w:tcPr>
            <w:tcW w:w="3794" w:type="dxa"/>
            <w:vMerge w:val="continue"/>
            <w:noWrap w:val="0"/>
            <w:vAlign w:val="center"/>
          </w:tcPr>
          <w:p w14:paraId="02D8361F">
            <w:pPr>
              <w:rPr>
                <w:rFonts w:hint="eastAsia" w:ascii="宋体" w:hAnsi="宋体"/>
                <w:szCs w:val="44"/>
              </w:rPr>
            </w:pPr>
          </w:p>
        </w:tc>
        <w:tc>
          <w:tcPr>
            <w:tcW w:w="824" w:type="dxa"/>
            <w:noWrap w:val="0"/>
            <w:vAlign w:val="center"/>
          </w:tcPr>
          <w:p w14:paraId="7361EEED">
            <w:pPr>
              <w:jc w:val="center"/>
              <w:rPr>
                <w:rFonts w:hint="eastAsia" w:ascii="宋体" w:hAnsi="宋体"/>
                <w:szCs w:val="44"/>
              </w:rPr>
            </w:pPr>
          </w:p>
        </w:tc>
        <w:tc>
          <w:tcPr>
            <w:tcW w:w="824" w:type="dxa"/>
            <w:noWrap w:val="0"/>
            <w:vAlign w:val="center"/>
          </w:tcPr>
          <w:p w14:paraId="371DD141">
            <w:pPr>
              <w:jc w:val="center"/>
              <w:rPr>
                <w:rFonts w:hint="eastAsia" w:ascii="宋体" w:hAnsi="宋体"/>
                <w:szCs w:val="44"/>
              </w:rPr>
            </w:pPr>
          </w:p>
        </w:tc>
        <w:tc>
          <w:tcPr>
            <w:tcW w:w="824" w:type="dxa"/>
            <w:noWrap w:val="0"/>
            <w:vAlign w:val="center"/>
          </w:tcPr>
          <w:p w14:paraId="570958B1">
            <w:pPr>
              <w:jc w:val="center"/>
              <w:rPr>
                <w:rFonts w:hint="eastAsia" w:ascii="宋体" w:hAnsi="宋体"/>
                <w:szCs w:val="44"/>
              </w:rPr>
            </w:pPr>
          </w:p>
        </w:tc>
        <w:tc>
          <w:tcPr>
            <w:tcW w:w="824" w:type="dxa"/>
            <w:noWrap w:val="0"/>
            <w:vAlign w:val="center"/>
          </w:tcPr>
          <w:p w14:paraId="39735C6F">
            <w:pPr>
              <w:jc w:val="center"/>
              <w:rPr>
                <w:rFonts w:hint="eastAsia" w:ascii="宋体" w:hAnsi="宋体"/>
                <w:szCs w:val="44"/>
              </w:rPr>
            </w:pPr>
          </w:p>
        </w:tc>
        <w:tc>
          <w:tcPr>
            <w:tcW w:w="825" w:type="dxa"/>
            <w:noWrap w:val="0"/>
            <w:vAlign w:val="center"/>
          </w:tcPr>
          <w:p w14:paraId="1CB8A876">
            <w:pPr>
              <w:jc w:val="center"/>
              <w:rPr>
                <w:rFonts w:hint="eastAsia" w:ascii="宋体" w:hAnsi="宋体"/>
                <w:szCs w:val="44"/>
              </w:rPr>
            </w:pPr>
          </w:p>
        </w:tc>
        <w:tc>
          <w:tcPr>
            <w:tcW w:w="824" w:type="dxa"/>
            <w:noWrap w:val="0"/>
            <w:vAlign w:val="center"/>
          </w:tcPr>
          <w:p w14:paraId="73645105">
            <w:pPr>
              <w:jc w:val="center"/>
              <w:rPr>
                <w:rFonts w:hint="eastAsia" w:ascii="宋体" w:hAnsi="宋体"/>
                <w:szCs w:val="44"/>
              </w:rPr>
            </w:pPr>
          </w:p>
        </w:tc>
        <w:tc>
          <w:tcPr>
            <w:tcW w:w="824" w:type="dxa"/>
            <w:noWrap w:val="0"/>
            <w:vAlign w:val="center"/>
          </w:tcPr>
          <w:p w14:paraId="61EE7711">
            <w:pPr>
              <w:jc w:val="center"/>
              <w:rPr>
                <w:rFonts w:hint="eastAsia" w:ascii="宋体" w:hAnsi="宋体"/>
                <w:szCs w:val="44"/>
              </w:rPr>
            </w:pPr>
          </w:p>
        </w:tc>
        <w:tc>
          <w:tcPr>
            <w:tcW w:w="824" w:type="dxa"/>
            <w:noWrap w:val="0"/>
            <w:vAlign w:val="center"/>
          </w:tcPr>
          <w:p w14:paraId="5F17ADC5">
            <w:pPr>
              <w:jc w:val="center"/>
              <w:rPr>
                <w:rFonts w:hint="eastAsia" w:ascii="宋体" w:hAnsi="宋体"/>
                <w:szCs w:val="44"/>
              </w:rPr>
            </w:pPr>
          </w:p>
        </w:tc>
        <w:tc>
          <w:tcPr>
            <w:tcW w:w="825" w:type="dxa"/>
            <w:noWrap w:val="0"/>
            <w:vAlign w:val="center"/>
          </w:tcPr>
          <w:p w14:paraId="3F6E8B1B">
            <w:pPr>
              <w:jc w:val="center"/>
              <w:rPr>
                <w:rFonts w:hint="eastAsia" w:ascii="宋体" w:hAnsi="宋体"/>
                <w:szCs w:val="44"/>
              </w:rPr>
            </w:pPr>
          </w:p>
        </w:tc>
      </w:tr>
      <w:tr w14:paraId="1B24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753" w:type="dxa"/>
            <w:vMerge w:val="restart"/>
            <w:noWrap w:val="0"/>
            <w:vAlign w:val="center"/>
          </w:tcPr>
          <w:p w14:paraId="391443C8">
            <w:pPr>
              <w:jc w:val="center"/>
              <w:rPr>
                <w:rFonts w:hint="eastAsia" w:ascii="黑体" w:hAnsi="宋体" w:eastAsia="黑体"/>
                <w:szCs w:val="44"/>
              </w:rPr>
            </w:pPr>
            <w:r>
              <w:rPr>
                <w:rFonts w:hint="eastAsia" w:ascii="黑体" w:hAnsi="宋体" w:eastAsia="黑体"/>
                <w:szCs w:val="44"/>
              </w:rPr>
              <w:t>11</w:t>
            </w:r>
          </w:p>
        </w:tc>
        <w:tc>
          <w:tcPr>
            <w:tcW w:w="1802" w:type="dxa"/>
            <w:vMerge w:val="restart"/>
            <w:noWrap w:val="0"/>
            <w:vAlign w:val="center"/>
          </w:tcPr>
          <w:p w14:paraId="5AA4EDFF">
            <w:pPr>
              <w:jc w:val="center"/>
              <w:rPr>
                <w:rFonts w:hint="eastAsia" w:ascii="宋体" w:hAnsi="宋体"/>
                <w:szCs w:val="44"/>
              </w:rPr>
            </w:pPr>
            <w:r>
              <w:rPr>
                <w:rFonts w:hint="eastAsia" w:ascii="宋体" w:hAnsi="宋体"/>
                <w:szCs w:val="44"/>
              </w:rPr>
              <w:t>已标价</w:t>
            </w:r>
          </w:p>
          <w:p w14:paraId="6557312F">
            <w:pPr>
              <w:jc w:val="center"/>
              <w:rPr>
                <w:rFonts w:hint="eastAsia" w:ascii="宋体" w:hAnsi="宋体"/>
                <w:szCs w:val="44"/>
              </w:rPr>
            </w:pPr>
            <w:r>
              <w:rPr>
                <w:rFonts w:hint="eastAsia" w:ascii="宋体" w:hAnsi="宋体"/>
                <w:szCs w:val="44"/>
              </w:rPr>
              <w:t>工程量清单</w:t>
            </w:r>
          </w:p>
        </w:tc>
        <w:tc>
          <w:tcPr>
            <w:tcW w:w="3794" w:type="dxa"/>
            <w:noWrap w:val="0"/>
            <w:vAlign w:val="center"/>
          </w:tcPr>
          <w:p w14:paraId="69A67EF9">
            <w:pPr>
              <w:rPr>
                <w:rFonts w:hint="eastAsia" w:ascii="宋体" w:hAnsi="宋体"/>
                <w:szCs w:val="21"/>
              </w:rPr>
            </w:pPr>
            <w:r>
              <w:rPr>
                <w:rFonts w:ascii="宋体" w:hAnsi="宋体"/>
                <w:szCs w:val="21"/>
              </w:rPr>
              <w:t>暂列金额</w:t>
            </w:r>
            <w:r>
              <w:rPr>
                <w:rFonts w:hint="eastAsia" w:ascii="宋体" w:hAnsi="宋体"/>
                <w:szCs w:val="21"/>
              </w:rPr>
              <w:t>符合第五章“工程量清单”</w:t>
            </w:r>
            <w:r>
              <w:rPr>
                <w:rFonts w:ascii="宋体" w:hAnsi="宋体"/>
                <w:szCs w:val="21"/>
              </w:rPr>
              <w:t>列出的金额</w:t>
            </w:r>
          </w:p>
        </w:tc>
        <w:tc>
          <w:tcPr>
            <w:tcW w:w="824" w:type="dxa"/>
            <w:noWrap w:val="0"/>
            <w:vAlign w:val="center"/>
          </w:tcPr>
          <w:p w14:paraId="43FC0444">
            <w:pPr>
              <w:jc w:val="center"/>
              <w:rPr>
                <w:rFonts w:hint="eastAsia" w:ascii="宋体" w:hAnsi="宋体"/>
                <w:szCs w:val="44"/>
              </w:rPr>
            </w:pPr>
          </w:p>
        </w:tc>
        <w:tc>
          <w:tcPr>
            <w:tcW w:w="824" w:type="dxa"/>
            <w:noWrap w:val="0"/>
            <w:vAlign w:val="center"/>
          </w:tcPr>
          <w:p w14:paraId="4A0C0A33">
            <w:pPr>
              <w:jc w:val="center"/>
              <w:rPr>
                <w:rFonts w:hint="eastAsia" w:ascii="宋体" w:hAnsi="宋体"/>
                <w:szCs w:val="44"/>
              </w:rPr>
            </w:pPr>
          </w:p>
        </w:tc>
        <w:tc>
          <w:tcPr>
            <w:tcW w:w="824" w:type="dxa"/>
            <w:noWrap w:val="0"/>
            <w:vAlign w:val="center"/>
          </w:tcPr>
          <w:p w14:paraId="233B8547">
            <w:pPr>
              <w:jc w:val="center"/>
              <w:rPr>
                <w:rFonts w:hint="eastAsia" w:ascii="宋体" w:hAnsi="宋体"/>
                <w:szCs w:val="44"/>
              </w:rPr>
            </w:pPr>
          </w:p>
        </w:tc>
        <w:tc>
          <w:tcPr>
            <w:tcW w:w="824" w:type="dxa"/>
            <w:noWrap w:val="0"/>
            <w:vAlign w:val="center"/>
          </w:tcPr>
          <w:p w14:paraId="7D8ECD9F">
            <w:pPr>
              <w:jc w:val="center"/>
              <w:rPr>
                <w:rFonts w:hint="eastAsia" w:ascii="宋体" w:hAnsi="宋体"/>
                <w:szCs w:val="44"/>
              </w:rPr>
            </w:pPr>
          </w:p>
        </w:tc>
        <w:tc>
          <w:tcPr>
            <w:tcW w:w="825" w:type="dxa"/>
            <w:noWrap w:val="0"/>
            <w:vAlign w:val="center"/>
          </w:tcPr>
          <w:p w14:paraId="10C0E581">
            <w:pPr>
              <w:jc w:val="center"/>
              <w:rPr>
                <w:rFonts w:hint="eastAsia" w:ascii="宋体" w:hAnsi="宋体"/>
                <w:szCs w:val="44"/>
              </w:rPr>
            </w:pPr>
          </w:p>
        </w:tc>
        <w:tc>
          <w:tcPr>
            <w:tcW w:w="824" w:type="dxa"/>
            <w:noWrap w:val="0"/>
            <w:vAlign w:val="center"/>
          </w:tcPr>
          <w:p w14:paraId="19E6F026">
            <w:pPr>
              <w:jc w:val="center"/>
              <w:rPr>
                <w:rFonts w:hint="eastAsia" w:ascii="宋体" w:hAnsi="宋体"/>
                <w:szCs w:val="44"/>
              </w:rPr>
            </w:pPr>
          </w:p>
        </w:tc>
        <w:tc>
          <w:tcPr>
            <w:tcW w:w="824" w:type="dxa"/>
            <w:noWrap w:val="0"/>
            <w:vAlign w:val="center"/>
          </w:tcPr>
          <w:p w14:paraId="4857C4B3">
            <w:pPr>
              <w:jc w:val="center"/>
              <w:rPr>
                <w:rFonts w:hint="eastAsia" w:ascii="宋体" w:hAnsi="宋体"/>
                <w:szCs w:val="44"/>
              </w:rPr>
            </w:pPr>
          </w:p>
        </w:tc>
        <w:tc>
          <w:tcPr>
            <w:tcW w:w="824" w:type="dxa"/>
            <w:noWrap w:val="0"/>
            <w:vAlign w:val="center"/>
          </w:tcPr>
          <w:p w14:paraId="0E3D387D">
            <w:pPr>
              <w:jc w:val="center"/>
              <w:rPr>
                <w:rFonts w:hint="eastAsia" w:ascii="宋体" w:hAnsi="宋体"/>
                <w:szCs w:val="44"/>
              </w:rPr>
            </w:pPr>
          </w:p>
        </w:tc>
        <w:tc>
          <w:tcPr>
            <w:tcW w:w="825" w:type="dxa"/>
            <w:noWrap w:val="0"/>
            <w:vAlign w:val="center"/>
          </w:tcPr>
          <w:p w14:paraId="0339E72A">
            <w:pPr>
              <w:jc w:val="center"/>
              <w:rPr>
                <w:rFonts w:hint="eastAsia" w:ascii="宋体" w:hAnsi="宋体"/>
                <w:szCs w:val="44"/>
              </w:rPr>
            </w:pPr>
          </w:p>
        </w:tc>
      </w:tr>
      <w:tr w14:paraId="7DCA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53" w:type="dxa"/>
            <w:vMerge w:val="continue"/>
            <w:noWrap w:val="0"/>
            <w:vAlign w:val="center"/>
          </w:tcPr>
          <w:p w14:paraId="7EAE478C">
            <w:pPr>
              <w:jc w:val="center"/>
              <w:rPr>
                <w:rFonts w:hint="eastAsia" w:ascii="黑体" w:hAnsi="宋体" w:eastAsia="黑体"/>
                <w:szCs w:val="44"/>
              </w:rPr>
            </w:pPr>
          </w:p>
        </w:tc>
        <w:tc>
          <w:tcPr>
            <w:tcW w:w="1802" w:type="dxa"/>
            <w:vMerge w:val="continue"/>
            <w:noWrap w:val="0"/>
            <w:vAlign w:val="center"/>
          </w:tcPr>
          <w:p w14:paraId="30DA0A16">
            <w:pPr>
              <w:jc w:val="center"/>
              <w:rPr>
                <w:rFonts w:hint="eastAsia" w:ascii="宋体" w:hAnsi="宋体"/>
                <w:szCs w:val="44"/>
              </w:rPr>
            </w:pPr>
          </w:p>
        </w:tc>
        <w:tc>
          <w:tcPr>
            <w:tcW w:w="3794" w:type="dxa"/>
            <w:noWrap w:val="0"/>
            <w:vAlign w:val="center"/>
          </w:tcPr>
          <w:p w14:paraId="7C5588F6">
            <w:pPr>
              <w:rPr>
                <w:rFonts w:hint="eastAsia" w:ascii="宋体" w:hAnsi="宋体"/>
                <w:szCs w:val="21"/>
              </w:rPr>
            </w:pPr>
            <w:r>
              <w:rPr>
                <w:rFonts w:ascii="宋体" w:hAnsi="宋体"/>
                <w:szCs w:val="21"/>
              </w:rPr>
              <w:t>专业工程暂估价</w:t>
            </w:r>
            <w:r>
              <w:rPr>
                <w:rFonts w:hint="eastAsia" w:ascii="宋体" w:hAnsi="宋体"/>
                <w:szCs w:val="21"/>
              </w:rPr>
              <w:t>符合第五章“工程量清单”</w:t>
            </w:r>
            <w:r>
              <w:rPr>
                <w:rFonts w:ascii="宋体" w:hAnsi="宋体"/>
                <w:szCs w:val="21"/>
              </w:rPr>
              <w:t>列出的金额</w:t>
            </w:r>
          </w:p>
        </w:tc>
        <w:tc>
          <w:tcPr>
            <w:tcW w:w="824" w:type="dxa"/>
            <w:noWrap w:val="0"/>
            <w:vAlign w:val="center"/>
          </w:tcPr>
          <w:p w14:paraId="02812594">
            <w:pPr>
              <w:jc w:val="center"/>
              <w:rPr>
                <w:rFonts w:hint="eastAsia" w:ascii="宋体" w:hAnsi="宋体"/>
                <w:szCs w:val="44"/>
              </w:rPr>
            </w:pPr>
          </w:p>
        </w:tc>
        <w:tc>
          <w:tcPr>
            <w:tcW w:w="824" w:type="dxa"/>
            <w:noWrap w:val="0"/>
            <w:vAlign w:val="center"/>
          </w:tcPr>
          <w:p w14:paraId="33CC5A5C">
            <w:pPr>
              <w:jc w:val="center"/>
              <w:rPr>
                <w:rFonts w:hint="eastAsia" w:ascii="宋体" w:hAnsi="宋体"/>
                <w:szCs w:val="44"/>
              </w:rPr>
            </w:pPr>
          </w:p>
        </w:tc>
        <w:tc>
          <w:tcPr>
            <w:tcW w:w="824" w:type="dxa"/>
            <w:noWrap w:val="0"/>
            <w:vAlign w:val="center"/>
          </w:tcPr>
          <w:p w14:paraId="73FB654D">
            <w:pPr>
              <w:jc w:val="center"/>
              <w:rPr>
                <w:rFonts w:hint="eastAsia" w:ascii="宋体" w:hAnsi="宋体"/>
                <w:szCs w:val="44"/>
              </w:rPr>
            </w:pPr>
          </w:p>
        </w:tc>
        <w:tc>
          <w:tcPr>
            <w:tcW w:w="824" w:type="dxa"/>
            <w:noWrap w:val="0"/>
            <w:vAlign w:val="center"/>
          </w:tcPr>
          <w:p w14:paraId="3D8BDC48">
            <w:pPr>
              <w:jc w:val="center"/>
              <w:rPr>
                <w:rFonts w:hint="eastAsia" w:ascii="宋体" w:hAnsi="宋体"/>
                <w:szCs w:val="44"/>
              </w:rPr>
            </w:pPr>
          </w:p>
        </w:tc>
        <w:tc>
          <w:tcPr>
            <w:tcW w:w="825" w:type="dxa"/>
            <w:noWrap w:val="0"/>
            <w:vAlign w:val="center"/>
          </w:tcPr>
          <w:p w14:paraId="6BBD2001">
            <w:pPr>
              <w:jc w:val="center"/>
              <w:rPr>
                <w:rFonts w:hint="eastAsia" w:ascii="宋体" w:hAnsi="宋体"/>
                <w:szCs w:val="44"/>
              </w:rPr>
            </w:pPr>
          </w:p>
        </w:tc>
        <w:tc>
          <w:tcPr>
            <w:tcW w:w="824" w:type="dxa"/>
            <w:noWrap w:val="0"/>
            <w:vAlign w:val="center"/>
          </w:tcPr>
          <w:p w14:paraId="569D5FAA">
            <w:pPr>
              <w:jc w:val="center"/>
              <w:rPr>
                <w:rFonts w:hint="eastAsia" w:ascii="宋体" w:hAnsi="宋体"/>
                <w:szCs w:val="44"/>
              </w:rPr>
            </w:pPr>
          </w:p>
        </w:tc>
        <w:tc>
          <w:tcPr>
            <w:tcW w:w="824" w:type="dxa"/>
            <w:noWrap w:val="0"/>
            <w:vAlign w:val="center"/>
          </w:tcPr>
          <w:p w14:paraId="21660D75">
            <w:pPr>
              <w:jc w:val="center"/>
              <w:rPr>
                <w:rFonts w:hint="eastAsia" w:ascii="宋体" w:hAnsi="宋体"/>
                <w:szCs w:val="44"/>
              </w:rPr>
            </w:pPr>
          </w:p>
        </w:tc>
        <w:tc>
          <w:tcPr>
            <w:tcW w:w="824" w:type="dxa"/>
            <w:noWrap w:val="0"/>
            <w:vAlign w:val="center"/>
          </w:tcPr>
          <w:p w14:paraId="7AE1E786">
            <w:pPr>
              <w:jc w:val="center"/>
              <w:rPr>
                <w:rFonts w:hint="eastAsia" w:ascii="宋体" w:hAnsi="宋体"/>
                <w:szCs w:val="44"/>
              </w:rPr>
            </w:pPr>
          </w:p>
        </w:tc>
        <w:tc>
          <w:tcPr>
            <w:tcW w:w="825" w:type="dxa"/>
            <w:noWrap w:val="0"/>
            <w:vAlign w:val="center"/>
          </w:tcPr>
          <w:p w14:paraId="2A0D8FB2">
            <w:pPr>
              <w:jc w:val="center"/>
              <w:rPr>
                <w:rFonts w:hint="eastAsia" w:ascii="宋体" w:hAnsi="宋体"/>
                <w:szCs w:val="44"/>
              </w:rPr>
            </w:pPr>
          </w:p>
        </w:tc>
      </w:tr>
      <w:tr w14:paraId="599E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753" w:type="dxa"/>
            <w:vMerge w:val="continue"/>
            <w:noWrap w:val="0"/>
            <w:vAlign w:val="center"/>
          </w:tcPr>
          <w:p w14:paraId="5BFD9A86">
            <w:pPr>
              <w:jc w:val="center"/>
              <w:rPr>
                <w:rFonts w:hint="eastAsia" w:ascii="黑体" w:hAnsi="宋体" w:eastAsia="黑体"/>
                <w:szCs w:val="44"/>
              </w:rPr>
            </w:pPr>
          </w:p>
        </w:tc>
        <w:tc>
          <w:tcPr>
            <w:tcW w:w="1802" w:type="dxa"/>
            <w:vMerge w:val="continue"/>
            <w:noWrap w:val="0"/>
            <w:vAlign w:val="center"/>
          </w:tcPr>
          <w:p w14:paraId="2B5250FE">
            <w:pPr>
              <w:jc w:val="center"/>
              <w:rPr>
                <w:rFonts w:hint="eastAsia" w:ascii="宋体" w:hAnsi="宋体"/>
                <w:szCs w:val="44"/>
              </w:rPr>
            </w:pPr>
          </w:p>
        </w:tc>
        <w:tc>
          <w:tcPr>
            <w:tcW w:w="3794" w:type="dxa"/>
            <w:noWrap w:val="0"/>
            <w:vAlign w:val="center"/>
          </w:tcPr>
          <w:p w14:paraId="55322A51">
            <w:pPr>
              <w:rPr>
                <w:rFonts w:hint="eastAsia" w:ascii="宋体" w:hAnsi="宋体"/>
                <w:szCs w:val="21"/>
              </w:rPr>
            </w:pPr>
            <w:r>
              <w:rPr>
                <w:rFonts w:ascii="宋体" w:hAnsi="宋体"/>
                <w:szCs w:val="21"/>
              </w:rPr>
              <w:t>材料</w:t>
            </w:r>
            <w:r>
              <w:rPr>
                <w:rFonts w:hint="eastAsia" w:ascii="宋体" w:hAnsi="宋体"/>
                <w:szCs w:val="21"/>
              </w:rPr>
              <w:t>（工程设备）</w:t>
            </w:r>
            <w:r>
              <w:rPr>
                <w:rFonts w:ascii="宋体" w:hAnsi="宋体"/>
                <w:szCs w:val="21"/>
              </w:rPr>
              <w:t>暂估价</w:t>
            </w:r>
            <w:r>
              <w:rPr>
                <w:rFonts w:hint="eastAsia" w:ascii="宋体" w:hAnsi="宋体"/>
                <w:szCs w:val="21"/>
              </w:rPr>
              <w:t>符合第五章“工程量清单”</w:t>
            </w:r>
            <w:r>
              <w:rPr>
                <w:rFonts w:ascii="宋体" w:hAnsi="宋体"/>
                <w:szCs w:val="21"/>
              </w:rPr>
              <w:t>列出的单价</w:t>
            </w:r>
            <w:r>
              <w:rPr>
                <w:rFonts w:hint="eastAsia" w:ascii="宋体" w:hAnsi="宋体"/>
                <w:szCs w:val="21"/>
              </w:rPr>
              <w:t>并</w:t>
            </w:r>
            <w:r>
              <w:rPr>
                <w:rFonts w:ascii="宋体" w:hAnsi="宋体"/>
                <w:szCs w:val="21"/>
              </w:rPr>
              <w:t>计入综合单价</w:t>
            </w:r>
          </w:p>
        </w:tc>
        <w:tc>
          <w:tcPr>
            <w:tcW w:w="824" w:type="dxa"/>
            <w:noWrap w:val="0"/>
            <w:vAlign w:val="center"/>
          </w:tcPr>
          <w:p w14:paraId="503F23D1">
            <w:pPr>
              <w:jc w:val="center"/>
              <w:rPr>
                <w:rFonts w:hint="eastAsia" w:ascii="宋体" w:hAnsi="宋体"/>
                <w:szCs w:val="44"/>
              </w:rPr>
            </w:pPr>
          </w:p>
        </w:tc>
        <w:tc>
          <w:tcPr>
            <w:tcW w:w="824" w:type="dxa"/>
            <w:noWrap w:val="0"/>
            <w:vAlign w:val="center"/>
          </w:tcPr>
          <w:p w14:paraId="753233A7">
            <w:pPr>
              <w:jc w:val="center"/>
              <w:rPr>
                <w:rFonts w:hint="eastAsia" w:ascii="宋体" w:hAnsi="宋体"/>
                <w:szCs w:val="44"/>
              </w:rPr>
            </w:pPr>
          </w:p>
        </w:tc>
        <w:tc>
          <w:tcPr>
            <w:tcW w:w="824" w:type="dxa"/>
            <w:noWrap w:val="0"/>
            <w:vAlign w:val="center"/>
          </w:tcPr>
          <w:p w14:paraId="6F51BD4B">
            <w:pPr>
              <w:jc w:val="center"/>
              <w:rPr>
                <w:rFonts w:hint="eastAsia" w:ascii="宋体" w:hAnsi="宋体"/>
                <w:szCs w:val="44"/>
              </w:rPr>
            </w:pPr>
          </w:p>
        </w:tc>
        <w:tc>
          <w:tcPr>
            <w:tcW w:w="824" w:type="dxa"/>
            <w:noWrap w:val="0"/>
            <w:vAlign w:val="center"/>
          </w:tcPr>
          <w:p w14:paraId="4651AB2B">
            <w:pPr>
              <w:jc w:val="center"/>
              <w:rPr>
                <w:rFonts w:hint="eastAsia" w:ascii="宋体" w:hAnsi="宋体"/>
                <w:szCs w:val="44"/>
              </w:rPr>
            </w:pPr>
          </w:p>
        </w:tc>
        <w:tc>
          <w:tcPr>
            <w:tcW w:w="825" w:type="dxa"/>
            <w:noWrap w:val="0"/>
            <w:vAlign w:val="center"/>
          </w:tcPr>
          <w:p w14:paraId="0BEB3265">
            <w:pPr>
              <w:jc w:val="center"/>
              <w:rPr>
                <w:rFonts w:hint="eastAsia" w:ascii="宋体" w:hAnsi="宋体"/>
                <w:szCs w:val="44"/>
              </w:rPr>
            </w:pPr>
          </w:p>
        </w:tc>
        <w:tc>
          <w:tcPr>
            <w:tcW w:w="824" w:type="dxa"/>
            <w:noWrap w:val="0"/>
            <w:vAlign w:val="center"/>
          </w:tcPr>
          <w:p w14:paraId="60E4ABAA">
            <w:pPr>
              <w:jc w:val="center"/>
              <w:rPr>
                <w:rFonts w:hint="eastAsia" w:ascii="宋体" w:hAnsi="宋体"/>
                <w:szCs w:val="44"/>
              </w:rPr>
            </w:pPr>
          </w:p>
        </w:tc>
        <w:tc>
          <w:tcPr>
            <w:tcW w:w="824" w:type="dxa"/>
            <w:noWrap w:val="0"/>
            <w:vAlign w:val="center"/>
          </w:tcPr>
          <w:p w14:paraId="4C38DD2D">
            <w:pPr>
              <w:jc w:val="center"/>
              <w:rPr>
                <w:rFonts w:hint="eastAsia" w:ascii="宋体" w:hAnsi="宋体"/>
                <w:szCs w:val="44"/>
              </w:rPr>
            </w:pPr>
          </w:p>
        </w:tc>
        <w:tc>
          <w:tcPr>
            <w:tcW w:w="824" w:type="dxa"/>
            <w:noWrap w:val="0"/>
            <w:vAlign w:val="center"/>
          </w:tcPr>
          <w:p w14:paraId="5FFB7075">
            <w:pPr>
              <w:jc w:val="center"/>
              <w:rPr>
                <w:rFonts w:hint="eastAsia" w:ascii="宋体" w:hAnsi="宋体"/>
                <w:szCs w:val="44"/>
              </w:rPr>
            </w:pPr>
          </w:p>
        </w:tc>
        <w:tc>
          <w:tcPr>
            <w:tcW w:w="825" w:type="dxa"/>
            <w:noWrap w:val="0"/>
            <w:vAlign w:val="center"/>
          </w:tcPr>
          <w:p w14:paraId="5DACA7D0">
            <w:pPr>
              <w:jc w:val="center"/>
              <w:rPr>
                <w:rFonts w:hint="eastAsia" w:ascii="宋体" w:hAnsi="宋体"/>
                <w:szCs w:val="44"/>
              </w:rPr>
            </w:pPr>
          </w:p>
        </w:tc>
      </w:tr>
      <w:tr w14:paraId="4EFF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53" w:type="dxa"/>
            <w:vMerge w:val="continue"/>
            <w:noWrap w:val="0"/>
            <w:vAlign w:val="center"/>
          </w:tcPr>
          <w:p w14:paraId="29F99E41">
            <w:pPr>
              <w:jc w:val="center"/>
              <w:rPr>
                <w:rFonts w:hint="eastAsia" w:ascii="黑体" w:hAnsi="宋体" w:eastAsia="黑体"/>
                <w:szCs w:val="44"/>
              </w:rPr>
            </w:pPr>
          </w:p>
        </w:tc>
        <w:tc>
          <w:tcPr>
            <w:tcW w:w="1802" w:type="dxa"/>
            <w:vMerge w:val="continue"/>
            <w:noWrap w:val="0"/>
            <w:vAlign w:val="center"/>
          </w:tcPr>
          <w:p w14:paraId="017CEC7B">
            <w:pPr>
              <w:jc w:val="center"/>
              <w:rPr>
                <w:rFonts w:hint="eastAsia" w:ascii="宋体" w:hAnsi="宋体"/>
                <w:szCs w:val="44"/>
              </w:rPr>
            </w:pPr>
          </w:p>
        </w:tc>
        <w:tc>
          <w:tcPr>
            <w:tcW w:w="3794" w:type="dxa"/>
            <w:noWrap w:val="0"/>
            <w:vAlign w:val="center"/>
          </w:tcPr>
          <w:p w14:paraId="50297F6D">
            <w:pPr>
              <w:rPr>
                <w:rFonts w:hint="eastAsia" w:ascii="宋体" w:hAnsi="宋体"/>
                <w:szCs w:val="21"/>
              </w:rPr>
            </w:pPr>
            <w:r>
              <w:rPr>
                <w:rFonts w:hint="eastAsia" w:ascii="宋体" w:hAnsi="宋体"/>
                <w:szCs w:val="21"/>
              </w:rPr>
              <w:t>安全文明施工费、规费和税金等不可竞争费用，按照规定的标准计取</w:t>
            </w:r>
          </w:p>
        </w:tc>
        <w:tc>
          <w:tcPr>
            <w:tcW w:w="824" w:type="dxa"/>
            <w:noWrap w:val="0"/>
            <w:vAlign w:val="center"/>
          </w:tcPr>
          <w:p w14:paraId="51097034">
            <w:pPr>
              <w:jc w:val="center"/>
              <w:rPr>
                <w:rFonts w:hint="eastAsia" w:ascii="宋体" w:hAnsi="宋体"/>
                <w:szCs w:val="44"/>
              </w:rPr>
            </w:pPr>
          </w:p>
        </w:tc>
        <w:tc>
          <w:tcPr>
            <w:tcW w:w="824" w:type="dxa"/>
            <w:noWrap w:val="0"/>
            <w:vAlign w:val="center"/>
          </w:tcPr>
          <w:p w14:paraId="2E5F8FEB">
            <w:pPr>
              <w:jc w:val="center"/>
              <w:rPr>
                <w:rFonts w:hint="eastAsia" w:ascii="宋体" w:hAnsi="宋体"/>
                <w:szCs w:val="44"/>
              </w:rPr>
            </w:pPr>
          </w:p>
        </w:tc>
        <w:tc>
          <w:tcPr>
            <w:tcW w:w="824" w:type="dxa"/>
            <w:noWrap w:val="0"/>
            <w:vAlign w:val="center"/>
          </w:tcPr>
          <w:p w14:paraId="6DEB7257">
            <w:pPr>
              <w:jc w:val="center"/>
              <w:rPr>
                <w:rFonts w:hint="eastAsia" w:ascii="宋体" w:hAnsi="宋体"/>
                <w:szCs w:val="44"/>
              </w:rPr>
            </w:pPr>
          </w:p>
        </w:tc>
        <w:tc>
          <w:tcPr>
            <w:tcW w:w="824" w:type="dxa"/>
            <w:noWrap w:val="0"/>
            <w:vAlign w:val="center"/>
          </w:tcPr>
          <w:p w14:paraId="56F35B15">
            <w:pPr>
              <w:jc w:val="center"/>
              <w:rPr>
                <w:rFonts w:hint="eastAsia" w:ascii="宋体" w:hAnsi="宋体"/>
                <w:szCs w:val="44"/>
              </w:rPr>
            </w:pPr>
          </w:p>
        </w:tc>
        <w:tc>
          <w:tcPr>
            <w:tcW w:w="825" w:type="dxa"/>
            <w:noWrap w:val="0"/>
            <w:vAlign w:val="center"/>
          </w:tcPr>
          <w:p w14:paraId="05BBA6D3">
            <w:pPr>
              <w:jc w:val="center"/>
              <w:rPr>
                <w:rFonts w:hint="eastAsia" w:ascii="宋体" w:hAnsi="宋体"/>
                <w:szCs w:val="44"/>
              </w:rPr>
            </w:pPr>
          </w:p>
        </w:tc>
        <w:tc>
          <w:tcPr>
            <w:tcW w:w="824" w:type="dxa"/>
            <w:noWrap w:val="0"/>
            <w:vAlign w:val="center"/>
          </w:tcPr>
          <w:p w14:paraId="3A66E4E0">
            <w:pPr>
              <w:jc w:val="center"/>
              <w:rPr>
                <w:rFonts w:hint="eastAsia" w:ascii="宋体" w:hAnsi="宋体"/>
                <w:szCs w:val="44"/>
              </w:rPr>
            </w:pPr>
          </w:p>
        </w:tc>
        <w:tc>
          <w:tcPr>
            <w:tcW w:w="824" w:type="dxa"/>
            <w:noWrap w:val="0"/>
            <w:vAlign w:val="center"/>
          </w:tcPr>
          <w:p w14:paraId="07ED2F35">
            <w:pPr>
              <w:jc w:val="center"/>
              <w:rPr>
                <w:rFonts w:hint="eastAsia" w:ascii="宋体" w:hAnsi="宋体"/>
                <w:szCs w:val="44"/>
              </w:rPr>
            </w:pPr>
          </w:p>
        </w:tc>
        <w:tc>
          <w:tcPr>
            <w:tcW w:w="824" w:type="dxa"/>
            <w:noWrap w:val="0"/>
            <w:vAlign w:val="center"/>
          </w:tcPr>
          <w:p w14:paraId="517ADCC1">
            <w:pPr>
              <w:jc w:val="center"/>
              <w:rPr>
                <w:rFonts w:hint="eastAsia" w:ascii="宋体" w:hAnsi="宋体"/>
                <w:szCs w:val="44"/>
              </w:rPr>
            </w:pPr>
          </w:p>
        </w:tc>
        <w:tc>
          <w:tcPr>
            <w:tcW w:w="825" w:type="dxa"/>
            <w:noWrap w:val="0"/>
            <w:vAlign w:val="center"/>
          </w:tcPr>
          <w:p w14:paraId="3F1541A0">
            <w:pPr>
              <w:jc w:val="center"/>
              <w:rPr>
                <w:rFonts w:hint="eastAsia" w:ascii="宋体" w:hAnsi="宋体"/>
                <w:szCs w:val="44"/>
              </w:rPr>
            </w:pPr>
          </w:p>
        </w:tc>
      </w:tr>
      <w:tr w14:paraId="2BD1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53" w:type="dxa"/>
            <w:vMerge w:val="continue"/>
            <w:noWrap w:val="0"/>
            <w:vAlign w:val="center"/>
          </w:tcPr>
          <w:p w14:paraId="027D697C">
            <w:pPr>
              <w:jc w:val="center"/>
              <w:rPr>
                <w:rFonts w:hint="eastAsia" w:ascii="黑体" w:hAnsi="宋体" w:eastAsia="黑体"/>
                <w:szCs w:val="44"/>
              </w:rPr>
            </w:pPr>
          </w:p>
        </w:tc>
        <w:tc>
          <w:tcPr>
            <w:tcW w:w="1802" w:type="dxa"/>
            <w:vMerge w:val="continue"/>
            <w:noWrap w:val="0"/>
            <w:vAlign w:val="center"/>
          </w:tcPr>
          <w:p w14:paraId="48672E83">
            <w:pPr>
              <w:jc w:val="center"/>
              <w:rPr>
                <w:rFonts w:hint="eastAsia" w:ascii="宋体" w:hAnsi="宋体"/>
                <w:szCs w:val="44"/>
              </w:rPr>
            </w:pPr>
          </w:p>
        </w:tc>
        <w:tc>
          <w:tcPr>
            <w:tcW w:w="3794" w:type="dxa"/>
            <w:noWrap w:val="0"/>
            <w:vAlign w:val="center"/>
          </w:tcPr>
          <w:p w14:paraId="6997F99D">
            <w:pPr>
              <w:rPr>
                <w:rFonts w:hint="eastAsia" w:ascii="宋体" w:hAnsi="宋体"/>
                <w:szCs w:val="21"/>
              </w:rPr>
            </w:pPr>
            <w:r>
              <w:rPr>
                <w:rFonts w:hint="eastAsia" w:ascii="宋体" w:hAnsi="宋体"/>
                <w:szCs w:val="21"/>
              </w:rPr>
              <w:t>计税方法符合招标文件的约定</w:t>
            </w:r>
          </w:p>
        </w:tc>
        <w:tc>
          <w:tcPr>
            <w:tcW w:w="824" w:type="dxa"/>
            <w:noWrap w:val="0"/>
            <w:vAlign w:val="center"/>
          </w:tcPr>
          <w:p w14:paraId="5D314C6B">
            <w:pPr>
              <w:jc w:val="center"/>
              <w:rPr>
                <w:rFonts w:hint="eastAsia" w:ascii="宋体" w:hAnsi="宋体"/>
                <w:szCs w:val="44"/>
              </w:rPr>
            </w:pPr>
          </w:p>
        </w:tc>
        <w:tc>
          <w:tcPr>
            <w:tcW w:w="824" w:type="dxa"/>
            <w:noWrap w:val="0"/>
            <w:vAlign w:val="center"/>
          </w:tcPr>
          <w:p w14:paraId="67A77237">
            <w:pPr>
              <w:jc w:val="center"/>
              <w:rPr>
                <w:rFonts w:hint="eastAsia" w:ascii="宋体" w:hAnsi="宋体"/>
                <w:szCs w:val="44"/>
              </w:rPr>
            </w:pPr>
          </w:p>
        </w:tc>
        <w:tc>
          <w:tcPr>
            <w:tcW w:w="824" w:type="dxa"/>
            <w:noWrap w:val="0"/>
            <w:vAlign w:val="center"/>
          </w:tcPr>
          <w:p w14:paraId="66A8D93C">
            <w:pPr>
              <w:jc w:val="center"/>
              <w:rPr>
                <w:rFonts w:hint="eastAsia" w:ascii="宋体" w:hAnsi="宋体"/>
                <w:szCs w:val="44"/>
              </w:rPr>
            </w:pPr>
          </w:p>
        </w:tc>
        <w:tc>
          <w:tcPr>
            <w:tcW w:w="824" w:type="dxa"/>
            <w:noWrap w:val="0"/>
            <w:vAlign w:val="center"/>
          </w:tcPr>
          <w:p w14:paraId="453ACD39">
            <w:pPr>
              <w:jc w:val="center"/>
              <w:rPr>
                <w:rFonts w:hint="eastAsia" w:ascii="宋体" w:hAnsi="宋体"/>
                <w:szCs w:val="44"/>
              </w:rPr>
            </w:pPr>
          </w:p>
        </w:tc>
        <w:tc>
          <w:tcPr>
            <w:tcW w:w="825" w:type="dxa"/>
            <w:noWrap w:val="0"/>
            <w:vAlign w:val="center"/>
          </w:tcPr>
          <w:p w14:paraId="55A2B32A">
            <w:pPr>
              <w:jc w:val="center"/>
              <w:rPr>
                <w:rFonts w:hint="eastAsia" w:ascii="宋体" w:hAnsi="宋体"/>
                <w:szCs w:val="44"/>
              </w:rPr>
            </w:pPr>
          </w:p>
        </w:tc>
        <w:tc>
          <w:tcPr>
            <w:tcW w:w="824" w:type="dxa"/>
            <w:noWrap w:val="0"/>
            <w:vAlign w:val="center"/>
          </w:tcPr>
          <w:p w14:paraId="433E91DD">
            <w:pPr>
              <w:jc w:val="center"/>
              <w:rPr>
                <w:rFonts w:hint="eastAsia" w:ascii="宋体" w:hAnsi="宋体"/>
                <w:szCs w:val="44"/>
              </w:rPr>
            </w:pPr>
          </w:p>
        </w:tc>
        <w:tc>
          <w:tcPr>
            <w:tcW w:w="824" w:type="dxa"/>
            <w:noWrap w:val="0"/>
            <w:vAlign w:val="center"/>
          </w:tcPr>
          <w:p w14:paraId="364CBF37">
            <w:pPr>
              <w:jc w:val="center"/>
              <w:rPr>
                <w:rFonts w:hint="eastAsia" w:ascii="宋体" w:hAnsi="宋体"/>
                <w:szCs w:val="44"/>
              </w:rPr>
            </w:pPr>
          </w:p>
        </w:tc>
        <w:tc>
          <w:tcPr>
            <w:tcW w:w="824" w:type="dxa"/>
            <w:noWrap w:val="0"/>
            <w:vAlign w:val="center"/>
          </w:tcPr>
          <w:p w14:paraId="03346FE1">
            <w:pPr>
              <w:jc w:val="center"/>
              <w:rPr>
                <w:rFonts w:hint="eastAsia" w:ascii="宋体" w:hAnsi="宋体"/>
                <w:szCs w:val="44"/>
              </w:rPr>
            </w:pPr>
          </w:p>
        </w:tc>
        <w:tc>
          <w:tcPr>
            <w:tcW w:w="825" w:type="dxa"/>
            <w:noWrap w:val="0"/>
            <w:vAlign w:val="center"/>
          </w:tcPr>
          <w:p w14:paraId="003ECC86">
            <w:pPr>
              <w:jc w:val="center"/>
              <w:rPr>
                <w:rFonts w:hint="eastAsia" w:ascii="宋体" w:hAnsi="宋体"/>
                <w:szCs w:val="44"/>
              </w:rPr>
            </w:pPr>
          </w:p>
        </w:tc>
      </w:tr>
      <w:tr w14:paraId="0399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753" w:type="dxa"/>
            <w:vMerge w:val="continue"/>
            <w:noWrap w:val="0"/>
            <w:vAlign w:val="center"/>
          </w:tcPr>
          <w:p w14:paraId="44992475">
            <w:pPr>
              <w:jc w:val="center"/>
              <w:rPr>
                <w:rFonts w:hint="eastAsia" w:ascii="黑体" w:hAnsi="宋体" w:eastAsia="黑体"/>
                <w:szCs w:val="44"/>
              </w:rPr>
            </w:pPr>
          </w:p>
        </w:tc>
        <w:tc>
          <w:tcPr>
            <w:tcW w:w="1802" w:type="dxa"/>
            <w:vMerge w:val="continue"/>
            <w:noWrap w:val="0"/>
            <w:vAlign w:val="center"/>
          </w:tcPr>
          <w:p w14:paraId="6ABE7BB7">
            <w:pPr>
              <w:jc w:val="center"/>
              <w:rPr>
                <w:rFonts w:hint="eastAsia" w:ascii="宋体" w:hAnsi="宋体"/>
                <w:szCs w:val="44"/>
              </w:rPr>
            </w:pPr>
          </w:p>
        </w:tc>
        <w:tc>
          <w:tcPr>
            <w:tcW w:w="3794" w:type="dxa"/>
            <w:noWrap w:val="0"/>
            <w:vAlign w:val="center"/>
          </w:tcPr>
          <w:p w14:paraId="4E71382D">
            <w:pPr>
              <w:rPr>
                <w:rFonts w:hint="eastAsia" w:ascii="宋体" w:hAnsi="宋体"/>
                <w:szCs w:val="21"/>
              </w:rPr>
            </w:pPr>
            <w:r>
              <w:rPr>
                <w:rFonts w:hint="eastAsia" w:ascii="宋体" w:hAnsi="宋体"/>
                <w:szCs w:val="21"/>
              </w:rPr>
              <w:t>已标价工程量清单项</w:t>
            </w:r>
            <w:r>
              <w:rPr>
                <w:rFonts w:ascii="宋体" w:hAnsi="宋体"/>
                <w:szCs w:val="21"/>
              </w:rPr>
              <w:t>目</w:t>
            </w:r>
            <w:r>
              <w:rPr>
                <w:rFonts w:hint="eastAsia" w:ascii="宋体" w:hAnsi="宋体"/>
                <w:szCs w:val="21"/>
              </w:rPr>
              <w:t>未填报的项目不超过三项，或不超过三项未填报的项目的费用合计（按招标控制价相应项目的费用合计计算）不超过其投标总报价（修正后的投标总报价，如有）的±1%</w:t>
            </w:r>
          </w:p>
        </w:tc>
        <w:tc>
          <w:tcPr>
            <w:tcW w:w="824" w:type="dxa"/>
            <w:noWrap w:val="0"/>
            <w:vAlign w:val="center"/>
          </w:tcPr>
          <w:p w14:paraId="3857400C">
            <w:pPr>
              <w:jc w:val="center"/>
              <w:rPr>
                <w:rFonts w:hint="eastAsia" w:ascii="宋体" w:hAnsi="宋体"/>
                <w:szCs w:val="44"/>
              </w:rPr>
            </w:pPr>
          </w:p>
        </w:tc>
        <w:tc>
          <w:tcPr>
            <w:tcW w:w="824" w:type="dxa"/>
            <w:noWrap w:val="0"/>
            <w:vAlign w:val="center"/>
          </w:tcPr>
          <w:p w14:paraId="2A34E185">
            <w:pPr>
              <w:jc w:val="center"/>
              <w:rPr>
                <w:rFonts w:hint="eastAsia" w:ascii="宋体" w:hAnsi="宋体"/>
                <w:szCs w:val="44"/>
              </w:rPr>
            </w:pPr>
          </w:p>
        </w:tc>
        <w:tc>
          <w:tcPr>
            <w:tcW w:w="824" w:type="dxa"/>
            <w:noWrap w:val="0"/>
            <w:vAlign w:val="center"/>
          </w:tcPr>
          <w:p w14:paraId="1768A686">
            <w:pPr>
              <w:jc w:val="center"/>
              <w:rPr>
                <w:rFonts w:hint="eastAsia" w:ascii="宋体" w:hAnsi="宋体"/>
                <w:szCs w:val="44"/>
              </w:rPr>
            </w:pPr>
          </w:p>
        </w:tc>
        <w:tc>
          <w:tcPr>
            <w:tcW w:w="824" w:type="dxa"/>
            <w:noWrap w:val="0"/>
            <w:vAlign w:val="center"/>
          </w:tcPr>
          <w:p w14:paraId="75C7B4B4">
            <w:pPr>
              <w:jc w:val="center"/>
              <w:rPr>
                <w:rFonts w:hint="eastAsia" w:ascii="宋体" w:hAnsi="宋体"/>
                <w:szCs w:val="44"/>
              </w:rPr>
            </w:pPr>
          </w:p>
        </w:tc>
        <w:tc>
          <w:tcPr>
            <w:tcW w:w="825" w:type="dxa"/>
            <w:noWrap w:val="0"/>
            <w:vAlign w:val="center"/>
          </w:tcPr>
          <w:p w14:paraId="39C12B29">
            <w:pPr>
              <w:jc w:val="center"/>
              <w:rPr>
                <w:rFonts w:hint="eastAsia" w:ascii="宋体" w:hAnsi="宋体"/>
                <w:szCs w:val="44"/>
              </w:rPr>
            </w:pPr>
          </w:p>
        </w:tc>
        <w:tc>
          <w:tcPr>
            <w:tcW w:w="824" w:type="dxa"/>
            <w:noWrap w:val="0"/>
            <w:vAlign w:val="center"/>
          </w:tcPr>
          <w:p w14:paraId="19B27318">
            <w:pPr>
              <w:jc w:val="center"/>
              <w:rPr>
                <w:rFonts w:hint="eastAsia" w:ascii="宋体" w:hAnsi="宋体"/>
                <w:szCs w:val="44"/>
              </w:rPr>
            </w:pPr>
          </w:p>
        </w:tc>
        <w:tc>
          <w:tcPr>
            <w:tcW w:w="824" w:type="dxa"/>
            <w:noWrap w:val="0"/>
            <w:vAlign w:val="center"/>
          </w:tcPr>
          <w:p w14:paraId="624198AC">
            <w:pPr>
              <w:jc w:val="center"/>
              <w:rPr>
                <w:rFonts w:hint="eastAsia" w:ascii="宋体" w:hAnsi="宋体"/>
                <w:szCs w:val="44"/>
              </w:rPr>
            </w:pPr>
          </w:p>
        </w:tc>
        <w:tc>
          <w:tcPr>
            <w:tcW w:w="824" w:type="dxa"/>
            <w:noWrap w:val="0"/>
            <w:vAlign w:val="center"/>
          </w:tcPr>
          <w:p w14:paraId="3EDCBFBE">
            <w:pPr>
              <w:jc w:val="center"/>
              <w:rPr>
                <w:rFonts w:hint="eastAsia" w:ascii="宋体" w:hAnsi="宋体"/>
                <w:szCs w:val="44"/>
              </w:rPr>
            </w:pPr>
          </w:p>
        </w:tc>
        <w:tc>
          <w:tcPr>
            <w:tcW w:w="825" w:type="dxa"/>
            <w:noWrap w:val="0"/>
            <w:vAlign w:val="center"/>
          </w:tcPr>
          <w:p w14:paraId="1779AA5F">
            <w:pPr>
              <w:jc w:val="center"/>
              <w:rPr>
                <w:rFonts w:hint="eastAsia" w:ascii="宋体" w:hAnsi="宋体"/>
                <w:szCs w:val="44"/>
              </w:rPr>
            </w:pPr>
          </w:p>
        </w:tc>
      </w:tr>
      <w:tr w14:paraId="1962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3" w:type="dxa"/>
            <w:noWrap w:val="0"/>
            <w:vAlign w:val="center"/>
          </w:tcPr>
          <w:p w14:paraId="73B815D2">
            <w:pPr>
              <w:jc w:val="center"/>
              <w:rPr>
                <w:rFonts w:hint="eastAsia" w:ascii="黑体" w:hAnsi="宋体" w:eastAsia="黑体"/>
                <w:szCs w:val="44"/>
              </w:rPr>
            </w:pPr>
            <w:r>
              <w:rPr>
                <w:rFonts w:hint="eastAsia" w:ascii="黑体" w:hAnsi="宋体" w:eastAsia="黑体"/>
                <w:szCs w:val="44"/>
              </w:rPr>
              <w:t>12</w:t>
            </w:r>
          </w:p>
        </w:tc>
        <w:tc>
          <w:tcPr>
            <w:tcW w:w="1802" w:type="dxa"/>
            <w:noWrap w:val="0"/>
            <w:vAlign w:val="center"/>
          </w:tcPr>
          <w:p w14:paraId="09640ED0">
            <w:pPr>
              <w:jc w:val="center"/>
              <w:rPr>
                <w:rFonts w:hint="eastAsia" w:ascii="宋体" w:hAnsi="宋体"/>
                <w:szCs w:val="44"/>
              </w:rPr>
            </w:pPr>
            <w:r>
              <w:rPr>
                <w:rFonts w:hint="eastAsia"/>
                <w:szCs w:val="21"/>
              </w:rPr>
              <w:t>澄清和说明情况</w:t>
            </w:r>
          </w:p>
        </w:tc>
        <w:tc>
          <w:tcPr>
            <w:tcW w:w="3794" w:type="dxa"/>
            <w:noWrap w:val="0"/>
            <w:vAlign w:val="center"/>
          </w:tcPr>
          <w:p w14:paraId="25D9DD9D">
            <w:pPr>
              <w:rPr>
                <w:rFonts w:hint="eastAsia" w:ascii="宋体" w:hAnsi="宋体"/>
                <w:szCs w:val="21"/>
              </w:rPr>
            </w:pPr>
            <w:r>
              <w:rPr>
                <w:rFonts w:hint="eastAsia"/>
                <w:szCs w:val="21"/>
              </w:rPr>
              <w:t>按照评标委员会要求澄清、说明或者补正</w:t>
            </w:r>
          </w:p>
        </w:tc>
        <w:tc>
          <w:tcPr>
            <w:tcW w:w="824" w:type="dxa"/>
            <w:noWrap w:val="0"/>
            <w:vAlign w:val="center"/>
          </w:tcPr>
          <w:p w14:paraId="37BF291B">
            <w:pPr>
              <w:jc w:val="center"/>
              <w:rPr>
                <w:rFonts w:hint="eastAsia" w:ascii="宋体" w:hAnsi="宋体"/>
                <w:szCs w:val="44"/>
              </w:rPr>
            </w:pPr>
          </w:p>
        </w:tc>
        <w:tc>
          <w:tcPr>
            <w:tcW w:w="824" w:type="dxa"/>
            <w:noWrap w:val="0"/>
            <w:vAlign w:val="center"/>
          </w:tcPr>
          <w:p w14:paraId="0F6CF114">
            <w:pPr>
              <w:jc w:val="center"/>
              <w:rPr>
                <w:rFonts w:hint="eastAsia" w:ascii="宋体" w:hAnsi="宋体"/>
                <w:szCs w:val="44"/>
              </w:rPr>
            </w:pPr>
          </w:p>
        </w:tc>
        <w:tc>
          <w:tcPr>
            <w:tcW w:w="824" w:type="dxa"/>
            <w:noWrap w:val="0"/>
            <w:vAlign w:val="center"/>
          </w:tcPr>
          <w:p w14:paraId="2699A50B">
            <w:pPr>
              <w:jc w:val="center"/>
              <w:rPr>
                <w:rFonts w:hint="eastAsia" w:ascii="宋体" w:hAnsi="宋体"/>
                <w:szCs w:val="44"/>
              </w:rPr>
            </w:pPr>
          </w:p>
        </w:tc>
        <w:tc>
          <w:tcPr>
            <w:tcW w:w="824" w:type="dxa"/>
            <w:noWrap w:val="0"/>
            <w:vAlign w:val="center"/>
          </w:tcPr>
          <w:p w14:paraId="68A5012C">
            <w:pPr>
              <w:jc w:val="center"/>
              <w:rPr>
                <w:rFonts w:hint="eastAsia" w:ascii="宋体" w:hAnsi="宋体"/>
                <w:szCs w:val="44"/>
              </w:rPr>
            </w:pPr>
          </w:p>
        </w:tc>
        <w:tc>
          <w:tcPr>
            <w:tcW w:w="825" w:type="dxa"/>
            <w:noWrap w:val="0"/>
            <w:vAlign w:val="center"/>
          </w:tcPr>
          <w:p w14:paraId="649026BE">
            <w:pPr>
              <w:jc w:val="center"/>
              <w:rPr>
                <w:rFonts w:hint="eastAsia" w:ascii="宋体" w:hAnsi="宋体"/>
                <w:szCs w:val="44"/>
              </w:rPr>
            </w:pPr>
          </w:p>
        </w:tc>
        <w:tc>
          <w:tcPr>
            <w:tcW w:w="824" w:type="dxa"/>
            <w:noWrap w:val="0"/>
            <w:vAlign w:val="center"/>
          </w:tcPr>
          <w:p w14:paraId="48428E8A">
            <w:pPr>
              <w:jc w:val="center"/>
              <w:rPr>
                <w:rFonts w:hint="eastAsia" w:ascii="宋体" w:hAnsi="宋体"/>
                <w:szCs w:val="44"/>
              </w:rPr>
            </w:pPr>
          </w:p>
        </w:tc>
        <w:tc>
          <w:tcPr>
            <w:tcW w:w="824" w:type="dxa"/>
            <w:noWrap w:val="0"/>
            <w:vAlign w:val="center"/>
          </w:tcPr>
          <w:p w14:paraId="435EAA74">
            <w:pPr>
              <w:jc w:val="center"/>
              <w:rPr>
                <w:rFonts w:hint="eastAsia" w:ascii="宋体" w:hAnsi="宋体"/>
                <w:szCs w:val="44"/>
              </w:rPr>
            </w:pPr>
          </w:p>
        </w:tc>
        <w:tc>
          <w:tcPr>
            <w:tcW w:w="824" w:type="dxa"/>
            <w:noWrap w:val="0"/>
            <w:vAlign w:val="center"/>
          </w:tcPr>
          <w:p w14:paraId="7608DA71">
            <w:pPr>
              <w:jc w:val="center"/>
              <w:rPr>
                <w:rFonts w:hint="eastAsia" w:ascii="宋体" w:hAnsi="宋体"/>
                <w:szCs w:val="44"/>
              </w:rPr>
            </w:pPr>
          </w:p>
        </w:tc>
        <w:tc>
          <w:tcPr>
            <w:tcW w:w="825" w:type="dxa"/>
            <w:noWrap w:val="0"/>
            <w:vAlign w:val="center"/>
          </w:tcPr>
          <w:p w14:paraId="2F3440B6">
            <w:pPr>
              <w:jc w:val="center"/>
              <w:rPr>
                <w:rFonts w:hint="eastAsia" w:ascii="宋体" w:hAnsi="宋体"/>
                <w:szCs w:val="44"/>
              </w:rPr>
            </w:pPr>
          </w:p>
        </w:tc>
      </w:tr>
      <w:tr w14:paraId="6F9B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3" w:type="dxa"/>
            <w:noWrap w:val="0"/>
            <w:vAlign w:val="center"/>
          </w:tcPr>
          <w:p w14:paraId="199F7413">
            <w:pPr>
              <w:jc w:val="center"/>
              <w:rPr>
                <w:rFonts w:hint="eastAsia" w:ascii="黑体" w:hAnsi="宋体" w:eastAsia="黑体"/>
                <w:szCs w:val="44"/>
              </w:rPr>
            </w:pPr>
            <w:r>
              <w:rPr>
                <w:rFonts w:hint="eastAsia" w:ascii="黑体" w:hAnsi="宋体" w:eastAsia="黑体"/>
                <w:szCs w:val="44"/>
              </w:rPr>
              <w:t>13</w:t>
            </w:r>
          </w:p>
        </w:tc>
        <w:tc>
          <w:tcPr>
            <w:tcW w:w="1802" w:type="dxa"/>
            <w:noWrap w:val="0"/>
            <w:vAlign w:val="center"/>
          </w:tcPr>
          <w:p w14:paraId="75707479">
            <w:pPr>
              <w:jc w:val="center"/>
              <w:rPr>
                <w:rFonts w:hint="eastAsia" w:ascii="宋体" w:hAnsi="宋体"/>
                <w:szCs w:val="44"/>
              </w:rPr>
            </w:pPr>
            <w:r>
              <w:rPr>
                <w:rFonts w:hint="eastAsia"/>
                <w:szCs w:val="21"/>
              </w:rPr>
              <w:t>投标人遵规守法</w:t>
            </w:r>
          </w:p>
        </w:tc>
        <w:tc>
          <w:tcPr>
            <w:tcW w:w="3794" w:type="dxa"/>
            <w:noWrap w:val="0"/>
            <w:vAlign w:val="center"/>
          </w:tcPr>
          <w:p w14:paraId="6A122473">
            <w:pPr>
              <w:rPr>
                <w:rFonts w:hint="eastAsia" w:ascii="宋体" w:hAnsi="宋体"/>
                <w:szCs w:val="21"/>
              </w:rPr>
            </w:pPr>
            <w:r>
              <w:rPr>
                <w:rFonts w:hint="eastAsia"/>
                <w:szCs w:val="21"/>
              </w:rPr>
              <w:t>没有</w:t>
            </w:r>
            <w:r>
              <w:rPr>
                <w:rFonts w:hint="eastAsia"/>
              </w:rPr>
              <w:t>串通投标、</w:t>
            </w:r>
            <w:r>
              <w:rPr>
                <w:rFonts w:hint="eastAsia"/>
                <w:szCs w:val="21"/>
              </w:rPr>
              <w:t>弄虚作假、行贿或其他违法违规行为</w:t>
            </w:r>
          </w:p>
        </w:tc>
        <w:tc>
          <w:tcPr>
            <w:tcW w:w="824" w:type="dxa"/>
            <w:noWrap w:val="0"/>
            <w:vAlign w:val="center"/>
          </w:tcPr>
          <w:p w14:paraId="3B2DA991">
            <w:pPr>
              <w:jc w:val="center"/>
              <w:rPr>
                <w:rFonts w:hint="eastAsia" w:ascii="宋体" w:hAnsi="宋体"/>
                <w:szCs w:val="44"/>
              </w:rPr>
            </w:pPr>
          </w:p>
        </w:tc>
        <w:tc>
          <w:tcPr>
            <w:tcW w:w="824" w:type="dxa"/>
            <w:noWrap w:val="0"/>
            <w:vAlign w:val="center"/>
          </w:tcPr>
          <w:p w14:paraId="6E853C3E">
            <w:pPr>
              <w:jc w:val="center"/>
              <w:rPr>
                <w:rFonts w:hint="eastAsia" w:ascii="宋体" w:hAnsi="宋体"/>
                <w:szCs w:val="44"/>
              </w:rPr>
            </w:pPr>
          </w:p>
        </w:tc>
        <w:tc>
          <w:tcPr>
            <w:tcW w:w="824" w:type="dxa"/>
            <w:noWrap w:val="0"/>
            <w:vAlign w:val="center"/>
          </w:tcPr>
          <w:p w14:paraId="2AA3592E">
            <w:pPr>
              <w:jc w:val="center"/>
              <w:rPr>
                <w:rFonts w:hint="eastAsia" w:ascii="宋体" w:hAnsi="宋体"/>
                <w:szCs w:val="44"/>
              </w:rPr>
            </w:pPr>
          </w:p>
        </w:tc>
        <w:tc>
          <w:tcPr>
            <w:tcW w:w="824" w:type="dxa"/>
            <w:noWrap w:val="0"/>
            <w:vAlign w:val="center"/>
          </w:tcPr>
          <w:p w14:paraId="2EA16BA5">
            <w:pPr>
              <w:jc w:val="center"/>
              <w:rPr>
                <w:rFonts w:hint="eastAsia" w:ascii="宋体" w:hAnsi="宋体"/>
                <w:szCs w:val="44"/>
              </w:rPr>
            </w:pPr>
          </w:p>
        </w:tc>
        <w:tc>
          <w:tcPr>
            <w:tcW w:w="825" w:type="dxa"/>
            <w:noWrap w:val="0"/>
            <w:vAlign w:val="center"/>
          </w:tcPr>
          <w:p w14:paraId="44FA1342">
            <w:pPr>
              <w:jc w:val="center"/>
              <w:rPr>
                <w:rFonts w:hint="eastAsia" w:ascii="宋体" w:hAnsi="宋体"/>
                <w:szCs w:val="44"/>
              </w:rPr>
            </w:pPr>
          </w:p>
        </w:tc>
        <w:tc>
          <w:tcPr>
            <w:tcW w:w="824" w:type="dxa"/>
            <w:noWrap w:val="0"/>
            <w:vAlign w:val="center"/>
          </w:tcPr>
          <w:p w14:paraId="11634615">
            <w:pPr>
              <w:jc w:val="center"/>
              <w:rPr>
                <w:rFonts w:hint="eastAsia" w:ascii="宋体" w:hAnsi="宋体"/>
                <w:szCs w:val="44"/>
              </w:rPr>
            </w:pPr>
          </w:p>
        </w:tc>
        <w:tc>
          <w:tcPr>
            <w:tcW w:w="824" w:type="dxa"/>
            <w:noWrap w:val="0"/>
            <w:vAlign w:val="center"/>
          </w:tcPr>
          <w:p w14:paraId="0B40052D">
            <w:pPr>
              <w:jc w:val="center"/>
              <w:rPr>
                <w:rFonts w:hint="eastAsia" w:ascii="宋体" w:hAnsi="宋体"/>
                <w:szCs w:val="44"/>
              </w:rPr>
            </w:pPr>
          </w:p>
        </w:tc>
        <w:tc>
          <w:tcPr>
            <w:tcW w:w="824" w:type="dxa"/>
            <w:noWrap w:val="0"/>
            <w:vAlign w:val="center"/>
          </w:tcPr>
          <w:p w14:paraId="70D38809">
            <w:pPr>
              <w:jc w:val="center"/>
              <w:rPr>
                <w:rFonts w:hint="eastAsia" w:ascii="宋体" w:hAnsi="宋体"/>
                <w:szCs w:val="44"/>
              </w:rPr>
            </w:pPr>
          </w:p>
        </w:tc>
        <w:tc>
          <w:tcPr>
            <w:tcW w:w="825" w:type="dxa"/>
            <w:noWrap w:val="0"/>
            <w:vAlign w:val="center"/>
          </w:tcPr>
          <w:p w14:paraId="29F4A99C">
            <w:pPr>
              <w:jc w:val="center"/>
              <w:rPr>
                <w:rFonts w:hint="eastAsia" w:ascii="宋体" w:hAnsi="宋体"/>
                <w:szCs w:val="44"/>
              </w:rPr>
            </w:pPr>
          </w:p>
        </w:tc>
      </w:tr>
      <w:tr w14:paraId="5F29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349" w:type="dxa"/>
            <w:gridSpan w:val="3"/>
            <w:noWrap w:val="0"/>
            <w:vAlign w:val="center"/>
          </w:tcPr>
          <w:p w14:paraId="25B25AE7">
            <w:pPr>
              <w:rPr>
                <w:rFonts w:hint="eastAsia" w:ascii="宋体" w:hAnsi="宋体"/>
                <w:szCs w:val="21"/>
              </w:rPr>
            </w:pPr>
            <w:r>
              <w:rPr>
                <w:rFonts w:hint="eastAsia" w:ascii="宋体" w:hAnsi="宋体"/>
                <w:szCs w:val="44"/>
              </w:rPr>
              <w:t>响应性</w:t>
            </w:r>
            <w:r>
              <w:rPr>
                <w:rFonts w:ascii="宋体" w:hAnsi="宋体"/>
                <w:szCs w:val="44"/>
              </w:rPr>
              <w:t>评审结论：通过</w:t>
            </w:r>
            <w:r>
              <w:rPr>
                <w:rFonts w:hint="eastAsia" w:ascii="宋体" w:hAnsi="宋体"/>
                <w:szCs w:val="44"/>
              </w:rPr>
              <w:t>响应性</w:t>
            </w:r>
            <w:r>
              <w:rPr>
                <w:rFonts w:ascii="宋体" w:hAnsi="宋体"/>
                <w:szCs w:val="44"/>
              </w:rPr>
              <w:t>评审标注为√；未通过</w:t>
            </w:r>
            <w:r>
              <w:rPr>
                <w:rFonts w:hint="eastAsia" w:ascii="宋体" w:hAnsi="宋体"/>
                <w:szCs w:val="44"/>
              </w:rPr>
              <w:t>响应性</w:t>
            </w:r>
            <w:r>
              <w:rPr>
                <w:rFonts w:ascii="宋体" w:hAnsi="宋体"/>
                <w:szCs w:val="44"/>
              </w:rPr>
              <w:t>评审标注为×</w:t>
            </w:r>
          </w:p>
        </w:tc>
        <w:tc>
          <w:tcPr>
            <w:tcW w:w="824" w:type="dxa"/>
            <w:noWrap w:val="0"/>
            <w:vAlign w:val="center"/>
          </w:tcPr>
          <w:p w14:paraId="37177939">
            <w:pPr>
              <w:jc w:val="center"/>
              <w:rPr>
                <w:rFonts w:hint="eastAsia" w:ascii="宋体" w:hAnsi="宋体"/>
                <w:szCs w:val="44"/>
              </w:rPr>
            </w:pPr>
          </w:p>
        </w:tc>
        <w:tc>
          <w:tcPr>
            <w:tcW w:w="824" w:type="dxa"/>
            <w:noWrap w:val="0"/>
            <w:vAlign w:val="center"/>
          </w:tcPr>
          <w:p w14:paraId="26F2E759">
            <w:pPr>
              <w:jc w:val="center"/>
              <w:rPr>
                <w:rFonts w:hint="eastAsia" w:ascii="宋体" w:hAnsi="宋体"/>
                <w:szCs w:val="44"/>
              </w:rPr>
            </w:pPr>
          </w:p>
        </w:tc>
        <w:tc>
          <w:tcPr>
            <w:tcW w:w="824" w:type="dxa"/>
            <w:noWrap w:val="0"/>
            <w:vAlign w:val="center"/>
          </w:tcPr>
          <w:p w14:paraId="716FE914">
            <w:pPr>
              <w:jc w:val="center"/>
              <w:rPr>
                <w:rFonts w:hint="eastAsia" w:ascii="宋体" w:hAnsi="宋体"/>
                <w:szCs w:val="44"/>
              </w:rPr>
            </w:pPr>
          </w:p>
        </w:tc>
        <w:tc>
          <w:tcPr>
            <w:tcW w:w="824" w:type="dxa"/>
            <w:noWrap w:val="0"/>
            <w:vAlign w:val="center"/>
          </w:tcPr>
          <w:p w14:paraId="75C91299">
            <w:pPr>
              <w:jc w:val="center"/>
              <w:rPr>
                <w:rFonts w:hint="eastAsia" w:ascii="宋体" w:hAnsi="宋体"/>
                <w:szCs w:val="44"/>
              </w:rPr>
            </w:pPr>
          </w:p>
        </w:tc>
        <w:tc>
          <w:tcPr>
            <w:tcW w:w="825" w:type="dxa"/>
            <w:noWrap w:val="0"/>
            <w:vAlign w:val="center"/>
          </w:tcPr>
          <w:p w14:paraId="5FF8A381">
            <w:pPr>
              <w:jc w:val="center"/>
              <w:rPr>
                <w:rFonts w:hint="eastAsia" w:ascii="宋体" w:hAnsi="宋体"/>
                <w:szCs w:val="44"/>
              </w:rPr>
            </w:pPr>
          </w:p>
        </w:tc>
        <w:tc>
          <w:tcPr>
            <w:tcW w:w="824" w:type="dxa"/>
            <w:noWrap w:val="0"/>
            <w:vAlign w:val="center"/>
          </w:tcPr>
          <w:p w14:paraId="137F122B">
            <w:pPr>
              <w:jc w:val="center"/>
              <w:rPr>
                <w:rFonts w:hint="eastAsia" w:ascii="宋体" w:hAnsi="宋体"/>
                <w:szCs w:val="44"/>
              </w:rPr>
            </w:pPr>
          </w:p>
        </w:tc>
        <w:tc>
          <w:tcPr>
            <w:tcW w:w="824" w:type="dxa"/>
            <w:noWrap w:val="0"/>
            <w:vAlign w:val="center"/>
          </w:tcPr>
          <w:p w14:paraId="768D925C">
            <w:pPr>
              <w:jc w:val="center"/>
              <w:rPr>
                <w:rFonts w:hint="eastAsia" w:ascii="宋体" w:hAnsi="宋体"/>
                <w:szCs w:val="44"/>
              </w:rPr>
            </w:pPr>
          </w:p>
        </w:tc>
        <w:tc>
          <w:tcPr>
            <w:tcW w:w="824" w:type="dxa"/>
            <w:noWrap w:val="0"/>
            <w:vAlign w:val="center"/>
          </w:tcPr>
          <w:p w14:paraId="0AD295DA">
            <w:pPr>
              <w:jc w:val="center"/>
              <w:rPr>
                <w:rFonts w:hint="eastAsia" w:ascii="宋体" w:hAnsi="宋体"/>
                <w:szCs w:val="44"/>
              </w:rPr>
            </w:pPr>
          </w:p>
        </w:tc>
        <w:tc>
          <w:tcPr>
            <w:tcW w:w="825" w:type="dxa"/>
            <w:noWrap w:val="0"/>
            <w:vAlign w:val="center"/>
          </w:tcPr>
          <w:p w14:paraId="6A2E921D">
            <w:pPr>
              <w:jc w:val="center"/>
              <w:rPr>
                <w:rFonts w:hint="eastAsia" w:ascii="宋体" w:hAnsi="宋体"/>
                <w:szCs w:val="44"/>
              </w:rPr>
            </w:pPr>
          </w:p>
        </w:tc>
      </w:tr>
    </w:tbl>
    <w:p w14:paraId="62D65D93">
      <w:pPr>
        <w:rPr>
          <w:rFonts w:hint="eastAsia" w:ascii="宋体" w:hAnsi="宋体"/>
          <w:szCs w:val="44"/>
        </w:rPr>
      </w:pPr>
      <w:r>
        <w:rPr>
          <w:rFonts w:hint="eastAsia" w:ascii="宋体" w:hAnsi="宋体"/>
          <w:szCs w:val="44"/>
        </w:rPr>
        <w:t>评标委员会全体成员签名：                                                                             日期：      年    月    日</w:t>
      </w:r>
    </w:p>
    <w:p w14:paraId="0A83C9E0">
      <w:pPr>
        <w:rPr>
          <w:rFonts w:hint="eastAsia" w:ascii="宋体" w:hAnsi="宋体"/>
          <w:szCs w:val="44"/>
        </w:rPr>
      </w:pPr>
    </w:p>
    <w:p w14:paraId="0089D49F">
      <w:pPr>
        <w:rPr>
          <w:rFonts w:hint="eastAsia" w:ascii="宋体" w:hAnsi="宋体"/>
          <w:szCs w:val="44"/>
        </w:rPr>
      </w:pPr>
    </w:p>
    <w:p w14:paraId="48B4C709">
      <w:pPr>
        <w:rPr>
          <w:rFonts w:hint="eastAsia" w:ascii="宋体" w:hAnsi="宋体"/>
          <w:szCs w:val="44"/>
        </w:rPr>
      </w:pPr>
    </w:p>
    <w:p w14:paraId="397A7317">
      <w:pPr>
        <w:pStyle w:val="20"/>
        <w:rPr>
          <w:rFonts w:hint="eastAsia"/>
        </w:rPr>
      </w:pPr>
      <w:bookmarkStart w:id="432" w:name="_Toc108513659"/>
      <w:r>
        <w:rPr>
          <w:rFonts w:hint="eastAsia"/>
        </w:rPr>
        <w:t>附表A-7：施工组织设计评审记录表（合格性）</w:t>
      </w:r>
      <w:bookmarkEnd w:id="432"/>
    </w:p>
    <w:p w14:paraId="7282803C">
      <w:pPr>
        <w:spacing w:after="240" w:afterLines="100"/>
        <w:jc w:val="center"/>
        <w:rPr>
          <w:rFonts w:hint="eastAsia" w:ascii="黑体" w:hAnsi="宋体" w:eastAsia="黑体"/>
          <w:sz w:val="36"/>
          <w:szCs w:val="36"/>
        </w:rPr>
      </w:pPr>
      <w:r>
        <w:rPr>
          <w:rFonts w:hint="eastAsia" w:ascii="黑体" w:hAnsi="宋体" w:eastAsia="黑体"/>
          <w:sz w:val="36"/>
          <w:szCs w:val="36"/>
        </w:rPr>
        <w:t>施工组织设计评审记录表</w:t>
      </w:r>
    </w:p>
    <w:p w14:paraId="04BD8CDA">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3023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32FBFE0D">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15898FB2">
            <w:pPr>
              <w:jc w:val="center"/>
              <w:rPr>
                <w:rFonts w:hint="eastAsia" w:ascii="宋体" w:hAnsi="宋体"/>
                <w:szCs w:val="44"/>
              </w:rPr>
            </w:pPr>
            <w:r>
              <w:rPr>
                <w:rFonts w:hint="eastAsia" w:ascii="宋体" w:hAnsi="宋体"/>
                <w:szCs w:val="44"/>
              </w:rPr>
              <w:t>评审项目</w:t>
            </w:r>
          </w:p>
        </w:tc>
        <w:tc>
          <w:tcPr>
            <w:tcW w:w="3600" w:type="dxa"/>
            <w:vMerge w:val="restart"/>
            <w:noWrap w:val="0"/>
            <w:vAlign w:val="center"/>
          </w:tcPr>
          <w:p w14:paraId="1D4FF3F2">
            <w:pPr>
              <w:jc w:val="center"/>
              <w:rPr>
                <w:rFonts w:hint="eastAsia" w:ascii="宋体" w:hAnsi="宋体"/>
                <w:szCs w:val="44"/>
              </w:rPr>
            </w:pPr>
            <w:r>
              <w:rPr>
                <w:rFonts w:hint="eastAsia" w:ascii="宋体" w:hAnsi="宋体"/>
                <w:szCs w:val="44"/>
              </w:rPr>
              <w:t>评审标准</w:t>
            </w:r>
          </w:p>
        </w:tc>
        <w:tc>
          <w:tcPr>
            <w:tcW w:w="720" w:type="dxa"/>
            <w:vMerge w:val="restart"/>
            <w:noWrap w:val="0"/>
            <w:vAlign w:val="center"/>
          </w:tcPr>
          <w:p w14:paraId="6A8A9C57">
            <w:pPr>
              <w:jc w:val="center"/>
              <w:rPr>
                <w:rFonts w:hint="eastAsia" w:ascii="宋体" w:hAnsi="宋体"/>
                <w:szCs w:val="44"/>
              </w:rPr>
            </w:pPr>
            <w:r>
              <w:rPr>
                <w:rFonts w:hint="eastAsia" w:ascii="宋体" w:hAnsi="宋体"/>
                <w:szCs w:val="44"/>
              </w:rPr>
              <w:t>结果</w:t>
            </w:r>
          </w:p>
        </w:tc>
        <w:tc>
          <w:tcPr>
            <w:tcW w:w="7179" w:type="dxa"/>
            <w:gridSpan w:val="9"/>
            <w:noWrap w:val="0"/>
            <w:vAlign w:val="center"/>
          </w:tcPr>
          <w:p w14:paraId="23F216DB">
            <w:pPr>
              <w:jc w:val="center"/>
              <w:rPr>
                <w:rFonts w:hint="eastAsia" w:ascii="宋体" w:hAnsi="宋体"/>
                <w:szCs w:val="44"/>
              </w:rPr>
            </w:pPr>
            <w:r>
              <w:rPr>
                <w:rFonts w:hint="eastAsia" w:ascii="宋体" w:hAnsi="宋体"/>
                <w:szCs w:val="44"/>
              </w:rPr>
              <w:t>投标人名称或暗标编号及评审得分</w:t>
            </w:r>
          </w:p>
        </w:tc>
      </w:tr>
      <w:tr w14:paraId="7EED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6895C9A0">
            <w:pPr>
              <w:jc w:val="center"/>
              <w:rPr>
                <w:rFonts w:hint="eastAsia" w:ascii="宋体" w:hAnsi="宋体"/>
                <w:szCs w:val="44"/>
              </w:rPr>
            </w:pPr>
          </w:p>
        </w:tc>
        <w:tc>
          <w:tcPr>
            <w:tcW w:w="1529" w:type="dxa"/>
            <w:vMerge w:val="continue"/>
            <w:noWrap w:val="0"/>
            <w:vAlign w:val="center"/>
          </w:tcPr>
          <w:p w14:paraId="28E0519E">
            <w:pPr>
              <w:jc w:val="center"/>
              <w:rPr>
                <w:rFonts w:hint="eastAsia" w:ascii="宋体" w:hAnsi="宋体"/>
                <w:szCs w:val="44"/>
              </w:rPr>
            </w:pPr>
          </w:p>
        </w:tc>
        <w:tc>
          <w:tcPr>
            <w:tcW w:w="3600" w:type="dxa"/>
            <w:vMerge w:val="continue"/>
            <w:noWrap w:val="0"/>
            <w:vAlign w:val="center"/>
          </w:tcPr>
          <w:p w14:paraId="167E7EE0">
            <w:pPr>
              <w:jc w:val="center"/>
              <w:rPr>
                <w:rFonts w:hint="eastAsia" w:ascii="宋体" w:hAnsi="宋体"/>
                <w:szCs w:val="44"/>
              </w:rPr>
            </w:pPr>
          </w:p>
        </w:tc>
        <w:tc>
          <w:tcPr>
            <w:tcW w:w="720" w:type="dxa"/>
            <w:vMerge w:val="continue"/>
            <w:noWrap w:val="0"/>
            <w:vAlign w:val="center"/>
          </w:tcPr>
          <w:p w14:paraId="0D0ECB63">
            <w:pPr>
              <w:jc w:val="center"/>
              <w:rPr>
                <w:rFonts w:hint="eastAsia" w:ascii="宋体" w:hAnsi="宋体"/>
                <w:szCs w:val="44"/>
              </w:rPr>
            </w:pPr>
          </w:p>
        </w:tc>
        <w:tc>
          <w:tcPr>
            <w:tcW w:w="797" w:type="dxa"/>
            <w:noWrap w:val="0"/>
            <w:vAlign w:val="center"/>
          </w:tcPr>
          <w:p w14:paraId="0B02C872">
            <w:pPr>
              <w:jc w:val="center"/>
              <w:rPr>
                <w:rFonts w:hint="eastAsia" w:ascii="宋体" w:hAnsi="宋体"/>
                <w:szCs w:val="44"/>
              </w:rPr>
            </w:pPr>
          </w:p>
        </w:tc>
        <w:tc>
          <w:tcPr>
            <w:tcW w:w="798" w:type="dxa"/>
            <w:noWrap w:val="0"/>
            <w:vAlign w:val="center"/>
          </w:tcPr>
          <w:p w14:paraId="72899F62">
            <w:pPr>
              <w:jc w:val="center"/>
              <w:rPr>
                <w:rFonts w:hint="eastAsia" w:ascii="宋体" w:hAnsi="宋体"/>
                <w:szCs w:val="44"/>
              </w:rPr>
            </w:pPr>
          </w:p>
        </w:tc>
        <w:tc>
          <w:tcPr>
            <w:tcW w:w="798" w:type="dxa"/>
            <w:noWrap w:val="0"/>
            <w:vAlign w:val="center"/>
          </w:tcPr>
          <w:p w14:paraId="66F3321A">
            <w:pPr>
              <w:jc w:val="center"/>
              <w:rPr>
                <w:rFonts w:hint="eastAsia" w:ascii="宋体" w:hAnsi="宋体"/>
                <w:szCs w:val="44"/>
              </w:rPr>
            </w:pPr>
          </w:p>
        </w:tc>
        <w:tc>
          <w:tcPr>
            <w:tcW w:w="797" w:type="dxa"/>
            <w:noWrap w:val="0"/>
            <w:vAlign w:val="center"/>
          </w:tcPr>
          <w:p w14:paraId="67544464">
            <w:pPr>
              <w:jc w:val="center"/>
              <w:rPr>
                <w:rFonts w:hint="eastAsia" w:ascii="宋体" w:hAnsi="宋体"/>
                <w:szCs w:val="44"/>
              </w:rPr>
            </w:pPr>
          </w:p>
        </w:tc>
        <w:tc>
          <w:tcPr>
            <w:tcW w:w="798" w:type="dxa"/>
            <w:noWrap w:val="0"/>
            <w:vAlign w:val="center"/>
          </w:tcPr>
          <w:p w14:paraId="670335AC">
            <w:pPr>
              <w:jc w:val="center"/>
              <w:rPr>
                <w:rFonts w:hint="eastAsia" w:ascii="宋体" w:hAnsi="宋体"/>
                <w:szCs w:val="44"/>
              </w:rPr>
            </w:pPr>
          </w:p>
        </w:tc>
        <w:tc>
          <w:tcPr>
            <w:tcW w:w="798" w:type="dxa"/>
            <w:noWrap w:val="0"/>
            <w:vAlign w:val="center"/>
          </w:tcPr>
          <w:p w14:paraId="4EB504EF">
            <w:pPr>
              <w:jc w:val="center"/>
              <w:rPr>
                <w:rFonts w:hint="eastAsia" w:ascii="宋体" w:hAnsi="宋体"/>
                <w:szCs w:val="44"/>
              </w:rPr>
            </w:pPr>
          </w:p>
        </w:tc>
        <w:tc>
          <w:tcPr>
            <w:tcW w:w="797" w:type="dxa"/>
            <w:noWrap w:val="0"/>
            <w:vAlign w:val="center"/>
          </w:tcPr>
          <w:p w14:paraId="0DEFF6B7">
            <w:pPr>
              <w:jc w:val="center"/>
              <w:rPr>
                <w:rFonts w:hint="eastAsia" w:ascii="宋体" w:hAnsi="宋体"/>
                <w:szCs w:val="44"/>
              </w:rPr>
            </w:pPr>
          </w:p>
        </w:tc>
        <w:tc>
          <w:tcPr>
            <w:tcW w:w="798" w:type="dxa"/>
            <w:noWrap w:val="0"/>
            <w:vAlign w:val="center"/>
          </w:tcPr>
          <w:p w14:paraId="229979A0">
            <w:pPr>
              <w:jc w:val="center"/>
              <w:rPr>
                <w:rFonts w:hint="eastAsia" w:ascii="宋体" w:hAnsi="宋体"/>
                <w:szCs w:val="44"/>
              </w:rPr>
            </w:pPr>
          </w:p>
        </w:tc>
        <w:tc>
          <w:tcPr>
            <w:tcW w:w="798" w:type="dxa"/>
            <w:noWrap w:val="0"/>
            <w:vAlign w:val="center"/>
          </w:tcPr>
          <w:p w14:paraId="52062B6C">
            <w:pPr>
              <w:jc w:val="center"/>
              <w:rPr>
                <w:rFonts w:hint="eastAsia" w:ascii="宋体" w:hAnsi="宋体"/>
                <w:szCs w:val="44"/>
              </w:rPr>
            </w:pPr>
          </w:p>
        </w:tc>
      </w:tr>
      <w:tr w14:paraId="4129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739" w:type="dxa"/>
            <w:noWrap w:val="0"/>
            <w:vAlign w:val="center"/>
          </w:tcPr>
          <w:p w14:paraId="6079B32A">
            <w:pPr>
              <w:jc w:val="center"/>
              <w:rPr>
                <w:rFonts w:hint="eastAsia" w:ascii="黑体" w:hAnsi="宋体" w:eastAsia="黑体"/>
                <w:szCs w:val="44"/>
              </w:rPr>
            </w:pPr>
            <w:r>
              <w:rPr>
                <w:rFonts w:hint="eastAsia" w:ascii="黑体" w:hAnsi="宋体" w:eastAsia="黑体"/>
                <w:szCs w:val="44"/>
              </w:rPr>
              <w:t>1</w:t>
            </w:r>
          </w:p>
        </w:tc>
        <w:tc>
          <w:tcPr>
            <w:tcW w:w="1529" w:type="dxa"/>
            <w:noWrap w:val="0"/>
            <w:vAlign w:val="center"/>
          </w:tcPr>
          <w:p w14:paraId="71CB8F07">
            <w:pPr>
              <w:jc w:val="center"/>
              <w:rPr>
                <w:rFonts w:hint="eastAsia" w:ascii="宋体" w:hAnsi="宋体"/>
                <w:szCs w:val="44"/>
              </w:rPr>
            </w:pPr>
            <w:r>
              <w:rPr>
                <w:rFonts w:hint="eastAsia" w:ascii="宋体" w:hAnsi="宋体"/>
                <w:szCs w:val="21"/>
              </w:rPr>
              <w:t>工程概况</w:t>
            </w:r>
          </w:p>
        </w:tc>
        <w:tc>
          <w:tcPr>
            <w:tcW w:w="3600" w:type="dxa"/>
            <w:noWrap w:val="0"/>
            <w:vAlign w:val="center"/>
          </w:tcPr>
          <w:p w14:paraId="02734C25">
            <w:pPr>
              <w:rPr>
                <w:rFonts w:hint="eastAsia" w:ascii="宋体" w:hAnsi="宋体"/>
                <w:bCs/>
                <w:szCs w:val="21"/>
              </w:rPr>
            </w:pPr>
            <w:r>
              <w:rPr>
                <w:rFonts w:hint="eastAsia" w:ascii="宋体" w:hAnsi="宋体"/>
                <w:szCs w:val="21"/>
              </w:rPr>
              <w:t>工程主要情况、各专业设计简介、工程施工条件</w:t>
            </w:r>
            <w:r>
              <w:rPr>
                <w:rFonts w:hint="eastAsia" w:ascii="宋体" w:hAnsi="宋体"/>
                <w:bCs/>
                <w:szCs w:val="21"/>
              </w:rPr>
              <w:t>描述基本准确</w:t>
            </w:r>
          </w:p>
        </w:tc>
        <w:tc>
          <w:tcPr>
            <w:tcW w:w="720" w:type="dxa"/>
            <w:noWrap w:val="0"/>
            <w:vAlign w:val="center"/>
          </w:tcPr>
          <w:p w14:paraId="1C981524">
            <w:pPr>
              <w:jc w:val="center"/>
              <w:rPr>
                <w:rFonts w:hint="eastAsia" w:ascii="宋体" w:hAnsi="宋体"/>
                <w:szCs w:val="44"/>
              </w:rPr>
            </w:pPr>
            <w:r>
              <w:rPr>
                <w:rFonts w:hint="eastAsia" w:ascii="宋体" w:hAnsi="宋体"/>
                <w:szCs w:val="44"/>
              </w:rPr>
              <w:t>合格</w:t>
            </w:r>
          </w:p>
        </w:tc>
        <w:tc>
          <w:tcPr>
            <w:tcW w:w="797" w:type="dxa"/>
            <w:noWrap w:val="0"/>
            <w:vAlign w:val="center"/>
          </w:tcPr>
          <w:p w14:paraId="10884AE8">
            <w:pPr>
              <w:jc w:val="center"/>
              <w:rPr>
                <w:rFonts w:hint="eastAsia" w:ascii="宋体" w:hAnsi="宋体"/>
                <w:szCs w:val="44"/>
              </w:rPr>
            </w:pPr>
          </w:p>
        </w:tc>
        <w:tc>
          <w:tcPr>
            <w:tcW w:w="798" w:type="dxa"/>
            <w:noWrap w:val="0"/>
            <w:vAlign w:val="center"/>
          </w:tcPr>
          <w:p w14:paraId="361EB6A0">
            <w:pPr>
              <w:jc w:val="center"/>
              <w:rPr>
                <w:rFonts w:hint="eastAsia" w:ascii="宋体" w:hAnsi="宋体"/>
                <w:szCs w:val="44"/>
              </w:rPr>
            </w:pPr>
          </w:p>
        </w:tc>
        <w:tc>
          <w:tcPr>
            <w:tcW w:w="798" w:type="dxa"/>
            <w:noWrap w:val="0"/>
            <w:vAlign w:val="center"/>
          </w:tcPr>
          <w:p w14:paraId="5A86E04B">
            <w:pPr>
              <w:jc w:val="center"/>
              <w:rPr>
                <w:rFonts w:hint="eastAsia" w:ascii="宋体" w:hAnsi="宋体"/>
                <w:szCs w:val="44"/>
              </w:rPr>
            </w:pPr>
          </w:p>
        </w:tc>
        <w:tc>
          <w:tcPr>
            <w:tcW w:w="797" w:type="dxa"/>
            <w:noWrap w:val="0"/>
            <w:vAlign w:val="center"/>
          </w:tcPr>
          <w:p w14:paraId="77EF028E">
            <w:pPr>
              <w:jc w:val="center"/>
              <w:rPr>
                <w:rFonts w:hint="eastAsia" w:ascii="宋体" w:hAnsi="宋体"/>
                <w:szCs w:val="44"/>
              </w:rPr>
            </w:pPr>
          </w:p>
        </w:tc>
        <w:tc>
          <w:tcPr>
            <w:tcW w:w="798" w:type="dxa"/>
            <w:noWrap w:val="0"/>
            <w:vAlign w:val="center"/>
          </w:tcPr>
          <w:p w14:paraId="3A283081">
            <w:pPr>
              <w:jc w:val="center"/>
              <w:rPr>
                <w:rFonts w:hint="eastAsia" w:ascii="宋体" w:hAnsi="宋体"/>
                <w:szCs w:val="44"/>
              </w:rPr>
            </w:pPr>
          </w:p>
        </w:tc>
        <w:tc>
          <w:tcPr>
            <w:tcW w:w="798" w:type="dxa"/>
            <w:noWrap w:val="0"/>
            <w:vAlign w:val="center"/>
          </w:tcPr>
          <w:p w14:paraId="0CE76742">
            <w:pPr>
              <w:jc w:val="center"/>
              <w:rPr>
                <w:rFonts w:hint="eastAsia" w:ascii="宋体" w:hAnsi="宋体"/>
                <w:szCs w:val="44"/>
              </w:rPr>
            </w:pPr>
          </w:p>
        </w:tc>
        <w:tc>
          <w:tcPr>
            <w:tcW w:w="797" w:type="dxa"/>
            <w:noWrap w:val="0"/>
            <w:vAlign w:val="center"/>
          </w:tcPr>
          <w:p w14:paraId="3810425A">
            <w:pPr>
              <w:jc w:val="center"/>
              <w:rPr>
                <w:rFonts w:hint="eastAsia" w:ascii="宋体" w:hAnsi="宋体"/>
                <w:szCs w:val="44"/>
              </w:rPr>
            </w:pPr>
          </w:p>
        </w:tc>
        <w:tc>
          <w:tcPr>
            <w:tcW w:w="798" w:type="dxa"/>
            <w:noWrap w:val="0"/>
            <w:vAlign w:val="center"/>
          </w:tcPr>
          <w:p w14:paraId="6A7D7381">
            <w:pPr>
              <w:jc w:val="center"/>
              <w:rPr>
                <w:rFonts w:hint="eastAsia" w:ascii="宋体" w:hAnsi="宋体"/>
                <w:szCs w:val="44"/>
              </w:rPr>
            </w:pPr>
          </w:p>
        </w:tc>
        <w:tc>
          <w:tcPr>
            <w:tcW w:w="798" w:type="dxa"/>
            <w:noWrap w:val="0"/>
            <w:vAlign w:val="center"/>
          </w:tcPr>
          <w:p w14:paraId="2E4E789A">
            <w:pPr>
              <w:jc w:val="center"/>
              <w:rPr>
                <w:rFonts w:hint="eastAsia" w:ascii="宋体" w:hAnsi="宋体"/>
                <w:szCs w:val="44"/>
              </w:rPr>
            </w:pPr>
          </w:p>
        </w:tc>
      </w:tr>
      <w:tr w14:paraId="2FCA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trPr>
        <w:tc>
          <w:tcPr>
            <w:tcW w:w="739" w:type="dxa"/>
            <w:noWrap w:val="0"/>
            <w:vAlign w:val="center"/>
          </w:tcPr>
          <w:p w14:paraId="191E36B6">
            <w:pPr>
              <w:jc w:val="center"/>
              <w:rPr>
                <w:rFonts w:hint="eastAsia" w:ascii="黑体" w:hAnsi="宋体" w:eastAsia="黑体"/>
                <w:szCs w:val="44"/>
              </w:rPr>
            </w:pPr>
            <w:r>
              <w:rPr>
                <w:rFonts w:hint="eastAsia" w:ascii="黑体" w:hAnsi="宋体" w:eastAsia="黑体"/>
                <w:szCs w:val="44"/>
              </w:rPr>
              <w:t>2</w:t>
            </w:r>
          </w:p>
        </w:tc>
        <w:tc>
          <w:tcPr>
            <w:tcW w:w="1529" w:type="dxa"/>
            <w:noWrap w:val="0"/>
            <w:vAlign w:val="center"/>
          </w:tcPr>
          <w:p w14:paraId="51BA0893">
            <w:pPr>
              <w:jc w:val="center"/>
              <w:rPr>
                <w:rFonts w:hint="eastAsia" w:ascii="宋体" w:hAnsi="宋体"/>
                <w:szCs w:val="44"/>
              </w:rPr>
            </w:pPr>
            <w:r>
              <w:rPr>
                <w:rFonts w:hint="eastAsia" w:ascii="宋体" w:hAnsi="宋体"/>
                <w:szCs w:val="21"/>
              </w:rPr>
              <w:t>施工部署</w:t>
            </w:r>
          </w:p>
        </w:tc>
        <w:tc>
          <w:tcPr>
            <w:tcW w:w="3600" w:type="dxa"/>
            <w:noWrap w:val="0"/>
            <w:vAlign w:val="center"/>
          </w:tcPr>
          <w:p w14:paraId="1F74D3AE">
            <w:pPr>
              <w:rPr>
                <w:rFonts w:hint="eastAsia" w:ascii="宋体" w:hAnsi="宋体"/>
                <w:bCs/>
                <w:szCs w:val="21"/>
              </w:rPr>
            </w:pPr>
            <w:r>
              <w:rPr>
                <w:rFonts w:hint="eastAsia" w:ascii="宋体" w:hAnsi="宋体"/>
                <w:szCs w:val="21"/>
              </w:rPr>
              <w:t>工程施工目标、主要施工内容、施工流水段划分、施工的重点和难点分析、工程管理的组织机构形式、项目经理部的工作岗位设置及其职责划分、新技术、新工艺部署及其技术和管理要求（如有）、主要分包工程施工单位的选择要求及管理方式（如有）等各项安排</w:t>
            </w:r>
            <w:r>
              <w:rPr>
                <w:rFonts w:hint="eastAsia" w:ascii="宋体" w:hAnsi="宋体"/>
                <w:bCs/>
                <w:szCs w:val="21"/>
              </w:rPr>
              <w:t>合理、可行</w:t>
            </w:r>
          </w:p>
        </w:tc>
        <w:tc>
          <w:tcPr>
            <w:tcW w:w="720" w:type="dxa"/>
            <w:noWrap w:val="0"/>
            <w:vAlign w:val="center"/>
          </w:tcPr>
          <w:p w14:paraId="32386FD9">
            <w:pPr>
              <w:jc w:val="center"/>
              <w:rPr>
                <w:rFonts w:hint="eastAsia" w:ascii="宋体" w:hAnsi="宋体"/>
                <w:szCs w:val="44"/>
              </w:rPr>
            </w:pPr>
            <w:r>
              <w:rPr>
                <w:rFonts w:hint="eastAsia" w:ascii="宋体" w:hAnsi="宋体"/>
                <w:szCs w:val="44"/>
              </w:rPr>
              <w:t>合格</w:t>
            </w:r>
          </w:p>
        </w:tc>
        <w:tc>
          <w:tcPr>
            <w:tcW w:w="797" w:type="dxa"/>
            <w:noWrap w:val="0"/>
            <w:vAlign w:val="center"/>
          </w:tcPr>
          <w:p w14:paraId="3877DE95">
            <w:pPr>
              <w:jc w:val="center"/>
              <w:rPr>
                <w:rFonts w:hint="eastAsia" w:ascii="宋体" w:hAnsi="宋体"/>
                <w:szCs w:val="44"/>
              </w:rPr>
            </w:pPr>
          </w:p>
        </w:tc>
        <w:tc>
          <w:tcPr>
            <w:tcW w:w="798" w:type="dxa"/>
            <w:noWrap w:val="0"/>
            <w:vAlign w:val="center"/>
          </w:tcPr>
          <w:p w14:paraId="7D7C1D06">
            <w:pPr>
              <w:jc w:val="center"/>
              <w:rPr>
                <w:rFonts w:hint="eastAsia" w:ascii="宋体" w:hAnsi="宋体"/>
                <w:szCs w:val="44"/>
              </w:rPr>
            </w:pPr>
          </w:p>
        </w:tc>
        <w:tc>
          <w:tcPr>
            <w:tcW w:w="798" w:type="dxa"/>
            <w:noWrap w:val="0"/>
            <w:vAlign w:val="center"/>
          </w:tcPr>
          <w:p w14:paraId="4C9697B6">
            <w:pPr>
              <w:jc w:val="center"/>
              <w:rPr>
                <w:rFonts w:hint="eastAsia" w:ascii="宋体" w:hAnsi="宋体"/>
                <w:szCs w:val="44"/>
              </w:rPr>
            </w:pPr>
          </w:p>
        </w:tc>
        <w:tc>
          <w:tcPr>
            <w:tcW w:w="797" w:type="dxa"/>
            <w:noWrap w:val="0"/>
            <w:vAlign w:val="center"/>
          </w:tcPr>
          <w:p w14:paraId="62DD7F0B">
            <w:pPr>
              <w:jc w:val="center"/>
              <w:rPr>
                <w:rFonts w:hint="eastAsia" w:ascii="宋体" w:hAnsi="宋体"/>
                <w:szCs w:val="44"/>
              </w:rPr>
            </w:pPr>
          </w:p>
        </w:tc>
        <w:tc>
          <w:tcPr>
            <w:tcW w:w="798" w:type="dxa"/>
            <w:noWrap w:val="0"/>
            <w:vAlign w:val="center"/>
          </w:tcPr>
          <w:p w14:paraId="0BB9BCCC">
            <w:pPr>
              <w:jc w:val="center"/>
              <w:rPr>
                <w:rFonts w:hint="eastAsia" w:ascii="宋体" w:hAnsi="宋体"/>
                <w:szCs w:val="44"/>
              </w:rPr>
            </w:pPr>
          </w:p>
        </w:tc>
        <w:tc>
          <w:tcPr>
            <w:tcW w:w="798" w:type="dxa"/>
            <w:noWrap w:val="0"/>
            <w:vAlign w:val="center"/>
          </w:tcPr>
          <w:p w14:paraId="484040DF">
            <w:pPr>
              <w:jc w:val="center"/>
              <w:rPr>
                <w:rFonts w:hint="eastAsia" w:ascii="宋体" w:hAnsi="宋体"/>
                <w:szCs w:val="44"/>
              </w:rPr>
            </w:pPr>
          </w:p>
        </w:tc>
        <w:tc>
          <w:tcPr>
            <w:tcW w:w="797" w:type="dxa"/>
            <w:noWrap w:val="0"/>
            <w:vAlign w:val="center"/>
          </w:tcPr>
          <w:p w14:paraId="3E5F4F56">
            <w:pPr>
              <w:jc w:val="center"/>
              <w:rPr>
                <w:rFonts w:hint="eastAsia" w:ascii="宋体" w:hAnsi="宋体"/>
                <w:szCs w:val="44"/>
              </w:rPr>
            </w:pPr>
          </w:p>
        </w:tc>
        <w:tc>
          <w:tcPr>
            <w:tcW w:w="798" w:type="dxa"/>
            <w:noWrap w:val="0"/>
            <w:vAlign w:val="center"/>
          </w:tcPr>
          <w:p w14:paraId="35A1E3B8">
            <w:pPr>
              <w:jc w:val="center"/>
              <w:rPr>
                <w:rFonts w:hint="eastAsia" w:ascii="宋体" w:hAnsi="宋体"/>
                <w:szCs w:val="44"/>
              </w:rPr>
            </w:pPr>
          </w:p>
        </w:tc>
        <w:tc>
          <w:tcPr>
            <w:tcW w:w="798" w:type="dxa"/>
            <w:noWrap w:val="0"/>
            <w:vAlign w:val="center"/>
          </w:tcPr>
          <w:p w14:paraId="117B4CE2">
            <w:pPr>
              <w:jc w:val="center"/>
              <w:rPr>
                <w:rFonts w:hint="eastAsia" w:ascii="宋体" w:hAnsi="宋体"/>
                <w:szCs w:val="44"/>
              </w:rPr>
            </w:pPr>
          </w:p>
        </w:tc>
      </w:tr>
      <w:tr w14:paraId="6593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739" w:type="dxa"/>
            <w:noWrap w:val="0"/>
            <w:vAlign w:val="center"/>
          </w:tcPr>
          <w:p w14:paraId="54C356AD">
            <w:pPr>
              <w:jc w:val="center"/>
              <w:rPr>
                <w:rFonts w:hint="eastAsia" w:ascii="黑体" w:hAnsi="宋体" w:eastAsia="黑体"/>
                <w:szCs w:val="44"/>
              </w:rPr>
            </w:pPr>
            <w:r>
              <w:rPr>
                <w:rFonts w:hint="eastAsia" w:ascii="黑体" w:hAnsi="宋体" w:eastAsia="黑体"/>
                <w:szCs w:val="44"/>
              </w:rPr>
              <w:t>3</w:t>
            </w:r>
          </w:p>
        </w:tc>
        <w:tc>
          <w:tcPr>
            <w:tcW w:w="1529" w:type="dxa"/>
            <w:noWrap w:val="0"/>
            <w:vAlign w:val="center"/>
          </w:tcPr>
          <w:p w14:paraId="709B6414">
            <w:pPr>
              <w:jc w:val="center"/>
              <w:rPr>
                <w:rFonts w:hint="eastAsia" w:ascii="宋体" w:hAnsi="宋体"/>
                <w:szCs w:val="44"/>
              </w:rPr>
            </w:pPr>
            <w:r>
              <w:rPr>
                <w:rFonts w:hint="eastAsia" w:ascii="宋体" w:hAnsi="宋体"/>
                <w:szCs w:val="21"/>
              </w:rPr>
              <w:t>施工进度计划</w:t>
            </w:r>
          </w:p>
        </w:tc>
        <w:tc>
          <w:tcPr>
            <w:tcW w:w="3600" w:type="dxa"/>
            <w:noWrap w:val="0"/>
            <w:vAlign w:val="center"/>
          </w:tcPr>
          <w:p w14:paraId="385D8CB4">
            <w:pPr>
              <w:rPr>
                <w:rFonts w:hint="eastAsia" w:ascii="宋体" w:hAnsi="宋体"/>
                <w:szCs w:val="21"/>
              </w:rPr>
            </w:pPr>
            <w:r>
              <w:rPr>
                <w:rFonts w:hint="eastAsia" w:ascii="宋体" w:hAnsi="宋体"/>
                <w:szCs w:val="21"/>
              </w:rPr>
              <w:t>网络图或横道图安排的进度计划</w:t>
            </w:r>
            <w:r>
              <w:rPr>
                <w:rFonts w:hint="eastAsia" w:ascii="宋体" w:hAnsi="宋体"/>
                <w:bCs/>
                <w:szCs w:val="21"/>
              </w:rPr>
              <w:t>合理、可行</w:t>
            </w:r>
          </w:p>
        </w:tc>
        <w:tc>
          <w:tcPr>
            <w:tcW w:w="720" w:type="dxa"/>
            <w:noWrap w:val="0"/>
            <w:vAlign w:val="center"/>
          </w:tcPr>
          <w:p w14:paraId="7FF2FFA6">
            <w:pPr>
              <w:jc w:val="center"/>
              <w:rPr>
                <w:rFonts w:hint="eastAsia" w:ascii="宋体" w:hAnsi="宋体"/>
                <w:szCs w:val="44"/>
              </w:rPr>
            </w:pPr>
            <w:r>
              <w:rPr>
                <w:rFonts w:hint="eastAsia" w:ascii="宋体" w:hAnsi="宋体"/>
                <w:szCs w:val="44"/>
              </w:rPr>
              <w:t>合格</w:t>
            </w:r>
          </w:p>
        </w:tc>
        <w:tc>
          <w:tcPr>
            <w:tcW w:w="797" w:type="dxa"/>
            <w:noWrap w:val="0"/>
            <w:vAlign w:val="center"/>
          </w:tcPr>
          <w:p w14:paraId="764EEB35">
            <w:pPr>
              <w:jc w:val="center"/>
              <w:rPr>
                <w:rFonts w:hint="eastAsia" w:ascii="宋体" w:hAnsi="宋体"/>
                <w:szCs w:val="44"/>
              </w:rPr>
            </w:pPr>
          </w:p>
        </w:tc>
        <w:tc>
          <w:tcPr>
            <w:tcW w:w="798" w:type="dxa"/>
            <w:noWrap w:val="0"/>
            <w:vAlign w:val="center"/>
          </w:tcPr>
          <w:p w14:paraId="51D599EF">
            <w:pPr>
              <w:jc w:val="center"/>
              <w:rPr>
                <w:rFonts w:hint="eastAsia" w:ascii="宋体" w:hAnsi="宋体"/>
                <w:szCs w:val="44"/>
              </w:rPr>
            </w:pPr>
          </w:p>
        </w:tc>
        <w:tc>
          <w:tcPr>
            <w:tcW w:w="798" w:type="dxa"/>
            <w:noWrap w:val="0"/>
            <w:vAlign w:val="center"/>
          </w:tcPr>
          <w:p w14:paraId="0127CCED">
            <w:pPr>
              <w:jc w:val="center"/>
              <w:rPr>
                <w:rFonts w:hint="eastAsia" w:ascii="宋体" w:hAnsi="宋体"/>
                <w:szCs w:val="44"/>
              </w:rPr>
            </w:pPr>
          </w:p>
        </w:tc>
        <w:tc>
          <w:tcPr>
            <w:tcW w:w="797" w:type="dxa"/>
            <w:noWrap w:val="0"/>
            <w:vAlign w:val="center"/>
          </w:tcPr>
          <w:p w14:paraId="44CBA32D">
            <w:pPr>
              <w:jc w:val="center"/>
              <w:rPr>
                <w:rFonts w:hint="eastAsia" w:ascii="宋体" w:hAnsi="宋体"/>
                <w:szCs w:val="44"/>
              </w:rPr>
            </w:pPr>
          </w:p>
        </w:tc>
        <w:tc>
          <w:tcPr>
            <w:tcW w:w="798" w:type="dxa"/>
            <w:noWrap w:val="0"/>
            <w:vAlign w:val="center"/>
          </w:tcPr>
          <w:p w14:paraId="28401AF1">
            <w:pPr>
              <w:jc w:val="center"/>
              <w:rPr>
                <w:rFonts w:hint="eastAsia" w:ascii="宋体" w:hAnsi="宋体"/>
                <w:szCs w:val="44"/>
              </w:rPr>
            </w:pPr>
          </w:p>
        </w:tc>
        <w:tc>
          <w:tcPr>
            <w:tcW w:w="798" w:type="dxa"/>
            <w:noWrap w:val="0"/>
            <w:vAlign w:val="center"/>
          </w:tcPr>
          <w:p w14:paraId="7731F814">
            <w:pPr>
              <w:jc w:val="center"/>
              <w:rPr>
                <w:rFonts w:hint="eastAsia" w:ascii="宋体" w:hAnsi="宋体"/>
                <w:szCs w:val="44"/>
              </w:rPr>
            </w:pPr>
          </w:p>
        </w:tc>
        <w:tc>
          <w:tcPr>
            <w:tcW w:w="797" w:type="dxa"/>
            <w:noWrap w:val="0"/>
            <w:vAlign w:val="center"/>
          </w:tcPr>
          <w:p w14:paraId="19AF19F6">
            <w:pPr>
              <w:jc w:val="center"/>
              <w:rPr>
                <w:rFonts w:hint="eastAsia" w:ascii="宋体" w:hAnsi="宋体"/>
                <w:szCs w:val="44"/>
              </w:rPr>
            </w:pPr>
          </w:p>
        </w:tc>
        <w:tc>
          <w:tcPr>
            <w:tcW w:w="798" w:type="dxa"/>
            <w:noWrap w:val="0"/>
            <w:vAlign w:val="center"/>
          </w:tcPr>
          <w:p w14:paraId="1D059894">
            <w:pPr>
              <w:jc w:val="center"/>
              <w:rPr>
                <w:rFonts w:hint="eastAsia" w:ascii="宋体" w:hAnsi="宋体"/>
                <w:szCs w:val="44"/>
              </w:rPr>
            </w:pPr>
          </w:p>
        </w:tc>
        <w:tc>
          <w:tcPr>
            <w:tcW w:w="798" w:type="dxa"/>
            <w:noWrap w:val="0"/>
            <w:vAlign w:val="center"/>
          </w:tcPr>
          <w:p w14:paraId="39EBE5BD">
            <w:pPr>
              <w:jc w:val="center"/>
              <w:rPr>
                <w:rFonts w:hint="eastAsia" w:ascii="宋体" w:hAnsi="宋体"/>
                <w:szCs w:val="44"/>
              </w:rPr>
            </w:pPr>
          </w:p>
        </w:tc>
      </w:tr>
      <w:tr w14:paraId="1F84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739" w:type="dxa"/>
            <w:noWrap w:val="0"/>
            <w:vAlign w:val="center"/>
          </w:tcPr>
          <w:p w14:paraId="4514E85B">
            <w:pPr>
              <w:jc w:val="center"/>
              <w:rPr>
                <w:rFonts w:hint="eastAsia" w:ascii="黑体" w:hAnsi="宋体" w:eastAsia="黑体"/>
                <w:szCs w:val="44"/>
              </w:rPr>
            </w:pPr>
            <w:r>
              <w:rPr>
                <w:rFonts w:hint="eastAsia" w:ascii="黑体" w:hAnsi="宋体" w:eastAsia="黑体"/>
                <w:szCs w:val="44"/>
              </w:rPr>
              <w:t>4</w:t>
            </w:r>
          </w:p>
        </w:tc>
        <w:tc>
          <w:tcPr>
            <w:tcW w:w="1529" w:type="dxa"/>
            <w:noWrap w:val="0"/>
            <w:vAlign w:val="center"/>
          </w:tcPr>
          <w:p w14:paraId="3C81D559">
            <w:pPr>
              <w:jc w:val="center"/>
              <w:rPr>
                <w:rFonts w:hint="eastAsia" w:ascii="宋体" w:hAnsi="宋体"/>
                <w:szCs w:val="44"/>
              </w:rPr>
            </w:pPr>
            <w:r>
              <w:rPr>
                <w:rFonts w:hint="eastAsia" w:ascii="宋体" w:hAnsi="宋体"/>
                <w:szCs w:val="21"/>
              </w:rPr>
              <w:t>施工准备与资源配置计划</w:t>
            </w:r>
          </w:p>
        </w:tc>
        <w:tc>
          <w:tcPr>
            <w:tcW w:w="3600" w:type="dxa"/>
            <w:noWrap w:val="0"/>
            <w:vAlign w:val="center"/>
          </w:tcPr>
          <w:p w14:paraId="173090D0">
            <w:pPr>
              <w:rPr>
                <w:rFonts w:hint="eastAsia" w:ascii="宋体" w:hAnsi="宋体"/>
                <w:bCs/>
                <w:szCs w:val="21"/>
              </w:rPr>
            </w:pPr>
            <w:r>
              <w:rPr>
                <w:rFonts w:hint="eastAsia" w:ascii="宋体" w:hAnsi="宋体"/>
                <w:szCs w:val="21"/>
              </w:rPr>
              <w:t>技术准备、现场准备和资金准备；资源配置计划包括劳动力配置计划、主要工程材料和设备配置计划、主要周转材料和施工机具配置计划等</w:t>
            </w:r>
            <w:r>
              <w:rPr>
                <w:rFonts w:hint="eastAsia" w:ascii="宋体" w:hAnsi="宋体"/>
                <w:szCs w:val="44"/>
              </w:rPr>
              <w:t>内容完备，</w:t>
            </w:r>
            <w:r>
              <w:rPr>
                <w:rFonts w:hint="eastAsia" w:ascii="宋体" w:hAnsi="宋体"/>
                <w:bCs/>
                <w:szCs w:val="21"/>
              </w:rPr>
              <w:t>可行</w:t>
            </w:r>
          </w:p>
        </w:tc>
        <w:tc>
          <w:tcPr>
            <w:tcW w:w="720" w:type="dxa"/>
            <w:noWrap w:val="0"/>
            <w:vAlign w:val="center"/>
          </w:tcPr>
          <w:p w14:paraId="4E0F84D7">
            <w:pPr>
              <w:jc w:val="center"/>
              <w:rPr>
                <w:rFonts w:hint="eastAsia" w:ascii="宋体" w:hAnsi="宋体"/>
                <w:szCs w:val="44"/>
              </w:rPr>
            </w:pPr>
            <w:r>
              <w:rPr>
                <w:rFonts w:hint="eastAsia" w:ascii="宋体" w:hAnsi="宋体"/>
                <w:szCs w:val="44"/>
              </w:rPr>
              <w:t>合格</w:t>
            </w:r>
          </w:p>
        </w:tc>
        <w:tc>
          <w:tcPr>
            <w:tcW w:w="797" w:type="dxa"/>
            <w:noWrap w:val="0"/>
            <w:vAlign w:val="center"/>
          </w:tcPr>
          <w:p w14:paraId="64515DB6">
            <w:pPr>
              <w:jc w:val="center"/>
              <w:rPr>
                <w:rFonts w:hint="eastAsia" w:ascii="宋体" w:hAnsi="宋体"/>
                <w:szCs w:val="44"/>
              </w:rPr>
            </w:pPr>
          </w:p>
        </w:tc>
        <w:tc>
          <w:tcPr>
            <w:tcW w:w="798" w:type="dxa"/>
            <w:noWrap w:val="0"/>
            <w:vAlign w:val="center"/>
          </w:tcPr>
          <w:p w14:paraId="4CE4CDCA">
            <w:pPr>
              <w:jc w:val="center"/>
              <w:rPr>
                <w:rFonts w:hint="eastAsia" w:ascii="宋体" w:hAnsi="宋体"/>
                <w:szCs w:val="44"/>
              </w:rPr>
            </w:pPr>
          </w:p>
        </w:tc>
        <w:tc>
          <w:tcPr>
            <w:tcW w:w="798" w:type="dxa"/>
            <w:noWrap w:val="0"/>
            <w:vAlign w:val="center"/>
          </w:tcPr>
          <w:p w14:paraId="6F9DCC70">
            <w:pPr>
              <w:jc w:val="center"/>
              <w:rPr>
                <w:rFonts w:hint="eastAsia" w:ascii="宋体" w:hAnsi="宋体"/>
                <w:szCs w:val="44"/>
              </w:rPr>
            </w:pPr>
          </w:p>
        </w:tc>
        <w:tc>
          <w:tcPr>
            <w:tcW w:w="797" w:type="dxa"/>
            <w:noWrap w:val="0"/>
            <w:vAlign w:val="center"/>
          </w:tcPr>
          <w:p w14:paraId="72F6C6F6">
            <w:pPr>
              <w:jc w:val="center"/>
              <w:rPr>
                <w:rFonts w:hint="eastAsia" w:ascii="宋体" w:hAnsi="宋体"/>
                <w:szCs w:val="44"/>
              </w:rPr>
            </w:pPr>
          </w:p>
        </w:tc>
        <w:tc>
          <w:tcPr>
            <w:tcW w:w="798" w:type="dxa"/>
            <w:noWrap w:val="0"/>
            <w:vAlign w:val="center"/>
          </w:tcPr>
          <w:p w14:paraId="00308593">
            <w:pPr>
              <w:jc w:val="center"/>
              <w:rPr>
                <w:rFonts w:hint="eastAsia" w:ascii="宋体" w:hAnsi="宋体"/>
                <w:szCs w:val="44"/>
              </w:rPr>
            </w:pPr>
          </w:p>
        </w:tc>
        <w:tc>
          <w:tcPr>
            <w:tcW w:w="798" w:type="dxa"/>
            <w:noWrap w:val="0"/>
            <w:vAlign w:val="center"/>
          </w:tcPr>
          <w:p w14:paraId="438E8FFF">
            <w:pPr>
              <w:jc w:val="center"/>
              <w:rPr>
                <w:rFonts w:hint="eastAsia" w:ascii="宋体" w:hAnsi="宋体"/>
                <w:szCs w:val="44"/>
              </w:rPr>
            </w:pPr>
          </w:p>
        </w:tc>
        <w:tc>
          <w:tcPr>
            <w:tcW w:w="797" w:type="dxa"/>
            <w:noWrap w:val="0"/>
            <w:vAlign w:val="center"/>
          </w:tcPr>
          <w:p w14:paraId="54A5C09C">
            <w:pPr>
              <w:jc w:val="center"/>
              <w:rPr>
                <w:rFonts w:hint="eastAsia" w:ascii="宋体" w:hAnsi="宋体"/>
                <w:szCs w:val="44"/>
              </w:rPr>
            </w:pPr>
          </w:p>
        </w:tc>
        <w:tc>
          <w:tcPr>
            <w:tcW w:w="798" w:type="dxa"/>
            <w:noWrap w:val="0"/>
            <w:vAlign w:val="center"/>
          </w:tcPr>
          <w:p w14:paraId="7FC5D766">
            <w:pPr>
              <w:jc w:val="center"/>
              <w:rPr>
                <w:rFonts w:hint="eastAsia" w:ascii="宋体" w:hAnsi="宋体"/>
                <w:szCs w:val="44"/>
              </w:rPr>
            </w:pPr>
          </w:p>
        </w:tc>
        <w:tc>
          <w:tcPr>
            <w:tcW w:w="798" w:type="dxa"/>
            <w:noWrap w:val="0"/>
            <w:vAlign w:val="center"/>
          </w:tcPr>
          <w:p w14:paraId="56CD4B05">
            <w:pPr>
              <w:jc w:val="center"/>
              <w:rPr>
                <w:rFonts w:hint="eastAsia" w:ascii="宋体" w:hAnsi="宋体"/>
                <w:szCs w:val="44"/>
              </w:rPr>
            </w:pPr>
          </w:p>
        </w:tc>
      </w:tr>
    </w:tbl>
    <w:p w14:paraId="62D6152C">
      <w:pPr>
        <w:rPr>
          <w:rFonts w:hint="eastAsia"/>
        </w:rPr>
      </w:pPr>
    </w:p>
    <w:p w14:paraId="6F0ABC4C">
      <w:pPr>
        <w:rPr>
          <w:rFonts w:hint="eastAsia"/>
        </w:rPr>
      </w:pPr>
    </w:p>
    <w:p w14:paraId="017869E7">
      <w:pPr>
        <w:rPr>
          <w:rFonts w:hint="eastAsia"/>
        </w:rPr>
      </w:pPr>
    </w:p>
    <w:p w14:paraId="37323228">
      <w:pPr>
        <w:rPr>
          <w:rFonts w:hint="eastAsia"/>
        </w:rPr>
      </w:pPr>
    </w:p>
    <w:p w14:paraId="29777867">
      <w:pPr>
        <w:rPr>
          <w:rFonts w:hint="eastAsia"/>
        </w:rPr>
      </w:pPr>
    </w:p>
    <w:p w14:paraId="3FEF874C">
      <w:pPr>
        <w:rPr>
          <w:rFonts w:hint="eastAsia"/>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5070"/>
        <w:gridCol w:w="850"/>
        <w:gridCol w:w="851"/>
        <w:gridCol w:w="708"/>
        <w:gridCol w:w="851"/>
        <w:gridCol w:w="850"/>
        <w:gridCol w:w="709"/>
        <w:gridCol w:w="851"/>
        <w:gridCol w:w="708"/>
      </w:tblGrid>
      <w:tr w14:paraId="560FD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4889107F">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5D208858">
            <w:pPr>
              <w:jc w:val="center"/>
              <w:rPr>
                <w:rFonts w:hint="eastAsia" w:ascii="宋体" w:hAnsi="宋体"/>
                <w:szCs w:val="44"/>
              </w:rPr>
            </w:pPr>
            <w:r>
              <w:rPr>
                <w:rFonts w:hint="eastAsia" w:ascii="宋体" w:hAnsi="宋体"/>
                <w:szCs w:val="44"/>
              </w:rPr>
              <w:t>评审项目</w:t>
            </w:r>
          </w:p>
        </w:tc>
        <w:tc>
          <w:tcPr>
            <w:tcW w:w="5070" w:type="dxa"/>
            <w:vMerge w:val="restart"/>
            <w:noWrap w:val="0"/>
            <w:vAlign w:val="center"/>
          </w:tcPr>
          <w:p w14:paraId="439FB973">
            <w:pPr>
              <w:jc w:val="center"/>
              <w:rPr>
                <w:rFonts w:hint="eastAsia" w:ascii="宋体" w:hAnsi="宋体"/>
                <w:szCs w:val="44"/>
              </w:rPr>
            </w:pPr>
            <w:r>
              <w:rPr>
                <w:rFonts w:hint="eastAsia" w:ascii="宋体" w:hAnsi="宋体"/>
                <w:szCs w:val="44"/>
              </w:rPr>
              <w:t>评审标准</w:t>
            </w:r>
          </w:p>
        </w:tc>
        <w:tc>
          <w:tcPr>
            <w:tcW w:w="850" w:type="dxa"/>
            <w:vMerge w:val="restart"/>
            <w:noWrap w:val="0"/>
            <w:vAlign w:val="center"/>
          </w:tcPr>
          <w:p w14:paraId="0D1786F6">
            <w:pPr>
              <w:jc w:val="center"/>
              <w:rPr>
                <w:rFonts w:hint="eastAsia" w:ascii="宋体" w:hAnsi="宋体"/>
                <w:szCs w:val="44"/>
              </w:rPr>
            </w:pPr>
            <w:r>
              <w:rPr>
                <w:rFonts w:hint="eastAsia" w:ascii="宋体" w:hAnsi="宋体"/>
                <w:szCs w:val="44"/>
              </w:rPr>
              <w:t>结果</w:t>
            </w:r>
          </w:p>
        </w:tc>
        <w:tc>
          <w:tcPr>
            <w:tcW w:w="5528" w:type="dxa"/>
            <w:gridSpan w:val="7"/>
            <w:noWrap w:val="0"/>
            <w:vAlign w:val="center"/>
          </w:tcPr>
          <w:p w14:paraId="5AE943AC">
            <w:pPr>
              <w:jc w:val="center"/>
              <w:rPr>
                <w:rFonts w:hint="eastAsia" w:ascii="宋体" w:hAnsi="宋体"/>
                <w:szCs w:val="44"/>
              </w:rPr>
            </w:pPr>
            <w:r>
              <w:rPr>
                <w:rFonts w:hint="eastAsia" w:ascii="宋体" w:hAnsi="宋体"/>
                <w:szCs w:val="44"/>
              </w:rPr>
              <w:t>投标人名称或暗标编号及评审得分</w:t>
            </w:r>
          </w:p>
        </w:tc>
      </w:tr>
      <w:tr w14:paraId="6511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7514371A">
            <w:pPr>
              <w:jc w:val="center"/>
              <w:rPr>
                <w:rFonts w:hint="eastAsia" w:ascii="黑体" w:hAnsi="宋体" w:eastAsia="黑体"/>
                <w:szCs w:val="44"/>
              </w:rPr>
            </w:pPr>
          </w:p>
        </w:tc>
        <w:tc>
          <w:tcPr>
            <w:tcW w:w="1529" w:type="dxa"/>
            <w:vMerge w:val="continue"/>
            <w:noWrap w:val="0"/>
            <w:vAlign w:val="center"/>
          </w:tcPr>
          <w:p w14:paraId="0A9144BE">
            <w:pPr>
              <w:jc w:val="center"/>
              <w:rPr>
                <w:rFonts w:hint="eastAsia" w:ascii="宋体" w:hAnsi="宋体"/>
                <w:szCs w:val="21"/>
              </w:rPr>
            </w:pPr>
          </w:p>
        </w:tc>
        <w:tc>
          <w:tcPr>
            <w:tcW w:w="5070" w:type="dxa"/>
            <w:vMerge w:val="continue"/>
            <w:noWrap w:val="0"/>
            <w:vAlign w:val="center"/>
          </w:tcPr>
          <w:p w14:paraId="1F03015B">
            <w:pPr>
              <w:rPr>
                <w:rFonts w:hint="eastAsia" w:ascii="宋体" w:hAnsi="宋体"/>
                <w:szCs w:val="44"/>
              </w:rPr>
            </w:pPr>
          </w:p>
        </w:tc>
        <w:tc>
          <w:tcPr>
            <w:tcW w:w="850" w:type="dxa"/>
            <w:vMerge w:val="continue"/>
            <w:noWrap w:val="0"/>
            <w:vAlign w:val="center"/>
          </w:tcPr>
          <w:p w14:paraId="3253930E">
            <w:pPr>
              <w:jc w:val="center"/>
              <w:rPr>
                <w:rFonts w:hint="eastAsia" w:ascii="宋体" w:hAnsi="宋体"/>
                <w:szCs w:val="44"/>
              </w:rPr>
            </w:pPr>
          </w:p>
        </w:tc>
        <w:tc>
          <w:tcPr>
            <w:tcW w:w="851" w:type="dxa"/>
            <w:noWrap w:val="0"/>
            <w:vAlign w:val="center"/>
          </w:tcPr>
          <w:p w14:paraId="78006E26">
            <w:pPr>
              <w:jc w:val="center"/>
              <w:rPr>
                <w:rFonts w:hint="eastAsia" w:ascii="宋体" w:hAnsi="宋体"/>
                <w:szCs w:val="44"/>
              </w:rPr>
            </w:pPr>
          </w:p>
        </w:tc>
        <w:tc>
          <w:tcPr>
            <w:tcW w:w="708" w:type="dxa"/>
            <w:noWrap w:val="0"/>
            <w:vAlign w:val="center"/>
          </w:tcPr>
          <w:p w14:paraId="49FB6D74">
            <w:pPr>
              <w:jc w:val="center"/>
              <w:rPr>
                <w:rFonts w:hint="eastAsia" w:ascii="宋体" w:hAnsi="宋体"/>
                <w:szCs w:val="44"/>
              </w:rPr>
            </w:pPr>
          </w:p>
        </w:tc>
        <w:tc>
          <w:tcPr>
            <w:tcW w:w="851" w:type="dxa"/>
            <w:noWrap w:val="0"/>
            <w:vAlign w:val="center"/>
          </w:tcPr>
          <w:p w14:paraId="19552B23">
            <w:pPr>
              <w:jc w:val="center"/>
              <w:rPr>
                <w:rFonts w:hint="eastAsia" w:ascii="宋体" w:hAnsi="宋体"/>
                <w:szCs w:val="44"/>
              </w:rPr>
            </w:pPr>
          </w:p>
        </w:tc>
        <w:tc>
          <w:tcPr>
            <w:tcW w:w="850" w:type="dxa"/>
            <w:noWrap w:val="0"/>
            <w:vAlign w:val="center"/>
          </w:tcPr>
          <w:p w14:paraId="23D3B211">
            <w:pPr>
              <w:jc w:val="center"/>
              <w:rPr>
                <w:rFonts w:hint="eastAsia" w:ascii="宋体" w:hAnsi="宋体"/>
                <w:szCs w:val="44"/>
              </w:rPr>
            </w:pPr>
          </w:p>
        </w:tc>
        <w:tc>
          <w:tcPr>
            <w:tcW w:w="709" w:type="dxa"/>
            <w:noWrap w:val="0"/>
            <w:vAlign w:val="center"/>
          </w:tcPr>
          <w:p w14:paraId="2D1A4906">
            <w:pPr>
              <w:jc w:val="center"/>
              <w:rPr>
                <w:rFonts w:hint="eastAsia" w:ascii="宋体" w:hAnsi="宋体"/>
                <w:szCs w:val="44"/>
              </w:rPr>
            </w:pPr>
          </w:p>
        </w:tc>
        <w:tc>
          <w:tcPr>
            <w:tcW w:w="851" w:type="dxa"/>
            <w:noWrap w:val="0"/>
            <w:vAlign w:val="center"/>
          </w:tcPr>
          <w:p w14:paraId="361B5EDD">
            <w:pPr>
              <w:jc w:val="center"/>
              <w:rPr>
                <w:rFonts w:hint="eastAsia" w:ascii="宋体" w:hAnsi="宋体"/>
                <w:szCs w:val="44"/>
              </w:rPr>
            </w:pPr>
          </w:p>
        </w:tc>
        <w:tc>
          <w:tcPr>
            <w:tcW w:w="708" w:type="dxa"/>
            <w:noWrap w:val="0"/>
            <w:vAlign w:val="center"/>
          </w:tcPr>
          <w:p w14:paraId="6E89FA94">
            <w:pPr>
              <w:jc w:val="center"/>
              <w:rPr>
                <w:rFonts w:hint="eastAsia" w:ascii="宋体" w:hAnsi="宋体"/>
                <w:szCs w:val="44"/>
              </w:rPr>
            </w:pPr>
          </w:p>
        </w:tc>
      </w:tr>
      <w:tr w14:paraId="65318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noWrap w:val="0"/>
            <w:vAlign w:val="center"/>
          </w:tcPr>
          <w:p w14:paraId="2E67922A">
            <w:pPr>
              <w:jc w:val="center"/>
              <w:rPr>
                <w:rFonts w:hint="eastAsia" w:ascii="黑体" w:hAnsi="宋体" w:eastAsia="黑体"/>
                <w:szCs w:val="44"/>
              </w:rPr>
            </w:pPr>
            <w:r>
              <w:rPr>
                <w:rFonts w:hint="eastAsia" w:ascii="黑体" w:hAnsi="宋体" w:eastAsia="黑体"/>
                <w:szCs w:val="44"/>
              </w:rPr>
              <w:t>5</w:t>
            </w:r>
          </w:p>
        </w:tc>
        <w:tc>
          <w:tcPr>
            <w:tcW w:w="1529" w:type="dxa"/>
            <w:noWrap w:val="0"/>
            <w:vAlign w:val="center"/>
          </w:tcPr>
          <w:p w14:paraId="4956BA16">
            <w:pPr>
              <w:jc w:val="center"/>
              <w:rPr>
                <w:rFonts w:hint="eastAsia" w:ascii="宋体" w:hAnsi="宋体"/>
                <w:szCs w:val="44"/>
              </w:rPr>
            </w:pPr>
            <w:r>
              <w:rPr>
                <w:rFonts w:hint="eastAsia" w:ascii="宋体" w:hAnsi="宋体"/>
                <w:szCs w:val="21"/>
              </w:rPr>
              <w:t>主要施工方案</w:t>
            </w:r>
          </w:p>
        </w:tc>
        <w:tc>
          <w:tcPr>
            <w:tcW w:w="5070" w:type="dxa"/>
            <w:noWrap w:val="0"/>
            <w:vAlign w:val="center"/>
          </w:tcPr>
          <w:p w14:paraId="1E8B8B6E">
            <w:pPr>
              <w:rPr>
                <w:rFonts w:hint="eastAsia" w:ascii="宋体" w:hAnsi="宋体"/>
                <w:bCs/>
                <w:szCs w:val="21"/>
              </w:rPr>
            </w:pPr>
            <w:r>
              <w:rPr>
                <w:rFonts w:hint="eastAsia" w:ascii="宋体" w:hAnsi="宋体"/>
                <w:szCs w:val="21"/>
              </w:rPr>
              <w:t>主要分部、分项工程施工方案</w:t>
            </w:r>
            <w:r>
              <w:rPr>
                <w:rFonts w:hint="eastAsia" w:ascii="宋体" w:hAnsi="宋体"/>
                <w:bCs/>
                <w:szCs w:val="21"/>
              </w:rPr>
              <w:t>合理、可行；</w:t>
            </w:r>
            <w:r>
              <w:rPr>
                <w:rFonts w:hint="eastAsia" w:ascii="宋体" w:hAnsi="宋体"/>
                <w:szCs w:val="21"/>
              </w:rPr>
              <w:t>脚手架工程、起重吊装工程、临时用水用电工程、季节性施工等专项工程的施工方案（如有）有必要的验算和说明；对易发生质量通病、易出现安全问题、施工难度大、技术含量高的分项工程（工序）等有重点说明</w:t>
            </w:r>
          </w:p>
        </w:tc>
        <w:tc>
          <w:tcPr>
            <w:tcW w:w="850" w:type="dxa"/>
            <w:noWrap w:val="0"/>
            <w:vAlign w:val="center"/>
          </w:tcPr>
          <w:p w14:paraId="2167CB99">
            <w:pPr>
              <w:jc w:val="center"/>
              <w:rPr>
                <w:rFonts w:hint="eastAsia" w:ascii="宋体" w:hAnsi="宋体"/>
                <w:szCs w:val="44"/>
              </w:rPr>
            </w:pPr>
            <w:r>
              <w:rPr>
                <w:rFonts w:hint="eastAsia" w:ascii="宋体" w:hAnsi="宋体"/>
                <w:szCs w:val="44"/>
              </w:rPr>
              <w:t>合格</w:t>
            </w:r>
          </w:p>
        </w:tc>
        <w:tc>
          <w:tcPr>
            <w:tcW w:w="851" w:type="dxa"/>
            <w:noWrap w:val="0"/>
            <w:vAlign w:val="center"/>
          </w:tcPr>
          <w:p w14:paraId="5F54B8AD">
            <w:pPr>
              <w:jc w:val="center"/>
              <w:rPr>
                <w:rFonts w:hint="eastAsia" w:ascii="宋体" w:hAnsi="宋体"/>
                <w:szCs w:val="44"/>
              </w:rPr>
            </w:pPr>
          </w:p>
        </w:tc>
        <w:tc>
          <w:tcPr>
            <w:tcW w:w="708" w:type="dxa"/>
            <w:noWrap w:val="0"/>
            <w:vAlign w:val="center"/>
          </w:tcPr>
          <w:p w14:paraId="05D82DE3">
            <w:pPr>
              <w:jc w:val="center"/>
              <w:rPr>
                <w:rFonts w:hint="eastAsia" w:ascii="宋体" w:hAnsi="宋体"/>
                <w:szCs w:val="44"/>
              </w:rPr>
            </w:pPr>
          </w:p>
        </w:tc>
        <w:tc>
          <w:tcPr>
            <w:tcW w:w="851" w:type="dxa"/>
            <w:noWrap w:val="0"/>
            <w:vAlign w:val="center"/>
          </w:tcPr>
          <w:p w14:paraId="0FAE56EB">
            <w:pPr>
              <w:jc w:val="center"/>
              <w:rPr>
                <w:rFonts w:hint="eastAsia" w:ascii="宋体" w:hAnsi="宋体"/>
                <w:szCs w:val="44"/>
              </w:rPr>
            </w:pPr>
          </w:p>
        </w:tc>
        <w:tc>
          <w:tcPr>
            <w:tcW w:w="850" w:type="dxa"/>
            <w:noWrap w:val="0"/>
            <w:vAlign w:val="center"/>
          </w:tcPr>
          <w:p w14:paraId="64914558">
            <w:pPr>
              <w:jc w:val="center"/>
              <w:rPr>
                <w:rFonts w:hint="eastAsia" w:ascii="宋体" w:hAnsi="宋体"/>
                <w:szCs w:val="44"/>
              </w:rPr>
            </w:pPr>
          </w:p>
        </w:tc>
        <w:tc>
          <w:tcPr>
            <w:tcW w:w="709" w:type="dxa"/>
            <w:noWrap w:val="0"/>
            <w:vAlign w:val="center"/>
          </w:tcPr>
          <w:p w14:paraId="077B8FCB">
            <w:pPr>
              <w:jc w:val="center"/>
              <w:rPr>
                <w:rFonts w:hint="eastAsia" w:ascii="宋体" w:hAnsi="宋体"/>
                <w:szCs w:val="44"/>
              </w:rPr>
            </w:pPr>
          </w:p>
        </w:tc>
        <w:tc>
          <w:tcPr>
            <w:tcW w:w="851" w:type="dxa"/>
            <w:noWrap w:val="0"/>
            <w:vAlign w:val="center"/>
          </w:tcPr>
          <w:p w14:paraId="7011DEE9">
            <w:pPr>
              <w:jc w:val="center"/>
              <w:rPr>
                <w:rFonts w:hint="eastAsia" w:ascii="宋体" w:hAnsi="宋体"/>
                <w:szCs w:val="44"/>
              </w:rPr>
            </w:pPr>
          </w:p>
        </w:tc>
        <w:tc>
          <w:tcPr>
            <w:tcW w:w="708" w:type="dxa"/>
            <w:noWrap w:val="0"/>
            <w:vAlign w:val="center"/>
          </w:tcPr>
          <w:p w14:paraId="32B9D5A3">
            <w:pPr>
              <w:jc w:val="center"/>
              <w:rPr>
                <w:rFonts w:hint="eastAsia" w:ascii="宋体" w:hAnsi="宋体"/>
                <w:szCs w:val="44"/>
              </w:rPr>
            </w:pPr>
          </w:p>
        </w:tc>
      </w:tr>
      <w:tr w14:paraId="493A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noWrap w:val="0"/>
            <w:vAlign w:val="center"/>
          </w:tcPr>
          <w:p w14:paraId="273D68A1">
            <w:pPr>
              <w:jc w:val="center"/>
              <w:rPr>
                <w:rFonts w:hint="eastAsia" w:ascii="黑体" w:hAnsi="宋体" w:eastAsia="黑体"/>
                <w:szCs w:val="44"/>
              </w:rPr>
            </w:pPr>
            <w:r>
              <w:rPr>
                <w:rFonts w:hint="eastAsia" w:ascii="黑体" w:hAnsi="宋体" w:eastAsia="黑体"/>
                <w:szCs w:val="44"/>
              </w:rPr>
              <w:t>6</w:t>
            </w:r>
          </w:p>
        </w:tc>
        <w:tc>
          <w:tcPr>
            <w:tcW w:w="1529" w:type="dxa"/>
            <w:noWrap w:val="0"/>
            <w:vAlign w:val="center"/>
          </w:tcPr>
          <w:p w14:paraId="472BFA4A">
            <w:pPr>
              <w:jc w:val="center"/>
              <w:rPr>
                <w:rFonts w:hint="eastAsia" w:ascii="宋体" w:hAnsi="宋体"/>
                <w:szCs w:val="44"/>
              </w:rPr>
            </w:pPr>
            <w:r>
              <w:rPr>
                <w:rFonts w:hint="eastAsia" w:ascii="宋体" w:hAnsi="宋体"/>
                <w:szCs w:val="21"/>
              </w:rPr>
              <w:t>施工现场平面布置</w:t>
            </w:r>
          </w:p>
        </w:tc>
        <w:tc>
          <w:tcPr>
            <w:tcW w:w="5070" w:type="dxa"/>
            <w:noWrap w:val="0"/>
            <w:vAlign w:val="center"/>
          </w:tcPr>
          <w:p w14:paraId="293166F9">
            <w:pPr>
              <w:rPr>
                <w:rFonts w:hint="eastAsia" w:ascii="宋体" w:hAnsi="宋体"/>
                <w:szCs w:val="44"/>
              </w:rPr>
            </w:pPr>
            <w:r>
              <w:rPr>
                <w:rFonts w:hint="eastAsia" w:ascii="宋体" w:hAnsi="宋体"/>
                <w:szCs w:val="21"/>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要素齐全，现场平面布置合理可行</w:t>
            </w:r>
          </w:p>
        </w:tc>
        <w:tc>
          <w:tcPr>
            <w:tcW w:w="850" w:type="dxa"/>
            <w:noWrap w:val="0"/>
            <w:vAlign w:val="center"/>
          </w:tcPr>
          <w:p w14:paraId="76FA66C5">
            <w:pPr>
              <w:jc w:val="center"/>
              <w:rPr>
                <w:rFonts w:hint="eastAsia" w:ascii="宋体" w:hAnsi="宋体"/>
                <w:szCs w:val="44"/>
              </w:rPr>
            </w:pPr>
            <w:r>
              <w:rPr>
                <w:rFonts w:hint="eastAsia" w:ascii="宋体" w:hAnsi="宋体"/>
                <w:szCs w:val="44"/>
              </w:rPr>
              <w:t>合格</w:t>
            </w:r>
          </w:p>
        </w:tc>
        <w:tc>
          <w:tcPr>
            <w:tcW w:w="851" w:type="dxa"/>
            <w:noWrap w:val="0"/>
            <w:vAlign w:val="center"/>
          </w:tcPr>
          <w:p w14:paraId="2CBD2554">
            <w:pPr>
              <w:jc w:val="center"/>
              <w:rPr>
                <w:rFonts w:hint="eastAsia" w:ascii="宋体" w:hAnsi="宋体"/>
                <w:szCs w:val="44"/>
              </w:rPr>
            </w:pPr>
          </w:p>
        </w:tc>
        <w:tc>
          <w:tcPr>
            <w:tcW w:w="708" w:type="dxa"/>
            <w:noWrap w:val="0"/>
            <w:vAlign w:val="center"/>
          </w:tcPr>
          <w:p w14:paraId="0D9A52D3">
            <w:pPr>
              <w:jc w:val="center"/>
              <w:rPr>
                <w:rFonts w:hint="eastAsia" w:ascii="宋体" w:hAnsi="宋体"/>
                <w:szCs w:val="44"/>
              </w:rPr>
            </w:pPr>
          </w:p>
        </w:tc>
        <w:tc>
          <w:tcPr>
            <w:tcW w:w="851" w:type="dxa"/>
            <w:noWrap w:val="0"/>
            <w:vAlign w:val="center"/>
          </w:tcPr>
          <w:p w14:paraId="6301D4F4">
            <w:pPr>
              <w:jc w:val="center"/>
              <w:rPr>
                <w:rFonts w:hint="eastAsia" w:ascii="宋体" w:hAnsi="宋体"/>
                <w:szCs w:val="44"/>
              </w:rPr>
            </w:pPr>
          </w:p>
        </w:tc>
        <w:tc>
          <w:tcPr>
            <w:tcW w:w="850" w:type="dxa"/>
            <w:noWrap w:val="0"/>
            <w:vAlign w:val="center"/>
          </w:tcPr>
          <w:p w14:paraId="5B4688C1">
            <w:pPr>
              <w:jc w:val="center"/>
              <w:rPr>
                <w:rFonts w:hint="eastAsia" w:ascii="宋体" w:hAnsi="宋体"/>
                <w:szCs w:val="44"/>
              </w:rPr>
            </w:pPr>
          </w:p>
        </w:tc>
        <w:tc>
          <w:tcPr>
            <w:tcW w:w="709" w:type="dxa"/>
            <w:noWrap w:val="0"/>
            <w:vAlign w:val="center"/>
          </w:tcPr>
          <w:p w14:paraId="1D1557CB">
            <w:pPr>
              <w:jc w:val="center"/>
              <w:rPr>
                <w:rFonts w:hint="eastAsia" w:ascii="宋体" w:hAnsi="宋体"/>
                <w:szCs w:val="44"/>
              </w:rPr>
            </w:pPr>
          </w:p>
        </w:tc>
        <w:tc>
          <w:tcPr>
            <w:tcW w:w="851" w:type="dxa"/>
            <w:noWrap w:val="0"/>
            <w:vAlign w:val="center"/>
          </w:tcPr>
          <w:p w14:paraId="587FC681">
            <w:pPr>
              <w:jc w:val="center"/>
              <w:rPr>
                <w:rFonts w:hint="eastAsia" w:ascii="宋体" w:hAnsi="宋体"/>
                <w:szCs w:val="44"/>
              </w:rPr>
            </w:pPr>
          </w:p>
        </w:tc>
        <w:tc>
          <w:tcPr>
            <w:tcW w:w="708" w:type="dxa"/>
            <w:noWrap w:val="0"/>
            <w:vAlign w:val="center"/>
          </w:tcPr>
          <w:p w14:paraId="36C43A9E">
            <w:pPr>
              <w:jc w:val="center"/>
              <w:rPr>
                <w:rFonts w:hint="eastAsia" w:ascii="宋体" w:hAnsi="宋体"/>
                <w:szCs w:val="44"/>
              </w:rPr>
            </w:pPr>
          </w:p>
        </w:tc>
      </w:tr>
      <w:tr w14:paraId="5EEE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739" w:type="dxa"/>
            <w:noWrap w:val="0"/>
            <w:vAlign w:val="center"/>
          </w:tcPr>
          <w:p w14:paraId="64B7600F">
            <w:pPr>
              <w:jc w:val="center"/>
              <w:rPr>
                <w:rFonts w:hint="eastAsia" w:ascii="黑体" w:hAnsi="宋体" w:eastAsia="黑体"/>
                <w:szCs w:val="44"/>
              </w:rPr>
            </w:pPr>
            <w:r>
              <w:rPr>
                <w:rFonts w:hint="eastAsia" w:ascii="黑体" w:hAnsi="宋体" w:eastAsia="黑体"/>
                <w:szCs w:val="44"/>
              </w:rPr>
              <w:t>7</w:t>
            </w:r>
          </w:p>
        </w:tc>
        <w:tc>
          <w:tcPr>
            <w:tcW w:w="1529" w:type="dxa"/>
            <w:noWrap w:val="0"/>
            <w:vAlign w:val="center"/>
          </w:tcPr>
          <w:p w14:paraId="54650063">
            <w:pPr>
              <w:jc w:val="center"/>
              <w:rPr>
                <w:rFonts w:hint="eastAsia" w:ascii="宋体" w:hAnsi="宋体"/>
                <w:szCs w:val="44"/>
              </w:rPr>
            </w:pPr>
            <w:r>
              <w:rPr>
                <w:rFonts w:hint="eastAsia" w:ascii="宋体" w:hAnsi="宋体"/>
                <w:szCs w:val="21"/>
              </w:rPr>
              <w:t>主要施工管理计划</w:t>
            </w:r>
          </w:p>
        </w:tc>
        <w:tc>
          <w:tcPr>
            <w:tcW w:w="5070" w:type="dxa"/>
            <w:noWrap w:val="0"/>
            <w:vAlign w:val="center"/>
          </w:tcPr>
          <w:p w14:paraId="1EFF9DEC">
            <w:pPr>
              <w:rPr>
                <w:rFonts w:hint="eastAsia" w:ascii="宋体" w:hAnsi="宋体"/>
                <w:szCs w:val="44"/>
              </w:rPr>
            </w:pPr>
            <w:r>
              <w:rPr>
                <w:rFonts w:hint="eastAsia" w:ascii="宋体" w:hAnsi="宋体"/>
                <w:szCs w:val="21"/>
              </w:rPr>
              <w:t>进度管理计划、质量管理计划、安全管理计划、环境管理计划、成本管理计划、治安保卫管理计划、合同管理计划，组织协调管理计划、成品保护管理计划、质量保修管理计划、人力资源、施工机具、材料设备等管理计划</w:t>
            </w:r>
            <w:r>
              <w:rPr>
                <w:rFonts w:hint="eastAsia" w:ascii="宋体" w:hAnsi="宋体"/>
                <w:szCs w:val="44"/>
              </w:rPr>
              <w:t>内容基本完备，可行</w:t>
            </w:r>
          </w:p>
        </w:tc>
        <w:tc>
          <w:tcPr>
            <w:tcW w:w="850" w:type="dxa"/>
            <w:noWrap w:val="0"/>
            <w:vAlign w:val="center"/>
          </w:tcPr>
          <w:p w14:paraId="1B625BF8">
            <w:pPr>
              <w:jc w:val="center"/>
              <w:rPr>
                <w:rFonts w:hint="eastAsia" w:ascii="宋体" w:hAnsi="宋体"/>
                <w:szCs w:val="44"/>
              </w:rPr>
            </w:pPr>
            <w:r>
              <w:rPr>
                <w:rFonts w:hint="eastAsia" w:ascii="宋体" w:hAnsi="宋体"/>
                <w:szCs w:val="44"/>
              </w:rPr>
              <w:t>合格</w:t>
            </w:r>
          </w:p>
        </w:tc>
        <w:tc>
          <w:tcPr>
            <w:tcW w:w="851" w:type="dxa"/>
            <w:noWrap w:val="0"/>
            <w:vAlign w:val="center"/>
          </w:tcPr>
          <w:p w14:paraId="180A8C14">
            <w:pPr>
              <w:jc w:val="center"/>
              <w:rPr>
                <w:rFonts w:hint="eastAsia" w:ascii="宋体" w:hAnsi="宋体"/>
                <w:szCs w:val="44"/>
              </w:rPr>
            </w:pPr>
          </w:p>
        </w:tc>
        <w:tc>
          <w:tcPr>
            <w:tcW w:w="708" w:type="dxa"/>
            <w:noWrap w:val="0"/>
            <w:vAlign w:val="center"/>
          </w:tcPr>
          <w:p w14:paraId="2DDB916B">
            <w:pPr>
              <w:jc w:val="center"/>
              <w:rPr>
                <w:rFonts w:hint="eastAsia" w:ascii="宋体" w:hAnsi="宋体"/>
                <w:szCs w:val="44"/>
              </w:rPr>
            </w:pPr>
          </w:p>
        </w:tc>
        <w:tc>
          <w:tcPr>
            <w:tcW w:w="851" w:type="dxa"/>
            <w:noWrap w:val="0"/>
            <w:vAlign w:val="center"/>
          </w:tcPr>
          <w:p w14:paraId="388C58D9">
            <w:pPr>
              <w:jc w:val="center"/>
              <w:rPr>
                <w:rFonts w:hint="eastAsia" w:ascii="宋体" w:hAnsi="宋体"/>
                <w:szCs w:val="44"/>
              </w:rPr>
            </w:pPr>
          </w:p>
        </w:tc>
        <w:tc>
          <w:tcPr>
            <w:tcW w:w="850" w:type="dxa"/>
            <w:noWrap w:val="0"/>
            <w:vAlign w:val="center"/>
          </w:tcPr>
          <w:p w14:paraId="1114C281">
            <w:pPr>
              <w:jc w:val="center"/>
              <w:rPr>
                <w:rFonts w:hint="eastAsia" w:ascii="宋体" w:hAnsi="宋体"/>
                <w:szCs w:val="44"/>
              </w:rPr>
            </w:pPr>
          </w:p>
        </w:tc>
        <w:tc>
          <w:tcPr>
            <w:tcW w:w="709" w:type="dxa"/>
            <w:noWrap w:val="0"/>
            <w:vAlign w:val="center"/>
          </w:tcPr>
          <w:p w14:paraId="04F648D6">
            <w:pPr>
              <w:jc w:val="center"/>
              <w:rPr>
                <w:rFonts w:hint="eastAsia" w:ascii="宋体" w:hAnsi="宋体"/>
                <w:szCs w:val="44"/>
              </w:rPr>
            </w:pPr>
          </w:p>
        </w:tc>
        <w:tc>
          <w:tcPr>
            <w:tcW w:w="851" w:type="dxa"/>
            <w:noWrap w:val="0"/>
            <w:vAlign w:val="center"/>
          </w:tcPr>
          <w:p w14:paraId="1EE04104">
            <w:pPr>
              <w:jc w:val="center"/>
              <w:rPr>
                <w:rFonts w:hint="eastAsia" w:ascii="宋体" w:hAnsi="宋体"/>
                <w:szCs w:val="44"/>
              </w:rPr>
            </w:pPr>
          </w:p>
        </w:tc>
        <w:tc>
          <w:tcPr>
            <w:tcW w:w="708" w:type="dxa"/>
            <w:noWrap w:val="0"/>
            <w:vAlign w:val="center"/>
          </w:tcPr>
          <w:p w14:paraId="77D90465">
            <w:pPr>
              <w:jc w:val="center"/>
              <w:rPr>
                <w:rFonts w:hint="eastAsia" w:ascii="宋体" w:hAnsi="宋体"/>
                <w:szCs w:val="44"/>
              </w:rPr>
            </w:pPr>
          </w:p>
        </w:tc>
      </w:tr>
      <w:tr w14:paraId="204D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8188" w:type="dxa"/>
            <w:gridSpan w:val="4"/>
            <w:noWrap w:val="0"/>
            <w:vAlign w:val="center"/>
          </w:tcPr>
          <w:p w14:paraId="6C74997D">
            <w:pPr>
              <w:jc w:val="center"/>
              <w:rPr>
                <w:rFonts w:hint="eastAsia" w:ascii="宋体" w:hAnsi="宋体"/>
                <w:szCs w:val="44"/>
              </w:rPr>
            </w:pPr>
            <w:r>
              <w:rPr>
                <w:rFonts w:hint="eastAsia" w:ascii="宋体" w:hAnsi="宋体"/>
                <w:szCs w:val="44"/>
              </w:rPr>
              <w:t>施工组织设计合格性汇总</w:t>
            </w:r>
          </w:p>
        </w:tc>
        <w:tc>
          <w:tcPr>
            <w:tcW w:w="851" w:type="dxa"/>
            <w:noWrap w:val="0"/>
            <w:vAlign w:val="center"/>
          </w:tcPr>
          <w:p w14:paraId="21728517">
            <w:pPr>
              <w:jc w:val="center"/>
              <w:rPr>
                <w:rFonts w:hint="eastAsia" w:ascii="宋体" w:hAnsi="宋体"/>
                <w:szCs w:val="44"/>
              </w:rPr>
            </w:pPr>
          </w:p>
        </w:tc>
        <w:tc>
          <w:tcPr>
            <w:tcW w:w="708" w:type="dxa"/>
            <w:noWrap w:val="0"/>
            <w:vAlign w:val="center"/>
          </w:tcPr>
          <w:p w14:paraId="57439597">
            <w:pPr>
              <w:jc w:val="center"/>
              <w:rPr>
                <w:rFonts w:hint="eastAsia" w:ascii="宋体" w:hAnsi="宋体"/>
                <w:szCs w:val="44"/>
              </w:rPr>
            </w:pPr>
          </w:p>
        </w:tc>
        <w:tc>
          <w:tcPr>
            <w:tcW w:w="851" w:type="dxa"/>
            <w:noWrap w:val="0"/>
            <w:vAlign w:val="center"/>
          </w:tcPr>
          <w:p w14:paraId="1A340083">
            <w:pPr>
              <w:jc w:val="center"/>
              <w:rPr>
                <w:rFonts w:hint="eastAsia" w:ascii="宋体" w:hAnsi="宋体"/>
                <w:szCs w:val="44"/>
              </w:rPr>
            </w:pPr>
          </w:p>
        </w:tc>
        <w:tc>
          <w:tcPr>
            <w:tcW w:w="850" w:type="dxa"/>
            <w:noWrap w:val="0"/>
            <w:vAlign w:val="center"/>
          </w:tcPr>
          <w:p w14:paraId="18FE28B0">
            <w:pPr>
              <w:jc w:val="center"/>
              <w:rPr>
                <w:rFonts w:hint="eastAsia" w:ascii="宋体" w:hAnsi="宋体"/>
                <w:szCs w:val="44"/>
              </w:rPr>
            </w:pPr>
          </w:p>
        </w:tc>
        <w:tc>
          <w:tcPr>
            <w:tcW w:w="709" w:type="dxa"/>
            <w:noWrap w:val="0"/>
            <w:vAlign w:val="center"/>
          </w:tcPr>
          <w:p w14:paraId="7921E823">
            <w:pPr>
              <w:jc w:val="center"/>
              <w:rPr>
                <w:rFonts w:hint="eastAsia" w:ascii="宋体" w:hAnsi="宋体"/>
                <w:szCs w:val="44"/>
              </w:rPr>
            </w:pPr>
          </w:p>
        </w:tc>
        <w:tc>
          <w:tcPr>
            <w:tcW w:w="851" w:type="dxa"/>
            <w:noWrap w:val="0"/>
            <w:vAlign w:val="center"/>
          </w:tcPr>
          <w:p w14:paraId="3643DF9C">
            <w:pPr>
              <w:jc w:val="center"/>
              <w:rPr>
                <w:rFonts w:hint="eastAsia" w:ascii="宋体" w:hAnsi="宋体"/>
                <w:szCs w:val="44"/>
              </w:rPr>
            </w:pPr>
          </w:p>
        </w:tc>
        <w:tc>
          <w:tcPr>
            <w:tcW w:w="708" w:type="dxa"/>
            <w:noWrap w:val="0"/>
            <w:vAlign w:val="center"/>
          </w:tcPr>
          <w:p w14:paraId="587B12FC">
            <w:pPr>
              <w:jc w:val="center"/>
              <w:rPr>
                <w:rFonts w:hint="eastAsia" w:ascii="宋体" w:hAnsi="宋体"/>
                <w:szCs w:val="44"/>
              </w:rPr>
            </w:pPr>
          </w:p>
        </w:tc>
      </w:tr>
    </w:tbl>
    <w:p w14:paraId="0E534E3D">
      <w:pPr>
        <w:rPr>
          <w:rFonts w:hint="eastAsia"/>
        </w:rPr>
      </w:pPr>
    </w:p>
    <w:p w14:paraId="710255D5">
      <w:pPr>
        <w:rPr>
          <w:rFonts w:hint="eastAsia"/>
        </w:rPr>
      </w:pPr>
    </w:p>
    <w:p w14:paraId="3452717E">
      <w:pPr>
        <w:rPr>
          <w:rFonts w:hint="eastAsia"/>
        </w:rPr>
      </w:pPr>
    </w:p>
    <w:p w14:paraId="0380AE9D">
      <w:pPr>
        <w:rPr>
          <w:rFonts w:hint="eastAsia"/>
        </w:rPr>
      </w:pPr>
      <w:r>
        <w:rPr>
          <w:rFonts w:hint="eastAsia"/>
        </w:rPr>
        <w:t>评标委员会成员签名：                                                                                   日期：   　　 年    月　  日</w:t>
      </w:r>
    </w:p>
    <w:p w14:paraId="1E3B73AE">
      <w:pPr>
        <w:rPr>
          <w:rFonts w:hint="eastAsia"/>
        </w:rPr>
      </w:pPr>
    </w:p>
    <w:p w14:paraId="3FF1E920">
      <w:pPr>
        <w:rPr>
          <w:rFonts w:hint="eastAsia"/>
        </w:rPr>
      </w:pPr>
    </w:p>
    <w:p w14:paraId="1B75225E">
      <w:pPr>
        <w:rPr>
          <w:rFonts w:hint="eastAsia"/>
        </w:rPr>
      </w:pPr>
    </w:p>
    <w:p w14:paraId="2118014C">
      <w:pPr>
        <w:rPr>
          <w:rFonts w:hint="eastAsia"/>
        </w:rPr>
      </w:pPr>
    </w:p>
    <w:p w14:paraId="6047A144">
      <w:pPr>
        <w:pStyle w:val="20"/>
        <w:rPr>
          <w:rFonts w:hint="eastAsia"/>
        </w:rPr>
      </w:pPr>
      <w:bookmarkStart w:id="433" w:name="_Toc108513660"/>
      <w:r>
        <w:rPr>
          <w:rFonts w:hint="eastAsia"/>
        </w:rPr>
        <w:t>附表A-8：投标报价评分记录表</w:t>
      </w:r>
      <w:bookmarkEnd w:id="433"/>
    </w:p>
    <w:p w14:paraId="05F3CF1D">
      <w:pPr>
        <w:spacing w:after="240" w:afterLines="100"/>
        <w:jc w:val="center"/>
        <w:rPr>
          <w:rFonts w:hint="eastAsia" w:ascii="黑体" w:eastAsia="黑体"/>
          <w:sz w:val="28"/>
          <w:szCs w:val="28"/>
        </w:rPr>
      </w:pPr>
      <w:r>
        <w:rPr>
          <w:rFonts w:hint="eastAsia" w:ascii="黑体" w:eastAsia="黑体"/>
          <w:sz w:val="28"/>
          <w:szCs w:val="28"/>
        </w:rPr>
        <w:t>投标报价评分记录表</w:t>
      </w:r>
    </w:p>
    <w:p w14:paraId="373253BB">
      <w:pPr>
        <w:spacing w:after="240" w:afterLines="100"/>
        <w:rPr>
          <w:rFonts w:hint="eastAsia"/>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r>
        <w:rPr>
          <w:rFonts w:hint="eastAsia" w:ascii="宋体" w:hAnsi="宋体"/>
          <w:szCs w:val="44"/>
        </w:rPr>
        <w:t xml:space="preserve">      　　　　　　　　　　　　　　　　　　　　　 </w:t>
      </w:r>
      <w:r>
        <w:rPr>
          <w:rFonts w:hint="eastAsia"/>
        </w:rPr>
        <w:t>单位：人民币元</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177"/>
        <w:gridCol w:w="1178"/>
        <w:gridCol w:w="1178"/>
        <w:gridCol w:w="1177"/>
        <w:gridCol w:w="1178"/>
        <w:gridCol w:w="1178"/>
        <w:gridCol w:w="1177"/>
        <w:gridCol w:w="1178"/>
        <w:gridCol w:w="1178"/>
      </w:tblGrid>
      <w:tr w14:paraId="10FC7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8" w:type="dxa"/>
            <w:vMerge w:val="restart"/>
            <w:noWrap w:val="0"/>
            <w:vAlign w:val="center"/>
          </w:tcPr>
          <w:p w14:paraId="5B0F78C6">
            <w:pPr>
              <w:jc w:val="center"/>
              <w:rPr>
                <w:rFonts w:hint="eastAsia"/>
              </w:rPr>
            </w:pPr>
            <w:r>
              <w:rPr>
                <w:rFonts w:hint="eastAsia"/>
              </w:rPr>
              <w:t>项目</w:t>
            </w:r>
          </w:p>
        </w:tc>
        <w:tc>
          <w:tcPr>
            <w:tcW w:w="10599" w:type="dxa"/>
            <w:gridSpan w:val="9"/>
            <w:noWrap w:val="0"/>
            <w:vAlign w:val="center"/>
          </w:tcPr>
          <w:p w14:paraId="08978CD0">
            <w:pPr>
              <w:jc w:val="center"/>
              <w:rPr>
                <w:rFonts w:hint="eastAsia"/>
              </w:rPr>
            </w:pPr>
            <w:r>
              <w:rPr>
                <w:rFonts w:hint="eastAsia"/>
              </w:rPr>
              <w:t>投标人名称</w:t>
            </w:r>
          </w:p>
        </w:tc>
      </w:tr>
      <w:tr w14:paraId="1D94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168" w:type="dxa"/>
            <w:vMerge w:val="continue"/>
            <w:noWrap w:val="0"/>
            <w:vAlign w:val="center"/>
          </w:tcPr>
          <w:p w14:paraId="12FD32F8">
            <w:pPr>
              <w:jc w:val="center"/>
              <w:rPr>
                <w:rFonts w:hint="eastAsia"/>
              </w:rPr>
            </w:pPr>
          </w:p>
        </w:tc>
        <w:tc>
          <w:tcPr>
            <w:tcW w:w="1177" w:type="dxa"/>
            <w:noWrap w:val="0"/>
            <w:vAlign w:val="center"/>
          </w:tcPr>
          <w:p w14:paraId="0951EB38">
            <w:pPr>
              <w:jc w:val="center"/>
              <w:rPr>
                <w:rFonts w:hint="eastAsia"/>
              </w:rPr>
            </w:pPr>
          </w:p>
        </w:tc>
        <w:tc>
          <w:tcPr>
            <w:tcW w:w="1178" w:type="dxa"/>
            <w:noWrap w:val="0"/>
            <w:vAlign w:val="center"/>
          </w:tcPr>
          <w:p w14:paraId="7E98A802">
            <w:pPr>
              <w:jc w:val="center"/>
              <w:rPr>
                <w:rFonts w:hint="eastAsia"/>
              </w:rPr>
            </w:pPr>
          </w:p>
        </w:tc>
        <w:tc>
          <w:tcPr>
            <w:tcW w:w="1178" w:type="dxa"/>
            <w:noWrap w:val="0"/>
            <w:vAlign w:val="center"/>
          </w:tcPr>
          <w:p w14:paraId="6A8431D2">
            <w:pPr>
              <w:jc w:val="center"/>
              <w:rPr>
                <w:rFonts w:hint="eastAsia"/>
              </w:rPr>
            </w:pPr>
          </w:p>
        </w:tc>
        <w:tc>
          <w:tcPr>
            <w:tcW w:w="1177" w:type="dxa"/>
            <w:noWrap w:val="0"/>
            <w:vAlign w:val="center"/>
          </w:tcPr>
          <w:p w14:paraId="02F0C089">
            <w:pPr>
              <w:jc w:val="center"/>
              <w:rPr>
                <w:rFonts w:hint="eastAsia"/>
              </w:rPr>
            </w:pPr>
          </w:p>
        </w:tc>
        <w:tc>
          <w:tcPr>
            <w:tcW w:w="1178" w:type="dxa"/>
            <w:noWrap w:val="0"/>
            <w:vAlign w:val="center"/>
          </w:tcPr>
          <w:p w14:paraId="0E57A4AD">
            <w:pPr>
              <w:jc w:val="center"/>
              <w:rPr>
                <w:rFonts w:hint="eastAsia"/>
              </w:rPr>
            </w:pPr>
          </w:p>
        </w:tc>
        <w:tc>
          <w:tcPr>
            <w:tcW w:w="1178" w:type="dxa"/>
            <w:noWrap w:val="0"/>
            <w:vAlign w:val="center"/>
          </w:tcPr>
          <w:p w14:paraId="21A3AA08">
            <w:pPr>
              <w:jc w:val="center"/>
              <w:rPr>
                <w:rFonts w:hint="eastAsia"/>
              </w:rPr>
            </w:pPr>
          </w:p>
        </w:tc>
        <w:tc>
          <w:tcPr>
            <w:tcW w:w="1177" w:type="dxa"/>
            <w:noWrap w:val="0"/>
            <w:vAlign w:val="center"/>
          </w:tcPr>
          <w:p w14:paraId="54F38B22">
            <w:pPr>
              <w:jc w:val="center"/>
              <w:rPr>
                <w:rFonts w:hint="eastAsia"/>
              </w:rPr>
            </w:pPr>
          </w:p>
        </w:tc>
        <w:tc>
          <w:tcPr>
            <w:tcW w:w="1178" w:type="dxa"/>
            <w:noWrap w:val="0"/>
            <w:vAlign w:val="center"/>
          </w:tcPr>
          <w:p w14:paraId="37B18AC0">
            <w:pPr>
              <w:jc w:val="center"/>
              <w:rPr>
                <w:rFonts w:hint="eastAsia"/>
              </w:rPr>
            </w:pPr>
          </w:p>
        </w:tc>
        <w:tc>
          <w:tcPr>
            <w:tcW w:w="1178" w:type="dxa"/>
            <w:noWrap w:val="0"/>
            <w:vAlign w:val="center"/>
          </w:tcPr>
          <w:p w14:paraId="32082646">
            <w:pPr>
              <w:jc w:val="center"/>
              <w:rPr>
                <w:rFonts w:hint="eastAsia"/>
              </w:rPr>
            </w:pPr>
          </w:p>
        </w:tc>
      </w:tr>
      <w:tr w14:paraId="1513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trPr>
        <w:tc>
          <w:tcPr>
            <w:tcW w:w="3168" w:type="dxa"/>
            <w:noWrap w:val="0"/>
            <w:vAlign w:val="center"/>
          </w:tcPr>
          <w:p w14:paraId="6F6C8612">
            <w:pPr>
              <w:jc w:val="center"/>
              <w:rPr>
                <w:rFonts w:hint="eastAsia"/>
              </w:rPr>
            </w:pPr>
            <w:r>
              <w:rPr>
                <w:rFonts w:hint="eastAsia"/>
              </w:rPr>
              <w:t>投标报价</w:t>
            </w:r>
          </w:p>
        </w:tc>
        <w:tc>
          <w:tcPr>
            <w:tcW w:w="1177" w:type="dxa"/>
            <w:noWrap w:val="0"/>
            <w:vAlign w:val="center"/>
          </w:tcPr>
          <w:p w14:paraId="519F9334">
            <w:pPr>
              <w:jc w:val="center"/>
              <w:rPr>
                <w:rFonts w:hint="eastAsia"/>
              </w:rPr>
            </w:pPr>
          </w:p>
        </w:tc>
        <w:tc>
          <w:tcPr>
            <w:tcW w:w="1178" w:type="dxa"/>
            <w:noWrap w:val="0"/>
            <w:vAlign w:val="center"/>
          </w:tcPr>
          <w:p w14:paraId="50C68D4B">
            <w:pPr>
              <w:jc w:val="center"/>
              <w:rPr>
                <w:rFonts w:hint="eastAsia"/>
              </w:rPr>
            </w:pPr>
          </w:p>
        </w:tc>
        <w:tc>
          <w:tcPr>
            <w:tcW w:w="1178" w:type="dxa"/>
            <w:noWrap w:val="0"/>
            <w:vAlign w:val="center"/>
          </w:tcPr>
          <w:p w14:paraId="76A67E31">
            <w:pPr>
              <w:jc w:val="center"/>
              <w:rPr>
                <w:rFonts w:hint="eastAsia"/>
              </w:rPr>
            </w:pPr>
          </w:p>
        </w:tc>
        <w:tc>
          <w:tcPr>
            <w:tcW w:w="1177" w:type="dxa"/>
            <w:noWrap w:val="0"/>
            <w:vAlign w:val="center"/>
          </w:tcPr>
          <w:p w14:paraId="1FDB0C2D">
            <w:pPr>
              <w:jc w:val="center"/>
              <w:rPr>
                <w:rFonts w:hint="eastAsia"/>
              </w:rPr>
            </w:pPr>
          </w:p>
        </w:tc>
        <w:tc>
          <w:tcPr>
            <w:tcW w:w="1178" w:type="dxa"/>
            <w:noWrap w:val="0"/>
            <w:vAlign w:val="center"/>
          </w:tcPr>
          <w:p w14:paraId="56B5FF5F">
            <w:pPr>
              <w:jc w:val="center"/>
              <w:rPr>
                <w:rFonts w:hint="eastAsia"/>
              </w:rPr>
            </w:pPr>
          </w:p>
        </w:tc>
        <w:tc>
          <w:tcPr>
            <w:tcW w:w="1178" w:type="dxa"/>
            <w:noWrap w:val="0"/>
            <w:vAlign w:val="center"/>
          </w:tcPr>
          <w:p w14:paraId="1A0DD144">
            <w:pPr>
              <w:jc w:val="center"/>
              <w:rPr>
                <w:rFonts w:hint="eastAsia"/>
              </w:rPr>
            </w:pPr>
          </w:p>
        </w:tc>
        <w:tc>
          <w:tcPr>
            <w:tcW w:w="1177" w:type="dxa"/>
            <w:noWrap w:val="0"/>
            <w:vAlign w:val="center"/>
          </w:tcPr>
          <w:p w14:paraId="2012AFA6">
            <w:pPr>
              <w:jc w:val="center"/>
              <w:rPr>
                <w:rFonts w:hint="eastAsia"/>
              </w:rPr>
            </w:pPr>
          </w:p>
        </w:tc>
        <w:tc>
          <w:tcPr>
            <w:tcW w:w="1178" w:type="dxa"/>
            <w:noWrap w:val="0"/>
            <w:vAlign w:val="center"/>
          </w:tcPr>
          <w:p w14:paraId="500C0795">
            <w:pPr>
              <w:jc w:val="center"/>
              <w:rPr>
                <w:rFonts w:hint="eastAsia"/>
              </w:rPr>
            </w:pPr>
          </w:p>
        </w:tc>
        <w:tc>
          <w:tcPr>
            <w:tcW w:w="1178" w:type="dxa"/>
            <w:noWrap w:val="0"/>
            <w:vAlign w:val="center"/>
          </w:tcPr>
          <w:p w14:paraId="0E10D3F1">
            <w:pPr>
              <w:jc w:val="center"/>
              <w:rPr>
                <w:rFonts w:hint="eastAsia"/>
              </w:rPr>
            </w:pPr>
          </w:p>
        </w:tc>
      </w:tr>
      <w:tr w14:paraId="5F25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trPr>
        <w:tc>
          <w:tcPr>
            <w:tcW w:w="3168" w:type="dxa"/>
            <w:noWrap w:val="0"/>
            <w:vAlign w:val="center"/>
          </w:tcPr>
          <w:p w14:paraId="6E58528E">
            <w:pPr>
              <w:spacing w:after="120" w:afterLines="50"/>
              <w:jc w:val="center"/>
              <w:rPr>
                <w:rFonts w:hint="eastAsia" w:ascii="宋体" w:hAnsi="宋体" w:cs="Arial"/>
                <w:szCs w:val="21"/>
              </w:rPr>
            </w:pPr>
            <w:r>
              <w:rPr>
                <w:rFonts w:hint="eastAsia" w:ascii="宋体" w:hAnsi="宋体" w:cs="Arial"/>
                <w:szCs w:val="21"/>
              </w:rPr>
              <w:t>修正后投标报价（如有）</w:t>
            </w:r>
          </w:p>
        </w:tc>
        <w:tc>
          <w:tcPr>
            <w:tcW w:w="1177" w:type="dxa"/>
            <w:noWrap w:val="0"/>
            <w:vAlign w:val="center"/>
          </w:tcPr>
          <w:p w14:paraId="2FAC6775">
            <w:pPr>
              <w:jc w:val="center"/>
              <w:rPr>
                <w:rFonts w:hint="eastAsia"/>
              </w:rPr>
            </w:pPr>
          </w:p>
        </w:tc>
        <w:tc>
          <w:tcPr>
            <w:tcW w:w="1178" w:type="dxa"/>
            <w:noWrap w:val="0"/>
            <w:vAlign w:val="center"/>
          </w:tcPr>
          <w:p w14:paraId="310F66F5">
            <w:pPr>
              <w:jc w:val="center"/>
              <w:rPr>
                <w:rFonts w:hint="eastAsia"/>
              </w:rPr>
            </w:pPr>
          </w:p>
        </w:tc>
        <w:tc>
          <w:tcPr>
            <w:tcW w:w="1178" w:type="dxa"/>
            <w:noWrap w:val="0"/>
            <w:vAlign w:val="center"/>
          </w:tcPr>
          <w:p w14:paraId="20E35F5F">
            <w:pPr>
              <w:jc w:val="center"/>
              <w:rPr>
                <w:rFonts w:hint="eastAsia"/>
              </w:rPr>
            </w:pPr>
          </w:p>
        </w:tc>
        <w:tc>
          <w:tcPr>
            <w:tcW w:w="1177" w:type="dxa"/>
            <w:noWrap w:val="0"/>
            <w:vAlign w:val="center"/>
          </w:tcPr>
          <w:p w14:paraId="1C7036AF">
            <w:pPr>
              <w:jc w:val="center"/>
              <w:rPr>
                <w:rFonts w:hint="eastAsia"/>
              </w:rPr>
            </w:pPr>
          </w:p>
        </w:tc>
        <w:tc>
          <w:tcPr>
            <w:tcW w:w="1178" w:type="dxa"/>
            <w:noWrap w:val="0"/>
            <w:vAlign w:val="center"/>
          </w:tcPr>
          <w:p w14:paraId="00D795AD">
            <w:pPr>
              <w:jc w:val="center"/>
              <w:rPr>
                <w:rFonts w:hint="eastAsia"/>
              </w:rPr>
            </w:pPr>
          </w:p>
        </w:tc>
        <w:tc>
          <w:tcPr>
            <w:tcW w:w="1178" w:type="dxa"/>
            <w:noWrap w:val="0"/>
            <w:vAlign w:val="center"/>
          </w:tcPr>
          <w:p w14:paraId="069C2D09">
            <w:pPr>
              <w:jc w:val="center"/>
              <w:rPr>
                <w:rFonts w:hint="eastAsia"/>
              </w:rPr>
            </w:pPr>
          </w:p>
        </w:tc>
        <w:tc>
          <w:tcPr>
            <w:tcW w:w="1177" w:type="dxa"/>
            <w:noWrap w:val="0"/>
            <w:vAlign w:val="center"/>
          </w:tcPr>
          <w:p w14:paraId="06C437DA">
            <w:pPr>
              <w:jc w:val="center"/>
              <w:rPr>
                <w:rFonts w:hint="eastAsia"/>
              </w:rPr>
            </w:pPr>
          </w:p>
        </w:tc>
        <w:tc>
          <w:tcPr>
            <w:tcW w:w="1178" w:type="dxa"/>
            <w:noWrap w:val="0"/>
            <w:vAlign w:val="center"/>
          </w:tcPr>
          <w:p w14:paraId="6B909B78">
            <w:pPr>
              <w:jc w:val="center"/>
              <w:rPr>
                <w:rFonts w:hint="eastAsia"/>
              </w:rPr>
            </w:pPr>
          </w:p>
        </w:tc>
        <w:tc>
          <w:tcPr>
            <w:tcW w:w="1178" w:type="dxa"/>
            <w:noWrap w:val="0"/>
            <w:vAlign w:val="center"/>
          </w:tcPr>
          <w:p w14:paraId="5A845A75">
            <w:pPr>
              <w:jc w:val="center"/>
              <w:rPr>
                <w:rFonts w:hint="eastAsia"/>
              </w:rPr>
            </w:pPr>
          </w:p>
        </w:tc>
      </w:tr>
      <w:tr w14:paraId="5379E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6937EB27">
            <w:pPr>
              <w:jc w:val="center"/>
              <w:rPr>
                <w:rFonts w:hint="eastAsia"/>
              </w:rPr>
            </w:pPr>
            <w:r>
              <w:rPr>
                <w:rFonts w:hint="eastAsia" w:ascii="宋体" w:hAnsi="宋体" w:cs="Arial"/>
                <w:szCs w:val="21"/>
              </w:rPr>
              <w:t>评标价</w:t>
            </w:r>
          </w:p>
        </w:tc>
        <w:tc>
          <w:tcPr>
            <w:tcW w:w="1177" w:type="dxa"/>
            <w:noWrap w:val="0"/>
            <w:vAlign w:val="center"/>
          </w:tcPr>
          <w:p w14:paraId="1A48637F">
            <w:pPr>
              <w:jc w:val="center"/>
              <w:rPr>
                <w:rFonts w:hint="eastAsia"/>
              </w:rPr>
            </w:pPr>
          </w:p>
        </w:tc>
        <w:tc>
          <w:tcPr>
            <w:tcW w:w="1178" w:type="dxa"/>
            <w:noWrap w:val="0"/>
            <w:vAlign w:val="center"/>
          </w:tcPr>
          <w:p w14:paraId="03769BAA">
            <w:pPr>
              <w:jc w:val="center"/>
              <w:rPr>
                <w:rFonts w:hint="eastAsia"/>
              </w:rPr>
            </w:pPr>
          </w:p>
        </w:tc>
        <w:tc>
          <w:tcPr>
            <w:tcW w:w="1178" w:type="dxa"/>
            <w:noWrap w:val="0"/>
            <w:vAlign w:val="center"/>
          </w:tcPr>
          <w:p w14:paraId="4160A072">
            <w:pPr>
              <w:jc w:val="center"/>
              <w:rPr>
                <w:rFonts w:hint="eastAsia"/>
              </w:rPr>
            </w:pPr>
          </w:p>
        </w:tc>
        <w:tc>
          <w:tcPr>
            <w:tcW w:w="1177" w:type="dxa"/>
            <w:noWrap w:val="0"/>
            <w:vAlign w:val="center"/>
          </w:tcPr>
          <w:p w14:paraId="74B4CF0D">
            <w:pPr>
              <w:jc w:val="center"/>
              <w:rPr>
                <w:rFonts w:hint="eastAsia"/>
              </w:rPr>
            </w:pPr>
          </w:p>
        </w:tc>
        <w:tc>
          <w:tcPr>
            <w:tcW w:w="1178" w:type="dxa"/>
            <w:noWrap w:val="0"/>
            <w:vAlign w:val="center"/>
          </w:tcPr>
          <w:p w14:paraId="6C3D7B73">
            <w:pPr>
              <w:jc w:val="center"/>
              <w:rPr>
                <w:rFonts w:hint="eastAsia"/>
              </w:rPr>
            </w:pPr>
          </w:p>
        </w:tc>
        <w:tc>
          <w:tcPr>
            <w:tcW w:w="1178" w:type="dxa"/>
            <w:noWrap w:val="0"/>
            <w:vAlign w:val="center"/>
          </w:tcPr>
          <w:p w14:paraId="11086DAF">
            <w:pPr>
              <w:jc w:val="center"/>
              <w:rPr>
                <w:rFonts w:hint="eastAsia"/>
              </w:rPr>
            </w:pPr>
          </w:p>
        </w:tc>
        <w:tc>
          <w:tcPr>
            <w:tcW w:w="1177" w:type="dxa"/>
            <w:noWrap w:val="0"/>
            <w:vAlign w:val="center"/>
          </w:tcPr>
          <w:p w14:paraId="459C0EDE">
            <w:pPr>
              <w:jc w:val="center"/>
              <w:rPr>
                <w:rFonts w:hint="eastAsia"/>
              </w:rPr>
            </w:pPr>
          </w:p>
        </w:tc>
        <w:tc>
          <w:tcPr>
            <w:tcW w:w="1178" w:type="dxa"/>
            <w:noWrap w:val="0"/>
            <w:vAlign w:val="center"/>
          </w:tcPr>
          <w:p w14:paraId="19A366E0">
            <w:pPr>
              <w:jc w:val="center"/>
              <w:rPr>
                <w:rFonts w:hint="eastAsia"/>
              </w:rPr>
            </w:pPr>
          </w:p>
        </w:tc>
        <w:tc>
          <w:tcPr>
            <w:tcW w:w="1178" w:type="dxa"/>
            <w:noWrap w:val="0"/>
            <w:vAlign w:val="center"/>
          </w:tcPr>
          <w:p w14:paraId="7D550DDC">
            <w:pPr>
              <w:jc w:val="center"/>
              <w:rPr>
                <w:rFonts w:hint="eastAsia"/>
              </w:rPr>
            </w:pPr>
          </w:p>
        </w:tc>
      </w:tr>
      <w:tr w14:paraId="105E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59111ABF">
            <w:pPr>
              <w:jc w:val="center"/>
              <w:rPr>
                <w:rFonts w:hint="eastAsia" w:ascii="宋体" w:hAnsi="宋体" w:cs="Arial"/>
                <w:szCs w:val="21"/>
              </w:rPr>
            </w:pPr>
            <w:r>
              <w:rPr>
                <w:rFonts w:hint="eastAsia"/>
              </w:rPr>
              <w:t>评标基准价</w:t>
            </w:r>
          </w:p>
        </w:tc>
        <w:tc>
          <w:tcPr>
            <w:tcW w:w="10599" w:type="dxa"/>
            <w:gridSpan w:val="9"/>
            <w:noWrap w:val="0"/>
            <w:vAlign w:val="center"/>
          </w:tcPr>
          <w:p w14:paraId="230A0E51">
            <w:pPr>
              <w:jc w:val="center"/>
              <w:rPr>
                <w:rFonts w:hint="eastAsia"/>
              </w:rPr>
            </w:pPr>
          </w:p>
        </w:tc>
      </w:tr>
      <w:tr w14:paraId="6565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0DD0697D">
            <w:pPr>
              <w:jc w:val="center"/>
              <w:rPr>
                <w:rFonts w:hint="eastAsia"/>
              </w:rPr>
            </w:pPr>
            <w:r>
              <w:rPr>
                <w:rFonts w:hint="eastAsia"/>
              </w:rPr>
              <w:t>偏差率</w:t>
            </w:r>
          </w:p>
        </w:tc>
        <w:tc>
          <w:tcPr>
            <w:tcW w:w="1177" w:type="dxa"/>
            <w:noWrap w:val="0"/>
            <w:vAlign w:val="center"/>
          </w:tcPr>
          <w:p w14:paraId="079D657A">
            <w:pPr>
              <w:jc w:val="center"/>
              <w:rPr>
                <w:rFonts w:hint="eastAsia"/>
              </w:rPr>
            </w:pPr>
          </w:p>
        </w:tc>
        <w:tc>
          <w:tcPr>
            <w:tcW w:w="1178" w:type="dxa"/>
            <w:noWrap w:val="0"/>
            <w:vAlign w:val="center"/>
          </w:tcPr>
          <w:p w14:paraId="7205E05D">
            <w:pPr>
              <w:jc w:val="center"/>
              <w:rPr>
                <w:rFonts w:hint="eastAsia"/>
              </w:rPr>
            </w:pPr>
          </w:p>
        </w:tc>
        <w:tc>
          <w:tcPr>
            <w:tcW w:w="1178" w:type="dxa"/>
            <w:noWrap w:val="0"/>
            <w:vAlign w:val="center"/>
          </w:tcPr>
          <w:p w14:paraId="63386EDD">
            <w:pPr>
              <w:jc w:val="center"/>
              <w:rPr>
                <w:rFonts w:hint="eastAsia"/>
              </w:rPr>
            </w:pPr>
          </w:p>
        </w:tc>
        <w:tc>
          <w:tcPr>
            <w:tcW w:w="1177" w:type="dxa"/>
            <w:noWrap w:val="0"/>
            <w:vAlign w:val="center"/>
          </w:tcPr>
          <w:p w14:paraId="5335562E">
            <w:pPr>
              <w:jc w:val="center"/>
              <w:rPr>
                <w:rFonts w:hint="eastAsia"/>
              </w:rPr>
            </w:pPr>
          </w:p>
        </w:tc>
        <w:tc>
          <w:tcPr>
            <w:tcW w:w="1178" w:type="dxa"/>
            <w:noWrap w:val="0"/>
            <w:vAlign w:val="center"/>
          </w:tcPr>
          <w:p w14:paraId="50AA3B04">
            <w:pPr>
              <w:jc w:val="center"/>
              <w:rPr>
                <w:rFonts w:hint="eastAsia"/>
              </w:rPr>
            </w:pPr>
          </w:p>
        </w:tc>
        <w:tc>
          <w:tcPr>
            <w:tcW w:w="1178" w:type="dxa"/>
            <w:noWrap w:val="0"/>
            <w:vAlign w:val="center"/>
          </w:tcPr>
          <w:p w14:paraId="50D830B6">
            <w:pPr>
              <w:jc w:val="center"/>
              <w:rPr>
                <w:rFonts w:hint="eastAsia"/>
              </w:rPr>
            </w:pPr>
          </w:p>
        </w:tc>
        <w:tc>
          <w:tcPr>
            <w:tcW w:w="1177" w:type="dxa"/>
            <w:noWrap w:val="0"/>
            <w:vAlign w:val="center"/>
          </w:tcPr>
          <w:p w14:paraId="6483B116">
            <w:pPr>
              <w:jc w:val="center"/>
              <w:rPr>
                <w:rFonts w:hint="eastAsia"/>
              </w:rPr>
            </w:pPr>
          </w:p>
        </w:tc>
        <w:tc>
          <w:tcPr>
            <w:tcW w:w="1178" w:type="dxa"/>
            <w:noWrap w:val="0"/>
            <w:vAlign w:val="center"/>
          </w:tcPr>
          <w:p w14:paraId="15A7338F">
            <w:pPr>
              <w:jc w:val="center"/>
              <w:rPr>
                <w:rFonts w:hint="eastAsia"/>
              </w:rPr>
            </w:pPr>
          </w:p>
        </w:tc>
        <w:tc>
          <w:tcPr>
            <w:tcW w:w="1178" w:type="dxa"/>
            <w:noWrap w:val="0"/>
            <w:vAlign w:val="center"/>
          </w:tcPr>
          <w:p w14:paraId="6437977F">
            <w:pPr>
              <w:jc w:val="center"/>
              <w:rPr>
                <w:rFonts w:hint="eastAsia"/>
              </w:rPr>
            </w:pPr>
          </w:p>
        </w:tc>
      </w:tr>
      <w:tr w14:paraId="621D6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624609F9">
            <w:pPr>
              <w:jc w:val="center"/>
              <w:rPr>
                <w:rFonts w:hint="eastAsia"/>
              </w:rPr>
            </w:pPr>
            <w:r>
              <w:rPr>
                <w:rFonts w:hint="eastAsia"/>
              </w:rPr>
              <w:t>招标控制价</w:t>
            </w:r>
          </w:p>
        </w:tc>
        <w:tc>
          <w:tcPr>
            <w:tcW w:w="10599" w:type="dxa"/>
            <w:gridSpan w:val="9"/>
            <w:noWrap w:val="0"/>
            <w:vAlign w:val="center"/>
          </w:tcPr>
          <w:p w14:paraId="075FAD57">
            <w:pPr>
              <w:jc w:val="center"/>
              <w:rPr>
                <w:rFonts w:hint="eastAsia"/>
              </w:rPr>
            </w:pPr>
          </w:p>
        </w:tc>
      </w:tr>
      <w:tr w14:paraId="45926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517E91ED">
            <w:pPr>
              <w:jc w:val="center"/>
              <w:rPr>
                <w:rFonts w:hint="eastAsia"/>
              </w:rPr>
            </w:pPr>
            <w:r>
              <w:rPr>
                <w:rFonts w:hint="eastAsia"/>
              </w:rPr>
              <w:t>计算投标报价得分</w:t>
            </w:r>
          </w:p>
        </w:tc>
        <w:tc>
          <w:tcPr>
            <w:tcW w:w="1177" w:type="dxa"/>
            <w:noWrap w:val="0"/>
            <w:vAlign w:val="center"/>
          </w:tcPr>
          <w:p w14:paraId="445E2A5E">
            <w:pPr>
              <w:jc w:val="center"/>
              <w:rPr>
                <w:rFonts w:hint="eastAsia"/>
              </w:rPr>
            </w:pPr>
          </w:p>
        </w:tc>
        <w:tc>
          <w:tcPr>
            <w:tcW w:w="1178" w:type="dxa"/>
            <w:noWrap w:val="0"/>
            <w:vAlign w:val="center"/>
          </w:tcPr>
          <w:p w14:paraId="67B6C39F">
            <w:pPr>
              <w:jc w:val="center"/>
              <w:rPr>
                <w:rFonts w:hint="eastAsia"/>
              </w:rPr>
            </w:pPr>
          </w:p>
        </w:tc>
        <w:tc>
          <w:tcPr>
            <w:tcW w:w="1178" w:type="dxa"/>
            <w:noWrap w:val="0"/>
            <w:vAlign w:val="center"/>
          </w:tcPr>
          <w:p w14:paraId="62631906">
            <w:pPr>
              <w:jc w:val="center"/>
              <w:rPr>
                <w:rFonts w:hint="eastAsia"/>
              </w:rPr>
            </w:pPr>
          </w:p>
        </w:tc>
        <w:tc>
          <w:tcPr>
            <w:tcW w:w="1177" w:type="dxa"/>
            <w:noWrap w:val="0"/>
            <w:vAlign w:val="center"/>
          </w:tcPr>
          <w:p w14:paraId="0917E313">
            <w:pPr>
              <w:jc w:val="center"/>
              <w:rPr>
                <w:rFonts w:hint="eastAsia"/>
              </w:rPr>
            </w:pPr>
          </w:p>
        </w:tc>
        <w:tc>
          <w:tcPr>
            <w:tcW w:w="1178" w:type="dxa"/>
            <w:noWrap w:val="0"/>
            <w:vAlign w:val="center"/>
          </w:tcPr>
          <w:p w14:paraId="250A4AC4">
            <w:pPr>
              <w:jc w:val="center"/>
              <w:rPr>
                <w:rFonts w:hint="eastAsia"/>
              </w:rPr>
            </w:pPr>
          </w:p>
        </w:tc>
        <w:tc>
          <w:tcPr>
            <w:tcW w:w="1178" w:type="dxa"/>
            <w:noWrap w:val="0"/>
            <w:vAlign w:val="center"/>
          </w:tcPr>
          <w:p w14:paraId="7FEDC647">
            <w:pPr>
              <w:jc w:val="center"/>
              <w:rPr>
                <w:rFonts w:hint="eastAsia"/>
              </w:rPr>
            </w:pPr>
          </w:p>
        </w:tc>
        <w:tc>
          <w:tcPr>
            <w:tcW w:w="1177" w:type="dxa"/>
            <w:noWrap w:val="0"/>
            <w:vAlign w:val="center"/>
          </w:tcPr>
          <w:p w14:paraId="19874D19">
            <w:pPr>
              <w:jc w:val="center"/>
              <w:rPr>
                <w:rFonts w:hint="eastAsia"/>
              </w:rPr>
            </w:pPr>
          </w:p>
        </w:tc>
        <w:tc>
          <w:tcPr>
            <w:tcW w:w="1178" w:type="dxa"/>
            <w:noWrap w:val="0"/>
            <w:vAlign w:val="center"/>
          </w:tcPr>
          <w:p w14:paraId="2E22AE56">
            <w:pPr>
              <w:jc w:val="center"/>
              <w:rPr>
                <w:rFonts w:hint="eastAsia"/>
              </w:rPr>
            </w:pPr>
          </w:p>
        </w:tc>
        <w:tc>
          <w:tcPr>
            <w:tcW w:w="1178" w:type="dxa"/>
            <w:noWrap w:val="0"/>
            <w:vAlign w:val="center"/>
          </w:tcPr>
          <w:p w14:paraId="74F81198">
            <w:pPr>
              <w:jc w:val="center"/>
              <w:rPr>
                <w:rFonts w:hint="eastAsia"/>
              </w:rPr>
            </w:pPr>
          </w:p>
        </w:tc>
      </w:tr>
      <w:tr w14:paraId="6F36C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17E86E78">
            <w:pPr>
              <w:jc w:val="center"/>
              <w:rPr>
                <w:rFonts w:hint="eastAsia"/>
              </w:rPr>
            </w:pPr>
            <w:r>
              <w:rPr>
                <w:rFonts w:hint="eastAsia"/>
              </w:rPr>
              <w:t>不平衡报价扣分</w:t>
            </w:r>
          </w:p>
        </w:tc>
        <w:tc>
          <w:tcPr>
            <w:tcW w:w="1177" w:type="dxa"/>
            <w:noWrap w:val="0"/>
            <w:vAlign w:val="center"/>
          </w:tcPr>
          <w:p w14:paraId="2CE34976">
            <w:pPr>
              <w:jc w:val="center"/>
              <w:rPr>
                <w:rFonts w:hint="eastAsia"/>
              </w:rPr>
            </w:pPr>
          </w:p>
        </w:tc>
        <w:tc>
          <w:tcPr>
            <w:tcW w:w="1178" w:type="dxa"/>
            <w:noWrap w:val="0"/>
            <w:vAlign w:val="center"/>
          </w:tcPr>
          <w:p w14:paraId="10050636">
            <w:pPr>
              <w:jc w:val="center"/>
              <w:rPr>
                <w:rFonts w:hint="eastAsia"/>
              </w:rPr>
            </w:pPr>
          </w:p>
        </w:tc>
        <w:tc>
          <w:tcPr>
            <w:tcW w:w="1178" w:type="dxa"/>
            <w:noWrap w:val="0"/>
            <w:vAlign w:val="center"/>
          </w:tcPr>
          <w:p w14:paraId="23B620BF">
            <w:pPr>
              <w:jc w:val="center"/>
              <w:rPr>
                <w:rFonts w:hint="eastAsia"/>
              </w:rPr>
            </w:pPr>
          </w:p>
        </w:tc>
        <w:tc>
          <w:tcPr>
            <w:tcW w:w="1177" w:type="dxa"/>
            <w:noWrap w:val="0"/>
            <w:vAlign w:val="center"/>
          </w:tcPr>
          <w:p w14:paraId="661826D0">
            <w:pPr>
              <w:jc w:val="center"/>
              <w:rPr>
                <w:rFonts w:hint="eastAsia"/>
              </w:rPr>
            </w:pPr>
          </w:p>
        </w:tc>
        <w:tc>
          <w:tcPr>
            <w:tcW w:w="1178" w:type="dxa"/>
            <w:noWrap w:val="0"/>
            <w:vAlign w:val="center"/>
          </w:tcPr>
          <w:p w14:paraId="757A0098">
            <w:pPr>
              <w:jc w:val="center"/>
              <w:rPr>
                <w:rFonts w:hint="eastAsia"/>
              </w:rPr>
            </w:pPr>
          </w:p>
        </w:tc>
        <w:tc>
          <w:tcPr>
            <w:tcW w:w="1178" w:type="dxa"/>
            <w:noWrap w:val="0"/>
            <w:vAlign w:val="center"/>
          </w:tcPr>
          <w:p w14:paraId="4C97EAF4">
            <w:pPr>
              <w:jc w:val="center"/>
              <w:rPr>
                <w:rFonts w:hint="eastAsia"/>
              </w:rPr>
            </w:pPr>
          </w:p>
        </w:tc>
        <w:tc>
          <w:tcPr>
            <w:tcW w:w="1177" w:type="dxa"/>
            <w:noWrap w:val="0"/>
            <w:vAlign w:val="center"/>
          </w:tcPr>
          <w:p w14:paraId="69CC9449">
            <w:pPr>
              <w:jc w:val="center"/>
              <w:rPr>
                <w:rFonts w:hint="eastAsia"/>
              </w:rPr>
            </w:pPr>
          </w:p>
        </w:tc>
        <w:tc>
          <w:tcPr>
            <w:tcW w:w="1178" w:type="dxa"/>
            <w:noWrap w:val="0"/>
            <w:vAlign w:val="center"/>
          </w:tcPr>
          <w:p w14:paraId="46B87F3E">
            <w:pPr>
              <w:jc w:val="center"/>
              <w:rPr>
                <w:rFonts w:hint="eastAsia"/>
              </w:rPr>
            </w:pPr>
          </w:p>
        </w:tc>
        <w:tc>
          <w:tcPr>
            <w:tcW w:w="1178" w:type="dxa"/>
            <w:noWrap w:val="0"/>
            <w:vAlign w:val="center"/>
          </w:tcPr>
          <w:p w14:paraId="76053DD7">
            <w:pPr>
              <w:jc w:val="center"/>
              <w:rPr>
                <w:rFonts w:hint="eastAsia"/>
              </w:rPr>
            </w:pPr>
          </w:p>
        </w:tc>
      </w:tr>
      <w:tr w14:paraId="755A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548FEEA2">
            <w:pPr>
              <w:jc w:val="center"/>
              <w:rPr>
                <w:rFonts w:hint="eastAsia"/>
              </w:rPr>
            </w:pPr>
            <w:r>
              <w:rPr>
                <w:rFonts w:hint="eastAsia"/>
              </w:rPr>
              <w:t>投标报价最终得分</w:t>
            </w:r>
            <w:r>
              <w:rPr>
                <w:rFonts w:hint="eastAsia" w:ascii="宋体" w:hAnsi="宋体"/>
                <w:szCs w:val="44"/>
              </w:rPr>
              <w:t>A（满分  分</w:t>
            </w:r>
            <w:r>
              <w:rPr>
                <w:rFonts w:ascii="宋体" w:hAnsi="宋体"/>
                <w:szCs w:val="44"/>
              </w:rPr>
              <w:t>）</w:t>
            </w:r>
          </w:p>
        </w:tc>
        <w:tc>
          <w:tcPr>
            <w:tcW w:w="1177" w:type="dxa"/>
            <w:noWrap w:val="0"/>
            <w:vAlign w:val="center"/>
          </w:tcPr>
          <w:p w14:paraId="6D3DD737">
            <w:pPr>
              <w:jc w:val="center"/>
              <w:rPr>
                <w:rFonts w:hint="eastAsia"/>
              </w:rPr>
            </w:pPr>
          </w:p>
        </w:tc>
        <w:tc>
          <w:tcPr>
            <w:tcW w:w="1178" w:type="dxa"/>
            <w:noWrap w:val="0"/>
            <w:vAlign w:val="center"/>
          </w:tcPr>
          <w:p w14:paraId="3580FCCB">
            <w:pPr>
              <w:jc w:val="center"/>
              <w:rPr>
                <w:rFonts w:hint="eastAsia"/>
              </w:rPr>
            </w:pPr>
          </w:p>
        </w:tc>
        <w:tc>
          <w:tcPr>
            <w:tcW w:w="1178" w:type="dxa"/>
            <w:noWrap w:val="0"/>
            <w:vAlign w:val="center"/>
          </w:tcPr>
          <w:p w14:paraId="1F0C0D93">
            <w:pPr>
              <w:jc w:val="center"/>
              <w:rPr>
                <w:rFonts w:hint="eastAsia"/>
              </w:rPr>
            </w:pPr>
          </w:p>
        </w:tc>
        <w:tc>
          <w:tcPr>
            <w:tcW w:w="1177" w:type="dxa"/>
            <w:noWrap w:val="0"/>
            <w:vAlign w:val="center"/>
          </w:tcPr>
          <w:p w14:paraId="21A8EC66">
            <w:pPr>
              <w:jc w:val="center"/>
              <w:rPr>
                <w:rFonts w:hint="eastAsia"/>
              </w:rPr>
            </w:pPr>
          </w:p>
        </w:tc>
        <w:tc>
          <w:tcPr>
            <w:tcW w:w="1178" w:type="dxa"/>
            <w:noWrap w:val="0"/>
            <w:vAlign w:val="center"/>
          </w:tcPr>
          <w:p w14:paraId="79729887">
            <w:pPr>
              <w:jc w:val="center"/>
              <w:rPr>
                <w:rFonts w:hint="eastAsia"/>
              </w:rPr>
            </w:pPr>
          </w:p>
        </w:tc>
        <w:tc>
          <w:tcPr>
            <w:tcW w:w="1178" w:type="dxa"/>
            <w:noWrap w:val="0"/>
            <w:vAlign w:val="center"/>
          </w:tcPr>
          <w:p w14:paraId="621CBB76">
            <w:pPr>
              <w:jc w:val="center"/>
              <w:rPr>
                <w:rFonts w:hint="eastAsia"/>
              </w:rPr>
            </w:pPr>
          </w:p>
        </w:tc>
        <w:tc>
          <w:tcPr>
            <w:tcW w:w="1177" w:type="dxa"/>
            <w:noWrap w:val="0"/>
            <w:vAlign w:val="center"/>
          </w:tcPr>
          <w:p w14:paraId="474ED314">
            <w:pPr>
              <w:jc w:val="center"/>
              <w:rPr>
                <w:rFonts w:hint="eastAsia"/>
              </w:rPr>
            </w:pPr>
          </w:p>
        </w:tc>
        <w:tc>
          <w:tcPr>
            <w:tcW w:w="1178" w:type="dxa"/>
            <w:noWrap w:val="0"/>
            <w:vAlign w:val="center"/>
          </w:tcPr>
          <w:p w14:paraId="3DF0BE58">
            <w:pPr>
              <w:jc w:val="center"/>
              <w:rPr>
                <w:rFonts w:hint="eastAsia"/>
              </w:rPr>
            </w:pPr>
          </w:p>
        </w:tc>
        <w:tc>
          <w:tcPr>
            <w:tcW w:w="1178" w:type="dxa"/>
            <w:noWrap w:val="0"/>
            <w:vAlign w:val="center"/>
          </w:tcPr>
          <w:p w14:paraId="41B1DA2F">
            <w:pPr>
              <w:jc w:val="center"/>
              <w:rPr>
                <w:rFonts w:hint="eastAsia"/>
              </w:rPr>
            </w:pPr>
          </w:p>
        </w:tc>
      </w:tr>
    </w:tbl>
    <w:p w14:paraId="2AA2387F">
      <w:pPr>
        <w:rPr>
          <w:rFonts w:hint="eastAsia"/>
        </w:rPr>
      </w:pPr>
    </w:p>
    <w:p w14:paraId="3C14C944">
      <w:pPr>
        <w:rPr>
          <w:rFonts w:hint="eastAsia"/>
        </w:rPr>
      </w:pPr>
      <w:r>
        <w:rPr>
          <w:rFonts w:hint="eastAsia"/>
        </w:rPr>
        <w:t>评标委员会成员签名：                                                                                       日期：    年  月  日</w:t>
      </w:r>
    </w:p>
    <w:p w14:paraId="1FD55C38">
      <w:pPr>
        <w:rPr>
          <w:rFonts w:hint="eastAsia"/>
        </w:rPr>
      </w:pPr>
    </w:p>
    <w:p w14:paraId="4E43AD54">
      <w:pPr>
        <w:rPr>
          <w:rFonts w:hint="eastAsia"/>
        </w:rPr>
      </w:pPr>
    </w:p>
    <w:p w14:paraId="01C7681F">
      <w:pPr>
        <w:rPr>
          <w:rFonts w:hint="eastAsia"/>
        </w:rPr>
      </w:pPr>
    </w:p>
    <w:p w14:paraId="10FEB2C7">
      <w:pPr>
        <w:rPr>
          <w:rFonts w:hint="eastAsia"/>
        </w:rPr>
      </w:pPr>
    </w:p>
    <w:p w14:paraId="6636EDCB">
      <w:pPr>
        <w:pStyle w:val="20"/>
        <w:rPr>
          <w:rFonts w:hint="eastAsia"/>
        </w:rPr>
      </w:pPr>
      <w:bookmarkStart w:id="434" w:name="_Toc108513661"/>
      <w:r>
        <w:rPr>
          <w:rFonts w:hint="eastAsia"/>
        </w:rPr>
        <w:t>附表A-9：施工组织设计评审记录表（评分）</w:t>
      </w:r>
      <w:bookmarkEnd w:id="434"/>
    </w:p>
    <w:p w14:paraId="4D0D8555">
      <w:pPr>
        <w:spacing w:after="240" w:afterLines="100"/>
        <w:jc w:val="center"/>
        <w:rPr>
          <w:rFonts w:hint="eastAsia" w:ascii="黑体" w:hAnsi="宋体" w:eastAsia="黑体"/>
          <w:sz w:val="36"/>
          <w:szCs w:val="36"/>
        </w:rPr>
      </w:pPr>
      <w:r>
        <w:rPr>
          <w:rFonts w:hint="eastAsia" w:ascii="黑体" w:hAnsi="宋体" w:eastAsia="黑体"/>
          <w:sz w:val="36"/>
          <w:szCs w:val="36"/>
        </w:rPr>
        <w:t>施工组织设计评审记录表</w:t>
      </w:r>
    </w:p>
    <w:p w14:paraId="770D55F1">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5877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33FF14D7">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355ECA72">
            <w:pPr>
              <w:jc w:val="center"/>
              <w:rPr>
                <w:rFonts w:hint="eastAsia" w:ascii="宋体" w:hAnsi="宋体"/>
                <w:szCs w:val="44"/>
              </w:rPr>
            </w:pPr>
            <w:r>
              <w:rPr>
                <w:rFonts w:hint="eastAsia" w:ascii="宋体" w:hAnsi="宋体"/>
                <w:szCs w:val="44"/>
              </w:rPr>
              <w:t>评分项目</w:t>
            </w:r>
          </w:p>
        </w:tc>
        <w:tc>
          <w:tcPr>
            <w:tcW w:w="3600" w:type="dxa"/>
            <w:vMerge w:val="restart"/>
            <w:noWrap w:val="0"/>
            <w:vAlign w:val="center"/>
          </w:tcPr>
          <w:p w14:paraId="59DA2989">
            <w:pPr>
              <w:jc w:val="center"/>
              <w:rPr>
                <w:rFonts w:hint="eastAsia" w:ascii="宋体" w:hAnsi="宋体"/>
                <w:szCs w:val="44"/>
              </w:rPr>
            </w:pPr>
            <w:r>
              <w:rPr>
                <w:rFonts w:hint="eastAsia" w:ascii="宋体" w:hAnsi="宋体"/>
                <w:szCs w:val="44"/>
              </w:rPr>
              <w:t>评分标准</w:t>
            </w:r>
          </w:p>
        </w:tc>
        <w:tc>
          <w:tcPr>
            <w:tcW w:w="720" w:type="dxa"/>
            <w:vMerge w:val="restart"/>
            <w:noWrap w:val="0"/>
            <w:vAlign w:val="center"/>
          </w:tcPr>
          <w:p w14:paraId="6D7D9A17">
            <w:pPr>
              <w:jc w:val="center"/>
              <w:rPr>
                <w:rFonts w:hint="eastAsia" w:ascii="宋体" w:hAnsi="宋体"/>
                <w:szCs w:val="44"/>
              </w:rPr>
            </w:pPr>
            <w:r>
              <w:rPr>
                <w:rFonts w:hint="eastAsia" w:ascii="宋体" w:hAnsi="宋体"/>
                <w:szCs w:val="44"/>
              </w:rPr>
              <w:t>标准分</w:t>
            </w:r>
          </w:p>
        </w:tc>
        <w:tc>
          <w:tcPr>
            <w:tcW w:w="7179" w:type="dxa"/>
            <w:gridSpan w:val="9"/>
            <w:noWrap w:val="0"/>
            <w:vAlign w:val="center"/>
          </w:tcPr>
          <w:p w14:paraId="70E22E18">
            <w:pPr>
              <w:jc w:val="center"/>
              <w:rPr>
                <w:rFonts w:hint="eastAsia" w:ascii="宋体" w:hAnsi="宋体"/>
                <w:szCs w:val="44"/>
              </w:rPr>
            </w:pPr>
            <w:r>
              <w:rPr>
                <w:rFonts w:hint="eastAsia" w:ascii="宋体" w:hAnsi="宋体"/>
                <w:szCs w:val="44"/>
              </w:rPr>
              <w:t>投标人名称或暗标编号及评审得分</w:t>
            </w:r>
          </w:p>
        </w:tc>
      </w:tr>
      <w:tr w14:paraId="119A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60A069EE">
            <w:pPr>
              <w:jc w:val="center"/>
              <w:rPr>
                <w:rFonts w:hint="eastAsia" w:ascii="宋体" w:hAnsi="宋体"/>
                <w:szCs w:val="44"/>
              </w:rPr>
            </w:pPr>
          </w:p>
        </w:tc>
        <w:tc>
          <w:tcPr>
            <w:tcW w:w="1529" w:type="dxa"/>
            <w:vMerge w:val="continue"/>
            <w:noWrap w:val="0"/>
            <w:vAlign w:val="center"/>
          </w:tcPr>
          <w:p w14:paraId="46AF226F">
            <w:pPr>
              <w:jc w:val="center"/>
              <w:rPr>
                <w:rFonts w:hint="eastAsia" w:ascii="宋体" w:hAnsi="宋体"/>
                <w:szCs w:val="44"/>
              </w:rPr>
            </w:pPr>
          </w:p>
        </w:tc>
        <w:tc>
          <w:tcPr>
            <w:tcW w:w="3600" w:type="dxa"/>
            <w:vMerge w:val="continue"/>
            <w:noWrap w:val="0"/>
            <w:vAlign w:val="center"/>
          </w:tcPr>
          <w:p w14:paraId="309A057B">
            <w:pPr>
              <w:jc w:val="center"/>
              <w:rPr>
                <w:rFonts w:hint="eastAsia" w:ascii="宋体" w:hAnsi="宋体"/>
                <w:szCs w:val="44"/>
              </w:rPr>
            </w:pPr>
          </w:p>
        </w:tc>
        <w:tc>
          <w:tcPr>
            <w:tcW w:w="720" w:type="dxa"/>
            <w:vMerge w:val="continue"/>
            <w:noWrap w:val="0"/>
            <w:vAlign w:val="center"/>
          </w:tcPr>
          <w:p w14:paraId="384E07C4">
            <w:pPr>
              <w:jc w:val="center"/>
              <w:rPr>
                <w:rFonts w:hint="eastAsia" w:ascii="宋体" w:hAnsi="宋体"/>
                <w:szCs w:val="44"/>
              </w:rPr>
            </w:pPr>
          </w:p>
        </w:tc>
        <w:tc>
          <w:tcPr>
            <w:tcW w:w="797" w:type="dxa"/>
            <w:noWrap w:val="0"/>
            <w:vAlign w:val="center"/>
          </w:tcPr>
          <w:p w14:paraId="7063C254">
            <w:pPr>
              <w:jc w:val="center"/>
              <w:rPr>
                <w:rFonts w:hint="eastAsia" w:ascii="宋体" w:hAnsi="宋体"/>
                <w:szCs w:val="44"/>
              </w:rPr>
            </w:pPr>
          </w:p>
        </w:tc>
        <w:tc>
          <w:tcPr>
            <w:tcW w:w="798" w:type="dxa"/>
            <w:noWrap w:val="0"/>
            <w:vAlign w:val="center"/>
          </w:tcPr>
          <w:p w14:paraId="2749F774">
            <w:pPr>
              <w:jc w:val="center"/>
              <w:rPr>
                <w:rFonts w:hint="eastAsia" w:ascii="宋体" w:hAnsi="宋体"/>
                <w:szCs w:val="44"/>
              </w:rPr>
            </w:pPr>
          </w:p>
        </w:tc>
        <w:tc>
          <w:tcPr>
            <w:tcW w:w="798" w:type="dxa"/>
            <w:noWrap w:val="0"/>
            <w:vAlign w:val="center"/>
          </w:tcPr>
          <w:p w14:paraId="31B52007">
            <w:pPr>
              <w:jc w:val="center"/>
              <w:rPr>
                <w:rFonts w:hint="eastAsia" w:ascii="宋体" w:hAnsi="宋体"/>
                <w:szCs w:val="44"/>
              </w:rPr>
            </w:pPr>
          </w:p>
        </w:tc>
        <w:tc>
          <w:tcPr>
            <w:tcW w:w="797" w:type="dxa"/>
            <w:noWrap w:val="0"/>
            <w:vAlign w:val="center"/>
          </w:tcPr>
          <w:p w14:paraId="6A9AD6C7">
            <w:pPr>
              <w:jc w:val="center"/>
              <w:rPr>
                <w:rFonts w:hint="eastAsia" w:ascii="宋体" w:hAnsi="宋体"/>
                <w:szCs w:val="44"/>
              </w:rPr>
            </w:pPr>
          </w:p>
        </w:tc>
        <w:tc>
          <w:tcPr>
            <w:tcW w:w="798" w:type="dxa"/>
            <w:noWrap w:val="0"/>
            <w:vAlign w:val="center"/>
          </w:tcPr>
          <w:p w14:paraId="462F56AA">
            <w:pPr>
              <w:jc w:val="center"/>
              <w:rPr>
                <w:rFonts w:hint="eastAsia" w:ascii="宋体" w:hAnsi="宋体"/>
                <w:szCs w:val="44"/>
              </w:rPr>
            </w:pPr>
          </w:p>
        </w:tc>
        <w:tc>
          <w:tcPr>
            <w:tcW w:w="798" w:type="dxa"/>
            <w:noWrap w:val="0"/>
            <w:vAlign w:val="center"/>
          </w:tcPr>
          <w:p w14:paraId="2142BF59">
            <w:pPr>
              <w:jc w:val="center"/>
              <w:rPr>
                <w:rFonts w:hint="eastAsia" w:ascii="宋体" w:hAnsi="宋体"/>
                <w:szCs w:val="44"/>
              </w:rPr>
            </w:pPr>
          </w:p>
        </w:tc>
        <w:tc>
          <w:tcPr>
            <w:tcW w:w="797" w:type="dxa"/>
            <w:noWrap w:val="0"/>
            <w:vAlign w:val="center"/>
          </w:tcPr>
          <w:p w14:paraId="16A018C5">
            <w:pPr>
              <w:jc w:val="center"/>
              <w:rPr>
                <w:rFonts w:hint="eastAsia" w:ascii="宋体" w:hAnsi="宋体"/>
                <w:szCs w:val="44"/>
              </w:rPr>
            </w:pPr>
          </w:p>
        </w:tc>
        <w:tc>
          <w:tcPr>
            <w:tcW w:w="798" w:type="dxa"/>
            <w:noWrap w:val="0"/>
            <w:vAlign w:val="center"/>
          </w:tcPr>
          <w:p w14:paraId="5665A9BB">
            <w:pPr>
              <w:jc w:val="center"/>
              <w:rPr>
                <w:rFonts w:hint="eastAsia" w:ascii="宋体" w:hAnsi="宋体"/>
                <w:szCs w:val="44"/>
              </w:rPr>
            </w:pPr>
          </w:p>
        </w:tc>
        <w:tc>
          <w:tcPr>
            <w:tcW w:w="798" w:type="dxa"/>
            <w:noWrap w:val="0"/>
            <w:vAlign w:val="center"/>
          </w:tcPr>
          <w:p w14:paraId="5EF344D0">
            <w:pPr>
              <w:jc w:val="center"/>
              <w:rPr>
                <w:rFonts w:hint="eastAsia" w:ascii="宋体" w:hAnsi="宋体"/>
                <w:szCs w:val="44"/>
              </w:rPr>
            </w:pPr>
          </w:p>
        </w:tc>
      </w:tr>
      <w:tr w14:paraId="54E8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7AB5FE15">
            <w:pPr>
              <w:jc w:val="center"/>
              <w:rPr>
                <w:rFonts w:hint="eastAsia" w:ascii="黑体" w:hAnsi="宋体" w:eastAsia="黑体"/>
                <w:szCs w:val="44"/>
              </w:rPr>
            </w:pPr>
            <w:r>
              <w:rPr>
                <w:rFonts w:hint="eastAsia" w:ascii="黑体" w:hAnsi="宋体" w:eastAsia="黑体"/>
                <w:szCs w:val="44"/>
              </w:rPr>
              <w:t>1</w:t>
            </w:r>
          </w:p>
        </w:tc>
        <w:tc>
          <w:tcPr>
            <w:tcW w:w="1529" w:type="dxa"/>
            <w:vMerge w:val="restart"/>
            <w:noWrap w:val="0"/>
            <w:vAlign w:val="center"/>
          </w:tcPr>
          <w:p w14:paraId="3EB40184">
            <w:pPr>
              <w:jc w:val="center"/>
              <w:rPr>
                <w:rFonts w:hint="eastAsia" w:ascii="宋体" w:hAnsi="宋体"/>
                <w:szCs w:val="44"/>
              </w:rPr>
            </w:pPr>
            <w:r>
              <w:rPr>
                <w:rFonts w:hint="eastAsia" w:ascii="宋体" w:hAnsi="宋体"/>
                <w:szCs w:val="21"/>
              </w:rPr>
              <w:t>工程概况</w:t>
            </w:r>
          </w:p>
        </w:tc>
        <w:tc>
          <w:tcPr>
            <w:tcW w:w="3600" w:type="dxa"/>
            <w:noWrap w:val="0"/>
            <w:vAlign w:val="center"/>
          </w:tcPr>
          <w:p w14:paraId="6700C7E1">
            <w:pPr>
              <w:rPr>
                <w:rFonts w:hint="eastAsia" w:ascii="宋体" w:hAnsi="宋体"/>
                <w:bCs/>
                <w:szCs w:val="21"/>
              </w:rPr>
            </w:pPr>
          </w:p>
        </w:tc>
        <w:tc>
          <w:tcPr>
            <w:tcW w:w="720" w:type="dxa"/>
            <w:vMerge w:val="restart"/>
            <w:noWrap w:val="0"/>
            <w:vAlign w:val="center"/>
          </w:tcPr>
          <w:p w14:paraId="51E337DC">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4267EB6B">
            <w:pPr>
              <w:jc w:val="center"/>
              <w:rPr>
                <w:rFonts w:hint="eastAsia" w:ascii="宋体" w:hAnsi="宋体"/>
                <w:szCs w:val="44"/>
              </w:rPr>
            </w:pPr>
          </w:p>
        </w:tc>
        <w:tc>
          <w:tcPr>
            <w:tcW w:w="798" w:type="dxa"/>
            <w:vMerge w:val="restart"/>
            <w:noWrap w:val="0"/>
            <w:vAlign w:val="center"/>
          </w:tcPr>
          <w:p w14:paraId="728D861C">
            <w:pPr>
              <w:jc w:val="center"/>
              <w:rPr>
                <w:rFonts w:hint="eastAsia" w:ascii="宋体" w:hAnsi="宋体"/>
                <w:szCs w:val="44"/>
              </w:rPr>
            </w:pPr>
          </w:p>
        </w:tc>
        <w:tc>
          <w:tcPr>
            <w:tcW w:w="798" w:type="dxa"/>
            <w:vMerge w:val="restart"/>
            <w:noWrap w:val="0"/>
            <w:vAlign w:val="center"/>
          </w:tcPr>
          <w:p w14:paraId="0D68B582">
            <w:pPr>
              <w:jc w:val="center"/>
              <w:rPr>
                <w:rFonts w:hint="eastAsia" w:ascii="宋体" w:hAnsi="宋体"/>
                <w:szCs w:val="44"/>
              </w:rPr>
            </w:pPr>
          </w:p>
        </w:tc>
        <w:tc>
          <w:tcPr>
            <w:tcW w:w="797" w:type="dxa"/>
            <w:vMerge w:val="restart"/>
            <w:noWrap w:val="0"/>
            <w:vAlign w:val="center"/>
          </w:tcPr>
          <w:p w14:paraId="53128D00">
            <w:pPr>
              <w:jc w:val="center"/>
              <w:rPr>
                <w:rFonts w:hint="eastAsia" w:ascii="宋体" w:hAnsi="宋体"/>
                <w:szCs w:val="44"/>
              </w:rPr>
            </w:pPr>
          </w:p>
        </w:tc>
        <w:tc>
          <w:tcPr>
            <w:tcW w:w="798" w:type="dxa"/>
            <w:vMerge w:val="restart"/>
            <w:noWrap w:val="0"/>
            <w:vAlign w:val="center"/>
          </w:tcPr>
          <w:p w14:paraId="6D3847F5">
            <w:pPr>
              <w:jc w:val="center"/>
              <w:rPr>
                <w:rFonts w:hint="eastAsia" w:ascii="宋体" w:hAnsi="宋体"/>
                <w:szCs w:val="44"/>
              </w:rPr>
            </w:pPr>
          </w:p>
        </w:tc>
        <w:tc>
          <w:tcPr>
            <w:tcW w:w="798" w:type="dxa"/>
            <w:vMerge w:val="restart"/>
            <w:noWrap w:val="0"/>
            <w:vAlign w:val="center"/>
          </w:tcPr>
          <w:p w14:paraId="64313294">
            <w:pPr>
              <w:jc w:val="center"/>
              <w:rPr>
                <w:rFonts w:hint="eastAsia" w:ascii="宋体" w:hAnsi="宋体"/>
                <w:szCs w:val="44"/>
              </w:rPr>
            </w:pPr>
          </w:p>
        </w:tc>
        <w:tc>
          <w:tcPr>
            <w:tcW w:w="797" w:type="dxa"/>
            <w:vMerge w:val="restart"/>
            <w:noWrap w:val="0"/>
            <w:vAlign w:val="center"/>
          </w:tcPr>
          <w:p w14:paraId="554F0574">
            <w:pPr>
              <w:jc w:val="center"/>
              <w:rPr>
                <w:rFonts w:hint="eastAsia" w:ascii="宋体" w:hAnsi="宋体"/>
                <w:szCs w:val="44"/>
              </w:rPr>
            </w:pPr>
          </w:p>
        </w:tc>
        <w:tc>
          <w:tcPr>
            <w:tcW w:w="798" w:type="dxa"/>
            <w:vMerge w:val="restart"/>
            <w:noWrap w:val="0"/>
            <w:vAlign w:val="center"/>
          </w:tcPr>
          <w:p w14:paraId="3D6BAE3E">
            <w:pPr>
              <w:jc w:val="center"/>
              <w:rPr>
                <w:rFonts w:hint="eastAsia" w:ascii="宋体" w:hAnsi="宋体"/>
                <w:szCs w:val="44"/>
              </w:rPr>
            </w:pPr>
          </w:p>
        </w:tc>
        <w:tc>
          <w:tcPr>
            <w:tcW w:w="798" w:type="dxa"/>
            <w:vMerge w:val="restart"/>
            <w:noWrap w:val="0"/>
            <w:vAlign w:val="center"/>
          </w:tcPr>
          <w:p w14:paraId="4A99DBB2">
            <w:pPr>
              <w:jc w:val="center"/>
              <w:rPr>
                <w:rFonts w:hint="eastAsia" w:ascii="宋体" w:hAnsi="宋体"/>
                <w:szCs w:val="44"/>
              </w:rPr>
            </w:pPr>
          </w:p>
        </w:tc>
      </w:tr>
      <w:tr w14:paraId="689F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2E1A5630">
            <w:pPr>
              <w:jc w:val="center"/>
              <w:rPr>
                <w:rFonts w:hint="eastAsia" w:ascii="黑体" w:hAnsi="宋体" w:eastAsia="黑体"/>
                <w:szCs w:val="44"/>
              </w:rPr>
            </w:pPr>
          </w:p>
        </w:tc>
        <w:tc>
          <w:tcPr>
            <w:tcW w:w="1529" w:type="dxa"/>
            <w:vMerge w:val="continue"/>
            <w:noWrap w:val="0"/>
            <w:vAlign w:val="center"/>
          </w:tcPr>
          <w:p w14:paraId="7FD9C6CA">
            <w:pPr>
              <w:jc w:val="center"/>
              <w:rPr>
                <w:rFonts w:hint="eastAsia" w:ascii="宋体" w:hAnsi="宋体"/>
                <w:szCs w:val="21"/>
              </w:rPr>
            </w:pPr>
          </w:p>
        </w:tc>
        <w:tc>
          <w:tcPr>
            <w:tcW w:w="3600" w:type="dxa"/>
            <w:noWrap w:val="0"/>
            <w:vAlign w:val="center"/>
          </w:tcPr>
          <w:p w14:paraId="47C71809">
            <w:pPr>
              <w:rPr>
                <w:rFonts w:hint="eastAsia" w:ascii="宋体" w:hAnsi="宋体"/>
                <w:bCs/>
                <w:szCs w:val="21"/>
              </w:rPr>
            </w:pPr>
          </w:p>
        </w:tc>
        <w:tc>
          <w:tcPr>
            <w:tcW w:w="720" w:type="dxa"/>
            <w:vMerge w:val="continue"/>
            <w:noWrap w:val="0"/>
            <w:vAlign w:val="center"/>
          </w:tcPr>
          <w:p w14:paraId="5064A9F2">
            <w:pPr>
              <w:jc w:val="center"/>
              <w:rPr>
                <w:rFonts w:hint="eastAsia" w:ascii="宋体" w:hAnsi="宋体"/>
                <w:szCs w:val="44"/>
              </w:rPr>
            </w:pPr>
          </w:p>
        </w:tc>
        <w:tc>
          <w:tcPr>
            <w:tcW w:w="797" w:type="dxa"/>
            <w:vMerge w:val="continue"/>
            <w:noWrap w:val="0"/>
            <w:vAlign w:val="center"/>
          </w:tcPr>
          <w:p w14:paraId="26B8537B">
            <w:pPr>
              <w:jc w:val="center"/>
              <w:rPr>
                <w:rFonts w:hint="eastAsia" w:ascii="宋体" w:hAnsi="宋体"/>
                <w:szCs w:val="44"/>
              </w:rPr>
            </w:pPr>
          </w:p>
        </w:tc>
        <w:tc>
          <w:tcPr>
            <w:tcW w:w="798" w:type="dxa"/>
            <w:vMerge w:val="continue"/>
            <w:noWrap w:val="0"/>
            <w:vAlign w:val="center"/>
          </w:tcPr>
          <w:p w14:paraId="43790941">
            <w:pPr>
              <w:jc w:val="center"/>
              <w:rPr>
                <w:rFonts w:hint="eastAsia" w:ascii="宋体" w:hAnsi="宋体"/>
                <w:szCs w:val="44"/>
              </w:rPr>
            </w:pPr>
          </w:p>
        </w:tc>
        <w:tc>
          <w:tcPr>
            <w:tcW w:w="798" w:type="dxa"/>
            <w:vMerge w:val="continue"/>
            <w:noWrap w:val="0"/>
            <w:vAlign w:val="center"/>
          </w:tcPr>
          <w:p w14:paraId="15FDC76C">
            <w:pPr>
              <w:jc w:val="center"/>
              <w:rPr>
                <w:rFonts w:hint="eastAsia" w:ascii="宋体" w:hAnsi="宋体"/>
                <w:szCs w:val="44"/>
              </w:rPr>
            </w:pPr>
          </w:p>
        </w:tc>
        <w:tc>
          <w:tcPr>
            <w:tcW w:w="797" w:type="dxa"/>
            <w:vMerge w:val="continue"/>
            <w:noWrap w:val="0"/>
            <w:vAlign w:val="center"/>
          </w:tcPr>
          <w:p w14:paraId="6FE2D7F9">
            <w:pPr>
              <w:jc w:val="center"/>
              <w:rPr>
                <w:rFonts w:hint="eastAsia" w:ascii="宋体" w:hAnsi="宋体"/>
                <w:szCs w:val="44"/>
              </w:rPr>
            </w:pPr>
          </w:p>
        </w:tc>
        <w:tc>
          <w:tcPr>
            <w:tcW w:w="798" w:type="dxa"/>
            <w:vMerge w:val="continue"/>
            <w:noWrap w:val="0"/>
            <w:vAlign w:val="center"/>
          </w:tcPr>
          <w:p w14:paraId="5CEA2EDA">
            <w:pPr>
              <w:jc w:val="center"/>
              <w:rPr>
                <w:rFonts w:hint="eastAsia" w:ascii="宋体" w:hAnsi="宋体"/>
                <w:szCs w:val="44"/>
              </w:rPr>
            </w:pPr>
          </w:p>
        </w:tc>
        <w:tc>
          <w:tcPr>
            <w:tcW w:w="798" w:type="dxa"/>
            <w:vMerge w:val="continue"/>
            <w:noWrap w:val="0"/>
            <w:vAlign w:val="center"/>
          </w:tcPr>
          <w:p w14:paraId="29B11FA6">
            <w:pPr>
              <w:jc w:val="center"/>
              <w:rPr>
                <w:rFonts w:hint="eastAsia" w:ascii="宋体" w:hAnsi="宋体"/>
                <w:szCs w:val="44"/>
              </w:rPr>
            </w:pPr>
          </w:p>
        </w:tc>
        <w:tc>
          <w:tcPr>
            <w:tcW w:w="797" w:type="dxa"/>
            <w:vMerge w:val="continue"/>
            <w:noWrap w:val="0"/>
            <w:vAlign w:val="center"/>
          </w:tcPr>
          <w:p w14:paraId="0B3E0616">
            <w:pPr>
              <w:jc w:val="center"/>
              <w:rPr>
                <w:rFonts w:hint="eastAsia" w:ascii="宋体" w:hAnsi="宋体"/>
                <w:szCs w:val="44"/>
              </w:rPr>
            </w:pPr>
          </w:p>
        </w:tc>
        <w:tc>
          <w:tcPr>
            <w:tcW w:w="798" w:type="dxa"/>
            <w:vMerge w:val="continue"/>
            <w:noWrap w:val="0"/>
            <w:vAlign w:val="center"/>
          </w:tcPr>
          <w:p w14:paraId="39D8D764">
            <w:pPr>
              <w:jc w:val="center"/>
              <w:rPr>
                <w:rFonts w:hint="eastAsia" w:ascii="宋体" w:hAnsi="宋体"/>
                <w:szCs w:val="44"/>
              </w:rPr>
            </w:pPr>
          </w:p>
        </w:tc>
        <w:tc>
          <w:tcPr>
            <w:tcW w:w="798" w:type="dxa"/>
            <w:vMerge w:val="continue"/>
            <w:noWrap w:val="0"/>
            <w:vAlign w:val="center"/>
          </w:tcPr>
          <w:p w14:paraId="1788BC72">
            <w:pPr>
              <w:jc w:val="center"/>
              <w:rPr>
                <w:rFonts w:hint="eastAsia" w:ascii="宋体" w:hAnsi="宋体"/>
                <w:szCs w:val="44"/>
              </w:rPr>
            </w:pPr>
          </w:p>
        </w:tc>
      </w:tr>
      <w:tr w14:paraId="17E14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5D078E04">
            <w:pPr>
              <w:jc w:val="center"/>
              <w:rPr>
                <w:rFonts w:hint="eastAsia" w:ascii="黑体" w:hAnsi="宋体" w:eastAsia="黑体"/>
                <w:szCs w:val="44"/>
              </w:rPr>
            </w:pPr>
          </w:p>
        </w:tc>
        <w:tc>
          <w:tcPr>
            <w:tcW w:w="1529" w:type="dxa"/>
            <w:vMerge w:val="continue"/>
            <w:noWrap w:val="0"/>
            <w:vAlign w:val="center"/>
          </w:tcPr>
          <w:p w14:paraId="775DFC35">
            <w:pPr>
              <w:jc w:val="center"/>
              <w:rPr>
                <w:rFonts w:hint="eastAsia" w:ascii="宋体" w:hAnsi="宋体"/>
                <w:szCs w:val="21"/>
              </w:rPr>
            </w:pPr>
          </w:p>
        </w:tc>
        <w:tc>
          <w:tcPr>
            <w:tcW w:w="3600" w:type="dxa"/>
            <w:noWrap w:val="0"/>
            <w:vAlign w:val="center"/>
          </w:tcPr>
          <w:p w14:paraId="3A0CBBDE">
            <w:pPr>
              <w:rPr>
                <w:rFonts w:hint="eastAsia" w:ascii="宋体" w:hAnsi="宋体"/>
                <w:bCs/>
                <w:szCs w:val="21"/>
              </w:rPr>
            </w:pPr>
          </w:p>
        </w:tc>
        <w:tc>
          <w:tcPr>
            <w:tcW w:w="720" w:type="dxa"/>
            <w:vMerge w:val="continue"/>
            <w:noWrap w:val="0"/>
            <w:vAlign w:val="center"/>
          </w:tcPr>
          <w:p w14:paraId="1F845BD9">
            <w:pPr>
              <w:jc w:val="center"/>
              <w:rPr>
                <w:rFonts w:hint="eastAsia" w:ascii="宋体" w:hAnsi="宋体"/>
                <w:szCs w:val="44"/>
              </w:rPr>
            </w:pPr>
          </w:p>
        </w:tc>
        <w:tc>
          <w:tcPr>
            <w:tcW w:w="797" w:type="dxa"/>
            <w:vMerge w:val="continue"/>
            <w:noWrap w:val="0"/>
            <w:vAlign w:val="center"/>
          </w:tcPr>
          <w:p w14:paraId="5185ADBE">
            <w:pPr>
              <w:jc w:val="center"/>
              <w:rPr>
                <w:rFonts w:hint="eastAsia" w:ascii="宋体" w:hAnsi="宋体"/>
                <w:szCs w:val="44"/>
              </w:rPr>
            </w:pPr>
          </w:p>
        </w:tc>
        <w:tc>
          <w:tcPr>
            <w:tcW w:w="798" w:type="dxa"/>
            <w:vMerge w:val="continue"/>
            <w:noWrap w:val="0"/>
            <w:vAlign w:val="center"/>
          </w:tcPr>
          <w:p w14:paraId="5D32DD85">
            <w:pPr>
              <w:jc w:val="center"/>
              <w:rPr>
                <w:rFonts w:hint="eastAsia" w:ascii="宋体" w:hAnsi="宋体"/>
                <w:szCs w:val="44"/>
              </w:rPr>
            </w:pPr>
          </w:p>
        </w:tc>
        <w:tc>
          <w:tcPr>
            <w:tcW w:w="798" w:type="dxa"/>
            <w:vMerge w:val="continue"/>
            <w:noWrap w:val="0"/>
            <w:vAlign w:val="center"/>
          </w:tcPr>
          <w:p w14:paraId="733DD204">
            <w:pPr>
              <w:jc w:val="center"/>
              <w:rPr>
                <w:rFonts w:hint="eastAsia" w:ascii="宋体" w:hAnsi="宋体"/>
                <w:szCs w:val="44"/>
              </w:rPr>
            </w:pPr>
          </w:p>
        </w:tc>
        <w:tc>
          <w:tcPr>
            <w:tcW w:w="797" w:type="dxa"/>
            <w:vMerge w:val="continue"/>
            <w:noWrap w:val="0"/>
            <w:vAlign w:val="center"/>
          </w:tcPr>
          <w:p w14:paraId="7731B784">
            <w:pPr>
              <w:jc w:val="center"/>
              <w:rPr>
                <w:rFonts w:hint="eastAsia" w:ascii="宋体" w:hAnsi="宋体"/>
                <w:szCs w:val="44"/>
              </w:rPr>
            </w:pPr>
          </w:p>
        </w:tc>
        <w:tc>
          <w:tcPr>
            <w:tcW w:w="798" w:type="dxa"/>
            <w:vMerge w:val="continue"/>
            <w:noWrap w:val="0"/>
            <w:vAlign w:val="center"/>
          </w:tcPr>
          <w:p w14:paraId="113252CC">
            <w:pPr>
              <w:jc w:val="center"/>
              <w:rPr>
                <w:rFonts w:hint="eastAsia" w:ascii="宋体" w:hAnsi="宋体"/>
                <w:szCs w:val="44"/>
              </w:rPr>
            </w:pPr>
          </w:p>
        </w:tc>
        <w:tc>
          <w:tcPr>
            <w:tcW w:w="798" w:type="dxa"/>
            <w:vMerge w:val="continue"/>
            <w:noWrap w:val="0"/>
            <w:vAlign w:val="center"/>
          </w:tcPr>
          <w:p w14:paraId="4467819F">
            <w:pPr>
              <w:jc w:val="center"/>
              <w:rPr>
                <w:rFonts w:hint="eastAsia" w:ascii="宋体" w:hAnsi="宋体"/>
                <w:szCs w:val="44"/>
              </w:rPr>
            </w:pPr>
          </w:p>
        </w:tc>
        <w:tc>
          <w:tcPr>
            <w:tcW w:w="797" w:type="dxa"/>
            <w:vMerge w:val="continue"/>
            <w:noWrap w:val="0"/>
            <w:vAlign w:val="center"/>
          </w:tcPr>
          <w:p w14:paraId="759241C7">
            <w:pPr>
              <w:jc w:val="center"/>
              <w:rPr>
                <w:rFonts w:hint="eastAsia" w:ascii="宋体" w:hAnsi="宋体"/>
                <w:szCs w:val="44"/>
              </w:rPr>
            </w:pPr>
          </w:p>
        </w:tc>
        <w:tc>
          <w:tcPr>
            <w:tcW w:w="798" w:type="dxa"/>
            <w:vMerge w:val="continue"/>
            <w:noWrap w:val="0"/>
            <w:vAlign w:val="center"/>
          </w:tcPr>
          <w:p w14:paraId="147D19E0">
            <w:pPr>
              <w:jc w:val="center"/>
              <w:rPr>
                <w:rFonts w:hint="eastAsia" w:ascii="宋体" w:hAnsi="宋体"/>
                <w:szCs w:val="44"/>
              </w:rPr>
            </w:pPr>
          </w:p>
        </w:tc>
        <w:tc>
          <w:tcPr>
            <w:tcW w:w="798" w:type="dxa"/>
            <w:vMerge w:val="continue"/>
            <w:noWrap w:val="0"/>
            <w:vAlign w:val="center"/>
          </w:tcPr>
          <w:p w14:paraId="365799A6">
            <w:pPr>
              <w:jc w:val="center"/>
              <w:rPr>
                <w:rFonts w:hint="eastAsia" w:ascii="宋体" w:hAnsi="宋体"/>
                <w:szCs w:val="44"/>
              </w:rPr>
            </w:pPr>
          </w:p>
        </w:tc>
      </w:tr>
      <w:tr w14:paraId="1D97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2B20067C">
            <w:pPr>
              <w:jc w:val="center"/>
              <w:rPr>
                <w:rFonts w:hint="eastAsia" w:ascii="黑体" w:hAnsi="宋体" w:eastAsia="黑体"/>
                <w:szCs w:val="44"/>
              </w:rPr>
            </w:pPr>
            <w:r>
              <w:rPr>
                <w:rFonts w:hint="eastAsia" w:ascii="黑体" w:hAnsi="宋体" w:eastAsia="黑体"/>
                <w:szCs w:val="44"/>
              </w:rPr>
              <w:t>2</w:t>
            </w:r>
          </w:p>
        </w:tc>
        <w:tc>
          <w:tcPr>
            <w:tcW w:w="1529" w:type="dxa"/>
            <w:vMerge w:val="restart"/>
            <w:noWrap w:val="0"/>
            <w:vAlign w:val="center"/>
          </w:tcPr>
          <w:p w14:paraId="5B03CE14">
            <w:pPr>
              <w:jc w:val="center"/>
              <w:rPr>
                <w:rFonts w:hint="eastAsia" w:ascii="宋体" w:hAnsi="宋体"/>
                <w:szCs w:val="44"/>
              </w:rPr>
            </w:pPr>
            <w:r>
              <w:rPr>
                <w:rFonts w:hint="eastAsia" w:ascii="宋体" w:hAnsi="宋体"/>
                <w:szCs w:val="21"/>
              </w:rPr>
              <w:t>施工部署</w:t>
            </w:r>
          </w:p>
        </w:tc>
        <w:tc>
          <w:tcPr>
            <w:tcW w:w="3600" w:type="dxa"/>
            <w:noWrap w:val="0"/>
            <w:vAlign w:val="center"/>
          </w:tcPr>
          <w:p w14:paraId="17A980A1">
            <w:pPr>
              <w:rPr>
                <w:rFonts w:hint="eastAsia" w:ascii="宋体" w:hAnsi="宋体"/>
                <w:bCs/>
                <w:szCs w:val="21"/>
              </w:rPr>
            </w:pPr>
          </w:p>
        </w:tc>
        <w:tc>
          <w:tcPr>
            <w:tcW w:w="720" w:type="dxa"/>
            <w:vMerge w:val="restart"/>
            <w:noWrap w:val="0"/>
            <w:vAlign w:val="center"/>
          </w:tcPr>
          <w:p w14:paraId="01347B80">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250A3599">
            <w:pPr>
              <w:jc w:val="center"/>
              <w:rPr>
                <w:rFonts w:hint="eastAsia" w:ascii="宋体" w:hAnsi="宋体"/>
                <w:szCs w:val="44"/>
              </w:rPr>
            </w:pPr>
          </w:p>
        </w:tc>
        <w:tc>
          <w:tcPr>
            <w:tcW w:w="798" w:type="dxa"/>
            <w:vMerge w:val="restart"/>
            <w:noWrap w:val="0"/>
            <w:vAlign w:val="center"/>
          </w:tcPr>
          <w:p w14:paraId="1E53AA6E">
            <w:pPr>
              <w:jc w:val="center"/>
              <w:rPr>
                <w:rFonts w:hint="eastAsia" w:ascii="宋体" w:hAnsi="宋体"/>
                <w:szCs w:val="44"/>
              </w:rPr>
            </w:pPr>
          </w:p>
        </w:tc>
        <w:tc>
          <w:tcPr>
            <w:tcW w:w="798" w:type="dxa"/>
            <w:vMerge w:val="restart"/>
            <w:noWrap w:val="0"/>
            <w:vAlign w:val="center"/>
          </w:tcPr>
          <w:p w14:paraId="657B9F61">
            <w:pPr>
              <w:jc w:val="center"/>
              <w:rPr>
                <w:rFonts w:hint="eastAsia" w:ascii="宋体" w:hAnsi="宋体"/>
                <w:szCs w:val="44"/>
              </w:rPr>
            </w:pPr>
          </w:p>
        </w:tc>
        <w:tc>
          <w:tcPr>
            <w:tcW w:w="797" w:type="dxa"/>
            <w:vMerge w:val="restart"/>
            <w:noWrap w:val="0"/>
            <w:vAlign w:val="center"/>
          </w:tcPr>
          <w:p w14:paraId="6A561415">
            <w:pPr>
              <w:jc w:val="center"/>
              <w:rPr>
                <w:rFonts w:hint="eastAsia" w:ascii="宋体" w:hAnsi="宋体"/>
                <w:szCs w:val="44"/>
              </w:rPr>
            </w:pPr>
          </w:p>
        </w:tc>
        <w:tc>
          <w:tcPr>
            <w:tcW w:w="798" w:type="dxa"/>
            <w:vMerge w:val="restart"/>
            <w:noWrap w:val="0"/>
            <w:vAlign w:val="center"/>
          </w:tcPr>
          <w:p w14:paraId="4FDA7CF8">
            <w:pPr>
              <w:jc w:val="center"/>
              <w:rPr>
                <w:rFonts w:hint="eastAsia" w:ascii="宋体" w:hAnsi="宋体"/>
                <w:szCs w:val="44"/>
              </w:rPr>
            </w:pPr>
          </w:p>
        </w:tc>
        <w:tc>
          <w:tcPr>
            <w:tcW w:w="798" w:type="dxa"/>
            <w:vMerge w:val="restart"/>
            <w:noWrap w:val="0"/>
            <w:vAlign w:val="center"/>
          </w:tcPr>
          <w:p w14:paraId="5B0A5C55">
            <w:pPr>
              <w:jc w:val="center"/>
              <w:rPr>
                <w:rFonts w:hint="eastAsia" w:ascii="宋体" w:hAnsi="宋体"/>
                <w:szCs w:val="44"/>
              </w:rPr>
            </w:pPr>
          </w:p>
        </w:tc>
        <w:tc>
          <w:tcPr>
            <w:tcW w:w="797" w:type="dxa"/>
            <w:vMerge w:val="restart"/>
            <w:noWrap w:val="0"/>
            <w:vAlign w:val="center"/>
          </w:tcPr>
          <w:p w14:paraId="1ABACE7C">
            <w:pPr>
              <w:jc w:val="center"/>
              <w:rPr>
                <w:rFonts w:hint="eastAsia" w:ascii="宋体" w:hAnsi="宋体"/>
                <w:szCs w:val="44"/>
              </w:rPr>
            </w:pPr>
          </w:p>
        </w:tc>
        <w:tc>
          <w:tcPr>
            <w:tcW w:w="798" w:type="dxa"/>
            <w:vMerge w:val="restart"/>
            <w:noWrap w:val="0"/>
            <w:vAlign w:val="center"/>
          </w:tcPr>
          <w:p w14:paraId="34529430">
            <w:pPr>
              <w:jc w:val="center"/>
              <w:rPr>
                <w:rFonts w:hint="eastAsia" w:ascii="宋体" w:hAnsi="宋体"/>
                <w:szCs w:val="44"/>
              </w:rPr>
            </w:pPr>
          </w:p>
        </w:tc>
        <w:tc>
          <w:tcPr>
            <w:tcW w:w="798" w:type="dxa"/>
            <w:vMerge w:val="restart"/>
            <w:noWrap w:val="0"/>
            <w:vAlign w:val="center"/>
          </w:tcPr>
          <w:p w14:paraId="221F0293">
            <w:pPr>
              <w:jc w:val="center"/>
              <w:rPr>
                <w:rFonts w:hint="eastAsia" w:ascii="宋体" w:hAnsi="宋体"/>
                <w:szCs w:val="44"/>
              </w:rPr>
            </w:pPr>
          </w:p>
        </w:tc>
      </w:tr>
      <w:tr w14:paraId="607A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00024F56">
            <w:pPr>
              <w:jc w:val="center"/>
              <w:rPr>
                <w:rFonts w:hint="eastAsia" w:ascii="黑体" w:hAnsi="宋体" w:eastAsia="黑体"/>
                <w:szCs w:val="44"/>
              </w:rPr>
            </w:pPr>
          </w:p>
        </w:tc>
        <w:tc>
          <w:tcPr>
            <w:tcW w:w="1529" w:type="dxa"/>
            <w:vMerge w:val="continue"/>
            <w:noWrap w:val="0"/>
            <w:vAlign w:val="center"/>
          </w:tcPr>
          <w:p w14:paraId="08FCC6BC">
            <w:pPr>
              <w:jc w:val="center"/>
              <w:rPr>
                <w:rFonts w:hint="eastAsia" w:ascii="宋体" w:hAnsi="宋体"/>
                <w:szCs w:val="21"/>
              </w:rPr>
            </w:pPr>
          </w:p>
        </w:tc>
        <w:tc>
          <w:tcPr>
            <w:tcW w:w="3600" w:type="dxa"/>
            <w:noWrap w:val="0"/>
            <w:vAlign w:val="center"/>
          </w:tcPr>
          <w:p w14:paraId="4C3B56BE">
            <w:pPr>
              <w:rPr>
                <w:rFonts w:hint="eastAsia" w:ascii="宋体" w:hAnsi="宋体"/>
                <w:bCs/>
                <w:szCs w:val="21"/>
              </w:rPr>
            </w:pPr>
          </w:p>
        </w:tc>
        <w:tc>
          <w:tcPr>
            <w:tcW w:w="720" w:type="dxa"/>
            <w:vMerge w:val="continue"/>
            <w:noWrap w:val="0"/>
            <w:vAlign w:val="center"/>
          </w:tcPr>
          <w:p w14:paraId="606A1C5E">
            <w:pPr>
              <w:jc w:val="center"/>
              <w:rPr>
                <w:rFonts w:hint="eastAsia" w:ascii="宋体" w:hAnsi="宋体"/>
                <w:szCs w:val="44"/>
              </w:rPr>
            </w:pPr>
          </w:p>
        </w:tc>
        <w:tc>
          <w:tcPr>
            <w:tcW w:w="797" w:type="dxa"/>
            <w:vMerge w:val="continue"/>
            <w:noWrap w:val="0"/>
            <w:vAlign w:val="center"/>
          </w:tcPr>
          <w:p w14:paraId="54BCE442">
            <w:pPr>
              <w:jc w:val="center"/>
              <w:rPr>
                <w:rFonts w:hint="eastAsia" w:ascii="宋体" w:hAnsi="宋体"/>
                <w:szCs w:val="44"/>
              </w:rPr>
            </w:pPr>
          </w:p>
        </w:tc>
        <w:tc>
          <w:tcPr>
            <w:tcW w:w="798" w:type="dxa"/>
            <w:vMerge w:val="continue"/>
            <w:noWrap w:val="0"/>
            <w:vAlign w:val="center"/>
          </w:tcPr>
          <w:p w14:paraId="458E605E">
            <w:pPr>
              <w:jc w:val="center"/>
              <w:rPr>
                <w:rFonts w:hint="eastAsia" w:ascii="宋体" w:hAnsi="宋体"/>
                <w:szCs w:val="44"/>
              </w:rPr>
            </w:pPr>
          </w:p>
        </w:tc>
        <w:tc>
          <w:tcPr>
            <w:tcW w:w="798" w:type="dxa"/>
            <w:vMerge w:val="continue"/>
            <w:noWrap w:val="0"/>
            <w:vAlign w:val="center"/>
          </w:tcPr>
          <w:p w14:paraId="0FF49BAD">
            <w:pPr>
              <w:jc w:val="center"/>
              <w:rPr>
                <w:rFonts w:hint="eastAsia" w:ascii="宋体" w:hAnsi="宋体"/>
                <w:szCs w:val="44"/>
              </w:rPr>
            </w:pPr>
          </w:p>
        </w:tc>
        <w:tc>
          <w:tcPr>
            <w:tcW w:w="797" w:type="dxa"/>
            <w:vMerge w:val="continue"/>
            <w:noWrap w:val="0"/>
            <w:vAlign w:val="center"/>
          </w:tcPr>
          <w:p w14:paraId="3C330477">
            <w:pPr>
              <w:jc w:val="center"/>
              <w:rPr>
                <w:rFonts w:hint="eastAsia" w:ascii="宋体" w:hAnsi="宋体"/>
                <w:szCs w:val="44"/>
              </w:rPr>
            </w:pPr>
          </w:p>
        </w:tc>
        <w:tc>
          <w:tcPr>
            <w:tcW w:w="798" w:type="dxa"/>
            <w:vMerge w:val="continue"/>
            <w:noWrap w:val="0"/>
            <w:vAlign w:val="center"/>
          </w:tcPr>
          <w:p w14:paraId="08292CD0">
            <w:pPr>
              <w:jc w:val="center"/>
              <w:rPr>
                <w:rFonts w:hint="eastAsia" w:ascii="宋体" w:hAnsi="宋体"/>
                <w:szCs w:val="44"/>
              </w:rPr>
            </w:pPr>
          </w:p>
        </w:tc>
        <w:tc>
          <w:tcPr>
            <w:tcW w:w="798" w:type="dxa"/>
            <w:vMerge w:val="continue"/>
            <w:noWrap w:val="0"/>
            <w:vAlign w:val="center"/>
          </w:tcPr>
          <w:p w14:paraId="58B6C52A">
            <w:pPr>
              <w:jc w:val="center"/>
              <w:rPr>
                <w:rFonts w:hint="eastAsia" w:ascii="宋体" w:hAnsi="宋体"/>
                <w:szCs w:val="44"/>
              </w:rPr>
            </w:pPr>
          </w:p>
        </w:tc>
        <w:tc>
          <w:tcPr>
            <w:tcW w:w="797" w:type="dxa"/>
            <w:vMerge w:val="continue"/>
            <w:noWrap w:val="0"/>
            <w:vAlign w:val="center"/>
          </w:tcPr>
          <w:p w14:paraId="4C330883">
            <w:pPr>
              <w:jc w:val="center"/>
              <w:rPr>
                <w:rFonts w:hint="eastAsia" w:ascii="宋体" w:hAnsi="宋体"/>
                <w:szCs w:val="44"/>
              </w:rPr>
            </w:pPr>
          </w:p>
        </w:tc>
        <w:tc>
          <w:tcPr>
            <w:tcW w:w="798" w:type="dxa"/>
            <w:vMerge w:val="continue"/>
            <w:noWrap w:val="0"/>
            <w:vAlign w:val="center"/>
          </w:tcPr>
          <w:p w14:paraId="4647E088">
            <w:pPr>
              <w:jc w:val="center"/>
              <w:rPr>
                <w:rFonts w:hint="eastAsia" w:ascii="宋体" w:hAnsi="宋体"/>
                <w:szCs w:val="44"/>
              </w:rPr>
            </w:pPr>
          </w:p>
        </w:tc>
        <w:tc>
          <w:tcPr>
            <w:tcW w:w="798" w:type="dxa"/>
            <w:vMerge w:val="continue"/>
            <w:noWrap w:val="0"/>
            <w:vAlign w:val="center"/>
          </w:tcPr>
          <w:p w14:paraId="4404821D">
            <w:pPr>
              <w:jc w:val="center"/>
              <w:rPr>
                <w:rFonts w:hint="eastAsia" w:ascii="宋体" w:hAnsi="宋体"/>
                <w:szCs w:val="44"/>
              </w:rPr>
            </w:pPr>
          </w:p>
        </w:tc>
      </w:tr>
      <w:tr w14:paraId="2042C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4F2DEF4A">
            <w:pPr>
              <w:jc w:val="center"/>
              <w:rPr>
                <w:rFonts w:hint="eastAsia" w:ascii="黑体" w:hAnsi="宋体" w:eastAsia="黑体"/>
                <w:szCs w:val="44"/>
              </w:rPr>
            </w:pPr>
          </w:p>
        </w:tc>
        <w:tc>
          <w:tcPr>
            <w:tcW w:w="1529" w:type="dxa"/>
            <w:vMerge w:val="continue"/>
            <w:noWrap w:val="0"/>
            <w:vAlign w:val="center"/>
          </w:tcPr>
          <w:p w14:paraId="78D9A3FF">
            <w:pPr>
              <w:jc w:val="center"/>
              <w:rPr>
                <w:rFonts w:hint="eastAsia" w:ascii="宋体" w:hAnsi="宋体"/>
                <w:szCs w:val="21"/>
              </w:rPr>
            </w:pPr>
          </w:p>
        </w:tc>
        <w:tc>
          <w:tcPr>
            <w:tcW w:w="3600" w:type="dxa"/>
            <w:noWrap w:val="0"/>
            <w:vAlign w:val="center"/>
          </w:tcPr>
          <w:p w14:paraId="28F9C1A2">
            <w:pPr>
              <w:rPr>
                <w:rFonts w:hint="eastAsia" w:ascii="宋体" w:hAnsi="宋体"/>
                <w:bCs/>
                <w:szCs w:val="21"/>
              </w:rPr>
            </w:pPr>
          </w:p>
        </w:tc>
        <w:tc>
          <w:tcPr>
            <w:tcW w:w="720" w:type="dxa"/>
            <w:vMerge w:val="continue"/>
            <w:noWrap w:val="0"/>
            <w:vAlign w:val="center"/>
          </w:tcPr>
          <w:p w14:paraId="098B20BC">
            <w:pPr>
              <w:jc w:val="center"/>
              <w:rPr>
                <w:rFonts w:hint="eastAsia" w:ascii="宋体" w:hAnsi="宋体"/>
                <w:szCs w:val="44"/>
              </w:rPr>
            </w:pPr>
          </w:p>
        </w:tc>
        <w:tc>
          <w:tcPr>
            <w:tcW w:w="797" w:type="dxa"/>
            <w:vMerge w:val="continue"/>
            <w:noWrap w:val="0"/>
            <w:vAlign w:val="center"/>
          </w:tcPr>
          <w:p w14:paraId="223F943E">
            <w:pPr>
              <w:jc w:val="center"/>
              <w:rPr>
                <w:rFonts w:hint="eastAsia" w:ascii="宋体" w:hAnsi="宋体"/>
                <w:szCs w:val="44"/>
              </w:rPr>
            </w:pPr>
          </w:p>
        </w:tc>
        <w:tc>
          <w:tcPr>
            <w:tcW w:w="798" w:type="dxa"/>
            <w:vMerge w:val="continue"/>
            <w:noWrap w:val="0"/>
            <w:vAlign w:val="center"/>
          </w:tcPr>
          <w:p w14:paraId="08224B21">
            <w:pPr>
              <w:jc w:val="center"/>
              <w:rPr>
                <w:rFonts w:hint="eastAsia" w:ascii="宋体" w:hAnsi="宋体"/>
                <w:szCs w:val="44"/>
              </w:rPr>
            </w:pPr>
          </w:p>
        </w:tc>
        <w:tc>
          <w:tcPr>
            <w:tcW w:w="798" w:type="dxa"/>
            <w:vMerge w:val="continue"/>
            <w:noWrap w:val="0"/>
            <w:vAlign w:val="center"/>
          </w:tcPr>
          <w:p w14:paraId="1FB6256B">
            <w:pPr>
              <w:jc w:val="center"/>
              <w:rPr>
                <w:rFonts w:hint="eastAsia" w:ascii="宋体" w:hAnsi="宋体"/>
                <w:szCs w:val="44"/>
              </w:rPr>
            </w:pPr>
          </w:p>
        </w:tc>
        <w:tc>
          <w:tcPr>
            <w:tcW w:w="797" w:type="dxa"/>
            <w:vMerge w:val="continue"/>
            <w:noWrap w:val="0"/>
            <w:vAlign w:val="center"/>
          </w:tcPr>
          <w:p w14:paraId="3C67CF6E">
            <w:pPr>
              <w:jc w:val="center"/>
              <w:rPr>
                <w:rFonts w:hint="eastAsia" w:ascii="宋体" w:hAnsi="宋体"/>
                <w:szCs w:val="44"/>
              </w:rPr>
            </w:pPr>
          </w:p>
        </w:tc>
        <w:tc>
          <w:tcPr>
            <w:tcW w:w="798" w:type="dxa"/>
            <w:vMerge w:val="continue"/>
            <w:noWrap w:val="0"/>
            <w:vAlign w:val="center"/>
          </w:tcPr>
          <w:p w14:paraId="749D4FFB">
            <w:pPr>
              <w:jc w:val="center"/>
              <w:rPr>
                <w:rFonts w:hint="eastAsia" w:ascii="宋体" w:hAnsi="宋体"/>
                <w:szCs w:val="44"/>
              </w:rPr>
            </w:pPr>
          </w:p>
        </w:tc>
        <w:tc>
          <w:tcPr>
            <w:tcW w:w="798" w:type="dxa"/>
            <w:vMerge w:val="continue"/>
            <w:noWrap w:val="0"/>
            <w:vAlign w:val="center"/>
          </w:tcPr>
          <w:p w14:paraId="228246C8">
            <w:pPr>
              <w:jc w:val="center"/>
              <w:rPr>
                <w:rFonts w:hint="eastAsia" w:ascii="宋体" w:hAnsi="宋体"/>
                <w:szCs w:val="44"/>
              </w:rPr>
            </w:pPr>
          </w:p>
        </w:tc>
        <w:tc>
          <w:tcPr>
            <w:tcW w:w="797" w:type="dxa"/>
            <w:vMerge w:val="continue"/>
            <w:noWrap w:val="0"/>
            <w:vAlign w:val="center"/>
          </w:tcPr>
          <w:p w14:paraId="7B85927D">
            <w:pPr>
              <w:jc w:val="center"/>
              <w:rPr>
                <w:rFonts w:hint="eastAsia" w:ascii="宋体" w:hAnsi="宋体"/>
                <w:szCs w:val="44"/>
              </w:rPr>
            </w:pPr>
          </w:p>
        </w:tc>
        <w:tc>
          <w:tcPr>
            <w:tcW w:w="798" w:type="dxa"/>
            <w:vMerge w:val="continue"/>
            <w:noWrap w:val="0"/>
            <w:vAlign w:val="center"/>
          </w:tcPr>
          <w:p w14:paraId="6130DB96">
            <w:pPr>
              <w:jc w:val="center"/>
              <w:rPr>
                <w:rFonts w:hint="eastAsia" w:ascii="宋体" w:hAnsi="宋体"/>
                <w:szCs w:val="44"/>
              </w:rPr>
            </w:pPr>
          </w:p>
        </w:tc>
        <w:tc>
          <w:tcPr>
            <w:tcW w:w="798" w:type="dxa"/>
            <w:vMerge w:val="continue"/>
            <w:noWrap w:val="0"/>
            <w:vAlign w:val="center"/>
          </w:tcPr>
          <w:p w14:paraId="73069D2F">
            <w:pPr>
              <w:jc w:val="center"/>
              <w:rPr>
                <w:rFonts w:hint="eastAsia" w:ascii="宋体" w:hAnsi="宋体"/>
                <w:szCs w:val="44"/>
              </w:rPr>
            </w:pPr>
          </w:p>
        </w:tc>
      </w:tr>
      <w:tr w14:paraId="5A4F6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20762AD5">
            <w:pPr>
              <w:jc w:val="center"/>
              <w:rPr>
                <w:rFonts w:hint="eastAsia" w:ascii="黑体" w:hAnsi="宋体" w:eastAsia="黑体"/>
                <w:szCs w:val="44"/>
              </w:rPr>
            </w:pPr>
          </w:p>
        </w:tc>
        <w:tc>
          <w:tcPr>
            <w:tcW w:w="1529" w:type="dxa"/>
            <w:vMerge w:val="continue"/>
            <w:noWrap w:val="0"/>
            <w:vAlign w:val="center"/>
          </w:tcPr>
          <w:p w14:paraId="4A3708B5">
            <w:pPr>
              <w:jc w:val="center"/>
              <w:rPr>
                <w:rFonts w:hint="eastAsia" w:ascii="宋体" w:hAnsi="宋体"/>
                <w:szCs w:val="21"/>
              </w:rPr>
            </w:pPr>
          </w:p>
        </w:tc>
        <w:tc>
          <w:tcPr>
            <w:tcW w:w="3600" w:type="dxa"/>
            <w:noWrap w:val="0"/>
            <w:vAlign w:val="center"/>
          </w:tcPr>
          <w:p w14:paraId="390AC716">
            <w:pPr>
              <w:rPr>
                <w:rFonts w:ascii="宋体" w:hAnsi="宋体"/>
                <w:bCs/>
                <w:szCs w:val="21"/>
              </w:rPr>
            </w:pPr>
          </w:p>
        </w:tc>
        <w:tc>
          <w:tcPr>
            <w:tcW w:w="720" w:type="dxa"/>
            <w:vMerge w:val="continue"/>
            <w:noWrap w:val="0"/>
            <w:vAlign w:val="center"/>
          </w:tcPr>
          <w:p w14:paraId="43E7933F">
            <w:pPr>
              <w:jc w:val="center"/>
              <w:rPr>
                <w:rFonts w:hint="eastAsia" w:ascii="宋体" w:hAnsi="宋体"/>
                <w:szCs w:val="44"/>
              </w:rPr>
            </w:pPr>
          </w:p>
        </w:tc>
        <w:tc>
          <w:tcPr>
            <w:tcW w:w="797" w:type="dxa"/>
            <w:vMerge w:val="continue"/>
            <w:noWrap w:val="0"/>
            <w:vAlign w:val="center"/>
          </w:tcPr>
          <w:p w14:paraId="34E4BECA">
            <w:pPr>
              <w:jc w:val="center"/>
              <w:rPr>
                <w:rFonts w:hint="eastAsia" w:ascii="宋体" w:hAnsi="宋体"/>
                <w:szCs w:val="44"/>
              </w:rPr>
            </w:pPr>
          </w:p>
        </w:tc>
        <w:tc>
          <w:tcPr>
            <w:tcW w:w="798" w:type="dxa"/>
            <w:vMerge w:val="continue"/>
            <w:noWrap w:val="0"/>
            <w:vAlign w:val="center"/>
          </w:tcPr>
          <w:p w14:paraId="38E049F7">
            <w:pPr>
              <w:jc w:val="center"/>
              <w:rPr>
                <w:rFonts w:hint="eastAsia" w:ascii="宋体" w:hAnsi="宋体"/>
                <w:szCs w:val="44"/>
              </w:rPr>
            </w:pPr>
          </w:p>
        </w:tc>
        <w:tc>
          <w:tcPr>
            <w:tcW w:w="798" w:type="dxa"/>
            <w:vMerge w:val="continue"/>
            <w:noWrap w:val="0"/>
            <w:vAlign w:val="center"/>
          </w:tcPr>
          <w:p w14:paraId="417B64DB">
            <w:pPr>
              <w:jc w:val="center"/>
              <w:rPr>
                <w:rFonts w:hint="eastAsia" w:ascii="宋体" w:hAnsi="宋体"/>
                <w:szCs w:val="44"/>
              </w:rPr>
            </w:pPr>
          </w:p>
        </w:tc>
        <w:tc>
          <w:tcPr>
            <w:tcW w:w="797" w:type="dxa"/>
            <w:vMerge w:val="continue"/>
            <w:noWrap w:val="0"/>
            <w:vAlign w:val="center"/>
          </w:tcPr>
          <w:p w14:paraId="3748A242">
            <w:pPr>
              <w:jc w:val="center"/>
              <w:rPr>
                <w:rFonts w:hint="eastAsia" w:ascii="宋体" w:hAnsi="宋体"/>
                <w:szCs w:val="44"/>
              </w:rPr>
            </w:pPr>
          </w:p>
        </w:tc>
        <w:tc>
          <w:tcPr>
            <w:tcW w:w="798" w:type="dxa"/>
            <w:vMerge w:val="continue"/>
            <w:noWrap w:val="0"/>
            <w:vAlign w:val="center"/>
          </w:tcPr>
          <w:p w14:paraId="150D5013">
            <w:pPr>
              <w:jc w:val="center"/>
              <w:rPr>
                <w:rFonts w:hint="eastAsia" w:ascii="宋体" w:hAnsi="宋体"/>
                <w:szCs w:val="44"/>
              </w:rPr>
            </w:pPr>
          </w:p>
        </w:tc>
        <w:tc>
          <w:tcPr>
            <w:tcW w:w="798" w:type="dxa"/>
            <w:vMerge w:val="continue"/>
            <w:noWrap w:val="0"/>
            <w:vAlign w:val="center"/>
          </w:tcPr>
          <w:p w14:paraId="16DAF6D5">
            <w:pPr>
              <w:jc w:val="center"/>
              <w:rPr>
                <w:rFonts w:hint="eastAsia" w:ascii="宋体" w:hAnsi="宋体"/>
                <w:szCs w:val="44"/>
              </w:rPr>
            </w:pPr>
          </w:p>
        </w:tc>
        <w:tc>
          <w:tcPr>
            <w:tcW w:w="797" w:type="dxa"/>
            <w:vMerge w:val="continue"/>
            <w:noWrap w:val="0"/>
            <w:vAlign w:val="center"/>
          </w:tcPr>
          <w:p w14:paraId="256F3258">
            <w:pPr>
              <w:jc w:val="center"/>
              <w:rPr>
                <w:rFonts w:hint="eastAsia" w:ascii="宋体" w:hAnsi="宋体"/>
                <w:szCs w:val="44"/>
              </w:rPr>
            </w:pPr>
          </w:p>
        </w:tc>
        <w:tc>
          <w:tcPr>
            <w:tcW w:w="798" w:type="dxa"/>
            <w:vMerge w:val="continue"/>
            <w:noWrap w:val="0"/>
            <w:vAlign w:val="center"/>
          </w:tcPr>
          <w:p w14:paraId="70AA0FA3">
            <w:pPr>
              <w:jc w:val="center"/>
              <w:rPr>
                <w:rFonts w:hint="eastAsia" w:ascii="宋体" w:hAnsi="宋体"/>
                <w:szCs w:val="44"/>
              </w:rPr>
            </w:pPr>
          </w:p>
        </w:tc>
        <w:tc>
          <w:tcPr>
            <w:tcW w:w="798" w:type="dxa"/>
            <w:vMerge w:val="continue"/>
            <w:noWrap w:val="0"/>
            <w:vAlign w:val="center"/>
          </w:tcPr>
          <w:p w14:paraId="25E7B737">
            <w:pPr>
              <w:jc w:val="center"/>
              <w:rPr>
                <w:rFonts w:hint="eastAsia" w:ascii="宋体" w:hAnsi="宋体"/>
                <w:szCs w:val="44"/>
              </w:rPr>
            </w:pPr>
          </w:p>
        </w:tc>
      </w:tr>
      <w:tr w14:paraId="63D5E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trPr>
        <w:tc>
          <w:tcPr>
            <w:tcW w:w="739" w:type="dxa"/>
            <w:vMerge w:val="restart"/>
            <w:noWrap w:val="0"/>
            <w:vAlign w:val="center"/>
          </w:tcPr>
          <w:p w14:paraId="31F25F39">
            <w:pPr>
              <w:jc w:val="center"/>
              <w:rPr>
                <w:rFonts w:hint="eastAsia" w:ascii="黑体" w:hAnsi="宋体" w:eastAsia="黑体"/>
                <w:szCs w:val="44"/>
              </w:rPr>
            </w:pPr>
            <w:r>
              <w:rPr>
                <w:rFonts w:hint="eastAsia" w:ascii="黑体" w:hAnsi="宋体" w:eastAsia="黑体"/>
                <w:szCs w:val="44"/>
              </w:rPr>
              <w:t>3</w:t>
            </w:r>
          </w:p>
        </w:tc>
        <w:tc>
          <w:tcPr>
            <w:tcW w:w="1529" w:type="dxa"/>
            <w:vMerge w:val="restart"/>
            <w:noWrap w:val="0"/>
            <w:vAlign w:val="center"/>
          </w:tcPr>
          <w:p w14:paraId="43B2372F">
            <w:pPr>
              <w:jc w:val="center"/>
              <w:rPr>
                <w:rFonts w:hint="eastAsia" w:ascii="宋体" w:hAnsi="宋体"/>
                <w:szCs w:val="44"/>
              </w:rPr>
            </w:pPr>
            <w:r>
              <w:rPr>
                <w:rFonts w:hint="eastAsia" w:ascii="宋体" w:hAnsi="宋体"/>
                <w:szCs w:val="21"/>
              </w:rPr>
              <w:t>施工进度计划</w:t>
            </w:r>
          </w:p>
        </w:tc>
        <w:tc>
          <w:tcPr>
            <w:tcW w:w="3600" w:type="dxa"/>
            <w:noWrap w:val="0"/>
            <w:vAlign w:val="center"/>
          </w:tcPr>
          <w:p w14:paraId="457F1C8E">
            <w:pPr>
              <w:rPr>
                <w:rFonts w:hint="eastAsia" w:ascii="宋体" w:hAnsi="宋体"/>
                <w:bCs/>
                <w:szCs w:val="21"/>
              </w:rPr>
            </w:pPr>
          </w:p>
        </w:tc>
        <w:tc>
          <w:tcPr>
            <w:tcW w:w="720" w:type="dxa"/>
            <w:vMerge w:val="restart"/>
            <w:noWrap w:val="0"/>
            <w:vAlign w:val="center"/>
          </w:tcPr>
          <w:p w14:paraId="40AD1B7D">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04C21A21">
            <w:pPr>
              <w:jc w:val="center"/>
              <w:rPr>
                <w:rFonts w:hint="eastAsia" w:ascii="宋体" w:hAnsi="宋体"/>
                <w:szCs w:val="44"/>
              </w:rPr>
            </w:pPr>
          </w:p>
        </w:tc>
        <w:tc>
          <w:tcPr>
            <w:tcW w:w="798" w:type="dxa"/>
            <w:vMerge w:val="restart"/>
            <w:noWrap w:val="0"/>
            <w:vAlign w:val="center"/>
          </w:tcPr>
          <w:p w14:paraId="776945F0">
            <w:pPr>
              <w:jc w:val="center"/>
              <w:rPr>
                <w:rFonts w:hint="eastAsia" w:ascii="宋体" w:hAnsi="宋体"/>
                <w:szCs w:val="44"/>
              </w:rPr>
            </w:pPr>
          </w:p>
        </w:tc>
        <w:tc>
          <w:tcPr>
            <w:tcW w:w="798" w:type="dxa"/>
            <w:vMerge w:val="restart"/>
            <w:noWrap w:val="0"/>
            <w:vAlign w:val="center"/>
          </w:tcPr>
          <w:p w14:paraId="54E6EBD4">
            <w:pPr>
              <w:jc w:val="center"/>
              <w:rPr>
                <w:rFonts w:hint="eastAsia" w:ascii="宋体" w:hAnsi="宋体"/>
                <w:szCs w:val="44"/>
              </w:rPr>
            </w:pPr>
          </w:p>
        </w:tc>
        <w:tc>
          <w:tcPr>
            <w:tcW w:w="797" w:type="dxa"/>
            <w:vMerge w:val="restart"/>
            <w:noWrap w:val="0"/>
            <w:vAlign w:val="center"/>
          </w:tcPr>
          <w:p w14:paraId="41528282">
            <w:pPr>
              <w:jc w:val="center"/>
              <w:rPr>
                <w:rFonts w:hint="eastAsia" w:ascii="宋体" w:hAnsi="宋体"/>
                <w:szCs w:val="44"/>
              </w:rPr>
            </w:pPr>
          </w:p>
        </w:tc>
        <w:tc>
          <w:tcPr>
            <w:tcW w:w="798" w:type="dxa"/>
            <w:vMerge w:val="restart"/>
            <w:noWrap w:val="0"/>
            <w:vAlign w:val="center"/>
          </w:tcPr>
          <w:p w14:paraId="491D4F51">
            <w:pPr>
              <w:jc w:val="center"/>
              <w:rPr>
                <w:rFonts w:hint="eastAsia" w:ascii="宋体" w:hAnsi="宋体"/>
                <w:szCs w:val="44"/>
              </w:rPr>
            </w:pPr>
          </w:p>
        </w:tc>
        <w:tc>
          <w:tcPr>
            <w:tcW w:w="798" w:type="dxa"/>
            <w:vMerge w:val="restart"/>
            <w:noWrap w:val="0"/>
            <w:vAlign w:val="center"/>
          </w:tcPr>
          <w:p w14:paraId="666E3071">
            <w:pPr>
              <w:jc w:val="center"/>
              <w:rPr>
                <w:rFonts w:hint="eastAsia" w:ascii="宋体" w:hAnsi="宋体"/>
                <w:szCs w:val="44"/>
              </w:rPr>
            </w:pPr>
          </w:p>
        </w:tc>
        <w:tc>
          <w:tcPr>
            <w:tcW w:w="797" w:type="dxa"/>
            <w:vMerge w:val="restart"/>
            <w:noWrap w:val="0"/>
            <w:vAlign w:val="center"/>
          </w:tcPr>
          <w:p w14:paraId="31F100CE">
            <w:pPr>
              <w:jc w:val="center"/>
              <w:rPr>
                <w:rFonts w:hint="eastAsia" w:ascii="宋体" w:hAnsi="宋体"/>
                <w:szCs w:val="44"/>
              </w:rPr>
            </w:pPr>
          </w:p>
        </w:tc>
        <w:tc>
          <w:tcPr>
            <w:tcW w:w="798" w:type="dxa"/>
            <w:vMerge w:val="restart"/>
            <w:noWrap w:val="0"/>
            <w:vAlign w:val="center"/>
          </w:tcPr>
          <w:p w14:paraId="54038E7D">
            <w:pPr>
              <w:jc w:val="center"/>
              <w:rPr>
                <w:rFonts w:hint="eastAsia" w:ascii="宋体" w:hAnsi="宋体"/>
                <w:szCs w:val="44"/>
              </w:rPr>
            </w:pPr>
          </w:p>
        </w:tc>
        <w:tc>
          <w:tcPr>
            <w:tcW w:w="798" w:type="dxa"/>
            <w:vMerge w:val="restart"/>
            <w:noWrap w:val="0"/>
            <w:vAlign w:val="center"/>
          </w:tcPr>
          <w:p w14:paraId="402494E7">
            <w:pPr>
              <w:jc w:val="center"/>
              <w:rPr>
                <w:rFonts w:hint="eastAsia" w:ascii="宋体" w:hAnsi="宋体"/>
                <w:szCs w:val="44"/>
              </w:rPr>
            </w:pPr>
          </w:p>
        </w:tc>
      </w:tr>
      <w:tr w14:paraId="2737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59E242D4">
            <w:pPr>
              <w:jc w:val="center"/>
              <w:rPr>
                <w:rFonts w:hint="eastAsia" w:ascii="黑体" w:hAnsi="宋体" w:eastAsia="黑体"/>
                <w:szCs w:val="44"/>
              </w:rPr>
            </w:pPr>
          </w:p>
        </w:tc>
        <w:tc>
          <w:tcPr>
            <w:tcW w:w="1529" w:type="dxa"/>
            <w:vMerge w:val="continue"/>
            <w:noWrap w:val="0"/>
            <w:vAlign w:val="center"/>
          </w:tcPr>
          <w:p w14:paraId="609A39D1">
            <w:pPr>
              <w:jc w:val="center"/>
              <w:rPr>
                <w:rFonts w:hint="eastAsia" w:ascii="宋体" w:hAnsi="宋体"/>
                <w:szCs w:val="21"/>
              </w:rPr>
            </w:pPr>
          </w:p>
        </w:tc>
        <w:tc>
          <w:tcPr>
            <w:tcW w:w="3600" w:type="dxa"/>
            <w:noWrap w:val="0"/>
            <w:vAlign w:val="center"/>
          </w:tcPr>
          <w:p w14:paraId="1D7400B2">
            <w:pPr>
              <w:rPr>
                <w:rFonts w:hint="eastAsia" w:ascii="宋体" w:hAnsi="宋体"/>
                <w:bCs/>
                <w:szCs w:val="21"/>
              </w:rPr>
            </w:pPr>
          </w:p>
        </w:tc>
        <w:tc>
          <w:tcPr>
            <w:tcW w:w="720" w:type="dxa"/>
            <w:vMerge w:val="continue"/>
            <w:noWrap w:val="0"/>
            <w:vAlign w:val="center"/>
          </w:tcPr>
          <w:p w14:paraId="0776B7CD">
            <w:pPr>
              <w:jc w:val="center"/>
              <w:rPr>
                <w:rFonts w:hint="eastAsia" w:ascii="宋体" w:hAnsi="宋体"/>
                <w:szCs w:val="44"/>
              </w:rPr>
            </w:pPr>
          </w:p>
        </w:tc>
        <w:tc>
          <w:tcPr>
            <w:tcW w:w="797" w:type="dxa"/>
            <w:vMerge w:val="continue"/>
            <w:noWrap w:val="0"/>
            <w:vAlign w:val="center"/>
          </w:tcPr>
          <w:p w14:paraId="373696A1">
            <w:pPr>
              <w:jc w:val="center"/>
              <w:rPr>
                <w:rFonts w:hint="eastAsia" w:ascii="宋体" w:hAnsi="宋体"/>
                <w:szCs w:val="44"/>
              </w:rPr>
            </w:pPr>
          </w:p>
        </w:tc>
        <w:tc>
          <w:tcPr>
            <w:tcW w:w="798" w:type="dxa"/>
            <w:vMerge w:val="continue"/>
            <w:noWrap w:val="0"/>
            <w:vAlign w:val="center"/>
          </w:tcPr>
          <w:p w14:paraId="04DE67B5">
            <w:pPr>
              <w:jc w:val="center"/>
              <w:rPr>
                <w:rFonts w:hint="eastAsia" w:ascii="宋体" w:hAnsi="宋体"/>
                <w:szCs w:val="44"/>
              </w:rPr>
            </w:pPr>
          </w:p>
        </w:tc>
        <w:tc>
          <w:tcPr>
            <w:tcW w:w="798" w:type="dxa"/>
            <w:vMerge w:val="continue"/>
            <w:noWrap w:val="0"/>
            <w:vAlign w:val="center"/>
          </w:tcPr>
          <w:p w14:paraId="2FE0D254">
            <w:pPr>
              <w:jc w:val="center"/>
              <w:rPr>
                <w:rFonts w:hint="eastAsia" w:ascii="宋体" w:hAnsi="宋体"/>
                <w:szCs w:val="44"/>
              </w:rPr>
            </w:pPr>
          </w:p>
        </w:tc>
        <w:tc>
          <w:tcPr>
            <w:tcW w:w="797" w:type="dxa"/>
            <w:vMerge w:val="continue"/>
            <w:noWrap w:val="0"/>
            <w:vAlign w:val="center"/>
          </w:tcPr>
          <w:p w14:paraId="306752BB">
            <w:pPr>
              <w:jc w:val="center"/>
              <w:rPr>
                <w:rFonts w:hint="eastAsia" w:ascii="宋体" w:hAnsi="宋体"/>
                <w:szCs w:val="44"/>
              </w:rPr>
            </w:pPr>
          </w:p>
        </w:tc>
        <w:tc>
          <w:tcPr>
            <w:tcW w:w="798" w:type="dxa"/>
            <w:vMerge w:val="continue"/>
            <w:noWrap w:val="0"/>
            <w:vAlign w:val="center"/>
          </w:tcPr>
          <w:p w14:paraId="468ACC6E">
            <w:pPr>
              <w:jc w:val="center"/>
              <w:rPr>
                <w:rFonts w:hint="eastAsia" w:ascii="宋体" w:hAnsi="宋体"/>
                <w:szCs w:val="44"/>
              </w:rPr>
            </w:pPr>
          </w:p>
        </w:tc>
        <w:tc>
          <w:tcPr>
            <w:tcW w:w="798" w:type="dxa"/>
            <w:vMerge w:val="continue"/>
            <w:noWrap w:val="0"/>
            <w:vAlign w:val="center"/>
          </w:tcPr>
          <w:p w14:paraId="251ED75E">
            <w:pPr>
              <w:jc w:val="center"/>
              <w:rPr>
                <w:rFonts w:hint="eastAsia" w:ascii="宋体" w:hAnsi="宋体"/>
                <w:szCs w:val="44"/>
              </w:rPr>
            </w:pPr>
          </w:p>
        </w:tc>
        <w:tc>
          <w:tcPr>
            <w:tcW w:w="797" w:type="dxa"/>
            <w:vMerge w:val="continue"/>
            <w:noWrap w:val="0"/>
            <w:vAlign w:val="center"/>
          </w:tcPr>
          <w:p w14:paraId="612F6007">
            <w:pPr>
              <w:jc w:val="center"/>
              <w:rPr>
                <w:rFonts w:hint="eastAsia" w:ascii="宋体" w:hAnsi="宋体"/>
                <w:szCs w:val="44"/>
              </w:rPr>
            </w:pPr>
          </w:p>
        </w:tc>
        <w:tc>
          <w:tcPr>
            <w:tcW w:w="798" w:type="dxa"/>
            <w:vMerge w:val="continue"/>
            <w:noWrap w:val="0"/>
            <w:vAlign w:val="center"/>
          </w:tcPr>
          <w:p w14:paraId="07F189C6">
            <w:pPr>
              <w:jc w:val="center"/>
              <w:rPr>
                <w:rFonts w:hint="eastAsia" w:ascii="宋体" w:hAnsi="宋体"/>
                <w:szCs w:val="44"/>
              </w:rPr>
            </w:pPr>
          </w:p>
        </w:tc>
        <w:tc>
          <w:tcPr>
            <w:tcW w:w="798" w:type="dxa"/>
            <w:vMerge w:val="continue"/>
            <w:noWrap w:val="0"/>
            <w:vAlign w:val="center"/>
          </w:tcPr>
          <w:p w14:paraId="66F78315">
            <w:pPr>
              <w:jc w:val="center"/>
              <w:rPr>
                <w:rFonts w:hint="eastAsia" w:ascii="宋体" w:hAnsi="宋体"/>
                <w:szCs w:val="44"/>
              </w:rPr>
            </w:pPr>
          </w:p>
        </w:tc>
      </w:tr>
      <w:tr w14:paraId="4DC8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0E8D1919">
            <w:pPr>
              <w:jc w:val="center"/>
              <w:rPr>
                <w:rFonts w:hint="eastAsia" w:ascii="黑体" w:hAnsi="宋体" w:eastAsia="黑体"/>
                <w:szCs w:val="44"/>
              </w:rPr>
            </w:pPr>
          </w:p>
        </w:tc>
        <w:tc>
          <w:tcPr>
            <w:tcW w:w="1529" w:type="dxa"/>
            <w:vMerge w:val="continue"/>
            <w:noWrap w:val="0"/>
            <w:vAlign w:val="center"/>
          </w:tcPr>
          <w:p w14:paraId="15A02336">
            <w:pPr>
              <w:jc w:val="center"/>
              <w:rPr>
                <w:rFonts w:hint="eastAsia" w:ascii="宋体" w:hAnsi="宋体"/>
                <w:szCs w:val="21"/>
              </w:rPr>
            </w:pPr>
          </w:p>
        </w:tc>
        <w:tc>
          <w:tcPr>
            <w:tcW w:w="3600" w:type="dxa"/>
            <w:noWrap w:val="0"/>
            <w:vAlign w:val="center"/>
          </w:tcPr>
          <w:p w14:paraId="6D2E5B4C">
            <w:pPr>
              <w:rPr>
                <w:rFonts w:hint="eastAsia" w:ascii="宋体" w:hAnsi="宋体"/>
                <w:bCs/>
                <w:szCs w:val="21"/>
              </w:rPr>
            </w:pPr>
          </w:p>
        </w:tc>
        <w:tc>
          <w:tcPr>
            <w:tcW w:w="720" w:type="dxa"/>
            <w:vMerge w:val="continue"/>
            <w:noWrap w:val="0"/>
            <w:vAlign w:val="center"/>
          </w:tcPr>
          <w:p w14:paraId="42890B43">
            <w:pPr>
              <w:jc w:val="center"/>
              <w:rPr>
                <w:rFonts w:hint="eastAsia" w:ascii="宋体" w:hAnsi="宋体"/>
                <w:szCs w:val="44"/>
              </w:rPr>
            </w:pPr>
          </w:p>
        </w:tc>
        <w:tc>
          <w:tcPr>
            <w:tcW w:w="797" w:type="dxa"/>
            <w:vMerge w:val="continue"/>
            <w:noWrap w:val="0"/>
            <w:vAlign w:val="center"/>
          </w:tcPr>
          <w:p w14:paraId="506A18FE">
            <w:pPr>
              <w:jc w:val="center"/>
              <w:rPr>
                <w:rFonts w:hint="eastAsia" w:ascii="宋体" w:hAnsi="宋体"/>
                <w:szCs w:val="44"/>
              </w:rPr>
            </w:pPr>
          </w:p>
        </w:tc>
        <w:tc>
          <w:tcPr>
            <w:tcW w:w="798" w:type="dxa"/>
            <w:vMerge w:val="continue"/>
            <w:noWrap w:val="0"/>
            <w:vAlign w:val="center"/>
          </w:tcPr>
          <w:p w14:paraId="34AE775B">
            <w:pPr>
              <w:jc w:val="center"/>
              <w:rPr>
                <w:rFonts w:hint="eastAsia" w:ascii="宋体" w:hAnsi="宋体"/>
                <w:szCs w:val="44"/>
              </w:rPr>
            </w:pPr>
          </w:p>
        </w:tc>
        <w:tc>
          <w:tcPr>
            <w:tcW w:w="798" w:type="dxa"/>
            <w:vMerge w:val="continue"/>
            <w:noWrap w:val="0"/>
            <w:vAlign w:val="center"/>
          </w:tcPr>
          <w:p w14:paraId="7D3B1609">
            <w:pPr>
              <w:jc w:val="center"/>
              <w:rPr>
                <w:rFonts w:hint="eastAsia" w:ascii="宋体" w:hAnsi="宋体"/>
                <w:szCs w:val="44"/>
              </w:rPr>
            </w:pPr>
          </w:p>
        </w:tc>
        <w:tc>
          <w:tcPr>
            <w:tcW w:w="797" w:type="dxa"/>
            <w:vMerge w:val="continue"/>
            <w:noWrap w:val="0"/>
            <w:vAlign w:val="center"/>
          </w:tcPr>
          <w:p w14:paraId="188C12DE">
            <w:pPr>
              <w:jc w:val="center"/>
              <w:rPr>
                <w:rFonts w:hint="eastAsia" w:ascii="宋体" w:hAnsi="宋体"/>
                <w:szCs w:val="44"/>
              </w:rPr>
            </w:pPr>
          </w:p>
        </w:tc>
        <w:tc>
          <w:tcPr>
            <w:tcW w:w="798" w:type="dxa"/>
            <w:vMerge w:val="continue"/>
            <w:noWrap w:val="0"/>
            <w:vAlign w:val="center"/>
          </w:tcPr>
          <w:p w14:paraId="29E0165B">
            <w:pPr>
              <w:jc w:val="center"/>
              <w:rPr>
                <w:rFonts w:hint="eastAsia" w:ascii="宋体" w:hAnsi="宋体"/>
                <w:szCs w:val="44"/>
              </w:rPr>
            </w:pPr>
          </w:p>
        </w:tc>
        <w:tc>
          <w:tcPr>
            <w:tcW w:w="798" w:type="dxa"/>
            <w:vMerge w:val="continue"/>
            <w:noWrap w:val="0"/>
            <w:vAlign w:val="center"/>
          </w:tcPr>
          <w:p w14:paraId="34D849DC">
            <w:pPr>
              <w:jc w:val="center"/>
              <w:rPr>
                <w:rFonts w:hint="eastAsia" w:ascii="宋体" w:hAnsi="宋体"/>
                <w:szCs w:val="44"/>
              </w:rPr>
            </w:pPr>
          </w:p>
        </w:tc>
        <w:tc>
          <w:tcPr>
            <w:tcW w:w="797" w:type="dxa"/>
            <w:vMerge w:val="continue"/>
            <w:noWrap w:val="0"/>
            <w:vAlign w:val="center"/>
          </w:tcPr>
          <w:p w14:paraId="06A25C73">
            <w:pPr>
              <w:jc w:val="center"/>
              <w:rPr>
                <w:rFonts w:hint="eastAsia" w:ascii="宋体" w:hAnsi="宋体"/>
                <w:szCs w:val="44"/>
              </w:rPr>
            </w:pPr>
          </w:p>
        </w:tc>
        <w:tc>
          <w:tcPr>
            <w:tcW w:w="798" w:type="dxa"/>
            <w:vMerge w:val="continue"/>
            <w:noWrap w:val="0"/>
            <w:vAlign w:val="center"/>
          </w:tcPr>
          <w:p w14:paraId="0628B17D">
            <w:pPr>
              <w:jc w:val="center"/>
              <w:rPr>
                <w:rFonts w:hint="eastAsia" w:ascii="宋体" w:hAnsi="宋体"/>
                <w:szCs w:val="44"/>
              </w:rPr>
            </w:pPr>
          </w:p>
        </w:tc>
        <w:tc>
          <w:tcPr>
            <w:tcW w:w="798" w:type="dxa"/>
            <w:vMerge w:val="continue"/>
            <w:noWrap w:val="0"/>
            <w:vAlign w:val="center"/>
          </w:tcPr>
          <w:p w14:paraId="1EC07457">
            <w:pPr>
              <w:jc w:val="center"/>
              <w:rPr>
                <w:rFonts w:hint="eastAsia" w:ascii="宋体" w:hAnsi="宋体"/>
                <w:szCs w:val="44"/>
              </w:rPr>
            </w:pPr>
          </w:p>
        </w:tc>
      </w:tr>
      <w:tr w14:paraId="7690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56DC2010">
            <w:pPr>
              <w:jc w:val="center"/>
              <w:rPr>
                <w:rFonts w:hint="eastAsia" w:ascii="黑体" w:hAnsi="宋体" w:eastAsia="黑体"/>
                <w:szCs w:val="44"/>
              </w:rPr>
            </w:pPr>
          </w:p>
        </w:tc>
        <w:tc>
          <w:tcPr>
            <w:tcW w:w="1529" w:type="dxa"/>
            <w:vMerge w:val="continue"/>
            <w:noWrap w:val="0"/>
            <w:vAlign w:val="center"/>
          </w:tcPr>
          <w:p w14:paraId="28BF5777">
            <w:pPr>
              <w:jc w:val="center"/>
              <w:rPr>
                <w:rFonts w:hint="eastAsia" w:ascii="宋体" w:hAnsi="宋体"/>
                <w:szCs w:val="21"/>
              </w:rPr>
            </w:pPr>
          </w:p>
        </w:tc>
        <w:tc>
          <w:tcPr>
            <w:tcW w:w="3600" w:type="dxa"/>
            <w:noWrap w:val="0"/>
            <w:vAlign w:val="center"/>
          </w:tcPr>
          <w:p w14:paraId="09E3EE71">
            <w:pPr>
              <w:rPr>
                <w:rFonts w:ascii="宋体" w:hAnsi="宋体"/>
                <w:bCs/>
                <w:szCs w:val="21"/>
              </w:rPr>
            </w:pPr>
          </w:p>
        </w:tc>
        <w:tc>
          <w:tcPr>
            <w:tcW w:w="720" w:type="dxa"/>
            <w:vMerge w:val="continue"/>
            <w:noWrap w:val="0"/>
            <w:vAlign w:val="center"/>
          </w:tcPr>
          <w:p w14:paraId="67EDC85E">
            <w:pPr>
              <w:jc w:val="center"/>
              <w:rPr>
                <w:rFonts w:hint="eastAsia" w:ascii="宋体" w:hAnsi="宋体"/>
                <w:szCs w:val="44"/>
              </w:rPr>
            </w:pPr>
          </w:p>
        </w:tc>
        <w:tc>
          <w:tcPr>
            <w:tcW w:w="797" w:type="dxa"/>
            <w:vMerge w:val="continue"/>
            <w:noWrap w:val="0"/>
            <w:vAlign w:val="center"/>
          </w:tcPr>
          <w:p w14:paraId="747743B2">
            <w:pPr>
              <w:jc w:val="center"/>
              <w:rPr>
                <w:rFonts w:hint="eastAsia" w:ascii="宋体" w:hAnsi="宋体"/>
                <w:szCs w:val="44"/>
              </w:rPr>
            </w:pPr>
          </w:p>
        </w:tc>
        <w:tc>
          <w:tcPr>
            <w:tcW w:w="798" w:type="dxa"/>
            <w:vMerge w:val="continue"/>
            <w:noWrap w:val="0"/>
            <w:vAlign w:val="center"/>
          </w:tcPr>
          <w:p w14:paraId="1DEF2EC5">
            <w:pPr>
              <w:jc w:val="center"/>
              <w:rPr>
                <w:rFonts w:hint="eastAsia" w:ascii="宋体" w:hAnsi="宋体"/>
                <w:szCs w:val="44"/>
              </w:rPr>
            </w:pPr>
          </w:p>
        </w:tc>
        <w:tc>
          <w:tcPr>
            <w:tcW w:w="798" w:type="dxa"/>
            <w:vMerge w:val="continue"/>
            <w:noWrap w:val="0"/>
            <w:vAlign w:val="center"/>
          </w:tcPr>
          <w:p w14:paraId="6E88F1FA">
            <w:pPr>
              <w:jc w:val="center"/>
              <w:rPr>
                <w:rFonts w:hint="eastAsia" w:ascii="宋体" w:hAnsi="宋体"/>
                <w:szCs w:val="44"/>
              </w:rPr>
            </w:pPr>
          </w:p>
        </w:tc>
        <w:tc>
          <w:tcPr>
            <w:tcW w:w="797" w:type="dxa"/>
            <w:vMerge w:val="continue"/>
            <w:noWrap w:val="0"/>
            <w:vAlign w:val="center"/>
          </w:tcPr>
          <w:p w14:paraId="705052BA">
            <w:pPr>
              <w:jc w:val="center"/>
              <w:rPr>
                <w:rFonts w:hint="eastAsia" w:ascii="宋体" w:hAnsi="宋体"/>
                <w:szCs w:val="44"/>
              </w:rPr>
            </w:pPr>
          </w:p>
        </w:tc>
        <w:tc>
          <w:tcPr>
            <w:tcW w:w="798" w:type="dxa"/>
            <w:vMerge w:val="continue"/>
            <w:noWrap w:val="0"/>
            <w:vAlign w:val="center"/>
          </w:tcPr>
          <w:p w14:paraId="1C8176BA">
            <w:pPr>
              <w:jc w:val="center"/>
              <w:rPr>
                <w:rFonts w:hint="eastAsia" w:ascii="宋体" w:hAnsi="宋体"/>
                <w:szCs w:val="44"/>
              </w:rPr>
            </w:pPr>
          </w:p>
        </w:tc>
        <w:tc>
          <w:tcPr>
            <w:tcW w:w="798" w:type="dxa"/>
            <w:vMerge w:val="continue"/>
            <w:noWrap w:val="0"/>
            <w:vAlign w:val="center"/>
          </w:tcPr>
          <w:p w14:paraId="79D129F9">
            <w:pPr>
              <w:jc w:val="center"/>
              <w:rPr>
                <w:rFonts w:hint="eastAsia" w:ascii="宋体" w:hAnsi="宋体"/>
                <w:szCs w:val="44"/>
              </w:rPr>
            </w:pPr>
          </w:p>
        </w:tc>
        <w:tc>
          <w:tcPr>
            <w:tcW w:w="797" w:type="dxa"/>
            <w:vMerge w:val="continue"/>
            <w:noWrap w:val="0"/>
            <w:vAlign w:val="center"/>
          </w:tcPr>
          <w:p w14:paraId="6EE9A24F">
            <w:pPr>
              <w:jc w:val="center"/>
              <w:rPr>
                <w:rFonts w:hint="eastAsia" w:ascii="宋体" w:hAnsi="宋体"/>
                <w:szCs w:val="44"/>
              </w:rPr>
            </w:pPr>
          </w:p>
        </w:tc>
        <w:tc>
          <w:tcPr>
            <w:tcW w:w="798" w:type="dxa"/>
            <w:vMerge w:val="continue"/>
            <w:noWrap w:val="0"/>
            <w:vAlign w:val="center"/>
          </w:tcPr>
          <w:p w14:paraId="423E6317">
            <w:pPr>
              <w:jc w:val="center"/>
              <w:rPr>
                <w:rFonts w:hint="eastAsia" w:ascii="宋体" w:hAnsi="宋体"/>
                <w:szCs w:val="44"/>
              </w:rPr>
            </w:pPr>
          </w:p>
        </w:tc>
        <w:tc>
          <w:tcPr>
            <w:tcW w:w="798" w:type="dxa"/>
            <w:vMerge w:val="continue"/>
            <w:noWrap w:val="0"/>
            <w:vAlign w:val="center"/>
          </w:tcPr>
          <w:p w14:paraId="0C219F61">
            <w:pPr>
              <w:jc w:val="center"/>
              <w:rPr>
                <w:rFonts w:hint="eastAsia" w:ascii="宋体" w:hAnsi="宋体"/>
                <w:szCs w:val="44"/>
              </w:rPr>
            </w:pPr>
          </w:p>
        </w:tc>
      </w:tr>
      <w:tr w14:paraId="6F8A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restart"/>
            <w:noWrap w:val="0"/>
            <w:vAlign w:val="center"/>
          </w:tcPr>
          <w:p w14:paraId="7DFC4CCD">
            <w:pPr>
              <w:jc w:val="center"/>
              <w:rPr>
                <w:rFonts w:hint="eastAsia" w:ascii="黑体" w:hAnsi="宋体" w:eastAsia="黑体"/>
                <w:szCs w:val="44"/>
              </w:rPr>
            </w:pPr>
            <w:r>
              <w:rPr>
                <w:rFonts w:hint="eastAsia" w:ascii="黑体" w:hAnsi="宋体" w:eastAsia="黑体"/>
                <w:szCs w:val="44"/>
              </w:rPr>
              <w:t>4</w:t>
            </w:r>
          </w:p>
        </w:tc>
        <w:tc>
          <w:tcPr>
            <w:tcW w:w="1529" w:type="dxa"/>
            <w:vMerge w:val="restart"/>
            <w:noWrap w:val="0"/>
            <w:vAlign w:val="center"/>
          </w:tcPr>
          <w:p w14:paraId="455B3F1C">
            <w:pPr>
              <w:jc w:val="center"/>
              <w:rPr>
                <w:rFonts w:hint="eastAsia" w:ascii="宋体" w:hAnsi="宋体"/>
                <w:szCs w:val="44"/>
              </w:rPr>
            </w:pPr>
            <w:r>
              <w:rPr>
                <w:rFonts w:hint="eastAsia" w:ascii="宋体" w:hAnsi="宋体"/>
                <w:szCs w:val="21"/>
              </w:rPr>
              <w:t>施工准备与资源配置计划</w:t>
            </w:r>
          </w:p>
        </w:tc>
        <w:tc>
          <w:tcPr>
            <w:tcW w:w="3600" w:type="dxa"/>
            <w:noWrap w:val="0"/>
            <w:vAlign w:val="center"/>
          </w:tcPr>
          <w:p w14:paraId="67D5D95C">
            <w:pPr>
              <w:rPr>
                <w:rFonts w:hint="eastAsia" w:ascii="宋体" w:hAnsi="宋体"/>
                <w:bCs/>
                <w:szCs w:val="21"/>
              </w:rPr>
            </w:pPr>
          </w:p>
        </w:tc>
        <w:tc>
          <w:tcPr>
            <w:tcW w:w="720" w:type="dxa"/>
            <w:vMerge w:val="restart"/>
            <w:noWrap w:val="0"/>
            <w:vAlign w:val="center"/>
          </w:tcPr>
          <w:p w14:paraId="6C203209">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78D6FEA1">
            <w:pPr>
              <w:jc w:val="center"/>
              <w:rPr>
                <w:rFonts w:hint="eastAsia" w:ascii="宋体" w:hAnsi="宋体"/>
                <w:szCs w:val="44"/>
              </w:rPr>
            </w:pPr>
          </w:p>
        </w:tc>
        <w:tc>
          <w:tcPr>
            <w:tcW w:w="798" w:type="dxa"/>
            <w:vMerge w:val="restart"/>
            <w:noWrap w:val="0"/>
            <w:vAlign w:val="center"/>
          </w:tcPr>
          <w:p w14:paraId="611B6570">
            <w:pPr>
              <w:jc w:val="center"/>
              <w:rPr>
                <w:rFonts w:hint="eastAsia" w:ascii="宋体" w:hAnsi="宋体"/>
                <w:szCs w:val="44"/>
              </w:rPr>
            </w:pPr>
          </w:p>
        </w:tc>
        <w:tc>
          <w:tcPr>
            <w:tcW w:w="798" w:type="dxa"/>
            <w:vMerge w:val="restart"/>
            <w:noWrap w:val="0"/>
            <w:vAlign w:val="center"/>
          </w:tcPr>
          <w:p w14:paraId="3E483F59">
            <w:pPr>
              <w:jc w:val="center"/>
              <w:rPr>
                <w:rFonts w:hint="eastAsia" w:ascii="宋体" w:hAnsi="宋体"/>
                <w:szCs w:val="44"/>
              </w:rPr>
            </w:pPr>
          </w:p>
        </w:tc>
        <w:tc>
          <w:tcPr>
            <w:tcW w:w="797" w:type="dxa"/>
            <w:vMerge w:val="restart"/>
            <w:noWrap w:val="0"/>
            <w:vAlign w:val="center"/>
          </w:tcPr>
          <w:p w14:paraId="3F11E69D">
            <w:pPr>
              <w:jc w:val="center"/>
              <w:rPr>
                <w:rFonts w:hint="eastAsia" w:ascii="宋体" w:hAnsi="宋体"/>
                <w:szCs w:val="44"/>
              </w:rPr>
            </w:pPr>
          </w:p>
        </w:tc>
        <w:tc>
          <w:tcPr>
            <w:tcW w:w="798" w:type="dxa"/>
            <w:vMerge w:val="restart"/>
            <w:noWrap w:val="0"/>
            <w:vAlign w:val="center"/>
          </w:tcPr>
          <w:p w14:paraId="0276AD09">
            <w:pPr>
              <w:jc w:val="center"/>
              <w:rPr>
                <w:rFonts w:hint="eastAsia" w:ascii="宋体" w:hAnsi="宋体"/>
                <w:szCs w:val="44"/>
              </w:rPr>
            </w:pPr>
          </w:p>
        </w:tc>
        <w:tc>
          <w:tcPr>
            <w:tcW w:w="798" w:type="dxa"/>
            <w:vMerge w:val="restart"/>
            <w:noWrap w:val="0"/>
            <w:vAlign w:val="center"/>
          </w:tcPr>
          <w:p w14:paraId="64A41338">
            <w:pPr>
              <w:jc w:val="center"/>
              <w:rPr>
                <w:rFonts w:hint="eastAsia" w:ascii="宋体" w:hAnsi="宋体"/>
                <w:szCs w:val="44"/>
              </w:rPr>
            </w:pPr>
          </w:p>
        </w:tc>
        <w:tc>
          <w:tcPr>
            <w:tcW w:w="797" w:type="dxa"/>
            <w:vMerge w:val="restart"/>
            <w:noWrap w:val="0"/>
            <w:vAlign w:val="center"/>
          </w:tcPr>
          <w:p w14:paraId="3B00ECA7">
            <w:pPr>
              <w:jc w:val="center"/>
              <w:rPr>
                <w:rFonts w:hint="eastAsia" w:ascii="宋体" w:hAnsi="宋体"/>
                <w:szCs w:val="44"/>
              </w:rPr>
            </w:pPr>
          </w:p>
        </w:tc>
        <w:tc>
          <w:tcPr>
            <w:tcW w:w="798" w:type="dxa"/>
            <w:vMerge w:val="restart"/>
            <w:noWrap w:val="0"/>
            <w:vAlign w:val="center"/>
          </w:tcPr>
          <w:p w14:paraId="6CEFC8B0">
            <w:pPr>
              <w:jc w:val="center"/>
              <w:rPr>
                <w:rFonts w:hint="eastAsia" w:ascii="宋体" w:hAnsi="宋体"/>
                <w:szCs w:val="44"/>
              </w:rPr>
            </w:pPr>
          </w:p>
        </w:tc>
        <w:tc>
          <w:tcPr>
            <w:tcW w:w="798" w:type="dxa"/>
            <w:vMerge w:val="restart"/>
            <w:noWrap w:val="0"/>
            <w:vAlign w:val="center"/>
          </w:tcPr>
          <w:p w14:paraId="0423855D">
            <w:pPr>
              <w:jc w:val="center"/>
              <w:rPr>
                <w:rFonts w:hint="eastAsia" w:ascii="宋体" w:hAnsi="宋体"/>
                <w:szCs w:val="44"/>
              </w:rPr>
            </w:pPr>
          </w:p>
        </w:tc>
      </w:tr>
      <w:tr w14:paraId="70CDF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62F1D7A7">
            <w:pPr>
              <w:jc w:val="center"/>
              <w:rPr>
                <w:rFonts w:hint="eastAsia" w:ascii="黑体" w:hAnsi="宋体" w:eastAsia="黑体"/>
                <w:szCs w:val="44"/>
              </w:rPr>
            </w:pPr>
          </w:p>
        </w:tc>
        <w:tc>
          <w:tcPr>
            <w:tcW w:w="1529" w:type="dxa"/>
            <w:vMerge w:val="continue"/>
            <w:noWrap w:val="0"/>
            <w:vAlign w:val="center"/>
          </w:tcPr>
          <w:p w14:paraId="50600E43">
            <w:pPr>
              <w:jc w:val="center"/>
              <w:rPr>
                <w:rFonts w:hint="eastAsia" w:ascii="宋体" w:hAnsi="宋体"/>
                <w:szCs w:val="21"/>
              </w:rPr>
            </w:pPr>
          </w:p>
        </w:tc>
        <w:tc>
          <w:tcPr>
            <w:tcW w:w="3600" w:type="dxa"/>
            <w:noWrap w:val="0"/>
            <w:vAlign w:val="center"/>
          </w:tcPr>
          <w:p w14:paraId="15694E1E">
            <w:pPr>
              <w:rPr>
                <w:rFonts w:hint="eastAsia" w:ascii="宋体" w:hAnsi="宋体"/>
                <w:bCs/>
                <w:szCs w:val="21"/>
              </w:rPr>
            </w:pPr>
          </w:p>
        </w:tc>
        <w:tc>
          <w:tcPr>
            <w:tcW w:w="720" w:type="dxa"/>
            <w:vMerge w:val="continue"/>
            <w:noWrap w:val="0"/>
            <w:vAlign w:val="center"/>
          </w:tcPr>
          <w:p w14:paraId="0A8B980E">
            <w:pPr>
              <w:jc w:val="center"/>
              <w:rPr>
                <w:rFonts w:hint="eastAsia" w:ascii="宋体" w:hAnsi="宋体"/>
                <w:szCs w:val="44"/>
              </w:rPr>
            </w:pPr>
          </w:p>
        </w:tc>
        <w:tc>
          <w:tcPr>
            <w:tcW w:w="797" w:type="dxa"/>
            <w:vMerge w:val="continue"/>
            <w:noWrap w:val="0"/>
            <w:vAlign w:val="center"/>
          </w:tcPr>
          <w:p w14:paraId="10F4C7DF">
            <w:pPr>
              <w:jc w:val="center"/>
              <w:rPr>
                <w:rFonts w:hint="eastAsia" w:ascii="宋体" w:hAnsi="宋体"/>
                <w:szCs w:val="44"/>
              </w:rPr>
            </w:pPr>
          </w:p>
        </w:tc>
        <w:tc>
          <w:tcPr>
            <w:tcW w:w="798" w:type="dxa"/>
            <w:vMerge w:val="continue"/>
            <w:noWrap w:val="0"/>
            <w:vAlign w:val="center"/>
          </w:tcPr>
          <w:p w14:paraId="3636D954">
            <w:pPr>
              <w:jc w:val="center"/>
              <w:rPr>
                <w:rFonts w:hint="eastAsia" w:ascii="宋体" w:hAnsi="宋体"/>
                <w:szCs w:val="44"/>
              </w:rPr>
            </w:pPr>
          </w:p>
        </w:tc>
        <w:tc>
          <w:tcPr>
            <w:tcW w:w="798" w:type="dxa"/>
            <w:vMerge w:val="continue"/>
            <w:noWrap w:val="0"/>
            <w:vAlign w:val="center"/>
          </w:tcPr>
          <w:p w14:paraId="2441EA4F">
            <w:pPr>
              <w:jc w:val="center"/>
              <w:rPr>
                <w:rFonts w:hint="eastAsia" w:ascii="宋体" w:hAnsi="宋体"/>
                <w:szCs w:val="44"/>
              </w:rPr>
            </w:pPr>
          </w:p>
        </w:tc>
        <w:tc>
          <w:tcPr>
            <w:tcW w:w="797" w:type="dxa"/>
            <w:vMerge w:val="continue"/>
            <w:noWrap w:val="0"/>
            <w:vAlign w:val="center"/>
          </w:tcPr>
          <w:p w14:paraId="51724702">
            <w:pPr>
              <w:jc w:val="center"/>
              <w:rPr>
                <w:rFonts w:hint="eastAsia" w:ascii="宋体" w:hAnsi="宋体"/>
                <w:szCs w:val="44"/>
              </w:rPr>
            </w:pPr>
          </w:p>
        </w:tc>
        <w:tc>
          <w:tcPr>
            <w:tcW w:w="798" w:type="dxa"/>
            <w:vMerge w:val="continue"/>
            <w:noWrap w:val="0"/>
            <w:vAlign w:val="center"/>
          </w:tcPr>
          <w:p w14:paraId="3125F88E">
            <w:pPr>
              <w:jc w:val="center"/>
              <w:rPr>
                <w:rFonts w:hint="eastAsia" w:ascii="宋体" w:hAnsi="宋体"/>
                <w:szCs w:val="44"/>
              </w:rPr>
            </w:pPr>
          </w:p>
        </w:tc>
        <w:tc>
          <w:tcPr>
            <w:tcW w:w="798" w:type="dxa"/>
            <w:vMerge w:val="continue"/>
            <w:noWrap w:val="0"/>
            <w:vAlign w:val="center"/>
          </w:tcPr>
          <w:p w14:paraId="7ACB7FC9">
            <w:pPr>
              <w:jc w:val="center"/>
              <w:rPr>
                <w:rFonts w:hint="eastAsia" w:ascii="宋体" w:hAnsi="宋体"/>
                <w:szCs w:val="44"/>
              </w:rPr>
            </w:pPr>
          </w:p>
        </w:tc>
        <w:tc>
          <w:tcPr>
            <w:tcW w:w="797" w:type="dxa"/>
            <w:vMerge w:val="continue"/>
            <w:noWrap w:val="0"/>
            <w:vAlign w:val="center"/>
          </w:tcPr>
          <w:p w14:paraId="275798D6">
            <w:pPr>
              <w:jc w:val="center"/>
              <w:rPr>
                <w:rFonts w:hint="eastAsia" w:ascii="宋体" w:hAnsi="宋体"/>
                <w:szCs w:val="44"/>
              </w:rPr>
            </w:pPr>
          </w:p>
        </w:tc>
        <w:tc>
          <w:tcPr>
            <w:tcW w:w="798" w:type="dxa"/>
            <w:vMerge w:val="continue"/>
            <w:noWrap w:val="0"/>
            <w:vAlign w:val="center"/>
          </w:tcPr>
          <w:p w14:paraId="49DB56E7">
            <w:pPr>
              <w:jc w:val="center"/>
              <w:rPr>
                <w:rFonts w:hint="eastAsia" w:ascii="宋体" w:hAnsi="宋体"/>
                <w:szCs w:val="44"/>
              </w:rPr>
            </w:pPr>
          </w:p>
        </w:tc>
        <w:tc>
          <w:tcPr>
            <w:tcW w:w="798" w:type="dxa"/>
            <w:vMerge w:val="continue"/>
            <w:noWrap w:val="0"/>
            <w:vAlign w:val="center"/>
          </w:tcPr>
          <w:p w14:paraId="401D15BE">
            <w:pPr>
              <w:jc w:val="center"/>
              <w:rPr>
                <w:rFonts w:hint="eastAsia" w:ascii="宋体" w:hAnsi="宋体"/>
                <w:szCs w:val="44"/>
              </w:rPr>
            </w:pPr>
          </w:p>
        </w:tc>
      </w:tr>
      <w:tr w14:paraId="5CAC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trPr>
        <w:tc>
          <w:tcPr>
            <w:tcW w:w="739" w:type="dxa"/>
            <w:vMerge w:val="continue"/>
            <w:noWrap w:val="0"/>
            <w:vAlign w:val="center"/>
          </w:tcPr>
          <w:p w14:paraId="214AF461">
            <w:pPr>
              <w:jc w:val="center"/>
              <w:rPr>
                <w:rFonts w:hint="eastAsia" w:ascii="黑体" w:hAnsi="宋体" w:eastAsia="黑体"/>
                <w:szCs w:val="44"/>
              </w:rPr>
            </w:pPr>
          </w:p>
        </w:tc>
        <w:tc>
          <w:tcPr>
            <w:tcW w:w="1529" w:type="dxa"/>
            <w:vMerge w:val="continue"/>
            <w:noWrap w:val="0"/>
            <w:vAlign w:val="center"/>
          </w:tcPr>
          <w:p w14:paraId="71C778FE">
            <w:pPr>
              <w:jc w:val="center"/>
              <w:rPr>
                <w:rFonts w:hint="eastAsia" w:ascii="宋体" w:hAnsi="宋体"/>
                <w:szCs w:val="21"/>
              </w:rPr>
            </w:pPr>
          </w:p>
        </w:tc>
        <w:tc>
          <w:tcPr>
            <w:tcW w:w="3600" w:type="dxa"/>
            <w:noWrap w:val="0"/>
            <w:vAlign w:val="center"/>
          </w:tcPr>
          <w:p w14:paraId="5BE9AE9D">
            <w:pPr>
              <w:rPr>
                <w:rFonts w:hint="eastAsia" w:ascii="宋体" w:hAnsi="宋体"/>
                <w:bCs/>
                <w:szCs w:val="21"/>
              </w:rPr>
            </w:pPr>
          </w:p>
        </w:tc>
        <w:tc>
          <w:tcPr>
            <w:tcW w:w="720" w:type="dxa"/>
            <w:vMerge w:val="continue"/>
            <w:noWrap w:val="0"/>
            <w:vAlign w:val="center"/>
          </w:tcPr>
          <w:p w14:paraId="6BE7FED5">
            <w:pPr>
              <w:jc w:val="center"/>
              <w:rPr>
                <w:rFonts w:hint="eastAsia" w:ascii="宋体" w:hAnsi="宋体"/>
                <w:szCs w:val="44"/>
              </w:rPr>
            </w:pPr>
          </w:p>
        </w:tc>
        <w:tc>
          <w:tcPr>
            <w:tcW w:w="797" w:type="dxa"/>
            <w:vMerge w:val="continue"/>
            <w:noWrap w:val="0"/>
            <w:vAlign w:val="center"/>
          </w:tcPr>
          <w:p w14:paraId="4DDCB6D4">
            <w:pPr>
              <w:jc w:val="center"/>
              <w:rPr>
                <w:rFonts w:hint="eastAsia" w:ascii="宋体" w:hAnsi="宋体"/>
                <w:szCs w:val="44"/>
              </w:rPr>
            </w:pPr>
          </w:p>
        </w:tc>
        <w:tc>
          <w:tcPr>
            <w:tcW w:w="798" w:type="dxa"/>
            <w:vMerge w:val="continue"/>
            <w:noWrap w:val="0"/>
            <w:vAlign w:val="center"/>
          </w:tcPr>
          <w:p w14:paraId="20E24A4D">
            <w:pPr>
              <w:jc w:val="center"/>
              <w:rPr>
                <w:rFonts w:hint="eastAsia" w:ascii="宋体" w:hAnsi="宋体"/>
                <w:szCs w:val="44"/>
              </w:rPr>
            </w:pPr>
          </w:p>
        </w:tc>
        <w:tc>
          <w:tcPr>
            <w:tcW w:w="798" w:type="dxa"/>
            <w:vMerge w:val="continue"/>
            <w:noWrap w:val="0"/>
            <w:vAlign w:val="center"/>
          </w:tcPr>
          <w:p w14:paraId="1DE7919A">
            <w:pPr>
              <w:jc w:val="center"/>
              <w:rPr>
                <w:rFonts w:hint="eastAsia" w:ascii="宋体" w:hAnsi="宋体"/>
                <w:szCs w:val="44"/>
              </w:rPr>
            </w:pPr>
          </w:p>
        </w:tc>
        <w:tc>
          <w:tcPr>
            <w:tcW w:w="797" w:type="dxa"/>
            <w:vMerge w:val="continue"/>
            <w:noWrap w:val="0"/>
            <w:vAlign w:val="center"/>
          </w:tcPr>
          <w:p w14:paraId="2FE2F991">
            <w:pPr>
              <w:jc w:val="center"/>
              <w:rPr>
                <w:rFonts w:hint="eastAsia" w:ascii="宋体" w:hAnsi="宋体"/>
                <w:szCs w:val="44"/>
              </w:rPr>
            </w:pPr>
          </w:p>
        </w:tc>
        <w:tc>
          <w:tcPr>
            <w:tcW w:w="798" w:type="dxa"/>
            <w:vMerge w:val="continue"/>
            <w:noWrap w:val="0"/>
            <w:vAlign w:val="center"/>
          </w:tcPr>
          <w:p w14:paraId="58576441">
            <w:pPr>
              <w:jc w:val="center"/>
              <w:rPr>
                <w:rFonts w:hint="eastAsia" w:ascii="宋体" w:hAnsi="宋体"/>
                <w:szCs w:val="44"/>
              </w:rPr>
            </w:pPr>
          </w:p>
        </w:tc>
        <w:tc>
          <w:tcPr>
            <w:tcW w:w="798" w:type="dxa"/>
            <w:vMerge w:val="continue"/>
            <w:noWrap w:val="0"/>
            <w:vAlign w:val="center"/>
          </w:tcPr>
          <w:p w14:paraId="14190F39">
            <w:pPr>
              <w:jc w:val="center"/>
              <w:rPr>
                <w:rFonts w:hint="eastAsia" w:ascii="宋体" w:hAnsi="宋体"/>
                <w:szCs w:val="44"/>
              </w:rPr>
            </w:pPr>
          </w:p>
        </w:tc>
        <w:tc>
          <w:tcPr>
            <w:tcW w:w="797" w:type="dxa"/>
            <w:vMerge w:val="continue"/>
            <w:noWrap w:val="0"/>
            <w:vAlign w:val="center"/>
          </w:tcPr>
          <w:p w14:paraId="203E43BC">
            <w:pPr>
              <w:jc w:val="center"/>
              <w:rPr>
                <w:rFonts w:hint="eastAsia" w:ascii="宋体" w:hAnsi="宋体"/>
                <w:szCs w:val="44"/>
              </w:rPr>
            </w:pPr>
          </w:p>
        </w:tc>
        <w:tc>
          <w:tcPr>
            <w:tcW w:w="798" w:type="dxa"/>
            <w:vMerge w:val="continue"/>
            <w:noWrap w:val="0"/>
            <w:vAlign w:val="center"/>
          </w:tcPr>
          <w:p w14:paraId="369DA72E">
            <w:pPr>
              <w:jc w:val="center"/>
              <w:rPr>
                <w:rFonts w:hint="eastAsia" w:ascii="宋体" w:hAnsi="宋体"/>
                <w:szCs w:val="44"/>
              </w:rPr>
            </w:pPr>
          </w:p>
        </w:tc>
        <w:tc>
          <w:tcPr>
            <w:tcW w:w="798" w:type="dxa"/>
            <w:vMerge w:val="continue"/>
            <w:noWrap w:val="0"/>
            <w:vAlign w:val="center"/>
          </w:tcPr>
          <w:p w14:paraId="437C9849">
            <w:pPr>
              <w:jc w:val="center"/>
              <w:rPr>
                <w:rFonts w:hint="eastAsia" w:ascii="宋体" w:hAnsi="宋体"/>
                <w:szCs w:val="44"/>
              </w:rPr>
            </w:pPr>
          </w:p>
        </w:tc>
      </w:tr>
      <w:tr w14:paraId="51F5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39" w:type="dxa"/>
            <w:vMerge w:val="continue"/>
            <w:noWrap w:val="0"/>
            <w:vAlign w:val="center"/>
          </w:tcPr>
          <w:p w14:paraId="778FD2B8">
            <w:pPr>
              <w:jc w:val="center"/>
              <w:rPr>
                <w:rFonts w:hint="eastAsia" w:ascii="黑体" w:hAnsi="宋体" w:eastAsia="黑体"/>
                <w:szCs w:val="44"/>
              </w:rPr>
            </w:pPr>
          </w:p>
        </w:tc>
        <w:tc>
          <w:tcPr>
            <w:tcW w:w="1529" w:type="dxa"/>
            <w:vMerge w:val="continue"/>
            <w:noWrap w:val="0"/>
            <w:vAlign w:val="center"/>
          </w:tcPr>
          <w:p w14:paraId="694FE95A">
            <w:pPr>
              <w:jc w:val="center"/>
              <w:rPr>
                <w:rFonts w:hint="eastAsia" w:ascii="宋体" w:hAnsi="宋体"/>
                <w:szCs w:val="21"/>
              </w:rPr>
            </w:pPr>
          </w:p>
        </w:tc>
        <w:tc>
          <w:tcPr>
            <w:tcW w:w="3600" w:type="dxa"/>
            <w:noWrap w:val="0"/>
            <w:vAlign w:val="center"/>
          </w:tcPr>
          <w:p w14:paraId="204C05EC">
            <w:pPr>
              <w:rPr>
                <w:rFonts w:hint="eastAsia" w:ascii="宋体" w:hAnsi="宋体"/>
                <w:szCs w:val="44"/>
              </w:rPr>
            </w:pPr>
          </w:p>
        </w:tc>
        <w:tc>
          <w:tcPr>
            <w:tcW w:w="720" w:type="dxa"/>
            <w:vMerge w:val="continue"/>
            <w:noWrap w:val="0"/>
            <w:vAlign w:val="center"/>
          </w:tcPr>
          <w:p w14:paraId="69D92D52">
            <w:pPr>
              <w:jc w:val="center"/>
              <w:rPr>
                <w:rFonts w:hint="eastAsia" w:ascii="宋体" w:hAnsi="宋体"/>
                <w:szCs w:val="44"/>
              </w:rPr>
            </w:pPr>
          </w:p>
        </w:tc>
        <w:tc>
          <w:tcPr>
            <w:tcW w:w="797" w:type="dxa"/>
            <w:vMerge w:val="continue"/>
            <w:noWrap w:val="0"/>
            <w:vAlign w:val="center"/>
          </w:tcPr>
          <w:p w14:paraId="1003CD66">
            <w:pPr>
              <w:jc w:val="center"/>
              <w:rPr>
                <w:rFonts w:hint="eastAsia" w:ascii="宋体" w:hAnsi="宋体"/>
                <w:szCs w:val="44"/>
              </w:rPr>
            </w:pPr>
          </w:p>
        </w:tc>
        <w:tc>
          <w:tcPr>
            <w:tcW w:w="798" w:type="dxa"/>
            <w:vMerge w:val="continue"/>
            <w:noWrap w:val="0"/>
            <w:vAlign w:val="center"/>
          </w:tcPr>
          <w:p w14:paraId="504D9A59">
            <w:pPr>
              <w:jc w:val="center"/>
              <w:rPr>
                <w:rFonts w:hint="eastAsia" w:ascii="宋体" w:hAnsi="宋体"/>
                <w:szCs w:val="44"/>
              </w:rPr>
            </w:pPr>
          </w:p>
        </w:tc>
        <w:tc>
          <w:tcPr>
            <w:tcW w:w="798" w:type="dxa"/>
            <w:vMerge w:val="continue"/>
            <w:noWrap w:val="0"/>
            <w:vAlign w:val="center"/>
          </w:tcPr>
          <w:p w14:paraId="387A8C57">
            <w:pPr>
              <w:jc w:val="center"/>
              <w:rPr>
                <w:rFonts w:hint="eastAsia" w:ascii="宋体" w:hAnsi="宋体"/>
                <w:szCs w:val="44"/>
              </w:rPr>
            </w:pPr>
          </w:p>
        </w:tc>
        <w:tc>
          <w:tcPr>
            <w:tcW w:w="797" w:type="dxa"/>
            <w:vMerge w:val="continue"/>
            <w:noWrap w:val="0"/>
            <w:vAlign w:val="center"/>
          </w:tcPr>
          <w:p w14:paraId="388DF9DB">
            <w:pPr>
              <w:jc w:val="center"/>
              <w:rPr>
                <w:rFonts w:hint="eastAsia" w:ascii="宋体" w:hAnsi="宋体"/>
                <w:szCs w:val="44"/>
              </w:rPr>
            </w:pPr>
          </w:p>
        </w:tc>
        <w:tc>
          <w:tcPr>
            <w:tcW w:w="798" w:type="dxa"/>
            <w:vMerge w:val="continue"/>
            <w:noWrap w:val="0"/>
            <w:vAlign w:val="center"/>
          </w:tcPr>
          <w:p w14:paraId="4AF6D5BE">
            <w:pPr>
              <w:jc w:val="center"/>
              <w:rPr>
                <w:rFonts w:hint="eastAsia" w:ascii="宋体" w:hAnsi="宋体"/>
                <w:szCs w:val="44"/>
              </w:rPr>
            </w:pPr>
          </w:p>
        </w:tc>
        <w:tc>
          <w:tcPr>
            <w:tcW w:w="798" w:type="dxa"/>
            <w:vMerge w:val="continue"/>
            <w:noWrap w:val="0"/>
            <w:vAlign w:val="center"/>
          </w:tcPr>
          <w:p w14:paraId="04280620">
            <w:pPr>
              <w:jc w:val="center"/>
              <w:rPr>
                <w:rFonts w:hint="eastAsia" w:ascii="宋体" w:hAnsi="宋体"/>
                <w:szCs w:val="44"/>
              </w:rPr>
            </w:pPr>
          </w:p>
        </w:tc>
        <w:tc>
          <w:tcPr>
            <w:tcW w:w="797" w:type="dxa"/>
            <w:vMerge w:val="continue"/>
            <w:noWrap w:val="0"/>
            <w:vAlign w:val="center"/>
          </w:tcPr>
          <w:p w14:paraId="2DAFFCD3">
            <w:pPr>
              <w:jc w:val="center"/>
              <w:rPr>
                <w:rFonts w:hint="eastAsia" w:ascii="宋体" w:hAnsi="宋体"/>
                <w:szCs w:val="44"/>
              </w:rPr>
            </w:pPr>
          </w:p>
        </w:tc>
        <w:tc>
          <w:tcPr>
            <w:tcW w:w="798" w:type="dxa"/>
            <w:vMerge w:val="continue"/>
            <w:noWrap w:val="0"/>
            <w:vAlign w:val="center"/>
          </w:tcPr>
          <w:p w14:paraId="15C57362">
            <w:pPr>
              <w:jc w:val="center"/>
              <w:rPr>
                <w:rFonts w:hint="eastAsia" w:ascii="宋体" w:hAnsi="宋体"/>
                <w:szCs w:val="44"/>
              </w:rPr>
            </w:pPr>
          </w:p>
        </w:tc>
        <w:tc>
          <w:tcPr>
            <w:tcW w:w="798" w:type="dxa"/>
            <w:vMerge w:val="continue"/>
            <w:noWrap w:val="0"/>
            <w:vAlign w:val="center"/>
          </w:tcPr>
          <w:p w14:paraId="61FE504D">
            <w:pPr>
              <w:jc w:val="center"/>
              <w:rPr>
                <w:rFonts w:hint="eastAsia" w:ascii="宋体" w:hAnsi="宋体"/>
                <w:szCs w:val="44"/>
              </w:rPr>
            </w:pPr>
          </w:p>
        </w:tc>
      </w:tr>
    </w:tbl>
    <w:p w14:paraId="42906230">
      <w:pPr>
        <w:rPr>
          <w:rFonts w:hint="eastAsia"/>
        </w:rPr>
      </w:pPr>
    </w:p>
    <w:p w14:paraId="107461B5">
      <w:pPr>
        <w:rPr>
          <w:rFonts w:hint="eastAsia"/>
        </w:rPr>
      </w:pPr>
    </w:p>
    <w:p w14:paraId="543D0227">
      <w:pPr>
        <w:rPr>
          <w:rFonts w:hint="eastAsia"/>
        </w:rPr>
      </w:pPr>
    </w:p>
    <w:p w14:paraId="079E7B1D">
      <w:pPr>
        <w:rPr>
          <w:rFonts w:hint="eastAsia"/>
        </w:rPr>
      </w:pPr>
    </w:p>
    <w:p w14:paraId="0118DA38">
      <w:pPr>
        <w:rPr>
          <w:rFonts w:hint="eastAsia"/>
        </w:rPr>
      </w:pPr>
    </w:p>
    <w:p w14:paraId="505F92E1">
      <w:pPr>
        <w:rPr>
          <w:rFonts w:hint="eastAsia"/>
        </w:rPr>
      </w:pPr>
    </w:p>
    <w:p w14:paraId="4A0719DD">
      <w:pPr>
        <w:rPr>
          <w:rFonts w:hint="eastAsia"/>
        </w:rPr>
      </w:pPr>
    </w:p>
    <w:p w14:paraId="5B35BFA3">
      <w:pPr>
        <w:rPr>
          <w:rFonts w:hint="eastAsia"/>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29"/>
        <w:gridCol w:w="3600"/>
        <w:gridCol w:w="720"/>
        <w:gridCol w:w="797"/>
        <w:gridCol w:w="798"/>
        <w:gridCol w:w="798"/>
        <w:gridCol w:w="797"/>
        <w:gridCol w:w="798"/>
        <w:gridCol w:w="798"/>
        <w:gridCol w:w="797"/>
        <w:gridCol w:w="798"/>
        <w:gridCol w:w="798"/>
      </w:tblGrid>
      <w:tr w14:paraId="7E0B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restart"/>
            <w:noWrap w:val="0"/>
            <w:vAlign w:val="center"/>
          </w:tcPr>
          <w:p w14:paraId="629FDCD1">
            <w:pPr>
              <w:jc w:val="center"/>
              <w:rPr>
                <w:rFonts w:hint="eastAsia" w:ascii="宋体" w:hAnsi="宋体"/>
                <w:szCs w:val="44"/>
              </w:rPr>
            </w:pPr>
            <w:r>
              <w:rPr>
                <w:rFonts w:hint="eastAsia" w:ascii="宋体" w:hAnsi="宋体"/>
                <w:szCs w:val="44"/>
              </w:rPr>
              <w:t>序号</w:t>
            </w:r>
          </w:p>
        </w:tc>
        <w:tc>
          <w:tcPr>
            <w:tcW w:w="1529" w:type="dxa"/>
            <w:vMerge w:val="restart"/>
            <w:noWrap w:val="0"/>
            <w:vAlign w:val="center"/>
          </w:tcPr>
          <w:p w14:paraId="09E22C4B">
            <w:pPr>
              <w:jc w:val="center"/>
              <w:rPr>
                <w:rFonts w:hint="eastAsia" w:ascii="宋体" w:hAnsi="宋体"/>
                <w:szCs w:val="44"/>
              </w:rPr>
            </w:pPr>
            <w:r>
              <w:rPr>
                <w:rFonts w:hint="eastAsia" w:ascii="宋体" w:hAnsi="宋体"/>
                <w:szCs w:val="44"/>
              </w:rPr>
              <w:t>评分项目</w:t>
            </w:r>
          </w:p>
        </w:tc>
        <w:tc>
          <w:tcPr>
            <w:tcW w:w="3600" w:type="dxa"/>
            <w:vMerge w:val="restart"/>
            <w:noWrap w:val="0"/>
            <w:vAlign w:val="center"/>
          </w:tcPr>
          <w:p w14:paraId="5E967A16">
            <w:pPr>
              <w:jc w:val="center"/>
              <w:rPr>
                <w:rFonts w:hint="eastAsia" w:ascii="宋体" w:hAnsi="宋体"/>
                <w:szCs w:val="44"/>
              </w:rPr>
            </w:pPr>
            <w:r>
              <w:rPr>
                <w:rFonts w:hint="eastAsia" w:ascii="宋体" w:hAnsi="宋体"/>
                <w:szCs w:val="44"/>
              </w:rPr>
              <w:t>评分标准</w:t>
            </w:r>
          </w:p>
        </w:tc>
        <w:tc>
          <w:tcPr>
            <w:tcW w:w="720" w:type="dxa"/>
            <w:vMerge w:val="restart"/>
            <w:noWrap w:val="0"/>
            <w:vAlign w:val="center"/>
          </w:tcPr>
          <w:p w14:paraId="11EAB43E">
            <w:pPr>
              <w:jc w:val="center"/>
              <w:rPr>
                <w:rFonts w:hint="eastAsia" w:ascii="宋体" w:hAnsi="宋体"/>
                <w:szCs w:val="44"/>
              </w:rPr>
            </w:pPr>
            <w:r>
              <w:rPr>
                <w:rFonts w:hint="eastAsia" w:ascii="宋体" w:hAnsi="宋体"/>
                <w:szCs w:val="44"/>
              </w:rPr>
              <w:t>标准分</w:t>
            </w:r>
          </w:p>
        </w:tc>
        <w:tc>
          <w:tcPr>
            <w:tcW w:w="7179" w:type="dxa"/>
            <w:gridSpan w:val="9"/>
            <w:noWrap w:val="0"/>
            <w:vAlign w:val="center"/>
          </w:tcPr>
          <w:p w14:paraId="75916F7E">
            <w:pPr>
              <w:jc w:val="center"/>
              <w:rPr>
                <w:rFonts w:hint="eastAsia" w:ascii="宋体" w:hAnsi="宋体"/>
                <w:szCs w:val="44"/>
              </w:rPr>
            </w:pPr>
            <w:r>
              <w:rPr>
                <w:rFonts w:hint="eastAsia" w:ascii="宋体" w:hAnsi="宋体"/>
                <w:szCs w:val="44"/>
              </w:rPr>
              <w:t>投标人名称或暗标编号及评审得分</w:t>
            </w:r>
          </w:p>
        </w:tc>
      </w:tr>
      <w:tr w14:paraId="7865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Merge w:val="continue"/>
            <w:noWrap w:val="0"/>
            <w:vAlign w:val="center"/>
          </w:tcPr>
          <w:p w14:paraId="760100A5">
            <w:pPr>
              <w:jc w:val="center"/>
              <w:rPr>
                <w:rFonts w:hint="eastAsia" w:ascii="黑体" w:hAnsi="宋体" w:eastAsia="黑体"/>
                <w:szCs w:val="44"/>
              </w:rPr>
            </w:pPr>
          </w:p>
        </w:tc>
        <w:tc>
          <w:tcPr>
            <w:tcW w:w="1529" w:type="dxa"/>
            <w:vMerge w:val="continue"/>
            <w:noWrap w:val="0"/>
            <w:vAlign w:val="center"/>
          </w:tcPr>
          <w:p w14:paraId="73A1B39B">
            <w:pPr>
              <w:jc w:val="center"/>
              <w:rPr>
                <w:rFonts w:hint="eastAsia" w:ascii="宋体" w:hAnsi="宋体"/>
                <w:szCs w:val="21"/>
              </w:rPr>
            </w:pPr>
          </w:p>
        </w:tc>
        <w:tc>
          <w:tcPr>
            <w:tcW w:w="3600" w:type="dxa"/>
            <w:vMerge w:val="continue"/>
            <w:noWrap w:val="0"/>
            <w:vAlign w:val="center"/>
          </w:tcPr>
          <w:p w14:paraId="55117974">
            <w:pPr>
              <w:rPr>
                <w:rFonts w:hint="eastAsia" w:ascii="宋体" w:hAnsi="宋体"/>
                <w:szCs w:val="44"/>
              </w:rPr>
            </w:pPr>
          </w:p>
        </w:tc>
        <w:tc>
          <w:tcPr>
            <w:tcW w:w="720" w:type="dxa"/>
            <w:vMerge w:val="continue"/>
            <w:noWrap w:val="0"/>
            <w:vAlign w:val="center"/>
          </w:tcPr>
          <w:p w14:paraId="48D763FB">
            <w:pPr>
              <w:jc w:val="center"/>
              <w:rPr>
                <w:rFonts w:hint="eastAsia" w:ascii="宋体" w:hAnsi="宋体"/>
                <w:szCs w:val="44"/>
              </w:rPr>
            </w:pPr>
          </w:p>
        </w:tc>
        <w:tc>
          <w:tcPr>
            <w:tcW w:w="797" w:type="dxa"/>
            <w:noWrap w:val="0"/>
            <w:vAlign w:val="center"/>
          </w:tcPr>
          <w:p w14:paraId="2BDBDD81">
            <w:pPr>
              <w:jc w:val="center"/>
              <w:rPr>
                <w:rFonts w:hint="eastAsia" w:ascii="宋体" w:hAnsi="宋体"/>
                <w:szCs w:val="44"/>
              </w:rPr>
            </w:pPr>
          </w:p>
        </w:tc>
        <w:tc>
          <w:tcPr>
            <w:tcW w:w="798" w:type="dxa"/>
            <w:noWrap w:val="0"/>
            <w:vAlign w:val="center"/>
          </w:tcPr>
          <w:p w14:paraId="6D1629C3">
            <w:pPr>
              <w:jc w:val="center"/>
              <w:rPr>
                <w:rFonts w:hint="eastAsia" w:ascii="宋体" w:hAnsi="宋体"/>
                <w:szCs w:val="44"/>
              </w:rPr>
            </w:pPr>
          </w:p>
        </w:tc>
        <w:tc>
          <w:tcPr>
            <w:tcW w:w="798" w:type="dxa"/>
            <w:noWrap w:val="0"/>
            <w:vAlign w:val="center"/>
          </w:tcPr>
          <w:p w14:paraId="24D0D40E">
            <w:pPr>
              <w:jc w:val="center"/>
              <w:rPr>
                <w:rFonts w:hint="eastAsia" w:ascii="宋体" w:hAnsi="宋体"/>
                <w:szCs w:val="44"/>
              </w:rPr>
            </w:pPr>
          </w:p>
        </w:tc>
        <w:tc>
          <w:tcPr>
            <w:tcW w:w="797" w:type="dxa"/>
            <w:noWrap w:val="0"/>
            <w:vAlign w:val="center"/>
          </w:tcPr>
          <w:p w14:paraId="070195ED">
            <w:pPr>
              <w:jc w:val="center"/>
              <w:rPr>
                <w:rFonts w:hint="eastAsia" w:ascii="宋体" w:hAnsi="宋体"/>
                <w:szCs w:val="44"/>
              </w:rPr>
            </w:pPr>
          </w:p>
        </w:tc>
        <w:tc>
          <w:tcPr>
            <w:tcW w:w="798" w:type="dxa"/>
            <w:noWrap w:val="0"/>
            <w:vAlign w:val="center"/>
          </w:tcPr>
          <w:p w14:paraId="2A103BC1">
            <w:pPr>
              <w:jc w:val="center"/>
              <w:rPr>
                <w:rFonts w:hint="eastAsia" w:ascii="宋体" w:hAnsi="宋体"/>
                <w:szCs w:val="44"/>
              </w:rPr>
            </w:pPr>
          </w:p>
        </w:tc>
        <w:tc>
          <w:tcPr>
            <w:tcW w:w="798" w:type="dxa"/>
            <w:noWrap w:val="0"/>
            <w:vAlign w:val="center"/>
          </w:tcPr>
          <w:p w14:paraId="0DB5C8FF">
            <w:pPr>
              <w:jc w:val="center"/>
              <w:rPr>
                <w:rFonts w:hint="eastAsia" w:ascii="宋体" w:hAnsi="宋体"/>
                <w:szCs w:val="44"/>
              </w:rPr>
            </w:pPr>
          </w:p>
        </w:tc>
        <w:tc>
          <w:tcPr>
            <w:tcW w:w="797" w:type="dxa"/>
            <w:noWrap w:val="0"/>
            <w:vAlign w:val="center"/>
          </w:tcPr>
          <w:p w14:paraId="006EDE28">
            <w:pPr>
              <w:jc w:val="center"/>
              <w:rPr>
                <w:rFonts w:hint="eastAsia" w:ascii="宋体" w:hAnsi="宋体"/>
                <w:szCs w:val="44"/>
              </w:rPr>
            </w:pPr>
          </w:p>
        </w:tc>
        <w:tc>
          <w:tcPr>
            <w:tcW w:w="798" w:type="dxa"/>
            <w:noWrap w:val="0"/>
            <w:vAlign w:val="center"/>
          </w:tcPr>
          <w:p w14:paraId="01D18F47">
            <w:pPr>
              <w:jc w:val="center"/>
              <w:rPr>
                <w:rFonts w:hint="eastAsia" w:ascii="宋体" w:hAnsi="宋体"/>
                <w:szCs w:val="44"/>
              </w:rPr>
            </w:pPr>
          </w:p>
        </w:tc>
        <w:tc>
          <w:tcPr>
            <w:tcW w:w="798" w:type="dxa"/>
            <w:noWrap w:val="0"/>
            <w:vAlign w:val="center"/>
          </w:tcPr>
          <w:p w14:paraId="096CAC6C">
            <w:pPr>
              <w:jc w:val="center"/>
              <w:rPr>
                <w:rFonts w:hint="eastAsia" w:ascii="宋体" w:hAnsi="宋体"/>
                <w:szCs w:val="44"/>
              </w:rPr>
            </w:pPr>
          </w:p>
        </w:tc>
      </w:tr>
      <w:tr w14:paraId="4704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noWrap w:val="0"/>
            <w:vAlign w:val="center"/>
          </w:tcPr>
          <w:p w14:paraId="05A4551C">
            <w:pPr>
              <w:jc w:val="center"/>
              <w:rPr>
                <w:rFonts w:hint="eastAsia" w:ascii="黑体" w:hAnsi="宋体" w:eastAsia="黑体"/>
                <w:szCs w:val="44"/>
              </w:rPr>
            </w:pPr>
            <w:r>
              <w:rPr>
                <w:rFonts w:hint="eastAsia" w:ascii="黑体" w:hAnsi="宋体" w:eastAsia="黑体"/>
                <w:szCs w:val="44"/>
              </w:rPr>
              <w:t>5</w:t>
            </w:r>
          </w:p>
        </w:tc>
        <w:tc>
          <w:tcPr>
            <w:tcW w:w="1529" w:type="dxa"/>
            <w:vMerge w:val="restart"/>
            <w:noWrap w:val="0"/>
            <w:vAlign w:val="center"/>
          </w:tcPr>
          <w:p w14:paraId="6C7E4776">
            <w:pPr>
              <w:jc w:val="center"/>
              <w:rPr>
                <w:rFonts w:hint="eastAsia" w:ascii="宋体" w:hAnsi="宋体"/>
                <w:szCs w:val="44"/>
              </w:rPr>
            </w:pPr>
            <w:r>
              <w:rPr>
                <w:rFonts w:hint="eastAsia" w:ascii="宋体" w:hAnsi="宋体"/>
                <w:szCs w:val="21"/>
              </w:rPr>
              <w:t>主要施工方案</w:t>
            </w:r>
          </w:p>
        </w:tc>
        <w:tc>
          <w:tcPr>
            <w:tcW w:w="3600" w:type="dxa"/>
            <w:noWrap w:val="0"/>
            <w:vAlign w:val="center"/>
          </w:tcPr>
          <w:p w14:paraId="0BBEF4E6">
            <w:pPr>
              <w:rPr>
                <w:rFonts w:hint="eastAsia" w:ascii="宋体" w:hAnsi="宋体"/>
                <w:bCs/>
                <w:szCs w:val="21"/>
              </w:rPr>
            </w:pPr>
          </w:p>
        </w:tc>
        <w:tc>
          <w:tcPr>
            <w:tcW w:w="720" w:type="dxa"/>
            <w:vMerge w:val="restart"/>
            <w:noWrap w:val="0"/>
            <w:vAlign w:val="center"/>
          </w:tcPr>
          <w:p w14:paraId="3BB4D242">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72E075A4">
            <w:pPr>
              <w:jc w:val="center"/>
              <w:rPr>
                <w:rFonts w:hint="eastAsia" w:ascii="宋体" w:hAnsi="宋体"/>
                <w:szCs w:val="44"/>
              </w:rPr>
            </w:pPr>
          </w:p>
        </w:tc>
        <w:tc>
          <w:tcPr>
            <w:tcW w:w="798" w:type="dxa"/>
            <w:vMerge w:val="restart"/>
            <w:noWrap w:val="0"/>
            <w:vAlign w:val="center"/>
          </w:tcPr>
          <w:p w14:paraId="25A114C0">
            <w:pPr>
              <w:jc w:val="center"/>
              <w:rPr>
                <w:rFonts w:hint="eastAsia" w:ascii="宋体" w:hAnsi="宋体"/>
                <w:szCs w:val="44"/>
              </w:rPr>
            </w:pPr>
          </w:p>
        </w:tc>
        <w:tc>
          <w:tcPr>
            <w:tcW w:w="798" w:type="dxa"/>
            <w:vMerge w:val="restart"/>
            <w:noWrap w:val="0"/>
            <w:vAlign w:val="center"/>
          </w:tcPr>
          <w:p w14:paraId="302E42CC">
            <w:pPr>
              <w:jc w:val="center"/>
              <w:rPr>
                <w:rFonts w:hint="eastAsia" w:ascii="宋体" w:hAnsi="宋体"/>
                <w:szCs w:val="44"/>
              </w:rPr>
            </w:pPr>
          </w:p>
        </w:tc>
        <w:tc>
          <w:tcPr>
            <w:tcW w:w="797" w:type="dxa"/>
            <w:vMerge w:val="restart"/>
            <w:noWrap w:val="0"/>
            <w:vAlign w:val="center"/>
          </w:tcPr>
          <w:p w14:paraId="66669CC7">
            <w:pPr>
              <w:jc w:val="center"/>
              <w:rPr>
                <w:rFonts w:hint="eastAsia" w:ascii="宋体" w:hAnsi="宋体"/>
                <w:szCs w:val="44"/>
              </w:rPr>
            </w:pPr>
          </w:p>
        </w:tc>
        <w:tc>
          <w:tcPr>
            <w:tcW w:w="798" w:type="dxa"/>
            <w:vMerge w:val="restart"/>
            <w:noWrap w:val="0"/>
            <w:vAlign w:val="center"/>
          </w:tcPr>
          <w:p w14:paraId="2CD6DF4C">
            <w:pPr>
              <w:jc w:val="center"/>
              <w:rPr>
                <w:rFonts w:hint="eastAsia" w:ascii="宋体" w:hAnsi="宋体"/>
                <w:szCs w:val="44"/>
              </w:rPr>
            </w:pPr>
          </w:p>
        </w:tc>
        <w:tc>
          <w:tcPr>
            <w:tcW w:w="798" w:type="dxa"/>
            <w:vMerge w:val="restart"/>
            <w:noWrap w:val="0"/>
            <w:vAlign w:val="center"/>
          </w:tcPr>
          <w:p w14:paraId="6EFD836D">
            <w:pPr>
              <w:jc w:val="center"/>
              <w:rPr>
                <w:rFonts w:hint="eastAsia" w:ascii="宋体" w:hAnsi="宋体"/>
                <w:szCs w:val="44"/>
              </w:rPr>
            </w:pPr>
          </w:p>
        </w:tc>
        <w:tc>
          <w:tcPr>
            <w:tcW w:w="797" w:type="dxa"/>
            <w:vMerge w:val="restart"/>
            <w:noWrap w:val="0"/>
            <w:vAlign w:val="center"/>
          </w:tcPr>
          <w:p w14:paraId="3A979D60">
            <w:pPr>
              <w:jc w:val="center"/>
              <w:rPr>
                <w:rFonts w:hint="eastAsia" w:ascii="宋体" w:hAnsi="宋体"/>
                <w:szCs w:val="44"/>
              </w:rPr>
            </w:pPr>
          </w:p>
        </w:tc>
        <w:tc>
          <w:tcPr>
            <w:tcW w:w="798" w:type="dxa"/>
            <w:vMerge w:val="restart"/>
            <w:noWrap w:val="0"/>
            <w:vAlign w:val="center"/>
          </w:tcPr>
          <w:p w14:paraId="475B04AE">
            <w:pPr>
              <w:jc w:val="center"/>
              <w:rPr>
                <w:rFonts w:hint="eastAsia" w:ascii="宋体" w:hAnsi="宋体"/>
                <w:szCs w:val="44"/>
              </w:rPr>
            </w:pPr>
          </w:p>
        </w:tc>
        <w:tc>
          <w:tcPr>
            <w:tcW w:w="798" w:type="dxa"/>
            <w:vMerge w:val="restart"/>
            <w:noWrap w:val="0"/>
            <w:vAlign w:val="center"/>
          </w:tcPr>
          <w:p w14:paraId="56D14527">
            <w:pPr>
              <w:jc w:val="center"/>
              <w:rPr>
                <w:rFonts w:hint="eastAsia" w:ascii="宋体" w:hAnsi="宋体"/>
                <w:szCs w:val="44"/>
              </w:rPr>
            </w:pPr>
          </w:p>
        </w:tc>
      </w:tr>
      <w:tr w14:paraId="69F9C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4CA9A89D">
            <w:pPr>
              <w:jc w:val="center"/>
              <w:rPr>
                <w:rFonts w:hint="eastAsia" w:ascii="黑体" w:hAnsi="宋体" w:eastAsia="黑体"/>
                <w:szCs w:val="44"/>
              </w:rPr>
            </w:pPr>
          </w:p>
        </w:tc>
        <w:tc>
          <w:tcPr>
            <w:tcW w:w="1529" w:type="dxa"/>
            <w:vMerge w:val="continue"/>
            <w:noWrap w:val="0"/>
            <w:vAlign w:val="center"/>
          </w:tcPr>
          <w:p w14:paraId="474D1193">
            <w:pPr>
              <w:jc w:val="center"/>
              <w:rPr>
                <w:rFonts w:hint="eastAsia" w:ascii="宋体" w:hAnsi="宋体"/>
                <w:szCs w:val="21"/>
              </w:rPr>
            </w:pPr>
          </w:p>
        </w:tc>
        <w:tc>
          <w:tcPr>
            <w:tcW w:w="3600" w:type="dxa"/>
            <w:noWrap w:val="0"/>
            <w:vAlign w:val="center"/>
          </w:tcPr>
          <w:p w14:paraId="203815F7">
            <w:pPr>
              <w:rPr>
                <w:rFonts w:hint="eastAsia" w:ascii="宋体" w:hAnsi="宋体"/>
                <w:bCs/>
                <w:szCs w:val="21"/>
              </w:rPr>
            </w:pPr>
          </w:p>
        </w:tc>
        <w:tc>
          <w:tcPr>
            <w:tcW w:w="720" w:type="dxa"/>
            <w:vMerge w:val="continue"/>
            <w:noWrap w:val="0"/>
            <w:vAlign w:val="center"/>
          </w:tcPr>
          <w:p w14:paraId="265CB97D">
            <w:pPr>
              <w:jc w:val="center"/>
              <w:rPr>
                <w:rFonts w:hint="eastAsia" w:ascii="宋体" w:hAnsi="宋体"/>
                <w:szCs w:val="44"/>
              </w:rPr>
            </w:pPr>
          </w:p>
        </w:tc>
        <w:tc>
          <w:tcPr>
            <w:tcW w:w="797" w:type="dxa"/>
            <w:vMerge w:val="continue"/>
            <w:noWrap w:val="0"/>
            <w:vAlign w:val="center"/>
          </w:tcPr>
          <w:p w14:paraId="1608C479">
            <w:pPr>
              <w:jc w:val="center"/>
              <w:rPr>
                <w:rFonts w:hint="eastAsia" w:ascii="宋体" w:hAnsi="宋体"/>
                <w:szCs w:val="44"/>
              </w:rPr>
            </w:pPr>
          </w:p>
        </w:tc>
        <w:tc>
          <w:tcPr>
            <w:tcW w:w="798" w:type="dxa"/>
            <w:vMerge w:val="continue"/>
            <w:noWrap w:val="0"/>
            <w:vAlign w:val="center"/>
          </w:tcPr>
          <w:p w14:paraId="4D379749">
            <w:pPr>
              <w:jc w:val="center"/>
              <w:rPr>
                <w:rFonts w:hint="eastAsia" w:ascii="宋体" w:hAnsi="宋体"/>
                <w:szCs w:val="44"/>
              </w:rPr>
            </w:pPr>
          </w:p>
        </w:tc>
        <w:tc>
          <w:tcPr>
            <w:tcW w:w="798" w:type="dxa"/>
            <w:vMerge w:val="continue"/>
            <w:noWrap w:val="0"/>
            <w:vAlign w:val="center"/>
          </w:tcPr>
          <w:p w14:paraId="7FFC4E42">
            <w:pPr>
              <w:jc w:val="center"/>
              <w:rPr>
                <w:rFonts w:hint="eastAsia" w:ascii="宋体" w:hAnsi="宋体"/>
                <w:szCs w:val="44"/>
              </w:rPr>
            </w:pPr>
          </w:p>
        </w:tc>
        <w:tc>
          <w:tcPr>
            <w:tcW w:w="797" w:type="dxa"/>
            <w:vMerge w:val="continue"/>
            <w:noWrap w:val="0"/>
            <w:vAlign w:val="center"/>
          </w:tcPr>
          <w:p w14:paraId="093B1CD3">
            <w:pPr>
              <w:jc w:val="center"/>
              <w:rPr>
                <w:rFonts w:hint="eastAsia" w:ascii="宋体" w:hAnsi="宋体"/>
                <w:szCs w:val="44"/>
              </w:rPr>
            </w:pPr>
          </w:p>
        </w:tc>
        <w:tc>
          <w:tcPr>
            <w:tcW w:w="798" w:type="dxa"/>
            <w:vMerge w:val="continue"/>
            <w:noWrap w:val="0"/>
            <w:vAlign w:val="center"/>
          </w:tcPr>
          <w:p w14:paraId="03CD84D5">
            <w:pPr>
              <w:jc w:val="center"/>
              <w:rPr>
                <w:rFonts w:hint="eastAsia" w:ascii="宋体" w:hAnsi="宋体"/>
                <w:szCs w:val="44"/>
              </w:rPr>
            </w:pPr>
          </w:p>
        </w:tc>
        <w:tc>
          <w:tcPr>
            <w:tcW w:w="798" w:type="dxa"/>
            <w:vMerge w:val="continue"/>
            <w:noWrap w:val="0"/>
            <w:vAlign w:val="center"/>
          </w:tcPr>
          <w:p w14:paraId="7E0B27F1">
            <w:pPr>
              <w:jc w:val="center"/>
              <w:rPr>
                <w:rFonts w:hint="eastAsia" w:ascii="宋体" w:hAnsi="宋体"/>
                <w:szCs w:val="44"/>
              </w:rPr>
            </w:pPr>
          </w:p>
        </w:tc>
        <w:tc>
          <w:tcPr>
            <w:tcW w:w="797" w:type="dxa"/>
            <w:vMerge w:val="continue"/>
            <w:noWrap w:val="0"/>
            <w:vAlign w:val="center"/>
          </w:tcPr>
          <w:p w14:paraId="18F3838C">
            <w:pPr>
              <w:jc w:val="center"/>
              <w:rPr>
                <w:rFonts w:hint="eastAsia" w:ascii="宋体" w:hAnsi="宋体"/>
                <w:szCs w:val="44"/>
              </w:rPr>
            </w:pPr>
          </w:p>
        </w:tc>
        <w:tc>
          <w:tcPr>
            <w:tcW w:w="798" w:type="dxa"/>
            <w:vMerge w:val="continue"/>
            <w:noWrap w:val="0"/>
            <w:vAlign w:val="center"/>
          </w:tcPr>
          <w:p w14:paraId="43B75DE9">
            <w:pPr>
              <w:jc w:val="center"/>
              <w:rPr>
                <w:rFonts w:hint="eastAsia" w:ascii="宋体" w:hAnsi="宋体"/>
                <w:szCs w:val="44"/>
              </w:rPr>
            </w:pPr>
          </w:p>
        </w:tc>
        <w:tc>
          <w:tcPr>
            <w:tcW w:w="798" w:type="dxa"/>
            <w:vMerge w:val="continue"/>
            <w:noWrap w:val="0"/>
            <w:vAlign w:val="center"/>
          </w:tcPr>
          <w:p w14:paraId="0BEA35A5">
            <w:pPr>
              <w:jc w:val="center"/>
              <w:rPr>
                <w:rFonts w:hint="eastAsia" w:ascii="宋体" w:hAnsi="宋体"/>
                <w:szCs w:val="44"/>
              </w:rPr>
            </w:pPr>
          </w:p>
        </w:tc>
      </w:tr>
      <w:tr w14:paraId="4E393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3861356D">
            <w:pPr>
              <w:jc w:val="center"/>
              <w:rPr>
                <w:rFonts w:hint="eastAsia" w:ascii="黑体" w:hAnsi="宋体" w:eastAsia="黑体"/>
                <w:szCs w:val="44"/>
              </w:rPr>
            </w:pPr>
          </w:p>
        </w:tc>
        <w:tc>
          <w:tcPr>
            <w:tcW w:w="1529" w:type="dxa"/>
            <w:vMerge w:val="continue"/>
            <w:noWrap w:val="0"/>
            <w:vAlign w:val="center"/>
          </w:tcPr>
          <w:p w14:paraId="695025A1">
            <w:pPr>
              <w:jc w:val="center"/>
              <w:rPr>
                <w:rFonts w:hint="eastAsia" w:ascii="宋体" w:hAnsi="宋体"/>
                <w:szCs w:val="21"/>
              </w:rPr>
            </w:pPr>
          </w:p>
        </w:tc>
        <w:tc>
          <w:tcPr>
            <w:tcW w:w="3600" w:type="dxa"/>
            <w:noWrap w:val="0"/>
            <w:vAlign w:val="center"/>
          </w:tcPr>
          <w:p w14:paraId="61D0B5DC">
            <w:pPr>
              <w:rPr>
                <w:rFonts w:hint="eastAsia" w:ascii="宋体" w:hAnsi="宋体"/>
                <w:bCs/>
                <w:szCs w:val="21"/>
              </w:rPr>
            </w:pPr>
          </w:p>
        </w:tc>
        <w:tc>
          <w:tcPr>
            <w:tcW w:w="720" w:type="dxa"/>
            <w:vMerge w:val="continue"/>
            <w:noWrap w:val="0"/>
            <w:vAlign w:val="center"/>
          </w:tcPr>
          <w:p w14:paraId="659EEAFC">
            <w:pPr>
              <w:jc w:val="center"/>
              <w:rPr>
                <w:rFonts w:hint="eastAsia" w:ascii="宋体" w:hAnsi="宋体"/>
                <w:szCs w:val="44"/>
              </w:rPr>
            </w:pPr>
          </w:p>
        </w:tc>
        <w:tc>
          <w:tcPr>
            <w:tcW w:w="797" w:type="dxa"/>
            <w:vMerge w:val="continue"/>
            <w:noWrap w:val="0"/>
            <w:vAlign w:val="center"/>
          </w:tcPr>
          <w:p w14:paraId="7044359B">
            <w:pPr>
              <w:jc w:val="center"/>
              <w:rPr>
                <w:rFonts w:hint="eastAsia" w:ascii="宋体" w:hAnsi="宋体"/>
                <w:szCs w:val="44"/>
              </w:rPr>
            </w:pPr>
          </w:p>
        </w:tc>
        <w:tc>
          <w:tcPr>
            <w:tcW w:w="798" w:type="dxa"/>
            <w:vMerge w:val="continue"/>
            <w:noWrap w:val="0"/>
            <w:vAlign w:val="center"/>
          </w:tcPr>
          <w:p w14:paraId="0AAD2735">
            <w:pPr>
              <w:jc w:val="center"/>
              <w:rPr>
                <w:rFonts w:hint="eastAsia" w:ascii="宋体" w:hAnsi="宋体"/>
                <w:szCs w:val="44"/>
              </w:rPr>
            </w:pPr>
          </w:p>
        </w:tc>
        <w:tc>
          <w:tcPr>
            <w:tcW w:w="798" w:type="dxa"/>
            <w:vMerge w:val="continue"/>
            <w:noWrap w:val="0"/>
            <w:vAlign w:val="center"/>
          </w:tcPr>
          <w:p w14:paraId="53390313">
            <w:pPr>
              <w:jc w:val="center"/>
              <w:rPr>
                <w:rFonts w:hint="eastAsia" w:ascii="宋体" w:hAnsi="宋体"/>
                <w:szCs w:val="44"/>
              </w:rPr>
            </w:pPr>
          </w:p>
        </w:tc>
        <w:tc>
          <w:tcPr>
            <w:tcW w:w="797" w:type="dxa"/>
            <w:vMerge w:val="continue"/>
            <w:noWrap w:val="0"/>
            <w:vAlign w:val="center"/>
          </w:tcPr>
          <w:p w14:paraId="514B8BE5">
            <w:pPr>
              <w:jc w:val="center"/>
              <w:rPr>
                <w:rFonts w:hint="eastAsia" w:ascii="宋体" w:hAnsi="宋体"/>
                <w:szCs w:val="44"/>
              </w:rPr>
            </w:pPr>
          </w:p>
        </w:tc>
        <w:tc>
          <w:tcPr>
            <w:tcW w:w="798" w:type="dxa"/>
            <w:vMerge w:val="continue"/>
            <w:noWrap w:val="0"/>
            <w:vAlign w:val="center"/>
          </w:tcPr>
          <w:p w14:paraId="6DE8BDBC">
            <w:pPr>
              <w:jc w:val="center"/>
              <w:rPr>
                <w:rFonts w:hint="eastAsia" w:ascii="宋体" w:hAnsi="宋体"/>
                <w:szCs w:val="44"/>
              </w:rPr>
            </w:pPr>
          </w:p>
        </w:tc>
        <w:tc>
          <w:tcPr>
            <w:tcW w:w="798" w:type="dxa"/>
            <w:vMerge w:val="continue"/>
            <w:noWrap w:val="0"/>
            <w:vAlign w:val="center"/>
          </w:tcPr>
          <w:p w14:paraId="05B60CA6">
            <w:pPr>
              <w:jc w:val="center"/>
              <w:rPr>
                <w:rFonts w:hint="eastAsia" w:ascii="宋体" w:hAnsi="宋体"/>
                <w:szCs w:val="44"/>
              </w:rPr>
            </w:pPr>
          </w:p>
        </w:tc>
        <w:tc>
          <w:tcPr>
            <w:tcW w:w="797" w:type="dxa"/>
            <w:vMerge w:val="continue"/>
            <w:noWrap w:val="0"/>
            <w:vAlign w:val="center"/>
          </w:tcPr>
          <w:p w14:paraId="40B8950D">
            <w:pPr>
              <w:jc w:val="center"/>
              <w:rPr>
                <w:rFonts w:hint="eastAsia" w:ascii="宋体" w:hAnsi="宋体"/>
                <w:szCs w:val="44"/>
              </w:rPr>
            </w:pPr>
          </w:p>
        </w:tc>
        <w:tc>
          <w:tcPr>
            <w:tcW w:w="798" w:type="dxa"/>
            <w:vMerge w:val="continue"/>
            <w:noWrap w:val="0"/>
            <w:vAlign w:val="center"/>
          </w:tcPr>
          <w:p w14:paraId="274BD805">
            <w:pPr>
              <w:jc w:val="center"/>
              <w:rPr>
                <w:rFonts w:hint="eastAsia" w:ascii="宋体" w:hAnsi="宋体"/>
                <w:szCs w:val="44"/>
              </w:rPr>
            </w:pPr>
          </w:p>
        </w:tc>
        <w:tc>
          <w:tcPr>
            <w:tcW w:w="798" w:type="dxa"/>
            <w:vMerge w:val="continue"/>
            <w:noWrap w:val="0"/>
            <w:vAlign w:val="center"/>
          </w:tcPr>
          <w:p w14:paraId="6A3BB0B6">
            <w:pPr>
              <w:jc w:val="center"/>
              <w:rPr>
                <w:rFonts w:hint="eastAsia" w:ascii="宋体" w:hAnsi="宋体"/>
                <w:szCs w:val="44"/>
              </w:rPr>
            </w:pPr>
          </w:p>
        </w:tc>
      </w:tr>
      <w:tr w14:paraId="15C6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35E8F4B6">
            <w:pPr>
              <w:jc w:val="center"/>
              <w:rPr>
                <w:rFonts w:hint="eastAsia" w:ascii="黑体" w:hAnsi="宋体" w:eastAsia="黑体"/>
                <w:szCs w:val="44"/>
              </w:rPr>
            </w:pPr>
          </w:p>
        </w:tc>
        <w:tc>
          <w:tcPr>
            <w:tcW w:w="1529" w:type="dxa"/>
            <w:vMerge w:val="continue"/>
            <w:noWrap w:val="0"/>
            <w:vAlign w:val="center"/>
          </w:tcPr>
          <w:p w14:paraId="21608687">
            <w:pPr>
              <w:jc w:val="center"/>
              <w:rPr>
                <w:rFonts w:hint="eastAsia" w:ascii="宋体" w:hAnsi="宋体"/>
                <w:szCs w:val="21"/>
              </w:rPr>
            </w:pPr>
          </w:p>
        </w:tc>
        <w:tc>
          <w:tcPr>
            <w:tcW w:w="3600" w:type="dxa"/>
            <w:noWrap w:val="0"/>
            <w:vAlign w:val="center"/>
          </w:tcPr>
          <w:p w14:paraId="7EF425C1">
            <w:pPr>
              <w:rPr>
                <w:rFonts w:ascii="宋体" w:hAnsi="宋体"/>
                <w:bCs/>
                <w:szCs w:val="21"/>
              </w:rPr>
            </w:pPr>
          </w:p>
        </w:tc>
        <w:tc>
          <w:tcPr>
            <w:tcW w:w="720" w:type="dxa"/>
            <w:vMerge w:val="continue"/>
            <w:noWrap w:val="0"/>
            <w:vAlign w:val="center"/>
          </w:tcPr>
          <w:p w14:paraId="7EE8DDB9">
            <w:pPr>
              <w:jc w:val="center"/>
              <w:rPr>
                <w:rFonts w:hint="eastAsia" w:ascii="宋体" w:hAnsi="宋体"/>
                <w:szCs w:val="44"/>
              </w:rPr>
            </w:pPr>
          </w:p>
        </w:tc>
        <w:tc>
          <w:tcPr>
            <w:tcW w:w="797" w:type="dxa"/>
            <w:vMerge w:val="continue"/>
            <w:noWrap w:val="0"/>
            <w:vAlign w:val="center"/>
          </w:tcPr>
          <w:p w14:paraId="77131412">
            <w:pPr>
              <w:jc w:val="center"/>
              <w:rPr>
                <w:rFonts w:hint="eastAsia" w:ascii="宋体" w:hAnsi="宋体"/>
                <w:szCs w:val="44"/>
              </w:rPr>
            </w:pPr>
          </w:p>
        </w:tc>
        <w:tc>
          <w:tcPr>
            <w:tcW w:w="798" w:type="dxa"/>
            <w:vMerge w:val="continue"/>
            <w:noWrap w:val="0"/>
            <w:vAlign w:val="center"/>
          </w:tcPr>
          <w:p w14:paraId="752DC3E8">
            <w:pPr>
              <w:jc w:val="center"/>
              <w:rPr>
                <w:rFonts w:hint="eastAsia" w:ascii="宋体" w:hAnsi="宋体"/>
                <w:szCs w:val="44"/>
              </w:rPr>
            </w:pPr>
          </w:p>
        </w:tc>
        <w:tc>
          <w:tcPr>
            <w:tcW w:w="798" w:type="dxa"/>
            <w:vMerge w:val="continue"/>
            <w:noWrap w:val="0"/>
            <w:vAlign w:val="center"/>
          </w:tcPr>
          <w:p w14:paraId="77250034">
            <w:pPr>
              <w:jc w:val="center"/>
              <w:rPr>
                <w:rFonts w:hint="eastAsia" w:ascii="宋体" w:hAnsi="宋体"/>
                <w:szCs w:val="44"/>
              </w:rPr>
            </w:pPr>
          </w:p>
        </w:tc>
        <w:tc>
          <w:tcPr>
            <w:tcW w:w="797" w:type="dxa"/>
            <w:vMerge w:val="continue"/>
            <w:noWrap w:val="0"/>
            <w:vAlign w:val="center"/>
          </w:tcPr>
          <w:p w14:paraId="4406D078">
            <w:pPr>
              <w:jc w:val="center"/>
              <w:rPr>
                <w:rFonts w:hint="eastAsia" w:ascii="宋体" w:hAnsi="宋体"/>
                <w:szCs w:val="44"/>
              </w:rPr>
            </w:pPr>
          </w:p>
        </w:tc>
        <w:tc>
          <w:tcPr>
            <w:tcW w:w="798" w:type="dxa"/>
            <w:vMerge w:val="continue"/>
            <w:noWrap w:val="0"/>
            <w:vAlign w:val="center"/>
          </w:tcPr>
          <w:p w14:paraId="373606C6">
            <w:pPr>
              <w:jc w:val="center"/>
              <w:rPr>
                <w:rFonts w:hint="eastAsia" w:ascii="宋体" w:hAnsi="宋体"/>
                <w:szCs w:val="44"/>
              </w:rPr>
            </w:pPr>
          </w:p>
        </w:tc>
        <w:tc>
          <w:tcPr>
            <w:tcW w:w="798" w:type="dxa"/>
            <w:vMerge w:val="continue"/>
            <w:noWrap w:val="0"/>
            <w:vAlign w:val="center"/>
          </w:tcPr>
          <w:p w14:paraId="08EA2B57">
            <w:pPr>
              <w:jc w:val="center"/>
              <w:rPr>
                <w:rFonts w:hint="eastAsia" w:ascii="宋体" w:hAnsi="宋体"/>
                <w:szCs w:val="44"/>
              </w:rPr>
            </w:pPr>
          </w:p>
        </w:tc>
        <w:tc>
          <w:tcPr>
            <w:tcW w:w="797" w:type="dxa"/>
            <w:vMerge w:val="continue"/>
            <w:noWrap w:val="0"/>
            <w:vAlign w:val="center"/>
          </w:tcPr>
          <w:p w14:paraId="7F22CA4E">
            <w:pPr>
              <w:jc w:val="center"/>
              <w:rPr>
                <w:rFonts w:hint="eastAsia" w:ascii="宋体" w:hAnsi="宋体"/>
                <w:szCs w:val="44"/>
              </w:rPr>
            </w:pPr>
          </w:p>
        </w:tc>
        <w:tc>
          <w:tcPr>
            <w:tcW w:w="798" w:type="dxa"/>
            <w:vMerge w:val="continue"/>
            <w:noWrap w:val="0"/>
            <w:vAlign w:val="center"/>
          </w:tcPr>
          <w:p w14:paraId="5ACE20EB">
            <w:pPr>
              <w:jc w:val="center"/>
              <w:rPr>
                <w:rFonts w:hint="eastAsia" w:ascii="宋体" w:hAnsi="宋体"/>
                <w:szCs w:val="44"/>
              </w:rPr>
            </w:pPr>
          </w:p>
        </w:tc>
        <w:tc>
          <w:tcPr>
            <w:tcW w:w="798" w:type="dxa"/>
            <w:vMerge w:val="continue"/>
            <w:noWrap w:val="0"/>
            <w:vAlign w:val="center"/>
          </w:tcPr>
          <w:p w14:paraId="70B2FC90">
            <w:pPr>
              <w:jc w:val="center"/>
              <w:rPr>
                <w:rFonts w:hint="eastAsia" w:ascii="宋体" w:hAnsi="宋体"/>
                <w:szCs w:val="44"/>
              </w:rPr>
            </w:pPr>
          </w:p>
        </w:tc>
      </w:tr>
      <w:tr w14:paraId="4229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noWrap w:val="0"/>
            <w:vAlign w:val="center"/>
          </w:tcPr>
          <w:p w14:paraId="2B0AD9DD">
            <w:pPr>
              <w:jc w:val="center"/>
              <w:rPr>
                <w:rFonts w:hint="eastAsia" w:ascii="黑体" w:hAnsi="宋体" w:eastAsia="黑体"/>
                <w:szCs w:val="44"/>
              </w:rPr>
            </w:pPr>
            <w:r>
              <w:rPr>
                <w:rFonts w:hint="eastAsia" w:ascii="黑体" w:hAnsi="宋体" w:eastAsia="黑体"/>
                <w:szCs w:val="44"/>
              </w:rPr>
              <w:t>6</w:t>
            </w:r>
          </w:p>
        </w:tc>
        <w:tc>
          <w:tcPr>
            <w:tcW w:w="1529" w:type="dxa"/>
            <w:vMerge w:val="restart"/>
            <w:noWrap w:val="0"/>
            <w:vAlign w:val="center"/>
          </w:tcPr>
          <w:p w14:paraId="55FB37BC">
            <w:pPr>
              <w:jc w:val="center"/>
              <w:rPr>
                <w:rFonts w:hint="eastAsia" w:ascii="宋体" w:hAnsi="宋体"/>
                <w:szCs w:val="44"/>
              </w:rPr>
            </w:pPr>
            <w:r>
              <w:rPr>
                <w:rFonts w:hint="eastAsia" w:ascii="宋体" w:hAnsi="宋体"/>
                <w:szCs w:val="21"/>
              </w:rPr>
              <w:t>施工现场平面布置</w:t>
            </w:r>
          </w:p>
        </w:tc>
        <w:tc>
          <w:tcPr>
            <w:tcW w:w="3600" w:type="dxa"/>
            <w:noWrap w:val="0"/>
            <w:vAlign w:val="center"/>
          </w:tcPr>
          <w:p w14:paraId="2CE65994">
            <w:pPr>
              <w:rPr>
                <w:rFonts w:hint="eastAsia" w:ascii="宋体" w:hAnsi="宋体"/>
                <w:szCs w:val="44"/>
              </w:rPr>
            </w:pPr>
          </w:p>
        </w:tc>
        <w:tc>
          <w:tcPr>
            <w:tcW w:w="720" w:type="dxa"/>
            <w:vMerge w:val="restart"/>
            <w:noWrap w:val="0"/>
            <w:vAlign w:val="center"/>
          </w:tcPr>
          <w:p w14:paraId="1E5F2FC8">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496EAF4E">
            <w:pPr>
              <w:jc w:val="center"/>
              <w:rPr>
                <w:rFonts w:hint="eastAsia" w:ascii="宋体" w:hAnsi="宋体"/>
                <w:szCs w:val="44"/>
              </w:rPr>
            </w:pPr>
          </w:p>
        </w:tc>
        <w:tc>
          <w:tcPr>
            <w:tcW w:w="798" w:type="dxa"/>
            <w:vMerge w:val="restart"/>
            <w:noWrap w:val="0"/>
            <w:vAlign w:val="center"/>
          </w:tcPr>
          <w:p w14:paraId="3B3D0E4E">
            <w:pPr>
              <w:jc w:val="center"/>
              <w:rPr>
                <w:rFonts w:hint="eastAsia" w:ascii="宋体" w:hAnsi="宋体"/>
                <w:szCs w:val="44"/>
              </w:rPr>
            </w:pPr>
          </w:p>
        </w:tc>
        <w:tc>
          <w:tcPr>
            <w:tcW w:w="798" w:type="dxa"/>
            <w:vMerge w:val="restart"/>
            <w:noWrap w:val="0"/>
            <w:vAlign w:val="center"/>
          </w:tcPr>
          <w:p w14:paraId="305BCD1C">
            <w:pPr>
              <w:jc w:val="center"/>
              <w:rPr>
                <w:rFonts w:hint="eastAsia" w:ascii="宋体" w:hAnsi="宋体"/>
                <w:szCs w:val="44"/>
              </w:rPr>
            </w:pPr>
          </w:p>
        </w:tc>
        <w:tc>
          <w:tcPr>
            <w:tcW w:w="797" w:type="dxa"/>
            <w:vMerge w:val="restart"/>
            <w:noWrap w:val="0"/>
            <w:vAlign w:val="center"/>
          </w:tcPr>
          <w:p w14:paraId="02CFD282">
            <w:pPr>
              <w:jc w:val="center"/>
              <w:rPr>
                <w:rFonts w:hint="eastAsia" w:ascii="宋体" w:hAnsi="宋体"/>
                <w:szCs w:val="44"/>
              </w:rPr>
            </w:pPr>
          </w:p>
        </w:tc>
        <w:tc>
          <w:tcPr>
            <w:tcW w:w="798" w:type="dxa"/>
            <w:vMerge w:val="restart"/>
            <w:noWrap w:val="0"/>
            <w:vAlign w:val="center"/>
          </w:tcPr>
          <w:p w14:paraId="2E289DA6">
            <w:pPr>
              <w:jc w:val="center"/>
              <w:rPr>
                <w:rFonts w:hint="eastAsia" w:ascii="宋体" w:hAnsi="宋体"/>
                <w:szCs w:val="44"/>
              </w:rPr>
            </w:pPr>
          </w:p>
        </w:tc>
        <w:tc>
          <w:tcPr>
            <w:tcW w:w="798" w:type="dxa"/>
            <w:vMerge w:val="restart"/>
            <w:noWrap w:val="0"/>
            <w:vAlign w:val="center"/>
          </w:tcPr>
          <w:p w14:paraId="67EB704B">
            <w:pPr>
              <w:jc w:val="center"/>
              <w:rPr>
                <w:rFonts w:hint="eastAsia" w:ascii="宋体" w:hAnsi="宋体"/>
                <w:szCs w:val="44"/>
              </w:rPr>
            </w:pPr>
          </w:p>
        </w:tc>
        <w:tc>
          <w:tcPr>
            <w:tcW w:w="797" w:type="dxa"/>
            <w:vMerge w:val="restart"/>
            <w:noWrap w:val="0"/>
            <w:vAlign w:val="center"/>
          </w:tcPr>
          <w:p w14:paraId="69386B24">
            <w:pPr>
              <w:jc w:val="center"/>
              <w:rPr>
                <w:rFonts w:hint="eastAsia" w:ascii="宋体" w:hAnsi="宋体"/>
                <w:szCs w:val="44"/>
              </w:rPr>
            </w:pPr>
          </w:p>
        </w:tc>
        <w:tc>
          <w:tcPr>
            <w:tcW w:w="798" w:type="dxa"/>
            <w:vMerge w:val="restart"/>
            <w:noWrap w:val="0"/>
            <w:vAlign w:val="center"/>
          </w:tcPr>
          <w:p w14:paraId="0D999F68">
            <w:pPr>
              <w:jc w:val="center"/>
              <w:rPr>
                <w:rFonts w:hint="eastAsia" w:ascii="宋体" w:hAnsi="宋体"/>
                <w:szCs w:val="44"/>
              </w:rPr>
            </w:pPr>
          </w:p>
        </w:tc>
        <w:tc>
          <w:tcPr>
            <w:tcW w:w="798" w:type="dxa"/>
            <w:vMerge w:val="restart"/>
            <w:noWrap w:val="0"/>
            <w:vAlign w:val="center"/>
          </w:tcPr>
          <w:p w14:paraId="659AA0D8">
            <w:pPr>
              <w:jc w:val="center"/>
              <w:rPr>
                <w:rFonts w:hint="eastAsia" w:ascii="宋体" w:hAnsi="宋体"/>
                <w:szCs w:val="44"/>
              </w:rPr>
            </w:pPr>
          </w:p>
        </w:tc>
      </w:tr>
      <w:tr w14:paraId="7A779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27EC5499">
            <w:pPr>
              <w:jc w:val="center"/>
              <w:rPr>
                <w:rFonts w:hint="eastAsia" w:ascii="黑体" w:hAnsi="宋体" w:eastAsia="黑体"/>
                <w:szCs w:val="44"/>
              </w:rPr>
            </w:pPr>
          </w:p>
        </w:tc>
        <w:tc>
          <w:tcPr>
            <w:tcW w:w="1529" w:type="dxa"/>
            <w:vMerge w:val="continue"/>
            <w:noWrap w:val="0"/>
            <w:vAlign w:val="center"/>
          </w:tcPr>
          <w:p w14:paraId="4665A02B">
            <w:pPr>
              <w:jc w:val="center"/>
              <w:rPr>
                <w:rFonts w:hint="eastAsia" w:ascii="宋体" w:hAnsi="宋体"/>
                <w:szCs w:val="21"/>
              </w:rPr>
            </w:pPr>
          </w:p>
        </w:tc>
        <w:tc>
          <w:tcPr>
            <w:tcW w:w="3600" w:type="dxa"/>
            <w:noWrap w:val="0"/>
            <w:vAlign w:val="center"/>
          </w:tcPr>
          <w:p w14:paraId="3083C8DE">
            <w:pPr>
              <w:rPr>
                <w:rFonts w:hint="eastAsia" w:ascii="宋体" w:hAnsi="宋体"/>
                <w:szCs w:val="44"/>
              </w:rPr>
            </w:pPr>
          </w:p>
        </w:tc>
        <w:tc>
          <w:tcPr>
            <w:tcW w:w="720" w:type="dxa"/>
            <w:vMerge w:val="continue"/>
            <w:noWrap w:val="0"/>
            <w:vAlign w:val="center"/>
          </w:tcPr>
          <w:p w14:paraId="0B39BC51">
            <w:pPr>
              <w:jc w:val="center"/>
              <w:rPr>
                <w:rFonts w:hint="eastAsia" w:ascii="宋体" w:hAnsi="宋体"/>
                <w:szCs w:val="44"/>
              </w:rPr>
            </w:pPr>
          </w:p>
        </w:tc>
        <w:tc>
          <w:tcPr>
            <w:tcW w:w="797" w:type="dxa"/>
            <w:vMerge w:val="continue"/>
            <w:noWrap w:val="0"/>
            <w:vAlign w:val="center"/>
          </w:tcPr>
          <w:p w14:paraId="32919EAF">
            <w:pPr>
              <w:jc w:val="center"/>
              <w:rPr>
                <w:rFonts w:hint="eastAsia" w:ascii="宋体" w:hAnsi="宋体"/>
                <w:szCs w:val="44"/>
              </w:rPr>
            </w:pPr>
          </w:p>
        </w:tc>
        <w:tc>
          <w:tcPr>
            <w:tcW w:w="798" w:type="dxa"/>
            <w:vMerge w:val="continue"/>
            <w:noWrap w:val="0"/>
            <w:vAlign w:val="center"/>
          </w:tcPr>
          <w:p w14:paraId="66AB47C2">
            <w:pPr>
              <w:jc w:val="center"/>
              <w:rPr>
                <w:rFonts w:hint="eastAsia" w:ascii="宋体" w:hAnsi="宋体"/>
                <w:szCs w:val="44"/>
              </w:rPr>
            </w:pPr>
          </w:p>
        </w:tc>
        <w:tc>
          <w:tcPr>
            <w:tcW w:w="798" w:type="dxa"/>
            <w:vMerge w:val="continue"/>
            <w:noWrap w:val="0"/>
            <w:vAlign w:val="center"/>
          </w:tcPr>
          <w:p w14:paraId="2F6C51C1">
            <w:pPr>
              <w:jc w:val="center"/>
              <w:rPr>
                <w:rFonts w:hint="eastAsia" w:ascii="宋体" w:hAnsi="宋体"/>
                <w:szCs w:val="44"/>
              </w:rPr>
            </w:pPr>
          </w:p>
        </w:tc>
        <w:tc>
          <w:tcPr>
            <w:tcW w:w="797" w:type="dxa"/>
            <w:vMerge w:val="continue"/>
            <w:noWrap w:val="0"/>
            <w:vAlign w:val="center"/>
          </w:tcPr>
          <w:p w14:paraId="488210A2">
            <w:pPr>
              <w:jc w:val="center"/>
              <w:rPr>
                <w:rFonts w:hint="eastAsia" w:ascii="宋体" w:hAnsi="宋体"/>
                <w:szCs w:val="44"/>
              </w:rPr>
            </w:pPr>
          </w:p>
        </w:tc>
        <w:tc>
          <w:tcPr>
            <w:tcW w:w="798" w:type="dxa"/>
            <w:vMerge w:val="continue"/>
            <w:noWrap w:val="0"/>
            <w:vAlign w:val="center"/>
          </w:tcPr>
          <w:p w14:paraId="4BB29DDE">
            <w:pPr>
              <w:jc w:val="center"/>
              <w:rPr>
                <w:rFonts w:hint="eastAsia" w:ascii="宋体" w:hAnsi="宋体"/>
                <w:szCs w:val="44"/>
              </w:rPr>
            </w:pPr>
          </w:p>
        </w:tc>
        <w:tc>
          <w:tcPr>
            <w:tcW w:w="798" w:type="dxa"/>
            <w:vMerge w:val="continue"/>
            <w:noWrap w:val="0"/>
            <w:vAlign w:val="center"/>
          </w:tcPr>
          <w:p w14:paraId="657FD4F5">
            <w:pPr>
              <w:jc w:val="center"/>
              <w:rPr>
                <w:rFonts w:hint="eastAsia" w:ascii="宋体" w:hAnsi="宋体"/>
                <w:szCs w:val="44"/>
              </w:rPr>
            </w:pPr>
          </w:p>
        </w:tc>
        <w:tc>
          <w:tcPr>
            <w:tcW w:w="797" w:type="dxa"/>
            <w:vMerge w:val="continue"/>
            <w:noWrap w:val="0"/>
            <w:vAlign w:val="center"/>
          </w:tcPr>
          <w:p w14:paraId="51B6991D">
            <w:pPr>
              <w:jc w:val="center"/>
              <w:rPr>
                <w:rFonts w:hint="eastAsia" w:ascii="宋体" w:hAnsi="宋体"/>
                <w:szCs w:val="44"/>
              </w:rPr>
            </w:pPr>
          </w:p>
        </w:tc>
        <w:tc>
          <w:tcPr>
            <w:tcW w:w="798" w:type="dxa"/>
            <w:vMerge w:val="continue"/>
            <w:noWrap w:val="0"/>
            <w:vAlign w:val="center"/>
          </w:tcPr>
          <w:p w14:paraId="6F85358C">
            <w:pPr>
              <w:jc w:val="center"/>
              <w:rPr>
                <w:rFonts w:hint="eastAsia" w:ascii="宋体" w:hAnsi="宋体"/>
                <w:szCs w:val="44"/>
              </w:rPr>
            </w:pPr>
          </w:p>
        </w:tc>
        <w:tc>
          <w:tcPr>
            <w:tcW w:w="798" w:type="dxa"/>
            <w:vMerge w:val="continue"/>
            <w:noWrap w:val="0"/>
            <w:vAlign w:val="center"/>
          </w:tcPr>
          <w:p w14:paraId="7C44F89E">
            <w:pPr>
              <w:jc w:val="center"/>
              <w:rPr>
                <w:rFonts w:hint="eastAsia" w:ascii="宋体" w:hAnsi="宋体"/>
                <w:szCs w:val="44"/>
              </w:rPr>
            </w:pPr>
          </w:p>
        </w:tc>
      </w:tr>
      <w:tr w14:paraId="69966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47C4F494">
            <w:pPr>
              <w:jc w:val="center"/>
              <w:rPr>
                <w:rFonts w:hint="eastAsia" w:ascii="黑体" w:hAnsi="宋体" w:eastAsia="黑体"/>
                <w:szCs w:val="44"/>
              </w:rPr>
            </w:pPr>
          </w:p>
        </w:tc>
        <w:tc>
          <w:tcPr>
            <w:tcW w:w="1529" w:type="dxa"/>
            <w:vMerge w:val="continue"/>
            <w:noWrap w:val="0"/>
            <w:vAlign w:val="center"/>
          </w:tcPr>
          <w:p w14:paraId="6A8E8BED">
            <w:pPr>
              <w:jc w:val="center"/>
              <w:rPr>
                <w:rFonts w:hint="eastAsia" w:ascii="宋体" w:hAnsi="宋体"/>
                <w:szCs w:val="21"/>
              </w:rPr>
            </w:pPr>
          </w:p>
        </w:tc>
        <w:tc>
          <w:tcPr>
            <w:tcW w:w="3600" w:type="dxa"/>
            <w:noWrap w:val="0"/>
            <w:vAlign w:val="center"/>
          </w:tcPr>
          <w:p w14:paraId="761AC7B8">
            <w:pPr>
              <w:rPr>
                <w:rFonts w:hint="eastAsia" w:ascii="宋体" w:hAnsi="宋体"/>
                <w:szCs w:val="44"/>
              </w:rPr>
            </w:pPr>
          </w:p>
        </w:tc>
        <w:tc>
          <w:tcPr>
            <w:tcW w:w="720" w:type="dxa"/>
            <w:vMerge w:val="continue"/>
            <w:noWrap w:val="0"/>
            <w:vAlign w:val="center"/>
          </w:tcPr>
          <w:p w14:paraId="0EABEB8F">
            <w:pPr>
              <w:jc w:val="center"/>
              <w:rPr>
                <w:rFonts w:hint="eastAsia" w:ascii="宋体" w:hAnsi="宋体"/>
                <w:szCs w:val="44"/>
              </w:rPr>
            </w:pPr>
          </w:p>
        </w:tc>
        <w:tc>
          <w:tcPr>
            <w:tcW w:w="797" w:type="dxa"/>
            <w:vMerge w:val="continue"/>
            <w:noWrap w:val="0"/>
            <w:vAlign w:val="center"/>
          </w:tcPr>
          <w:p w14:paraId="5CACDE3E">
            <w:pPr>
              <w:jc w:val="center"/>
              <w:rPr>
                <w:rFonts w:hint="eastAsia" w:ascii="宋体" w:hAnsi="宋体"/>
                <w:szCs w:val="44"/>
              </w:rPr>
            </w:pPr>
          </w:p>
        </w:tc>
        <w:tc>
          <w:tcPr>
            <w:tcW w:w="798" w:type="dxa"/>
            <w:vMerge w:val="continue"/>
            <w:noWrap w:val="0"/>
            <w:vAlign w:val="center"/>
          </w:tcPr>
          <w:p w14:paraId="77D19D4E">
            <w:pPr>
              <w:jc w:val="center"/>
              <w:rPr>
                <w:rFonts w:hint="eastAsia" w:ascii="宋体" w:hAnsi="宋体"/>
                <w:szCs w:val="44"/>
              </w:rPr>
            </w:pPr>
          </w:p>
        </w:tc>
        <w:tc>
          <w:tcPr>
            <w:tcW w:w="798" w:type="dxa"/>
            <w:vMerge w:val="continue"/>
            <w:noWrap w:val="0"/>
            <w:vAlign w:val="center"/>
          </w:tcPr>
          <w:p w14:paraId="47A06438">
            <w:pPr>
              <w:jc w:val="center"/>
              <w:rPr>
                <w:rFonts w:hint="eastAsia" w:ascii="宋体" w:hAnsi="宋体"/>
                <w:szCs w:val="44"/>
              </w:rPr>
            </w:pPr>
          </w:p>
        </w:tc>
        <w:tc>
          <w:tcPr>
            <w:tcW w:w="797" w:type="dxa"/>
            <w:vMerge w:val="continue"/>
            <w:noWrap w:val="0"/>
            <w:vAlign w:val="center"/>
          </w:tcPr>
          <w:p w14:paraId="437644EC">
            <w:pPr>
              <w:jc w:val="center"/>
              <w:rPr>
                <w:rFonts w:hint="eastAsia" w:ascii="宋体" w:hAnsi="宋体"/>
                <w:szCs w:val="44"/>
              </w:rPr>
            </w:pPr>
          </w:p>
        </w:tc>
        <w:tc>
          <w:tcPr>
            <w:tcW w:w="798" w:type="dxa"/>
            <w:vMerge w:val="continue"/>
            <w:noWrap w:val="0"/>
            <w:vAlign w:val="center"/>
          </w:tcPr>
          <w:p w14:paraId="4B3F0A52">
            <w:pPr>
              <w:jc w:val="center"/>
              <w:rPr>
                <w:rFonts w:hint="eastAsia" w:ascii="宋体" w:hAnsi="宋体"/>
                <w:szCs w:val="44"/>
              </w:rPr>
            </w:pPr>
          </w:p>
        </w:tc>
        <w:tc>
          <w:tcPr>
            <w:tcW w:w="798" w:type="dxa"/>
            <w:vMerge w:val="continue"/>
            <w:noWrap w:val="0"/>
            <w:vAlign w:val="center"/>
          </w:tcPr>
          <w:p w14:paraId="5F465B15">
            <w:pPr>
              <w:jc w:val="center"/>
              <w:rPr>
                <w:rFonts w:hint="eastAsia" w:ascii="宋体" w:hAnsi="宋体"/>
                <w:szCs w:val="44"/>
              </w:rPr>
            </w:pPr>
          </w:p>
        </w:tc>
        <w:tc>
          <w:tcPr>
            <w:tcW w:w="797" w:type="dxa"/>
            <w:vMerge w:val="continue"/>
            <w:noWrap w:val="0"/>
            <w:vAlign w:val="center"/>
          </w:tcPr>
          <w:p w14:paraId="7A10F312">
            <w:pPr>
              <w:jc w:val="center"/>
              <w:rPr>
                <w:rFonts w:hint="eastAsia" w:ascii="宋体" w:hAnsi="宋体"/>
                <w:szCs w:val="44"/>
              </w:rPr>
            </w:pPr>
          </w:p>
        </w:tc>
        <w:tc>
          <w:tcPr>
            <w:tcW w:w="798" w:type="dxa"/>
            <w:vMerge w:val="continue"/>
            <w:noWrap w:val="0"/>
            <w:vAlign w:val="center"/>
          </w:tcPr>
          <w:p w14:paraId="00405058">
            <w:pPr>
              <w:jc w:val="center"/>
              <w:rPr>
                <w:rFonts w:hint="eastAsia" w:ascii="宋体" w:hAnsi="宋体"/>
                <w:szCs w:val="44"/>
              </w:rPr>
            </w:pPr>
          </w:p>
        </w:tc>
        <w:tc>
          <w:tcPr>
            <w:tcW w:w="798" w:type="dxa"/>
            <w:vMerge w:val="continue"/>
            <w:noWrap w:val="0"/>
            <w:vAlign w:val="center"/>
          </w:tcPr>
          <w:p w14:paraId="6614E93D">
            <w:pPr>
              <w:jc w:val="center"/>
              <w:rPr>
                <w:rFonts w:hint="eastAsia" w:ascii="宋体" w:hAnsi="宋体"/>
                <w:szCs w:val="44"/>
              </w:rPr>
            </w:pPr>
          </w:p>
        </w:tc>
      </w:tr>
      <w:tr w14:paraId="648C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238A3A9D">
            <w:pPr>
              <w:jc w:val="center"/>
              <w:rPr>
                <w:rFonts w:hint="eastAsia" w:ascii="黑体" w:hAnsi="宋体" w:eastAsia="黑体"/>
                <w:szCs w:val="44"/>
              </w:rPr>
            </w:pPr>
          </w:p>
        </w:tc>
        <w:tc>
          <w:tcPr>
            <w:tcW w:w="1529" w:type="dxa"/>
            <w:vMerge w:val="continue"/>
            <w:noWrap w:val="0"/>
            <w:vAlign w:val="center"/>
          </w:tcPr>
          <w:p w14:paraId="347850E6">
            <w:pPr>
              <w:jc w:val="center"/>
              <w:rPr>
                <w:rFonts w:hint="eastAsia" w:ascii="宋体" w:hAnsi="宋体"/>
                <w:szCs w:val="21"/>
              </w:rPr>
            </w:pPr>
          </w:p>
        </w:tc>
        <w:tc>
          <w:tcPr>
            <w:tcW w:w="3600" w:type="dxa"/>
            <w:noWrap w:val="0"/>
            <w:vAlign w:val="center"/>
          </w:tcPr>
          <w:p w14:paraId="0A44E29E">
            <w:pPr>
              <w:rPr>
                <w:rFonts w:hint="eastAsia" w:ascii="宋体" w:hAnsi="宋体"/>
                <w:szCs w:val="44"/>
              </w:rPr>
            </w:pPr>
          </w:p>
        </w:tc>
        <w:tc>
          <w:tcPr>
            <w:tcW w:w="720" w:type="dxa"/>
            <w:vMerge w:val="continue"/>
            <w:noWrap w:val="0"/>
            <w:vAlign w:val="center"/>
          </w:tcPr>
          <w:p w14:paraId="11A90BB8">
            <w:pPr>
              <w:jc w:val="center"/>
              <w:rPr>
                <w:rFonts w:hint="eastAsia" w:ascii="宋体" w:hAnsi="宋体"/>
                <w:szCs w:val="44"/>
              </w:rPr>
            </w:pPr>
          </w:p>
        </w:tc>
        <w:tc>
          <w:tcPr>
            <w:tcW w:w="797" w:type="dxa"/>
            <w:vMerge w:val="continue"/>
            <w:noWrap w:val="0"/>
            <w:vAlign w:val="center"/>
          </w:tcPr>
          <w:p w14:paraId="1E00FCFD">
            <w:pPr>
              <w:jc w:val="center"/>
              <w:rPr>
                <w:rFonts w:hint="eastAsia" w:ascii="宋体" w:hAnsi="宋体"/>
                <w:szCs w:val="44"/>
              </w:rPr>
            </w:pPr>
          </w:p>
        </w:tc>
        <w:tc>
          <w:tcPr>
            <w:tcW w:w="798" w:type="dxa"/>
            <w:vMerge w:val="continue"/>
            <w:noWrap w:val="0"/>
            <w:vAlign w:val="center"/>
          </w:tcPr>
          <w:p w14:paraId="290D9674">
            <w:pPr>
              <w:jc w:val="center"/>
              <w:rPr>
                <w:rFonts w:hint="eastAsia" w:ascii="宋体" w:hAnsi="宋体"/>
                <w:szCs w:val="44"/>
              </w:rPr>
            </w:pPr>
          </w:p>
        </w:tc>
        <w:tc>
          <w:tcPr>
            <w:tcW w:w="798" w:type="dxa"/>
            <w:vMerge w:val="continue"/>
            <w:noWrap w:val="0"/>
            <w:vAlign w:val="center"/>
          </w:tcPr>
          <w:p w14:paraId="6B5F056B">
            <w:pPr>
              <w:jc w:val="center"/>
              <w:rPr>
                <w:rFonts w:hint="eastAsia" w:ascii="宋体" w:hAnsi="宋体"/>
                <w:szCs w:val="44"/>
              </w:rPr>
            </w:pPr>
          </w:p>
        </w:tc>
        <w:tc>
          <w:tcPr>
            <w:tcW w:w="797" w:type="dxa"/>
            <w:vMerge w:val="continue"/>
            <w:noWrap w:val="0"/>
            <w:vAlign w:val="center"/>
          </w:tcPr>
          <w:p w14:paraId="38281471">
            <w:pPr>
              <w:jc w:val="center"/>
              <w:rPr>
                <w:rFonts w:hint="eastAsia" w:ascii="宋体" w:hAnsi="宋体"/>
                <w:szCs w:val="44"/>
              </w:rPr>
            </w:pPr>
          </w:p>
        </w:tc>
        <w:tc>
          <w:tcPr>
            <w:tcW w:w="798" w:type="dxa"/>
            <w:vMerge w:val="continue"/>
            <w:noWrap w:val="0"/>
            <w:vAlign w:val="center"/>
          </w:tcPr>
          <w:p w14:paraId="5A9A3A1D">
            <w:pPr>
              <w:jc w:val="center"/>
              <w:rPr>
                <w:rFonts w:hint="eastAsia" w:ascii="宋体" w:hAnsi="宋体"/>
                <w:szCs w:val="44"/>
              </w:rPr>
            </w:pPr>
          </w:p>
        </w:tc>
        <w:tc>
          <w:tcPr>
            <w:tcW w:w="798" w:type="dxa"/>
            <w:vMerge w:val="continue"/>
            <w:noWrap w:val="0"/>
            <w:vAlign w:val="center"/>
          </w:tcPr>
          <w:p w14:paraId="0D0AFAC4">
            <w:pPr>
              <w:jc w:val="center"/>
              <w:rPr>
                <w:rFonts w:hint="eastAsia" w:ascii="宋体" w:hAnsi="宋体"/>
                <w:szCs w:val="44"/>
              </w:rPr>
            </w:pPr>
          </w:p>
        </w:tc>
        <w:tc>
          <w:tcPr>
            <w:tcW w:w="797" w:type="dxa"/>
            <w:vMerge w:val="continue"/>
            <w:noWrap w:val="0"/>
            <w:vAlign w:val="center"/>
          </w:tcPr>
          <w:p w14:paraId="739DDF42">
            <w:pPr>
              <w:jc w:val="center"/>
              <w:rPr>
                <w:rFonts w:hint="eastAsia" w:ascii="宋体" w:hAnsi="宋体"/>
                <w:szCs w:val="44"/>
              </w:rPr>
            </w:pPr>
          </w:p>
        </w:tc>
        <w:tc>
          <w:tcPr>
            <w:tcW w:w="798" w:type="dxa"/>
            <w:vMerge w:val="continue"/>
            <w:noWrap w:val="0"/>
            <w:vAlign w:val="center"/>
          </w:tcPr>
          <w:p w14:paraId="78FED157">
            <w:pPr>
              <w:jc w:val="center"/>
              <w:rPr>
                <w:rFonts w:hint="eastAsia" w:ascii="宋体" w:hAnsi="宋体"/>
                <w:szCs w:val="44"/>
              </w:rPr>
            </w:pPr>
          </w:p>
        </w:tc>
        <w:tc>
          <w:tcPr>
            <w:tcW w:w="798" w:type="dxa"/>
            <w:vMerge w:val="continue"/>
            <w:noWrap w:val="0"/>
            <w:vAlign w:val="center"/>
          </w:tcPr>
          <w:p w14:paraId="50522F5B">
            <w:pPr>
              <w:jc w:val="center"/>
              <w:rPr>
                <w:rFonts w:hint="eastAsia" w:ascii="宋体" w:hAnsi="宋体"/>
                <w:szCs w:val="44"/>
              </w:rPr>
            </w:pPr>
          </w:p>
        </w:tc>
      </w:tr>
      <w:tr w14:paraId="4C33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restart"/>
            <w:noWrap w:val="0"/>
            <w:vAlign w:val="center"/>
          </w:tcPr>
          <w:p w14:paraId="266CB0FA">
            <w:pPr>
              <w:jc w:val="center"/>
              <w:rPr>
                <w:rFonts w:hint="eastAsia" w:ascii="黑体" w:hAnsi="宋体" w:eastAsia="黑体"/>
                <w:szCs w:val="44"/>
              </w:rPr>
            </w:pPr>
            <w:r>
              <w:rPr>
                <w:rFonts w:hint="eastAsia" w:ascii="黑体" w:hAnsi="宋体" w:eastAsia="黑体"/>
                <w:szCs w:val="44"/>
              </w:rPr>
              <w:t>7</w:t>
            </w:r>
          </w:p>
        </w:tc>
        <w:tc>
          <w:tcPr>
            <w:tcW w:w="1529" w:type="dxa"/>
            <w:vMerge w:val="restart"/>
            <w:noWrap w:val="0"/>
            <w:vAlign w:val="center"/>
          </w:tcPr>
          <w:p w14:paraId="0D670C7E">
            <w:pPr>
              <w:jc w:val="center"/>
              <w:rPr>
                <w:rFonts w:hint="eastAsia" w:ascii="宋体" w:hAnsi="宋体"/>
                <w:szCs w:val="44"/>
              </w:rPr>
            </w:pPr>
            <w:r>
              <w:rPr>
                <w:rFonts w:hint="eastAsia" w:ascii="宋体" w:hAnsi="宋体"/>
                <w:szCs w:val="21"/>
              </w:rPr>
              <w:t>主要施工管理计划</w:t>
            </w:r>
          </w:p>
        </w:tc>
        <w:tc>
          <w:tcPr>
            <w:tcW w:w="3600" w:type="dxa"/>
            <w:noWrap w:val="0"/>
            <w:vAlign w:val="center"/>
          </w:tcPr>
          <w:p w14:paraId="4CC1681C">
            <w:pPr>
              <w:rPr>
                <w:rFonts w:hint="eastAsia" w:ascii="宋体" w:hAnsi="宋体"/>
                <w:szCs w:val="44"/>
              </w:rPr>
            </w:pPr>
          </w:p>
        </w:tc>
        <w:tc>
          <w:tcPr>
            <w:tcW w:w="720" w:type="dxa"/>
            <w:vMerge w:val="restart"/>
            <w:noWrap w:val="0"/>
            <w:vAlign w:val="center"/>
          </w:tcPr>
          <w:p w14:paraId="446CEE49">
            <w:pPr>
              <w:jc w:val="center"/>
              <w:rPr>
                <w:rFonts w:hint="eastAsia" w:ascii="宋体" w:hAnsi="宋体"/>
                <w:szCs w:val="44"/>
              </w:rPr>
            </w:pPr>
            <w:r>
              <w:rPr>
                <w:rFonts w:hint="eastAsia" w:ascii="宋体" w:hAnsi="宋体"/>
                <w:bCs/>
                <w:szCs w:val="21"/>
              </w:rPr>
              <w:t>分</w:t>
            </w:r>
          </w:p>
        </w:tc>
        <w:tc>
          <w:tcPr>
            <w:tcW w:w="797" w:type="dxa"/>
            <w:vMerge w:val="restart"/>
            <w:noWrap w:val="0"/>
            <w:vAlign w:val="center"/>
          </w:tcPr>
          <w:p w14:paraId="23AF235E">
            <w:pPr>
              <w:jc w:val="center"/>
              <w:rPr>
                <w:rFonts w:hint="eastAsia" w:ascii="宋体" w:hAnsi="宋体"/>
                <w:szCs w:val="44"/>
              </w:rPr>
            </w:pPr>
          </w:p>
        </w:tc>
        <w:tc>
          <w:tcPr>
            <w:tcW w:w="798" w:type="dxa"/>
            <w:vMerge w:val="restart"/>
            <w:noWrap w:val="0"/>
            <w:vAlign w:val="center"/>
          </w:tcPr>
          <w:p w14:paraId="4C7E2281">
            <w:pPr>
              <w:jc w:val="center"/>
              <w:rPr>
                <w:rFonts w:hint="eastAsia" w:ascii="宋体" w:hAnsi="宋体"/>
                <w:szCs w:val="44"/>
              </w:rPr>
            </w:pPr>
          </w:p>
        </w:tc>
        <w:tc>
          <w:tcPr>
            <w:tcW w:w="798" w:type="dxa"/>
            <w:vMerge w:val="restart"/>
            <w:noWrap w:val="0"/>
            <w:vAlign w:val="center"/>
          </w:tcPr>
          <w:p w14:paraId="75A116B2">
            <w:pPr>
              <w:jc w:val="center"/>
              <w:rPr>
                <w:rFonts w:hint="eastAsia" w:ascii="宋体" w:hAnsi="宋体"/>
                <w:szCs w:val="44"/>
              </w:rPr>
            </w:pPr>
          </w:p>
        </w:tc>
        <w:tc>
          <w:tcPr>
            <w:tcW w:w="797" w:type="dxa"/>
            <w:vMerge w:val="restart"/>
            <w:noWrap w:val="0"/>
            <w:vAlign w:val="center"/>
          </w:tcPr>
          <w:p w14:paraId="6E401E66">
            <w:pPr>
              <w:jc w:val="center"/>
              <w:rPr>
                <w:rFonts w:hint="eastAsia" w:ascii="宋体" w:hAnsi="宋体"/>
                <w:szCs w:val="44"/>
              </w:rPr>
            </w:pPr>
          </w:p>
        </w:tc>
        <w:tc>
          <w:tcPr>
            <w:tcW w:w="798" w:type="dxa"/>
            <w:vMerge w:val="restart"/>
            <w:noWrap w:val="0"/>
            <w:vAlign w:val="center"/>
          </w:tcPr>
          <w:p w14:paraId="55EA972F">
            <w:pPr>
              <w:jc w:val="center"/>
              <w:rPr>
                <w:rFonts w:hint="eastAsia" w:ascii="宋体" w:hAnsi="宋体"/>
                <w:szCs w:val="44"/>
              </w:rPr>
            </w:pPr>
          </w:p>
        </w:tc>
        <w:tc>
          <w:tcPr>
            <w:tcW w:w="798" w:type="dxa"/>
            <w:vMerge w:val="restart"/>
            <w:noWrap w:val="0"/>
            <w:vAlign w:val="center"/>
          </w:tcPr>
          <w:p w14:paraId="5642AF3E">
            <w:pPr>
              <w:jc w:val="center"/>
              <w:rPr>
                <w:rFonts w:hint="eastAsia" w:ascii="宋体" w:hAnsi="宋体"/>
                <w:szCs w:val="44"/>
              </w:rPr>
            </w:pPr>
          </w:p>
        </w:tc>
        <w:tc>
          <w:tcPr>
            <w:tcW w:w="797" w:type="dxa"/>
            <w:vMerge w:val="restart"/>
            <w:noWrap w:val="0"/>
            <w:vAlign w:val="center"/>
          </w:tcPr>
          <w:p w14:paraId="74A47399">
            <w:pPr>
              <w:jc w:val="center"/>
              <w:rPr>
                <w:rFonts w:hint="eastAsia" w:ascii="宋体" w:hAnsi="宋体"/>
                <w:szCs w:val="44"/>
              </w:rPr>
            </w:pPr>
          </w:p>
        </w:tc>
        <w:tc>
          <w:tcPr>
            <w:tcW w:w="798" w:type="dxa"/>
            <w:vMerge w:val="restart"/>
            <w:noWrap w:val="0"/>
            <w:vAlign w:val="center"/>
          </w:tcPr>
          <w:p w14:paraId="4E499BBE">
            <w:pPr>
              <w:jc w:val="center"/>
              <w:rPr>
                <w:rFonts w:hint="eastAsia" w:ascii="宋体" w:hAnsi="宋体"/>
                <w:szCs w:val="44"/>
              </w:rPr>
            </w:pPr>
          </w:p>
        </w:tc>
        <w:tc>
          <w:tcPr>
            <w:tcW w:w="798" w:type="dxa"/>
            <w:vMerge w:val="restart"/>
            <w:noWrap w:val="0"/>
            <w:vAlign w:val="center"/>
          </w:tcPr>
          <w:p w14:paraId="2179E792">
            <w:pPr>
              <w:jc w:val="center"/>
              <w:rPr>
                <w:rFonts w:hint="eastAsia" w:ascii="宋体" w:hAnsi="宋体"/>
                <w:szCs w:val="44"/>
              </w:rPr>
            </w:pPr>
          </w:p>
        </w:tc>
      </w:tr>
      <w:tr w14:paraId="507C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51B7EB75">
            <w:pPr>
              <w:jc w:val="center"/>
              <w:rPr>
                <w:rFonts w:hint="eastAsia" w:ascii="黑体" w:hAnsi="宋体" w:eastAsia="黑体"/>
                <w:szCs w:val="44"/>
              </w:rPr>
            </w:pPr>
          </w:p>
        </w:tc>
        <w:tc>
          <w:tcPr>
            <w:tcW w:w="1529" w:type="dxa"/>
            <w:vMerge w:val="continue"/>
            <w:noWrap w:val="0"/>
            <w:vAlign w:val="center"/>
          </w:tcPr>
          <w:p w14:paraId="1C9D38F6">
            <w:pPr>
              <w:jc w:val="center"/>
              <w:rPr>
                <w:rFonts w:hint="eastAsia" w:ascii="宋体" w:hAnsi="宋体"/>
                <w:szCs w:val="21"/>
              </w:rPr>
            </w:pPr>
          </w:p>
        </w:tc>
        <w:tc>
          <w:tcPr>
            <w:tcW w:w="3600" w:type="dxa"/>
            <w:noWrap w:val="0"/>
            <w:vAlign w:val="center"/>
          </w:tcPr>
          <w:p w14:paraId="050B744F">
            <w:pPr>
              <w:rPr>
                <w:rFonts w:hint="eastAsia" w:ascii="宋体" w:hAnsi="宋体"/>
                <w:szCs w:val="44"/>
              </w:rPr>
            </w:pPr>
          </w:p>
        </w:tc>
        <w:tc>
          <w:tcPr>
            <w:tcW w:w="720" w:type="dxa"/>
            <w:vMerge w:val="continue"/>
            <w:noWrap w:val="0"/>
            <w:vAlign w:val="center"/>
          </w:tcPr>
          <w:p w14:paraId="246A4F66">
            <w:pPr>
              <w:jc w:val="center"/>
              <w:rPr>
                <w:rFonts w:hint="eastAsia" w:ascii="宋体" w:hAnsi="宋体"/>
                <w:szCs w:val="44"/>
              </w:rPr>
            </w:pPr>
          </w:p>
        </w:tc>
        <w:tc>
          <w:tcPr>
            <w:tcW w:w="797" w:type="dxa"/>
            <w:vMerge w:val="continue"/>
            <w:noWrap w:val="0"/>
            <w:vAlign w:val="center"/>
          </w:tcPr>
          <w:p w14:paraId="1EFEE67E">
            <w:pPr>
              <w:jc w:val="center"/>
              <w:rPr>
                <w:rFonts w:hint="eastAsia" w:ascii="宋体" w:hAnsi="宋体"/>
                <w:szCs w:val="44"/>
              </w:rPr>
            </w:pPr>
          </w:p>
        </w:tc>
        <w:tc>
          <w:tcPr>
            <w:tcW w:w="798" w:type="dxa"/>
            <w:vMerge w:val="continue"/>
            <w:noWrap w:val="0"/>
            <w:vAlign w:val="center"/>
          </w:tcPr>
          <w:p w14:paraId="7F40C205">
            <w:pPr>
              <w:jc w:val="center"/>
              <w:rPr>
                <w:rFonts w:hint="eastAsia" w:ascii="宋体" w:hAnsi="宋体"/>
                <w:szCs w:val="44"/>
              </w:rPr>
            </w:pPr>
          </w:p>
        </w:tc>
        <w:tc>
          <w:tcPr>
            <w:tcW w:w="798" w:type="dxa"/>
            <w:vMerge w:val="continue"/>
            <w:noWrap w:val="0"/>
            <w:vAlign w:val="center"/>
          </w:tcPr>
          <w:p w14:paraId="46CDB4C0">
            <w:pPr>
              <w:jc w:val="center"/>
              <w:rPr>
                <w:rFonts w:hint="eastAsia" w:ascii="宋体" w:hAnsi="宋体"/>
                <w:szCs w:val="44"/>
              </w:rPr>
            </w:pPr>
          </w:p>
        </w:tc>
        <w:tc>
          <w:tcPr>
            <w:tcW w:w="797" w:type="dxa"/>
            <w:vMerge w:val="continue"/>
            <w:noWrap w:val="0"/>
            <w:vAlign w:val="center"/>
          </w:tcPr>
          <w:p w14:paraId="2F7B1D17">
            <w:pPr>
              <w:jc w:val="center"/>
              <w:rPr>
                <w:rFonts w:hint="eastAsia" w:ascii="宋体" w:hAnsi="宋体"/>
                <w:szCs w:val="44"/>
              </w:rPr>
            </w:pPr>
          </w:p>
        </w:tc>
        <w:tc>
          <w:tcPr>
            <w:tcW w:w="798" w:type="dxa"/>
            <w:vMerge w:val="continue"/>
            <w:noWrap w:val="0"/>
            <w:vAlign w:val="center"/>
          </w:tcPr>
          <w:p w14:paraId="2DAD92F7">
            <w:pPr>
              <w:jc w:val="center"/>
              <w:rPr>
                <w:rFonts w:hint="eastAsia" w:ascii="宋体" w:hAnsi="宋体"/>
                <w:szCs w:val="44"/>
              </w:rPr>
            </w:pPr>
          </w:p>
        </w:tc>
        <w:tc>
          <w:tcPr>
            <w:tcW w:w="798" w:type="dxa"/>
            <w:vMerge w:val="continue"/>
            <w:noWrap w:val="0"/>
            <w:vAlign w:val="center"/>
          </w:tcPr>
          <w:p w14:paraId="34FEDE97">
            <w:pPr>
              <w:jc w:val="center"/>
              <w:rPr>
                <w:rFonts w:hint="eastAsia" w:ascii="宋体" w:hAnsi="宋体"/>
                <w:szCs w:val="44"/>
              </w:rPr>
            </w:pPr>
          </w:p>
        </w:tc>
        <w:tc>
          <w:tcPr>
            <w:tcW w:w="797" w:type="dxa"/>
            <w:vMerge w:val="continue"/>
            <w:noWrap w:val="0"/>
            <w:vAlign w:val="center"/>
          </w:tcPr>
          <w:p w14:paraId="58C40592">
            <w:pPr>
              <w:jc w:val="center"/>
              <w:rPr>
                <w:rFonts w:hint="eastAsia" w:ascii="宋体" w:hAnsi="宋体"/>
                <w:szCs w:val="44"/>
              </w:rPr>
            </w:pPr>
          </w:p>
        </w:tc>
        <w:tc>
          <w:tcPr>
            <w:tcW w:w="798" w:type="dxa"/>
            <w:vMerge w:val="continue"/>
            <w:noWrap w:val="0"/>
            <w:vAlign w:val="center"/>
          </w:tcPr>
          <w:p w14:paraId="26871BF0">
            <w:pPr>
              <w:jc w:val="center"/>
              <w:rPr>
                <w:rFonts w:hint="eastAsia" w:ascii="宋体" w:hAnsi="宋体"/>
                <w:szCs w:val="44"/>
              </w:rPr>
            </w:pPr>
          </w:p>
        </w:tc>
        <w:tc>
          <w:tcPr>
            <w:tcW w:w="798" w:type="dxa"/>
            <w:vMerge w:val="continue"/>
            <w:noWrap w:val="0"/>
            <w:vAlign w:val="center"/>
          </w:tcPr>
          <w:p w14:paraId="5F56E17D">
            <w:pPr>
              <w:jc w:val="center"/>
              <w:rPr>
                <w:rFonts w:hint="eastAsia" w:ascii="宋体" w:hAnsi="宋体"/>
                <w:szCs w:val="44"/>
              </w:rPr>
            </w:pPr>
          </w:p>
        </w:tc>
      </w:tr>
      <w:tr w14:paraId="5B5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7A52BE22">
            <w:pPr>
              <w:jc w:val="center"/>
              <w:rPr>
                <w:rFonts w:hint="eastAsia" w:ascii="黑体" w:hAnsi="宋体" w:eastAsia="黑体"/>
                <w:szCs w:val="44"/>
              </w:rPr>
            </w:pPr>
          </w:p>
        </w:tc>
        <w:tc>
          <w:tcPr>
            <w:tcW w:w="1529" w:type="dxa"/>
            <w:vMerge w:val="continue"/>
            <w:noWrap w:val="0"/>
            <w:vAlign w:val="center"/>
          </w:tcPr>
          <w:p w14:paraId="0BAE2DCE">
            <w:pPr>
              <w:jc w:val="center"/>
              <w:rPr>
                <w:rFonts w:hint="eastAsia" w:ascii="宋体" w:hAnsi="宋体"/>
                <w:szCs w:val="21"/>
              </w:rPr>
            </w:pPr>
          </w:p>
        </w:tc>
        <w:tc>
          <w:tcPr>
            <w:tcW w:w="3600" w:type="dxa"/>
            <w:noWrap w:val="0"/>
            <w:vAlign w:val="center"/>
          </w:tcPr>
          <w:p w14:paraId="03D5B6DB">
            <w:pPr>
              <w:rPr>
                <w:rFonts w:hint="eastAsia" w:ascii="宋体" w:hAnsi="宋体"/>
                <w:szCs w:val="44"/>
              </w:rPr>
            </w:pPr>
          </w:p>
        </w:tc>
        <w:tc>
          <w:tcPr>
            <w:tcW w:w="720" w:type="dxa"/>
            <w:vMerge w:val="continue"/>
            <w:noWrap w:val="0"/>
            <w:vAlign w:val="center"/>
          </w:tcPr>
          <w:p w14:paraId="6785B8EB">
            <w:pPr>
              <w:jc w:val="center"/>
              <w:rPr>
                <w:rFonts w:hint="eastAsia" w:ascii="宋体" w:hAnsi="宋体"/>
                <w:szCs w:val="44"/>
              </w:rPr>
            </w:pPr>
          </w:p>
        </w:tc>
        <w:tc>
          <w:tcPr>
            <w:tcW w:w="797" w:type="dxa"/>
            <w:vMerge w:val="continue"/>
            <w:noWrap w:val="0"/>
            <w:vAlign w:val="center"/>
          </w:tcPr>
          <w:p w14:paraId="2DE7E7EE">
            <w:pPr>
              <w:jc w:val="center"/>
              <w:rPr>
                <w:rFonts w:hint="eastAsia" w:ascii="宋体" w:hAnsi="宋体"/>
                <w:szCs w:val="44"/>
              </w:rPr>
            </w:pPr>
          </w:p>
        </w:tc>
        <w:tc>
          <w:tcPr>
            <w:tcW w:w="798" w:type="dxa"/>
            <w:vMerge w:val="continue"/>
            <w:noWrap w:val="0"/>
            <w:vAlign w:val="center"/>
          </w:tcPr>
          <w:p w14:paraId="5594E418">
            <w:pPr>
              <w:jc w:val="center"/>
              <w:rPr>
                <w:rFonts w:hint="eastAsia" w:ascii="宋体" w:hAnsi="宋体"/>
                <w:szCs w:val="44"/>
              </w:rPr>
            </w:pPr>
          </w:p>
        </w:tc>
        <w:tc>
          <w:tcPr>
            <w:tcW w:w="798" w:type="dxa"/>
            <w:vMerge w:val="continue"/>
            <w:noWrap w:val="0"/>
            <w:vAlign w:val="center"/>
          </w:tcPr>
          <w:p w14:paraId="40E4AE99">
            <w:pPr>
              <w:jc w:val="center"/>
              <w:rPr>
                <w:rFonts w:hint="eastAsia" w:ascii="宋体" w:hAnsi="宋体"/>
                <w:szCs w:val="44"/>
              </w:rPr>
            </w:pPr>
          </w:p>
        </w:tc>
        <w:tc>
          <w:tcPr>
            <w:tcW w:w="797" w:type="dxa"/>
            <w:vMerge w:val="continue"/>
            <w:noWrap w:val="0"/>
            <w:vAlign w:val="center"/>
          </w:tcPr>
          <w:p w14:paraId="5E9B721D">
            <w:pPr>
              <w:jc w:val="center"/>
              <w:rPr>
                <w:rFonts w:hint="eastAsia" w:ascii="宋体" w:hAnsi="宋体"/>
                <w:szCs w:val="44"/>
              </w:rPr>
            </w:pPr>
          </w:p>
        </w:tc>
        <w:tc>
          <w:tcPr>
            <w:tcW w:w="798" w:type="dxa"/>
            <w:vMerge w:val="continue"/>
            <w:noWrap w:val="0"/>
            <w:vAlign w:val="center"/>
          </w:tcPr>
          <w:p w14:paraId="50FE5EC4">
            <w:pPr>
              <w:jc w:val="center"/>
              <w:rPr>
                <w:rFonts w:hint="eastAsia" w:ascii="宋体" w:hAnsi="宋体"/>
                <w:szCs w:val="44"/>
              </w:rPr>
            </w:pPr>
          </w:p>
        </w:tc>
        <w:tc>
          <w:tcPr>
            <w:tcW w:w="798" w:type="dxa"/>
            <w:vMerge w:val="continue"/>
            <w:noWrap w:val="0"/>
            <w:vAlign w:val="center"/>
          </w:tcPr>
          <w:p w14:paraId="7F4E183F">
            <w:pPr>
              <w:jc w:val="center"/>
              <w:rPr>
                <w:rFonts w:hint="eastAsia" w:ascii="宋体" w:hAnsi="宋体"/>
                <w:szCs w:val="44"/>
              </w:rPr>
            </w:pPr>
          </w:p>
        </w:tc>
        <w:tc>
          <w:tcPr>
            <w:tcW w:w="797" w:type="dxa"/>
            <w:vMerge w:val="continue"/>
            <w:noWrap w:val="0"/>
            <w:vAlign w:val="center"/>
          </w:tcPr>
          <w:p w14:paraId="41372EB5">
            <w:pPr>
              <w:jc w:val="center"/>
              <w:rPr>
                <w:rFonts w:hint="eastAsia" w:ascii="宋体" w:hAnsi="宋体"/>
                <w:szCs w:val="44"/>
              </w:rPr>
            </w:pPr>
          </w:p>
        </w:tc>
        <w:tc>
          <w:tcPr>
            <w:tcW w:w="798" w:type="dxa"/>
            <w:vMerge w:val="continue"/>
            <w:noWrap w:val="0"/>
            <w:vAlign w:val="center"/>
          </w:tcPr>
          <w:p w14:paraId="58E81DCF">
            <w:pPr>
              <w:jc w:val="center"/>
              <w:rPr>
                <w:rFonts w:hint="eastAsia" w:ascii="宋体" w:hAnsi="宋体"/>
                <w:szCs w:val="44"/>
              </w:rPr>
            </w:pPr>
          </w:p>
        </w:tc>
        <w:tc>
          <w:tcPr>
            <w:tcW w:w="798" w:type="dxa"/>
            <w:vMerge w:val="continue"/>
            <w:noWrap w:val="0"/>
            <w:vAlign w:val="center"/>
          </w:tcPr>
          <w:p w14:paraId="30CDC689">
            <w:pPr>
              <w:jc w:val="center"/>
              <w:rPr>
                <w:rFonts w:hint="eastAsia" w:ascii="宋体" w:hAnsi="宋体"/>
                <w:szCs w:val="44"/>
              </w:rPr>
            </w:pPr>
          </w:p>
        </w:tc>
      </w:tr>
      <w:tr w14:paraId="477E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39" w:type="dxa"/>
            <w:vMerge w:val="continue"/>
            <w:noWrap w:val="0"/>
            <w:vAlign w:val="center"/>
          </w:tcPr>
          <w:p w14:paraId="1EFCAB7B">
            <w:pPr>
              <w:jc w:val="center"/>
              <w:rPr>
                <w:rFonts w:hint="eastAsia" w:ascii="黑体" w:hAnsi="宋体" w:eastAsia="黑体"/>
                <w:szCs w:val="44"/>
              </w:rPr>
            </w:pPr>
          </w:p>
        </w:tc>
        <w:tc>
          <w:tcPr>
            <w:tcW w:w="1529" w:type="dxa"/>
            <w:vMerge w:val="continue"/>
            <w:noWrap w:val="0"/>
            <w:vAlign w:val="center"/>
          </w:tcPr>
          <w:p w14:paraId="480D09F4">
            <w:pPr>
              <w:jc w:val="center"/>
              <w:rPr>
                <w:rFonts w:hint="eastAsia" w:ascii="宋体" w:hAnsi="宋体"/>
                <w:szCs w:val="21"/>
              </w:rPr>
            </w:pPr>
          </w:p>
        </w:tc>
        <w:tc>
          <w:tcPr>
            <w:tcW w:w="3600" w:type="dxa"/>
            <w:noWrap w:val="0"/>
            <w:vAlign w:val="center"/>
          </w:tcPr>
          <w:p w14:paraId="4FC58563">
            <w:pPr>
              <w:rPr>
                <w:rFonts w:hint="eastAsia" w:ascii="宋体" w:hAnsi="宋体"/>
                <w:szCs w:val="44"/>
              </w:rPr>
            </w:pPr>
          </w:p>
        </w:tc>
        <w:tc>
          <w:tcPr>
            <w:tcW w:w="720" w:type="dxa"/>
            <w:vMerge w:val="continue"/>
            <w:noWrap w:val="0"/>
            <w:vAlign w:val="center"/>
          </w:tcPr>
          <w:p w14:paraId="2817A57B">
            <w:pPr>
              <w:jc w:val="center"/>
              <w:rPr>
                <w:rFonts w:hint="eastAsia" w:ascii="宋体" w:hAnsi="宋体"/>
                <w:szCs w:val="44"/>
              </w:rPr>
            </w:pPr>
          </w:p>
        </w:tc>
        <w:tc>
          <w:tcPr>
            <w:tcW w:w="797" w:type="dxa"/>
            <w:vMerge w:val="continue"/>
            <w:noWrap w:val="0"/>
            <w:vAlign w:val="center"/>
          </w:tcPr>
          <w:p w14:paraId="2B4AB500">
            <w:pPr>
              <w:jc w:val="center"/>
              <w:rPr>
                <w:rFonts w:hint="eastAsia" w:ascii="宋体" w:hAnsi="宋体"/>
                <w:szCs w:val="44"/>
              </w:rPr>
            </w:pPr>
          </w:p>
        </w:tc>
        <w:tc>
          <w:tcPr>
            <w:tcW w:w="798" w:type="dxa"/>
            <w:vMerge w:val="continue"/>
            <w:noWrap w:val="0"/>
            <w:vAlign w:val="center"/>
          </w:tcPr>
          <w:p w14:paraId="37ADFDD7">
            <w:pPr>
              <w:jc w:val="center"/>
              <w:rPr>
                <w:rFonts w:hint="eastAsia" w:ascii="宋体" w:hAnsi="宋体"/>
                <w:szCs w:val="44"/>
              </w:rPr>
            </w:pPr>
          </w:p>
        </w:tc>
        <w:tc>
          <w:tcPr>
            <w:tcW w:w="798" w:type="dxa"/>
            <w:vMerge w:val="continue"/>
            <w:noWrap w:val="0"/>
            <w:vAlign w:val="center"/>
          </w:tcPr>
          <w:p w14:paraId="4A92A6D0">
            <w:pPr>
              <w:jc w:val="center"/>
              <w:rPr>
                <w:rFonts w:hint="eastAsia" w:ascii="宋体" w:hAnsi="宋体"/>
                <w:szCs w:val="44"/>
              </w:rPr>
            </w:pPr>
          </w:p>
        </w:tc>
        <w:tc>
          <w:tcPr>
            <w:tcW w:w="797" w:type="dxa"/>
            <w:vMerge w:val="continue"/>
            <w:noWrap w:val="0"/>
            <w:vAlign w:val="center"/>
          </w:tcPr>
          <w:p w14:paraId="13D08B86">
            <w:pPr>
              <w:jc w:val="center"/>
              <w:rPr>
                <w:rFonts w:hint="eastAsia" w:ascii="宋体" w:hAnsi="宋体"/>
                <w:szCs w:val="44"/>
              </w:rPr>
            </w:pPr>
          </w:p>
        </w:tc>
        <w:tc>
          <w:tcPr>
            <w:tcW w:w="798" w:type="dxa"/>
            <w:vMerge w:val="continue"/>
            <w:noWrap w:val="0"/>
            <w:vAlign w:val="center"/>
          </w:tcPr>
          <w:p w14:paraId="43049D81">
            <w:pPr>
              <w:jc w:val="center"/>
              <w:rPr>
                <w:rFonts w:hint="eastAsia" w:ascii="宋体" w:hAnsi="宋体"/>
                <w:szCs w:val="44"/>
              </w:rPr>
            </w:pPr>
          </w:p>
        </w:tc>
        <w:tc>
          <w:tcPr>
            <w:tcW w:w="798" w:type="dxa"/>
            <w:vMerge w:val="continue"/>
            <w:noWrap w:val="0"/>
            <w:vAlign w:val="center"/>
          </w:tcPr>
          <w:p w14:paraId="2BB95849">
            <w:pPr>
              <w:jc w:val="center"/>
              <w:rPr>
                <w:rFonts w:hint="eastAsia" w:ascii="宋体" w:hAnsi="宋体"/>
                <w:szCs w:val="44"/>
              </w:rPr>
            </w:pPr>
          </w:p>
        </w:tc>
        <w:tc>
          <w:tcPr>
            <w:tcW w:w="797" w:type="dxa"/>
            <w:vMerge w:val="continue"/>
            <w:noWrap w:val="0"/>
            <w:vAlign w:val="center"/>
          </w:tcPr>
          <w:p w14:paraId="501D8C18">
            <w:pPr>
              <w:jc w:val="center"/>
              <w:rPr>
                <w:rFonts w:hint="eastAsia" w:ascii="宋体" w:hAnsi="宋体"/>
                <w:szCs w:val="44"/>
              </w:rPr>
            </w:pPr>
          </w:p>
        </w:tc>
        <w:tc>
          <w:tcPr>
            <w:tcW w:w="798" w:type="dxa"/>
            <w:vMerge w:val="continue"/>
            <w:noWrap w:val="0"/>
            <w:vAlign w:val="center"/>
          </w:tcPr>
          <w:p w14:paraId="38B38279">
            <w:pPr>
              <w:jc w:val="center"/>
              <w:rPr>
                <w:rFonts w:hint="eastAsia" w:ascii="宋体" w:hAnsi="宋体"/>
                <w:szCs w:val="44"/>
              </w:rPr>
            </w:pPr>
          </w:p>
        </w:tc>
        <w:tc>
          <w:tcPr>
            <w:tcW w:w="798" w:type="dxa"/>
            <w:vMerge w:val="continue"/>
            <w:noWrap w:val="0"/>
            <w:vAlign w:val="center"/>
          </w:tcPr>
          <w:p w14:paraId="4D34177C">
            <w:pPr>
              <w:jc w:val="center"/>
              <w:rPr>
                <w:rFonts w:hint="eastAsia" w:ascii="宋体" w:hAnsi="宋体"/>
                <w:szCs w:val="44"/>
              </w:rPr>
            </w:pPr>
          </w:p>
        </w:tc>
      </w:tr>
      <w:tr w14:paraId="61B7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588" w:type="dxa"/>
            <w:gridSpan w:val="4"/>
            <w:noWrap w:val="0"/>
            <w:vAlign w:val="center"/>
          </w:tcPr>
          <w:p w14:paraId="61862FF3">
            <w:pPr>
              <w:jc w:val="center"/>
              <w:rPr>
                <w:rFonts w:hint="eastAsia" w:ascii="宋体" w:hAnsi="宋体"/>
                <w:szCs w:val="44"/>
              </w:rPr>
            </w:pPr>
            <w:r>
              <w:rPr>
                <w:rFonts w:hint="eastAsia" w:ascii="宋体" w:hAnsi="宋体"/>
                <w:szCs w:val="44"/>
              </w:rPr>
              <w:t>施工组织设计得分合计B（满分   分）</w:t>
            </w:r>
          </w:p>
        </w:tc>
        <w:tc>
          <w:tcPr>
            <w:tcW w:w="797" w:type="dxa"/>
            <w:noWrap w:val="0"/>
            <w:vAlign w:val="center"/>
          </w:tcPr>
          <w:p w14:paraId="5BB543D0">
            <w:pPr>
              <w:jc w:val="center"/>
              <w:rPr>
                <w:rFonts w:hint="eastAsia" w:ascii="宋体" w:hAnsi="宋体"/>
                <w:szCs w:val="44"/>
              </w:rPr>
            </w:pPr>
          </w:p>
        </w:tc>
        <w:tc>
          <w:tcPr>
            <w:tcW w:w="798" w:type="dxa"/>
            <w:noWrap w:val="0"/>
            <w:vAlign w:val="center"/>
          </w:tcPr>
          <w:p w14:paraId="6D91D95F">
            <w:pPr>
              <w:jc w:val="center"/>
              <w:rPr>
                <w:rFonts w:hint="eastAsia" w:ascii="宋体" w:hAnsi="宋体"/>
                <w:szCs w:val="44"/>
              </w:rPr>
            </w:pPr>
          </w:p>
        </w:tc>
        <w:tc>
          <w:tcPr>
            <w:tcW w:w="798" w:type="dxa"/>
            <w:noWrap w:val="0"/>
            <w:vAlign w:val="center"/>
          </w:tcPr>
          <w:p w14:paraId="0877B417">
            <w:pPr>
              <w:jc w:val="center"/>
              <w:rPr>
                <w:rFonts w:hint="eastAsia" w:ascii="宋体" w:hAnsi="宋体"/>
                <w:szCs w:val="44"/>
              </w:rPr>
            </w:pPr>
          </w:p>
        </w:tc>
        <w:tc>
          <w:tcPr>
            <w:tcW w:w="797" w:type="dxa"/>
            <w:noWrap w:val="0"/>
            <w:vAlign w:val="center"/>
          </w:tcPr>
          <w:p w14:paraId="21061664">
            <w:pPr>
              <w:jc w:val="center"/>
              <w:rPr>
                <w:rFonts w:hint="eastAsia" w:ascii="宋体" w:hAnsi="宋体"/>
                <w:szCs w:val="44"/>
              </w:rPr>
            </w:pPr>
          </w:p>
        </w:tc>
        <w:tc>
          <w:tcPr>
            <w:tcW w:w="798" w:type="dxa"/>
            <w:noWrap w:val="0"/>
            <w:vAlign w:val="center"/>
          </w:tcPr>
          <w:p w14:paraId="5E6E59F1">
            <w:pPr>
              <w:jc w:val="center"/>
              <w:rPr>
                <w:rFonts w:hint="eastAsia" w:ascii="宋体" w:hAnsi="宋体"/>
                <w:szCs w:val="44"/>
              </w:rPr>
            </w:pPr>
          </w:p>
        </w:tc>
        <w:tc>
          <w:tcPr>
            <w:tcW w:w="798" w:type="dxa"/>
            <w:noWrap w:val="0"/>
            <w:vAlign w:val="center"/>
          </w:tcPr>
          <w:p w14:paraId="5FBAE47C">
            <w:pPr>
              <w:jc w:val="center"/>
              <w:rPr>
                <w:rFonts w:hint="eastAsia" w:ascii="宋体" w:hAnsi="宋体"/>
                <w:szCs w:val="44"/>
              </w:rPr>
            </w:pPr>
          </w:p>
        </w:tc>
        <w:tc>
          <w:tcPr>
            <w:tcW w:w="797" w:type="dxa"/>
            <w:noWrap w:val="0"/>
            <w:vAlign w:val="center"/>
          </w:tcPr>
          <w:p w14:paraId="0605D96C">
            <w:pPr>
              <w:jc w:val="center"/>
              <w:rPr>
                <w:rFonts w:hint="eastAsia" w:ascii="宋体" w:hAnsi="宋体"/>
                <w:szCs w:val="44"/>
              </w:rPr>
            </w:pPr>
          </w:p>
        </w:tc>
        <w:tc>
          <w:tcPr>
            <w:tcW w:w="798" w:type="dxa"/>
            <w:noWrap w:val="0"/>
            <w:vAlign w:val="center"/>
          </w:tcPr>
          <w:p w14:paraId="29CF9EDE">
            <w:pPr>
              <w:jc w:val="center"/>
              <w:rPr>
                <w:rFonts w:hint="eastAsia" w:ascii="宋体" w:hAnsi="宋体"/>
                <w:szCs w:val="44"/>
              </w:rPr>
            </w:pPr>
          </w:p>
        </w:tc>
        <w:tc>
          <w:tcPr>
            <w:tcW w:w="798" w:type="dxa"/>
            <w:noWrap w:val="0"/>
            <w:vAlign w:val="center"/>
          </w:tcPr>
          <w:p w14:paraId="46FC9814">
            <w:pPr>
              <w:jc w:val="center"/>
              <w:rPr>
                <w:rFonts w:hint="eastAsia" w:ascii="宋体" w:hAnsi="宋体"/>
                <w:szCs w:val="44"/>
              </w:rPr>
            </w:pPr>
          </w:p>
        </w:tc>
      </w:tr>
    </w:tbl>
    <w:p w14:paraId="290E0C5F">
      <w:pPr>
        <w:rPr>
          <w:rFonts w:hint="eastAsia"/>
        </w:rPr>
      </w:pPr>
    </w:p>
    <w:p w14:paraId="1261F60C">
      <w:pPr>
        <w:rPr>
          <w:rFonts w:hint="eastAsia"/>
        </w:rPr>
      </w:pPr>
    </w:p>
    <w:p w14:paraId="631B6ABF">
      <w:pPr>
        <w:rPr>
          <w:rFonts w:hint="eastAsia"/>
        </w:rPr>
      </w:pPr>
    </w:p>
    <w:p w14:paraId="0F714D4B">
      <w:pPr>
        <w:rPr>
          <w:rFonts w:hint="eastAsia"/>
        </w:rPr>
      </w:pPr>
      <w:r>
        <w:rPr>
          <w:rFonts w:hint="eastAsia"/>
        </w:rPr>
        <w:t>评标委员会成员签名：                                                                                   日期：   　　 年    月　  日</w:t>
      </w:r>
    </w:p>
    <w:p w14:paraId="069AA197">
      <w:pPr>
        <w:rPr>
          <w:rFonts w:hint="eastAsia"/>
        </w:rPr>
      </w:pPr>
    </w:p>
    <w:p w14:paraId="6393DBEB">
      <w:pPr>
        <w:rPr>
          <w:rFonts w:hint="eastAsia"/>
        </w:rPr>
      </w:pPr>
    </w:p>
    <w:p w14:paraId="54C472D8">
      <w:pPr>
        <w:rPr>
          <w:rFonts w:hint="eastAsia"/>
        </w:rPr>
      </w:pPr>
    </w:p>
    <w:p w14:paraId="1B5C71E1">
      <w:pPr>
        <w:rPr>
          <w:rFonts w:hint="eastAsia"/>
        </w:rPr>
      </w:pPr>
    </w:p>
    <w:p w14:paraId="19BEA0D9">
      <w:pPr>
        <w:rPr>
          <w:rFonts w:hint="eastAsia"/>
        </w:rPr>
      </w:pPr>
    </w:p>
    <w:p w14:paraId="3564C36A">
      <w:pPr>
        <w:pStyle w:val="20"/>
        <w:rPr>
          <w:rFonts w:hint="eastAsia" w:ascii="黑体"/>
        </w:rPr>
      </w:pPr>
      <w:bookmarkStart w:id="435" w:name="_Toc108513662"/>
      <w:r>
        <w:rPr>
          <w:rFonts w:hint="eastAsia"/>
        </w:rPr>
        <w:t>附表A-10：项目管理机构评审记录表</w:t>
      </w:r>
      <w:bookmarkEnd w:id="435"/>
    </w:p>
    <w:p w14:paraId="673C5066">
      <w:pPr>
        <w:spacing w:after="240" w:afterLines="100"/>
        <w:jc w:val="center"/>
        <w:rPr>
          <w:rFonts w:hint="eastAsia" w:ascii="黑体" w:eastAsia="黑体"/>
          <w:sz w:val="28"/>
          <w:szCs w:val="28"/>
        </w:rPr>
      </w:pPr>
      <w:r>
        <w:rPr>
          <w:rFonts w:hint="eastAsia" w:ascii="黑体" w:eastAsia="黑体"/>
          <w:sz w:val="28"/>
          <w:szCs w:val="28"/>
        </w:rPr>
        <w:t>项目管理机构评审记录表</w:t>
      </w:r>
    </w:p>
    <w:p w14:paraId="68095BC0">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087"/>
        <w:gridCol w:w="900"/>
        <w:gridCol w:w="3420"/>
        <w:gridCol w:w="720"/>
        <w:gridCol w:w="757"/>
        <w:gridCol w:w="758"/>
        <w:gridCol w:w="758"/>
        <w:gridCol w:w="757"/>
        <w:gridCol w:w="758"/>
        <w:gridCol w:w="758"/>
        <w:gridCol w:w="757"/>
        <w:gridCol w:w="758"/>
        <w:gridCol w:w="758"/>
      </w:tblGrid>
      <w:tr w14:paraId="2640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1" w:type="dxa"/>
            <w:vMerge w:val="restart"/>
            <w:noWrap w:val="0"/>
            <w:vAlign w:val="center"/>
          </w:tcPr>
          <w:p w14:paraId="3B324C87">
            <w:pPr>
              <w:jc w:val="center"/>
              <w:rPr>
                <w:rFonts w:hint="eastAsia" w:ascii="宋体" w:hAnsi="宋体"/>
                <w:szCs w:val="44"/>
              </w:rPr>
            </w:pPr>
            <w:r>
              <w:rPr>
                <w:rFonts w:hint="eastAsia" w:ascii="宋体" w:hAnsi="宋体"/>
                <w:szCs w:val="44"/>
              </w:rPr>
              <w:t>序号</w:t>
            </w:r>
          </w:p>
        </w:tc>
        <w:tc>
          <w:tcPr>
            <w:tcW w:w="1987" w:type="dxa"/>
            <w:gridSpan w:val="2"/>
            <w:vMerge w:val="restart"/>
            <w:noWrap w:val="0"/>
            <w:vAlign w:val="center"/>
          </w:tcPr>
          <w:p w14:paraId="03A68ACE">
            <w:pPr>
              <w:jc w:val="center"/>
              <w:rPr>
                <w:rFonts w:hint="eastAsia" w:ascii="宋体" w:hAnsi="宋体"/>
                <w:szCs w:val="44"/>
              </w:rPr>
            </w:pPr>
            <w:r>
              <w:rPr>
                <w:rFonts w:hint="eastAsia" w:ascii="宋体" w:hAnsi="宋体"/>
                <w:szCs w:val="44"/>
              </w:rPr>
              <w:t>评分项目</w:t>
            </w:r>
          </w:p>
        </w:tc>
        <w:tc>
          <w:tcPr>
            <w:tcW w:w="3420" w:type="dxa"/>
            <w:vMerge w:val="restart"/>
            <w:noWrap w:val="0"/>
            <w:vAlign w:val="center"/>
          </w:tcPr>
          <w:p w14:paraId="1D7765EA">
            <w:pPr>
              <w:jc w:val="center"/>
              <w:rPr>
                <w:rFonts w:hint="eastAsia" w:ascii="宋体" w:hAnsi="宋体"/>
                <w:szCs w:val="44"/>
              </w:rPr>
            </w:pPr>
            <w:r>
              <w:rPr>
                <w:rFonts w:hint="eastAsia" w:ascii="宋体" w:hAnsi="宋体"/>
                <w:szCs w:val="44"/>
              </w:rPr>
              <w:t>评分标准</w:t>
            </w:r>
          </w:p>
        </w:tc>
        <w:tc>
          <w:tcPr>
            <w:tcW w:w="720" w:type="dxa"/>
            <w:vMerge w:val="restart"/>
            <w:noWrap w:val="0"/>
            <w:vAlign w:val="center"/>
          </w:tcPr>
          <w:p w14:paraId="6C5D7FA7">
            <w:pPr>
              <w:jc w:val="center"/>
              <w:rPr>
                <w:rFonts w:hint="eastAsia" w:ascii="宋体" w:hAnsi="宋体"/>
                <w:szCs w:val="44"/>
              </w:rPr>
            </w:pPr>
            <w:r>
              <w:rPr>
                <w:rFonts w:hint="eastAsia" w:ascii="宋体" w:hAnsi="宋体"/>
                <w:szCs w:val="44"/>
              </w:rPr>
              <w:t>标准分</w:t>
            </w:r>
          </w:p>
        </w:tc>
        <w:tc>
          <w:tcPr>
            <w:tcW w:w="6819" w:type="dxa"/>
            <w:gridSpan w:val="9"/>
            <w:noWrap w:val="0"/>
            <w:vAlign w:val="center"/>
          </w:tcPr>
          <w:p w14:paraId="64D3902B">
            <w:pPr>
              <w:jc w:val="center"/>
              <w:rPr>
                <w:rFonts w:hint="eastAsia" w:ascii="宋体" w:hAnsi="宋体"/>
                <w:szCs w:val="44"/>
              </w:rPr>
            </w:pPr>
            <w:r>
              <w:rPr>
                <w:rFonts w:hint="eastAsia" w:ascii="宋体" w:hAnsi="宋体"/>
                <w:szCs w:val="44"/>
              </w:rPr>
              <w:t>投标人名称及得分</w:t>
            </w:r>
          </w:p>
        </w:tc>
      </w:tr>
      <w:tr w14:paraId="72BE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1" w:type="dxa"/>
            <w:vMerge w:val="continue"/>
            <w:noWrap w:val="0"/>
            <w:vAlign w:val="center"/>
          </w:tcPr>
          <w:p w14:paraId="7AC8CA62">
            <w:pPr>
              <w:jc w:val="center"/>
              <w:rPr>
                <w:rFonts w:hint="eastAsia" w:ascii="宋体" w:hAnsi="宋体"/>
                <w:szCs w:val="44"/>
              </w:rPr>
            </w:pPr>
          </w:p>
        </w:tc>
        <w:tc>
          <w:tcPr>
            <w:tcW w:w="1987" w:type="dxa"/>
            <w:gridSpan w:val="2"/>
            <w:vMerge w:val="continue"/>
            <w:noWrap w:val="0"/>
            <w:vAlign w:val="center"/>
          </w:tcPr>
          <w:p w14:paraId="1C56C74E">
            <w:pPr>
              <w:jc w:val="center"/>
              <w:rPr>
                <w:rFonts w:hint="eastAsia" w:ascii="宋体" w:hAnsi="宋体"/>
                <w:szCs w:val="44"/>
              </w:rPr>
            </w:pPr>
          </w:p>
        </w:tc>
        <w:tc>
          <w:tcPr>
            <w:tcW w:w="3420" w:type="dxa"/>
            <w:vMerge w:val="continue"/>
            <w:noWrap w:val="0"/>
            <w:vAlign w:val="center"/>
          </w:tcPr>
          <w:p w14:paraId="6113855F">
            <w:pPr>
              <w:jc w:val="center"/>
              <w:rPr>
                <w:rFonts w:hint="eastAsia" w:ascii="宋体" w:hAnsi="宋体"/>
                <w:szCs w:val="44"/>
              </w:rPr>
            </w:pPr>
          </w:p>
        </w:tc>
        <w:tc>
          <w:tcPr>
            <w:tcW w:w="720" w:type="dxa"/>
            <w:vMerge w:val="continue"/>
            <w:noWrap w:val="0"/>
            <w:vAlign w:val="center"/>
          </w:tcPr>
          <w:p w14:paraId="6608D936">
            <w:pPr>
              <w:jc w:val="center"/>
              <w:rPr>
                <w:rFonts w:hint="eastAsia" w:ascii="宋体" w:hAnsi="宋体"/>
                <w:szCs w:val="44"/>
              </w:rPr>
            </w:pPr>
          </w:p>
        </w:tc>
        <w:tc>
          <w:tcPr>
            <w:tcW w:w="757" w:type="dxa"/>
            <w:noWrap w:val="0"/>
            <w:vAlign w:val="center"/>
          </w:tcPr>
          <w:p w14:paraId="5BAF7CB4">
            <w:pPr>
              <w:jc w:val="center"/>
              <w:rPr>
                <w:rFonts w:hint="eastAsia" w:ascii="宋体" w:hAnsi="宋体"/>
                <w:szCs w:val="44"/>
              </w:rPr>
            </w:pPr>
          </w:p>
        </w:tc>
        <w:tc>
          <w:tcPr>
            <w:tcW w:w="758" w:type="dxa"/>
            <w:noWrap w:val="0"/>
            <w:vAlign w:val="center"/>
          </w:tcPr>
          <w:p w14:paraId="56078C6D">
            <w:pPr>
              <w:jc w:val="center"/>
              <w:rPr>
                <w:rFonts w:hint="eastAsia" w:ascii="宋体" w:hAnsi="宋体"/>
                <w:szCs w:val="44"/>
              </w:rPr>
            </w:pPr>
          </w:p>
        </w:tc>
        <w:tc>
          <w:tcPr>
            <w:tcW w:w="758" w:type="dxa"/>
            <w:noWrap w:val="0"/>
            <w:vAlign w:val="center"/>
          </w:tcPr>
          <w:p w14:paraId="6793DF29">
            <w:pPr>
              <w:jc w:val="center"/>
              <w:rPr>
                <w:rFonts w:hint="eastAsia" w:ascii="宋体" w:hAnsi="宋体"/>
                <w:szCs w:val="44"/>
              </w:rPr>
            </w:pPr>
          </w:p>
        </w:tc>
        <w:tc>
          <w:tcPr>
            <w:tcW w:w="757" w:type="dxa"/>
            <w:noWrap w:val="0"/>
            <w:vAlign w:val="center"/>
          </w:tcPr>
          <w:p w14:paraId="4AF89729">
            <w:pPr>
              <w:jc w:val="center"/>
              <w:rPr>
                <w:rFonts w:hint="eastAsia" w:ascii="宋体" w:hAnsi="宋体"/>
                <w:szCs w:val="44"/>
              </w:rPr>
            </w:pPr>
          </w:p>
        </w:tc>
        <w:tc>
          <w:tcPr>
            <w:tcW w:w="758" w:type="dxa"/>
            <w:noWrap w:val="0"/>
            <w:vAlign w:val="center"/>
          </w:tcPr>
          <w:p w14:paraId="5FDBA3FE">
            <w:pPr>
              <w:jc w:val="center"/>
              <w:rPr>
                <w:rFonts w:hint="eastAsia" w:ascii="宋体" w:hAnsi="宋体"/>
                <w:szCs w:val="44"/>
              </w:rPr>
            </w:pPr>
          </w:p>
        </w:tc>
        <w:tc>
          <w:tcPr>
            <w:tcW w:w="758" w:type="dxa"/>
            <w:noWrap w:val="0"/>
            <w:vAlign w:val="center"/>
          </w:tcPr>
          <w:p w14:paraId="1831E071">
            <w:pPr>
              <w:jc w:val="center"/>
              <w:rPr>
                <w:rFonts w:hint="eastAsia" w:ascii="宋体" w:hAnsi="宋体"/>
                <w:szCs w:val="44"/>
              </w:rPr>
            </w:pPr>
          </w:p>
        </w:tc>
        <w:tc>
          <w:tcPr>
            <w:tcW w:w="757" w:type="dxa"/>
            <w:noWrap w:val="0"/>
            <w:vAlign w:val="center"/>
          </w:tcPr>
          <w:p w14:paraId="3FE22857">
            <w:pPr>
              <w:jc w:val="center"/>
              <w:rPr>
                <w:rFonts w:hint="eastAsia" w:ascii="宋体" w:hAnsi="宋体"/>
                <w:szCs w:val="44"/>
              </w:rPr>
            </w:pPr>
          </w:p>
        </w:tc>
        <w:tc>
          <w:tcPr>
            <w:tcW w:w="758" w:type="dxa"/>
            <w:noWrap w:val="0"/>
            <w:vAlign w:val="center"/>
          </w:tcPr>
          <w:p w14:paraId="4E092E23">
            <w:pPr>
              <w:jc w:val="center"/>
              <w:rPr>
                <w:rFonts w:hint="eastAsia" w:ascii="宋体" w:hAnsi="宋体"/>
                <w:szCs w:val="44"/>
              </w:rPr>
            </w:pPr>
          </w:p>
        </w:tc>
        <w:tc>
          <w:tcPr>
            <w:tcW w:w="758" w:type="dxa"/>
            <w:noWrap w:val="0"/>
            <w:vAlign w:val="center"/>
          </w:tcPr>
          <w:p w14:paraId="68F8526A">
            <w:pPr>
              <w:jc w:val="center"/>
              <w:rPr>
                <w:rFonts w:hint="eastAsia" w:ascii="宋体" w:hAnsi="宋体"/>
                <w:szCs w:val="44"/>
              </w:rPr>
            </w:pPr>
          </w:p>
        </w:tc>
      </w:tr>
      <w:tr w14:paraId="4CF1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vMerge w:val="restart"/>
            <w:noWrap w:val="0"/>
            <w:vAlign w:val="center"/>
          </w:tcPr>
          <w:p w14:paraId="0EEDD16B">
            <w:pPr>
              <w:jc w:val="center"/>
              <w:rPr>
                <w:rFonts w:hint="eastAsia" w:ascii="黑体" w:hAnsi="宋体" w:eastAsia="黑体"/>
                <w:szCs w:val="44"/>
              </w:rPr>
            </w:pPr>
            <w:r>
              <w:rPr>
                <w:rFonts w:hint="eastAsia" w:ascii="黑体" w:hAnsi="宋体" w:eastAsia="黑体"/>
                <w:szCs w:val="44"/>
              </w:rPr>
              <w:t>1</w:t>
            </w:r>
          </w:p>
        </w:tc>
        <w:tc>
          <w:tcPr>
            <w:tcW w:w="1087" w:type="dxa"/>
            <w:vMerge w:val="restart"/>
            <w:noWrap w:val="0"/>
            <w:vAlign w:val="center"/>
          </w:tcPr>
          <w:p w14:paraId="36AE3BCD">
            <w:pPr>
              <w:jc w:val="center"/>
              <w:rPr>
                <w:rFonts w:hint="eastAsia" w:ascii="宋体" w:hAnsi="宋体"/>
                <w:szCs w:val="44"/>
              </w:rPr>
            </w:pPr>
            <w:r>
              <w:rPr>
                <w:rFonts w:hint="eastAsia" w:ascii="宋体" w:hAnsi="宋体"/>
                <w:szCs w:val="44"/>
              </w:rPr>
              <w:t>项目经理任职资格与业绩</w:t>
            </w:r>
          </w:p>
        </w:tc>
        <w:tc>
          <w:tcPr>
            <w:tcW w:w="900" w:type="dxa"/>
            <w:noWrap w:val="0"/>
            <w:vAlign w:val="center"/>
          </w:tcPr>
          <w:p w14:paraId="4C49691D">
            <w:pPr>
              <w:jc w:val="center"/>
              <w:rPr>
                <w:rFonts w:hint="eastAsia" w:ascii="宋体" w:hAnsi="宋体"/>
                <w:szCs w:val="44"/>
              </w:rPr>
            </w:pPr>
            <w:r>
              <w:rPr>
                <w:rFonts w:hint="eastAsia" w:ascii="宋体" w:hAnsi="宋体"/>
                <w:szCs w:val="44"/>
              </w:rPr>
              <w:t>职称</w:t>
            </w:r>
          </w:p>
        </w:tc>
        <w:tc>
          <w:tcPr>
            <w:tcW w:w="3420" w:type="dxa"/>
            <w:noWrap w:val="0"/>
            <w:vAlign w:val="center"/>
          </w:tcPr>
          <w:p w14:paraId="2A8F62F9">
            <w:pPr>
              <w:rPr>
                <w:rFonts w:hint="eastAsia" w:ascii="宋体" w:hAnsi="宋体"/>
                <w:szCs w:val="21"/>
              </w:rPr>
            </w:pPr>
          </w:p>
        </w:tc>
        <w:tc>
          <w:tcPr>
            <w:tcW w:w="720" w:type="dxa"/>
            <w:noWrap w:val="0"/>
            <w:vAlign w:val="center"/>
          </w:tcPr>
          <w:p w14:paraId="57FC4D1D">
            <w:pPr>
              <w:rPr>
                <w:rFonts w:hint="eastAsia" w:ascii="宋体" w:hAnsi="宋体"/>
                <w:szCs w:val="44"/>
              </w:rPr>
            </w:pPr>
            <w:r>
              <w:rPr>
                <w:rFonts w:hint="eastAsia" w:ascii="宋体" w:hAnsi="宋体"/>
                <w:szCs w:val="44"/>
              </w:rPr>
              <w:t>分</w:t>
            </w:r>
          </w:p>
        </w:tc>
        <w:tc>
          <w:tcPr>
            <w:tcW w:w="757" w:type="dxa"/>
            <w:noWrap w:val="0"/>
            <w:vAlign w:val="center"/>
          </w:tcPr>
          <w:p w14:paraId="00613A70">
            <w:pPr>
              <w:jc w:val="center"/>
              <w:rPr>
                <w:rFonts w:hint="eastAsia" w:ascii="宋体" w:hAnsi="宋体"/>
                <w:szCs w:val="44"/>
              </w:rPr>
            </w:pPr>
          </w:p>
        </w:tc>
        <w:tc>
          <w:tcPr>
            <w:tcW w:w="758" w:type="dxa"/>
            <w:noWrap w:val="0"/>
            <w:vAlign w:val="center"/>
          </w:tcPr>
          <w:p w14:paraId="66CCA755">
            <w:pPr>
              <w:jc w:val="center"/>
              <w:rPr>
                <w:rFonts w:hint="eastAsia" w:ascii="宋体" w:hAnsi="宋体"/>
                <w:szCs w:val="44"/>
              </w:rPr>
            </w:pPr>
          </w:p>
        </w:tc>
        <w:tc>
          <w:tcPr>
            <w:tcW w:w="758" w:type="dxa"/>
            <w:noWrap w:val="0"/>
            <w:vAlign w:val="center"/>
          </w:tcPr>
          <w:p w14:paraId="4A7C2418">
            <w:pPr>
              <w:jc w:val="center"/>
              <w:rPr>
                <w:rFonts w:hint="eastAsia" w:ascii="宋体" w:hAnsi="宋体"/>
                <w:szCs w:val="44"/>
              </w:rPr>
            </w:pPr>
          </w:p>
        </w:tc>
        <w:tc>
          <w:tcPr>
            <w:tcW w:w="757" w:type="dxa"/>
            <w:noWrap w:val="0"/>
            <w:vAlign w:val="center"/>
          </w:tcPr>
          <w:p w14:paraId="62626D94">
            <w:pPr>
              <w:jc w:val="center"/>
              <w:rPr>
                <w:rFonts w:hint="eastAsia" w:ascii="宋体" w:hAnsi="宋体"/>
                <w:szCs w:val="44"/>
              </w:rPr>
            </w:pPr>
          </w:p>
        </w:tc>
        <w:tc>
          <w:tcPr>
            <w:tcW w:w="758" w:type="dxa"/>
            <w:noWrap w:val="0"/>
            <w:vAlign w:val="center"/>
          </w:tcPr>
          <w:p w14:paraId="260458CC">
            <w:pPr>
              <w:jc w:val="center"/>
              <w:rPr>
                <w:rFonts w:hint="eastAsia" w:ascii="宋体" w:hAnsi="宋体"/>
                <w:szCs w:val="44"/>
              </w:rPr>
            </w:pPr>
          </w:p>
        </w:tc>
        <w:tc>
          <w:tcPr>
            <w:tcW w:w="758" w:type="dxa"/>
            <w:noWrap w:val="0"/>
            <w:vAlign w:val="center"/>
          </w:tcPr>
          <w:p w14:paraId="290C4F2D">
            <w:pPr>
              <w:jc w:val="center"/>
              <w:rPr>
                <w:rFonts w:hint="eastAsia" w:ascii="宋体" w:hAnsi="宋体"/>
                <w:szCs w:val="44"/>
              </w:rPr>
            </w:pPr>
          </w:p>
        </w:tc>
        <w:tc>
          <w:tcPr>
            <w:tcW w:w="757" w:type="dxa"/>
            <w:noWrap w:val="0"/>
            <w:vAlign w:val="center"/>
          </w:tcPr>
          <w:p w14:paraId="2B46B54E">
            <w:pPr>
              <w:jc w:val="center"/>
              <w:rPr>
                <w:rFonts w:hint="eastAsia" w:ascii="宋体" w:hAnsi="宋体"/>
                <w:szCs w:val="44"/>
              </w:rPr>
            </w:pPr>
          </w:p>
        </w:tc>
        <w:tc>
          <w:tcPr>
            <w:tcW w:w="758" w:type="dxa"/>
            <w:noWrap w:val="0"/>
            <w:vAlign w:val="center"/>
          </w:tcPr>
          <w:p w14:paraId="53F7F861">
            <w:pPr>
              <w:jc w:val="center"/>
              <w:rPr>
                <w:rFonts w:hint="eastAsia" w:ascii="宋体" w:hAnsi="宋体"/>
                <w:szCs w:val="44"/>
              </w:rPr>
            </w:pPr>
          </w:p>
        </w:tc>
        <w:tc>
          <w:tcPr>
            <w:tcW w:w="758" w:type="dxa"/>
            <w:noWrap w:val="0"/>
            <w:vAlign w:val="center"/>
          </w:tcPr>
          <w:p w14:paraId="0461F4C7">
            <w:pPr>
              <w:jc w:val="center"/>
              <w:rPr>
                <w:rFonts w:hint="eastAsia" w:ascii="宋体" w:hAnsi="宋体"/>
                <w:szCs w:val="44"/>
              </w:rPr>
            </w:pPr>
          </w:p>
        </w:tc>
      </w:tr>
      <w:tr w14:paraId="02B4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vMerge w:val="continue"/>
            <w:noWrap w:val="0"/>
            <w:vAlign w:val="center"/>
          </w:tcPr>
          <w:p w14:paraId="0C759684">
            <w:pPr>
              <w:jc w:val="center"/>
              <w:rPr>
                <w:rFonts w:hint="eastAsia" w:ascii="黑体" w:hAnsi="宋体" w:eastAsia="黑体"/>
                <w:szCs w:val="44"/>
              </w:rPr>
            </w:pPr>
          </w:p>
        </w:tc>
        <w:tc>
          <w:tcPr>
            <w:tcW w:w="1087" w:type="dxa"/>
            <w:vMerge w:val="continue"/>
            <w:noWrap w:val="0"/>
            <w:vAlign w:val="center"/>
          </w:tcPr>
          <w:p w14:paraId="604EE6E5">
            <w:pPr>
              <w:jc w:val="center"/>
              <w:rPr>
                <w:rFonts w:hint="eastAsia" w:ascii="宋体" w:hAnsi="宋体"/>
                <w:szCs w:val="44"/>
              </w:rPr>
            </w:pPr>
          </w:p>
        </w:tc>
        <w:tc>
          <w:tcPr>
            <w:tcW w:w="900" w:type="dxa"/>
            <w:noWrap w:val="0"/>
            <w:vAlign w:val="center"/>
          </w:tcPr>
          <w:p w14:paraId="4F2E1A82">
            <w:pPr>
              <w:jc w:val="center"/>
              <w:rPr>
                <w:rFonts w:hint="eastAsia" w:ascii="宋体" w:hAnsi="宋体"/>
                <w:szCs w:val="44"/>
              </w:rPr>
            </w:pPr>
            <w:r>
              <w:rPr>
                <w:rFonts w:hint="eastAsia" w:ascii="宋体" w:hAnsi="宋体"/>
                <w:szCs w:val="44"/>
              </w:rPr>
              <w:t>学历</w:t>
            </w:r>
          </w:p>
        </w:tc>
        <w:tc>
          <w:tcPr>
            <w:tcW w:w="3420" w:type="dxa"/>
            <w:noWrap w:val="0"/>
            <w:vAlign w:val="center"/>
          </w:tcPr>
          <w:p w14:paraId="517E16FA">
            <w:pPr>
              <w:rPr>
                <w:rFonts w:hint="eastAsia" w:ascii="宋体" w:hAnsi="宋体"/>
                <w:szCs w:val="21"/>
              </w:rPr>
            </w:pPr>
          </w:p>
        </w:tc>
        <w:tc>
          <w:tcPr>
            <w:tcW w:w="720" w:type="dxa"/>
            <w:noWrap w:val="0"/>
            <w:vAlign w:val="center"/>
          </w:tcPr>
          <w:p w14:paraId="72E5037E">
            <w:pPr>
              <w:rPr>
                <w:rFonts w:hint="eastAsia" w:ascii="宋体" w:hAnsi="宋体"/>
                <w:szCs w:val="44"/>
              </w:rPr>
            </w:pPr>
            <w:r>
              <w:rPr>
                <w:rFonts w:hint="eastAsia" w:ascii="宋体" w:hAnsi="宋体"/>
                <w:szCs w:val="44"/>
              </w:rPr>
              <w:t>分</w:t>
            </w:r>
          </w:p>
        </w:tc>
        <w:tc>
          <w:tcPr>
            <w:tcW w:w="757" w:type="dxa"/>
            <w:noWrap w:val="0"/>
            <w:vAlign w:val="center"/>
          </w:tcPr>
          <w:p w14:paraId="640DE2BC">
            <w:pPr>
              <w:jc w:val="center"/>
              <w:rPr>
                <w:rFonts w:hint="eastAsia" w:ascii="宋体" w:hAnsi="宋体"/>
                <w:szCs w:val="44"/>
              </w:rPr>
            </w:pPr>
          </w:p>
        </w:tc>
        <w:tc>
          <w:tcPr>
            <w:tcW w:w="758" w:type="dxa"/>
            <w:noWrap w:val="0"/>
            <w:vAlign w:val="center"/>
          </w:tcPr>
          <w:p w14:paraId="71E4B8E1">
            <w:pPr>
              <w:jc w:val="center"/>
              <w:rPr>
                <w:rFonts w:hint="eastAsia" w:ascii="宋体" w:hAnsi="宋体"/>
                <w:szCs w:val="44"/>
              </w:rPr>
            </w:pPr>
          </w:p>
        </w:tc>
        <w:tc>
          <w:tcPr>
            <w:tcW w:w="758" w:type="dxa"/>
            <w:noWrap w:val="0"/>
            <w:vAlign w:val="center"/>
          </w:tcPr>
          <w:p w14:paraId="2984C294">
            <w:pPr>
              <w:jc w:val="center"/>
              <w:rPr>
                <w:rFonts w:hint="eastAsia" w:ascii="宋体" w:hAnsi="宋体"/>
                <w:szCs w:val="44"/>
              </w:rPr>
            </w:pPr>
          </w:p>
        </w:tc>
        <w:tc>
          <w:tcPr>
            <w:tcW w:w="757" w:type="dxa"/>
            <w:noWrap w:val="0"/>
            <w:vAlign w:val="center"/>
          </w:tcPr>
          <w:p w14:paraId="050EB893">
            <w:pPr>
              <w:jc w:val="center"/>
              <w:rPr>
                <w:rFonts w:hint="eastAsia" w:ascii="宋体" w:hAnsi="宋体"/>
                <w:szCs w:val="44"/>
              </w:rPr>
            </w:pPr>
          </w:p>
        </w:tc>
        <w:tc>
          <w:tcPr>
            <w:tcW w:w="758" w:type="dxa"/>
            <w:noWrap w:val="0"/>
            <w:vAlign w:val="center"/>
          </w:tcPr>
          <w:p w14:paraId="7B58B492">
            <w:pPr>
              <w:jc w:val="center"/>
              <w:rPr>
                <w:rFonts w:hint="eastAsia" w:ascii="宋体" w:hAnsi="宋体"/>
                <w:szCs w:val="44"/>
              </w:rPr>
            </w:pPr>
          </w:p>
        </w:tc>
        <w:tc>
          <w:tcPr>
            <w:tcW w:w="758" w:type="dxa"/>
            <w:noWrap w:val="0"/>
            <w:vAlign w:val="center"/>
          </w:tcPr>
          <w:p w14:paraId="107C1CB9">
            <w:pPr>
              <w:jc w:val="center"/>
              <w:rPr>
                <w:rFonts w:hint="eastAsia" w:ascii="宋体" w:hAnsi="宋体"/>
                <w:szCs w:val="44"/>
              </w:rPr>
            </w:pPr>
          </w:p>
        </w:tc>
        <w:tc>
          <w:tcPr>
            <w:tcW w:w="757" w:type="dxa"/>
            <w:noWrap w:val="0"/>
            <w:vAlign w:val="center"/>
          </w:tcPr>
          <w:p w14:paraId="57CB8E81">
            <w:pPr>
              <w:jc w:val="center"/>
              <w:rPr>
                <w:rFonts w:hint="eastAsia" w:ascii="宋体" w:hAnsi="宋体"/>
                <w:szCs w:val="44"/>
              </w:rPr>
            </w:pPr>
          </w:p>
        </w:tc>
        <w:tc>
          <w:tcPr>
            <w:tcW w:w="758" w:type="dxa"/>
            <w:noWrap w:val="0"/>
            <w:vAlign w:val="center"/>
          </w:tcPr>
          <w:p w14:paraId="2819F642">
            <w:pPr>
              <w:jc w:val="center"/>
              <w:rPr>
                <w:rFonts w:hint="eastAsia" w:ascii="宋体" w:hAnsi="宋体"/>
                <w:szCs w:val="44"/>
              </w:rPr>
            </w:pPr>
          </w:p>
        </w:tc>
        <w:tc>
          <w:tcPr>
            <w:tcW w:w="758" w:type="dxa"/>
            <w:noWrap w:val="0"/>
            <w:vAlign w:val="center"/>
          </w:tcPr>
          <w:p w14:paraId="521DC61B">
            <w:pPr>
              <w:jc w:val="center"/>
              <w:rPr>
                <w:rFonts w:hint="eastAsia" w:ascii="宋体" w:hAnsi="宋体"/>
                <w:szCs w:val="44"/>
              </w:rPr>
            </w:pPr>
          </w:p>
        </w:tc>
      </w:tr>
      <w:tr w14:paraId="173A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trPr>
        <w:tc>
          <w:tcPr>
            <w:tcW w:w="821" w:type="dxa"/>
            <w:vMerge w:val="continue"/>
            <w:noWrap w:val="0"/>
            <w:vAlign w:val="center"/>
          </w:tcPr>
          <w:p w14:paraId="5481E768">
            <w:pPr>
              <w:jc w:val="center"/>
              <w:rPr>
                <w:rFonts w:hint="eastAsia" w:ascii="黑体" w:hAnsi="宋体" w:eastAsia="黑体"/>
                <w:szCs w:val="44"/>
              </w:rPr>
            </w:pPr>
          </w:p>
        </w:tc>
        <w:tc>
          <w:tcPr>
            <w:tcW w:w="1087" w:type="dxa"/>
            <w:vMerge w:val="continue"/>
            <w:noWrap w:val="0"/>
            <w:vAlign w:val="center"/>
          </w:tcPr>
          <w:p w14:paraId="1B2C74A5">
            <w:pPr>
              <w:jc w:val="center"/>
              <w:rPr>
                <w:rFonts w:hint="eastAsia" w:ascii="宋体" w:hAnsi="宋体"/>
                <w:szCs w:val="44"/>
              </w:rPr>
            </w:pPr>
          </w:p>
        </w:tc>
        <w:tc>
          <w:tcPr>
            <w:tcW w:w="900" w:type="dxa"/>
            <w:noWrap w:val="0"/>
            <w:vAlign w:val="center"/>
          </w:tcPr>
          <w:p w14:paraId="4103074E">
            <w:pPr>
              <w:jc w:val="center"/>
              <w:rPr>
                <w:rFonts w:hint="eastAsia" w:ascii="宋体" w:hAnsi="宋体"/>
                <w:szCs w:val="44"/>
              </w:rPr>
            </w:pPr>
            <w:r>
              <w:rPr>
                <w:rFonts w:hint="eastAsia" w:ascii="宋体" w:hAnsi="宋体"/>
                <w:szCs w:val="21"/>
              </w:rPr>
              <w:t>类似项目业绩</w:t>
            </w:r>
          </w:p>
        </w:tc>
        <w:tc>
          <w:tcPr>
            <w:tcW w:w="3420" w:type="dxa"/>
            <w:noWrap w:val="0"/>
            <w:vAlign w:val="center"/>
          </w:tcPr>
          <w:p w14:paraId="17428967">
            <w:pPr>
              <w:rPr>
                <w:rFonts w:hint="eastAsia" w:ascii="宋体" w:hAnsi="宋体"/>
                <w:szCs w:val="21"/>
              </w:rPr>
            </w:pPr>
          </w:p>
        </w:tc>
        <w:tc>
          <w:tcPr>
            <w:tcW w:w="720" w:type="dxa"/>
            <w:noWrap w:val="0"/>
            <w:vAlign w:val="center"/>
          </w:tcPr>
          <w:p w14:paraId="5653AB48">
            <w:pPr>
              <w:rPr>
                <w:rFonts w:hint="eastAsia" w:ascii="宋体" w:hAnsi="宋体"/>
                <w:szCs w:val="44"/>
              </w:rPr>
            </w:pPr>
            <w:r>
              <w:rPr>
                <w:rFonts w:hint="eastAsia" w:ascii="宋体" w:hAnsi="宋体"/>
                <w:szCs w:val="44"/>
              </w:rPr>
              <w:t>分</w:t>
            </w:r>
          </w:p>
        </w:tc>
        <w:tc>
          <w:tcPr>
            <w:tcW w:w="757" w:type="dxa"/>
            <w:noWrap w:val="0"/>
            <w:vAlign w:val="center"/>
          </w:tcPr>
          <w:p w14:paraId="3383671C">
            <w:pPr>
              <w:jc w:val="center"/>
              <w:rPr>
                <w:rFonts w:hint="eastAsia" w:ascii="宋体" w:hAnsi="宋体"/>
                <w:szCs w:val="44"/>
              </w:rPr>
            </w:pPr>
          </w:p>
        </w:tc>
        <w:tc>
          <w:tcPr>
            <w:tcW w:w="758" w:type="dxa"/>
            <w:noWrap w:val="0"/>
            <w:vAlign w:val="center"/>
          </w:tcPr>
          <w:p w14:paraId="7735CB26">
            <w:pPr>
              <w:jc w:val="center"/>
              <w:rPr>
                <w:rFonts w:hint="eastAsia" w:ascii="宋体" w:hAnsi="宋体"/>
                <w:szCs w:val="44"/>
              </w:rPr>
            </w:pPr>
          </w:p>
        </w:tc>
        <w:tc>
          <w:tcPr>
            <w:tcW w:w="758" w:type="dxa"/>
            <w:noWrap w:val="0"/>
            <w:vAlign w:val="center"/>
          </w:tcPr>
          <w:p w14:paraId="2D10C023">
            <w:pPr>
              <w:jc w:val="center"/>
              <w:rPr>
                <w:rFonts w:hint="eastAsia" w:ascii="宋体" w:hAnsi="宋体"/>
                <w:szCs w:val="44"/>
              </w:rPr>
            </w:pPr>
          </w:p>
        </w:tc>
        <w:tc>
          <w:tcPr>
            <w:tcW w:w="757" w:type="dxa"/>
            <w:noWrap w:val="0"/>
            <w:vAlign w:val="center"/>
          </w:tcPr>
          <w:p w14:paraId="3CC995C3">
            <w:pPr>
              <w:jc w:val="center"/>
              <w:rPr>
                <w:rFonts w:hint="eastAsia" w:ascii="宋体" w:hAnsi="宋体"/>
                <w:szCs w:val="44"/>
              </w:rPr>
            </w:pPr>
          </w:p>
        </w:tc>
        <w:tc>
          <w:tcPr>
            <w:tcW w:w="758" w:type="dxa"/>
            <w:noWrap w:val="0"/>
            <w:vAlign w:val="center"/>
          </w:tcPr>
          <w:p w14:paraId="4D897353">
            <w:pPr>
              <w:jc w:val="center"/>
              <w:rPr>
                <w:rFonts w:hint="eastAsia" w:ascii="宋体" w:hAnsi="宋体"/>
                <w:szCs w:val="44"/>
              </w:rPr>
            </w:pPr>
          </w:p>
        </w:tc>
        <w:tc>
          <w:tcPr>
            <w:tcW w:w="758" w:type="dxa"/>
            <w:noWrap w:val="0"/>
            <w:vAlign w:val="center"/>
          </w:tcPr>
          <w:p w14:paraId="460C6839">
            <w:pPr>
              <w:jc w:val="center"/>
              <w:rPr>
                <w:rFonts w:hint="eastAsia" w:ascii="宋体" w:hAnsi="宋体"/>
                <w:szCs w:val="44"/>
              </w:rPr>
            </w:pPr>
          </w:p>
        </w:tc>
        <w:tc>
          <w:tcPr>
            <w:tcW w:w="757" w:type="dxa"/>
            <w:noWrap w:val="0"/>
            <w:vAlign w:val="center"/>
          </w:tcPr>
          <w:p w14:paraId="409CCE7D">
            <w:pPr>
              <w:jc w:val="center"/>
              <w:rPr>
                <w:rFonts w:hint="eastAsia" w:ascii="宋体" w:hAnsi="宋体"/>
                <w:szCs w:val="44"/>
              </w:rPr>
            </w:pPr>
          </w:p>
        </w:tc>
        <w:tc>
          <w:tcPr>
            <w:tcW w:w="758" w:type="dxa"/>
            <w:noWrap w:val="0"/>
            <w:vAlign w:val="center"/>
          </w:tcPr>
          <w:p w14:paraId="46046281">
            <w:pPr>
              <w:jc w:val="center"/>
              <w:rPr>
                <w:rFonts w:hint="eastAsia" w:ascii="宋体" w:hAnsi="宋体"/>
                <w:szCs w:val="44"/>
              </w:rPr>
            </w:pPr>
          </w:p>
        </w:tc>
        <w:tc>
          <w:tcPr>
            <w:tcW w:w="758" w:type="dxa"/>
            <w:noWrap w:val="0"/>
            <w:vAlign w:val="center"/>
          </w:tcPr>
          <w:p w14:paraId="0BC7EA9E">
            <w:pPr>
              <w:jc w:val="center"/>
              <w:rPr>
                <w:rFonts w:hint="eastAsia" w:ascii="宋体" w:hAnsi="宋体"/>
                <w:szCs w:val="44"/>
              </w:rPr>
            </w:pPr>
          </w:p>
        </w:tc>
      </w:tr>
      <w:tr w14:paraId="7946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821" w:type="dxa"/>
            <w:vMerge w:val="restart"/>
            <w:noWrap w:val="0"/>
            <w:vAlign w:val="center"/>
          </w:tcPr>
          <w:p w14:paraId="329F2F7A">
            <w:pPr>
              <w:jc w:val="center"/>
              <w:rPr>
                <w:rFonts w:hint="eastAsia" w:ascii="黑体" w:hAnsi="宋体" w:eastAsia="黑体"/>
                <w:szCs w:val="44"/>
              </w:rPr>
            </w:pPr>
            <w:r>
              <w:rPr>
                <w:rFonts w:hint="eastAsia" w:ascii="黑体" w:hAnsi="宋体" w:eastAsia="黑体"/>
                <w:szCs w:val="44"/>
              </w:rPr>
              <w:t>2</w:t>
            </w:r>
          </w:p>
        </w:tc>
        <w:tc>
          <w:tcPr>
            <w:tcW w:w="1087" w:type="dxa"/>
            <w:vMerge w:val="restart"/>
            <w:noWrap w:val="0"/>
            <w:vAlign w:val="center"/>
          </w:tcPr>
          <w:p w14:paraId="7CE7CE61">
            <w:pPr>
              <w:jc w:val="center"/>
              <w:rPr>
                <w:rFonts w:hint="eastAsia" w:ascii="宋体" w:hAnsi="宋体"/>
                <w:szCs w:val="44"/>
              </w:rPr>
            </w:pPr>
            <w:r>
              <w:rPr>
                <w:rFonts w:hint="eastAsia" w:ascii="宋体" w:hAnsi="宋体"/>
                <w:szCs w:val="44"/>
              </w:rPr>
              <w:t>技术负责人任职资格与业绩</w:t>
            </w:r>
          </w:p>
        </w:tc>
        <w:tc>
          <w:tcPr>
            <w:tcW w:w="900" w:type="dxa"/>
            <w:noWrap w:val="0"/>
            <w:vAlign w:val="center"/>
          </w:tcPr>
          <w:p w14:paraId="31AAF4CB">
            <w:pPr>
              <w:jc w:val="center"/>
              <w:rPr>
                <w:rFonts w:hint="eastAsia" w:ascii="宋体" w:hAnsi="宋体"/>
                <w:szCs w:val="44"/>
              </w:rPr>
            </w:pPr>
            <w:r>
              <w:rPr>
                <w:rFonts w:hint="eastAsia" w:ascii="宋体" w:hAnsi="宋体"/>
                <w:szCs w:val="44"/>
              </w:rPr>
              <w:t>职称</w:t>
            </w:r>
          </w:p>
        </w:tc>
        <w:tc>
          <w:tcPr>
            <w:tcW w:w="3420" w:type="dxa"/>
            <w:noWrap w:val="0"/>
            <w:vAlign w:val="center"/>
          </w:tcPr>
          <w:p w14:paraId="112A1D0C">
            <w:pPr>
              <w:rPr>
                <w:rFonts w:hint="eastAsia" w:ascii="宋体" w:hAnsi="宋体"/>
                <w:szCs w:val="21"/>
              </w:rPr>
            </w:pPr>
          </w:p>
        </w:tc>
        <w:tc>
          <w:tcPr>
            <w:tcW w:w="720" w:type="dxa"/>
            <w:noWrap w:val="0"/>
            <w:vAlign w:val="center"/>
          </w:tcPr>
          <w:p w14:paraId="3D8ED22F">
            <w:pPr>
              <w:rPr>
                <w:rFonts w:hint="eastAsia" w:ascii="宋体" w:hAnsi="宋体"/>
                <w:szCs w:val="44"/>
              </w:rPr>
            </w:pPr>
            <w:r>
              <w:rPr>
                <w:rFonts w:hint="eastAsia" w:ascii="宋体" w:hAnsi="宋体"/>
                <w:szCs w:val="44"/>
              </w:rPr>
              <w:t>分</w:t>
            </w:r>
          </w:p>
        </w:tc>
        <w:tc>
          <w:tcPr>
            <w:tcW w:w="757" w:type="dxa"/>
            <w:noWrap w:val="0"/>
            <w:vAlign w:val="center"/>
          </w:tcPr>
          <w:p w14:paraId="3BEDC926">
            <w:pPr>
              <w:jc w:val="center"/>
              <w:rPr>
                <w:rFonts w:hint="eastAsia" w:ascii="宋体" w:hAnsi="宋体"/>
                <w:szCs w:val="44"/>
              </w:rPr>
            </w:pPr>
          </w:p>
        </w:tc>
        <w:tc>
          <w:tcPr>
            <w:tcW w:w="758" w:type="dxa"/>
            <w:noWrap w:val="0"/>
            <w:vAlign w:val="center"/>
          </w:tcPr>
          <w:p w14:paraId="08D01B29">
            <w:pPr>
              <w:jc w:val="center"/>
              <w:rPr>
                <w:rFonts w:hint="eastAsia" w:ascii="宋体" w:hAnsi="宋体"/>
                <w:szCs w:val="44"/>
              </w:rPr>
            </w:pPr>
          </w:p>
        </w:tc>
        <w:tc>
          <w:tcPr>
            <w:tcW w:w="758" w:type="dxa"/>
            <w:noWrap w:val="0"/>
            <w:vAlign w:val="center"/>
          </w:tcPr>
          <w:p w14:paraId="3708FD25">
            <w:pPr>
              <w:jc w:val="center"/>
              <w:rPr>
                <w:rFonts w:hint="eastAsia" w:ascii="宋体" w:hAnsi="宋体"/>
                <w:szCs w:val="44"/>
              </w:rPr>
            </w:pPr>
          </w:p>
        </w:tc>
        <w:tc>
          <w:tcPr>
            <w:tcW w:w="757" w:type="dxa"/>
            <w:noWrap w:val="0"/>
            <w:vAlign w:val="center"/>
          </w:tcPr>
          <w:p w14:paraId="2F2F3B03">
            <w:pPr>
              <w:jc w:val="center"/>
              <w:rPr>
                <w:rFonts w:hint="eastAsia" w:ascii="宋体" w:hAnsi="宋体"/>
                <w:szCs w:val="44"/>
              </w:rPr>
            </w:pPr>
          </w:p>
        </w:tc>
        <w:tc>
          <w:tcPr>
            <w:tcW w:w="758" w:type="dxa"/>
            <w:noWrap w:val="0"/>
            <w:vAlign w:val="center"/>
          </w:tcPr>
          <w:p w14:paraId="7DBAA2DF">
            <w:pPr>
              <w:jc w:val="center"/>
              <w:rPr>
                <w:rFonts w:hint="eastAsia" w:ascii="宋体" w:hAnsi="宋体"/>
                <w:szCs w:val="44"/>
              </w:rPr>
            </w:pPr>
          </w:p>
        </w:tc>
        <w:tc>
          <w:tcPr>
            <w:tcW w:w="758" w:type="dxa"/>
            <w:noWrap w:val="0"/>
            <w:vAlign w:val="center"/>
          </w:tcPr>
          <w:p w14:paraId="2C953B8E">
            <w:pPr>
              <w:jc w:val="center"/>
              <w:rPr>
                <w:rFonts w:hint="eastAsia" w:ascii="宋体" w:hAnsi="宋体"/>
                <w:szCs w:val="44"/>
              </w:rPr>
            </w:pPr>
          </w:p>
        </w:tc>
        <w:tc>
          <w:tcPr>
            <w:tcW w:w="757" w:type="dxa"/>
            <w:noWrap w:val="0"/>
            <w:vAlign w:val="center"/>
          </w:tcPr>
          <w:p w14:paraId="6B71A920">
            <w:pPr>
              <w:jc w:val="center"/>
              <w:rPr>
                <w:rFonts w:hint="eastAsia" w:ascii="宋体" w:hAnsi="宋体"/>
                <w:szCs w:val="44"/>
              </w:rPr>
            </w:pPr>
          </w:p>
        </w:tc>
        <w:tc>
          <w:tcPr>
            <w:tcW w:w="758" w:type="dxa"/>
            <w:noWrap w:val="0"/>
            <w:vAlign w:val="center"/>
          </w:tcPr>
          <w:p w14:paraId="37BEE754">
            <w:pPr>
              <w:jc w:val="center"/>
              <w:rPr>
                <w:rFonts w:hint="eastAsia" w:ascii="宋体" w:hAnsi="宋体"/>
                <w:szCs w:val="44"/>
              </w:rPr>
            </w:pPr>
          </w:p>
        </w:tc>
        <w:tc>
          <w:tcPr>
            <w:tcW w:w="758" w:type="dxa"/>
            <w:noWrap w:val="0"/>
            <w:vAlign w:val="center"/>
          </w:tcPr>
          <w:p w14:paraId="46173EBB">
            <w:pPr>
              <w:jc w:val="center"/>
              <w:rPr>
                <w:rFonts w:hint="eastAsia" w:ascii="宋体" w:hAnsi="宋体"/>
                <w:szCs w:val="44"/>
              </w:rPr>
            </w:pPr>
          </w:p>
        </w:tc>
      </w:tr>
      <w:tr w14:paraId="2234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821" w:type="dxa"/>
            <w:vMerge w:val="continue"/>
            <w:noWrap w:val="0"/>
            <w:vAlign w:val="center"/>
          </w:tcPr>
          <w:p w14:paraId="6136C0F9">
            <w:pPr>
              <w:jc w:val="center"/>
              <w:rPr>
                <w:rFonts w:hint="eastAsia" w:ascii="黑体" w:hAnsi="宋体" w:eastAsia="黑体"/>
                <w:szCs w:val="44"/>
              </w:rPr>
            </w:pPr>
          </w:p>
        </w:tc>
        <w:tc>
          <w:tcPr>
            <w:tcW w:w="1087" w:type="dxa"/>
            <w:vMerge w:val="continue"/>
            <w:noWrap w:val="0"/>
            <w:vAlign w:val="center"/>
          </w:tcPr>
          <w:p w14:paraId="5D0C3C94">
            <w:pPr>
              <w:jc w:val="center"/>
              <w:rPr>
                <w:rFonts w:hint="eastAsia" w:ascii="宋体" w:hAnsi="宋体"/>
                <w:szCs w:val="44"/>
              </w:rPr>
            </w:pPr>
          </w:p>
        </w:tc>
        <w:tc>
          <w:tcPr>
            <w:tcW w:w="900" w:type="dxa"/>
            <w:noWrap w:val="0"/>
            <w:vAlign w:val="center"/>
          </w:tcPr>
          <w:p w14:paraId="706A5248">
            <w:pPr>
              <w:jc w:val="center"/>
              <w:rPr>
                <w:rFonts w:hint="eastAsia" w:ascii="宋体" w:hAnsi="宋体"/>
                <w:szCs w:val="44"/>
              </w:rPr>
            </w:pPr>
            <w:r>
              <w:rPr>
                <w:rFonts w:hint="eastAsia" w:ascii="宋体" w:hAnsi="宋体"/>
                <w:szCs w:val="44"/>
              </w:rPr>
              <w:t>学历</w:t>
            </w:r>
          </w:p>
        </w:tc>
        <w:tc>
          <w:tcPr>
            <w:tcW w:w="3420" w:type="dxa"/>
            <w:noWrap w:val="0"/>
            <w:vAlign w:val="center"/>
          </w:tcPr>
          <w:p w14:paraId="7382CCF8">
            <w:pPr>
              <w:rPr>
                <w:rFonts w:hint="eastAsia" w:ascii="宋体" w:hAnsi="宋体"/>
                <w:szCs w:val="21"/>
              </w:rPr>
            </w:pPr>
          </w:p>
        </w:tc>
        <w:tc>
          <w:tcPr>
            <w:tcW w:w="720" w:type="dxa"/>
            <w:noWrap w:val="0"/>
            <w:vAlign w:val="center"/>
          </w:tcPr>
          <w:p w14:paraId="409B3256">
            <w:pPr>
              <w:rPr>
                <w:rFonts w:hint="eastAsia" w:ascii="宋体" w:hAnsi="宋体"/>
                <w:szCs w:val="44"/>
              </w:rPr>
            </w:pPr>
            <w:r>
              <w:rPr>
                <w:rFonts w:hint="eastAsia" w:ascii="宋体" w:hAnsi="宋体"/>
                <w:szCs w:val="44"/>
              </w:rPr>
              <w:t>分</w:t>
            </w:r>
          </w:p>
        </w:tc>
        <w:tc>
          <w:tcPr>
            <w:tcW w:w="757" w:type="dxa"/>
            <w:noWrap w:val="0"/>
            <w:vAlign w:val="center"/>
          </w:tcPr>
          <w:p w14:paraId="3633FBA0">
            <w:pPr>
              <w:jc w:val="center"/>
              <w:rPr>
                <w:rFonts w:hint="eastAsia" w:ascii="宋体" w:hAnsi="宋体"/>
                <w:szCs w:val="44"/>
              </w:rPr>
            </w:pPr>
          </w:p>
        </w:tc>
        <w:tc>
          <w:tcPr>
            <w:tcW w:w="758" w:type="dxa"/>
            <w:noWrap w:val="0"/>
            <w:vAlign w:val="center"/>
          </w:tcPr>
          <w:p w14:paraId="76270BB0">
            <w:pPr>
              <w:jc w:val="center"/>
              <w:rPr>
                <w:rFonts w:hint="eastAsia" w:ascii="宋体" w:hAnsi="宋体"/>
                <w:szCs w:val="44"/>
              </w:rPr>
            </w:pPr>
          </w:p>
        </w:tc>
        <w:tc>
          <w:tcPr>
            <w:tcW w:w="758" w:type="dxa"/>
            <w:noWrap w:val="0"/>
            <w:vAlign w:val="center"/>
          </w:tcPr>
          <w:p w14:paraId="547D2342">
            <w:pPr>
              <w:jc w:val="center"/>
              <w:rPr>
                <w:rFonts w:hint="eastAsia" w:ascii="宋体" w:hAnsi="宋体"/>
                <w:szCs w:val="44"/>
              </w:rPr>
            </w:pPr>
          </w:p>
        </w:tc>
        <w:tc>
          <w:tcPr>
            <w:tcW w:w="757" w:type="dxa"/>
            <w:noWrap w:val="0"/>
            <w:vAlign w:val="center"/>
          </w:tcPr>
          <w:p w14:paraId="08F85CC3">
            <w:pPr>
              <w:jc w:val="center"/>
              <w:rPr>
                <w:rFonts w:hint="eastAsia" w:ascii="宋体" w:hAnsi="宋体"/>
                <w:szCs w:val="44"/>
              </w:rPr>
            </w:pPr>
          </w:p>
        </w:tc>
        <w:tc>
          <w:tcPr>
            <w:tcW w:w="758" w:type="dxa"/>
            <w:noWrap w:val="0"/>
            <w:vAlign w:val="center"/>
          </w:tcPr>
          <w:p w14:paraId="750D1ADB">
            <w:pPr>
              <w:jc w:val="center"/>
              <w:rPr>
                <w:rFonts w:hint="eastAsia" w:ascii="宋体" w:hAnsi="宋体"/>
                <w:szCs w:val="44"/>
              </w:rPr>
            </w:pPr>
          </w:p>
        </w:tc>
        <w:tc>
          <w:tcPr>
            <w:tcW w:w="758" w:type="dxa"/>
            <w:noWrap w:val="0"/>
            <w:vAlign w:val="center"/>
          </w:tcPr>
          <w:p w14:paraId="26D6F94B">
            <w:pPr>
              <w:jc w:val="center"/>
              <w:rPr>
                <w:rFonts w:hint="eastAsia" w:ascii="宋体" w:hAnsi="宋体"/>
                <w:szCs w:val="44"/>
              </w:rPr>
            </w:pPr>
          </w:p>
        </w:tc>
        <w:tc>
          <w:tcPr>
            <w:tcW w:w="757" w:type="dxa"/>
            <w:noWrap w:val="0"/>
            <w:vAlign w:val="center"/>
          </w:tcPr>
          <w:p w14:paraId="1480B4D8">
            <w:pPr>
              <w:jc w:val="center"/>
              <w:rPr>
                <w:rFonts w:hint="eastAsia" w:ascii="宋体" w:hAnsi="宋体"/>
                <w:szCs w:val="44"/>
              </w:rPr>
            </w:pPr>
          </w:p>
        </w:tc>
        <w:tc>
          <w:tcPr>
            <w:tcW w:w="758" w:type="dxa"/>
            <w:noWrap w:val="0"/>
            <w:vAlign w:val="center"/>
          </w:tcPr>
          <w:p w14:paraId="4E41A1AD">
            <w:pPr>
              <w:jc w:val="center"/>
              <w:rPr>
                <w:rFonts w:hint="eastAsia" w:ascii="宋体" w:hAnsi="宋体"/>
                <w:szCs w:val="44"/>
              </w:rPr>
            </w:pPr>
          </w:p>
        </w:tc>
        <w:tc>
          <w:tcPr>
            <w:tcW w:w="758" w:type="dxa"/>
            <w:noWrap w:val="0"/>
            <w:vAlign w:val="center"/>
          </w:tcPr>
          <w:p w14:paraId="2CCA9841">
            <w:pPr>
              <w:jc w:val="center"/>
              <w:rPr>
                <w:rFonts w:hint="eastAsia" w:ascii="宋体" w:hAnsi="宋体"/>
                <w:szCs w:val="44"/>
              </w:rPr>
            </w:pPr>
          </w:p>
        </w:tc>
      </w:tr>
      <w:tr w14:paraId="3E0C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 w:hRule="atLeast"/>
        </w:trPr>
        <w:tc>
          <w:tcPr>
            <w:tcW w:w="821" w:type="dxa"/>
            <w:vMerge w:val="continue"/>
            <w:noWrap w:val="0"/>
            <w:vAlign w:val="center"/>
          </w:tcPr>
          <w:p w14:paraId="57DE2E7C">
            <w:pPr>
              <w:jc w:val="center"/>
              <w:rPr>
                <w:rFonts w:hint="eastAsia" w:ascii="黑体" w:hAnsi="宋体" w:eastAsia="黑体"/>
                <w:szCs w:val="44"/>
              </w:rPr>
            </w:pPr>
          </w:p>
        </w:tc>
        <w:tc>
          <w:tcPr>
            <w:tcW w:w="1087" w:type="dxa"/>
            <w:vMerge w:val="continue"/>
            <w:noWrap w:val="0"/>
            <w:vAlign w:val="center"/>
          </w:tcPr>
          <w:p w14:paraId="3ECAAB70">
            <w:pPr>
              <w:jc w:val="center"/>
              <w:rPr>
                <w:rFonts w:hint="eastAsia" w:ascii="宋体" w:hAnsi="宋体"/>
                <w:szCs w:val="44"/>
              </w:rPr>
            </w:pPr>
          </w:p>
        </w:tc>
        <w:tc>
          <w:tcPr>
            <w:tcW w:w="900" w:type="dxa"/>
            <w:noWrap w:val="0"/>
            <w:vAlign w:val="center"/>
          </w:tcPr>
          <w:p w14:paraId="5C072422">
            <w:pPr>
              <w:jc w:val="center"/>
              <w:rPr>
                <w:rFonts w:hint="eastAsia" w:ascii="宋体" w:hAnsi="宋体"/>
                <w:szCs w:val="44"/>
              </w:rPr>
            </w:pPr>
            <w:r>
              <w:rPr>
                <w:rFonts w:hint="eastAsia" w:ascii="宋体" w:hAnsi="宋体"/>
                <w:szCs w:val="21"/>
              </w:rPr>
              <w:t>从事专业工作年限</w:t>
            </w:r>
          </w:p>
        </w:tc>
        <w:tc>
          <w:tcPr>
            <w:tcW w:w="3420" w:type="dxa"/>
            <w:noWrap w:val="0"/>
            <w:vAlign w:val="center"/>
          </w:tcPr>
          <w:p w14:paraId="47F2D0AF">
            <w:pPr>
              <w:rPr>
                <w:rFonts w:hint="eastAsia" w:ascii="宋体" w:hAnsi="宋体"/>
                <w:szCs w:val="44"/>
              </w:rPr>
            </w:pPr>
          </w:p>
        </w:tc>
        <w:tc>
          <w:tcPr>
            <w:tcW w:w="720" w:type="dxa"/>
            <w:noWrap w:val="0"/>
            <w:vAlign w:val="center"/>
          </w:tcPr>
          <w:p w14:paraId="61007B63">
            <w:pPr>
              <w:rPr>
                <w:rFonts w:hint="eastAsia" w:ascii="宋体" w:hAnsi="宋体"/>
                <w:szCs w:val="44"/>
              </w:rPr>
            </w:pPr>
            <w:r>
              <w:rPr>
                <w:rFonts w:hint="eastAsia" w:ascii="宋体" w:hAnsi="宋体"/>
                <w:szCs w:val="44"/>
              </w:rPr>
              <w:t>分</w:t>
            </w:r>
          </w:p>
        </w:tc>
        <w:tc>
          <w:tcPr>
            <w:tcW w:w="757" w:type="dxa"/>
            <w:noWrap w:val="0"/>
            <w:vAlign w:val="center"/>
          </w:tcPr>
          <w:p w14:paraId="3F67F418">
            <w:pPr>
              <w:jc w:val="center"/>
              <w:rPr>
                <w:rFonts w:hint="eastAsia" w:ascii="宋体" w:hAnsi="宋体"/>
                <w:szCs w:val="44"/>
              </w:rPr>
            </w:pPr>
          </w:p>
        </w:tc>
        <w:tc>
          <w:tcPr>
            <w:tcW w:w="758" w:type="dxa"/>
            <w:noWrap w:val="0"/>
            <w:vAlign w:val="center"/>
          </w:tcPr>
          <w:p w14:paraId="53CED07A">
            <w:pPr>
              <w:jc w:val="center"/>
              <w:rPr>
                <w:rFonts w:hint="eastAsia" w:ascii="宋体" w:hAnsi="宋体"/>
                <w:szCs w:val="44"/>
              </w:rPr>
            </w:pPr>
          </w:p>
        </w:tc>
        <w:tc>
          <w:tcPr>
            <w:tcW w:w="758" w:type="dxa"/>
            <w:noWrap w:val="0"/>
            <w:vAlign w:val="center"/>
          </w:tcPr>
          <w:p w14:paraId="2DF6C5B7">
            <w:pPr>
              <w:jc w:val="center"/>
              <w:rPr>
                <w:rFonts w:hint="eastAsia" w:ascii="宋体" w:hAnsi="宋体"/>
                <w:szCs w:val="44"/>
              </w:rPr>
            </w:pPr>
          </w:p>
        </w:tc>
        <w:tc>
          <w:tcPr>
            <w:tcW w:w="757" w:type="dxa"/>
            <w:noWrap w:val="0"/>
            <w:vAlign w:val="center"/>
          </w:tcPr>
          <w:p w14:paraId="52408DA3">
            <w:pPr>
              <w:jc w:val="center"/>
              <w:rPr>
                <w:rFonts w:hint="eastAsia" w:ascii="宋体" w:hAnsi="宋体"/>
                <w:szCs w:val="44"/>
              </w:rPr>
            </w:pPr>
          </w:p>
        </w:tc>
        <w:tc>
          <w:tcPr>
            <w:tcW w:w="758" w:type="dxa"/>
            <w:noWrap w:val="0"/>
            <w:vAlign w:val="center"/>
          </w:tcPr>
          <w:p w14:paraId="7D469630">
            <w:pPr>
              <w:jc w:val="center"/>
              <w:rPr>
                <w:rFonts w:hint="eastAsia" w:ascii="宋体" w:hAnsi="宋体"/>
                <w:szCs w:val="44"/>
              </w:rPr>
            </w:pPr>
          </w:p>
        </w:tc>
        <w:tc>
          <w:tcPr>
            <w:tcW w:w="758" w:type="dxa"/>
            <w:noWrap w:val="0"/>
            <w:vAlign w:val="center"/>
          </w:tcPr>
          <w:p w14:paraId="3531CEF8">
            <w:pPr>
              <w:jc w:val="center"/>
              <w:rPr>
                <w:rFonts w:hint="eastAsia" w:ascii="宋体" w:hAnsi="宋体"/>
                <w:szCs w:val="44"/>
              </w:rPr>
            </w:pPr>
          </w:p>
        </w:tc>
        <w:tc>
          <w:tcPr>
            <w:tcW w:w="757" w:type="dxa"/>
            <w:noWrap w:val="0"/>
            <w:vAlign w:val="center"/>
          </w:tcPr>
          <w:p w14:paraId="6BDC560B">
            <w:pPr>
              <w:jc w:val="center"/>
              <w:rPr>
                <w:rFonts w:hint="eastAsia" w:ascii="宋体" w:hAnsi="宋体"/>
                <w:szCs w:val="44"/>
              </w:rPr>
            </w:pPr>
          </w:p>
        </w:tc>
        <w:tc>
          <w:tcPr>
            <w:tcW w:w="758" w:type="dxa"/>
            <w:noWrap w:val="0"/>
            <w:vAlign w:val="center"/>
          </w:tcPr>
          <w:p w14:paraId="6366FBF2">
            <w:pPr>
              <w:jc w:val="center"/>
              <w:rPr>
                <w:rFonts w:hint="eastAsia" w:ascii="宋体" w:hAnsi="宋体"/>
                <w:szCs w:val="44"/>
              </w:rPr>
            </w:pPr>
          </w:p>
        </w:tc>
        <w:tc>
          <w:tcPr>
            <w:tcW w:w="758" w:type="dxa"/>
            <w:noWrap w:val="0"/>
            <w:vAlign w:val="center"/>
          </w:tcPr>
          <w:p w14:paraId="72DA1205">
            <w:pPr>
              <w:jc w:val="center"/>
              <w:rPr>
                <w:rFonts w:hint="eastAsia" w:ascii="宋体" w:hAnsi="宋体"/>
                <w:szCs w:val="44"/>
              </w:rPr>
            </w:pPr>
          </w:p>
        </w:tc>
      </w:tr>
      <w:tr w14:paraId="50A1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21" w:type="dxa"/>
            <w:noWrap w:val="0"/>
            <w:vAlign w:val="center"/>
          </w:tcPr>
          <w:p w14:paraId="3EBF7F3F">
            <w:pPr>
              <w:jc w:val="center"/>
              <w:rPr>
                <w:rFonts w:hint="eastAsia" w:ascii="黑体" w:hAnsi="宋体" w:eastAsia="黑体"/>
                <w:szCs w:val="44"/>
              </w:rPr>
            </w:pPr>
            <w:r>
              <w:rPr>
                <w:rFonts w:hint="eastAsia" w:ascii="黑体" w:hAnsi="宋体" w:eastAsia="黑体"/>
                <w:szCs w:val="44"/>
              </w:rPr>
              <w:t>3</w:t>
            </w:r>
          </w:p>
        </w:tc>
        <w:tc>
          <w:tcPr>
            <w:tcW w:w="1987" w:type="dxa"/>
            <w:gridSpan w:val="2"/>
            <w:noWrap w:val="0"/>
            <w:vAlign w:val="center"/>
          </w:tcPr>
          <w:p w14:paraId="49883640">
            <w:pPr>
              <w:jc w:val="center"/>
              <w:rPr>
                <w:rFonts w:hint="eastAsia" w:ascii="宋体" w:hAnsi="宋体"/>
                <w:szCs w:val="44"/>
              </w:rPr>
            </w:pPr>
            <w:r>
              <w:rPr>
                <w:rFonts w:hint="eastAsia" w:ascii="宋体" w:hAnsi="宋体"/>
                <w:szCs w:val="44"/>
              </w:rPr>
              <w:t>其他主要人员</w:t>
            </w:r>
          </w:p>
        </w:tc>
        <w:tc>
          <w:tcPr>
            <w:tcW w:w="3420" w:type="dxa"/>
            <w:noWrap w:val="0"/>
            <w:vAlign w:val="center"/>
          </w:tcPr>
          <w:p w14:paraId="5501965E">
            <w:pPr>
              <w:rPr>
                <w:rFonts w:hint="eastAsia" w:ascii="宋体" w:hAnsi="宋体"/>
              </w:rPr>
            </w:pPr>
          </w:p>
        </w:tc>
        <w:tc>
          <w:tcPr>
            <w:tcW w:w="720" w:type="dxa"/>
            <w:noWrap w:val="0"/>
            <w:vAlign w:val="center"/>
          </w:tcPr>
          <w:p w14:paraId="59A27F9F">
            <w:pPr>
              <w:rPr>
                <w:rFonts w:hint="eastAsia" w:ascii="宋体" w:hAnsi="宋体"/>
                <w:szCs w:val="44"/>
              </w:rPr>
            </w:pPr>
            <w:r>
              <w:rPr>
                <w:rFonts w:hint="eastAsia" w:ascii="宋体" w:hAnsi="宋体"/>
                <w:szCs w:val="44"/>
              </w:rPr>
              <w:t>分</w:t>
            </w:r>
          </w:p>
        </w:tc>
        <w:tc>
          <w:tcPr>
            <w:tcW w:w="757" w:type="dxa"/>
            <w:noWrap w:val="0"/>
            <w:vAlign w:val="center"/>
          </w:tcPr>
          <w:p w14:paraId="74A761E6">
            <w:pPr>
              <w:jc w:val="center"/>
              <w:rPr>
                <w:rFonts w:hint="eastAsia" w:ascii="宋体" w:hAnsi="宋体"/>
                <w:szCs w:val="44"/>
              </w:rPr>
            </w:pPr>
          </w:p>
        </w:tc>
        <w:tc>
          <w:tcPr>
            <w:tcW w:w="758" w:type="dxa"/>
            <w:noWrap w:val="0"/>
            <w:vAlign w:val="center"/>
          </w:tcPr>
          <w:p w14:paraId="0185E9CF">
            <w:pPr>
              <w:jc w:val="center"/>
              <w:rPr>
                <w:rFonts w:hint="eastAsia" w:ascii="宋体" w:hAnsi="宋体"/>
                <w:szCs w:val="44"/>
              </w:rPr>
            </w:pPr>
          </w:p>
        </w:tc>
        <w:tc>
          <w:tcPr>
            <w:tcW w:w="758" w:type="dxa"/>
            <w:noWrap w:val="0"/>
            <w:vAlign w:val="center"/>
          </w:tcPr>
          <w:p w14:paraId="4E3E2C41">
            <w:pPr>
              <w:jc w:val="center"/>
              <w:rPr>
                <w:rFonts w:hint="eastAsia" w:ascii="宋体" w:hAnsi="宋体"/>
                <w:szCs w:val="44"/>
              </w:rPr>
            </w:pPr>
          </w:p>
        </w:tc>
        <w:tc>
          <w:tcPr>
            <w:tcW w:w="757" w:type="dxa"/>
            <w:noWrap w:val="0"/>
            <w:vAlign w:val="center"/>
          </w:tcPr>
          <w:p w14:paraId="7297B229">
            <w:pPr>
              <w:jc w:val="center"/>
              <w:rPr>
                <w:rFonts w:hint="eastAsia" w:ascii="宋体" w:hAnsi="宋体"/>
                <w:szCs w:val="44"/>
              </w:rPr>
            </w:pPr>
          </w:p>
        </w:tc>
        <w:tc>
          <w:tcPr>
            <w:tcW w:w="758" w:type="dxa"/>
            <w:noWrap w:val="0"/>
            <w:vAlign w:val="center"/>
          </w:tcPr>
          <w:p w14:paraId="55F8F868">
            <w:pPr>
              <w:jc w:val="center"/>
              <w:rPr>
                <w:rFonts w:hint="eastAsia" w:ascii="宋体" w:hAnsi="宋体"/>
                <w:szCs w:val="44"/>
              </w:rPr>
            </w:pPr>
          </w:p>
        </w:tc>
        <w:tc>
          <w:tcPr>
            <w:tcW w:w="758" w:type="dxa"/>
            <w:noWrap w:val="0"/>
            <w:vAlign w:val="center"/>
          </w:tcPr>
          <w:p w14:paraId="7F16A537">
            <w:pPr>
              <w:jc w:val="center"/>
              <w:rPr>
                <w:rFonts w:hint="eastAsia" w:ascii="宋体" w:hAnsi="宋体"/>
                <w:szCs w:val="44"/>
              </w:rPr>
            </w:pPr>
          </w:p>
        </w:tc>
        <w:tc>
          <w:tcPr>
            <w:tcW w:w="757" w:type="dxa"/>
            <w:noWrap w:val="0"/>
            <w:vAlign w:val="center"/>
          </w:tcPr>
          <w:p w14:paraId="31BABDB5">
            <w:pPr>
              <w:jc w:val="center"/>
              <w:rPr>
                <w:rFonts w:hint="eastAsia" w:ascii="宋体" w:hAnsi="宋体"/>
                <w:szCs w:val="44"/>
              </w:rPr>
            </w:pPr>
          </w:p>
        </w:tc>
        <w:tc>
          <w:tcPr>
            <w:tcW w:w="758" w:type="dxa"/>
            <w:noWrap w:val="0"/>
            <w:vAlign w:val="center"/>
          </w:tcPr>
          <w:p w14:paraId="029B8665">
            <w:pPr>
              <w:jc w:val="center"/>
              <w:rPr>
                <w:rFonts w:hint="eastAsia" w:ascii="宋体" w:hAnsi="宋体"/>
                <w:szCs w:val="44"/>
              </w:rPr>
            </w:pPr>
          </w:p>
        </w:tc>
        <w:tc>
          <w:tcPr>
            <w:tcW w:w="758" w:type="dxa"/>
            <w:noWrap w:val="0"/>
            <w:vAlign w:val="center"/>
          </w:tcPr>
          <w:p w14:paraId="4F84E460">
            <w:pPr>
              <w:jc w:val="center"/>
              <w:rPr>
                <w:rFonts w:hint="eastAsia" w:ascii="宋体" w:hAnsi="宋体"/>
                <w:szCs w:val="44"/>
              </w:rPr>
            </w:pPr>
          </w:p>
        </w:tc>
      </w:tr>
      <w:tr w14:paraId="101F3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948" w:type="dxa"/>
            <w:gridSpan w:val="5"/>
            <w:noWrap w:val="0"/>
            <w:vAlign w:val="center"/>
          </w:tcPr>
          <w:p w14:paraId="544181BD">
            <w:pPr>
              <w:jc w:val="center"/>
              <w:rPr>
                <w:rFonts w:hint="eastAsia" w:ascii="宋体" w:hAnsi="宋体"/>
                <w:szCs w:val="44"/>
              </w:rPr>
            </w:pPr>
            <w:r>
              <w:rPr>
                <w:rFonts w:hint="eastAsia" w:ascii="宋体" w:hAnsi="宋体"/>
                <w:szCs w:val="44"/>
              </w:rPr>
              <w:t>项目管理机构得分合计C(满分  分)</w:t>
            </w:r>
          </w:p>
        </w:tc>
        <w:tc>
          <w:tcPr>
            <w:tcW w:w="757" w:type="dxa"/>
            <w:noWrap w:val="0"/>
            <w:vAlign w:val="center"/>
          </w:tcPr>
          <w:p w14:paraId="2CB37F70">
            <w:pPr>
              <w:jc w:val="center"/>
              <w:rPr>
                <w:rFonts w:hint="eastAsia" w:ascii="宋体" w:hAnsi="宋体"/>
                <w:szCs w:val="44"/>
              </w:rPr>
            </w:pPr>
          </w:p>
        </w:tc>
        <w:tc>
          <w:tcPr>
            <w:tcW w:w="758" w:type="dxa"/>
            <w:noWrap w:val="0"/>
            <w:vAlign w:val="center"/>
          </w:tcPr>
          <w:p w14:paraId="18DCFAA3">
            <w:pPr>
              <w:jc w:val="center"/>
              <w:rPr>
                <w:rFonts w:hint="eastAsia" w:ascii="宋体" w:hAnsi="宋体"/>
                <w:szCs w:val="44"/>
              </w:rPr>
            </w:pPr>
          </w:p>
        </w:tc>
        <w:tc>
          <w:tcPr>
            <w:tcW w:w="758" w:type="dxa"/>
            <w:noWrap w:val="0"/>
            <w:vAlign w:val="center"/>
          </w:tcPr>
          <w:p w14:paraId="17B5E000">
            <w:pPr>
              <w:jc w:val="center"/>
              <w:rPr>
                <w:rFonts w:hint="eastAsia" w:ascii="宋体" w:hAnsi="宋体"/>
                <w:szCs w:val="44"/>
              </w:rPr>
            </w:pPr>
          </w:p>
        </w:tc>
        <w:tc>
          <w:tcPr>
            <w:tcW w:w="757" w:type="dxa"/>
            <w:noWrap w:val="0"/>
            <w:vAlign w:val="center"/>
          </w:tcPr>
          <w:p w14:paraId="28E6DE11">
            <w:pPr>
              <w:jc w:val="center"/>
              <w:rPr>
                <w:rFonts w:hint="eastAsia" w:ascii="宋体" w:hAnsi="宋体"/>
                <w:szCs w:val="44"/>
              </w:rPr>
            </w:pPr>
          </w:p>
        </w:tc>
        <w:tc>
          <w:tcPr>
            <w:tcW w:w="758" w:type="dxa"/>
            <w:noWrap w:val="0"/>
            <w:vAlign w:val="center"/>
          </w:tcPr>
          <w:p w14:paraId="1BE169FD">
            <w:pPr>
              <w:jc w:val="center"/>
              <w:rPr>
                <w:rFonts w:hint="eastAsia" w:ascii="宋体" w:hAnsi="宋体"/>
                <w:szCs w:val="44"/>
              </w:rPr>
            </w:pPr>
          </w:p>
        </w:tc>
        <w:tc>
          <w:tcPr>
            <w:tcW w:w="758" w:type="dxa"/>
            <w:noWrap w:val="0"/>
            <w:vAlign w:val="center"/>
          </w:tcPr>
          <w:p w14:paraId="04073939">
            <w:pPr>
              <w:jc w:val="center"/>
              <w:rPr>
                <w:rFonts w:hint="eastAsia" w:ascii="宋体" w:hAnsi="宋体"/>
                <w:szCs w:val="44"/>
              </w:rPr>
            </w:pPr>
          </w:p>
        </w:tc>
        <w:tc>
          <w:tcPr>
            <w:tcW w:w="757" w:type="dxa"/>
            <w:noWrap w:val="0"/>
            <w:vAlign w:val="center"/>
          </w:tcPr>
          <w:p w14:paraId="2E6BC456">
            <w:pPr>
              <w:jc w:val="center"/>
              <w:rPr>
                <w:rFonts w:hint="eastAsia" w:ascii="宋体" w:hAnsi="宋体"/>
                <w:szCs w:val="44"/>
              </w:rPr>
            </w:pPr>
          </w:p>
        </w:tc>
        <w:tc>
          <w:tcPr>
            <w:tcW w:w="758" w:type="dxa"/>
            <w:noWrap w:val="0"/>
            <w:vAlign w:val="center"/>
          </w:tcPr>
          <w:p w14:paraId="4C212742">
            <w:pPr>
              <w:jc w:val="center"/>
              <w:rPr>
                <w:rFonts w:hint="eastAsia" w:ascii="宋体" w:hAnsi="宋体"/>
                <w:szCs w:val="44"/>
              </w:rPr>
            </w:pPr>
          </w:p>
        </w:tc>
        <w:tc>
          <w:tcPr>
            <w:tcW w:w="758" w:type="dxa"/>
            <w:noWrap w:val="0"/>
            <w:vAlign w:val="center"/>
          </w:tcPr>
          <w:p w14:paraId="612A2BB0">
            <w:pPr>
              <w:jc w:val="center"/>
              <w:rPr>
                <w:rFonts w:hint="eastAsia" w:ascii="宋体" w:hAnsi="宋体"/>
                <w:szCs w:val="44"/>
              </w:rPr>
            </w:pPr>
          </w:p>
        </w:tc>
      </w:tr>
    </w:tbl>
    <w:p w14:paraId="06A648E7">
      <w:pPr>
        <w:rPr>
          <w:rFonts w:hint="eastAsia" w:ascii="宋体" w:hAnsi="宋体"/>
          <w:szCs w:val="44"/>
        </w:rPr>
      </w:pPr>
    </w:p>
    <w:p w14:paraId="236C7C1A">
      <w:r>
        <w:rPr>
          <w:rFonts w:hint="eastAsia"/>
        </w:rPr>
        <w:t>评标委员会成员签名：                                                                                      日期：    年    月  日</w:t>
      </w:r>
    </w:p>
    <w:p w14:paraId="469F5826">
      <w:pPr>
        <w:spacing w:after="240" w:afterLines="100"/>
        <w:rPr>
          <w:rFonts w:hint="eastAsia"/>
        </w:rPr>
      </w:pPr>
    </w:p>
    <w:p w14:paraId="0DF1FE85">
      <w:pPr>
        <w:rPr>
          <w:rFonts w:hint="eastAsia"/>
        </w:rPr>
      </w:pPr>
    </w:p>
    <w:p w14:paraId="2E3EA006">
      <w:pPr>
        <w:pStyle w:val="20"/>
        <w:rPr>
          <w:rFonts w:hint="eastAsia" w:ascii="黑体"/>
        </w:rPr>
      </w:pPr>
      <w:bookmarkStart w:id="436" w:name="_Toc108513663"/>
      <w:r>
        <w:rPr>
          <w:rFonts w:hint="eastAsia"/>
        </w:rPr>
        <w:t>附表A-11：其他因素评审记录表</w:t>
      </w:r>
      <w:bookmarkEnd w:id="436"/>
    </w:p>
    <w:p w14:paraId="056198F7">
      <w:pPr>
        <w:spacing w:after="240" w:afterLines="100"/>
        <w:jc w:val="center"/>
        <w:rPr>
          <w:rFonts w:hint="eastAsia" w:ascii="黑体" w:eastAsia="黑体"/>
          <w:sz w:val="36"/>
          <w:szCs w:val="36"/>
        </w:rPr>
      </w:pPr>
      <w:r>
        <w:rPr>
          <w:rFonts w:hint="eastAsia" w:ascii="黑体" w:eastAsia="黑体"/>
          <w:sz w:val="36"/>
          <w:szCs w:val="36"/>
        </w:rPr>
        <w:t>其他因素评审记录表</w:t>
      </w:r>
    </w:p>
    <w:p w14:paraId="7199CE2C">
      <w:pPr>
        <w:spacing w:after="240" w:afterLines="100"/>
        <w:rPr>
          <w:rFonts w:hint="eastAsia"/>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13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173"/>
        <w:gridCol w:w="3930"/>
        <w:gridCol w:w="756"/>
        <w:gridCol w:w="797"/>
        <w:gridCol w:w="797"/>
        <w:gridCol w:w="797"/>
        <w:gridCol w:w="797"/>
        <w:gridCol w:w="797"/>
        <w:gridCol w:w="797"/>
        <w:gridCol w:w="797"/>
        <w:gridCol w:w="797"/>
        <w:gridCol w:w="797"/>
      </w:tblGrid>
      <w:tr w14:paraId="7E91E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Merge w:val="restart"/>
            <w:noWrap w:val="0"/>
            <w:vAlign w:val="center"/>
          </w:tcPr>
          <w:p w14:paraId="72EBC28E">
            <w:pPr>
              <w:jc w:val="center"/>
              <w:rPr>
                <w:rFonts w:hint="eastAsia"/>
              </w:rPr>
            </w:pPr>
            <w:r>
              <w:rPr>
                <w:rFonts w:hint="eastAsia"/>
              </w:rPr>
              <w:t>序号</w:t>
            </w:r>
          </w:p>
        </w:tc>
        <w:tc>
          <w:tcPr>
            <w:tcW w:w="1173" w:type="dxa"/>
            <w:vMerge w:val="restart"/>
            <w:noWrap w:val="0"/>
            <w:vAlign w:val="center"/>
          </w:tcPr>
          <w:p w14:paraId="724E1AE0">
            <w:pPr>
              <w:jc w:val="center"/>
              <w:rPr>
                <w:rFonts w:hint="eastAsia"/>
              </w:rPr>
            </w:pPr>
            <w:r>
              <w:rPr>
                <w:rFonts w:hint="eastAsia"/>
              </w:rPr>
              <w:t>评分项目</w:t>
            </w:r>
          </w:p>
        </w:tc>
        <w:tc>
          <w:tcPr>
            <w:tcW w:w="3930" w:type="dxa"/>
            <w:vMerge w:val="restart"/>
            <w:noWrap w:val="0"/>
            <w:vAlign w:val="center"/>
          </w:tcPr>
          <w:p w14:paraId="244CFF8A">
            <w:pPr>
              <w:jc w:val="center"/>
              <w:rPr>
                <w:rFonts w:hint="eastAsia"/>
              </w:rPr>
            </w:pPr>
            <w:r>
              <w:rPr>
                <w:rFonts w:hint="eastAsia" w:ascii="宋体" w:hAnsi="宋体"/>
                <w:szCs w:val="44"/>
              </w:rPr>
              <w:t>评分标准</w:t>
            </w:r>
          </w:p>
        </w:tc>
        <w:tc>
          <w:tcPr>
            <w:tcW w:w="756" w:type="dxa"/>
            <w:vMerge w:val="restart"/>
            <w:noWrap w:val="0"/>
            <w:vAlign w:val="center"/>
          </w:tcPr>
          <w:p w14:paraId="612D5F31">
            <w:pPr>
              <w:jc w:val="center"/>
              <w:rPr>
                <w:rFonts w:hint="eastAsia"/>
              </w:rPr>
            </w:pPr>
            <w:r>
              <w:rPr>
                <w:rFonts w:hint="eastAsia"/>
              </w:rPr>
              <w:t>标准分</w:t>
            </w:r>
          </w:p>
        </w:tc>
        <w:tc>
          <w:tcPr>
            <w:tcW w:w="7173" w:type="dxa"/>
            <w:gridSpan w:val="9"/>
            <w:noWrap w:val="0"/>
            <w:vAlign w:val="center"/>
          </w:tcPr>
          <w:p w14:paraId="3979DFC4">
            <w:pPr>
              <w:jc w:val="center"/>
              <w:rPr>
                <w:rFonts w:hint="eastAsia"/>
              </w:rPr>
            </w:pPr>
            <w:r>
              <w:rPr>
                <w:rFonts w:hint="eastAsia"/>
              </w:rPr>
              <w:t>投标人名称</w:t>
            </w:r>
            <w:r>
              <w:rPr>
                <w:rFonts w:hint="eastAsia" w:ascii="宋体" w:hAnsi="宋体"/>
                <w:szCs w:val="44"/>
              </w:rPr>
              <w:t>及得分</w:t>
            </w:r>
          </w:p>
        </w:tc>
      </w:tr>
      <w:tr w14:paraId="6AB7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Merge w:val="continue"/>
            <w:noWrap w:val="0"/>
            <w:vAlign w:val="center"/>
          </w:tcPr>
          <w:p w14:paraId="5799B294">
            <w:pPr>
              <w:jc w:val="center"/>
              <w:rPr>
                <w:rFonts w:hint="eastAsia"/>
              </w:rPr>
            </w:pPr>
          </w:p>
        </w:tc>
        <w:tc>
          <w:tcPr>
            <w:tcW w:w="1173" w:type="dxa"/>
            <w:vMerge w:val="continue"/>
            <w:noWrap w:val="0"/>
            <w:vAlign w:val="center"/>
          </w:tcPr>
          <w:p w14:paraId="7CE5A287">
            <w:pPr>
              <w:jc w:val="center"/>
              <w:rPr>
                <w:rFonts w:hint="eastAsia"/>
              </w:rPr>
            </w:pPr>
          </w:p>
        </w:tc>
        <w:tc>
          <w:tcPr>
            <w:tcW w:w="3930" w:type="dxa"/>
            <w:vMerge w:val="continue"/>
            <w:noWrap w:val="0"/>
            <w:vAlign w:val="top"/>
          </w:tcPr>
          <w:p w14:paraId="21A3700F">
            <w:pPr>
              <w:jc w:val="center"/>
              <w:rPr>
                <w:rFonts w:hint="eastAsia"/>
              </w:rPr>
            </w:pPr>
          </w:p>
        </w:tc>
        <w:tc>
          <w:tcPr>
            <w:tcW w:w="756" w:type="dxa"/>
            <w:vMerge w:val="continue"/>
            <w:noWrap w:val="0"/>
            <w:vAlign w:val="center"/>
          </w:tcPr>
          <w:p w14:paraId="7B166056">
            <w:pPr>
              <w:jc w:val="center"/>
              <w:rPr>
                <w:rFonts w:hint="eastAsia"/>
              </w:rPr>
            </w:pPr>
          </w:p>
        </w:tc>
        <w:tc>
          <w:tcPr>
            <w:tcW w:w="797" w:type="dxa"/>
            <w:noWrap w:val="0"/>
            <w:vAlign w:val="center"/>
          </w:tcPr>
          <w:p w14:paraId="59928A9D">
            <w:pPr>
              <w:jc w:val="center"/>
              <w:rPr>
                <w:rFonts w:hint="eastAsia"/>
              </w:rPr>
            </w:pPr>
          </w:p>
        </w:tc>
        <w:tc>
          <w:tcPr>
            <w:tcW w:w="797" w:type="dxa"/>
            <w:noWrap w:val="0"/>
            <w:vAlign w:val="center"/>
          </w:tcPr>
          <w:p w14:paraId="5C4ECAC6">
            <w:pPr>
              <w:jc w:val="center"/>
              <w:rPr>
                <w:rFonts w:hint="eastAsia"/>
              </w:rPr>
            </w:pPr>
          </w:p>
        </w:tc>
        <w:tc>
          <w:tcPr>
            <w:tcW w:w="797" w:type="dxa"/>
            <w:noWrap w:val="0"/>
            <w:vAlign w:val="center"/>
          </w:tcPr>
          <w:p w14:paraId="1FE7368D">
            <w:pPr>
              <w:jc w:val="center"/>
              <w:rPr>
                <w:rFonts w:hint="eastAsia"/>
              </w:rPr>
            </w:pPr>
          </w:p>
        </w:tc>
        <w:tc>
          <w:tcPr>
            <w:tcW w:w="797" w:type="dxa"/>
            <w:noWrap w:val="0"/>
            <w:vAlign w:val="center"/>
          </w:tcPr>
          <w:p w14:paraId="4E2FE51F">
            <w:pPr>
              <w:jc w:val="center"/>
              <w:rPr>
                <w:rFonts w:hint="eastAsia"/>
              </w:rPr>
            </w:pPr>
          </w:p>
        </w:tc>
        <w:tc>
          <w:tcPr>
            <w:tcW w:w="797" w:type="dxa"/>
            <w:noWrap w:val="0"/>
            <w:vAlign w:val="center"/>
          </w:tcPr>
          <w:p w14:paraId="4292A12C">
            <w:pPr>
              <w:jc w:val="center"/>
              <w:rPr>
                <w:rFonts w:hint="eastAsia"/>
              </w:rPr>
            </w:pPr>
          </w:p>
        </w:tc>
        <w:tc>
          <w:tcPr>
            <w:tcW w:w="797" w:type="dxa"/>
            <w:noWrap w:val="0"/>
            <w:vAlign w:val="center"/>
          </w:tcPr>
          <w:p w14:paraId="2F856C2A">
            <w:pPr>
              <w:jc w:val="center"/>
              <w:rPr>
                <w:rFonts w:hint="eastAsia"/>
              </w:rPr>
            </w:pPr>
          </w:p>
        </w:tc>
        <w:tc>
          <w:tcPr>
            <w:tcW w:w="797" w:type="dxa"/>
            <w:noWrap w:val="0"/>
            <w:vAlign w:val="center"/>
          </w:tcPr>
          <w:p w14:paraId="424BFAF3">
            <w:pPr>
              <w:jc w:val="center"/>
              <w:rPr>
                <w:rFonts w:hint="eastAsia"/>
              </w:rPr>
            </w:pPr>
          </w:p>
        </w:tc>
        <w:tc>
          <w:tcPr>
            <w:tcW w:w="797" w:type="dxa"/>
            <w:noWrap w:val="0"/>
            <w:vAlign w:val="center"/>
          </w:tcPr>
          <w:p w14:paraId="06D20BC0">
            <w:pPr>
              <w:jc w:val="center"/>
              <w:rPr>
                <w:rFonts w:hint="eastAsia"/>
              </w:rPr>
            </w:pPr>
          </w:p>
        </w:tc>
        <w:tc>
          <w:tcPr>
            <w:tcW w:w="797" w:type="dxa"/>
            <w:noWrap w:val="0"/>
            <w:vAlign w:val="center"/>
          </w:tcPr>
          <w:p w14:paraId="0417A951">
            <w:pPr>
              <w:jc w:val="center"/>
              <w:rPr>
                <w:rFonts w:hint="eastAsia"/>
              </w:rPr>
            </w:pPr>
          </w:p>
        </w:tc>
      </w:tr>
      <w:tr w14:paraId="190F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35" w:type="dxa"/>
            <w:noWrap w:val="0"/>
            <w:vAlign w:val="center"/>
          </w:tcPr>
          <w:p w14:paraId="6AD8E2CF">
            <w:pPr>
              <w:jc w:val="center"/>
              <w:rPr>
                <w:rFonts w:hint="eastAsia"/>
              </w:rPr>
            </w:pPr>
            <w:r>
              <w:rPr>
                <w:rFonts w:hint="eastAsia"/>
              </w:rPr>
              <w:t>1</w:t>
            </w:r>
          </w:p>
        </w:tc>
        <w:tc>
          <w:tcPr>
            <w:tcW w:w="1173" w:type="dxa"/>
            <w:noWrap w:val="0"/>
            <w:vAlign w:val="center"/>
          </w:tcPr>
          <w:p w14:paraId="79F75109">
            <w:pPr>
              <w:jc w:val="center"/>
              <w:rPr>
                <w:rFonts w:hint="eastAsia"/>
              </w:rPr>
            </w:pPr>
            <w:r>
              <w:rPr>
                <w:rFonts w:hint="eastAsia"/>
              </w:rPr>
              <w:t>类似项目业绩</w:t>
            </w:r>
          </w:p>
        </w:tc>
        <w:tc>
          <w:tcPr>
            <w:tcW w:w="3930" w:type="dxa"/>
            <w:noWrap w:val="0"/>
            <w:vAlign w:val="top"/>
          </w:tcPr>
          <w:p w14:paraId="3D65BB13">
            <w:pPr>
              <w:jc w:val="center"/>
              <w:rPr>
                <w:rFonts w:hint="eastAsia"/>
              </w:rPr>
            </w:pPr>
          </w:p>
        </w:tc>
        <w:tc>
          <w:tcPr>
            <w:tcW w:w="756" w:type="dxa"/>
            <w:noWrap w:val="0"/>
            <w:vAlign w:val="center"/>
          </w:tcPr>
          <w:p w14:paraId="12869D1F">
            <w:pPr>
              <w:jc w:val="center"/>
              <w:rPr>
                <w:rFonts w:hint="eastAsia"/>
              </w:rPr>
            </w:pPr>
            <w:r>
              <w:rPr>
                <w:rFonts w:hint="eastAsia"/>
                <w:szCs w:val="21"/>
              </w:rPr>
              <w:t>分</w:t>
            </w:r>
          </w:p>
        </w:tc>
        <w:tc>
          <w:tcPr>
            <w:tcW w:w="797" w:type="dxa"/>
            <w:noWrap w:val="0"/>
            <w:vAlign w:val="center"/>
          </w:tcPr>
          <w:p w14:paraId="03F87A52">
            <w:pPr>
              <w:jc w:val="center"/>
              <w:rPr>
                <w:rFonts w:hint="eastAsia"/>
              </w:rPr>
            </w:pPr>
          </w:p>
        </w:tc>
        <w:tc>
          <w:tcPr>
            <w:tcW w:w="797" w:type="dxa"/>
            <w:noWrap w:val="0"/>
            <w:vAlign w:val="center"/>
          </w:tcPr>
          <w:p w14:paraId="00D5F796">
            <w:pPr>
              <w:jc w:val="center"/>
              <w:rPr>
                <w:rFonts w:hint="eastAsia"/>
              </w:rPr>
            </w:pPr>
          </w:p>
        </w:tc>
        <w:tc>
          <w:tcPr>
            <w:tcW w:w="797" w:type="dxa"/>
            <w:noWrap w:val="0"/>
            <w:vAlign w:val="center"/>
          </w:tcPr>
          <w:p w14:paraId="0F63C4BE">
            <w:pPr>
              <w:jc w:val="center"/>
              <w:rPr>
                <w:rFonts w:hint="eastAsia"/>
              </w:rPr>
            </w:pPr>
          </w:p>
        </w:tc>
        <w:tc>
          <w:tcPr>
            <w:tcW w:w="797" w:type="dxa"/>
            <w:noWrap w:val="0"/>
            <w:vAlign w:val="center"/>
          </w:tcPr>
          <w:p w14:paraId="082DA54E">
            <w:pPr>
              <w:jc w:val="center"/>
              <w:rPr>
                <w:rFonts w:hint="eastAsia"/>
              </w:rPr>
            </w:pPr>
          </w:p>
        </w:tc>
        <w:tc>
          <w:tcPr>
            <w:tcW w:w="797" w:type="dxa"/>
            <w:noWrap w:val="0"/>
            <w:vAlign w:val="center"/>
          </w:tcPr>
          <w:p w14:paraId="77A72056">
            <w:pPr>
              <w:jc w:val="center"/>
              <w:rPr>
                <w:rFonts w:hint="eastAsia"/>
              </w:rPr>
            </w:pPr>
          </w:p>
        </w:tc>
        <w:tc>
          <w:tcPr>
            <w:tcW w:w="797" w:type="dxa"/>
            <w:noWrap w:val="0"/>
            <w:vAlign w:val="center"/>
          </w:tcPr>
          <w:p w14:paraId="0AA4A42C">
            <w:pPr>
              <w:jc w:val="center"/>
              <w:rPr>
                <w:rFonts w:hint="eastAsia"/>
              </w:rPr>
            </w:pPr>
          </w:p>
        </w:tc>
        <w:tc>
          <w:tcPr>
            <w:tcW w:w="797" w:type="dxa"/>
            <w:noWrap w:val="0"/>
            <w:vAlign w:val="center"/>
          </w:tcPr>
          <w:p w14:paraId="03CA0D57">
            <w:pPr>
              <w:jc w:val="center"/>
              <w:rPr>
                <w:rFonts w:hint="eastAsia"/>
              </w:rPr>
            </w:pPr>
          </w:p>
        </w:tc>
        <w:tc>
          <w:tcPr>
            <w:tcW w:w="797" w:type="dxa"/>
            <w:noWrap w:val="0"/>
            <w:vAlign w:val="center"/>
          </w:tcPr>
          <w:p w14:paraId="34876C31">
            <w:pPr>
              <w:jc w:val="center"/>
              <w:rPr>
                <w:rFonts w:hint="eastAsia"/>
              </w:rPr>
            </w:pPr>
          </w:p>
        </w:tc>
        <w:tc>
          <w:tcPr>
            <w:tcW w:w="797" w:type="dxa"/>
            <w:noWrap w:val="0"/>
            <w:vAlign w:val="center"/>
          </w:tcPr>
          <w:p w14:paraId="4699CC90">
            <w:pPr>
              <w:jc w:val="center"/>
              <w:rPr>
                <w:rFonts w:hint="eastAsia"/>
              </w:rPr>
            </w:pPr>
          </w:p>
        </w:tc>
      </w:tr>
      <w:tr w14:paraId="274F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35" w:type="dxa"/>
            <w:noWrap w:val="0"/>
            <w:vAlign w:val="center"/>
          </w:tcPr>
          <w:p w14:paraId="511479C4">
            <w:pPr>
              <w:jc w:val="center"/>
              <w:rPr>
                <w:rFonts w:hint="eastAsia"/>
              </w:rPr>
            </w:pPr>
            <w:r>
              <w:rPr>
                <w:rFonts w:hint="eastAsia"/>
              </w:rPr>
              <w:t>2</w:t>
            </w:r>
          </w:p>
        </w:tc>
        <w:tc>
          <w:tcPr>
            <w:tcW w:w="1173" w:type="dxa"/>
            <w:noWrap w:val="0"/>
            <w:vAlign w:val="center"/>
          </w:tcPr>
          <w:p w14:paraId="52965D55">
            <w:pPr>
              <w:spacing w:line="440" w:lineRule="exact"/>
              <w:jc w:val="center"/>
              <w:rPr>
                <w:rFonts w:hint="eastAsia"/>
                <w:szCs w:val="21"/>
              </w:rPr>
            </w:pPr>
            <w:r>
              <w:rPr>
                <w:rFonts w:hint="eastAsia"/>
                <w:szCs w:val="21"/>
              </w:rPr>
              <w:t>认证体系</w:t>
            </w:r>
          </w:p>
        </w:tc>
        <w:tc>
          <w:tcPr>
            <w:tcW w:w="3930" w:type="dxa"/>
            <w:noWrap w:val="0"/>
            <w:vAlign w:val="top"/>
          </w:tcPr>
          <w:p w14:paraId="6CBDB370">
            <w:pPr>
              <w:jc w:val="center"/>
              <w:rPr>
                <w:rFonts w:hint="eastAsia"/>
              </w:rPr>
            </w:pPr>
          </w:p>
        </w:tc>
        <w:tc>
          <w:tcPr>
            <w:tcW w:w="756" w:type="dxa"/>
            <w:noWrap w:val="0"/>
            <w:vAlign w:val="center"/>
          </w:tcPr>
          <w:p w14:paraId="7450F232">
            <w:pPr>
              <w:jc w:val="center"/>
              <w:rPr>
                <w:rFonts w:hint="eastAsia"/>
              </w:rPr>
            </w:pPr>
            <w:r>
              <w:rPr>
                <w:rFonts w:hint="eastAsia"/>
                <w:szCs w:val="21"/>
              </w:rPr>
              <w:t>分</w:t>
            </w:r>
          </w:p>
        </w:tc>
        <w:tc>
          <w:tcPr>
            <w:tcW w:w="797" w:type="dxa"/>
            <w:noWrap w:val="0"/>
            <w:vAlign w:val="center"/>
          </w:tcPr>
          <w:p w14:paraId="5FABF9E1">
            <w:pPr>
              <w:jc w:val="center"/>
              <w:rPr>
                <w:rFonts w:hint="eastAsia"/>
              </w:rPr>
            </w:pPr>
          </w:p>
        </w:tc>
        <w:tc>
          <w:tcPr>
            <w:tcW w:w="797" w:type="dxa"/>
            <w:noWrap w:val="0"/>
            <w:vAlign w:val="center"/>
          </w:tcPr>
          <w:p w14:paraId="58D398EE">
            <w:pPr>
              <w:jc w:val="center"/>
              <w:rPr>
                <w:rFonts w:hint="eastAsia"/>
              </w:rPr>
            </w:pPr>
          </w:p>
        </w:tc>
        <w:tc>
          <w:tcPr>
            <w:tcW w:w="797" w:type="dxa"/>
            <w:noWrap w:val="0"/>
            <w:vAlign w:val="center"/>
          </w:tcPr>
          <w:p w14:paraId="11A92CE8">
            <w:pPr>
              <w:jc w:val="center"/>
              <w:rPr>
                <w:rFonts w:hint="eastAsia"/>
              </w:rPr>
            </w:pPr>
          </w:p>
        </w:tc>
        <w:tc>
          <w:tcPr>
            <w:tcW w:w="797" w:type="dxa"/>
            <w:noWrap w:val="0"/>
            <w:vAlign w:val="center"/>
          </w:tcPr>
          <w:p w14:paraId="6CADAAA0">
            <w:pPr>
              <w:jc w:val="center"/>
              <w:rPr>
                <w:rFonts w:hint="eastAsia"/>
              </w:rPr>
            </w:pPr>
          </w:p>
        </w:tc>
        <w:tc>
          <w:tcPr>
            <w:tcW w:w="797" w:type="dxa"/>
            <w:noWrap w:val="0"/>
            <w:vAlign w:val="center"/>
          </w:tcPr>
          <w:p w14:paraId="38EF1A4A">
            <w:pPr>
              <w:jc w:val="center"/>
              <w:rPr>
                <w:rFonts w:hint="eastAsia"/>
              </w:rPr>
            </w:pPr>
          </w:p>
        </w:tc>
        <w:tc>
          <w:tcPr>
            <w:tcW w:w="797" w:type="dxa"/>
            <w:noWrap w:val="0"/>
            <w:vAlign w:val="center"/>
          </w:tcPr>
          <w:p w14:paraId="0B2696BD">
            <w:pPr>
              <w:jc w:val="center"/>
              <w:rPr>
                <w:rFonts w:hint="eastAsia"/>
              </w:rPr>
            </w:pPr>
          </w:p>
        </w:tc>
        <w:tc>
          <w:tcPr>
            <w:tcW w:w="797" w:type="dxa"/>
            <w:noWrap w:val="0"/>
            <w:vAlign w:val="center"/>
          </w:tcPr>
          <w:p w14:paraId="66739556">
            <w:pPr>
              <w:jc w:val="center"/>
              <w:rPr>
                <w:rFonts w:hint="eastAsia"/>
              </w:rPr>
            </w:pPr>
          </w:p>
        </w:tc>
        <w:tc>
          <w:tcPr>
            <w:tcW w:w="797" w:type="dxa"/>
            <w:noWrap w:val="0"/>
            <w:vAlign w:val="center"/>
          </w:tcPr>
          <w:p w14:paraId="4557742E">
            <w:pPr>
              <w:jc w:val="center"/>
              <w:rPr>
                <w:rFonts w:hint="eastAsia"/>
              </w:rPr>
            </w:pPr>
          </w:p>
        </w:tc>
        <w:tc>
          <w:tcPr>
            <w:tcW w:w="797" w:type="dxa"/>
            <w:noWrap w:val="0"/>
            <w:vAlign w:val="center"/>
          </w:tcPr>
          <w:p w14:paraId="5DE16335">
            <w:pPr>
              <w:jc w:val="center"/>
              <w:rPr>
                <w:rFonts w:hint="eastAsia"/>
              </w:rPr>
            </w:pPr>
          </w:p>
        </w:tc>
      </w:tr>
      <w:tr w14:paraId="6F20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735" w:type="dxa"/>
            <w:noWrap w:val="0"/>
            <w:vAlign w:val="center"/>
          </w:tcPr>
          <w:p w14:paraId="36783B0A">
            <w:pPr>
              <w:jc w:val="center"/>
              <w:rPr>
                <w:rFonts w:hint="eastAsia"/>
              </w:rPr>
            </w:pPr>
            <w:r>
              <w:rPr>
                <w:rFonts w:hint="eastAsia"/>
              </w:rPr>
              <w:t>3</w:t>
            </w:r>
          </w:p>
        </w:tc>
        <w:tc>
          <w:tcPr>
            <w:tcW w:w="1173" w:type="dxa"/>
            <w:noWrap w:val="0"/>
            <w:vAlign w:val="center"/>
          </w:tcPr>
          <w:p w14:paraId="1726B13D">
            <w:pPr>
              <w:jc w:val="center"/>
              <w:rPr>
                <w:szCs w:val="21"/>
              </w:rPr>
            </w:pPr>
            <w:r>
              <w:rPr>
                <w:rFonts w:hint="eastAsia" w:ascii="宋体" w:hAnsi="宋体"/>
                <w:szCs w:val="21"/>
              </w:rPr>
              <w:t>近5年</w:t>
            </w:r>
            <w:r>
              <w:rPr>
                <w:rFonts w:hint="eastAsia"/>
                <w:szCs w:val="21"/>
              </w:rPr>
              <w:t>工程奖项、</w:t>
            </w:r>
          </w:p>
          <w:p w14:paraId="2040ADC4">
            <w:pPr>
              <w:jc w:val="center"/>
              <w:rPr>
                <w:rFonts w:hint="eastAsia"/>
                <w:szCs w:val="21"/>
              </w:rPr>
            </w:pPr>
            <w:r>
              <w:rPr>
                <w:rFonts w:hint="eastAsia"/>
                <w:szCs w:val="21"/>
              </w:rPr>
              <w:t>项目经理工程奖项及表彰</w:t>
            </w:r>
          </w:p>
        </w:tc>
        <w:tc>
          <w:tcPr>
            <w:tcW w:w="3930" w:type="dxa"/>
            <w:noWrap w:val="0"/>
            <w:vAlign w:val="top"/>
          </w:tcPr>
          <w:p w14:paraId="5A90A621">
            <w:pPr>
              <w:rPr>
                <w:rFonts w:hint="eastAsia" w:ascii="宋体" w:hAnsi="宋体"/>
              </w:rPr>
            </w:pPr>
          </w:p>
        </w:tc>
        <w:tc>
          <w:tcPr>
            <w:tcW w:w="756" w:type="dxa"/>
            <w:noWrap w:val="0"/>
            <w:vAlign w:val="center"/>
          </w:tcPr>
          <w:p w14:paraId="4765FB97">
            <w:pPr>
              <w:jc w:val="center"/>
              <w:rPr>
                <w:rFonts w:hint="eastAsia"/>
              </w:rPr>
            </w:pPr>
            <w:r>
              <w:rPr>
                <w:rFonts w:hint="eastAsia"/>
                <w:szCs w:val="21"/>
              </w:rPr>
              <w:t>分</w:t>
            </w:r>
          </w:p>
        </w:tc>
        <w:tc>
          <w:tcPr>
            <w:tcW w:w="797" w:type="dxa"/>
            <w:noWrap w:val="0"/>
            <w:vAlign w:val="center"/>
          </w:tcPr>
          <w:p w14:paraId="486AD9AE">
            <w:pPr>
              <w:jc w:val="center"/>
              <w:rPr>
                <w:rFonts w:hint="eastAsia"/>
              </w:rPr>
            </w:pPr>
          </w:p>
        </w:tc>
        <w:tc>
          <w:tcPr>
            <w:tcW w:w="797" w:type="dxa"/>
            <w:noWrap w:val="0"/>
            <w:vAlign w:val="center"/>
          </w:tcPr>
          <w:p w14:paraId="244DA1E7">
            <w:pPr>
              <w:jc w:val="center"/>
              <w:rPr>
                <w:rFonts w:hint="eastAsia"/>
              </w:rPr>
            </w:pPr>
          </w:p>
        </w:tc>
        <w:tc>
          <w:tcPr>
            <w:tcW w:w="797" w:type="dxa"/>
            <w:noWrap w:val="0"/>
            <w:vAlign w:val="center"/>
          </w:tcPr>
          <w:p w14:paraId="6D57E60B">
            <w:pPr>
              <w:jc w:val="center"/>
              <w:rPr>
                <w:rFonts w:hint="eastAsia"/>
              </w:rPr>
            </w:pPr>
          </w:p>
        </w:tc>
        <w:tc>
          <w:tcPr>
            <w:tcW w:w="797" w:type="dxa"/>
            <w:noWrap w:val="0"/>
            <w:vAlign w:val="center"/>
          </w:tcPr>
          <w:p w14:paraId="695738A1">
            <w:pPr>
              <w:jc w:val="center"/>
              <w:rPr>
                <w:rFonts w:hint="eastAsia"/>
              </w:rPr>
            </w:pPr>
          </w:p>
        </w:tc>
        <w:tc>
          <w:tcPr>
            <w:tcW w:w="797" w:type="dxa"/>
            <w:noWrap w:val="0"/>
            <w:vAlign w:val="center"/>
          </w:tcPr>
          <w:p w14:paraId="7D1CA663">
            <w:pPr>
              <w:jc w:val="center"/>
              <w:rPr>
                <w:rFonts w:hint="eastAsia"/>
              </w:rPr>
            </w:pPr>
          </w:p>
        </w:tc>
        <w:tc>
          <w:tcPr>
            <w:tcW w:w="797" w:type="dxa"/>
            <w:noWrap w:val="0"/>
            <w:vAlign w:val="center"/>
          </w:tcPr>
          <w:p w14:paraId="2C785C1B">
            <w:pPr>
              <w:jc w:val="center"/>
              <w:rPr>
                <w:rFonts w:hint="eastAsia"/>
              </w:rPr>
            </w:pPr>
          </w:p>
        </w:tc>
        <w:tc>
          <w:tcPr>
            <w:tcW w:w="797" w:type="dxa"/>
            <w:noWrap w:val="0"/>
            <w:vAlign w:val="center"/>
          </w:tcPr>
          <w:p w14:paraId="7359A546">
            <w:pPr>
              <w:jc w:val="center"/>
              <w:rPr>
                <w:rFonts w:hint="eastAsia"/>
              </w:rPr>
            </w:pPr>
          </w:p>
        </w:tc>
        <w:tc>
          <w:tcPr>
            <w:tcW w:w="797" w:type="dxa"/>
            <w:noWrap w:val="0"/>
            <w:vAlign w:val="center"/>
          </w:tcPr>
          <w:p w14:paraId="098038C2">
            <w:pPr>
              <w:jc w:val="center"/>
              <w:rPr>
                <w:rFonts w:hint="eastAsia"/>
              </w:rPr>
            </w:pPr>
          </w:p>
        </w:tc>
        <w:tc>
          <w:tcPr>
            <w:tcW w:w="797" w:type="dxa"/>
            <w:noWrap w:val="0"/>
            <w:vAlign w:val="center"/>
          </w:tcPr>
          <w:p w14:paraId="511CB81F">
            <w:pPr>
              <w:jc w:val="center"/>
              <w:rPr>
                <w:rFonts w:hint="eastAsia"/>
              </w:rPr>
            </w:pPr>
          </w:p>
        </w:tc>
      </w:tr>
      <w:tr w14:paraId="4BDF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94" w:type="dxa"/>
            <w:gridSpan w:val="4"/>
            <w:noWrap w:val="0"/>
            <w:vAlign w:val="center"/>
          </w:tcPr>
          <w:p w14:paraId="75CBCCB9">
            <w:pPr>
              <w:jc w:val="center"/>
              <w:rPr>
                <w:rFonts w:hint="eastAsia"/>
              </w:rPr>
            </w:pPr>
            <w:r>
              <w:rPr>
                <w:rFonts w:hint="eastAsia"/>
              </w:rPr>
              <w:t>其他因素得分合计D(满分 分)</w:t>
            </w:r>
          </w:p>
        </w:tc>
        <w:tc>
          <w:tcPr>
            <w:tcW w:w="797" w:type="dxa"/>
            <w:noWrap w:val="0"/>
            <w:vAlign w:val="center"/>
          </w:tcPr>
          <w:p w14:paraId="4C1D9B0E">
            <w:pPr>
              <w:jc w:val="center"/>
              <w:rPr>
                <w:rFonts w:hint="eastAsia"/>
              </w:rPr>
            </w:pPr>
          </w:p>
        </w:tc>
        <w:tc>
          <w:tcPr>
            <w:tcW w:w="797" w:type="dxa"/>
            <w:noWrap w:val="0"/>
            <w:vAlign w:val="center"/>
          </w:tcPr>
          <w:p w14:paraId="270F7BED">
            <w:pPr>
              <w:jc w:val="center"/>
              <w:rPr>
                <w:rFonts w:hint="eastAsia"/>
              </w:rPr>
            </w:pPr>
          </w:p>
        </w:tc>
        <w:tc>
          <w:tcPr>
            <w:tcW w:w="797" w:type="dxa"/>
            <w:noWrap w:val="0"/>
            <w:vAlign w:val="center"/>
          </w:tcPr>
          <w:p w14:paraId="257150DE">
            <w:pPr>
              <w:jc w:val="center"/>
              <w:rPr>
                <w:rFonts w:hint="eastAsia"/>
              </w:rPr>
            </w:pPr>
          </w:p>
        </w:tc>
        <w:tc>
          <w:tcPr>
            <w:tcW w:w="797" w:type="dxa"/>
            <w:noWrap w:val="0"/>
            <w:vAlign w:val="center"/>
          </w:tcPr>
          <w:p w14:paraId="3C0D1A96">
            <w:pPr>
              <w:jc w:val="center"/>
              <w:rPr>
                <w:rFonts w:hint="eastAsia"/>
              </w:rPr>
            </w:pPr>
          </w:p>
        </w:tc>
        <w:tc>
          <w:tcPr>
            <w:tcW w:w="797" w:type="dxa"/>
            <w:noWrap w:val="0"/>
            <w:vAlign w:val="center"/>
          </w:tcPr>
          <w:p w14:paraId="077F2C55">
            <w:pPr>
              <w:jc w:val="center"/>
              <w:rPr>
                <w:rFonts w:hint="eastAsia"/>
              </w:rPr>
            </w:pPr>
          </w:p>
        </w:tc>
        <w:tc>
          <w:tcPr>
            <w:tcW w:w="797" w:type="dxa"/>
            <w:noWrap w:val="0"/>
            <w:vAlign w:val="center"/>
          </w:tcPr>
          <w:p w14:paraId="6216627D">
            <w:pPr>
              <w:jc w:val="center"/>
              <w:rPr>
                <w:rFonts w:hint="eastAsia"/>
              </w:rPr>
            </w:pPr>
          </w:p>
        </w:tc>
        <w:tc>
          <w:tcPr>
            <w:tcW w:w="797" w:type="dxa"/>
            <w:noWrap w:val="0"/>
            <w:vAlign w:val="center"/>
          </w:tcPr>
          <w:p w14:paraId="18720268">
            <w:pPr>
              <w:jc w:val="center"/>
              <w:rPr>
                <w:rFonts w:hint="eastAsia"/>
              </w:rPr>
            </w:pPr>
          </w:p>
        </w:tc>
        <w:tc>
          <w:tcPr>
            <w:tcW w:w="797" w:type="dxa"/>
            <w:noWrap w:val="0"/>
            <w:vAlign w:val="center"/>
          </w:tcPr>
          <w:p w14:paraId="3AE1D0CC">
            <w:pPr>
              <w:jc w:val="center"/>
              <w:rPr>
                <w:rFonts w:hint="eastAsia"/>
              </w:rPr>
            </w:pPr>
          </w:p>
        </w:tc>
        <w:tc>
          <w:tcPr>
            <w:tcW w:w="797" w:type="dxa"/>
            <w:noWrap w:val="0"/>
            <w:vAlign w:val="center"/>
          </w:tcPr>
          <w:p w14:paraId="1D570263">
            <w:pPr>
              <w:jc w:val="center"/>
              <w:rPr>
                <w:rFonts w:hint="eastAsia"/>
              </w:rPr>
            </w:pPr>
          </w:p>
        </w:tc>
      </w:tr>
    </w:tbl>
    <w:p w14:paraId="4F0C6577">
      <w:pPr>
        <w:rPr>
          <w:rFonts w:hint="eastAsia"/>
        </w:rPr>
      </w:pPr>
    </w:p>
    <w:p w14:paraId="2BFABFFA">
      <w:pPr>
        <w:rPr>
          <w:rFonts w:hint="eastAsia"/>
        </w:rPr>
      </w:pPr>
      <w:r>
        <w:rPr>
          <w:rFonts w:hint="eastAsia"/>
        </w:rPr>
        <w:t>评标委员会成员签名：                                                                                         日期：    年  月  日</w:t>
      </w:r>
    </w:p>
    <w:p w14:paraId="62BC5635">
      <w:pPr>
        <w:rPr>
          <w:rFonts w:hint="eastAsia"/>
        </w:rPr>
      </w:pPr>
    </w:p>
    <w:p w14:paraId="0BBFC627">
      <w:pPr>
        <w:rPr>
          <w:rFonts w:hint="eastAsia"/>
        </w:rPr>
      </w:pPr>
    </w:p>
    <w:p w14:paraId="0CD4921A">
      <w:pPr>
        <w:rPr>
          <w:rFonts w:hint="eastAsia"/>
        </w:rPr>
      </w:pPr>
      <w:r>
        <w:rPr>
          <w:rFonts w:hint="eastAsia"/>
          <w:szCs w:val="21"/>
        </w:rPr>
        <w:t xml:space="preserve">      </w:t>
      </w:r>
    </w:p>
    <w:p w14:paraId="1CAD9EAC">
      <w:pPr>
        <w:rPr>
          <w:rFonts w:hint="eastAsia"/>
        </w:rPr>
      </w:pPr>
    </w:p>
    <w:p w14:paraId="44EC737A">
      <w:pPr>
        <w:rPr>
          <w:rFonts w:hint="eastAsia"/>
        </w:rPr>
      </w:pPr>
    </w:p>
    <w:p w14:paraId="22D98D5A">
      <w:pPr>
        <w:pStyle w:val="20"/>
        <w:rPr>
          <w:rFonts w:hint="eastAsia" w:ascii="黑体"/>
        </w:rPr>
      </w:pPr>
      <w:bookmarkStart w:id="437" w:name="_Toc108513664"/>
      <w:r>
        <w:rPr>
          <w:rFonts w:hint="eastAsia"/>
        </w:rPr>
        <w:t>附表A-12：详细评审评分汇总表</w:t>
      </w:r>
      <w:bookmarkEnd w:id="437"/>
    </w:p>
    <w:p w14:paraId="78460D69">
      <w:pPr>
        <w:spacing w:after="240" w:afterLines="100"/>
        <w:jc w:val="center"/>
        <w:rPr>
          <w:rFonts w:hint="eastAsia" w:ascii="黑体" w:eastAsia="黑体"/>
          <w:sz w:val="36"/>
          <w:szCs w:val="36"/>
        </w:rPr>
      </w:pPr>
      <w:r>
        <w:rPr>
          <w:rFonts w:hint="eastAsia" w:ascii="黑体" w:eastAsia="黑体"/>
          <w:sz w:val="36"/>
          <w:szCs w:val="36"/>
        </w:rPr>
        <w:t>详细评审评分汇总表</w:t>
      </w:r>
    </w:p>
    <w:p w14:paraId="6364CF9E">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14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2072"/>
        <w:gridCol w:w="1151"/>
        <w:gridCol w:w="1405"/>
        <w:gridCol w:w="1405"/>
        <w:gridCol w:w="1405"/>
        <w:gridCol w:w="1405"/>
        <w:gridCol w:w="1405"/>
        <w:gridCol w:w="1405"/>
        <w:gridCol w:w="1405"/>
      </w:tblGrid>
      <w:tr w14:paraId="0A1D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vMerge w:val="restart"/>
            <w:noWrap w:val="0"/>
            <w:vAlign w:val="center"/>
          </w:tcPr>
          <w:p w14:paraId="693A48B6">
            <w:pPr>
              <w:jc w:val="center"/>
              <w:rPr>
                <w:rFonts w:hint="eastAsia"/>
              </w:rPr>
            </w:pPr>
            <w:r>
              <w:rPr>
                <w:rFonts w:hint="eastAsia"/>
              </w:rPr>
              <w:t>序号</w:t>
            </w:r>
          </w:p>
        </w:tc>
        <w:tc>
          <w:tcPr>
            <w:tcW w:w="2072" w:type="dxa"/>
            <w:vMerge w:val="restart"/>
            <w:noWrap w:val="0"/>
            <w:vAlign w:val="center"/>
          </w:tcPr>
          <w:p w14:paraId="27081566">
            <w:pPr>
              <w:jc w:val="center"/>
              <w:rPr>
                <w:rFonts w:hint="eastAsia"/>
              </w:rPr>
            </w:pPr>
            <w:r>
              <w:rPr>
                <w:rFonts w:hint="eastAsia"/>
              </w:rPr>
              <w:t>评分项目</w:t>
            </w:r>
          </w:p>
        </w:tc>
        <w:tc>
          <w:tcPr>
            <w:tcW w:w="1151" w:type="dxa"/>
            <w:vMerge w:val="restart"/>
            <w:noWrap w:val="0"/>
            <w:vAlign w:val="center"/>
          </w:tcPr>
          <w:p w14:paraId="0085D56A">
            <w:pPr>
              <w:jc w:val="center"/>
              <w:rPr>
                <w:rFonts w:hint="eastAsia"/>
              </w:rPr>
            </w:pPr>
            <w:r>
              <w:rPr>
                <w:rFonts w:hint="eastAsia"/>
              </w:rPr>
              <w:t>分值代码</w:t>
            </w:r>
          </w:p>
        </w:tc>
        <w:tc>
          <w:tcPr>
            <w:tcW w:w="9835" w:type="dxa"/>
            <w:gridSpan w:val="7"/>
            <w:noWrap w:val="0"/>
            <w:vAlign w:val="center"/>
          </w:tcPr>
          <w:p w14:paraId="2CE836B7">
            <w:pPr>
              <w:jc w:val="center"/>
              <w:rPr>
                <w:rFonts w:hint="eastAsia"/>
              </w:rPr>
            </w:pPr>
            <w:r>
              <w:rPr>
                <w:rFonts w:hint="eastAsia"/>
              </w:rPr>
              <w:t>投标人名称及得分</w:t>
            </w:r>
          </w:p>
        </w:tc>
      </w:tr>
      <w:tr w14:paraId="4027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vMerge w:val="continue"/>
            <w:noWrap w:val="0"/>
            <w:vAlign w:val="center"/>
          </w:tcPr>
          <w:p w14:paraId="60EBAE17">
            <w:pPr>
              <w:jc w:val="center"/>
              <w:rPr>
                <w:rFonts w:hint="eastAsia"/>
              </w:rPr>
            </w:pPr>
          </w:p>
        </w:tc>
        <w:tc>
          <w:tcPr>
            <w:tcW w:w="2072" w:type="dxa"/>
            <w:vMerge w:val="continue"/>
            <w:noWrap w:val="0"/>
            <w:vAlign w:val="center"/>
          </w:tcPr>
          <w:p w14:paraId="4BDC23EB">
            <w:pPr>
              <w:jc w:val="center"/>
              <w:rPr>
                <w:rFonts w:hint="eastAsia"/>
              </w:rPr>
            </w:pPr>
          </w:p>
        </w:tc>
        <w:tc>
          <w:tcPr>
            <w:tcW w:w="1151" w:type="dxa"/>
            <w:vMerge w:val="continue"/>
            <w:noWrap w:val="0"/>
            <w:vAlign w:val="center"/>
          </w:tcPr>
          <w:p w14:paraId="49364522">
            <w:pPr>
              <w:jc w:val="center"/>
              <w:rPr>
                <w:rFonts w:hint="eastAsia"/>
              </w:rPr>
            </w:pPr>
          </w:p>
        </w:tc>
        <w:tc>
          <w:tcPr>
            <w:tcW w:w="1405" w:type="dxa"/>
            <w:noWrap w:val="0"/>
            <w:vAlign w:val="center"/>
          </w:tcPr>
          <w:p w14:paraId="59899CBF">
            <w:pPr>
              <w:jc w:val="center"/>
              <w:rPr>
                <w:rFonts w:hint="eastAsia"/>
              </w:rPr>
            </w:pPr>
          </w:p>
        </w:tc>
        <w:tc>
          <w:tcPr>
            <w:tcW w:w="1405" w:type="dxa"/>
            <w:noWrap w:val="0"/>
            <w:vAlign w:val="center"/>
          </w:tcPr>
          <w:p w14:paraId="213F5A76">
            <w:pPr>
              <w:jc w:val="center"/>
              <w:rPr>
                <w:rFonts w:hint="eastAsia"/>
              </w:rPr>
            </w:pPr>
          </w:p>
        </w:tc>
        <w:tc>
          <w:tcPr>
            <w:tcW w:w="1405" w:type="dxa"/>
            <w:noWrap w:val="0"/>
            <w:vAlign w:val="center"/>
          </w:tcPr>
          <w:p w14:paraId="0334B9BA">
            <w:pPr>
              <w:jc w:val="center"/>
              <w:rPr>
                <w:rFonts w:hint="eastAsia"/>
              </w:rPr>
            </w:pPr>
          </w:p>
        </w:tc>
        <w:tc>
          <w:tcPr>
            <w:tcW w:w="1405" w:type="dxa"/>
            <w:noWrap w:val="0"/>
            <w:vAlign w:val="center"/>
          </w:tcPr>
          <w:p w14:paraId="105FD4E8">
            <w:pPr>
              <w:jc w:val="center"/>
              <w:rPr>
                <w:rFonts w:hint="eastAsia"/>
              </w:rPr>
            </w:pPr>
          </w:p>
        </w:tc>
        <w:tc>
          <w:tcPr>
            <w:tcW w:w="1405" w:type="dxa"/>
            <w:noWrap w:val="0"/>
            <w:vAlign w:val="center"/>
          </w:tcPr>
          <w:p w14:paraId="73C8685E">
            <w:pPr>
              <w:jc w:val="center"/>
              <w:rPr>
                <w:rFonts w:hint="eastAsia"/>
              </w:rPr>
            </w:pPr>
          </w:p>
        </w:tc>
        <w:tc>
          <w:tcPr>
            <w:tcW w:w="1405" w:type="dxa"/>
            <w:noWrap w:val="0"/>
            <w:vAlign w:val="center"/>
          </w:tcPr>
          <w:p w14:paraId="2114F518">
            <w:pPr>
              <w:jc w:val="center"/>
              <w:rPr>
                <w:rFonts w:hint="eastAsia"/>
              </w:rPr>
            </w:pPr>
          </w:p>
        </w:tc>
        <w:tc>
          <w:tcPr>
            <w:tcW w:w="1405" w:type="dxa"/>
            <w:noWrap w:val="0"/>
            <w:vAlign w:val="center"/>
          </w:tcPr>
          <w:p w14:paraId="16D81741">
            <w:pPr>
              <w:jc w:val="center"/>
              <w:rPr>
                <w:rFonts w:hint="eastAsia"/>
              </w:rPr>
            </w:pPr>
          </w:p>
        </w:tc>
      </w:tr>
      <w:tr w14:paraId="5F726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990" w:type="dxa"/>
            <w:noWrap w:val="0"/>
            <w:vAlign w:val="center"/>
          </w:tcPr>
          <w:p w14:paraId="06C47660">
            <w:pPr>
              <w:jc w:val="center"/>
              <w:rPr>
                <w:rFonts w:hint="eastAsia"/>
              </w:rPr>
            </w:pPr>
            <w:r>
              <w:rPr>
                <w:rFonts w:hint="eastAsia"/>
              </w:rPr>
              <w:t>1</w:t>
            </w:r>
          </w:p>
        </w:tc>
        <w:tc>
          <w:tcPr>
            <w:tcW w:w="2072" w:type="dxa"/>
            <w:noWrap w:val="0"/>
            <w:vAlign w:val="center"/>
          </w:tcPr>
          <w:p w14:paraId="3C58B039">
            <w:pPr>
              <w:jc w:val="center"/>
              <w:rPr>
                <w:rFonts w:hint="eastAsia"/>
              </w:rPr>
            </w:pPr>
            <w:r>
              <w:rPr>
                <w:rFonts w:hint="eastAsia"/>
              </w:rPr>
              <w:t>投标报价</w:t>
            </w:r>
          </w:p>
        </w:tc>
        <w:tc>
          <w:tcPr>
            <w:tcW w:w="1151" w:type="dxa"/>
            <w:noWrap w:val="0"/>
            <w:vAlign w:val="center"/>
          </w:tcPr>
          <w:p w14:paraId="3446DF80">
            <w:pPr>
              <w:jc w:val="center"/>
              <w:rPr>
                <w:rFonts w:hint="eastAsia"/>
              </w:rPr>
            </w:pPr>
            <w:r>
              <w:rPr>
                <w:rFonts w:hint="eastAsia"/>
              </w:rPr>
              <w:t>A</w:t>
            </w:r>
          </w:p>
        </w:tc>
        <w:tc>
          <w:tcPr>
            <w:tcW w:w="1405" w:type="dxa"/>
            <w:noWrap w:val="0"/>
            <w:vAlign w:val="center"/>
          </w:tcPr>
          <w:p w14:paraId="5FCEA210">
            <w:pPr>
              <w:jc w:val="center"/>
              <w:rPr>
                <w:rFonts w:hint="eastAsia"/>
              </w:rPr>
            </w:pPr>
          </w:p>
        </w:tc>
        <w:tc>
          <w:tcPr>
            <w:tcW w:w="1405" w:type="dxa"/>
            <w:noWrap w:val="0"/>
            <w:vAlign w:val="center"/>
          </w:tcPr>
          <w:p w14:paraId="59E6CB2F">
            <w:pPr>
              <w:jc w:val="center"/>
              <w:rPr>
                <w:rFonts w:hint="eastAsia"/>
              </w:rPr>
            </w:pPr>
          </w:p>
        </w:tc>
        <w:tc>
          <w:tcPr>
            <w:tcW w:w="1405" w:type="dxa"/>
            <w:noWrap w:val="0"/>
            <w:vAlign w:val="center"/>
          </w:tcPr>
          <w:p w14:paraId="16F322AC">
            <w:pPr>
              <w:jc w:val="center"/>
              <w:rPr>
                <w:rFonts w:hint="eastAsia"/>
              </w:rPr>
            </w:pPr>
          </w:p>
        </w:tc>
        <w:tc>
          <w:tcPr>
            <w:tcW w:w="1405" w:type="dxa"/>
            <w:noWrap w:val="0"/>
            <w:vAlign w:val="center"/>
          </w:tcPr>
          <w:p w14:paraId="726FDD82">
            <w:pPr>
              <w:jc w:val="center"/>
              <w:rPr>
                <w:rFonts w:hint="eastAsia"/>
              </w:rPr>
            </w:pPr>
          </w:p>
        </w:tc>
        <w:tc>
          <w:tcPr>
            <w:tcW w:w="1405" w:type="dxa"/>
            <w:noWrap w:val="0"/>
            <w:vAlign w:val="center"/>
          </w:tcPr>
          <w:p w14:paraId="3D8225ED">
            <w:pPr>
              <w:jc w:val="center"/>
              <w:rPr>
                <w:rFonts w:hint="eastAsia"/>
              </w:rPr>
            </w:pPr>
          </w:p>
        </w:tc>
        <w:tc>
          <w:tcPr>
            <w:tcW w:w="1405" w:type="dxa"/>
            <w:noWrap w:val="0"/>
            <w:vAlign w:val="center"/>
          </w:tcPr>
          <w:p w14:paraId="3780FD60">
            <w:pPr>
              <w:jc w:val="center"/>
              <w:rPr>
                <w:rFonts w:hint="eastAsia"/>
              </w:rPr>
            </w:pPr>
          </w:p>
        </w:tc>
        <w:tc>
          <w:tcPr>
            <w:tcW w:w="1405" w:type="dxa"/>
            <w:noWrap w:val="0"/>
            <w:vAlign w:val="center"/>
          </w:tcPr>
          <w:p w14:paraId="65CF50EE">
            <w:pPr>
              <w:jc w:val="center"/>
              <w:rPr>
                <w:rFonts w:hint="eastAsia"/>
              </w:rPr>
            </w:pPr>
          </w:p>
        </w:tc>
      </w:tr>
      <w:tr w14:paraId="3B51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79EA92C9">
            <w:pPr>
              <w:jc w:val="center"/>
              <w:rPr>
                <w:rFonts w:hint="eastAsia"/>
              </w:rPr>
            </w:pPr>
            <w:r>
              <w:rPr>
                <w:rFonts w:hint="eastAsia"/>
              </w:rPr>
              <w:t>2</w:t>
            </w:r>
          </w:p>
        </w:tc>
        <w:tc>
          <w:tcPr>
            <w:tcW w:w="2072" w:type="dxa"/>
            <w:noWrap w:val="0"/>
            <w:vAlign w:val="center"/>
          </w:tcPr>
          <w:p w14:paraId="146F91A0">
            <w:pPr>
              <w:jc w:val="center"/>
              <w:rPr>
                <w:rFonts w:hint="eastAsia"/>
              </w:rPr>
            </w:pPr>
            <w:r>
              <w:rPr>
                <w:rFonts w:hint="eastAsia"/>
              </w:rPr>
              <w:t>施工组织设计</w:t>
            </w:r>
          </w:p>
        </w:tc>
        <w:tc>
          <w:tcPr>
            <w:tcW w:w="1151" w:type="dxa"/>
            <w:noWrap w:val="0"/>
            <w:vAlign w:val="center"/>
          </w:tcPr>
          <w:p w14:paraId="47A7BC50">
            <w:pPr>
              <w:jc w:val="center"/>
              <w:rPr>
                <w:rFonts w:hint="eastAsia"/>
              </w:rPr>
            </w:pPr>
            <w:r>
              <w:rPr>
                <w:rFonts w:hint="eastAsia"/>
              </w:rPr>
              <w:t>B</w:t>
            </w:r>
          </w:p>
        </w:tc>
        <w:tc>
          <w:tcPr>
            <w:tcW w:w="1405" w:type="dxa"/>
            <w:noWrap w:val="0"/>
            <w:vAlign w:val="center"/>
          </w:tcPr>
          <w:p w14:paraId="6268BE4E">
            <w:pPr>
              <w:jc w:val="center"/>
              <w:rPr>
                <w:rFonts w:hint="eastAsia"/>
              </w:rPr>
            </w:pPr>
          </w:p>
        </w:tc>
        <w:tc>
          <w:tcPr>
            <w:tcW w:w="1405" w:type="dxa"/>
            <w:noWrap w:val="0"/>
            <w:vAlign w:val="center"/>
          </w:tcPr>
          <w:p w14:paraId="382537AB">
            <w:pPr>
              <w:jc w:val="center"/>
              <w:rPr>
                <w:rFonts w:hint="eastAsia"/>
              </w:rPr>
            </w:pPr>
          </w:p>
        </w:tc>
        <w:tc>
          <w:tcPr>
            <w:tcW w:w="1405" w:type="dxa"/>
            <w:noWrap w:val="0"/>
            <w:vAlign w:val="center"/>
          </w:tcPr>
          <w:p w14:paraId="3F21FB2D">
            <w:pPr>
              <w:jc w:val="center"/>
              <w:rPr>
                <w:rFonts w:hint="eastAsia"/>
              </w:rPr>
            </w:pPr>
          </w:p>
        </w:tc>
        <w:tc>
          <w:tcPr>
            <w:tcW w:w="1405" w:type="dxa"/>
            <w:noWrap w:val="0"/>
            <w:vAlign w:val="center"/>
          </w:tcPr>
          <w:p w14:paraId="2D77075B">
            <w:pPr>
              <w:jc w:val="center"/>
              <w:rPr>
                <w:rFonts w:hint="eastAsia"/>
              </w:rPr>
            </w:pPr>
          </w:p>
        </w:tc>
        <w:tc>
          <w:tcPr>
            <w:tcW w:w="1405" w:type="dxa"/>
            <w:noWrap w:val="0"/>
            <w:vAlign w:val="center"/>
          </w:tcPr>
          <w:p w14:paraId="4EAE6A73">
            <w:pPr>
              <w:jc w:val="center"/>
              <w:rPr>
                <w:rFonts w:hint="eastAsia"/>
              </w:rPr>
            </w:pPr>
          </w:p>
        </w:tc>
        <w:tc>
          <w:tcPr>
            <w:tcW w:w="1405" w:type="dxa"/>
            <w:noWrap w:val="0"/>
            <w:vAlign w:val="center"/>
          </w:tcPr>
          <w:p w14:paraId="244A0059">
            <w:pPr>
              <w:jc w:val="center"/>
              <w:rPr>
                <w:rFonts w:hint="eastAsia"/>
              </w:rPr>
            </w:pPr>
          </w:p>
        </w:tc>
        <w:tc>
          <w:tcPr>
            <w:tcW w:w="1405" w:type="dxa"/>
            <w:noWrap w:val="0"/>
            <w:vAlign w:val="center"/>
          </w:tcPr>
          <w:p w14:paraId="37F25D0A">
            <w:pPr>
              <w:jc w:val="center"/>
              <w:rPr>
                <w:rFonts w:hint="eastAsia"/>
              </w:rPr>
            </w:pPr>
          </w:p>
        </w:tc>
      </w:tr>
      <w:tr w14:paraId="50AD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17CE802A">
            <w:pPr>
              <w:jc w:val="center"/>
              <w:rPr>
                <w:rFonts w:hint="eastAsia"/>
              </w:rPr>
            </w:pPr>
            <w:r>
              <w:rPr>
                <w:rFonts w:hint="eastAsia"/>
              </w:rPr>
              <w:t>3</w:t>
            </w:r>
          </w:p>
        </w:tc>
        <w:tc>
          <w:tcPr>
            <w:tcW w:w="2072" w:type="dxa"/>
            <w:noWrap w:val="0"/>
            <w:vAlign w:val="center"/>
          </w:tcPr>
          <w:p w14:paraId="20919A69">
            <w:pPr>
              <w:jc w:val="center"/>
              <w:rPr>
                <w:rFonts w:hint="eastAsia"/>
              </w:rPr>
            </w:pPr>
            <w:r>
              <w:rPr>
                <w:rFonts w:hint="eastAsia"/>
              </w:rPr>
              <w:t>项目管理机构</w:t>
            </w:r>
          </w:p>
        </w:tc>
        <w:tc>
          <w:tcPr>
            <w:tcW w:w="1151" w:type="dxa"/>
            <w:noWrap w:val="0"/>
            <w:vAlign w:val="center"/>
          </w:tcPr>
          <w:p w14:paraId="32FD336F">
            <w:pPr>
              <w:jc w:val="center"/>
              <w:rPr>
                <w:rFonts w:hint="eastAsia"/>
              </w:rPr>
            </w:pPr>
            <w:r>
              <w:rPr>
                <w:rFonts w:hint="eastAsia"/>
              </w:rPr>
              <w:t>C</w:t>
            </w:r>
          </w:p>
        </w:tc>
        <w:tc>
          <w:tcPr>
            <w:tcW w:w="1405" w:type="dxa"/>
            <w:noWrap w:val="0"/>
            <w:vAlign w:val="center"/>
          </w:tcPr>
          <w:p w14:paraId="43DC89E8">
            <w:pPr>
              <w:jc w:val="center"/>
              <w:rPr>
                <w:rFonts w:hint="eastAsia"/>
              </w:rPr>
            </w:pPr>
          </w:p>
        </w:tc>
        <w:tc>
          <w:tcPr>
            <w:tcW w:w="1405" w:type="dxa"/>
            <w:noWrap w:val="0"/>
            <w:vAlign w:val="center"/>
          </w:tcPr>
          <w:p w14:paraId="72EA8599">
            <w:pPr>
              <w:jc w:val="center"/>
              <w:rPr>
                <w:rFonts w:hint="eastAsia"/>
              </w:rPr>
            </w:pPr>
          </w:p>
        </w:tc>
        <w:tc>
          <w:tcPr>
            <w:tcW w:w="1405" w:type="dxa"/>
            <w:noWrap w:val="0"/>
            <w:vAlign w:val="center"/>
          </w:tcPr>
          <w:p w14:paraId="212E0D40">
            <w:pPr>
              <w:jc w:val="center"/>
              <w:rPr>
                <w:rFonts w:hint="eastAsia"/>
              </w:rPr>
            </w:pPr>
          </w:p>
        </w:tc>
        <w:tc>
          <w:tcPr>
            <w:tcW w:w="1405" w:type="dxa"/>
            <w:noWrap w:val="0"/>
            <w:vAlign w:val="center"/>
          </w:tcPr>
          <w:p w14:paraId="20DE3225">
            <w:pPr>
              <w:jc w:val="center"/>
              <w:rPr>
                <w:rFonts w:hint="eastAsia"/>
              </w:rPr>
            </w:pPr>
          </w:p>
        </w:tc>
        <w:tc>
          <w:tcPr>
            <w:tcW w:w="1405" w:type="dxa"/>
            <w:noWrap w:val="0"/>
            <w:vAlign w:val="center"/>
          </w:tcPr>
          <w:p w14:paraId="227BDB38">
            <w:pPr>
              <w:jc w:val="center"/>
              <w:rPr>
                <w:rFonts w:hint="eastAsia"/>
              </w:rPr>
            </w:pPr>
          </w:p>
        </w:tc>
        <w:tc>
          <w:tcPr>
            <w:tcW w:w="1405" w:type="dxa"/>
            <w:noWrap w:val="0"/>
            <w:vAlign w:val="center"/>
          </w:tcPr>
          <w:p w14:paraId="4A757504">
            <w:pPr>
              <w:jc w:val="center"/>
              <w:rPr>
                <w:rFonts w:hint="eastAsia"/>
              </w:rPr>
            </w:pPr>
          </w:p>
        </w:tc>
        <w:tc>
          <w:tcPr>
            <w:tcW w:w="1405" w:type="dxa"/>
            <w:noWrap w:val="0"/>
            <w:vAlign w:val="center"/>
          </w:tcPr>
          <w:p w14:paraId="4285248B">
            <w:pPr>
              <w:jc w:val="center"/>
              <w:rPr>
                <w:rFonts w:hint="eastAsia"/>
              </w:rPr>
            </w:pPr>
          </w:p>
        </w:tc>
      </w:tr>
      <w:tr w14:paraId="3606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0" w:type="dxa"/>
            <w:noWrap w:val="0"/>
            <w:vAlign w:val="center"/>
          </w:tcPr>
          <w:p w14:paraId="48C1EA5D">
            <w:pPr>
              <w:jc w:val="center"/>
              <w:rPr>
                <w:rFonts w:hint="eastAsia"/>
              </w:rPr>
            </w:pPr>
            <w:r>
              <w:rPr>
                <w:rFonts w:hint="eastAsia"/>
              </w:rPr>
              <w:t>4</w:t>
            </w:r>
          </w:p>
        </w:tc>
        <w:tc>
          <w:tcPr>
            <w:tcW w:w="2072" w:type="dxa"/>
            <w:noWrap w:val="0"/>
            <w:vAlign w:val="center"/>
          </w:tcPr>
          <w:p w14:paraId="7E0E4DE9">
            <w:pPr>
              <w:jc w:val="center"/>
              <w:rPr>
                <w:rFonts w:hint="eastAsia"/>
              </w:rPr>
            </w:pPr>
            <w:r>
              <w:rPr>
                <w:rFonts w:hint="eastAsia"/>
              </w:rPr>
              <w:t>其他因素</w:t>
            </w:r>
          </w:p>
        </w:tc>
        <w:tc>
          <w:tcPr>
            <w:tcW w:w="1151" w:type="dxa"/>
            <w:noWrap w:val="0"/>
            <w:vAlign w:val="center"/>
          </w:tcPr>
          <w:p w14:paraId="6B89548E">
            <w:pPr>
              <w:jc w:val="center"/>
              <w:rPr>
                <w:rFonts w:hint="eastAsia"/>
              </w:rPr>
            </w:pPr>
            <w:r>
              <w:rPr>
                <w:rFonts w:hint="eastAsia"/>
              </w:rPr>
              <w:t>D</w:t>
            </w:r>
          </w:p>
        </w:tc>
        <w:tc>
          <w:tcPr>
            <w:tcW w:w="1405" w:type="dxa"/>
            <w:noWrap w:val="0"/>
            <w:vAlign w:val="center"/>
          </w:tcPr>
          <w:p w14:paraId="1176605B">
            <w:pPr>
              <w:jc w:val="center"/>
              <w:rPr>
                <w:rFonts w:hint="eastAsia"/>
              </w:rPr>
            </w:pPr>
          </w:p>
        </w:tc>
        <w:tc>
          <w:tcPr>
            <w:tcW w:w="1405" w:type="dxa"/>
            <w:noWrap w:val="0"/>
            <w:vAlign w:val="center"/>
          </w:tcPr>
          <w:p w14:paraId="2A1B5C78">
            <w:pPr>
              <w:jc w:val="center"/>
              <w:rPr>
                <w:rFonts w:hint="eastAsia"/>
              </w:rPr>
            </w:pPr>
          </w:p>
        </w:tc>
        <w:tc>
          <w:tcPr>
            <w:tcW w:w="1405" w:type="dxa"/>
            <w:noWrap w:val="0"/>
            <w:vAlign w:val="center"/>
          </w:tcPr>
          <w:p w14:paraId="4F1EE49C">
            <w:pPr>
              <w:jc w:val="center"/>
              <w:rPr>
                <w:rFonts w:hint="eastAsia"/>
              </w:rPr>
            </w:pPr>
          </w:p>
        </w:tc>
        <w:tc>
          <w:tcPr>
            <w:tcW w:w="1405" w:type="dxa"/>
            <w:noWrap w:val="0"/>
            <w:vAlign w:val="center"/>
          </w:tcPr>
          <w:p w14:paraId="13565D9E">
            <w:pPr>
              <w:jc w:val="center"/>
              <w:rPr>
                <w:rFonts w:hint="eastAsia"/>
              </w:rPr>
            </w:pPr>
          </w:p>
        </w:tc>
        <w:tc>
          <w:tcPr>
            <w:tcW w:w="1405" w:type="dxa"/>
            <w:noWrap w:val="0"/>
            <w:vAlign w:val="center"/>
          </w:tcPr>
          <w:p w14:paraId="0BDFF33E">
            <w:pPr>
              <w:jc w:val="center"/>
              <w:rPr>
                <w:rFonts w:hint="eastAsia"/>
              </w:rPr>
            </w:pPr>
          </w:p>
        </w:tc>
        <w:tc>
          <w:tcPr>
            <w:tcW w:w="1405" w:type="dxa"/>
            <w:noWrap w:val="0"/>
            <w:vAlign w:val="center"/>
          </w:tcPr>
          <w:p w14:paraId="51869DEC">
            <w:pPr>
              <w:jc w:val="center"/>
              <w:rPr>
                <w:rFonts w:hint="eastAsia"/>
              </w:rPr>
            </w:pPr>
          </w:p>
        </w:tc>
        <w:tc>
          <w:tcPr>
            <w:tcW w:w="1405" w:type="dxa"/>
            <w:noWrap w:val="0"/>
            <w:vAlign w:val="center"/>
          </w:tcPr>
          <w:p w14:paraId="65E42AE8">
            <w:pPr>
              <w:jc w:val="center"/>
              <w:rPr>
                <w:rFonts w:hint="eastAsia"/>
              </w:rPr>
            </w:pPr>
          </w:p>
        </w:tc>
      </w:tr>
      <w:tr w14:paraId="1889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13" w:type="dxa"/>
            <w:gridSpan w:val="3"/>
            <w:noWrap w:val="0"/>
            <w:vAlign w:val="center"/>
          </w:tcPr>
          <w:p w14:paraId="647BDD20">
            <w:pPr>
              <w:jc w:val="center"/>
              <w:rPr>
                <w:rFonts w:hint="eastAsia"/>
              </w:rPr>
            </w:pPr>
            <w:r>
              <w:rPr>
                <w:rFonts w:hint="eastAsia"/>
              </w:rPr>
              <w:t>详细评审得分合计</w:t>
            </w:r>
          </w:p>
        </w:tc>
        <w:tc>
          <w:tcPr>
            <w:tcW w:w="1405" w:type="dxa"/>
            <w:noWrap w:val="0"/>
            <w:vAlign w:val="center"/>
          </w:tcPr>
          <w:p w14:paraId="39700898">
            <w:pPr>
              <w:jc w:val="center"/>
              <w:rPr>
                <w:rFonts w:hint="eastAsia"/>
              </w:rPr>
            </w:pPr>
          </w:p>
        </w:tc>
        <w:tc>
          <w:tcPr>
            <w:tcW w:w="1405" w:type="dxa"/>
            <w:noWrap w:val="0"/>
            <w:vAlign w:val="center"/>
          </w:tcPr>
          <w:p w14:paraId="2B03E0A4">
            <w:pPr>
              <w:jc w:val="center"/>
              <w:rPr>
                <w:rFonts w:hint="eastAsia"/>
              </w:rPr>
            </w:pPr>
          </w:p>
        </w:tc>
        <w:tc>
          <w:tcPr>
            <w:tcW w:w="1405" w:type="dxa"/>
            <w:noWrap w:val="0"/>
            <w:vAlign w:val="center"/>
          </w:tcPr>
          <w:p w14:paraId="43883199">
            <w:pPr>
              <w:jc w:val="center"/>
              <w:rPr>
                <w:rFonts w:hint="eastAsia"/>
              </w:rPr>
            </w:pPr>
          </w:p>
        </w:tc>
        <w:tc>
          <w:tcPr>
            <w:tcW w:w="1405" w:type="dxa"/>
            <w:noWrap w:val="0"/>
            <w:vAlign w:val="center"/>
          </w:tcPr>
          <w:p w14:paraId="278B2139">
            <w:pPr>
              <w:jc w:val="center"/>
              <w:rPr>
                <w:rFonts w:hint="eastAsia"/>
              </w:rPr>
            </w:pPr>
          </w:p>
        </w:tc>
        <w:tc>
          <w:tcPr>
            <w:tcW w:w="1405" w:type="dxa"/>
            <w:noWrap w:val="0"/>
            <w:vAlign w:val="center"/>
          </w:tcPr>
          <w:p w14:paraId="63716554">
            <w:pPr>
              <w:jc w:val="center"/>
              <w:rPr>
                <w:rFonts w:hint="eastAsia"/>
              </w:rPr>
            </w:pPr>
          </w:p>
        </w:tc>
        <w:tc>
          <w:tcPr>
            <w:tcW w:w="1405" w:type="dxa"/>
            <w:noWrap w:val="0"/>
            <w:vAlign w:val="center"/>
          </w:tcPr>
          <w:p w14:paraId="3EA28EBA">
            <w:pPr>
              <w:jc w:val="center"/>
              <w:rPr>
                <w:rFonts w:hint="eastAsia"/>
              </w:rPr>
            </w:pPr>
          </w:p>
        </w:tc>
        <w:tc>
          <w:tcPr>
            <w:tcW w:w="1405" w:type="dxa"/>
            <w:noWrap w:val="0"/>
            <w:vAlign w:val="center"/>
          </w:tcPr>
          <w:p w14:paraId="30624C6E">
            <w:pPr>
              <w:jc w:val="center"/>
              <w:rPr>
                <w:rFonts w:hint="eastAsia"/>
              </w:rPr>
            </w:pPr>
          </w:p>
        </w:tc>
      </w:tr>
    </w:tbl>
    <w:p w14:paraId="3B6348C0">
      <w:pPr>
        <w:rPr>
          <w:rFonts w:hint="eastAsia"/>
        </w:rPr>
      </w:pPr>
    </w:p>
    <w:p w14:paraId="642D97CA">
      <w:pPr>
        <w:rPr>
          <w:rFonts w:hint="eastAsia"/>
        </w:rPr>
      </w:pPr>
      <w:r>
        <w:rPr>
          <w:rFonts w:hint="eastAsia"/>
        </w:rPr>
        <w:t>评标委员会成员签名：                                                                                          日期：    年   月  日</w:t>
      </w:r>
    </w:p>
    <w:p w14:paraId="46C565F2">
      <w:pPr>
        <w:rPr>
          <w:rFonts w:hint="eastAsia"/>
        </w:rPr>
      </w:pPr>
    </w:p>
    <w:p w14:paraId="763F30EA">
      <w:pPr>
        <w:rPr>
          <w:rFonts w:hint="eastAsia"/>
        </w:rPr>
      </w:pPr>
    </w:p>
    <w:p w14:paraId="70CDF2E7">
      <w:pPr>
        <w:rPr>
          <w:rFonts w:hint="eastAsia"/>
        </w:rPr>
      </w:pPr>
    </w:p>
    <w:p w14:paraId="66A01A6B">
      <w:pPr>
        <w:rPr>
          <w:rFonts w:hint="eastAsia"/>
        </w:rPr>
      </w:pPr>
    </w:p>
    <w:p w14:paraId="1A591964">
      <w:pPr>
        <w:rPr>
          <w:rFonts w:hint="eastAsia"/>
        </w:rPr>
      </w:pPr>
    </w:p>
    <w:p w14:paraId="2A682EEA">
      <w:pPr>
        <w:rPr>
          <w:rFonts w:hint="eastAsia"/>
        </w:rPr>
      </w:pPr>
    </w:p>
    <w:p w14:paraId="36392120">
      <w:pPr>
        <w:rPr>
          <w:rFonts w:hint="eastAsia"/>
        </w:rPr>
      </w:pPr>
    </w:p>
    <w:p w14:paraId="1DAA01F4">
      <w:pPr>
        <w:rPr>
          <w:rFonts w:hint="eastAsia"/>
        </w:rPr>
      </w:pPr>
    </w:p>
    <w:p w14:paraId="2A03B9C9">
      <w:pPr>
        <w:rPr>
          <w:rFonts w:hint="eastAsia"/>
        </w:rPr>
      </w:pPr>
    </w:p>
    <w:p w14:paraId="55F4AF21">
      <w:pPr>
        <w:rPr>
          <w:rFonts w:hint="eastAsia"/>
        </w:rPr>
      </w:pPr>
    </w:p>
    <w:p w14:paraId="4B078617">
      <w:pPr>
        <w:rPr>
          <w:rFonts w:hint="eastAsia"/>
        </w:rPr>
      </w:pPr>
    </w:p>
    <w:p w14:paraId="609774DD">
      <w:pPr>
        <w:rPr>
          <w:rFonts w:hint="eastAsia"/>
        </w:rPr>
      </w:pPr>
    </w:p>
    <w:p w14:paraId="18B47F46">
      <w:pPr>
        <w:rPr>
          <w:rFonts w:hint="eastAsia"/>
        </w:rPr>
      </w:pPr>
    </w:p>
    <w:p w14:paraId="4FD84096">
      <w:pPr>
        <w:pStyle w:val="20"/>
        <w:rPr>
          <w:rFonts w:hint="eastAsia" w:ascii="黑体"/>
        </w:rPr>
      </w:pPr>
      <w:bookmarkStart w:id="438" w:name="_Toc108513665"/>
      <w:r>
        <w:rPr>
          <w:rFonts w:hint="eastAsia"/>
        </w:rPr>
        <w:t>附表A-13：评标结果汇总表</w:t>
      </w:r>
      <w:bookmarkEnd w:id="438"/>
    </w:p>
    <w:p w14:paraId="737A6FD6">
      <w:pPr>
        <w:spacing w:after="240" w:afterLines="100"/>
        <w:jc w:val="center"/>
        <w:rPr>
          <w:rFonts w:hint="eastAsia" w:ascii="黑体" w:eastAsia="黑体"/>
          <w:sz w:val="36"/>
          <w:szCs w:val="36"/>
        </w:rPr>
      </w:pPr>
      <w:r>
        <w:rPr>
          <w:rFonts w:hint="eastAsia" w:ascii="黑体" w:eastAsia="黑体"/>
          <w:sz w:val="36"/>
          <w:szCs w:val="36"/>
        </w:rPr>
        <w:t>评标结果汇总表</w:t>
      </w:r>
    </w:p>
    <w:p w14:paraId="55446C22">
      <w:pPr>
        <w:spacing w:after="240" w:afterLines="100"/>
        <w:rPr>
          <w:rFonts w:hint="eastAsia" w:ascii="宋体" w:hAnsi="宋体"/>
          <w:szCs w:val="44"/>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6"/>
        <w:gridCol w:w="1656"/>
        <w:gridCol w:w="1657"/>
        <w:gridCol w:w="1658"/>
        <w:gridCol w:w="1657"/>
        <w:gridCol w:w="1658"/>
        <w:gridCol w:w="1657"/>
        <w:gridCol w:w="1658"/>
      </w:tblGrid>
      <w:tr w14:paraId="3D9F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vMerge w:val="restart"/>
            <w:noWrap w:val="0"/>
            <w:vAlign w:val="center"/>
          </w:tcPr>
          <w:p w14:paraId="7353EF65">
            <w:pPr>
              <w:jc w:val="center"/>
              <w:rPr>
                <w:rFonts w:hint="eastAsia"/>
              </w:rPr>
            </w:pPr>
            <w:r>
              <w:rPr>
                <w:rFonts w:hint="eastAsia"/>
              </w:rPr>
              <w:t>评委序号和姓名</w:t>
            </w:r>
          </w:p>
        </w:tc>
        <w:tc>
          <w:tcPr>
            <w:tcW w:w="11840" w:type="dxa"/>
            <w:gridSpan w:val="7"/>
            <w:noWrap w:val="0"/>
            <w:vAlign w:val="center"/>
          </w:tcPr>
          <w:p w14:paraId="4954265E">
            <w:pPr>
              <w:jc w:val="center"/>
              <w:rPr>
                <w:rFonts w:hint="eastAsia"/>
              </w:rPr>
            </w:pPr>
            <w:r>
              <w:rPr>
                <w:rFonts w:hint="eastAsia"/>
              </w:rPr>
              <w:t>投标人名称(或代码)及其得分</w:t>
            </w:r>
          </w:p>
        </w:tc>
      </w:tr>
      <w:tr w14:paraId="278E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vMerge w:val="continue"/>
            <w:noWrap w:val="0"/>
            <w:vAlign w:val="center"/>
          </w:tcPr>
          <w:p w14:paraId="0496CF60">
            <w:pPr>
              <w:jc w:val="center"/>
              <w:rPr>
                <w:rFonts w:hint="eastAsia"/>
              </w:rPr>
            </w:pPr>
          </w:p>
        </w:tc>
        <w:tc>
          <w:tcPr>
            <w:tcW w:w="1691" w:type="dxa"/>
            <w:noWrap w:val="0"/>
            <w:vAlign w:val="center"/>
          </w:tcPr>
          <w:p w14:paraId="102F6362">
            <w:pPr>
              <w:jc w:val="center"/>
              <w:rPr>
                <w:rFonts w:hint="eastAsia"/>
              </w:rPr>
            </w:pPr>
          </w:p>
        </w:tc>
        <w:tc>
          <w:tcPr>
            <w:tcW w:w="1691" w:type="dxa"/>
            <w:noWrap w:val="0"/>
            <w:vAlign w:val="center"/>
          </w:tcPr>
          <w:p w14:paraId="39925FCD">
            <w:pPr>
              <w:jc w:val="center"/>
              <w:rPr>
                <w:rFonts w:hint="eastAsia"/>
              </w:rPr>
            </w:pPr>
          </w:p>
        </w:tc>
        <w:tc>
          <w:tcPr>
            <w:tcW w:w="1692" w:type="dxa"/>
            <w:noWrap w:val="0"/>
            <w:vAlign w:val="center"/>
          </w:tcPr>
          <w:p w14:paraId="0E035E0E">
            <w:pPr>
              <w:jc w:val="center"/>
              <w:rPr>
                <w:rFonts w:hint="eastAsia"/>
              </w:rPr>
            </w:pPr>
          </w:p>
        </w:tc>
        <w:tc>
          <w:tcPr>
            <w:tcW w:w="1691" w:type="dxa"/>
            <w:noWrap w:val="0"/>
            <w:vAlign w:val="center"/>
          </w:tcPr>
          <w:p w14:paraId="6D7F9C6E">
            <w:pPr>
              <w:jc w:val="center"/>
              <w:rPr>
                <w:rFonts w:hint="eastAsia"/>
              </w:rPr>
            </w:pPr>
          </w:p>
        </w:tc>
        <w:tc>
          <w:tcPr>
            <w:tcW w:w="1692" w:type="dxa"/>
            <w:noWrap w:val="0"/>
            <w:vAlign w:val="center"/>
          </w:tcPr>
          <w:p w14:paraId="12BC6AB4">
            <w:pPr>
              <w:jc w:val="center"/>
              <w:rPr>
                <w:rFonts w:hint="eastAsia"/>
              </w:rPr>
            </w:pPr>
          </w:p>
        </w:tc>
        <w:tc>
          <w:tcPr>
            <w:tcW w:w="1691" w:type="dxa"/>
            <w:noWrap w:val="0"/>
            <w:vAlign w:val="center"/>
          </w:tcPr>
          <w:p w14:paraId="5D09EFA2">
            <w:pPr>
              <w:jc w:val="center"/>
              <w:rPr>
                <w:rFonts w:hint="eastAsia"/>
              </w:rPr>
            </w:pPr>
          </w:p>
        </w:tc>
        <w:tc>
          <w:tcPr>
            <w:tcW w:w="1692" w:type="dxa"/>
            <w:noWrap w:val="0"/>
            <w:vAlign w:val="center"/>
          </w:tcPr>
          <w:p w14:paraId="092D4845">
            <w:pPr>
              <w:jc w:val="center"/>
              <w:rPr>
                <w:rFonts w:hint="eastAsia"/>
              </w:rPr>
            </w:pPr>
          </w:p>
        </w:tc>
      </w:tr>
      <w:tr w14:paraId="7680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4F8A3AF2">
            <w:pPr>
              <w:jc w:val="left"/>
              <w:rPr>
                <w:rFonts w:hint="eastAsia"/>
              </w:rPr>
            </w:pPr>
            <w:r>
              <w:rPr>
                <w:rFonts w:hint="eastAsia"/>
              </w:rPr>
              <w:t>1:</w:t>
            </w:r>
          </w:p>
        </w:tc>
        <w:tc>
          <w:tcPr>
            <w:tcW w:w="1691" w:type="dxa"/>
            <w:noWrap w:val="0"/>
            <w:vAlign w:val="center"/>
          </w:tcPr>
          <w:p w14:paraId="1DDAB50C">
            <w:pPr>
              <w:jc w:val="center"/>
              <w:rPr>
                <w:rFonts w:hint="eastAsia"/>
              </w:rPr>
            </w:pPr>
          </w:p>
        </w:tc>
        <w:tc>
          <w:tcPr>
            <w:tcW w:w="1691" w:type="dxa"/>
            <w:noWrap w:val="0"/>
            <w:vAlign w:val="center"/>
          </w:tcPr>
          <w:p w14:paraId="4C001D63">
            <w:pPr>
              <w:jc w:val="center"/>
              <w:rPr>
                <w:rFonts w:hint="eastAsia"/>
              </w:rPr>
            </w:pPr>
          </w:p>
        </w:tc>
        <w:tc>
          <w:tcPr>
            <w:tcW w:w="1692" w:type="dxa"/>
            <w:noWrap w:val="0"/>
            <w:vAlign w:val="center"/>
          </w:tcPr>
          <w:p w14:paraId="35C6B9F2">
            <w:pPr>
              <w:jc w:val="center"/>
              <w:rPr>
                <w:rFonts w:hint="eastAsia"/>
              </w:rPr>
            </w:pPr>
          </w:p>
        </w:tc>
        <w:tc>
          <w:tcPr>
            <w:tcW w:w="1691" w:type="dxa"/>
            <w:noWrap w:val="0"/>
            <w:vAlign w:val="center"/>
          </w:tcPr>
          <w:p w14:paraId="6833620A">
            <w:pPr>
              <w:jc w:val="center"/>
              <w:rPr>
                <w:rFonts w:hint="eastAsia"/>
              </w:rPr>
            </w:pPr>
          </w:p>
        </w:tc>
        <w:tc>
          <w:tcPr>
            <w:tcW w:w="1692" w:type="dxa"/>
            <w:noWrap w:val="0"/>
            <w:vAlign w:val="center"/>
          </w:tcPr>
          <w:p w14:paraId="0A42AE41">
            <w:pPr>
              <w:jc w:val="center"/>
              <w:rPr>
                <w:rFonts w:hint="eastAsia"/>
              </w:rPr>
            </w:pPr>
          </w:p>
        </w:tc>
        <w:tc>
          <w:tcPr>
            <w:tcW w:w="1691" w:type="dxa"/>
            <w:noWrap w:val="0"/>
            <w:vAlign w:val="center"/>
          </w:tcPr>
          <w:p w14:paraId="7D7C4F93">
            <w:pPr>
              <w:jc w:val="center"/>
              <w:rPr>
                <w:rFonts w:hint="eastAsia"/>
              </w:rPr>
            </w:pPr>
          </w:p>
        </w:tc>
        <w:tc>
          <w:tcPr>
            <w:tcW w:w="1692" w:type="dxa"/>
            <w:noWrap w:val="0"/>
            <w:vAlign w:val="center"/>
          </w:tcPr>
          <w:p w14:paraId="3343225B">
            <w:pPr>
              <w:jc w:val="center"/>
              <w:rPr>
                <w:rFonts w:hint="eastAsia"/>
              </w:rPr>
            </w:pPr>
          </w:p>
        </w:tc>
      </w:tr>
      <w:tr w14:paraId="5774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0ECF08EF">
            <w:pPr>
              <w:jc w:val="left"/>
              <w:rPr>
                <w:rFonts w:hint="eastAsia"/>
              </w:rPr>
            </w:pPr>
            <w:r>
              <w:rPr>
                <w:rFonts w:hint="eastAsia"/>
              </w:rPr>
              <w:t>2:</w:t>
            </w:r>
          </w:p>
        </w:tc>
        <w:tc>
          <w:tcPr>
            <w:tcW w:w="1691" w:type="dxa"/>
            <w:noWrap w:val="0"/>
            <w:vAlign w:val="center"/>
          </w:tcPr>
          <w:p w14:paraId="65054918">
            <w:pPr>
              <w:jc w:val="center"/>
              <w:rPr>
                <w:rFonts w:hint="eastAsia"/>
              </w:rPr>
            </w:pPr>
          </w:p>
        </w:tc>
        <w:tc>
          <w:tcPr>
            <w:tcW w:w="1691" w:type="dxa"/>
            <w:noWrap w:val="0"/>
            <w:vAlign w:val="center"/>
          </w:tcPr>
          <w:p w14:paraId="6EBF0304">
            <w:pPr>
              <w:jc w:val="center"/>
              <w:rPr>
                <w:rFonts w:hint="eastAsia"/>
              </w:rPr>
            </w:pPr>
          </w:p>
        </w:tc>
        <w:tc>
          <w:tcPr>
            <w:tcW w:w="1692" w:type="dxa"/>
            <w:noWrap w:val="0"/>
            <w:vAlign w:val="center"/>
          </w:tcPr>
          <w:p w14:paraId="197636CA">
            <w:pPr>
              <w:jc w:val="center"/>
              <w:rPr>
                <w:rFonts w:hint="eastAsia"/>
              </w:rPr>
            </w:pPr>
          </w:p>
        </w:tc>
        <w:tc>
          <w:tcPr>
            <w:tcW w:w="1691" w:type="dxa"/>
            <w:noWrap w:val="0"/>
            <w:vAlign w:val="center"/>
          </w:tcPr>
          <w:p w14:paraId="5C0C1897">
            <w:pPr>
              <w:jc w:val="center"/>
              <w:rPr>
                <w:rFonts w:hint="eastAsia"/>
              </w:rPr>
            </w:pPr>
          </w:p>
        </w:tc>
        <w:tc>
          <w:tcPr>
            <w:tcW w:w="1692" w:type="dxa"/>
            <w:noWrap w:val="0"/>
            <w:vAlign w:val="center"/>
          </w:tcPr>
          <w:p w14:paraId="2EBDE09A">
            <w:pPr>
              <w:jc w:val="center"/>
              <w:rPr>
                <w:rFonts w:hint="eastAsia"/>
              </w:rPr>
            </w:pPr>
          </w:p>
        </w:tc>
        <w:tc>
          <w:tcPr>
            <w:tcW w:w="1691" w:type="dxa"/>
            <w:noWrap w:val="0"/>
            <w:vAlign w:val="center"/>
          </w:tcPr>
          <w:p w14:paraId="7595DBE2">
            <w:pPr>
              <w:jc w:val="center"/>
              <w:rPr>
                <w:rFonts w:hint="eastAsia"/>
              </w:rPr>
            </w:pPr>
          </w:p>
        </w:tc>
        <w:tc>
          <w:tcPr>
            <w:tcW w:w="1692" w:type="dxa"/>
            <w:noWrap w:val="0"/>
            <w:vAlign w:val="center"/>
          </w:tcPr>
          <w:p w14:paraId="4E6E69CF">
            <w:pPr>
              <w:jc w:val="center"/>
              <w:rPr>
                <w:rFonts w:hint="eastAsia"/>
              </w:rPr>
            </w:pPr>
          </w:p>
        </w:tc>
      </w:tr>
      <w:tr w14:paraId="76AF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19692C89">
            <w:pPr>
              <w:jc w:val="left"/>
              <w:rPr>
                <w:rFonts w:hint="eastAsia"/>
              </w:rPr>
            </w:pPr>
            <w:r>
              <w:rPr>
                <w:rFonts w:hint="eastAsia"/>
              </w:rPr>
              <w:t>3:</w:t>
            </w:r>
          </w:p>
        </w:tc>
        <w:tc>
          <w:tcPr>
            <w:tcW w:w="1691" w:type="dxa"/>
            <w:noWrap w:val="0"/>
            <w:vAlign w:val="center"/>
          </w:tcPr>
          <w:p w14:paraId="3BFD5472">
            <w:pPr>
              <w:jc w:val="center"/>
              <w:rPr>
                <w:rFonts w:hint="eastAsia"/>
              </w:rPr>
            </w:pPr>
          </w:p>
        </w:tc>
        <w:tc>
          <w:tcPr>
            <w:tcW w:w="1691" w:type="dxa"/>
            <w:noWrap w:val="0"/>
            <w:vAlign w:val="center"/>
          </w:tcPr>
          <w:p w14:paraId="7F03DD52">
            <w:pPr>
              <w:jc w:val="center"/>
              <w:rPr>
                <w:rFonts w:hint="eastAsia"/>
              </w:rPr>
            </w:pPr>
          </w:p>
        </w:tc>
        <w:tc>
          <w:tcPr>
            <w:tcW w:w="1692" w:type="dxa"/>
            <w:noWrap w:val="0"/>
            <w:vAlign w:val="center"/>
          </w:tcPr>
          <w:p w14:paraId="727DBF66">
            <w:pPr>
              <w:jc w:val="center"/>
              <w:rPr>
                <w:rFonts w:hint="eastAsia"/>
              </w:rPr>
            </w:pPr>
          </w:p>
        </w:tc>
        <w:tc>
          <w:tcPr>
            <w:tcW w:w="1691" w:type="dxa"/>
            <w:noWrap w:val="0"/>
            <w:vAlign w:val="center"/>
          </w:tcPr>
          <w:p w14:paraId="482B6388">
            <w:pPr>
              <w:jc w:val="center"/>
              <w:rPr>
                <w:rFonts w:hint="eastAsia"/>
              </w:rPr>
            </w:pPr>
          </w:p>
        </w:tc>
        <w:tc>
          <w:tcPr>
            <w:tcW w:w="1692" w:type="dxa"/>
            <w:noWrap w:val="0"/>
            <w:vAlign w:val="center"/>
          </w:tcPr>
          <w:p w14:paraId="17BB8DD9">
            <w:pPr>
              <w:jc w:val="center"/>
              <w:rPr>
                <w:rFonts w:hint="eastAsia"/>
              </w:rPr>
            </w:pPr>
          </w:p>
        </w:tc>
        <w:tc>
          <w:tcPr>
            <w:tcW w:w="1691" w:type="dxa"/>
            <w:noWrap w:val="0"/>
            <w:vAlign w:val="center"/>
          </w:tcPr>
          <w:p w14:paraId="675A3727">
            <w:pPr>
              <w:jc w:val="center"/>
              <w:rPr>
                <w:rFonts w:hint="eastAsia"/>
              </w:rPr>
            </w:pPr>
          </w:p>
        </w:tc>
        <w:tc>
          <w:tcPr>
            <w:tcW w:w="1692" w:type="dxa"/>
            <w:noWrap w:val="0"/>
            <w:vAlign w:val="center"/>
          </w:tcPr>
          <w:p w14:paraId="2A5618A6">
            <w:pPr>
              <w:jc w:val="center"/>
              <w:rPr>
                <w:rFonts w:hint="eastAsia"/>
              </w:rPr>
            </w:pPr>
          </w:p>
        </w:tc>
      </w:tr>
      <w:tr w14:paraId="48E3F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317DD3B3">
            <w:pPr>
              <w:jc w:val="left"/>
              <w:rPr>
                <w:rFonts w:hint="eastAsia"/>
              </w:rPr>
            </w:pPr>
            <w:r>
              <w:rPr>
                <w:rFonts w:hint="eastAsia"/>
              </w:rPr>
              <w:t>4:</w:t>
            </w:r>
          </w:p>
        </w:tc>
        <w:tc>
          <w:tcPr>
            <w:tcW w:w="1691" w:type="dxa"/>
            <w:noWrap w:val="0"/>
            <w:vAlign w:val="center"/>
          </w:tcPr>
          <w:p w14:paraId="108E7980">
            <w:pPr>
              <w:jc w:val="center"/>
              <w:rPr>
                <w:rFonts w:hint="eastAsia"/>
              </w:rPr>
            </w:pPr>
          </w:p>
        </w:tc>
        <w:tc>
          <w:tcPr>
            <w:tcW w:w="1691" w:type="dxa"/>
            <w:noWrap w:val="0"/>
            <w:vAlign w:val="center"/>
          </w:tcPr>
          <w:p w14:paraId="6081A844">
            <w:pPr>
              <w:jc w:val="center"/>
              <w:rPr>
                <w:rFonts w:hint="eastAsia"/>
              </w:rPr>
            </w:pPr>
          </w:p>
        </w:tc>
        <w:tc>
          <w:tcPr>
            <w:tcW w:w="1692" w:type="dxa"/>
            <w:noWrap w:val="0"/>
            <w:vAlign w:val="center"/>
          </w:tcPr>
          <w:p w14:paraId="0A3DB3AD">
            <w:pPr>
              <w:jc w:val="center"/>
              <w:rPr>
                <w:rFonts w:hint="eastAsia"/>
              </w:rPr>
            </w:pPr>
          </w:p>
        </w:tc>
        <w:tc>
          <w:tcPr>
            <w:tcW w:w="1691" w:type="dxa"/>
            <w:noWrap w:val="0"/>
            <w:vAlign w:val="center"/>
          </w:tcPr>
          <w:p w14:paraId="49AE096D">
            <w:pPr>
              <w:jc w:val="center"/>
              <w:rPr>
                <w:rFonts w:hint="eastAsia"/>
              </w:rPr>
            </w:pPr>
          </w:p>
        </w:tc>
        <w:tc>
          <w:tcPr>
            <w:tcW w:w="1692" w:type="dxa"/>
            <w:noWrap w:val="0"/>
            <w:vAlign w:val="center"/>
          </w:tcPr>
          <w:p w14:paraId="73CEBE6F">
            <w:pPr>
              <w:jc w:val="center"/>
              <w:rPr>
                <w:rFonts w:hint="eastAsia"/>
              </w:rPr>
            </w:pPr>
          </w:p>
        </w:tc>
        <w:tc>
          <w:tcPr>
            <w:tcW w:w="1691" w:type="dxa"/>
            <w:noWrap w:val="0"/>
            <w:vAlign w:val="center"/>
          </w:tcPr>
          <w:p w14:paraId="74002AE0">
            <w:pPr>
              <w:jc w:val="center"/>
              <w:rPr>
                <w:rFonts w:hint="eastAsia"/>
              </w:rPr>
            </w:pPr>
          </w:p>
        </w:tc>
        <w:tc>
          <w:tcPr>
            <w:tcW w:w="1692" w:type="dxa"/>
            <w:noWrap w:val="0"/>
            <w:vAlign w:val="center"/>
          </w:tcPr>
          <w:p w14:paraId="3AE1523B">
            <w:pPr>
              <w:jc w:val="center"/>
              <w:rPr>
                <w:rFonts w:hint="eastAsia"/>
              </w:rPr>
            </w:pPr>
          </w:p>
        </w:tc>
      </w:tr>
      <w:tr w14:paraId="73CA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62912FDB">
            <w:pPr>
              <w:jc w:val="left"/>
              <w:rPr>
                <w:rFonts w:hint="eastAsia"/>
              </w:rPr>
            </w:pPr>
            <w:r>
              <w:rPr>
                <w:rFonts w:hint="eastAsia"/>
              </w:rPr>
              <w:t>5:</w:t>
            </w:r>
          </w:p>
        </w:tc>
        <w:tc>
          <w:tcPr>
            <w:tcW w:w="1691" w:type="dxa"/>
            <w:noWrap w:val="0"/>
            <w:vAlign w:val="center"/>
          </w:tcPr>
          <w:p w14:paraId="0244001A">
            <w:pPr>
              <w:jc w:val="center"/>
              <w:rPr>
                <w:rFonts w:hint="eastAsia"/>
              </w:rPr>
            </w:pPr>
          </w:p>
        </w:tc>
        <w:tc>
          <w:tcPr>
            <w:tcW w:w="1691" w:type="dxa"/>
            <w:noWrap w:val="0"/>
            <w:vAlign w:val="center"/>
          </w:tcPr>
          <w:p w14:paraId="109AE192">
            <w:pPr>
              <w:jc w:val="center"/>
              <w:rPr>
                <w:rFonts w:hint="eastAsia"/>
              </w:rPr>
            </w:pPr>
          </w:p>
        </w:tc>
        <w:tc>
          <w:tcPr>
            <w:tcW w:w="1692" w:type="dxa"/>
            <w:noWrap w:val="0"/>
            <w:vAlign w:val="center"/>
          </w:tcPr>
          <w:p w14:paraId="6A007498">
            <w:pPr>
              <w:jc w:val="center"/>
              <w:rPr>
                <w:rFonts w:hint="eastAsia"/>
              </w:rPr>
            </w:pPr>
          </w:p>
        </w:tc>
        <w:tc>
          <w:tcPr>
            <w:tcW w:w="1691" w:type="dxa"/>
            <w:noWrap w:val="0"/>
            <w:vAlign w:val="center"/>
          </w:tcPr>
          <w:p w14:paraId="5D81DAF4">
            <w:pPr>
              <w:jc w:val="center"/>
              <w:rPr>
                <w:rFonts w:hint="eastAsia"/>
              </w:rPr>
            </w:pPr>
          </w:p>
        </w:tc>
        <w:tc>
          <w:tcPr>
            <w:tcW w:w="1692" w:type="dxa"/>
            <w:noWrap w:val="0"/>
            <w:vAlign w:val="center"/>
          </w:tcPr>
          <w:p w14:paraId="1E50DC60">
            <w:pPr>
              <w:jc w:val="center"/>
              <w:rPr>
                <w:rFonts w:hint="eastAsia"/>
              </w:rPr>
            </w:pPr>
          </w:p>
        </w:tc>
        <w:tc>
          <w:tcPr>
            <w:tcW w:w="1691" w:type="dxa"/>
            <w:noWrap w:val="0"/>
            <w:vAlign w:val="center"/>
          </w:tcPr>
          <w:p w14:paraId="0BE0552D">
            <w:pPr>
              <w:jc w:val="center"/>
              <w:rPr>
                <w:rFonts w:hint="eastAsia"/>
              </w:rPr>
            </w:pPr>
          </w:p>
        </w:tc>
        <w:tc>
          <w:tcPr>
            <w:tcW w:w="1692" w:type="dxa"/>
            <w:noWrap w:val="0"/>
            <w:vAlign w:val="center"/>
          </w:tcPr>
          <w:p w14:paraId="3BFCF03F">
            <w:pPr>
              <w:jc w:val="center"/>
              <w:rPr>
                <w:rFonts w:hint="eastAsia"/>
              </w:rPr>
            </w:pPr>
          </w:p>
        </w:tc>
      </w:tr>
      <w:tr w14:paraId="5B46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63FB2DD2">
            <w:pPr>
              <w:jc w:val="left"/>
              <w:rPr>
                <w:rFonts w:hint="eastAsia"/>
              </w:rPr>
            </w:pPr>
            <w:r>
              <w:rPr>
                <w:rFonts w:hint="eastAsia"/>
              </w:rPr>
              <w:t>6:</w:t>
            </w:r>
          </w:p>
        </w:tc>
        <w:tc>
          <w:tcPr>
            <w:tcW w:w="1691" w:type="dxa"/>
            <w:noWrap w:val="0"/>
            <w:vAlign w:val="center"/>
          </w:tcPr>
          <w:p w14:paraId="5CAC18C8">
            <w:pPr>
              <w:jc w:val="center"/>
              <w:rPr>
                <w:rFonts w:hint="eastAsia"/>
              </w:rPr>
            </w:pPr>
          </w:p>
        </w:tc>
        <w:tc>
          <w:tcPr>
            <w:tcW w:w="1691" w:type="dxa"/>
            <w:noWrap w:val="0"/>
            <w:vAlign w:val="center"/>
          </w:tcPr>
          <w:p w14:paraId="5A092038">
            <w:pPr>
              <w:jc w:val="center"/>
              <w:rPr>
                <w:rFonts w:hint="eastAsia"/>
              </w:rPr>
            </w:pPr>
          </w:p>
        </w:tc>
        <w:tc>
          <w:tcPr>
            <w:tcW w:w="1692" w:type="dxa"/>
            <w:noWrap w:val="0"/>
            <w:vAlign w:val="center"/>
          </w:tcPr>
          <w:p w14:paraId="313327B3">
            <w:pPr>
              <w:jc w:val="center"/>
              <w:rPr>
                <w:rFonts w:hint="eastAsia"/>
              </w:rPr>
            </w:pPr>
          </w:p>
        </w:tc>
        <w:tc>
          <w:tcPr>
            <w:tcW w:w="1691" w:type="dxa"/>
            <w:noWrap w:val="0"/>
            <w:vAlign w:val="center"/>
          </w:tcPr>
          <w:p w14:paraId="17765BEC">
            <w:pPr>
              <w:jc w:val="center"/>
              <w:rPr>
                <w:rFonts w:hint="eastAsia"/>
              </w:rPr>
            </w:pPr>
          </w:p>
        </w:tc>
        <w:tc>
          <w:tcPr>
            <w:tcW w:w="1692" w:type="dxa"/>
            <w:noWrap w:val="0"/>
            <w:vAlign w:val="center"/>
          </w:tcPr>
          <w:p w14:paraId="6FA900A0">
            <w:pPr>
              <w:jc w:val="center"/>
              <w:rPr>
                <w:rFonts w:hint="eastAsia"/>
              </w:rPr>
            </w:pPr>
          </w:p>
        </w:tc>
        <w:tc>
          <w:tcPr>
            <w:tcW w:w="1691" w:type="dxa"/>
            <w:noWrap w:val="0"/>
            <w:vAlign w:val="center"/>
          </w:tcPr>
          <w:p w14:paraId="73F69E46">
            <w:pPr>
              <w:jc w:val="center"/>
              <w:rPr>
                <w:rFonts w:hint="eastAsia"/>
              </w:rPr>
            </w:pPr>
          </w:p>
        </w:tc>
        <w:tc>
          <w:tcPr>
            <w:tcW w:w="1692" w:type="dxa"/>
            <w:noWrap w:val="0"/>
            <w:vAlign w:val="center"/>
          </w:tcPr>
          <w:p w14:paraId="3D692844">
            <w:pPr>
              <w:jc w:val="center"/>
              <w:rPr>
                <w:rFonts w:hint="eastAsia"/>
              </w:rPr>
            </w:pPr>
          </w:p>
        </w:tc>
      </w:tr>
      <w:tr w14:paraId="4402A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6EEC020A">
            <w:pPr>
              <w:jc w:val="left"/>
              <w:rPr>
                <w:rFonts w:hint="eastAsia"/>
              </w:rPr>
            </w:pPr>
            <w:r>
              <w:rPr>
                <w:rFonts w:hint="eastAsia"/>
              </w:rPr>
              <w:t>7:</w:t>
            </w:r>
          </w:p>
        </w:tc>
        <w:tc>
          <w:tcPr>
            <w:tcW w:w="1691" w:type="dxa"/>
            <w:noWrap w:val="0"/>
            <w:vAlign w:val="center"/>
          </w:tcPr>
          <w:p w14:paraId="307E3ACC">
            <w:pPr>
              <w:jc w:val="center"/>
              <w:rPr>
                <w:rFonts w:hint="eastAsia"/>
              </w:rPr>
            </w:pPr>
          </w:p>
        </w:tc>
        <w:tc>
          <w:tcPr>
            <w:tcW w:w="1691" w:type="dxa"/>
            <w:noWrap w:val="0"/>
            <w:vAlign w:val="center"/>
          </w:tcPr>
          <w:p w14:paraId="0B49C598">
            <w:pPr>
              <w:jc w:val="center"/>
              <w:rPr>
                <w:rFonts w:hint="eastAsia"/>
              </w:rPr>
            </w:pPr>
          </w:p>
        </w:tc>
        <w:tc>
          <w:tcPr>
            <w:tcW w:w="1692" w:type="dxa"/>
            <w:noWrap w:val="0"/>
            <w:vAlign w:val="center"/>
          </w:tcPr>
          <w:p w14:paraId="26667D3B">
            <w:pPr>
              <w:jc w:val="center"/>
              <w:rPr>
                <w:rFonts w:hint="eastAsia"/>
              </w:rPr>
            </w:pPr>
          </w:p>
        </w:tc>
        <w:tc>
          <w:tcPr>
            <w:tcW w:w="1691" w:type="dxa"/>
            <w:noWrap w:val="0"/>
            <w:vAlign w:val="center"/>
          </w:tcPr>
          <w:p w14:paraId="76CA9734">
            <w:pPr>
              <w:jc w:val="center"/>
              <w:rPr>
                <w:rFonts w:hint="eastAsia"/>
              </w:rPr>
            </w:pPr>
          </w:p>
        </w:tc>
        <w:tc>
          <w:tcPr>
            <w:tcW w:w="1692" w:type="dxa"/>
            <w:noWrap w:val="0"/>
            <w:vAlign w:val="center"/>
          </w:tcPr>
          <w:p w14:paraId="0C6A122B">
            <w:pPr>
              <w:jc w:val="center"/>
              <w:rPr>
                <w:rFonts w:hint="eastAsia"/>
              </w:rPr>
            </w:pPr>
          </w:p>
        </w:tc>
        <w:tc>
          <w:tcPr>
            <w:tcW w:w="1691" w:type="dxa"/>
            <w:noWrap w:val="0"/>
            <w:vAlign w:val="center"/>
          </w:tcPr>
          <w:p w14:paraId="146296B9">
            <w:pPr>
              <w:jc w:val="center"/>
              <w:rPr>
                <w:rFonts w:hint="eastAsia"/>
              </w:rPr>
            </w:pPr>
          </w:p>
        </w:tc>
        <w:tc>
          <w:tcPr>
            <w:tcW w:w="1692" w:type="dxa"/>
            <w:noWrap w:val="0"/>
            <w:vAlign w:val="center"/>
          </w:tcPr>
          <w:p w14:paraId="17610B39">
            <w:pPr>
              <w:jc w:val="center"/>
              <w:rPr>
                <w:rFonts w:hint="eastAsia"/>
              </w:rPr>
            </w:pPr>
          </w:p>
        </w:tc>
      </w:tr>
      <w:tr w14:paraId="2358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31522CEB">
            <w:pPr>
              <w:jc w:val="center"/>
              <w:rPr>
                <w:rFonts w:hint="eastAsia"/>
              </w:rPr>
            </w:pPr>
            <w:r>
              <w:rPr>
                <w:rFonts w:hint="eastAsia"/>
              </w:rPr>
              <w:t>各评委评分合计</w:t>
            </w:r>
          </w:p>
        </w:tc>
        <w:tc>
          <w:tcPr>
            <w:tcW w:w="1691" w:type="dxa"/>
            <w:noWrap w:val="0"/>
            <w:vAlign w:val="center"/>
          </w:tcPr>
          <w:p w14:paraId="7F98503A">
            <w:pPr>
              <w:jc w:val="center"/>
              <w:rPr>
                <w:rFonts w:hint="eastAsia"/>
              </w:rPr>
            </w:pPr>
          </w:p>
        </w:tc>
        <w:tc>
          <w:tcPr>
            <w:tcW w:w="1691" w:type="dxa"/>
            <w:noWrap w:val="0"/>
            <w:vAlign w:val="center"/>
          </w:tcPr>
          <w:p w14:paraId="40624790">
            <w:pPr>
              <w:jc w:val="center"/>
              <w:rPr>
                <w:rFonts w:hint="eastAsia"/>
              </w:rPr>
            </w:pPr>
          </w:p>
        </w:tc>
        <w:tc>
          <w:tcPr>
            <w:tcW w:w="1692" w:type="dxa"/>
            <w:noWrap w:val="0"/>
            <w:vAlign w:val="center"/>
          </w:tcPr>
          <w:p w14:paraId="68FBA604">
            <w:pPr>
              <w:jc w:val="center"/>
              <w:rPr>
                <w:rFonts w:hint="eastAsia"/>
              </w:rPr>
            </w:pPr>
          </w:p>
        </w:tc>
        <w:tc>
          <w:tcPr>
            <w:tcW w:w="1691" w:type="dxa"/>
            <w:noWrap w:val="0"/>
            <w:vAlign w:val="center"/>
          </w:tcPr>
          <w:p w14:paraId="40DA6780">
            <w:pPr>
              <w:jc w:val="center"/>
              <w:rPr>
                <w:rFonts w:hint="eastAsia"/>
              </w:rPr>
            </w:pPr>
          </w:p>
        </w:tc>
        <w:tc>
          <w:tcPr>
            <w:tcW w:w="1692" w:type="dxa"/>
            <w:noWrap w:val="0"/>
            <w:vAlign w:val="center"/>
          </w:tcPr>
          <w:p w14:paraId="04113540">
            <w:pPr>
              <w:jc w:val="center"/>
              <w:rPr>
                <w:rFonts w:hint="eastAsia"/>
              </w:rPr>
            </w:pPr>
          </w:p>
        </w:tc>
        <w:tc>
          <w:tcPr>
            <w:tcW w:w="1691" w:type="dxa"/>
            <w:noWrap w:val="0"/>
            <w:vAlign w:val="center"/>
          </w:tcPr>
          <w:p w14:paraId="473BC4A4">
            <w:pPr>
              <w:jc w:val="center"/>
              <w:rPr>
                <w:rFonts w:hint="eastAsia"/>
              </w:rPr>
            </w:pPr>
          </w:p>
        </w:tc>
        <w:tc>
          <w:tcPr>
            <w:tcW w:w="1692" w:type="dxa"/>
            <w:noWrap w:val="0"/>
            <w:vAlign w:val="center"/>
          </w:tcPr>
          <w:p w14:paraId="5C69FD8A">
            <w:pPr>
              <w:jc w:val="center"/>
              <w:rPr>
                <w:rFonts w:hint="eastAsia"/>
              </w:rPr>
            </w:pPr>
          </w:p>
        </w:tc>
      </w:tr>
      <w:tr w14:paraId="7DC93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24587D48">
            <w:pPr>
              <w:jc w:val="center"/>
              <w:rPr>
                <w:rFonts w:hint="eastAsia"/>
              </w:rPr>
            </w:pPr>
            <w:r>
              <w:rPr>
                <w:rFonts w:hint="eastAsia"/>
              </w:rPr>
              <w:t>各评委评分平均值</w:t>
            </w:r>
          </w:p>
        </w:tc>
        <w:tc>
          <w:tcPr>
            <w:tcW w:w="1691" w:type="dxa"/>
            <w:noWrap w:val="0"/>
            <w:vAlign w:val="center"/>
          </w:tcPr>
          <w:p w14:paraId="1C219F1F">
            <w:pPr>
              <w:jc w:val="center"/>
              <w:rPr>
                <w:rFonts w:hint="eastAsia"/>
              </w:rPr>
            </w:pPr>
          </w:p>
        </w:tc>
        <w:tc>
          <w:tcPr>
            <w:tcW w:w="1691" w:type="dxa"/>
            <w:noWrap w:val="0"/>
            <w:vAlign w:val="center"/>
          </w:tcPr>
          <w:p w14:paraId="1A4FA666">
            <w:pPr>
              <w:jc w:val="center"/>
              <w:rPr>
                <w:rFonts w:hint="eastAsia"/>
              </w:rPr>
            </w:pPr>
          </w:p>
        </w:tc>
        <w:tc>
          <w:tcPr>
            <w:tcW w:w="1692" w:type="dxa"/>
            <w:noWrap w:val="0"/>
            <w:vAlign w:val="center"/>
          </w:tcPr>
          <w:p w14:paraId="3B3D617B">
            <w:pPr>
              <w:jc w:val="center"/>
              <w:rPr>
                <w:rFonts w:hint="eastAsia"/>
              </w:rPr>
            </w:pPr>
          </w:p>
        </w:tc>
        <w:tc>
          <w:tcPr>
            <w:tcW w:w="1691" w:type="dxa"/>
            <w:noWrap w:val="0"/>
            <w:vAlign w:val="center"/>
          </w:tcPr>
          <w:p w14:paraId="430223F1">
            <w:pPr>
              <w:jc w:val="center"/>
              <w:rPr>
                <w:rFonts w:hint="eastAsia"/>
              </w:rPr>
            </w:pPr>
          </w:p>
        </w:tc>
        <w:tc>
          <w:tcPr>
            <w:tcW w:w="1692" w:type="dxa"/>
            <w:noWrap w:val="0"/>
            <w:vAlign w:val="center"/>
          </w:tcPr>
          <w:p w14:paraId="160A4305">
            <w:pPr>
              <w:jc w:val="center"/>
              <w:rPr>
                <w:rFonts w:hint="eastAsia"/>
              </w:rPr>
            </w:pPr>
          </w:p>
        </w:tc>
        <w:tc>
          <w:tcPr>
            <w:tcW w:w="1691" w:type="dxa"/>
            <w:noWrap w:val="0"/>
            <w:vAlign w:val="center"/>
          </w:tcPr>
          <w:p w14:paraId="3A377510">
            <w:pPr>
              <w:jc w:val="center"/>
              <w:rPr>
                <w:rFonts w:hint="eastAsia"/>
              </w:rPr>
            </w:pPr>
          </w:p>
        </w:tc>
        <w:tc>
          <w:tcPr>
            <w:tcW w:w="1692" w:type="dxa"/>
            <w:noWrap w:val="0"/>
            <w:vAlign w:val="center"/>
          </w:tcPr>
          <w:p w14:paraId="6B609E0C">
            <w:pPr>
              <w:jc w:val="center"/>
              <w:rPr>
                <w:rFonts w:hint="eastAsia"/>
              </w:rPr>
            </w:pPr>
          </w:p>
        </w:tc>
      </w:tr>
      <w:tr w14:paraId="08D0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08" w:type="dxa"/>
            <w:noWrap w:val="0"/>
            <w:vAlign w:val="center"/>
          </w:tcPr>
          <w:p w14:paraId="371FB5A1">
            <w:pPr>
              <w:jc w:val="center"/>
              <w:rPr>
                <w:rFonts w:hint="eastAsia"/>
              </w:rPr>
            </w:pPr>
            <w:r>
              <w:rPr>
                <w:rFonts w:hint="eastAsia"/>
              </w:rPr>
              <w:t>投标人最终排名次序</w:t>
            </w:r>
          </w:p>
        </w:tc>
        <w:tc>
          <w:tcPr>
            <w:tcW w:w="1691" w:type="dxa"/>
            <w:noWrap w:val="0"/>
            <w:vAlign w:val="center"/>
          </w:tcPr>
          <w:p w14:paraId="0A39C966">
            <w:pPr>
              <w:jc w:val="center"/>
              <w:rPr>
                <w:rFonts w:hint="eastAsia"/>
              </w:rPr>
            </w:pPr>
          </w:p>
        </w:tc>
        <w:tc>
          <w:tcPr>
            <w:tcW w:w="1691" w:type="dxa"/>
            <w:noWrap w:val="0"/>
            <w:vAlign w:val="center"/>
          </w:tcPr>
          <w:p w14:paraId="022F9072">
            <w:pPr>
              <w:jc w:val="center"/>
              <w:rPr>
                <w:rFonts w:hint="eastAsia"/>
              </w:rPr>
            </w:pPr>
          </w:p>
        </w:tc>
        <w:tc>
          <w:tcPr>
            <w:tcW w:w="1692" w:type="dxa"/>
            <w:noWrap w:val="0"/>
            <w:vAlign w:val="center"/>
          </w:tcPr>
          <w:p w14:paraId="64E71486">
            <w:pPr>
              <w:jc w:val="center"/>
              <w:rPr>
                <w:rFonts w:hint="eastAsia"/>
              </w:rPr>
            </w:pPr>
          </w:p>
        </w:tc>
        <w:tc>
          <w:tcPr>
            <w:tcW w:w="1691" w:type="dxa"/>
            <w:noWrap w:val="0"/>
            <w:vAlign w:val="center"/>
          </w:tcPr>
          <w:p w14:paraId="5CD367F1">
            <w:pPr>
              <w:jc w:val="center"/>
              <w:rPr>
                <w:rFonts w:hint="eastAsia"/>
              </w:rPr>
            </w:pPr>
          </w:p>
        </w:tc>
        <w:tc>
          <w:tcPr>
            <w:tcW w:w="1692" w:type="dxa"/>
            <w:noWrap w:val="0"/>
            <w:vAlign w:val="center"/>
          </w:tcPr>
          <w:p w14:paraId="181D705D">
            <w:pPr>
              <w:jc w:val="center"/>
              <w:rPr>
                <w:rFonts w:hint="eastAsia"/>
              </w:rPr>
            </w:pPr>
          </w:p>
        </w:tc>
        <w:tc>
          <w:tcPr>
            <w:tcW w:w="1691" w:type="dxa"/>
            <w:noWrap w:val="0"/>
            <w:vAlign w:val="center"/>
          </w:tcPr>
          <w:p w14:paraId="620D9932">
            <w:pPr>
              <w:jc w:val="center"/>
              <w:rPr>
                <w:rFonts w:hint="eastAsia"/>
              </w:rPr>
            </w:pPr>
          </w:p>
        </w:tc>
        <w:tc>
          <w:tcPr>
            <w:tcW w:w="1692" w:type="dxa"/>
            <w:noWrap w:val="0"/>
            <w:vAlign w:val="center"/>
          </w:tcPr>
          <w:p w14:paraId="1490EA24">
            <w:pPr>
              <w:jc w:val="center"/>
              <w:rPr>
                <w:rFonts w:hint="eastAsia"/>
              </w:rPr>
            </w:pPr>
          </w:p>
        </w:tc>
      </w:tr>
    </w:tbl>
    <w:p w14:paraId="74E84ED7">
      <w:pPr>
        <w:rPr>
          <w:rFonts w:hint="eastAsia"/>
        </w:rPr>
      </w:pPr>
    </w:p>
    <w:p w14:paraId="5E6CC7F6">
      <w:pPr>
        <w:rPr>
          <w:rFonts w:hint="eastAsia" w:eastAsia="宋体"/>
          <w:lang w:eastAsia="zh-CN"/>
        </w:rPr>
      </w:pPr>
      <w:r>
        <w:rPr>
          <w:rFonts w:hint="eastAsia"/>
        </w:rPr>
        <w:t>评标委员会全体成员签名：                                                                                   日期：    年   月   日</w:t>
      </w:r>
    </w:p>
    <w:p w14:paraId="7308343A">
      <w:pPr>
        <w:rPr>
          <w:rFonts w:hint="eastAsia" w:eastAsia="宋体"/>
          <w:lang w:eastAsia="zh-CN"/>
        </w:rPr>
      </w:pPr>
    </w:p>
    <w:p w14:paraId="4C480B61">
      <w:pPr>
        <w:rPr>
          <w:rFonts w:hint="eastAsia" w:eastAsia="宋体"/>
          <w:lang w:eastAsia="zh-CN"/>
        </w:rPr>
      </w:pPr>
    </w:p>
    <w:p w14:paraId="739B0115">
      <w:pPr>
        <w:rPr>
          <w:rFonts w:hint="eastAsia"/>
        </w:rPr>
      </w:pPr>
    </w:p>
    <w:p w14:paraId="3E3C1C24">
      <w:pPr>
        <w:rPr>
          <w:rFonts w:hint="eastAsia"/>
        </w:rPr>
      </w:pPr>
      <w:r>
        <w:rPr>
          <w:rFonts w:hint="eastAsia"/>
        </w:rPr>
        <w:t>备注：本表适用于办法一、二、三、四、五、六、七。</w:t>
      </w:r>
    </w:p>
    <w:p w14:paraId="4A64F892">
      <w:pPr>
        <w:pStyle w:val="20"/>
        <w:rPr>
          <w:rFonts w:hint="eastAsia" w:ascii="黑体"/>
        </w:rPr>
      </w:pPr>
      <w:bookmarkStart w:id="439" w:name="_Toc108513666"/>
      <w:r>
        <w:rPr>
          <w:rFonts w:hint="eastAsia"/>
        </w:rPr>
        <w:t>附表A-13：评标结果汇总表</w:t>
      </w:r>
      <w:bookmarkEnd w:id="439"/>
    </w:p>
    <w:p w14:paraId="55630F20">
      <w:pPr>
        <w:spacing w:after="240" w:afterLines="100"/>
        <w:jc w:val="center"/>
        <w:rPr>
          <w:rFonts w:hint="eastAsia" w:ascii="黑体" w:eastAsia="黑体"/>
          <w:sz w:val="36"/>
          <w:szCs w:val="36"/>
        </w:rPr>
      </w:pPr>
      <w:r>
        <w:rPr>
          <w:rFonts w:hint="eastAsia" w:ascii="黑体" w:eastAsia="黑体"/>
          <w:sz w:val="36"/>
          <w:szCs w:val="36"/>
        </w:rPr>
        <w:t>评标结果汇总表</w:t>
      </w:r>
    </w:p>
    <w:p w14:paraId="5955E189">
      <w:pPr>
        <w:spacing w:after="240" w:afterLines="100"/>
        <w:rPr>
          <w:rFonts w:hint="eastAsia"/>
        </w:rPr>
      </w:pPr>
      <w:r>
        <w:rPr>
          <w:rFonts w:hint="eastAsia" w:ascii="宋体" w:hAnsi="宋体"/>
          <w:szCs w:val="44"/>
        </w:rPr>
        <w:t>工程名称：</w:t>
      </w:r>
      <w:r>
        <w:rPr>
          <w:rFonts w:hint="eastAsia" w:ascii="宋体" w:hAnsi="宋体"/>
          <w:szCs w:val="44"/>
          <w:u w:val="single"/>
        </w:rPr>
        <w:t xml:space="preserve">               </w:t>
      </w:r>
      <w:r>
        <w:rPr>
          <w:rFonts w:hint="eastAsia" w:ascii="宋体" w:hAnsi="宋体"/>
          <w:szCs w:val="44"/>
        </w:rPr>
        <w:t>(项目名称)</w:t>
      </w:r>
      <w:r>
        <w:rPr>
          <w:rFonts w:hint="eastAsia" w:ascii="宋体" w:hAnsi="宋体"/>
          <w:szCs w:val="44"/>
          <w:u w:val="single"/>
        </w:rPr>
        <w:t xml:space="preserve">       </w:t>
      </w:r>
      <w:r>
        <w:rPr>
          <w:rFonts w:hint="eastAsia"/>
        </w:rPr>
        <w:t>（标段名称）</w:t>
      </w:r>
      <w:r>
        <w:rPr>
          <w:rFonts w:hint="eastAsia" w:ascii="宋体" w:hAnsi="宋体"/>
          <w:szCs w:val="44"/>
        </w:rPr>
        <w:t xml:space="preserve">      　　　　　　　　　　　　　　　　　　　　　 </w:t>
      </w:r>
      <w:r>
        <w:rPr>
          <w:rFonts w:hint="eastAsia"/>
        </w:rPr>
        <w:t>单位：人民币元</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177"/>
        <w:gridCol w:w="1178"/>
        <w:gridCol w:w="1178"/>
        <w:gridCol w:w="1177"/>
        <w:gridCol w:w="1178"/>
        <w:gridCol w:w="1178"/>
        <w:gridCol w:w="1177"/>
        <w:gridCol w:w="1178"/>
        <w:gridCol w:w="1178"/>
      </w:tblGrid>
      <w:tr w14:paraId="61B2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8" w:type="dxa"/>
            <w:vMerge w:val="restart"/>
            <w:noWrap w:val="0"/>
            <w:vAlign w:val="center"/>
          </w:tcPr>
          <w:p w14:paraId="474BABC0">
            <w:pPr>
              <w:jc w:val="center"/>
              <w:rPr>
                <w:rFonts w:hint="eastAsia"/>
              </w:rPr>
            </w:pPr>
            <w:r>
              <w:rPr>
                <w:rFonts w:hint="eastAsia"/>
              </w:rPr>
              <w:t>项目</w:t>
            </w:r>
          </w:p>
        </w:tc>
        <w:tc>
          <w:tcPr>
            <w:tcW w:w="10599" w:type="dxa"/>
            <w:gridSpan w:val="9"/>
            <w:noWrap w:val="0"/>
            <w:vAlign w:val="center"/>
          </w:tcPr>
          <w:p w14:paraId="1A88896A">
            <w:pPr>
              <w:jc w:val="center"/>
              <w:rPr>
                <w:rFonts w:hint="eastAsia"/>
              </w:rPr>
            </w:pPr>
            <w:r>
              <w:rPr>
                <w:rFonts w:hint="eastAsia"/>
              </w:rPr>
              <w:t>投标人名称</w:t>
            </w:r>
          </w:p>
        </w:tc>
      </w:tr>
      <w:tr w14:paraId="739B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168" w:type="dxa"/>
            <w:vMerge w:val="continue"/>
            <w:noWrap w:val="0"/>
            <w:vAlign w:val="center"/>
          </w:tcPr>
          <w:p w14:paraId="593BED2A">
            <w:pPr>
              <w:jc w:val="center"/>
              <w:rPr>
                <w:rFonts w:hint="eastAsia"/>
              </w:rPr>
            </w:pPr>
          </w:p>
        </w:tc>
        <w:tc>
          <w:tcPr>
            <w:tcW w:w="1177" w:type="dxa"/>
            <w:noWrap w:val="0"/>
            <w:vAlign w:val="center"/>
          </w:tcPr>
          <w:p w14:paraId="5FCB28FB">
            <w:pPr>
              <w:jc w:val="center"/>
              <w:rPr>
                <w:rFonts w:hint="eastAsia"/>
              </w:rPr>
            </w:pPr>
          </w:p>
        </w:tc>
        <w:tc>
          <w:tcPr>
            <w:tcW w:w="1178" w:type="dxa"/>
            <w:noWrap w:val="0"/>
            <w:vAlign w:val="center"/>
          </w:tcPr>
          <w:p w14:paraId="295A9C49">
            <w:pPr>
              <w:jc w:val="center"/>
              <w:rPr>
                <w:rFonts w:hint="eastAsia"/>
              </w:rPr>
            </w:pPr>
          </w:p>
        </w:tc>
        <w:tc>
          <w:tcPr>
            <w:tcW w:w="1178" w:type="dxa"/>
            <w:noWrap w:val="0"/>
            <w:vAlign w:val="center"/>
          </w:tcPr>
          <w:p w14:paraId="1705D1CF">
            <w:pPr>
              <w:jc w:val="center"/>
              <w:rPr>
                <w:rFonts w:hint="eastAsia"/>
              </w:rPr>
            </w:pPr>
          </w:p>
        </w:tc>
        <w:tc>
          <w:tcPr>
            <w:tcW w:w="1177" w:type="dxa"/>
            <w:noWrap w:val="0"/>
            <w:vAlign w:val="center"/>
          </w:tcPr>
          <w:p w14:paraId="4D4907BA">
            <w:pPr>
              <w:jc w:val="center"/>
              <w:rPr>
                <w:rFonts w:hint="eastAsia"/>
              </w:rPr>
            </w:pPr>
          </w:p>
        </w:tc>
        <w:tc>
          <w:tcPr>
            <w:tcW w:w="1178" w:type="dxa"/>
            <w:noWrap w:val="0"/>
            <w:vAlign w:val="center"/>
          </w:tcPr>
          <w:p w14:paraId="557A8205">
            <w:pPr>
              <w:jc w:val="center"/>
              <w:rPr>
                <w:rFonts w:hint="eastAsia"/>
              </w:rPr>
            </w:pPr>
          </w:p>
        </w:tc>
        <w:tc>
          <w:tcPr>
            <w:tcW w:w="1178" w:type="dxa"/>
            <w:noWrap w:val="0"/>
            <w:vAlign w:val="center"/>
          </w:tcPr>
          <w:p w14:paraId="7ABD5785">
            <w:pPr>
              <w:jc w:val="center"/>
              <w:rPr>
                <w:rFonts w:hint="eastAsia"/>
              </w:rPr>
            </w:pPr>
          </w:p>
        </w:tc>
        <w:tc>
          <w:tcPr>
            <w:tcW w:w="1177" w:type="dxa"/>
            <w:noWrap w:val="0"/>
            <w:vAlign w:val="center"/>
          </w:tcPr>
          <w:p w14:paraId="308429DE">
            <w:pPr>
              <w:jc w:val="center"/>
              <w:rPr>
                <w:rFonts w:hint="eastAsia"/>
              </w:rPr>
            </w:pPr>
          </w:p>
        </w:tc>
        <w:tc>
          <w:tcPr>
            <w:tcW w:w="1178" w:type="dxa"/>
            <w:noWrap w:val="0"/>
            <w:vAlign w:val="center"/>
          </w:tcPr>
          <w:p w14:paraId="7B6811B8">
            <w:pPr>
              <w:jc w:val="center"/>
              <w:rPr>
                <w:rFonts w:hint="eastAsia"/>
              </w:rPr>
            </w:pPr>
          </w:p>
        </w:tc>
        <w:tc>
          <w:tcPr>
            <w:tcW w:w="1178" w:type="dxa"/>
            <w:noWrap w:val="0"/>
            <w:vAlign w:val="center"/>
          </w:tcPr>
          <w:p w14:paraId="3D55B206">
            <w:pPr>
              <w:jc w:val="center"/>
              <w:rPr>
                <w:rFonts w:hint="eastAsia"/>
              </w:rPr>
            </w:pPr>
          </w:p>
        </w:tc>
      </w:tr>
      <w:tr w14:paraId="75C8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168" w:type="dxa"/>
            <w:noWrap w:val="0"/>
            <w:vAlign w:val="center"/>
          </w:tcPr>
          <w:p w14:paraId="27A01D23">
            <w:pPr>
              <w:jc w:val="center"/>
              <w:rPr>
                <w:rFonts w:hint="eastAsia"/>
              </w:rPr>
            </w:pPr>
            <w:r>
              <w:rPr>
                <w:rFonts w:hint="eastAsia"/>
              </w:rPr>
              <w:t>投标报价</w:t>
            </w:r>
          </w:p>
        </w:tc>
        <w:tc>
          <w:tcPr>
            <w:tcW w:w="1177" w:type="dxa"/>
            <w:noWrap w:val="0"/>
            <w:vAlign w:val="center"/>
          </w:tcPr>
          <w:p w14:paraId="75B3626B">
            <w:pPr>
              <w:jc w:val="center"/>
              <w:rPr>
                <w:rFonts w:hint="eastAsia"/>
              </w:rPr>
            </w:pPr>
          </w:p>
        </w:tc>
        <w:tc>
          <w:tcPr>
            <w:tcW w:w="1178" w:type="dxa"/>
            <w:noWrap w:val="0"/>
            <w:vAlign w:val="center"/>
          </w:tcPr>
          <w:p w14:paraId="0FB973F1">
            <w:pPr>
              <w:jc w:val="center"/>
              <w:rPr>
                <w:rFonts w:hint="eastAsia"/>
              </w:rPr>
            </w:pPr>
          </w:p>
        </w:tc>
        <w:tc>
          <w:tcPr>
            <w:tcW w:w="1178" w:type="dxa"/>
            <w:noWrap w:val="0"/>
            <w:vAlign w:val="center"/>
          </w:tcPr>
          <w:p w14:paraId="296311BB">
            <w:pPr>
              <w:jc w:val="center"/>
              <w:rPr>
                <w:rFonts w:hint="eastAsia"/>
              </w:rPr>
            </w:pPr>
          </w:p>
        </w:tc>
        <w:tc>
          <w:tcPr>
            <w:tcW w:w="1177" w:type="dxa"/>
            <w:noWrap w:val="0"/>
            <w:vAlign w:val="center"/>
          </w:tcPr>
          <w:p w14:paraId="0B94672F">
            <w:pPr>
              <w:jc w:val="center"/>
              <w:rPr>
                <w:rFonts w:hint="eastAsia"/>
              </w:rPr>
            </w:pPr>
          </w:p>
        </w:tc>
        <w:tc>
          <w:tcPr>
            <w:tcW w:w="1178" w:type="dxa"/>
            <w:noWrap w:val="0"/>
            <w:vAlign w:val="center"/>
          </w:tcPr>
          <w:p w14:paraId="5C051B7B">
            <w:pPr>
              <w:jc w:val="center"/>
              <w:rPr>
                <w:rFonts w:hint="eastAsia"/>
              </w:rPr>
            </w:pPr>
          </w:p>
        </w:tc>
        <w:tc>
          <w:tcPr>
            <w:tcW w:w="1178" w:type="dxa"/>
            <w:noWrap w:val="0"/>
            <w:vAlign w:val="center"/>
          </w:tcPr>
          <w:p w14:paraId="39864FAE">
            <w:pPr>
              <w:jc w:val="center"/>
              <w:rPr>
                <w:rFonts w:hint="eastAsia"/>
              </w:rPr>
            </w:pPr>
          </w:p>
        </w:tc>
        <w:tc>
          <w:tcPr>
            <w:tcW w:w="1177" w:type="dxa"/>
            <w:noWrap w:val="0"/>
            <w:vAlign w:val="center"/>
          </w:tcPr>
          <w:p w14:paraId="5F71F23F">
            <w:pPr>
              <w:jc w:val="center"/>
              <w:rPr>
                <w:rFonts w:hint="eastAsia"/>
              </w:rPr>
            </w:pPr>
          </w:p>
        </w:tc>
        <w:tc>
          <w:tcPr>
            <w:tcW w:w="1178" w:type="dxa"/>
            <w:noWrap w:val="0"/>
            <w:vAlign w:val="center"/>
          </w:tcPr>
          <w:p w14:paraId="51A014FE">
            <w:pPr>
              <w:jc w:val="center"/>
              <w:rPr>
                <w:rFonts w:hint="eastAsia"/>
              </w:rPr>
            </w:pPr>
          </w:p>
        </w:tc>
        <w:tc>
          <w:tcPr>
            <w:tcW w:w="1178" w:type="dxa"/>
            <w:noWrap w:val="0"/>
            <w:vAlign w:val="center"/>
          </w:tcPr>
          <w:p w14:paraId="7DA585C8">
            <w:pPr>
              <w:jc w:val="center"/>
              <w:rPr>
                <w:rFonts w:hint="eastAsia"/>
              </w:rPr>
            </w:pPr>
          </w:p>
        </w:tc>
      </w:tr>
      <w:tr w14:paraId="4BD9D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168" w:type="dxa"/>
            <w:noWrap w:val="0"/>
            <w:vAlign w:val="center"/>
          </w:tcPr>
          <w:p w14:paraId="0212DB2C">
            <w:pPr>
              <w:spacing w:after="120" w:afterLines="50"/>
              <w:jc w:val="center"/>
              <w:rPr>
                <w:rFonts w:hint="eastAsia" w:ascii="宋体" w:hAnsi="宋体" w:cs="Arial"/>
                <w:szCs w:val="21"/>
              </w:rPr>
            </w:pPr>
            <w:r>
              <w:rPr>
                <w:rFonts w:hint="eastAsia" w:ascii="宋体" w:hAnsi="宋体" w:cs="Arial"/>
                <w:szCs w:val="21"/>
              </w:rPr>
              <w:t>修正后投标报价（如有）</w:t>
            </w:r>
          </w:p>
        </w:tc>
        <w:tc>
          <w:tcPr>
            <w:tcW w:w="1177" w:type="dxa"/>
            <w:noWrap w:val="0"/>
            <w:vAlign w:val="center"/>
          </w:tcPr>
          <w:p w14:paraId="6054CAF6">
            <w:pPr>
              <w:jc w:val="center"/>
              <w:rPr>
                <w:rFonts w:hint="eastAsia"/>
              </w:rPr>
            </w:pPr>
          </w:p>
        </w:tc>
        <w:tc>
          <w:tcPr>
            <w:tcW w:w="1178" w:type="dxa"/>
            <w:noWrap w:val="0"/>
            <w:vAlign w:val="center"/>
          </w:tcPr>
          <w:p w14:paraId="5FE292A8">
            <w:pPr>
              <w:jc w:val="center"/>
              <w:rPr>
                <w:rFonts w:hint="eastAsia"/>
              </w:rPr>
            </w:pPr>
          </w:p>
        </w:tc>
        <w:tc>
          <w:tcPr>
            <w:tcW w:w="1178" w:type="dxa"/>
            <w:noWrap w:val="0"/>
            <w:vAlign w:val="center"/>
          </w:tcPr>
          <w:p w14:paraId="0983D274">
            <w:pPr>
              <w:jc w:val="center"/>
              <w:rPr>
                <w:rFonts w:hint="eastAsia"/>
              </w:rPr>
            </w:pPr>
          </w:p>
        </w:tc>
        <w:tc>
          <w:tcPr>
            <w:tcW w:w="1177" w:type="dxa"/>
            <w:noWrap w:val="0"/>
            <w:vAlign w:val="center"/>
          </w:tcPr>
          <w:p w14:paraId="3713A376">
            <w:pPr>
              <w:jc w:val="center"/>
              <w:rPr>
                <w:rFonts w:hint="eastAsia"/>
              </w:rPr>
            </w:pPr>
          </w:p>
        </w:tc>
        <w:tc>
          <w:tcPr>
            <w:tcW w:w="1178" w:type="dxa"/>
            <w:noWrap w:val="0"/>
            <w:vAlign w:val="center"/>
          </w:tcPr>
          <w:p w14:paraId="2E336D6B">
            <w:pPr>
              <w:jc w:val="center"/>
              <w:rPr>
                <w:rFonts w:hint="eastAsia"/>
              </w:rPr>
            </w:pPr>
          </w:p>
        </w:tc>
        <w:tc>
          <w:tcPr>
            <w:tcW w:w="1178" w:type="dxa"/>
            <w:noWrap w:val="0"/>
            <w:vAlign w:val="center"/>
          </w:tcPr>
          <w:p w14:paraId="4DA1D42C">
            <w:pPr>
              <w:jc w:val="center"/>
              <w:rPr>
                <w:rFonts w:hint="eastAsia"/>
              </w:rPr>
            </w:pPr>
          </w:p>
        </w:tc>
        <w:tc>
          <w:tcPr>
            <w:tcW w:w="1177" w:type="dxa"/>
            <w:noWrap w:val="0"/>
            <w:vAlign w:val="center"/>
          </w:tcPr>
          <w:p w14:paraId="0799475B">
            <w:pPr>
              <w:jc w:val="center"/>
              <w:rPr>
                <w:rFonts w:hint="eastAsia"/>
              </w:rPr>
            </w:pPr>
          </w:p>
        </w:tc>
        <w:tc>
          <w:tcPr>
            <w:tcW w:w="1178" w:type="dxa"/>
            <w:noWrap w:val="0"/>
            <w:vAlign w:val="center"/>
          </w:tcPr>
          <w:p w14:paraId="52C6568D">
            <w:pPr>
              <w:jc w:val="center"/>
              <w:rPr>
                <w:rFonts w:hint="eastAsia"/>
              </w:rPr>
            </w:pPr>
          </w:p>
        </w:tc>
        <w:tc>
          <w:tcPr>
            <w:tcW w:w="1178" w:type="dxa"/>
            <w:noWrap w:val="0"/>
            <w:vAlign w:val="center"/>
          </w:tcPr>
          <w:p w14:paraId="4DDD6544">
            <w:pPr>
              <w:jc w:val="center"/>
              <w:rPr>
                <w:rFonts w:hint="eastAsia"/>
              </w:rPr>
            </w:pPr>
          </w:p>
        </w:tc>
      </w:tr>
      <w:tr w14:paraId="6220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42C803F2">
            <w:pPr>
              <w:jc w:val="center"/>
              <w:rPr>
                <w:rFonts w:hint="eastAsia"/>
              </w:rPr>
            </w:pPr>
            <w:r>
              <w:rPr>
                <w:rFonts w:hint="eastAsia" w:ascii="宋体" w:hAnsi="宋体" w:cs="Arial"/>
                <w:szCs w:val="21"/>
              </w:rPr>
              <w:t>评标价</w:t>
            </w:r>
          </w:p>
        </w:tc>
        <w:tc>
          <w:tcPr>
            <w:tcW w:w="1177" w:type="dxa"/>
            <w:noWrap w:val="0"/>
            <w:vAlign w:val="center"/>
          </w:tcPr>
          <w:p w14:paraId="6C938D7D">
            <w:pPr>
              <w:jc w:val="center"/>
              <w:rPr>
                <w:rFonts w:hint="eastAsia"/>
              </w:rPr>
            </w:pPr>
          </w:p>
        </w:tc>
        <w:tc>
          <w:tcPr>
            <w:tcW w:w="1178" w:type="dxa"/>
            <w:noWrap w:val="0"/>
            <w:vAlign w:val="center"/>
          </w:tcPr>
          <w:p w14:paraId="5456D224">
            <w:pPr>
              <w:jc w:val="center"/>
              <w:rPr>
                <w:rFonts w:hint="eastAsia"/>
              </w:rPr>
            </w:pPr>
          </w:p>
        </w:tc>
        <w:tc>
          <w:tcPr>
            <w:tcW w:w="1178" w:type="dxa"/>
            <w:noWrap w:val="0"/>
            <w:vAlign w:val="center"/>
          </w:tcPr>
          <w:p w14:paraId="683B39EA">
            <w:pPr>
              <w:jc w:val="center"/>
              <w:rPr>
                <w:rFonts w:hint="eastAsia"/>
              </w:rPr>
            </w:pPr>
          </w:p>
        </w:tc>
        <w:tc>
          <w:tcPr>
            <w:tcW w:w="1177" w:type="dxa"/>
            <w:noWrap w:val="0"/>
            <w:vAlign w:val="center"/>
          </w:tcPr>
          <w:p w14:paraId="193DBFAE">
            <w:pPr>
              <w:jc w:val="center"/>
              <w:rPr>
                <w:rFonts w:hint="eastAsia"/>
              </w:rPr>
            </w:pPr>
          </w:p>
        </w:tc>
        <w:tc>
          <w:tcPr>
            <w:tcW w:w="1178" w:type="dxa"/>
            <w:noWrap w:val="0"/>
            <w:vAlign w:val="center"/>
          </w:tcPr>
          <w:p w14:paraId="408BCCB6">
            <w:pPr>
              <w:jc w:val="center"/>
              <w:rPr>
                <w:rFonts w:hint="eastAsia"/>
              </w:rPr>
            </w:pPr>
          </w:p>
        </w:tc>
        <w:tc>
          <w:tcPr>
            <w:tcW w:w="1178" w:type="dxa"/>
            <w:noWrap w:val="0"/>
            <w:vAlign w:val="center"/>
          </w:tcPr>
          <w:p w14:paraId="139BFFE8">
            <w:pPr>
              <w:jc w:val="center"/>
              <w:rPr>
                <w:rFonts w:hint="eastAsia"/>
              </w:rPr>
            </w:pPr>
          </w:p>
        </w:tc>
        <w:tc>
          <w:tcPr>
            <w:tcW w:w="1177" w:type="dxa"/>
            <w:noWrap w:val="0"/>
            <w:vAlign w:val="center"/>
          </w:tcPr>
          <w:p w14:paraId="475222D3">
            <w:pPr>
              <w:jc w:val="center"/>
              <w:rPr>
                <w:rFonts w:hint="eastAsia"/>
              </w:rPr>
            </w:pPr>
          </w:p>
        </w:tc>
        <w:tc>
          <w:tcPr>
            <w:tcW w:w="1178" w:type="dxa"/>
            <w:noWrap w:val="0"/>
            <w:vAlign w:val="center"/>
          </w:tcPr>
          <w:p w14:paraId="6B378EC6">
            <w:pPr>
              <w:jc w:val="center"/>
              <w:rPr>
                <w:rFonts w:hint="eastAsia"/>
              </w:rPr>
            </w:pPr>
          </w:p>
        </w:tc>
        <w:tc>
          <w:tcPr>
            <w:tcW w:w="1178" w:type="dxa"/>
            <w:noWrap w:val="0"/>
            <w:vAlign w:val="center"/>
          </w:tcPr>
          <w:p w14:paraId="27E64A51">
            <w:pPr>
              <w:jc w:val="center"/>
              <w:rPr>
                <w:rFonts w:hint="eastAsia"/>
              </w:rPr>
            </w:pPr>
          </w:p>
        </w:tc>
      </w:tr>
      <w:tr w14:paraId="2D659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168" w:type="dxa"/>
            <w:noWrap w:val="0"/>
            <w:vAlign w:val="center"/>
          </w:tcPr>
          <w:p w14:paraId="4524F8BA">
            <w:pPr>
              <w:jc w:val="center"/>
              <w:rPr>
                <w:rFonts w:hint="eastAsia"/>
              </w:rPr>
            </w:pPr>
            <w:r>
              <w:rPr>
                <w:rFonts w:hint="eastAsia"/>
              </w:rPr>
              <w:t>评标基准价</w:t>
            </w:r>
          </w:p>
        </w:tc>
        <w:tc>
          <w:tcPr>
            <w:tcW w:w="10599" w:type="dxa"/>
            <w:gridSpan w:val="9"/>
            <w:noWrap w:val="0"/>
            <w:vAlign w:val="center"/>
          </w:tcPr>
          <w:p w14:paraId="4A1F1C44">
            <w:pPr>
              <w:jc w:val="center"/>
              <w:rPr>
                <w:rFonts w:hint="eastAsia"/>
              </w:rPr>
            </w:pPr>
          </w:p>
        </w:tc>
      </w:tr>
      <w:tr w14:paraId="37D2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64049A49">
            <w:pPr>
              <w:jc w:val="center"/>
              <w:rPr>
                <w:rFonts w:hint="eastAsia"/>
              </w:rPr>
            </w:pPr>
            <w:r>
              <w:rPr>
                <w:rFonts w:hint="eastAsia"/>
              </w:rPr>
              <w:t>偏差率</w:t>
            </w:r>
          </w:p>
        </w:tc>
        <w:tc>
          <w:tcPr>
            <w:tcW w:w="1177" w:type="dxa"/>
            <w:noWrap w:val="0"/>
            <w:vAlign w:val="center"/>
          </w:tcPr>
          <w:p w14:paraId="1921D4DA">
            <w:pPr>
              <w:jc w:val="center"/>
              <w:rPr>
                <w:rFonts w:hint="eastAsia"/>
              </w:rPr>
            </w:pPr>
          </w:p>
        </w:tc>
        <w:tc>
          <w:tcPr>
            <w:tcW w:w="1178" w:type="dxa"/>
            <w:noWrap w:val="0"/>
            <w:vAlign w:val="center"/>
          </w:tcPr>
          <w:p w14:paraId="0DEB814B">
            <w:pPr>
              <w:jc w:val="center"/>
              <w:rPr>
                <w:rFonts w:hint="eastAsia"/>
              </w:rPr>
            </w:pPr>
          </w:p>
        </w:tc>
        <w:tc>
          <w:tcPr>
            <w:tcW w:w="1178" w:type="dxa"/>
            <w:noWrap w:val="0"/>
            <w:vAlign w:val="center"/>
          </w:tcPr>
          <w:p w14:paraId="4250B4DD">
            <w:pPr>
              <w:jc w:val="center"/>
              <w:rPr>
                <w:rFonts w:hint="eastAsia"/>
              </w:rPr>
            </w:pPr>
          </w:p>
        </w:tc>
        <w:tc>
          <w:tcPr>
            <w:tcW w:w="1177" w:type="dxa"/>
            <w:noWrap w:val="0"/>
            <w:vAlign w:val="center"/>
          </w:tcPr>
          <w:p w14:paraId="2C4BDFD9">
            <w:pPr>
              <w:jc w:val="center"/>
              <w:rPr>
                <w:rFonts w:hint="eastAsia"/>
              </w:rPr>
            </w:pPr>
          </w:p>
        </w:tc>
        <w:tc>
          <w:tcPr>
            <w:tcW w:w="1178" w:type="dxa"/>
            <w:noWrap w:val="0"/>
            <w:vAlign w:val="center"/>
          </w:tcPr>
          <w:p w14:paraId="0A5C9431">
            <w:pPr>
              <w:jc w:val="center"/>
              <w:rPr>
                <w:rFonts w:hint="eastAsia"/>
              </w:rPr>
            </w:pPr>
          </w:p>
        </w:tc>
        <w:tc>
          <w:tcPr>
            <w:tcW w:w="1178" w:type="dxa"/>
            <w:noWrap w:val="0"/>
            <w:vAlign w:val="center"/>
          </w:tcPr>
          <w:p w14:paraId="14390805">
            <w:pPr>
              <w:jc w:val="center"/>
              <w:rPr>
                <w:rFonts w:hint="eastAsia"/>
              </w:rPr>
            </w:pPr>
          </w:p>
        </w:tc>
        <w:tc>
          <w:tcPr>
            <w:tcW w:w="1177" w:type="dxa"/>
            <w:noWrap w:val="0"/>
            <w:vAlign w:val="center"/>
          </w:tcPr>
          <w:p w14:paraId="08D30DBA">
            <w:pPr>
              <w:jc w:val="center"/>
              <w:rPr>
                <w:rFonts w:hint="eastAsia"/>
              </w:rPr>
            </w:pPr>
          </w:p>
        </w:tc>
        <w:tc>
          <w:tcPr>
            <w:tcW w:w="1178" w:type="dxa"/>
            <w:noWrap w:val="0"/>
            <w:vAlign w:val="center"/>
          </w:tcPr>
          <w:p w14:paraId="6C9C29A4">
            <w:pPr>
              <w:jc w:val="center"/>
              <w:rPr>
                <w:rFonts w:hint="eastAsia"/>
              </w:rPr>
            </w:pPr>
          </w:p>
        </w:tc>
        <w:tc>
          <w:tcPr>
            <w:tcW w:w="1178" w:type="dxa"/>
            <w:noWrap w:val="0"/>
            <w:vAlign w:val="center"/>
          </w:tcPr>
          <w:p w14:paraId="36798C13">
            <w:pPr>
              <w:jc w:val="center"/>
              <w:rPr>
                <w:rFonts w:hint="eastAsia"/>
              </w:rPr>
            </w:pPr>
          </w:p>
        </w:tc>
      </w:tr>
      <w:tr w14:paraId="11FF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168" w:type="dxa"/>
            <w:noWrap w:val="0"/>
            <w:vAlign w:val="center"/>
          </w:tcPr>
          <w:p w14:paraId="36C71721">
            <w:pPr>
              <w:jc w:val="center"/>
              <w:rPr>
                <w:rFonts w:hint="eastAsia"/>
              </w:rPr>
            </w:pPr>
            <w:r>
              <w:rPr>
                <w:rFonts w:hint="eastAsia"/>
              </w:rPr>
              <w:t>招标控制价</w:t>
            </w:r>
          </w:p>
        </w:tc>
        <w:tc>
          <w:tcPr>
            <w:tcW w:w="10599" w:type="dxa"/>
            <w:gridSpan w:val="9"/>
            <w:noWrap w:val="0"/>
            <w:vAlign w:val="center"/>
          </w:tcPr>
          <w:p w14:paraId="74798011">
            <w:pPr>
              <w:jc w:val="center"/>
              <w:rPr>
                <w:rFonts w:hint="eastAsia"/>
              </w:rPr>
            </w:pPr>
          </w:p>
        </w:tc>
      </w:tr>
      <w:tr w14:paraId="6E0E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168" w:type="dxa"/>
            <w:noWrap w:val="0"/>
            <w:vAlign w:val="center"/>
          </w:tcPr>
          <w:p w14:paraId="56A7FCCB">
            <w:pPr>
              <w:jc w:val="center"/>
              <w:rPr>
                <w:rFonts w:hint="eastAsia"/>
              </w:rPr>
            </w:pPr>
            <w:r>
              <w:rPr>
                <w:rFonts w:hint="eastAsia" w:ascii="宋体" w:hAnsi="宋体" w:cs="Arial"/>
                <w:szCs w:val="21"/>
              </w:rPr>
              <w:t>*期望合理价</w:t>
            </w:r>
          </w:p>
        </w:tc>
        <w:tc>
          <w:tcPr>
            <w:tcW w:w="10599" w:type="dxa"/>
            <w:gridSpan w:val="9"/>
            <w:noWrap w:val="0"/>
            <w:vAlign w:val="center"/>
          </w:tcPr>
          <w:p w14:paraId="0784A427">
            <w:pPr>
              <w:jc w:val="center"/>
              <w:rPr>
                <w:rFonts w:hint="eastAsia"/>
              </w:rPr>
            </w:pPr>
          </w:p>
        </w:tc>
      </w:tr>
      <w:tr w14:paraId="67C2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168" w:type="dxa"/>
            <w:noWrap w:val="0"/>
            <w:vAlign w:val="center"/>
          </w:tcPr>
          <w:p w14:paraId="37E993FE">
            <w:pPr>
              <w:jc w:val="center"/>
              <w:rPr>
                <w:rFonts w:hint="eastAsia"/>
              </w:rPr>
            </w:pPr>
            <w:r>
              <w:rPr>
                <w:rFonts w:hint="eastAsia" w:ascii="宋体" w:hAnsi="宋体" w:cs="Arial"/>
                <w:szCs w:val="21"/>
              </w:rPr>
              <w:t>*确定</w:t>
            </w:r>
            <w:r>
              <w:rPr>
                <w:rFonts w:hint="eastAsia"/>
              </w:rPr>
              <w:t>有效评标价</w:t>
            </w:r>
          </w:p>
        </w:tc>
        <w:tc>
          <w:tcPr>
            <w:tcW w:w="10599" w:type="dxa"/>
            <w:gridSpan w:val="9"/>
            <w:noWrap w:val="0"/>
            <w:vAlign w:val="center"/>
          </w:tcPr>
          <w:p w14:paraId="238EDD67">
            <w:pPr>
              <w:jc w:val="center"/>
              <w:rPr>
                <w:rFonts w:hint="eastAsia"/>
              </w:rPr>
            </w:pPr>
          </w:p>
        </w:tc>
      </w:tr>
      <w:tr w14:paraId="6D4F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168" w:type="dxa"/>
            <w:noWrap w:val="0"/>
            <w:vAlign w:val="center"/>
          </w:tcPr>
          <w:p w14:paraId="3AB9DCC2">
            <w:pPr>
              <w:jc w:val="center"/>
              <w:rPr>
                <w:rFonts w:hint="eastAsia"/>
              </w:rPr>
            </w:pPr>
            <w:r>
              <w:rPr>
                <w:rFonts w:hint="eastAsia" w:ascii="宋体" w:hAnsi="宋体" w:cs="Arial"/>
                <w:szCs w:val="21"/>
              </w:rPr>
              <w:t>*</w:t>
            </w:r>
            <w:r>
              <w:rPr>
                <w:rFonts w:hint="eastAsia"/>
              </w:rPr>
              <w:t>有效评标价排序</w:t>
            </w:r>
          </w:p>
        </w:tc>
        <w:tc>
          <w:tcPr>
            <w:tcW w:w="1177" w:type="dxa"/>
            <w:noWrap w:val="0"/>
            <w:vAlign w:val="center"/>
          </w:tcPr>
          <w:p w14:paraId="5BC935A0">
            <w:pPr>
              <w:jc w:val="center"/>
              <w:rPr>
                <w:rFonts w:hint="eastAsia"/>
              </w:rPr>
            </w:pPr>
          </w:p>
        </w:tc>
        <w:tc>
          <w:tcPr>
            <w:tcW w:w="1178" w:type="dxa"/>
            <w:noWrap w:val="0"/>
            <w:vAlign w:val="center"/>
          </w:tcPr>
          <w:p w14:paraId="712F4004">
            <w:pPr>
              <w:jc w:val="center"/>
              <w:rPr>
                <w:rFonts w:hint="eastAsia"/>
              </w:rPr>
            </w:pPr>
          </w:p>
        </w:tc>
        <w:tc>
          <w:tcPr>
            <w:tcW w:w="1178" w:type="dxa"/>
            <w:noWrap w:val="0"/>
            <w:vAlign w:val="center"/>
          </w:tcPr>
          <w:p w14:paraId="032932F9">
            <w:pPr>
              <w:jc w:val="center"/>
              <w:rPr>
                <w:rFonts w:hint="eastAsia"/>
              </w:rPr>
            </w:pPr>
          </w:p>
        </w:tc>
        <w:tc>
          <w:tcPr>
            <w:tcW w:w="1177" w:type="dxa"/>
            <w:noWrap w:val="0"/>
            <w:vAlign w:val="center"/>
          </w:tcPr>
          <w:p w14:paraId="19B809D5">
            <w:pPr>
              <w:jc w:val="center"/>
              <w:rPr>
                <w:rFonts w:hint="eastAsia"/>
              </w:rPr>
            </w:pPr>
          </w:p>
        </w:tc>
        <w:tc>
          <w:tcPr>
            <w:tcW w:w="1178" w:type="dxa"/>
            <w:noWrap w:val="0"/>
            <w:vAlign w:val="center"/>
          </w:tcPr>
          <w:p w14:paraId="3F4FAF4D">
            <w:pPr>
              <w:jc w:val="center"/>
              <w:rPr>
                <w:rFonts w:hint="eastAsia"/>
              </w:rPr>
            </w:pPr>
          </w:p>
        </w:tc>
        <w:tc>
          <w:tcPr>
            <w:tcW w:w="1178" w:type="dxa"/>
            <w:noWrap w:val="0"/>
            <w:vAlign w:val="center"/>
          </w:tcPr>
          <w:p w14:paraId="4523B1FD">
            <w:pPr>
              <w:jc w:val="center"/>
              <w:rPr>
                <w:rFonts w:hint="eastAsia"/>
              </w:rPr>
            </w:pPr>
          </w:p>
        </w:tc>
        <w:tc>
          <w:tcPr>
            <w:tcW w:w="1177" w:type="dxa"/>
            <w:noWrap w:val="0"/>
            <w:vAlign w:val="center"/>
          </w:tcPr>
          <w:p w14:paraId="76523012">
            <w:pPr>
              <w:jc w:val="center"/>
              <w:rPr>
                <w:rFonts w:hint="eastAsia"/>
              </w:rPr>
            </w:pPr>
          </w:p>
        </w:tc>
        <w:tc>
          <w:tcPr>
            <w:tcW w:w="1178" w:type="dxa"/>
            <w:noWrap w:val="0"/>
            <w:vAlign w:val="center"/>
          </w:tcPr>
          <w:p w14:paraId="20B94AE2">
            <w:pPr>
              <w:jc w:val="center"/>
              <w:rPr>
                <w:rFonts w:hint="eastAsia"/>
              </w:rPr>
            </w:pPr>
          </w:p>
        </w:tc>
        <w:tc>
          <w:tcPr>
            <w:tcW w:w="1178" w:type="dxa"/>
            <w:noWrap w:val="0"/>
            <w:vAlign w:val="center"/>
          </w:tcPr>
          <w:p w14:paraId="1E8C4596">
            <w:pPr>
              <w:jc w:val="center"/>
              <w:rPr>
                <w:rFonts w:hint="eastAsia"/>
              </w:rPr>
            </w:pPr>
          </w:p>
        </w:tc>
      </w:tr>
    </w:tbl>
    <w:p w14:paraId="4B19F05A">
      <w:pPr>
        <w:rPr>
          <w:rFonts w:hint="eastAsia"/>
        </w:rPr>
      </w:pPr>
    </w:p>
    <w:p w14:paraId="4A7E0CDC">
      <w:pPr>
        <w:rPr>
          <w:rFonts w:hint="eastAsia"/>
        </w:rPr>
      </w:pPr>
      <w:r>
        <w:rPr>
          <w:rFonts w:hint="eastAsia"/>
        </w:rPr>
        <w:t>评标委员会成员签名：                                                                                       日期：    年  月  日</w:t>
      </w:r>
    </w:p>
    <w:p w14:paraId="69EF223D">
      <w:pPr>
        <w:rPr>
          <w:rFonts w:hint="eastAsia"/>
        </w:rPr>
      </w:pPr>
    </w:p>
    <w:p w14:paraId="13DD5601">
      <w:pPr>
        <w:rPr>
          <w:rFonts w:hint="eastAsia"/>
        </w:rPr>
      </w:pPr>
    </w:p>
    <w:p w14:paraId="5BCE5034">
      <w:pPr>
        <w:rPr>
          <w:rFonts w:hint="eastAsia"/>
        </w:rPr>
      </w:pPr>
    </w:p>
    <w:p w14:paraId="6268621A">
      <w:pPr>
        <w:rPr>
          <w:rFonts w:hint="eastAsia"/>
        </w:rPr>
      </w:pPr>
      <w:r>
        <w:rPr>
          <w:rFonts w:hint="eastAsia"/>
        </w:rPr>
        <w:t>备注：本表适用于办法八。</w:t>
      </w:r>
    </w:p>
    <w:p w14:paraId="1E6B07F3">
      <w:pPr>
        <w:rPr>
          <w:rFonts w:hint="eastAsia"/>
        </w:rPr>
      </w:pPr>
    </w:p>
    <w:p w14:paraId="2881798C">
      <w:pPr>
        <w:pStyle w:val="20"/>
        <w:rPr>
          <w:rFonts w:hint="eastAsia"/>
        </w:rPr>
      </w:pPr>
      <w:bookmarkStart w:id="440" w:name="_Toc108513667"/>
      <w:r>
        <w:rPr>
          <w:rFonts w:hint="eastAsia"/>
        </w:rPr>
        <w:t>附表A-14：否决投标的情况说明表</w:t>
      </w:r>
      <w:bookmarkEnd w:id="440"/>
    </w:p>
    <w:p w14:paraId="35143E04">
      <w:pPr>
        <w:spacing w:before="120" w:beforeLines="50" w:after="120" w:afterLines="50" w:line="440" w:lineRule="exact"/>
        <w:jc w:val="center"/>
        <w:rPr>
          <w:rFonts w:hint="eastAsia" w:ascii="黑体" w:eastAsia="黑体"/>
          <w:sz w:val="28"/>
          <w:szCs w:val="28"/>
        </w:rPr>
      </w:pPr>
      <w:r>
        <w:rPr>
          <w:rFonts w:hint="eastAsia" w:ascii="黑体" w:eastAsia="黑体"/>
          <w:sz w:val="28"/>
          <w:szCs w:val="28"/>
        </w:rPr>
        <w:t>否决投标的情况说明表</w:t>
      </w:r>
    </w:p>
    <w:p w14:paraId="713119DD">
      <w:pPr>
        <w:spacing w:after="72" w:afterLines="30" w:line="440" w:lineRule="exact"/>
        <w:rPr>
          <w:rFonts w:hint="eastAsia"/>
        </w:rPr>
      </w:pPr>
      <w:r>
        <w:rPr>
          <w:rFonts w:hint="eastAsia" w:ascii="宋体" w:hAnsi="宋体"/>
        </w:rPr>
        <w:t>工程名称：</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rPr>
        <w:t>（标段名称）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160"/>
        <w:gridCol w:w="2520"/>
        <w:gridCol w:w="8259"/>
      </w:tblGrid>
      <w:tr w14:paraId="37BC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06006668">
            <w:pPr>
              <w:jc w:val="center"/>
              <w:rPr>
                <w:rFonts w:hint="eastAsia" w:ascii="宋体" w:hAnsi="宋体"/>
                <w:szCs w:val="21"/>
              </w:rPr>
            </w:pPr>
            <w:r>
              <w:rPr>
                <w:rFonts w:hint="eastAsia" w:ascii="宋体" w:hAnsi="宋体"/>
                <w:szCs w:val="21"/>
              </w:rPr>
              <w:t>序号</w:t>
            </w:r>
          </w:p>
        </w:tc>
        <w:tc>
          <w:tcPr>
            <w:tcW w:w="2160" w:type="dxa"/>
            <w:noWrap w:val="0"/>
            <w:vAlign w:val="center"/>
          </w:tcPr>
          <w:p w14:paraId="2EF6178F">
            <w:pPr>
              <w:jc w:val="center"/>
              <w:rPr>
                <w:rFonts w:hint="eastAsia" w:ascii="宋体" w:hAnsi="宋体"/>
                <w:szCs w:val="21"/>
              </w:rPr>
            </w:pPr>
            <w:r>
              <w:rPr>
                <w:rFonts w:hint="eastAsia" w:ascii="宋体" w:hAnsi="宋体"/>
                <w:szCs w:val="21"/>
              </w:rPr>
              <w:t>投标人名称</w:t>
            </w:r>
          </w:p>
        </w:tc>
        <w:tc>
          <w:tcPr>
            <w:tcW w:w="2520" w:type="dxa"/>
            <w:noWrap w:val="0"/>
            <w:vAlign w:val="center"/>
          </w:tcPr>
          <w:p w14:paraId="58E07074">
            <w:pPr>
              <w:jc w:val="center"/>
              <w:rPr>
                <w:rFonts w:hint="eastAsia" w:ascii="宋体" w:hAnsi="宋体"/>
                <w:szCs w:val="21"/>
              </w:rPr>
            </w:pPr>
            <w:r>
              <w:rPr>
                <w:rFonts w:hint="eastAsia" w:ascii="宋体" w:hAnsi="宋体"/>
                <w:szCs w:val="21"/>
              </w:rPr>
              <w:t>否决投标的依据</w:t>
            </w:r>
          </w:p>
        </w:tc>
        <w:tc>
          <w:tcPr>
            <w:tcW w:w="8259" w:type="dxa"/>
            <w:noWrap w:val="0"/>
            <w:vAlign w:val="center"/>
          </w:tcPr>
          <w:p w14:paraId="3B8F7452">
            <w:pPr>
              <w:jc w:val="center"/>
              <w:rPr>
                <w:rFonts w:hint="eastAsia" w:ascii="宋体" w:hAnsi="宋体"/>
                <w:szCs w:val="21"/>
              </w:rPr>
            </w:pPr>
            <w:r>
              <w:rPr>
                <w:rFonts w:hint="eastAsia" w:ascii="宋体" w:hAnsi="宋体"/>
                <w:szCs w:val="21"/>
              </w:rPr>
              <w:t>投标文件存在的具体问题</w:t>
            </w:r>
          </w:p>
        </w:tc>
      </w:tr>
      <w:tr w14:paraId="25F8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07DE449B">
            <w:pPr>
              <w:jc w:val="center"/>
              <w:rPr>
                <w:rFonts w:hint="eastAsia" w:ascii="宋体" w:hAnsi="宋体"/>
                <w:szCs w:val="21"/>
              </w:rPr>
            </w:pPr>
            <w:r>
              <w:rPr>
                <w:rFonts w:hint="eastAsia" w:ascii="宋体" w:hAnsi="宋体"/>
                <w:szCs w:val="21"/>
              </w:rPr>
              <w:t>1</w:t>
            </w:r>
          </w:p>
        </w:tc>
        <w:tc>
          <w:tcPr>
            <w:tcW w:w="2160" w:type="dxa"/>
            <w:noWrap w:val="0"/>
            <w:vAlign w:val="center"/>
          </w:tcPr>
          <w:p w14:paraId="1E137DDA">
            <w:pPr>
              <w:jc w:val="center"/>
              <w:rPr>
                <w:rFonts w:hint="eastAsia" w:ascii="宋体" w:hAnsi="宋体"/>
                <w:szCs w:val="21"/>
              </w:rPr>
            </w:pPr>
          </w:p>
        </w:tc>
        <w:tc>
          <w:tcPr>
            <w:tcW w:w="2520" w:type="dxa"/>
            <w:noWrap w:val="0"/>
            <w:vAlign w:val="center"/>
          </w:tcPr>
          <w:p w14:paraId="605C434D">
            <w:pPr>
              <w:jc w:val="center"/>
              <w:rPr>
                <w:rFonts w:hint="eastAsia" w:ascii="宋体" w:hAnsi="宋体"/>
                <w:szCs w:val="21"/>
              </w:rPr>
            </w:pPr>
          </w:p>
        </w:tc>
        <w:tc>
          <w:tcPr>
            <w:tcW w:w="8259" w:type="dxa"/>
            <w:noWrap w:val="0"/>
            <w:vAlign w:val="center"/>
          </w:tcPr>
          <w:p w14:paraId="7B0E1EBD">
            <w:pPr>
              <w:jc w:val="center"/>
              <w:rPr>
                <w:rFonts w:hint="eastAsia" w:ascii="宋体" w:hAnsi="宋体"/>
                <w:szCs w:val="21"/>
              </w:rPr>
            </w:pPr>
          </w:p>
        </w:tc>
      </w:tr>
      <w:tr w14:paraId="5FE5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6194D817">
            <w:pPr>
              <w:jc w:val="center"/>
              <w:rPr>
                <w:rFonts w:hint="eastAsia" w:ascii="宋体" w:hAnsi="宋体"/>
                <w:szCs w:val="21"/>
              </w:rPr>
            </w:pPr>
            <w:r>
              <w:rPr>
                <w:rFonts w:hint="eastAsia" w:ascii="宋体" w:hAnsi="宋体"/>
                <w:szCs w:val="21"/>
              </w:rPr>
              <w:t>2</w:t>
            </w:r>
          </w:p>
        </w:tc>
        <w:tc>
          <w:tcPr>
            <w:tcW w:w="2160" w:type="dxa"/>
            <w:noWrap w:val="0"/>
            <w:vAlign w:val="center"/>
          </w:tcPr>
          <w:p w14:paraId="5750C07B">
            <w:pPr>
              <w:jc w:val="center"/>
              <w:rPr>
                <w:rFonts w:hint="eastAsia" w:ascii="宋体" w:hAnsi="宋体"/>
                <w:szCs w:val="21"/>
              </w:rPr>
            </w:pPr>
          </w:p>
        </w:tc>
        <w:tc>
          <w:tcPr>
            <w:tcW w:w="2520" w:type="dxa"/>
            <w:noWrap w:val="0"/>
            <w:vAlign w:val="center"/>
          </w:tcPr>
          <w:p w14:paraId="41EB4DE9">
            <w:pPr>
              <w:jc w:val="center"/>
              <w:rPr>
                <w:rFonts w:hint="eastAsia" w:ascii="宋体" w:hAnsi="宋体"/>
                <w:szCs w:val="21"/>
              </w:rPr>
            </w:pPr>
          </w:p>
        </w:tc>
        <w:tc>
          <w:tcPr>
            <w:tcW w:w="8259" w:type="dxa"/>
            <w:noWrap w:val="0"/>
            <w:vAlign w:val="center"/>
          </w:tcPr>
          <w:p w14:paraId="711B38ED">
            <w:pPr>
              <w:jc w:val="center"/>
              <w:rPr>
                <w:rFonts w:hint="eastAsia" w:ascii="宋体" w:hAnsi="宋体"/>
                <w:szCs w:val="21"/>
              </w:rPr>
            </w:pPr>
          </w:p>
        </w:tc>
      </w:tr>
      <w:tr w14:paraId="1A8F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6E293C0C">
            <w:pPr>
              <w:jc w:val="center"/>
              <w:rPr>
                <w:rFonts w:hint="eastAsia" w:ascii="宋体" w:hAnsi="宋体"/>
                <w:szCs w:val="21"/>
              </w:rPr>
            </w:pPr>
            <w:r>
              <w:rPr>
                <w:rFonts w:hint="eastAsia" w:ascii="宋体" w:hAnsi="宋体"/>
                <w:szCs w:val="21"/>
              </w:rPr>
              <w:t>3</w:t>
            </w:r>
          </w:p>
        </w:tc>
        <w:tc>
          <w:tcPr>
            <w:tcW w:w="2160" w:type="dxa"/>
            <w:noWrap w:val="0"/>
            <w:vAlign w:val="center"/>
          </w:tcPr>
          <w:p w14:paraId="1281BD9B">
            <w:pPr>
              <w:jc w:val="center"/>
              <w:rPr>
                <w:rFonts w:hint="eastAsia" w:ascii="宋体" w:hAnsi="宋体"/>
                <w:szCs w:val="21"/>
              </w:rPr>
            </w:pPr>
          </w:p>
        </w:tc>
        <w:tc>
          <w:tcPr>
            <w:tcW w:w="2520" w:type="dxa"/>
            <w:noWrap w:val="0"/>
            <w:vAlign w:val="center"/>
          </w:tcPr>
          <w:p w14:paraId="12687F1B">
            <w:pPr>
              <w:jc w:val="center"/>
              <w:rPr>
                <w:rFonts w:hint="eastAsia" w:ascii="宋体" w:hAnsi="宋体"/>
                <w:szCs w:val="21"/>
              </w:rPr>
            </w:pPr>
          </w:p>
        </w:tc>
        <w:tc>
          <w:tcPr>
            <w:tcW w:w="8259" w:type="dxa"/>
            <w:noWrap w:val="0"/>
            <w:vAlign w:val="center"/>
          </w:tcPr>
          <w:p w14:paraId="1817A544">
            <w:pPr>
              <w:jc w:val="center"/>
              <w:rPr>
                <w:rFonts w:hint="eastAsia" w:ascii="宋体" w:hAnsi="宋体"/>
                <w:szCs w:val="21"/>
              </w:rPr>
            </w:pPr>
          </w:p>
        </w:tc>
      </w:tr>
      <w:tr w14:paraId="0591B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33D5E541">
            <w:pPr>
              <w:jc w:val="center"/>
              <w:rPr>
                <w:rFonts w:hint="eastAsia" w:ascii="宋体" w:hAnsi="宋体"/>
                <w:szCs w:val="21"/>
              </w:rPr>
            </w:pPr>
            <w:r>
              <w:rPr>
                <w:rFonts w:hint="eastAsia" w:ascii="宋体" w:hAnsi="宋体"/>
                <w:szCs w:val="21"/>
              </w:rPr>
              <w:t>4</w:t>
            </w:r>
          </w:p>
        </w:tc>
        <w:tc>
          <w:tcPr>
            <w:tcW w:w="2160" w:type="dxa"/>
            <w:noWrap w:val="0"/>
            <w:vAlign w:val="center"/>
          </w:tcPr>
          <w:p w14:paraId="251C2B36">
            <w:pPr>
              <w:jc w:val="center"/>
              <w:rPr>
                <w:rFonts w:hint="eastAsia" w:ascii="宋体" w:hAnsi="宋体"/>
                <w:szCs w:val="21"/>
              </w:rPr>
            </w:pPr>
          </w:p>
        </w:tc>
        <w:tc>
          <w:tcPr>
            <w:tcW w:w="2520" w:type="dxa"/>
            <w:noWrap w:val="0"/>
            <w:vAlign w:val="center"/>
          </w:tcPr>
          <w:p w14:paraId="2EBC9886">
            <w:pPr>
              <w:jc w:val="center"/>
              <w:rPr>
                <w:rFonts w:hint="eastAsia" w:ascii="宋体" w:hAnsi="宋体"/>
                <w:szCs w:val="21"/>
              </w:rPr>
            </w:pPr>
          </w:p>
        </w:tc>
        <w:tc>
          <w:tcPr>
            <w:tcW w:w="8259" w:type="dxa"/>
            <w:noWrap w:val="0"/>
            <w:vAlign w:val="center"/>
          </w:tcPr>
          <w:p w14:paraId="319C8F75">
            <w:pPr>
              <w:jc w:val="center"/>
              <w:rPr>
                <w:rFonts w:hint="eastAsia" w:ascii="宋体" w:hAnsi="宋体"/>
                <w:szCs w:val="21"/>
              </w:rPr>
            </w:pPr>
          </w:p>
        </w:tc>
      </w:tr>
      <w:tr w14:paraId="2FB5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72857399">
            <w:pPr>
              <w:jc w:val="center"/>
              <w:rPr>
                <w:rFonts w:hint="eastAsia" w:ascii="宋体" w:hAnsi="宋体"/>
                <w:szCs w:val="21"/>
              </w:rPr>
            </w:pPr>
            <w:r>
              <w:rPr>
                <w:rFonts w:hint="eastAsia" w:ascii="宋体" w:hAnsi="宋体"/>
                <w:szCs w:val="21"/>
              </w:rPr>
              <w:t>5</w:t>
            </w:r>
          </w:p>
        </w:tc>
        <w:tc>
          <w:tcPr>
            <w:tcW w:w="2160" w:type="dxa"/>
            <w:noWrap w:val="0"/>
            <w:vAlign w:val="center"/>
          </w:tcPr>
          <w:p w14:paraId="67E7FE49">
            <w:pPr>
              <w:jc w:val="center"/>
              <w:rPr>
                <w:rFonts w:hint="eastAsia" w:ascii="宋体" w:hAnsi="宋体"/>
                <w:szCs w:val="21"/>
              </w:rPr>
            </w:pPr>
          </w:p>
        </w:tc>
        <w:tc>
          <w:tcPr>
            <w:tcW w:w="2520" w:type="dxa"/>
            <w:noWrap w:val="0"/>
            <w:vAlign w:val="center"/>
          </w:tcPr>
          <w:p w14:paraId="3B6F7C6D">
            <w:pPr>
              <w:jc w:val="center"/>
              <w:rPr>
                <w:rFonts w:hint="eastAsia" w:ascii="宋体" w:hAnsi="宋体"/>
                <w:szCs w:val="21"/>
              </w:rPr>
            </w:pPr>
          </w:p>
        </w:tc>
        <w:tc>
          <w:tcPr>
            <w:tcW w:w="8259" w:type="dxa"/>
            <w:noWrap w:val="0"/>
            <w:vAlign w:val="center"/>
          </w:tcPr>
          <w:p w14:paraId="59FCCDC5">
            <w:pPr>
              <w:jc w:val="center"/>
              <w:rPr>
                <w:rFonts w:hint="eastAsia" w:ascii="宋体" w:hAnsi="宋体"/>
                <w:szCs w:val="21"/>
              </w:rPr>
            </w:pPr>
          </w:p>
        </w:tc>
      </w:tr>
      <w:tr w14:paraId="15AB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7B56E977">
            <w:pPr>
              <w:jc w:val="center"/>
              <w:rPr>
                <w:rFonts w:hint="eastAsia" w:ascii="宋体" w:hAnsi="宋体"/>
                <w:szCs w:val="21"/>
              </w:rPr>
            </w:pPr>
            <w:r>
              <w:rPr>
                <w:rFonts w:hint="eastAsia" w:ascii="宋体" w:hAnsi="宋体"/>
                <w:szCs w:val="21"/>
              </w:rPr>
              <w:t>6</w:t>
            </w:r>
          </w:p>
        </w:tc>
        <w:tc>
          <w:tcPr>
            <w:tcW w:w="2160" w:type="dxa"/>
            <w:noWrap w:val="0"/>
            <w:vAlign w:val="center"/>
          </w:tcPr>
          <w:p w14:paraId="19B94F61">
            <w:pPr>
              <w:jc w:val="center"/>
              <w:rPr>
                <w:rFonts w:hint="eastAsia" w:ascii="宋体" w:hAnsi="宋体"/>
                <w:szCs w:val="21"/>
              </w:rPr>
            </w:pPr>
          </w:p>
        </w:tc>
        <w:tc>
          <w:tcPr>
            <w:tcW w:w="2520" w:type="dxa"/>
            <w:noWrap w:val="0"/>
            <w:vAlign w:val="center"/>
          </w:tcPr>
          <w:p w14:paraId="08C0B075">
            <w:pPr>
              <w:jc w:val="center"/>
              <w:rPr>
                <w:rFonts w:hint="eastAsia" w:ascii="宋体" w:hAnsi="宋体"/>
                <w:szCs w:val="21"/>
              </w:rPr>
            </w:pPr>
          </w:p>
        </w:tc>
        <w:tc>
          <w:tcPr>
            <w:tcW w:w="8259" w:type="dxa"/>
            <w:noWrap w:val="0"/>
            <w:vAlign w:val="center"/>
          </w:tcPr>
          <w:p w14:paraId="2C349FAA">
            <w:pPr>
              <w:jc w:val="center"/>
              <w:rPr>
                <w:rFonts w:hint="eastAsia" w:ascii="宋体" w:hAnsi="宋体"/>
                <w:szCs w:val="21"/>
              </w:rPr>
            </w:pPr>
          </w:p>
        </w:tc>
      </w:tr>
      <w:tr w14:paraId="22AE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200C9A3D">
            <w:pPr>
              <w:jc w:val="center"/>
              <w:rPr>
                <w:rFonts w:hint="eastAsia" w:ascii="宋体" w:hAnsi="宋体"/>
                <w:szCs w:val="21"/>
              </w:rPr>
            </w:pPr>
            <w:r>
              <w:rPr>
                <w:rFonts w:hint="eastAsia" w:ascii="宋体" w:hAnsi="宋体"/>
                <w:szCs w:val="21"/>
              </w:rPr>
              <w:t>7</w:t>
            </w:r>
          </w:p>
        </w:tc>
        <w:tc>
          <w:tcPr>
            <w:tcW w:w="2160" w:type="dxa"/>
            <w:noWrap w:val="0"/>
            <w:vAlign w:val="center"/>
          </w:tcPr>
          <w:p w14:paraId="7F079C38">
            <w:pPr>
              <w:jc w:val="center"/>
              <w:rPr>
                <w:rFonts w:hint="eastAsia" w:ascii="宋体" w:hAnsi="宋体"/>
                <w:szCs w:val="21"/>
              </w:rPr>
            </w:pPr>
          </w:p>
        </w:tc>
        <w:tc>
          <w:tcPr>
            <w:tcW w:w="2520" w:type="dxa"/>
            <w:noWrap w:val="0"/>
            <w:vAlign w:val="center"/>
          </w:tcPr>
          <w:p w14:paraId="77AD7A61">
            <w:pPr>
              <w:jc w:val="center"/>
              <w:rPr>
                <w:rFonts w:hint="eastAsia" w:ascii="宋体" w:hAnsi="宋体"/>
                <w:szCs w:val="21"/>
              </w:rPr>
            </w:pPr>
          </w:p>
        </w:tc>
        <w:tc>
          <w:tcPr>
            <w:tcW w:w="8259" w:type="dxa"/>
            <w:noWrap w:val="0"/>
            <w:vAlign w:val="center"/>
          </w:tcPr>
          <w:p w14:paraId="466F52D8">
            <w:pPr>
              <w:jc w:val="center"/>
              <w:rPr>
                <w:rFonts w:hint="eastAsia" w:ascii="宋体" w:hAnsi="宋体"/>
                <w:szCs w:val="21"/>
              </w:rPr>
            </w:pPr>
          </w:p>
        </w:tc>
      </w:tr>
      <w:tr w14:paraId="3B8B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8" w:type="dxa"/>
            <w:noWrap w:val="0"/>
            <w:vAlign w:val="center"/>
          </w:tcPr>
          <w:p w14:paraId="36D8CE20">
            <w:pPr>
              <w:jc w:val="center"/>
              <w:rPr>
                <w:rFonts w:hint="eastAsia" w:ascii="宋体" w:hAnsi="宋体"/>
                <w:szCs w:val="21"/>
              </w:rPr>
            </w:pPr>
            <w:r>
              <w:rPr>
                <w:rFonts w:hint="eastAsia" w:ascii="宋体" w:hAnsi="宋体"/>
                <w:szCs w:val="21"/>
              </w:rPr>
              <w:t>8</w:t>
            </w:r>
          </w:p>
        </w:tc>
        <w:tc>
          <w:tcPr>
            <w:tcW w:w="2160" w:type="dxa"/>
            <w:noWrap w:val="0"/>
            <w:vAlign w:val="center"/>
          </w:tcPr>
          <w:p w14:paraId="1009F2E7">
            <w:pPr>
              <w:jc w:val="center"/>
              <w:rPr>
                <w:rFonts w:hint="eastAsia" w:ascii="宋体" w:hAnsi="宋体"/>
                <w:szCs w:val="21"/>
              </w:rPr>
            </w:pPr>
          </w:p>
        </w:tc>
        <w:tc>
          <w:tcPr>
            <w:tcW w:w="2520" w:type="dxa"/>
            <w:noWrap w:val="0"/>
            <w:vAlign w:val="center"/>
          </w:tcPr>
          <w:p w14:paraId="440A27FA">
            <w:pPr>
              <w:jc w:val="center"/>
              <w:rPr>
                <w:rFonts w:hint="eastAsia" w:ascii="宋体" w:hAnsi="宋体"/>
                <w:szCs w:val="21"/>
              </w:rPr>
            </w:pPr>
          </w:p>
        </w:tc>
        <w:tc>
          <w:tcPr>
            <w:tcW w:w="8259" w:type="dxa"/>
            <w:noWrap w:val="0"/>
            <w:vAlign w:val="center"/>
          </w:tcPr>
          <w:p w14:paraId="54555E4C">
            <w:pPr>
              <w:jc w:val="center"/>
              <w:rPr>
                <w:rFonts w:hint="eastAsia" w:ascii="宋体" w:hAnsi="宋体"/>
                <w:szCs w:val="21"/>
              </w:rPr>
            </w:pPr>
          </w:p>
        </w:tc>
      </w:tr>
    </w:tbl>
    <w:p w14:paraId="266C944F">
      <w:pPr>
        <w:spacing w:line="440" w:lineRule="exact"/>
        <w:rPr>
          <w:rFonts w:hint="eastAsia"/>
        </w:rPr>
      </w:pPr>
    </w:p>
    <w:p w14:paraId="7F1BECBD">
      <w:pPr>
        <w:spacing w:line="440" w:lineRule="exact"/>
        <w:rPr>
          <w:rFonts w:hint="eastAsia"/>
        </w:rPr>
      </w:pPr>
      <w:r>
        <w:rPr>
          <w:rFonts w:hint="eastAsia"/>
        </w:rPr>
        <w:t>评标委员会全体成员签名：                                                                        日期：        年     月     日</w:t>
      </w:r>
    </w:p>
    <w:p w14:paraId="422E689D">
      <w:pPr>
        <w:spacing w:line="440" w:lineRule="exact"/>
        <w:rPr>
          <w:rFonts w:hint="eastAsia"/>
        </w:rPr>
      </w:pPr>
    </w:p>
    <w:p w14:paraId="48961799">
      <w:pPr>
        <w:spacing w:line="440" w:lineRule="exact"/>
        <w:rPr>
          <w:rFonts w:hint="eastAsia"/>
        </w:rPr>
      </w:pPr>
    </w:p>
    <w:p w14:paraId="33E89847">
      <w:pPr>
        <w:spacing w:line="420" w:lineRule="exact"/>
        <w:ind w:left="630" w:hanging="630" w:hangingChars="300"/>
        <w:rPr>
          <w:rFonts w:hint="eastAsia"/>
        </w:rPr>
      </w:pPr>
      <w:r>
        <w:rPr>
          <w:rFonts w:hint="eastAsia"/>
        </w:rPr>
        <w:t>备注：</w:t>
      </w:r>
      <w:r>
        <w:rPr>
          <w:rFonts w:hint="eastAsia"/>
          <w:szCs w:val="21"/>
        </w:rPr>
        <w:t>投标人存在</w:t>
      </w:r>
      <w:r>
        <w:rPr>
          <w:rFonts w:hint="eastAsia"/>
        </w:rPr>
        <w:t>串通投标、弄虚作假、行贿或有其他违法行为，或者不按评标委员会要求澄清、说明或补正导致投标被否决的，应当在本表中记录。</w:t>
      </w:r>
    </w:p>
    <w:p w14:paraId="7DDD1291">
      <w:pPr>
        <w:sectPr>
          <w:pgSz w:w="16840" w:h="11907" w:orient="landscape"/>
          <w:pgMar w:top="1531" w:right="1588" w:bottom="1474" w:left="1701" w:header="851" w:footer="851" w:gutter="0"/>
          <w:cols w:space="720" w:num="1"/>
          <w:docGrid w:linePitch="312" w:charSpace="0"/>
        </w:sectPr>
      </w:pPr>
    </w:p>
    <w:p w14:paraId="0D7955B4">
      <w:pPr>
        <w:pStyle w:val="20"/>
        <w:rPr>
          <w:rFonts w:hint="eastAsia"/>
        </w:rPr>
      </w:pPr>
      <w:bookmarkStart w:id="441" w:name="_Toc108513668"/>
      <w:r>
        <w:rPr>
          <w:rFonts w:hint="eastAsia"/>
        </w:rPr>
        <w:t>附表D-1：成本评审结论记录表</w:t>
      </w:r>
      <w:bookmarkEnd w:id="441"/>
    </w:p>
    <w:p w14:paraId="67EEABE1">
      <w:pPr>
        <w:spacing w:before="240" w:beforeLines="100" w:after="240" w:afterLines="100"/>
        <w:jc w:val="center"/>
        <w:rPr>
          <w:rFonts w:hint="eastAsia" w:ascii="黑体" w:eastAsia="黑体"/>
          <w:sz w:val="32"/>
          <w:szCs w:val="32"/>
        </w:rPr>
      </w:pPr>
      <w:r>
        <w:rPr>
          <w:rFonts w:hint="eastAsia" w:ascii="黑体" w:eastAsia="黑体"/>
          <w:sz w:val="32"/>
          <w:szCs w:val="32"/>
        </w:rPr>
        <w:t>成本评审结论记录表</w:t>
      </w:r>
    </w:p>
    <w:p w14:paraId="5AB58F9A">
      <w:pPr>
        <w:rPr>
          <w:rFonts w:hint="eastAsia" w:ascii="宋体" w:hAnsi="宋体"/>
          <w:szCs w:val="21"/>
        </w:rPr>
      </w:pPr>
      <w:r>
        <w:rPr>
          <w:rFonts w:hint="eastAsia" w:ascii="宋体" w:hAnsi="宋体"/>
          <w:szCs w:val="21"/>
        </w:rPr>
        <w:t>投标人名称：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7532"/>
      </w:tblGrid>
      <w:tr w14:paraId="72F55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90" w:hRule="atLeast"/>
        </w:trPr>
        <w:tc>
          <w:tcPr>
            <w:tcW w:w="8720" w:type="dxa"/>
            <w:gridSpan w:val="2"/>
            <w:noWrap w:val="0"/>
            <w:vAlign w:val="top"/>
          </w:tcPr>
          <w:p w14:paraId="54A5D4BE">
            <w:pPr>
              <w:spacing w:before="72" w:beforeLines="30"/>
              <w:rPr>
                <w:rFonts w:hint="eastAsia" w:ascii="宋体" w:hAnsi="宋体"/>
                <w:szCs w:val="21"/>
              </w:rPr>
            </w:pPr>
            <w:r>
              <w:rPr>
                <w:rFonts w:hint="eastAsia" w:ascii="宋体" w:hAnsi="宋体"/>
                <w:szCs w:val="21"/>
              </w:rPr>
              <w:t>需投标人澄清和说明的主要事项概要：</w:t>
            </w:r>
          </w:p>
        </w:tc>
      </w:tr>
      <w:tr w14:paraId="7592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8720" w:type="dxa"/>
            <w:gridSpan w:val="2"/>
            <w:noWrap w:val="0"/>
            <w:vAlign w:val="top"/>
          </w:tcPr>
          <w:p w14:paraId="4BEADBF8">
            <w:pPr>
              <w:spacing w:before="72" w:beforeLines="30"/>
              <w:rPr>
                <w:rFonts w:hint="eastAsia" w:ascii="宋体" w:hAnsi="宋体"/>
                <w:szCs w:val="21"/>
              </w:rPr>
            </w:pPr>
            <w:r>
              <w:rPr>
                <w:rFonts w:hint="eastAsia" w:ascii="宋体" w:hAnsi="宋体"/>
                <w:szCs w:val="21"/>
              </w:rPr>
              <w:t>投标人澄清、说明、补正和提供</w:t>
            </w:r>
            <w:r>
              <w:rPr>
                <w:rFonts w:hint="eastAsia" w:hAnsi="宋体"/>
              </w:rPr>
              <w:t>证明材料</w:t>
            </w:r>
            <w:r>
              <w:rPr>
                <w:rFonts w:hint="eastAsia" w:ascii="宋体" w:hAnsi="宋体"/>
                <w:szCs w:val="21"/>
              </w:rPr>
              <w:t>的情况说明：</w:t>
            </w:r>
          </w:p>
        </w:tc>
      </w:tr>
      <w:tr w14:paraId="1AD9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188" w:type="dxa"/>
            <w:noWrap w:val="0"/>
            <w:vAlign w:val="center"/>
          </w:tcPr>
          <w:p w14:paraId="3E9D3BAC">
            <w:pPr>
              <w:jc w:val="center"/>
              <w:rPr>
                <w:rFonts w:hint="eastAsia" w:ascii="宋体" w:hAnsi="宋体"/>
                <w:szCs w:val="21"/>
              </w:rPr>
            </w:pPr>
            <w:r>
              <w:rPr>
                <w:rFonts w:hint="eastAsia" w:ascii="宋体" w:hAnsi="宋体"/>
                <w:szCs w:val="21"/>
              </w:rPr>
              <w:t>评审结论</w:t>
            </w:r>
          </w:p>
        </w:tc>
        <w:tc>
          <w:tcPr>
            <w:tcW w:w="7532" w:type="dxa"/>
            <w:noWrap w:val="0"/>
            <w:vAlign w:val="center"/>
          </w:tcPr>
          <w:p w14:paraId="0A72C3B9">
            <w:pPr>
              <w:ind w:firstLine="210" w:firstLineChars="100"/>
              <w:rPr>
                <w:rFonts w:hint="eastAsia" w:ascii="宋体" w:hAnsi="宋体"/>
                <w:szCs w:val="21"/>
              </w:rPr>
            </w:pPr>
            <w:r>
              <w:rPr>
                <w:rFonts w:hint="eastAsia" w:ascii="宋体" w:hAnsi="宋体"/>
                <w:szCs w:val="21"/>
              </w:rPr>
              <w:t xml:space="preserve"> □低于成本     □不低于成本</w:t>
            </w:r>
          </w:p>
        </w:tc>
      </w:tr>
      <w:tr w14:paraId="5569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1188" w:type="dxa"/>
            <w:noWrap w:val="0"/>
            <w:vAlign w:val="center"/>
          </w:tcPr>
          <w:p w14:paraId="18235285">
            <w:pPr>
              <w:jc w:val="center"/>
              <w:rPr>
                <w:rFonts w:hint="eastAsia" w:ascii="宋体" w:hAnsi="宋体"/>
                <w:szCs w:val="21"/>
              </w:rPr>
            </w:pPr>
            <w:r>
              <w:rPr>
                <w:rFonts w:hint="eastAsia" w:ascii="宋体" w:hAnsi="宋体"/>
                <w:szCs w:val="21"/>
              </w:rPr>
              <w:t>评</w:t>
            </w:r>
          </w:p>
          <w:p w14:paraId="7474CC4D">
            <w:pPr>
              <w:jc w:val="center"/>
              <w:rPr>
                <w:rFonts w:hint="eastAsia" w:ascii="宋体" w:hAnsi="宋体"/>
                <w:szCs w:val="21"/>
              </w:rPr>
            </w:pPr>
            <w:r>
              <w:rPr>
                <w:rFonts w:hint="eastAsia" w:ascii="宋体" w:hAnsi="宋体"/>
                <w:szCs w:val="21"/>
              </w:rPr>
              <w:t>审</w:t>
            </w:r>
          </w:p>
          <w:p w14:paraId="654C49C5">
            <w:pPr>
              <w:jc w:val="center"/>
              <w:rPr>
                <w:rFonts w:hint="eastAsia" w:ascii="宋体" w:hAnsi="宋体"/>
                <w:szCs w:val="21"/>
              </w:rPr>
            </w:pPr>
            <w:r>
              <w:rPr>
                <w:rFonts w:hint="eastAsia" w:ascii="宋体" w:hAnsi="宋体"/>
                <w:szCs w:val="21"/>
              </w:rPr>
              <w:t>意</w:t>
            </w:r>
          </w:p>
          <w:p w14:paraId="46C35E15">
            <w:pPr>
              <w:jc w:val="center"/>
              <w:rPr>
                <w:rFonts w:hint="eastAsia" w:ascii="宋体" w:hAnsi="宋体"/>
                <w:szCs w:val="21"/>
              </w:rPr>
            </w:pPr>
            <w:r>
              <w:rPr>
                <w:rFonts w:hint="eastAsia" w:ascii="宋体" w:hAnsi="宋体"/>
                <w:szCs w:val="21"/>
              </w:rPr>
              <w:t>见</w:t>
            </w:r>
          </w:p>
          <w:p w14:paraId="7DF1E512">
            <w:pPr>
              <w:jc w:val="center"/>
              <w:rPr>
                <w:rFonts w:hint="eastAsia" w:ascii="宋体" w:hAnsi="宋体"/>
                <w:szCs w:val="21"/>
              </w:rPr>
            </w:pPr>
            <w:r>
              <w:rPr>
                <w:rFonts w:hint="eastAsia" w:ascii="宋体" w:hAnsi="宋体"/>
                <w:szCs w:val="21"/>
              </w:rPr>
              <w:t>概</w:t>
            </w:r>
          </w:p>
          <w:p w14:paraId="1982F80F">
            <w:pPr>
              <w:jc w:val="center"/>
              <w:rPr>
                <w:rFonts w:hint="eastAsia" w:ascii="宋体" w:hAnsi="宋体"/>
                <w:szCs w:val="21"/>
              </w:rPr>
            </w:pPr>
            <w:r>
              <w:rPr>
                <w:rFonts w:hint="eastAsia" w:ascii="宋体" w:hAnsi="宋体"/>
                <w:szCs w:val="21"/>
              </w:rPr>
              <w:t>要</w:t>
            </w:r>
          </w:p>
        </w:tc>
        <w:tc>
          <w:tcPr>
            <w:tcW w:w="7532" w:type="dxa"/>
            <w:noWrap w:val="0"/>
            <w:vAlign w:val="center"/>
          </w:tcPr>
          <w:p w14:paraId="1299F2F5">
            <w:pPr>
              <w:jc w:val="center"/>
              <w:rPr>
                <w:rFonts w:hint="eastAsia" w:ascii="宋体" w:hAnsi="宋体"/>
                <w:szCs w:val="21"/>
              </w:rPr>
            </w:pPr>
          </w:p>
        </w:tc>
      </w:tr>
      <w:tr w14:paraId="0A3D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trPr>
        <w:tc>
          <w:tcPr>
            <w:tcW w:w="1188" w:type="dxa"/>
            <w:noWrap w:val="0"/>
            <w:vAlign w:val="center"/>
          </w:tcPr>
          <w:p w14:paraId="6405840B">
            <w:pPr>
              <w:jc w:val="center"/>
              <w:rPr>
                <w:rFonts w:hint="eastAsia" w:ascii="宋体" w:hAnsi="宋体"/>
                <w:szCs w:val="21"/>
              </w:rPr>
            </w:pPr>
            <w:r>
              <w:rPr>
                <w:rFonts w:hint="eastAsia" w:ascii="宋体" w:hAnsi="宋体"/>
                <w:szCs w:val="21"/>
              </w:rPr>
              <w:t>评</w:t>
            </w:r>
          </w:p>
          <w:p w14:paraId="0377F114">
            <w:pPr>
              <w:jc w:val="center"/>
              <w:rPr>
                <w:rFonts w:hint="eastAsia" w:ascii="宋体" w:hAnsi="宋体"/>
                <w:szCs w:val="21"/>
              </w:rPr>
            </w:pPr>
            <w:r>
              <w:rPr>
                <w:rFonts w:hint="eastAsia" w:ascii="宋体" w:hAnsi="宋体"/>
                <w:szCs w:val="21"/>
              </w:rPr>
              <w:t>标</w:t>
            </w:r>
          </w:p>
          <w:p w14:paraId="235A78B3">
            <w:pPr>
              <w:jc w:val="center"/>
              <w:rPr>
                <w:rFonts w:hint="eastAsia" w:ascii="宋体" w:hAnsi="宋体"/>
                <w:szCs w:val="21"/>
              </w:rPr>
            </w:pPr>
            <w:r>
              <w:rPr>
                <w:rFonts w:hint="eastAsia" w:ascii="宋体" w:hAnsi="宋体"/>
                <w:szCs w:val="21"/>
              </w:rPr>
              <w:t>委</w:t>
            </w:r>
          </w:p>
          <w:p w14:paraId="48707D1D">
            <w:pPr>
              <w:jc w:val="center"/>
              <w:rPr>
                <w:rFonts w:hint="eastAsia" w:ascii="宋体" w:hAnsi="宋体"/>
                <w:szCs w:val="21"/>
              </w:rPr>
            </w:pPr>
            <w:r>
              <w:rPr>
                <w:rFonts w:hint="eastAsia" w:ascii="宋体" w:hAnsi="宋体"/>
                <w:szCs w:val="21"/>
              </w:rPr>
              <w:t>员</w:t>
            </w:r>
          </w:p>
          <w:p w14:paraId="6FB91FEF">
            <w:pPr>
              <w:jc w:val="center"/>
              <w:rPr>
                <w:rFonts w:hint="eastAsia" w:ascii="宋体" w:hAnsi="宋体"/>
                <w:szCs w:val="21"/>
              </w:rPr>
            </w:pPr>
            <w:r>
              <w:rPr>
                <w:rFonts w:hint="eastAsia" w:ascii="宋体" w:hAnsi="宋体"/>
                <w:szCs w:val="21"/>
              </w:rPr>
              <w:t>会</w:t>
            </w:r>
          </w:p>
          <w:p w14:paraId="12D046BC">
            <w:pPr>
              <w:jc w:val="center"/>
              <w:rPr>
                <w:rFonts w:hint="eastAsia" w:ascii="宋体" w:hAnsi="宋体"/>
                <w:szCs w:val="21"/>
              </w:rPr>
            </w:pPr>
            <w:r>
              <w:rPr>
                <w:rFonts w:hint="eastAsia" w:ascii="宋体" w:hAnsi="宋体"/>
                <w:szCs w:val="21"/>
              </w:rPr>
              <w:t>全</w:t>
            </w:r>
          </w:p>
          <w:p w14:paraId="26FAA82B">
            <w:pPr>
              <w:jc w:val="center"/>
              <w:rPr>
                <w:rFonts w:hint="eastAsia" w:ascii="宋体" w:hAnsi="宋体"/>
                <w:szCs w:val="21"/>
              </w:rPr>
            </w:pPr>
            <w:r>
              <w:rPr>
                <w:rFonts w:hint="eastAsia" w:ascii="宋体" w:hAnsi="宋体"/>
                <w:szCs w:val="21"/>
              </w:rPr>
              <w:t>体</w:t>
            </w:r>
          </w:p>
          <w:p w14:paraId="5DD96D6C">
            <w:pPr>
              <w:jc w:val="center"/>
              <w:rPr>
                <w:rFonts w:hint="eastAsia" w:ascii="宋体" w:hAnsi="宋体"/>
                <w:szCs w:val="21"/>
              </w:rPr>
            </w:pPr>
            <w:r>
              <w:rPr>
                <w:rFonts w:hint="eastAsia" w:ascii="宋体" w:hAnsi="宋体"/>
                <w:szCs w:val="21"/>
              </w:rPr>
              <w:t>成</w:t>
            </w:r>
          </w:p>
          <w:p w14:paraId="5E3132DE">
            <w:pPr>
              <w:jc w:val="center"/>
              <w:rPr>
                <w:rFonts w:hint="eastAsia" w:ascii="宋体" w:hAnsi="宋体"/>
                <w:szCs w:val="21"/>
              </w:rPr>
            </w:pPr>
            <w:r>
              <w:rPr>
                <w:rFonts w:hint="eastAsia" w:ascii="宋体" w:hAnsi="宋体"/>
                <w:szCs w:val="21"/>
              </w:rPr>
              <w:t>员</w:t>
            </w:r>
          </w:p>
          <w:p w14:paraId="55D01429">
            <w:pPr>
              <w:jc w:val="center"/>
              <w:rPr>
                <w:rFonts w:hint="eastAsia" w:ascii="宋体" w:hAnsi="宋体"/>
                <w:szCs w:val="21"/>
              </w:rPr>
            </w:pPr>
            <w:r>
              <w:rPr>
                <w:rFonts w:hint="eastAsia" w:ascii="宋体" w:hAnsi="宋体"/>
                <w:szCs w:val="21"/>
              </w:rPr>
              <w:t>签</w:t>
            </w:r>
          </w:p>
          <w:p w14:paraId="615D214E">
            <w:pPr>
              <w:jc w:val="center"/>
              <w:rPr>
                <w:rFonts w:hint="eastAsia" w:ascii="宋体" w:hAnsi="宋体"/>
                <w:szCs w:val="21"/>
              </w:rPr>
            </w:pPr>
            <w:r>
              <w:rPr>
                <w:rFonts w:hint="eastAsia" w:ascii="宋体" w:hAnsi="宋体"/>
                <w:szCs w:val="21"/>
              </w:rPr>
              <w:t>名</w:t>
            </w:r>
          </w:p>
        </w:tc>
        <w:tc>
          <w:tcPr>
            <w:tcW w:w="7532" w:type="dxa"/>
            <w:noWrap w:val="0"/>
            <w:vAlign w:val="bottom"/>
          </w:tcPr>
          <w:p w14:paraId="460159F1">
            <w:pPr>
              <w:wordWrap w:val="0"/>
              <w:spacing w:after="120" w:afterLines="50"/>
              <w:jc w:val="right"/>
              <w:rPr>
                <w:rFonts w:hint="eastAsia" w:ascii="宋体" w:hAnsi="宋体"/>
                <w:szCs w:val="21"/>
              </w:rPr>
            </w:pPr>
            <w:r>
              <w:rPr>
                <w:rFonts w:hint="eastAsia" w:ascii="宋体" w:hAnsi="宋体"/>
                <w:szCs w:val="21"/>
              </w:rPr>
              <w:t xml:space="preserve">年   月   日       </w:t>
            </w:r>
          </w:p>
        </w:tc>
      </w:tr>
    </w:tbl>
    <w:p w14:paraId="26FE2AC2">
      <w:pPr>
        <w:spacing w:before="120" w:beforeLines="50" w:after="120" w:afterLines="50"/>
        <w:jc w:val="center"/>
        <w:rPr>
          <w:rFonts w:hint="eastAsia" w:ascii="黑体" w:hAnsi="宋体" w:eastAsia="黑体"/>
          <w:sz w:val="32"/>
          <w:szCs w:val="32"/>
        </w:rPr>
      </w:pPr>
    </w:p>
    <w:p w14:paraId="062F9E5D">
      <w:pPr>
        <w:spacing w:line="420" w:lineRule="exact"/>
        <w:jc w:val="center"/>
        <w:rPr>
          <w:rFonts w:hint="eastAsia" w:ascii="楷体_GB2312" w:eastAsia="楷体_GB2312"/>
        </w:rPr>
      </w:pPr>
    </w:p>
    <w:p w14:paraId="1E1A21D0">
      <w:pPr>
        <w:pStyle w:val="20"/>
        <w:rPr>
          <w:rFonts w:hint="eastAsia"/>
        </w:rPr>
      </w:pPr>
      <w:bookmarkStart w:id="442" w:name="_Toc108513669"/>
      <w:r>
        <w:rPr>
          <w:rFonts w:hint="eastAsia"/>
        </w:rPr>
        <w:t>附表C-1：清标报告-分部分项工程</w:t>
      </w:r>
      <w:r>
        <w:t>和单价措施项目</w:t>
      </w:r>
      <w:r>
        <w:rPr>
          <w:rFonts w:hint="eastAsia"/>
        </w:rPr>
        <w:t>符合性检查</w:t>
      </w:r>
      <w:bookmarkEnd w:id="442"/>
    </w:p>
    <w:p w14:paraId="3548811B">
      <w:pPr>
        <w:spacing w:before="240" w:beforeLines="100" w:after="240" w:afterLines="100"/>
        <w:jc w:val="center"/>
        <w:rPr>
          <w:rFonts w:hint="eastAsia" w:ascii="黑体" w:eastAsia="黑体"/>
          <w:sz w:val="32"/>
          <w:szCs w:val="32"/>
        </w:rPr>
      </w:pPr>
    </w:p>
    <w:p w14:paraId="500E19D3">
      <w:pPr>
        <w:spacing w:before="240" w:beforeLines="100" w:after="240" w:afterLines="100"/>
        <w:jc w:val="center"/>
        <w:rPr>
          <w:rFonts w:hint="eastAsia" w:ascii="黑体" w:eastAsia="黑体"/>
          <w:sz w:val="32"/>
          <w:szCs w:val="32"/>
        </w:rPr>
      </w:pPr>
      <w:r>
        <w:rPr>
          <w:rFonts w:hint="eastAsia" w:ascii="黑体" w:eastAsia="黑体"/>
          <w:sz w:val="32"/>
          <w:szCs w:val="32"/>
        </w:rPr>
        <w:t>清标报告-分部分项工程</w:t>
      </w:r>
      <w:r>
        <w:rPr>
          <w:rFonts w:ascii="黑体" w:eastAsia="黑体"/>
          <w:sz w:val="32"/>
          <w:szCs w:val="32"/>
        </w:rPr>
        <w:t>和单价措施项目</w:t>
      </w:r>
      <w:r>
        <w:rPr>
          <w:rFonts w:hint="eastAsia" w:ascii="黑体" w:eastAsia="黑体"/>
          <w:sz w:val="32"/>
          <w:szCs w:val="32"/>
        </w:rPr>
        <w:t>符合性检查</w:t>
      </w:r>
    </w:p>
    <w:p w14:paraId="74FC9E05">
      <w:pPr>
        <w:rPr>
          <w:rFonts w:hint="eastAsia" w:ascii="宋体" w:hAnsi="宋体"/>
          <w:szCs w:val="21"/>
        </w:rPr>
      </w:pPr>
      <w:r>
        <w:rPr>
          <w:rFonts w:hint="eastAsia" w:ascii="宋体" w:hAnsi="宋体"/>
          <w:szCs w:val="21"/>
        </w:rPr>
        <w:t>投标人名称：</w:t>
      </w:r>
    </w:p>
    <w:p w14:paraId="1F9914C6">
      <w:pPr>
        <w:spacing w:line="420" w:lineRule="exact"/>
        <w:jc w:val="center"/>
        <w:rPr>
          <w:rFonts w:hint="eastAsia" w:ascii="楷体_GB2312" w:eastAsia="楷体_GB2312"/>
        </w:rPr>
      </w:pPr>
    </w:p>
    <w:tbl>
      <w:tblPr>
        <w:tblStyle w:val="15"/>
        <w:tblW w:w="8840"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982"/>
        <w:gridCol w:w="982"/>
        <w:gridCol w:w="983"/>
        <w:gridCol w:w="982"/>
        <w:gridCol w:w="982"/>
        <w:gridCol w:w="983"/>
        <w:gridCol w:w="982"/>
        <w:gridCol w:w="982"/>
      </w:tblGrid>
      <w:tr w14:paraId="5D281E2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2946" w:type="dxa"/>
            <w:gridSpan w:val="3"/>
            <w:noWrap w:val="0"/>
            <w:vAlign w:val="center"/>
          </w:tcPr>
          <w:p w14:paraId="7F2034DC">
            <w:pPr>
              <w:jc w:val="center"/>
              <w:rPr>
                <w:rFonts w:hint="eastAsia"/>
                <w:sz w:val="20"/>
                <w:szCs w:val="20"/>
              </w:rPr>
            </w:pPr>
            <w:r>
              <w:rPr>
                <w:rFonts w:hint="eastAsia"/>
                <w:sz w:val="20"/>
                <w:szCs w:val="20"/>
              </w:rPr>
              <w:t>单位工程名称</w:t>
            </w:r>
          </w:p>
        </w:tc>
        <w:tc>
          <w:tcPr>
            <w:tcW w:w="5894" w:type="dxa"/>
            <w:gridSpan w:val="6"/>
            <w:tcBorders>
              <w:left w:val="single" w:color="auto" w:sz="6" w:space="0"/>
              <w:right w:val="single" w:color="auto" w:sz="6" w:space="0"/>
            </w:tcBorders>
            <w:noWrap w:val="0"/>
            <w:vAlign w:val="center"/>
          </w:tcPr>
          <w:p w14:paraId="285C825B">
            <w:pPr>
              <w:jc w:val="center"/>
              <w:rPr>
                <w:rFonts w:hint="eastAsia"/>
                <w:sz w:val="20"/>
                <w:szCs w:val="20"/>
              </w:rPr>
            </w:pPr>
          </w:p>
        </w:tc>
      </w:tr>
      <w:tr w14:paraId="5CE3FC2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840" w:type="dxa"/>
            <w:gridSpan w:val="9"/>
            <w:tcBorders>
              <w:right w:val="single" w:color="auto" w:sz="6" w:space="0"/>
            </w:tcBorders>
            <w:noWrap w:val="0"/>
            <w:vAlign w:val="center"/>
          </w:tcPr>
          <w:p w14:paraId="3EF729EB">
            <w:pPr>
              <w:jc w:val="center"/>
              <w:rPr>
                <w:rFonts w:hint="eastAsia"/>
                <w:sz w:val="20"/>
                <w:szCs w:val="20"/>
              </w:rPr>
            </w:pPr>
            <w:r>
              <w:rPr>
                <w:rFonts w:hint="eastAsia"/>
                <w:b/>
                <w:sz w:val="20"/>
                <w:szCs w:val="20"/>
              </w:rPr>
              <w:t>一、分部分项工程</w:t>
            </w:r>
            <w:r>
              <w:rPr>
                <w:b/>
                <w:sz w:val="20"/>
                <w:szCs w:val="20"/>
              </w:rPr>
              <w:t>和单价措施项目</w:t>
            </w:r>
            <w:r>
              <w:rPr>
                <w:rFonts w:hint="eastAsia"/>
                <w:b/>
                <w:sz w:val="20"/>
                <w:szCs w:val="20"/>
              </w:rPr>
              <w:t>符合性检查</w:t>
            </w:r>
          </w:p>
        </w:tc>
      </w:tr>
      <w:tr w14:paraId="3501F88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67B98E41">
            <w:pPr>
              <w:jc w:val="center"/>
              <w:rPr>
                <w:rFonts w:hint="eastAsia"/>
                <w:sz w:val="20"/>
                <w:szCs w:val="20"/>
              </w:rPr>
            </w:pPr>
            <w:r>
              <w:rPr>
                <w:rFonts w:hint="eastAsia"/>
                <w:sz w:val="20"/>
                <w:szCs w:val="20"/>
              </w:rPr>
              <w:t>项目名称或编号</w:t>
            </w:r>
          </w:p>
        </w:tc>
        <w:tc>
          <w:tcPr>
            <w:tcW w:w="982" w:type="dxa"/>
            <w:tcBorders>
              <w:right w:val="single" w:color="auto" w:sz="6" w:space="0"/>
            </w:tcBorders>
            <w:noWrap w:val="0"/>
            <w:vAlign w:val="center"/>
          </w:tcPr>
          <w:p w14:paraId="3EEE05C7">
            <w:pPr>
              <w:jc w:val="center"/>
              <w:rPr>
                <w:rFonts w:hint="eastAsia"/>
                <w:sz w:val="20"/>
                <w:szCs w:val="20"/>
              </w:rPr>
            </w:pPr>
            <w:r>
              <w:rPr>
                <w:rFonts w:hint="eastAsia"/>
                <w:sz w:val="20"/>
                <w:szCs w:val="20"/>
              </w:rPr>
              <w:t>项目编码错误</w:t>
            </w:r>
          </w:p>
        </w:tc>
        <w:tc>
          <w:tcPr>
            <w:tcW w:w="982" w:type="dxa"/>
            <w:tcBorders>
              <w:left w:val="single" w:color="auto" w:sz="6" w:space="0"/>
            </w:tcBorders>
            <w:noWrap w:val="0"/>
            <w:vAlign w:val="center"/>
          </w:tcPr>
          <w:p w14:paraId="3A9B8E68">
            <w:pPr>
              <w:jc w:val="center"/>
              <w:rPr>
                <w:rFonts w:hint="eastAsia"/>
                <w:sz w:val="20"/>
                <w:szCs w:val="20"/>
              </w:rPr>
            </w:pPr>
            <w:r>
              <w:rPr>
                <w:rFonts w:hint="eastAsia"/>
                <w:sz w:val="20"/>
                <w:szCs w:val="20"/>
              </w:rPr>
              <w:t>项目名称错误</w:t>
            </w:r>
          </w:p>
        </w:tc>
        <w:tc>
          <w:tcPr>
            <w:tcW w:w="983" w:type="dxa"/>
            <w:tcBorders>
              <w:left w:val="single" w:color="auto" w:sz="6" w:space="0"/>
            </w:tcBorders>
            <w:noWrap w:val="0"/>
            <w:vAlign w:val="center"/>
          </w:tcPr>
          <w:p w14:paraId="2B2E0A4F">
            <w:pPr>
              <w:jc w:val="center"/>
              <w:rPr>
                <w:rFonts w:hint="eastAsia"/>
                <w:sz w:val="20"/>
                <w:szCs w:val="20"/>
              </w:rPr>
            </w:pPr>
            <w:r>
              <w:rPr>
                <w:rFonts w:hint="eastAsia"/>
                <w:sz w:val="20"/>
                <w:szCs w:val="20"/>
              </w:rPr>
              <w:t>项目特征描述错误</w:t>
            </w:r>
          </w:p>
        </w:tc>
        <w:tc>
          <w:tcPr>
            <w:tcW w:w="982" w:type="dxa"/>
            <w:tcBorders>
              <w:right w:val="single" w:color="auto" w:sz="6" w:space="0"/>
            </w:tcBorders>
            <w:noWrap w:val="0"/>
            <w:vAlign w:val="center"/>
          </w:tcPr>
          <w:p w14:paraId="728AC4A7">
            <w:pPr>
              <w:jc w:val="center"/>
              <w:rPr>
                <w:rFonts w:hint="eastAsia"/>
                <w:sz w:val="20"/>
                <w:szCs w:val="20"/>
              </w:rPr>
            </w:pPr>
            <w:r>
              <w:rPr>
                <w:rFonts w:hint="eastAsia"/>
                <w:sz w:val="20"/>
                <w:szCs w:val="20"/>
              </w:rPr>
              <w:t>计量单位错误</w:t>
            </w:r>
          </w:p>
        </w:tc>
        <w:tc>
          <w:tcPr>
            <w:tcW w:w="982" w:type="dxa"/>
            <w:noWrap w:val="0"/>
            <w:vAlign w:val="center"/>
          </w:tcPr>
          <w:p w14:paraId="6754075A">
            <w:pPr>
              <w:jc w:val="center"/>
              <w:rPr>
                <w:rFonts w:hint="eastAsia"/>
                <w:sz w:val="20"/>
                <w:szCs w:val="20"/>
              </w:rPr>
            </w:pPr>
            <w:r>
              <w:rPr>
                <w:rFonts w:hint="eastAsia"/>
                <w:sz w:val="20"/>
                <w:szCs w:val="20"/>
              </w:rPr>
              <w:t>工程量</w:t>
            </w:r>
          </w:p>
          <w:p w14:paraId="2DEB338F">
            <w:pPr>
              <w:jc w:val="center"/>
              <w:rPr>
                <w:rFonts w:hint="eastAsia"/>
                <w:sz w:val="20"/>
                <w:szCs w:val="20"/>
              </w:rPr>
            </w:pPr>
            <w:r>
              <w:rPr>
                <w:rFonts w:hint="eastAsia"/>
                <w:sz w:val="20"/>
                <w:szCs w:val="20"/>
              </w:rPr>
              <w:t>错误</w:t>
            </w:r>
          </w:p>
        </w:tc>
        <w:tc>
          <w:tcPr>
            <w:tcW w:w="983" w:type="dxa"/>
            <w:tcBorders>
              <w:right w:val="single" w:color="auto" w:sz="6" w:space="0"/>
            </w:tcBorders>
            <w:noWrap w:val="0"/>
            <w:vAlign w:val="center"/>
          </w:tcPr>
          <w:p w14:paraId="3E1DF1D4">
            <w:pPr>
              <w:jc w:val="center"/>
              <w:rPr>
                <w:rFonts w:hint="eastAsia"/>
                <w:sz w:val="20"/>
                <w:szCs w:val="20"/>
              </w:rPr>
            </w:pPr>
            <w:r>
              <w:rPr>
                <w:rFonts w:hint="eastAsia"/>
                <w:sz w:val="20"/>
                <w:szCs w:val="20"/>
              </w:rPr>
              <w:t>未填报</w:t>
            </w:r>
          </w:p>
        </w:tc>
        <w:tc>
          <w:tcPr>
            <w:tcW w:w="982" w:type="dxa"/>
            <w:tcBorders>
              <w:right w:val="single" w:color="auto" w:sz="6" w:space="0"/>
            </w:tcBorders>
            <w:noWrap w:val="0"/>
            <w:vAlign w:val="center"/>
          </w:tcPr>
          <w:p w14:paraId="67C40C9F">
            <w:pPr>
              <w:jc w:val="center"/>
              <w:rPr>
                <w:rFonts w:hint="eastAsia"/>
                <w:sz w:val="20"/>
                <w:szCs w:val="20"/>
              </w:rPr>
            </w:pPr>
            <w:r>
              <w:rPr>
                <w:rFonts w:hint="eastAsia"/>
                <w:sz w:val="20"/>
                <w:szCs w:val="20"/>
              </w:rPr>
              <w:t>多项</w:t>
            </w:r>
          </w:p>
        </w:tc>
        <w:tc>
          <w:tcPr>
            <w:tcW w:w="982" w:type="dxa"/>
            <w:tcBorders>
              <w:right w:val="single" w:color="auto" w:sz="6" w:space="0"/>
            </w:tcBorders>
            <w:noWrap w:val="0"/>
            <w:vAlign w:val="center"/>
          </w:tcPr>
          <w:p w14:paraId="7182BFE6">
            <w:pPr>
              <w:jc w:val="center"/>
              <w:rPr>
                <w:rFonts w:hint="eastAsia"/>
                <w:sz w:val="20"/>
                <w:szCs w:val="20"/>
              </w:rPr>
            </w:pPr>
            <w:r>
              <w:rPr>
                <w:rFonts w:hint="eastAsia"/>
                <w:sz w:val="20"/>
                <w:szCs w:val="20"/>
              </w:rPr>
              <w:t>单价</w:t>
            </w:r>
          </w:p>
          <w:p w14:paraId="6E541AEF">
            <w:pPr>
              <w:jc w:val="center"/>
              <w:rPr>
                <w:rFonts w:hint="eastAsia"/>
                <w:sz w:val="20"/>
                <w:szCs w:val="20"/>
              </w:rPr>
            </w:pPr>
            <w:r>
              <w:rPr>
                <w:rFonts w:hint="eastAsia"/>
                <w:sz w:val="20"/>
                <w:szCs w:val="20"/>
              </w:rPr>
              <w:t>一致性</w:t>
            </w:r>
          </w:p>
        </w:tc>
      </w:tr>
      <w:tr w14:paraId="10ECBDA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1DDF9483">
            <w:pPr>
              <w:jc w:val="center"/>
              <w:rPr>
                <w:rFonts w:hint="eastAsia" w:ascii="黑体" w:eastAsia="黑体"/>
                <w:szCs w:val="21"/>
              </w:rPr>
            </w:pPr>
          </w:p>
        </w:tc>
        <w:tc>
          <w:tcPr>
            <w:tcW w:w="982" w:type="dxa"/>
            <w:tcBorders>
              <w:right w:val="single" w:color="auto" w:sz="6" w:space="0"/>
            </w:tcBorders>
            <w:noWrap w:val="0"/>
            <w:vAlign w:val="center"/>
          </w:tcPr>
          <w:p w14:paraId="6287BBD9">
            <w:pPr>
              <w:jc w:val="center"/>
              <w:rPr>
                <w:rFonts w:hint="eastAsia"/>
                <w:szCs w:val="21"/>
              </w:rPr>
            </w:pPr>
          </w:p>
        </w:tc>
        <w:tc>
          <w:tcPr>
            <w:tcW w:w="982" w:type="dxa"/>
            <w:tcBorders>
              <w:left w:val="single" w:color="auto" w:sz="6" w:space="0"/>
            </w:tcBorders>
            <w:noWrap w:val="0"/>
            <w:vAlign w:val="center"/>
          </w:tcPr>
          <w:p w14:paraId="48530839">
            <w:pPr>
              <w:jc w:val="center"/>
              <w:rPr>
                <w:rFonts w:hint="eastAsia"/>
                <w:szCs w:val="21"/>
              </w:rPr>
            </w:pPr>
          </w:p>
        </w:tc>
        <w:tc>
          <w:tcPr>
            <w:tcW w:w="983" w:type="dxa"/>
            <w:tcBorders>
              <w:left w:val="single" w:color="auto" w:sz="6" w:space="0"/>
            </w:tcBorders>
            <w:noWrap w:val="0"/>
            <w:vAlign w:val="center"/>
          </w:tcPr>
          <w:p w14:paraId="35B7B7CE">
            <w:pPr>
              <w:jc w:val="center"/>
              <w:rPr>
                <w:rFonts w:hint="eastAsia"/>
                <w:szCs w:val="21"/>
              </w:rPr>
            </w:pPr>
          </w:p>
        </w:tc>
        <w:tc>
          <w:tcPr>
            <w:tcW w:w="982" w:type="dxa"/>
            <w:tcBorders>
              <w:right w:val="single" w:color="auto" w:sz="6" w:space="0"/>
            </w:tcBorders>
            <w:noWrap w:val="0"/>
            <w:vAlign w:val="center"/>
          </w:tcPr>
          <w:p w14:paraId="55BB3D74">
            <w:pPr>
              <w:jc w:val="center"/>
              <w:rPr>
                <w:rFonts w:hint="eastAsia"/>
                <w:szCs w:val="21"/>
              </w:rPr>
            </w:pPr>
          </w:p>
        </w:tc>
        <w:tc>
          <w:tcPr>
            <w:tcW w:w="982" w:type="dxa"/>
            <w:noWrap w:val="0"/>
            <w:vAlign w:val="center"/>
          </w:tcPr>
          <w:p w14:paraId="26B43990">
            <w:pPr>
              <w:jc w:val="center"/>
              <w:rPr>
                <w:rFonts w:hint="eastAsia"/>
                <w:szCs w:val="21"/>
              </w:rPr>
            </w:pPr>
          </w:p>
        </w:tc>
        <w:tc>
          <w:tcPr>
            <w:tcW w:w="983" w:type="dxa"/>
            <w:tcBorders>
              <w:right w:val="single" w:color="auto" w:sz="6" w:space="0"/>
            </w:tcBorders>
            <w:noWrap w:val="0"/>
            <w:vAlign w:val="center"/>
          </w:tcPr>
          <w:p w14:paraId="5B585EE1">
            <w:pPr>
              <w:jc w:val="center"/>
              <w:rPr>
                <w:rFonts w:hint="eastAsia"/>
                <w:szCs w:val="21"/>
              </w:rPr>
            </w:pPr>
          </w:p>
        </w:tc>
        <w:tc>
          <w:tcPr>
            <w:tcW w:w="982" w:type="dxa"/>
            <w:tcBorders>
              <w:right w:val="single" w:color="auto" w:sz="6" w:space="0"/>
            </w:tcBorders>
            <w:noWrap w:val="0"/>
            <w:vAlign w:val="center"/>
          </w:tcPr>
          <w:p w14:paraId="448CCF61">
            <w:pPr>
              <w:jc w:val="center"/>
              <w:rPr>
                <w:rFonts w:hint="eastAsia"/>
                <w:szCs w:val="21"/>
              </w:rPr>
            </w:pPr>
          </w:p>
        </w:tc>
        <w:tc>
          <w:tcPr>
            <w:tcW w:w="982" w:type="dxa"/>
            <w:tcBorders>
              <w:right w:val="single" w:color="auto" w:sz="6" w:space="0"/>
            </w:tcBorders>
            <w:noWrap w:val="0"/>
            <w:vAlign w:val="center"/>
          </w:tcPr>
          <w:p w14:paraId="128DB30B">
            <w:pPr>
              <w:jc w:val="center"/>
              <w:rPr>
                <w:rFonts w:hint="eastAsia"/>
                <w:szCs w:val="21"/>
              </w:rPr>
            </w:pPr>
          </w:p>
        </w:tc>
      </w:tr>
      <w:tr w14:paraId="2D1188D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29F51CB3">
            <w:pPr>
              <w:jc w:val="center"/>
              <w:rPr>
                <w:rFonts w:hint="eastAsia" w:ascii="黑体" w:eastAsia="黑体"/>
                <w:szCs w:val="21"/>
              </w:rPr>
            </w:pPr>
          </w:p>
        </w:tc>
        <w:tc>
          <w:tcPr>
            <w:tcW w:w="982" w:type="dxa"/>
            <w:tcBorders>
              <w:right w:val="single" w:color="auto" w:sz="6" w:space="0"/>
            </w:tcBorders>
            <w:noWrap w:val="0"/>
            <w:vAlign w:val="center"/>
          </w:tcPr>
          <w:p w14:paraId="47179A43">
            <w:pPr>
              <w:jc w:val="center"/>
              <w:rPr>
                <w:rFonts w:hint="eastAsia"/>
                <w:szCs w:val="21"/>
              </w:rPr>
            </w:pPr>
          </w:p>
        </w:tc>
        <w:tc>
          <w:tcPr>
            <w:tcW w:w="982" w:type="dxa"/>
            <w:tcBorders>
              <w:left w:val="single" w:color="auto" w:sz="6" w:space="0"/>
            </w:tcBorders>
            <w:noWrap w:val="0"/>
            <w:vAlign w:val="center"/>
          </w:tcPr>
          <w:p w14:paraId="161C318F">
            <w:pPr>
              <w:jc w:val="center"/>
              <w:rPr>
                <w:rFonts w:hint="eastAsia"/>
                <w:szCs w:val="21"/>
              </w:rPr>
            </w:pPr>
          </w:p>
        </w:tc>
        <w:tc>
          <w:tcPr>
            <w:tcW w:w="983" w:type="dxa"/>
            <w:tcBorders>
              <w:left w:val="single" w:color="auto" w:sz="6" w:space="0"/>
            </w:tcBorders>
            <w:noWrap w:val="0"/>
            <w:vAlign w:val="center"/>
          </w:tcPr>
          <w:p w14:paraId="7FDF00AF">
            <w:pPr>
              <w:jc w:val="center"/>
              <w:rPr>
                <w:rFonts w:hint="eastAsia"/>
                <w:szCs w:val="21"/>
              </w:rPr>
            </w:pPr>
          </w:p>
        </w:tc>
        <w:tc>
          <w:tcPr>
            <w:tcW w:w="982" w:type="dxa"/>
            <w:tcBorders>
              <w:right w:val="single" w:color="auto" w:sz="6" w:space="0"/>
            </w:tcBorders>
            <w:noWrap w:val="0"/>
            <w:vAlign w:val="center"/>
          </w:tcPr>
          <w:p w14:paraId="315622EA">
            <w:pPr>
              <w:jc w:val="center"/>
              <w:rPr>
                <w:rFonts w:hint="eastAsia"/>
                <w:szCs w:val="21"/>
              </w:rPr>
            </w:pPr>
          </w:p>
        </w:tc>
        <w:tc>
          <w:tcPr>
            <w:tcW w:w="982" w:type="dxa"/>
            <w:noWrap w:val="0"/>
            <w:vAlign w:val="center"/>
          </w:tcPr>
          <w:p w14:paraId="1D01757D">
            <w:pPr>
              <w:jc w:val="center"/>
              <w:rPr>
                <w:rFonts w:hint="eastAsia"/>
                <w:szCs w:val="21"/>
              </w:rPr>
            </w:pPr>
          </w:p>
        </w:tc>
        <w:tc>
          <w:tcPr>
            <w:tcW w:w="983" w:type="dxa"/>
            <w:tcBorders>
              <w:right w:val="single" w:color="auto" w:sz="6" w:space="0"/>
            </w:tcBorders>
            <w:noWrap w:val="0"/>
            <w:vAlign w:val="center"/>
          </w:tcPr>
          <w:p w14:paraId="2B1A32C9">
            <w:pPr>
              <w:jc w:val="center"/>
              <w:rPr>
                <w:rFonts w:hint="eastAsia"/>
                <w:szCs w:val="21"/>
              </w:rPr>
            </w:pPr>
          </w:p>
        </w:tc>
        <w:tc>
          <w:tcPr>
            <w:tcW w:w="982" w:type="dxa"/>
            <w:tcBorders>
              <w:right w:val="single" w:color="auto" w:sz="6" w:space="0"/>
            </w:tcBorders>
            <w:noWrap w:val="0"/>
            <w:vAlign w:val="center"/>
          </w:tcPr>
          <w:p w14:paraId="1AAA1193">
            <w:pPr>
              <w:jc w:val="center"/>
              <w:rPr>
                <w:rFonts w:hint="eastAsia"/>
                <w:szCs w:val="21"/>
              </w:rPr>
            </w:pPr>
          </w:p>
        </w:tc>
        <w:tc>
          <w:tcPr>
            <w:tcW w:w="982" w:type="dxa"/>
            <w:tcBorders>
              <w:right w:val="single" w:color="auto" w:sz="6" w:space="0"/>
            </w:tcBorders>
            <w:noWrap w:val="0"/>
            <w:vAlign w:val="center"/>
          </w:tcPr>
          <w:p w14:paraId="6D264FC9">
            <w:pPr>
              <w:jc w:val="center"/>
              <w:rPr>
                <w:rFonts w:hint="eastAsia"/>
                <w:szCs w:val="21"/>
              </w:rPr>
            </w:pPr>
          </w:p>
        </w:tc>
      </w:tr>
      <w:tr w14:paraId="48AFAAD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1548AEA3">
            <w:pPr>
              <w:jc w:val="center"/>
              <w:rPr>
                <w:rFonts w:hint="eastAsia" w:ascii="黑体" w:eastAsia="黑体"/>
                <w:szCs w:val="21"/>
              </w:rPr>
            </w:pPr>
          </w:p>
        </w:tc>
        <w:tc>
          <w:tcPr>
            <w:tcW w:w="982" w:type="dxa"/>
            <w:tcBorders>
              <w:right w:val="single" w:color="auto" w:sz="6" w:space="0"/>
            </w:tcBorders>
            <w:noWrap w:val="0"/>
            <w:vAlign w:val="center"/>
          </w:tcPr>
          <w:p w14:paraId="39445362">
            <w:pPr>
              <w:jc w:val="center"/>
              <w:rPr>
                <w:rFonts w:hint="eastAsia"/>
                <w:szCs w:val="21"/>
              </w:rPr>
            </w:pPr>
          </w:p>
        </w:tc>
        <w:tc>
          <w:tcPr>
            <w:tcW w:w="982" w:type="dxa"/>
            <w:tcBorders>
              <w:left w:val="single" w:color="auto" w:sz="6" w:space="0"/>
            </w:tcBorders>
            <w:noWrap w:val="0"/>
            <w:vAlign w:val="center"/>
          </w:tcPr>
          <w:p w14:paraId="30F9CBD2">
            <w:pPr>
              <w:jc w:val="center"/>
              <w:rPr>
                <w:rFonts w:hint="eastAsia"/>
                <w:szCs w:val="21"/>
              </w:rPr>
            </w:pPr>
          </w:p>
        </w:tc>
        <w:tc>
          <w:tcPr>
            <w:tcW w:w="983" w:type="dxa"/>
            <w:tcBorders>
              <w:left w:val="single" w:color="auto" w:sz="6" w:space="0"/>
            </w:tcBorders>
            <w:noWrap w:val="0"/>
            <w:vAlign w:val="center"/>
          </w:tcPr>
          <w:p w14:paraId="44F85FC4">
            <w:pPr>
              <w:jc w:val="center"/>
              <w:rPr>
                <w:rFonts w:hint="eastAsia"/>
                <w:szCs w:val="21"/>
              </w:rPr>
            </w:pPr>
          </w:p>
        </w:tc>
        <w:tc>
          <w:tcPr>
            <w:tcW w:w="982" w:type="dxa"/>
            <w:tcBorders>
              <w:right w:val="single" w:color="auto" w:sz="6" w:space="0"/>
            </w:tcBorders>
            <w:noWrap w:val="0"/>
            <w:vAlign w:val="center"/>
          </w:tcPr>
          <w:p w14:paraId="1CBA2D60">
            <w:pPr>
              <w:jc w:val="center"/>
              <w:rPr>
                <w:rFonts w:hint="eastAsia"/>
                <w:szCs w:val="21"/>
              </w:rPr>
            </w:pPr>
          </w:p>
        </w:tc>
        <w:tc>
          <w:tcPr>
            <w:tcW w:w="982" w:type="dxa"/>
            <w:noWrap w:val="0"/>
            <w:vAlign w:val="center"/>
          </w:tcPr>
          <w:p w14:paraId="19A92625">
            <w:pPr>
              <w:jc w:val="center"/>
              <w:rPr>
                <w:rFonts w:hint="eastAsia"/>
                <w:szCs w:val="21"/>
              </w:rPr>
            </w:pPr>
          </w:p>
        </w:tc>
        <w:tc>
          <w:tcPr>
            <w:tcW w:w="983" w:type="dxa"/>
            <w:tcBorders>
              <w:right w:val="single" w:color="auto" w:sz="6" w:space="0"/>
            </w:tcBorders>
            <w:noWrap w:val="0"/>
            <w:vAlign w:val="center"/>
          </w:tcPr>
          <w:p w14:paraId="190335C2">
            <w:pPr>
              <w:jc w:val="center"/>
              <w:rPr>
                <w:rFonts w:hint="eastAsia"/>
                <w:szCs w:val="21"/>
              </w:rPr>
            </w:pPr>
          </w:p>
        </w:tc>
        <w:tc>
          <w:tcPr>
            <w:tcW w:w="982" w:type="dxa"/>
            <w:tcBorders>
              <w:right w:val="single" w:color="auto" w:sz="6" w:space="0"/>
            </w:tcBorders>
            <w:noWrap w:val="0"/>
            <w:vAlign w:val="center"/>
          </w:tcPr>
          <w:p w14:paraId="38E24B85">
            <w:pPr>
              <w:jc w:val="center"/>
              <w:rPr>
                <w:rFonts w:hint="eastAsia"/>
                <w:szCs w:val="21"/>
              </w:rPr>
            </w:pPr>
          </w:p>
        </w:tc>
        <w:tc>
          <w:tcPr>
            <w:tcW w:w="982" w:type="dxa"/>
            <w:tcBorders>
              <w:right w:val="single" w:color="auto" w:sz="6" w:space="0"/>
            </w:tcBorders>
            <w:noWrap w:val="0"/>
            <w:vAlign w:val="center"/>
          </w:tcPr>
          <w:p w14:paraId="7178E0B3">
            <w:pPr>
              <w:jc w:val="center"/>
              <w:rPr>
                <w:rFonts w:hint="eastAsia"/>
                <w:szCs w:val="21"/>
              </w:rPr>
            </w:pPr>
          </w:p>
        </w:tc>
      </w:tr>
      <w:tr w14:paraId="4354FA4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6B1740F9">
            <w:pPr>
              <w:jc w:val="center"/>
              <w:rPr>
                <w:rFonts w:hint="eastAsia" w:ascii="黑体" w:eastAsia="黑体"/>
                <w:szCs w:val="21"/>
              </w:rPr>
            </w:pPr>
          </w:p>
        </w:tc>
        <w:tc>
          <w:tcPr>
            <w:tcW w:w="982" w:type="dxa"/>
            <w:tcBorders>
              <w:right w:val="single" w:color="auto" w:sz="6" w:space="0"/>
            </w:tcBorders>
            <w:noWrap w:val="0"/>
            <w:vAlign w:val="center"/>
          </w:tcPr>
          <w:p w14:paraId="43482641">
            <w:pPr>
              <w:jc w:val="center"/>
              <w:rPr>
                <w:rFonts w:hint="eastAsia"/>
                <w:szCs w:val="21"/>
              </w:rPr>
            </w:pPr>
          </w:p>
        </w:tc>
        <w:tc>
          <w:tcPr>
            <w:tcW w:w="982" w:type="dxa"/>
            <w:tcBorders>
              <w:left w:val="single" w:color="auto" w:sz="6" w:space="0"/>
            </w:tcBorders>
            <w:noWrap w:val="0"/>
            <w:vAlign w:val="center"/>
          </w:tcPr>
          <w:p w14:paraId="0C5A9A09">
            <w:pPr>
              <w:jc w:val="center"/>
              <w:rPr>
                <w:rFonts w:hint="eastAsia"/>
                <w:szCs w:val="21"/>
              </w:rPr>
            </w:pPr>
          </w:p>
        </w:tc>
        <w:tc>
          <w:tcPr>
            <w:tcW w:w="983" w:type="dxa"/>
            <w:tcBorders>
              <w:left w:val="single" w:color="auto" w:sz="6" w:space="0"/>
            </w:tcBorders>
            <w:noWrap w:val="0"/>
            <w:vAlign w:val="center"/>
          </w:tcPr>
          <w:p w14:paraId="5641365D">
            <w:pPr>
              <w:jc w:val="center"/>
              <w:rPr>
                <w:rFonts w:hint="eastAsia"/>
                <w:szCs w:val="21"/>
              </w:rPr>
            </w:pPr>
          </w:p>
        </w:tc>
        <w:tc>
          <w:tcPr>
            <w:tcW w:w="982" w:type="dxa"/>
            <w:tcBorders>
              <w:right w:val="single" w:color="auto" w:sz="6" w:space="0"/>
            </w:tcBorders>
            <w:noWrap w:val="0"/>
            <w:vAlign w:val="center"/>
          </w:tcPr>
          <w:p w14:paraId="382093EA">
            <w:pPr>
              <w:jc w:val="center"/>
              <w:rPr>
                <w:rFonts w:hint="eastAsia"/>
                <w:szCs w:val="21"/>
              </w:rPr>
            </w:pPr>
          </w:p>
        </w:tc>
        <w:tc>
          <w:tcPr>
            <w:tcW w:w="982" w:type="dxa"/>
            <w:noWrap w:val="0"/>
            <w:vAlign w:val="center"/>
          </w:tcPr>
          <w:p w14:paraId="579F9CDD">
            <w:pPr>
              <w:jc w:val="center"/>
              <w:rPr>
                <w:rFonts w:hint="eastAsia"/>
                <w:szCs w:val="21"/>
              </w:rPr>
            </w:pPr>
          </w:p>
        </w:tc>
        <w:tc>
          <w:tcPr>
            <w:tcW w:w="983" w:type="dxa"/>
            <w:tcBorders>
              <w:right w:val="single" w:color="auto" w:sz="6" w:space="0"/>
            </w:tcBorders>
            <w:noWrap w:val="0"/>
            <w:vAlign w:val="center"/>
          </w:tcPr>
          <w:p w14:paraId="359379AB">
            <w:pPr>
              <w:jc w:val="center"/>
              <w:rPr>
                <w:rFonts w:hint="eastAsia"/>
                <w:szCs w:val="21"/>
              </w:rPr>
            </w:pPr>
          </w:p>
        </w:tc>
        <w:tc>
          <w:tcPr>
            <w:tcW w:w="982" w:type="dxa"/>
            <w:tcBorders>
              <w:right w:val="single" w:color="auto" w:sz="6" w:space="0"/>
            </w:tcBorders>
            <w:noWrap w:val="0"/>
            <w:vAlign w:val="center"/>
          </w:tcPr>
          <w:p w14:paraId="00862AF0">
            <w:pPr>
              <w:jc w:val="center"/>
              <w:rPr>
                <w:rFonts w:hint="eastAsia"/>
                <w:szCs w:val="21"/>
              </w:rPr>
            </w:pPr>
          </w:p>
        </w:tc>
        <w:tc>
          <w:tcPr>
            <w:tcW w:w="982" w:type="dxa"/>
            <w:tcBorders>
              <w:right w:val="single" w:color="auto" w:sz="6" w:space="0"/>
            </w:tcBorders>
            <w:noWrap w:val="0"/>
            <w:vAlign w:val="center"/>
          </w:tcPr>
          <w:p w14:paraId="47EE1282">
            <w:pPr>
              <w:jc w:val="center"/>
              <w:rPr>
                <w:rFonts w:hint="eastAsia"/>
                <w:szCs w:val="21"/>
              </w:rPr>
            </w:pPr>
          </w:p>
        </w:tc>
      </w:tr>
      <w:tr w14:paraId="05CCC5C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248341DB">
            <w:pPr>
              <w:jc w:val="center"/>
              <w:rPr>
                <w:rFonts w:hint="eastAsia" w:ascii="黑体" w:eastAsia="黑体"/>
                <w:szCs w:val="21"/>
              </w:rPr>
            </w:pPr>
          </w:p>
        </w:tc>
        <w:tc>
          <w:tcPr>
            <w:tcW w:w="982" w:type="dxa"/>
            <w:tcBorders>
              <w:right w:val="single" w:color="auto" w:sz="6" w:space="0"/>
            </w:tcBorders>
            <w:noWrap w:val="0"/>
            <w:vAlign w:val="center"/>
          </w:tcPr>
          <w:p w14:paraId="13127E8E">
            <w:pPr>
              <w:jc w:val="center"/>
              <w:rPr>
                <w:rFonts w:hint="eastAsia"/>
                <w:szCs w:val="21"/>
              </w:rPr>
            </w:pPr>
          </w:p>
        </w:tc>
        <w:tc>
          <w:tcPr>
            <w:tcW w:w="982" w:type="dxa"/>
            <w:tcBorders>
              <w:left w:val="single" w:color="auto" w:sz="6" w:space="0"/>
            </w:tcBorders>
            <w:noWrap w:val="0"/>
            <w:vAlign w:val="center"/>
          </w:tcPr>
          <w:p w14:paraId="6CDEB976">
            <w:pPr>
              <w:jc w:val="center"/>
              <w:rPr>
                <w:rFonts w:hint="eastAsia"/>
                <w:szCs w:val="21"/>
              </w:rPr>
            </w:pPr>
          </w:p>
        </w:tc>
        <w:tc>
          <w:tcPr>
            <w:tcW w:w="983" w:type="dxa"/>
            <w:tcBorders>
              <w:left w:val="single" w:color="auto" w:sz="6" w:space="0"/>
            </w:tcBorders>
            <w:noWrap w:val="0"/>
            <w:vAlign w:val="center"/>
          </w:tcPr>
          <w:p w14:paraId="272E284D">
            <w:pPr>
              <w:jc w:val="center"/>
              <w:rPr>
                <w:rFonts w:hint="eastAsia"/>
                <w:szCs w:val="21"/>
              </w:rPr>
            </w:pPr>
          </w:p>
        </w:tc>
        <w:tc>
          <w:tcPr>
            <w:tcW w:w="982" w:type="dxa"/>
            <w:tcBorders>
              <w:right w:val="single" w:color="auto" w:sz="6" w:space="0"/>
            </w:tcBorders>
            <w:noWrap w:val="0"/>
            <w:vAlign w:val="center"/>
          </w:tcPr>
          <w:p w14:paraId="24428F64">
            <w:pPr>
              <w:jc w:val="center"/>
              <w:rPr>
                <w:rFonts w:hint="eastAsia"/>
                <w:szCs w:val="21"/>
              </w:rPr>
            </w:pPr>
          </w:p>
        </w:tc>
        <w:tc>
          <w:tcPr>
            <w:tcW w:w="982" w:type="dxa"/>
            <w:noWrap w:val="0"/>
            <w:vAlign w:val="center"/>
          </w:tcPr>
          <w:p w14:paraId="76890C0D">
            <w:pPr>
              <w:jc w:val="center"/>
              <w:rPr>
                <w:rFonts w:hint="eastAsia"/>
                <w:szCs w:val="21"/>
              </w:rPr>
            </w:pPr>
          </w:p>
        </w:tc>
        <w:tc>
          <w:tcPr>
            <w:tcW w:w="983" w:type="dxa"/>
            <w:tcBorders>
              <w:right w:val="single" w:color="auto" w:sz="6" w:space="0"/>
            </w:tcBorders>
            <w:noWrap w:val="0"/>
            <w:vAlign w:val="center"/>
          </w:tcPr>
          <w:p w14:paraId="3E0972D6">
            <w:pPr>
              <w:jc w:val="center"/>
              <w:rPr>
                <w:rFonts w:hint="eastAsia"/>
                <w:szCs w:val="21"/>
              </w:rPr>
            </w:pPr>
          </w:p>
        </w:tc>
        <w:tc>
          <w:tcPr>
            <w:tcW w:w="982" w:type="dxa"/>
            <w:tcBorders>
              <w:right w:val="single" w:color="auto" w:sz="6" w:space="0"/>
            </w:tcBorders>
            <w:noWrap w:val="0"/>
            <w:vAlign w:val="center"/>
          </w:tcPr>
          <w:p w14:paraId="4FFC95A4">
            <w:pPr>
              <w:jc w:val="center"/>
              <w:rPr>
                <w:rFonts w:hint="eastAsia"/>
                <w:szCs w:val="21"/>
              </w:rPr>
            </w:pPr>
          </w:p>
        </w:tc>
        <w:tc>
          <w:tcPr>
            <w:tcW w:w="982" w:type="dxa"/>
            <w:tcBorders>
              <w:right w:val="single" w:color="auto" w:sz="6" w:space="0"/>
            </w:tcBorders>
            <w:noWrap w:val="0"/>
            <w:vAlign w:val="center"/>
          </w:tcPr>
          <w:p w14:paraId="2F879D13">
            <w:pPr>
              <w:jc w:val="center"/>
              <w:rPr>
                <w:rFonts w:hint="eastAsia"/>
                <w:szCs w:val="21"/>
              </w:rPr>
            </w:pPr>
          </w:p>
        </w:tc>
      </w:tr>
      <w:tr w14:paraId="434044E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0F879422">
            <w:pPr>
              <w:jc w:val="center"/>
              <w:rPr>
                <w:rFonts w:hint="eastAsia" w:ascii="黑体" w:eastAsia="黑体"/>
                <w:szCs w:val="21"/>
              </w:rPr>
            </w:pPr>
          </w:p>
        </w:tc>
        <w:tc>
          <w:tcPr>
            <w:tcW w:w="982" w:type="dxa"/>
            <w:tcBorders>
              <w:right w:val="single" w:color="auto" w:sz="6" w:space="0"/>
            </w:tcBorders>
            <w:noWrap w:val="0"/>
            <w:vAlign w:val="center"/>
          </w:tcPr>
          <w:p w14:paraId="1F32B01E">
            <w:pPr>
              <w:jc w:val="center"/>
              <w:rPr>
                <w:rFonts w:hint="eastAsia"/>
                <w:szCs w:val="21"/>
              </w:rPr>
            </w:pPr>
          </w:p>
        </w:tc>
        <w:tc>
          <w:tcPr>
            <w:tcW w:w="982" w:type="dxa"/>
            <w:tcBorders>
              <w:left w:val="single" w:color="auto" w:sz="6" w:space="0"/>
            </w:tcBorders>
            <w:noWrap w:val="0"/>
            <w:vAlign w:val="center"/>
          </w:tcPr>
          <w:p w14:paraId="10A9EF2D">
            <w:pPr>
              <w:jc w:val="center"/>
              <w:rPr>
                <w:rFonts w:hint="eastAsia"/>
                <w:szCs w:val="21"/>
              </w:rPr>
            </w:pPr>
          </w:p>
        </w:tc>
        <w:tc>
          <w:tcPr>
            <w:tcW w:w="983" w:type="dxa"/>
            <w:tcBorders>
              <w:left w:val="single" w:color="auto" w:sz="6" w:space="0"/>
            </w:tcBorders>
            <w:noWrap w:val="0"/>
            <w:vAlign w:val="center"/>
          </w:tcPr>
          <w:p w14:paraId="1AC181A0">
            <w:pPr>
              <w:jc w:val="center"/>
              <w:rPr>
                <w:rFonts w:hint="eastAsia"/>
                <w:szCs w:val="21"/>
              </w:rPr>
            </w:pPr>
          </w:p>
        </w:tc>
        <w:tc>
          <w:tcPr>
            <w:tcW w:w="982" w:type="dxa"/>
            <w:tcBorders>
              <w:right w:val="single" w:color="auto" w:sz="6" w:space="0"/>
            </w:tcBorders>
            <w:noWrap w:val="0"/>
            <w:vAlign w:val="center"/>
          </w:tcPr>
          <w:p w14:paraId="03A1A0E4">
            <w:pPr>
              <w:jc w:val="center"/>
              <w:rPr>
                <w:rFonts w:hint="eastAsia"/>
                <w:szCs w:val="21"/>
              </w:rPr>
            </w:pPr>
          </w:p>
        </w:tc>
        <w:tc>
          <w:tcPr>
            <w:tcW w:w="982" w:type="dxa"/>
            <w:noWrap w:val="0"/>
            <w:vAlign w:val="center"/>
          </w:tcPr>
          <w:p w14:paraId="172ABEE6">
            <w:pPr>
              <w:jc w:val="center"/>
              <w:rPr>
                <w:rFonts w:hint="eastAsia"/>
                <w:szCs w:val="21"/>
              </w:rPr>
            </w:pPr>
          </w:p>
        </w:tc>
        <w:tc>
          <w:tcPr>
            <w:tcW w:w="983" w:type="dxa"/>
            <w:tcBorders>
              <w:right w:val="single" w:color="auto" w:sz="6" w:space="0"/>
            </w:tcBorders>
            <w:noWrap w:val="0"/>
            <w:vAlign w:val="center"/>
          </w:tcPr>
          <w:p w14:paraId="2D1B856C">
            <w:pPr>
              <w:jc w:val="center"/>
              <w:rPr>
                <w:rFonts w:hint="eastAsia"/>
                <w:szCs w:val="21"/>
              </w:rPr>
            </w:pPr>
          </w:p>
        </w:tc>
        <w:tc>
          <w:tcPr>
            <w:tcW w:w="982" w:type="dxa"/>
            <w:tcBorders>
              <w:right w:val="single" w:color="auto" w:sz="6" w:space="0"/>
            </w:tcBorders>
            <w:noWrap w:val="0"/>
            <w:vAlign w:val="center"/>
          </w:tcPr>
          <w:p w14:paraId="0D54B4D6">
            <w:pPr>
              <w:jc w:val="center"/>
              <w:rPr>
                <w:rFonts w:hint="eastAsia"/>
                <w:szCs w:val="21"/>
              </w:rPr>
            </w:pPr>
          </w:p>
        </w:tc>
        <w:tc>
          <w:tcPr>
            <w:tcW w:w="982" w:type="dxa"/>
            <w:tcBorders>
              <w:right w:val="single" w:color="auto" w:sz="6" w:space="0"/>
            </w:tcBorders>
            <w:noWrap w:val="0"/>
            <w:vAlign w:val="center"/>
          </w:tcPr>
          <w:p w14:paraId="69BF6F7B">
            <w:pPr>
              <w:jc w:val="center"/>
              <w:rPr>
                <w:rFonts w:hint="eastAsia"/>
                <w:szCs w:val="21"/>
              </w:rPr>
            </w:pPr>
          </w:p>
        </w:tc>
      </w:tr>
      <w:tr w14:paraId="6D73F1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1B4D81FD">
            <w:pPr>
              <w:jc w:val="center"/>
              <w:rPr>
                <w:rFonts w:hint="eastAsia" w:ascii="黑体" w:eastAsia="黑体"/>
                <w:szCs w:val="21"/>
              </w:rPr>
            </w:pPr>
          </w:p>
        </w:tc>
        <w:tc>
          <w:tcPr>
            <w:tcW w:w="982" w:type="dxa"/>
            <w:tcBorders>
              <w:right w:val="single" w:color="auto" w:sz="6" w:space="0"/>
            </w:tcBorders>
            <w:noWrap w:val="0"/>
            <w:vAlign w:val="center"/>
          </w:tcPr>
          <w:p w14:paraId="7EBD06E9">
            <w:pPr>
              <w:jc w:val="center"/>
              <w:rPr>
                <w:rFonts w:hint="eastAsia"/>
                <w:szCs w:val="21"/>
              </w:rPr>
            </w:pPr>
          </w:p>
        </w:tc>
        <w:tc>
          <w:tcPr>
            <w:tcW w:w="982" w:type="dxa"/>
            <w:tcBorders>
              <w:left w:val="single" w:color="auto" w:sz="6" w:space="0"/>
            </w:tcBorders>
            <w:noWrap w:val="0"/>
            <w:vAlign w:val="center"/>
          </w:tcPr>
          <w:p w14:paraId="1B79F462">
            <w:pPr>
              <w:jc w:val="center"/>
              <w:rPr>
                <w:rFonts w:hint="eastAsia"/>
                <w:szCs w:val="21"/>
              </w:rPr>
            </w:pPr>
          </w:p>
        </w:tc>
        <w:tc>
          <w:tcPr>
            <w:tcW w:w="983" w:type="dxa"/>
            <w:tcBorders>
              <w:left w:val="single" w:color="auto" w:sz="6" w:space="0"/>
            </w:tcBorders>
            <w:noWrap w:val="0"/>
            <w:vAlign w:val="center"/>
          </w:tcPr>
          <w:p w14:paraId="29AC871F">
            <w:pPr>
              <w:jc w:val="center"/>
              <w:rPr>
                <w:rFonts w:hint="eastAsia"/>
                <w:szCs w:val="21"/>
              </w:rPr>
            </w:pPr>
          </w:p>
        </w:tc>
        <w:tc>
          <w:tcPr>
            <w:tcW w:w="982" w:type="dxa"/>
            <w:tcBorders>
              <w:right w:val="single" w:color="auto" w:sz="6" w:space="0"/>
            </w:tcBorders>
            <w:noWrap w:val="0"/>
            <w:vAlign w:val="center"/>
          </w:tcPr>
          <w:p w14:paraId="1F46EE38">
            <w:pPr>
              <w:jc w:val="center"/>
              <w:rPr>
                <w:rFonts w:hint="eastAsia"/>
                <w:szCs w:val="21"/>
              </w:rPr>
            </w:pPr>
          </w:p>
        </w:tc>
        <w:tc>
          <w:tcPr>
            <w:tcW w:w="982" w:type="dxa"/>
            <w:noWrap w:val="0"/>
            <w:vAlign w:val="center"/>
          </w:tcPr>
          <w:p w14:paraId="57C4C9A9">
            <w:pPr>
              <w:jc w:val="center"/>
              <w:rPr>
                <w:rFonts w:hint="eastAsia"/>
                <w:szCs w:val="21"/>
              </w:rPr>
            </w:pPr>
          </w:p>
        </w:tc>
        <w:tc>
          <w:tcPr>
            <w:tcW w:w="983" w:type="dxa"/>
            <w:tcBorders>
              <w:right w:val="single" w:color="auto" w:sz="6" w:space="0"/>
            </w:tcBorders>
            <w:noWrap w:val="0"/>
            <w:vAlign w:val="center"/>
          </w:tcPr>
          <w:p w14:paraId="447C7E28">
            <w:pPr>
              <w:jc w:val="center"/>
              <w:rPr>
                <w:rFonts w:hint="eastAsia"/>
                <w:szCs w:val="21"/>
              </w:rPr>
            </w:pPr>
          </w:p>
        </w:tc>
        <w:tc>
          <w:tcPr>
            <w:tcW w:w="982" w:type="dxa"/>
            <w:tcBorders>
              <w:right w:val="single" w:color="auto" w:sz="6" w:space="0"/>
            </w:tcBorders>
            <w:noWrap w:val="0"/>
            <w:vAlign w:val="center"/>
          </w:tcPr>
          <w:p w14:paraId="5DCB81D0">
            <w:pPr>
              <w:jc w:val="center"/>
              <w:rPr>
                <w:rFonts w:hint="eastAsia"/>
                <w:szCs w:val="21"/>
              </w:rPr>
            </w:pPr>
          </w:p>
        </w:tc>
        <w:tc>
          <w:tcPr>
            <w:tcW w:w="982" w:type="dxa"/>
            <w:tcBorders>
              <w:right w:val="single" w:color="auto" w:sz="6" w:space="0"/>
            </w:tcBorders>
            <w:noWrap w:val="0"/>
            <w:vAlign w:val="center"/>
          </w:tcPr>
          <w:p w14:paraId="0F4273D3">
            <w:pPr>
              <w:jc w:val="center"/>
              <w:rPr>
                <w:rFonts w:hint="eastAsia"/>
                <w:szCs w:val="21"/>
              </w:rPr>
            </w:pPr>
          </w:p>
        </w:tc>
      </w:tr>
      <w:tr w14:paraId="1B0E3C2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6F31B21">
            <w:pPr>
              <w:jc w:val="center"/>
              <w:rPr>
                <w:rFonts w:hint="eastAsia" w:ascii="黑体" w:eastAsia="黑体"/>
                <w:szCs w:val="21"/>
              </w:rPr>
            </w:pPr>
          </w:p>
        </w:tc>
        <w:tc>
          <w:tcPr>
            <w:tcW w:w="982" w:type="dxa"/>
            <w:tcBorders>
              <w:right w:val="single" w:color="auto" w:sz="6" w:space="0"/>
            </w:tcBorders>
            <w:noWrap w:val="0"/>
            <w:vAlign w:val="center"/>
          </w:tcPr>
          <w:p w14:paraId="24A7BCDE">
            <w:pPr>
              <w:jc w:val="center"/>
              <w:rPr>
                <w:rFonts w:hint="eastAsia"/>
                <w:szCs w:val="21"/>
              </w:rPr>
            </w:pPr>
          </w:p>
        </w:tc>
        <w:tc>
          <w:tcPr>
            <w:tcW w:w="982" w:type="dxa"/>
            <w:tcBorders>
              <w:left w:val="single" w:color="auto" w:sz="6" w:space="0"/>
            </w:tcBorders>
            <w:noWrap w:val="0"/>
            <w:vAlign w:val="center"/>
          </w:tcPr>
          <w:p w14:paraId="1EF7CA64">
            <w:pPr>
              <w:jc w:val="center"/>
              <w:rPr>
                <w:rFonts w:hint="eastAsia"/>
                <w:szCs w:val="21"/>
              </w:rPr>
            </w:pPr>
          </w:p>
        </w:tc>
        <w:tc>
          <w:tcPr>
            <w:tcW w:w="983" w:type="dxa"/>
            <w:tcBorders>
              <w:left w:val="single" w:color="auto" w:sz="6" w:space="0"/>
            </w:tcBorders>
            <w:noWrap w:val="0"/>
            <w:vAlign w:val="center"/>
          </w:tcPr>
          <w:p w14:paraId="2D7F2542">
            <w:pPr>
              <w:jc w:val="center"/>
              <w:rPr>
                <w:rFonts w:hint="eastAsia"/>
                <w:szCs w:val="21"/>
              </w:rPr>
            </w:pPr>
          </w:p>
        </w:tc>
        <w:tc>
          <w:tcPr>
            <w:tcW w:w="982" w:type="dxa"/>
            <w:tcBorders>
              <w:right w:val="single" w:color="auto" w:sz="6" w:space="0"/>
            </w:tcBorders>
            <w:noWrap w:val="0"/>
            <w:vAlign w:val="center"/>
          </w:tcPr>
          <w:p w14:paraId="7A3F3177">
            <w:pPr>
              <w:jc w:val="center"/>
              <w:rPr>
                <w:rFonts w:hint="eastAsia"/>
                <w:szCs w:val="21"/>
              </w:rPr>
            </w:pPr>
          </w:p>
        </w:tc>
        <w:tc>
          <w:tcPr>
            <w:tcW w:w="982" w:type="dxa"/>
            <w:noWrap w:val="0"/>
            <w:vAlign w:val="center"/>
          </w:tcPr>
          <w:p w14:paraId="319B99B3">
            <w:pPr>
              <w:jc w:val="center"/>
              <w:rPr>
                <w:rFonts w:hint="eastAsia"/>
                <w:szCs w:val="21"/>
              </w:rPr>
            </w:pPr>
          </w:p>
        </w:tc>
        <w:tc>
          <w:tcPr>
            <w:tcW w:w="983" w:type="dxa"/>
            <w:tcBorders>
              <w:right w:val="single" w:color="auto" w:sz="6" w:space="0"/>
            </w:tcBorders>
            <w:noWrap w:val="0"/>
            <w:vAlign w:val="center"/>
          </w:tcPr>
          <w:p w14:paraId="277FDB09">
            <w:pPr>
              <w:jc w:val="center"/>
              <w:rPr>
                <w:rFonts w:hint="eastAsia"/>
                <w:szCs w:val="21"/>
              </w:rPr>
            </w:pPr>
          </w:p>
        </w:tc>
        <w:tc>
          <w:tcPr>
            <w:tcW w:w="982" w:type="dxa"/>
            <w:tcBorders>
              <w:right w:val="single" w:color="auto" w:sz="6" w:space="0"/>
            </w:tcBorders>
            <w:noWrap w:val="0"/>
            <w:vAlign w:val="center"/>
          </w:tcPr>
          <w:p w14:paraId="701C77F7">
            <w:pPr>
              <w:jc w:val="center"/>
              <w:rPr>
                <w:rFonts w:hint="eastAsia"/>
                <w:szCs w:val="21"/>
              </w:rPr>
            </w:pPr>
          </w:p>
        </w:tc>
        <w:tc>
          <w:tcPr>
            <w:tcW w:w="982" w:type="dxa"/>
            <w:tcBorders>
              <w:right w:val="single" w:color="auto" w:sz="6" w:space="0"/>
            </w:tcBorders>
            <w:noWrap w:val="0"/>
            <w:vAlign w:val="center"/>
          </w:tcPr>
          <w:p w14:paraId="4A89034F">
            <w:pPr>
              <w:jc w:val="center"/>
              <w:rPr>
                <w:rFonts w:hint="eastAsia"/>
                <w:szCs w:val="21"/>
              </w:rPr>
            </w:pPr>
          </w:p>
        </w:tc>
      </w:tr>
      <w:tr w14:paraId="69DFF32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5315B9BF">
            <w:pPr>
              <w:jc w:val="center"/>
              <w:rPr>
                <w:rFonts w:hint="eastAsia" w:ascii="黑体" w:eastAsia="黑体"/>
                <w:szCs w:val="21"/>
              </w:rPr>
            </w:pPr>
          </w:p>
        </w:tc>
        <w:tc>
          <w:tcPr>
            <w:tcW w:w="982" w:type="dxa"/>
            <w:tcBorders>
              <w:right w:val="single" w:color="auto" w:sz="6" w:space="0"/>
            </w:tcBorders>
            <w:noWrap w:val="0"/>
            <w:vAlign w:val="center"/>
          </w:tcPr>
          <w:p w14:paraId="46D31658">
            <w:pPr>
              <w:jc w:val="center"/>
              <w:rPr>
                <w:rFonts w:hint="eastAsia"/>
                <w:szCs w:val="21"/>
              </w:rPr>
            </w:pPr>
          </w:p>
        </w:tc>
        <w:tc>
          <w:tcPr>
            <w:tcW w:w="982" w:type="dxa"/>
            <w:tcBorders>
              <w:left w:val="single" w:color="auto" w:sz="6" w:space="0"/>
            </w:tcBorders>
            <w:noWrap w:val="0"/>
            <w:vAlign w:val="center"/>
          </w:tcPr>
          <w:p w14:paraId="4D0EFCB3">
            <w:pPr>
              <w:jc w:val="center"/>
              <w:rPr>
                <w:rFonts w:hint="eastAsia"/>
                <w:szCs w:val="21"/>
              </w:rPr>
            </w:pPr>
          </w:p>
        </w:tc>
        <w:tc>
          <w:tcPr>
            <w:tcW w:w="983" w:type="dxa"/>
            <w:tcBorders>
              <w:left w:val="single" w:color="auto" w:sz="6" w:space="0"/>
            </w:tcBorders>
            <w:noWrap w:val="0"/>
            <w:vAlign w:val="center"/>
          </w:tcPr>
          <w:p w14:paraId="1F9452FE">
            <w:pPr>
              <w:jc w:val="center"/>
              <w:rPr>
                <w:rFonts w:hint="eastAsia"/>
                <w:szCs w:val="21"/>
              </w:rPr>
            </w:pPr>
          </w:p>
        </w:tc>
        <w:tc>
          <w:tcPr>
            <w:tcW w:w="982" w:type="dxa"/>
            <w:tcBorders>
              <w:right w:val="single" w:color="auto" w:sz="6" w:space="0"/>
            </w:tcBorders>
            <w:noWrap w:val="0"/>
            <w:vAlign w:val="center"/>
          </w:tcPr>
          <w:p w14:paraId="5C25ADA1">
            <w:pPr>
              <w:jc w:val="center"/>
              <w:rPr>
                <w:rFonts w:hint="eastAsia"/>
                <w:szCs w:val="21"/>
              </w:rPr>
            </w:pPr>
          </w:p>
        </w:tc>
        <w:tc>
          <w:tcPr>
            <w:tcW w:w="982" w:type="dxa"/>
            <w:noWrap w:val="0"/>
            <w:vAlign w:val="center"/>
          </w:tcPr>
          <w:p w14:paraId="2AD0EFA5">
            <w:pPr>
              <w:jc w:val="center"/>
              <w:rPr>
                <w:rFonts w:hint="eastAsia"/>
                <w:szCs w:val="21"/>
              </w:rPr>
            </w:pPr>
          </w:p>
        </w:tc>
        <w:tc>
          <w:tcPr>
            <w:tcW w:w="983" w:type="dxa"/>
            <w:tcBorders>
              <w:right w:val="single" w:color="auto" w:sz="6" w:space="0"/>
            </w:tcBorders>
            <w:noWrap w:val="0"/>
            <w:vAlign w:val="center"/>
          </w:tcPr>
          <w:p w14:paraId="68AD8BC3">
            <w:pPr>
              <w:jc w:val="center"/>
              <w:rPr>
                <w:rFonts w:hint="eastAsia"/>
                <w:szCs w:val="21"/>
              </w:rPr>
            </w:pPr>
          </w:p>
        </w:tc>
        <w:tc>
          <w:tcPr>
            <w:tcW w:w="982" w:type="dxa"/>
            <w:tcBorders>
              <w:right w:val="single" w:color="auto" w:sz="6" w:space="0"/>
            </w:tcBorders>
            <w:noWrap w:val="0"/>
            <w:vAlign w:val="center"/>
          </w:tcPr>
          <w:p w14:paraId="07D3F809">
            <w:pPr>
              <w:jc w:val="center"/>
              <w:rPr>
                <w:rFonts w:hint="eastAsia"/>
                <w:szCs w:val="21"/>
              </w:rPr>
            </w:pPr>
          </w:p>
        </w:tc>
        <w:tc>
          <w:tcPr>
            <w:tcW w:w="982" w:type="dxa"/>
            <w:tcBorders>
              <w:right w:val="single" w:color="auto" w:sz="6" w:space="0"/>
            </w:tcBorders>
            <w:noWrap w:val="0"/>
            <w:vAlign w:val="center"/>
          </w:tcPr>
          <w:p w14:paraId="76D043D1">
            <w:pPr>
              <w:jc w:val="center"/>
              <w:rPr>
                <w:rFonts w:hint="eastAsia"/>
                <w:szCs w:val="21"/>
              </w:rPr>
            </w:pPr>
          </w:p>
        </w:tc>
      </w:tr>
      <w:tr w14:paraId="588462F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2CE4352">
            <w:pPr>
              <w:jc w:val="center"/>
              <w:rPr>
                <w:rFonts w:hint="eastAsia" w:ascii="黑体" w:eastAsia="黑体"/>
                <w:szCs w:val="21"/>
              </w:rPr>
            </w:pPr>
          </w:p>
        </w:tc>
        <w:tc>
          <w:tcPr>
            <w:tcW w:w="982" w:type="dxa"/>
            <w:tcBorders>
              <w:right w:val="single" w:color="auto" w:sz="6" w:space="0"/>
            </w:tcBorders>
            <w:noWrap w:val="0"/>
            <w:vAlign w:val="center"/>
          </w:tcPr>
          <w:p w14:paraId="1A90166B">
            <w:pPr>
              <w:jc w:val="center"/>
              <w:rPr>
                <w:rFonts w:hint="eastAsia"/>
                <w:szCs w:val="21"/>
              </w:rPr>
            </w:pPr>
          </w:p>
        </w:tc>
        <w:tc>
          <w:tcPr>
            <w:tcW w:w="982" w:type="dxa"/>
            <w:tcBorders>
              <w:left w:val="single" w:color="auto" w:sz="6" w:space="0"/>
            </w:tcBorders>
            <w:noWrap w:val="0"/>
            <w:vAlign w:val="center"/>
          </w:tcPr>
          <w:p w14:paraId="2BE3F8C6">
            <w:pPr>
              <w:jc w:val="center"/>
              <w:rPr>
                <w:rFonts w:hint="eastAsia"/>
                <w:szCs w:val="21"/>
              </w:rPr>
            </w:pPr>
          </w:p>
        </w:tc>
        <w:tc>
          <w:tcPr>
            <w:tcW w:w="983" w:type="dxa"/>
            <w:tcBorders>
              <w:left w:val="single" w:color="auto" w:sz="6" w:space="0"/>
            </w:tcBorders>
            <w:noWrap w:val="0"/>
            <w:vAlign w:val="center"/>
          </w:tcPr>
          <w:p w14:paraId="4450F5BB">
            <w:pPr>
              <w:jc w:val="center"/>
              <w:rPr>
                <w:rFonts w:hint="eastAsia"/>
                <w:szCs w:val="21"/>
              </w:rPr>
            </w:pPr>
          </w:p>
        </w:tc>
        <w:tc>
          <w:tcPr>
            <w:tcW w:w="982" w:type="dxa"/>
            <w:tcBorders>
              <w:right w:val="single" w:color="auto" w:sz="6" w:space="0"/>
            </w:tcBorders>
            <w:noWrap w:val="0"/>
            <w:vAlign w:val="center"/>
          </w:tcPr>
          <w:p w14:paraId="37BA6BED">
            <w:pPr>
              <w:jc w:val="center"/>
              <w:rPr>
                <w:rFonts w:hint="eastAsia"/>
                <w:szCs w:val="21"/>
              </w:rPr>
            </w:pPr>
          </w:p>
        </w:tc>
        <w:tc>
          <w:tcPr>
            <w:tcW w:w="982" w:type="dxa"/>
            <w:noWrap w:val="0"/>
            <w:vAlign w:val="center"/>
          </w:tcPr>
          <w:p w14:paraId="743E852C">
            <w:pPr>
              <w:jc w:val="center"/>
              <w:rPr>
                <w:rFonts w:hint="eastAsia"/>
                <w:szCs w:val="21"/>
              </w:rPr>
            </w:pPr>
          </w:p>
        </w:tc>
        <w:tc>
          <w:tcPr>
            <w:tcW w:w="983" w:type="dxa"/>
            <w:tcBorders>
              <w:right w:val="single" w:color="auto" w:sz="6" w:space="0"/>
            </w:tcBorders>
            <w:noWrap w:val="0"/>
            <w:vAlign w:val="center"/>
          </w:tcPr>
          <w:p w14:paraId="73BEEE93">
            <w:pPr>
              <w:jc w:val="center"/>
              <w:rPr>
                <w:rFonts w:hint="eastAsia"/>
                <w:szCs w:val="21"/>
              </w:rPr>
            </w:pPr>
          </w:p>
        </w:tc>
        <w:tc>
          <w:tcPr>
            <w:tcW w:w="982" w:type="dxa"/>
            <w:tcBorders>
              <w:right w:val="single" w:color="auto" w:sz="6" w:space="0"/>
            </w:tcBorders>
            <w:noWrap w:val="0"/>
            <w:vAlign w:val="center"/>
          </w:tcPr>
          <w:p w14:paraId="44EABC6E">
            <w:pPr>
              <w:jc w:val="center"/>
              <w:rPr>
                <w:rFonts w:hint="eastAsia"/>
                <w:szCs w:val="21"/>
              </w:rPr>
            </w:pPr>
          </w:p>
        </w:tc>
        <w:tc>
          <w:tcPr>
            <w:tcW w:w="982" w:type="dxa"/>
            <w:tcBorders>
              <w:right w:val="single" w:color="auto" w:sz="6" w:space="0"/>
            </w:tcBorders>
            <w:noWrap w:val="0"/>
            <w:vAlign w:val="center"/>
          </w:tcPr>
          <w:p w14:paraId="779775FF">
            <w:pPr>
              <w:jc w:val="center"/>
              <w:rPr>
                <w:rFonts w:hint="eastAsia"/>
                <w:szCs w:val="21"/>
              </w:rPr>
            </w:pPr>
          </w:p>
        </w:tc>
      </w:tr>
      <w:tr w14:paraId="5BF1E63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112DD18">
            <w:pPr>
              <w:jc w:val="center"/>
              <w:rPr>
                <w:rFonts w:hint="eastAsia" w:ascii="黑体" w:eastAsia="黑体"/>
                <w:szCs w:val="21"/>
              </w:rPr>
            </w:pPr>
          </w:p>
        </w:tc>
        <w:tc>
          <w:tcPr>
            <w:tcW w:w="982" w:type="dxa"/>
            <w:tcBorders>
              <w:right w:val="single" w:color="auto" w:sz="6" w:space="0"/>
            </w:tcBorders>
            <w:noWrap w:val="0"/>
            <w:vAlign w:val="center"/>
          </w:tcPr>
          <w:p w14:paraId="049091BC">
            <w:pPr>
              <w:jc w:val="center"/>
              <w:rPr>
                <w:rFonts w:hint="eastAsia"/>
                <w:szCs w:val="21"/>
              </w:rPr>
            </w:pPr>
          </w:p>
        </w:tc>
        <w:tc>
          <w:tcPr>
            <w:tcW w:w="982" w:type="dxa"/>
            <w:tcBorders>
              <w:left w:val="single" w:color="auto" w:sz="6" w:space="0"/>
            </w:tcBorders>
            <w:noWrap w:val="0"/>
            <w:vAlign w:val="center"/>
          </w:tcPr>
          <w:p w14:paraId="52F8789A">
            <w:pPr>
              <w:jc w:val="center"/>
              <w:rPr>
                <w:rFonts w:hint="eastAsia"/>
                <w:szCs w:val="21"/>
              </w:rPr>
            </w:pPr>
          </w:p>
        </w:tc>
        <w:tc>
          <w:tcPr>
            <w:tcW w:w="983" w:type="dxa"/>
            <w:tcBorders>
              <w:left w:val="single" w:color="auto" w:sz="6" w:space="0"/>
            </w:tcBorders>
            <w:noWrap w:val="0"/>
            <w:vAlign w:val="center"/>
          </w:tcPr>
          <w:p w14:paraId="02DD924B">
            <w:pPr>
              <w:jc w:val="center"/>
              <w:rPr>
                <w:rFonts w:hint="eastAsia"/>
                <w:szCs w:val="21"/>
              </w:rPr>
            </w:pPr>
          </w:p>
        </w:tc>
        <w:tc>
          <w:tcPr>
            <w:tcW w:w="982" w:type="dxa"/>
            <w:tcBorders>
              <w:right w:val="single" w:color="auto" w:sz="6" w:space="0"/>
            </w:tcBorders>
            <w:noWrap w:val="0"/>
            <w:vAlign w:val="center"/>
          </w:tcPr>
          <w:p w14:paraId="296D8D40">
            <w:pPr>
              <w:jc w:val="center"/>
              <w:rPr>
                <w:rFonts w:hint="eastAsia"/>
                <w:szCs w:val="21"/>
              </w:rPr>
            </w:pPr>
          </w:p>
        </w:tc>
        <w:tc>
          <w:tcPr>
            <w:tcW w:w="982" w:type="dxa"/>
            <w:noWrap w:val="0"/>
            <w:vAlign w:val="center"/>
          </w:tcPr>
          <w:p w14:paraId="711F3FD0">
            <w:pPr>
              <w:jc w:val="center"/>
              <w:rPr>
                <w:rFonts w:hint="eastAsia"/>
                <w:szCs w:val="21"/>
              </w:rPr>
            </w:pPr>
          </w:p>
        </w:tc>
        <w:tc>
          <w:tcPr>
            <w:tcW w:w="983" w:type="dxa"/>
            <w:tcBorders>
              <w:right w:val="single" w:color="auto" w:sz="6" w:space="0"/>
            </w:tcBorders>
            <w:noWrap w:val="0"/>
            <w:vAlign w:val="center"/>
          </w:tcPr>
          <w:p w14:paraId="0262EEDC">
            <w:pPr>
              <w:jc w:val="center"/>
              <w:rPr>
                <w:rFonts w:hint="eastAsia"/>
                <w:szCs w:val="21"/>
              </w:rPr>
            </w:pPr>
          </w:p>
        </w:tc>
        <w:tc>
          <w:tcPr>
            <w:tcW w:w="982" w:type="dxa"/>
            <w:tcBorders>
              <w:right w:val="single" w:color="auto" w:sz="6" w:space="0"/>
            </w:tcBorders>
            <w:noWrap w:val="0"/>
            <w:vAlign w:val="center"/>
          </w:tcPr>
          <w:p w14:paraId="77708232">
            <w:pPr>
              <w:jc w:val="center"/>
              <w:rPr>
                <w:rFonts w:hint="eastAsia"/>
                <w:szCs w:val="21"/>
              </w:rPr>
            </w:pPr>
          </w:p>
        </w:tc>
        <w:tc>
          <w:tcPr>
            <w:tcW w:w="982" w:type="dxa"/>
            <w:tcBorders>
              <w:right w:val="single" w:color="auto" w:sz="6" w:space="0"/>
            </w:tcBorders>
            <w:noWrap w:val="0"/>
            <w:vAlign w:val="center"/>
          </w:tcPr>
          <w:p w14:paraId="64A3EA2C">
            <w:pPr>
              <w:jc w:val="center"/>
              <w:rPr>
                <w:rFonts w:hint="eastAsia"/>
                <w:szCs w:val="21"/>
              </w:rPr>
            </w:pPr>
          </w:p>
        </w:tc>
      </w:tr>
      <w:tr w14:paraId="752D55D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40F7854D">
            <w:pPr>
              <w:jc w:val="center"/>
              <w:rPr>
                <w:rFonts w:hint="eastAsia" w:ascii="黑体" w:eastAsia="黑体"/>
                <w:szCs w:val="21"/>
              </w:rPr>
            </w:pPr>
          </w:p>
        </w:tc>
        <w:tc>
          <w:tcPr>
            <w:tcW w:w="982" w:type="dxa"/>
            <w:tcBorders>
              <w:right w:val="single" w:color="auto" w:sz="6" w:space="0"/>
            </w:tcBorders>
            <w:noWrap w:val="0"/>
            <w:vAlign w:val="center"/>
          </w:tcPr>
          <w:p w14:paraId="181D853B">
            <w:pPr>
              <w:jc w:val="center"/>
              <w:rPr>
                <w:rFonts w:hint="eastAsia"/>
                <w:szCs w:val="21"/>
              </w:rPr>
            </w:pPr>
          </w:p>
        </w:tc>
        <w:tc>
          <w:tcPr>
            <w:tcW w:w="982" w:type="dxa"/>
            <w:tcBorders>
              <w:left w:val="single" w:color="auto" w:sz="6" w:space="0"/>
            </w:tcBorders>
            <w:noWrap w:val="0"/>
            <w:vAlign w:val="center"/>
          </w:tcPr>
          <w:p w14:paraId="6E51C8B6">
            <w:pPr>
              <w:jc w:val="center"/>
              <w:rPr>
                <w:rFonts w:hint="eastAsia"/>
                <w:szCs w:val="21"/>
              </w:rPr>
            </w:pPr>
          </w:p>
        </w:tc>
        <w:tc>
          <w:tcPr>
            <w:tcW w:w="983" w:type="dxa"/>
            <w:tcBorders>
              <w:left w:val="single" w:color="auto" w:sz="6" w:space="0"/>
            </w:tcBorders>
            <w:noWrap w:val="0"/>
            <w:vAlign w:val="center"/>
          </w:tcPr>
          <w:p w14:paraId="56007C20">
            <w:pPr>
              <w:jc w:val="center"/>
              <w:rPr>
                <w:rFonts w:hint="eastAsia"/>
                <w:szCs w:val="21"/>
              </w:rPr>
            </w:pPr>
          </w:p>
        </w:tc>
        <w:tc>
          <w:tcPr>
            <w:tcW w:w="982" w:type="dxa"/>
            <w:tcBorders>
              <w:right w:val="single" w:color="auto" w:sz="6" w:space="0"/>
            </w:tcBorders>
            <w:noWrap w:val="0"/>
            <w:vAlign w:val="center"/>
          </w:tcPr>
          <w:p w14:paraId="3D6AEDD7">
            <w:pPr>
              <w:jc w:val="center"/>
              <w:rPr>
                <w:rFonts w:hint="eastAsia"/>
                <w:szCs w:val="21"/>
              </w:rPr>
            </w:pPr>
          </w:p>
        </w:tc>
        <w:tc>
          <w:tcPr>
            <w:tcW w:w="982" w:type="dxa"/>
            <w:noWrap w:val="0"/>
            <w:vAlign w:val="center"/>
          </w:tcPr>
          <w:p w14:paraId="4EE6C1AF">
            <w:pPr>
              <w:jc w:val="center"/>
              <w:rPr>
                <w:rFonts w:hint="eastAsia"/>
                <w:szCs w:val="21"/>
              </w:rPr>
            </w:pPr>
          </w:p>
        </w:tc>
        <w:tc>
          <w:tcPr>
            <w:tcW w:w="983" w:type="dxa"/>
            <w:tcBorders>
              <w:right w:val="single" w:color="auto" w:sz="6" w:space="0"/>
            </w:tcBorders>
            <w:noWrap w:val="0"/>
            <w:vAlign w:val="center"/>
          </w:tcPr>
          <w:p w14:paraId="7ECDB848">
            <w:pPr>
              <w:jc w:val="center"/>
              <w:rPr>
                <w:rFonts w:hint="eastAsia"/>
                <w:szCs w:val="21"/>
              </w:rPr>
            </w:pPr>
          </w:p>
        </w:tc>
        <w:tc>
          <w:tcPr>
            <w:tcW w:w="982" w:type="dxa"/>
            <w:tcBorders>
              <w:right w:val="single" w:color="auto" w:sz="6" w:space="0"/>
            </w:tcBorders>
            <w:noWrap w:val="0"/>
            <w:vAlign w:val="center"/>
          </w:tcPr>
          <w:p w14:paraId="5B7CC81D">
            <w:pPr>
              <w:jc w:val="center"/>
              <w:rPr>
                <w:rFonts w:hint="eastAsia"/>
                <w:szCs w:val="21"/>
              </w:rPr>
            </w:pPr>
          </w:p>
        </w:tc>
        <w:tc>
          <w:tcPr>
            <w:tcW w:w="982" w:type="dxa"/>
            <w:tcBorders>
              <w:right w:val="single" w:color="auto" w:sz="6" w:space="0"/>
            </w:tcBorders>
            <w:noWrap w:val="0"/>
            <w:vAlign w:val="center"/>
          </w:tcPr>
          <w:p w14:paraId="140D8AD6">
            <w:pPr>
              <w:jc w:val="center"/>
              <w:rPr>
                <w:rFonts w:hint="eastAsia"/>
                <w:szCs w:val="21"/>
              </w:rPr>
            </w:pPr>
          </w:p>
        </w:tc>
      </w:tr>
      <w:tr w14:paraId="2E48D86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2" w:type="dxa"/>
            <w:noWrap w:val="0"/>
            <w:vAlign w:val="center"/>
          </w:tcPr>
          <w:p w14:paraId="7AE1729D">
            <w:pPr>
              <w:jc w:val="center"/>
              <w:rPr>
                <w:rFonts w:hint="eastAsia" w:ascii="黑体" w:eastAsia="黑体"/>
                <w:szCs w:val="21"/>
              </w:rPr>
            </w:pPr>
          </w:p>
        </w:tc>
        <w:tc>
          <w:tcPr>
            <w:tcW w:w="982" w:type="dxa"/>
            <w:tcBorders>
              <w:right w:val="single" w:color="auto" w:sz="6" w:space="0"/>
            </w:tcBorders>
            <w:noWrap w:val="0"/>
            <w:vAlign w:val="center"/>
          </w:tcPr>
          <w:p w14:paraId="0F2327C3">
            <w:pPr>
              <w:jc w:val="center"/>
              <w:rPr>
                <w:rFonts w:hint="eastAsia"/>
                <w:szCs w:val="21"/>
              </w:rPr>
            </w:pPr>
          </w:p>
        </w:tc>
        <w:tc>
          <w:tcPr>
            <w:tcW w:w="982" w:type="dxa"/>
            <w:tcBorders>
              <w:left w:val="single" w:color="auto" w:sz="6" w:space="0"/>
            </w:tcBorders>
            <w:noWrap w:val="0"/>
            <w:vAlign w:val="center"/>
          </w:tcPr>
          <w:p w14:paraId="3195E625">
            <w:pPr>
              <w:jc w:val="center"/>
              <w:rPr>
                <w:rFonts w:hint="eastAsia"/>
                <w:szCs w:val="21"/>
              </w:rPr>
            </w:pPr>
          </w:p>
        </w:tc>
        <w:tc>
          <w:tcPr>
            <w:tcW w:w="983" w:type="dxa"/>
            <w:tcBorders>
              <w:left w:val="single" w:color="auto" w:sz="6" w:space="0"/>
            </w:tcBorders>
            <w:noWrap w:val="0"/>
            <w:vAlign w:val="center"/>
          </w:tcPr>
          <w:p w14:paraId="74150678">
            <w:pPr>
              <w:jc w:val="center"/>
              <w:rPr>
                <w:rFonts w:hint="eastAsia"/>
                <w:szCs w:val="21"/>
              </w:rPr>
            </w:pPr>
          </w:p>
        </w:tc>
        <w:tc>
          <w:tcPr>
            <w:tcW w:w="982" w:type="dxa"/>
            <w:tcBorders>
              <w:right w:val="single" w:color="auto" w:sz="6" w:space="0"/>
            </w:tcBorders>
            <w:noWrap w:val="0"/>
            <w:vAlign w:val="center"/>
          </w:tcPr>
          <w:p w14:paraId="09D11E18">
            <w:pPr>
              <w:jc w:val="center"/>
              <w:rPr>
                <w:rFonts w:hint="eastAsia"/>
                <w:szCs w:val="21"/>
              </w:rPr>
            </w:pPr>
          </w:p>
        </w:tc>
        <w:tc>
          <w:tcPr>
            <w:tcW w:w="982" w:type="dxa"/>
            <w:noWrap w:val="0"/>
            <w:vAlign w:val="center"/>
          </w:tcPr>
          <w:p w14:paraId="2A062776">
            <w:pPr>
              <w:jc w:val="center"/>
              <w:rPr>
                <w:rFonts w:hint="eastAsia"/>
                <w:szCs w:val="21"/>
              </w:rPr>
            </w:pPr>
          </w:p>
        </w:tc>
        <w:tc>
          <w:tcPr>
            <w:tcW w:w="983" w:type="dxa"/>
            <w:tcBorders>
              <w:right w:val="single" w:color="auto" w:sz="6" w:space="0"/>
            </w:tcBorders>
            <w:noWrap w:val="0"/>
            <w:vAlign w:val="center"/>
          </w:tcPr>
          <w:p w14:paraId="2033AE7A">
            <w:pPr>
              <w:jc w:val="center"/>
              <w:rPr>
                <w:rFonts w:hint="eastAsia"/>
                <w:szCs w:val="21"/>
              </w:rPr>
            </w:pPr>
          </w:p>
        </w:tc>
        <w:tc>
          <w:tcPr>
            <w:tcW w:w="982" w:type="dxa"/>
            <w:tcBorders>
              <w:right w:val="single" w:color="auto" w:sz="6" w:space="0"/>
            </w:tcBorders>
            <w:noWrap w:val="0"/>
            <w:vAlign w:val="center"/>
          </w:tcPr>
          <w:p w14:paraId="4C515A2C">
            <w:pPr>
              <w:jc w:val="center"/>
              <w:rPr>
                <w:rFonts w:hint="eastAsia"/>
                <w:szCs w:val="21"/>
              </w:rPr>
            </w:pPr>
          </w:p>
        </w:tc>
        <w:tc>
          <w:tcPr>
            <w:tcW w:w="982" w:type="dxa"/>
            <w:tcBorders>
              <w:right w:val="single" w:color="auto" w:sz="6" w:space="0"/>
            </w:tcBorders>
            <w:noWrap w:val="0"/>
            <w:vAlign w:val="center"/>
          </w:tcPr>
          <w:p w14:paraId="28A4A8A2">
            <w:pPr>
              <w:jc w:val="center"/>
              <w:rPr>
                <w:rFonts w:hint="eastAsia"/>
                <w:szCs w:val="21"/>
              </w:rPr>
            </w:pPr>
          </w:p>
        </w:tc>
      </w:tr>
    </w:tbl>
    <w:p w14:paraId="4F7943AF">
      <w:pPr>
        <w:spacing w:line="420" w:lineRule="exact"/>
        <w:jc w:val="center"/>
        <w:rPr>
          <w:rFonts w:hint="eastAsia" w:ascii="楷体_GB2312" w:eastAsia="楷体_GB2312"/>
        </w:rPr>
      </w:pPr>
    </w:p>
    <w:p w14:paraId="7A13993B">
      <w:pPr>
        <w:spacing w:line="420" w:lineRule="exact"/>
        <w:rPr>
          <w:rFonts w:hint="eastAsia" w:ascii="宋体" w:hAnsi="宋体"/>
          <w:szCs w:val="21"/>
        </w:rPr>
      </w:pPr>
      <w:r>
        <w:rPr>
          <w:rFonts w:hint="eastAsia" w:ascii="宋体" w:hAnsi="宋体"/>
          <w:szCs w:val="21"/>
        </w:rPr>
        <w:t>评标委员会成员签名：                                     日期:     年     月     日</w:t>
      </w:r>
    </w:p>
    <w:p w14:paraId="04741387">
      <w:pPr>
        <w:rPr>
          <w:rFonts w:hint="eastAsia"/>
        </w:rPr>
      </w:pPr>
    </w:p>
    <w:p w14:paraId="27D2F380">
      <w:pPr>
        <w:rPr>
          <w:rFonts w:hint="eastAsia"/>
        </w:rPr>
      </w:pPr>
    </w:p>
    <w:p w14:paraId="5E95DF3A">
      <w:pPr>
        <w:rPr>
          <w:rFonts w:hint="eastAsia"/>
        </w:rPr>
      </w:pPr>
    </w:p>
    <w:p w14:paraId="3F343B94">
      <w:pPr>
        <w:ind w:left="420" w:hanging="420" w:hangingChars="200"/>
        <w:rPr>
          <w:rFonts w:hint="eastAsia"/>
        </w:rPr>
      </w:pPr>
      <w:r>
        <w:rPr>
          <w:rFonts w:hint="eastAsia"/>
        </w:rPr>
        <w:t>注：“单价一致性”是指已标价清单中相应材料设备与材料（工程设备）暂估或发包人提供材料和工程设备单价是否一致。</w:t>
      </w:r>
    </w:p>
    <w:p w14:paraId="1CA4CF93">
      <w:pPr>
        <w:pStyle w:val="20"/>
        <w:rPr>
          <w:rFonts w:hint="eastAsia"/>
        </w:rPr>
      </w:pPr>
      <w:bookmarkStart w:id="443" w:name="_Toc108513670"/>
      <w:r>
        <w:rPr>
          <w:rFonts w:hint="eastAsia"/>
        </w:rPr>
        <w:t>附表C-2：清标报告-总价措施项目符合性检查</w:t>
      </w:r>
      <w:bookmarkEnd w:id="443"/>
    </w:p>
    <w:p w14:paraId="4F90AE7A">
      <w:pPr>
        <w:spacing w:before="240" w:beforeLines="100" w:after="240" w:afterLines="100"/>
        <w:jc w:val="center"/>
        <w:rPr>
          <w:rFonts w:hint="eastAsia" w:ascii="黑体" w:eastAsia="黑体"/>
          <w:sz w:val="32"/>
          <w:szCs w:val="32"/>
        </w:rPr>
      </w:pPr>
    </w:p>
    <w:p w14:paraId="38E02717">
      <w:pPr>
        <w:spacing w:line="420" w:lineRule="exact"/>
        <w:jc w:val="center"/>
        <w:rPr>
          <w:rFonts w:hint="eastAsia" w:ascii="黑体" w:eastAsia="黑体"/>
          <w:sz w:val="32"/>
          <w:szCs w:val="32"/>
        </w:rPr>
      </w:pPr>
      <w:r>
        <w:rPr>
          <w:rFonts w:hint="eastAsia" w:ascii="黑体" w:eastAsia="黑体"/>
          <w:sz w:val="32"/>
          <w:szCs w:val="32"/>
        </w:rPr>
        <w:t>清标报告-总价措施项目符合性检查</w:t>
      </w:r>
    </w:p>
    <w:p w14:paraId="7361A9F6">
      <w:pPr>
        <w:rPr>
          <w:rFonts w:hint="eastAsia" w:ascii="宋体" w:hAnsi="宋体"/>
          <w:szCs w:val="21"/>
        </w:rPr>
      </w:pPr>
      <w:r>
        <w:rPr>
          <w:rFonts w:hint="eastAsia" w:ascii="宋体" w:hAnsi="宋体"/>
          <w:szCs w:val="21"/>
        </w:rPr>
        <w:t>投标人名称：</w:t>
      </w:r>
    </w:p>
    <w:p w14:paraId="4B2DAC3F">
      <w:pPr>
        <w:spacing w:line="420" w:lineRule="exact"/>
        <w:jc w:val="center"/>
        <w:rPr>
          <w:rFonts w:hint="eastAsia" w:ascii="楷体_GB2312" w:eastAsia="楷体_GB2312"/>
        </w:rPr>
      </w:pPr>
    </w:p>
    <w:tbl>
      <w:tblPr>
        <w:tblStyle w:val="15"/>
        <w:tblW w:w="8786"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098"/>
        <w:gridCol w:w="1098"/>
        <w:gridCol w:w="1099"/>
        <w:gridCol w:w="1098"/>
        <w:gridCol w:w="1098"/>
        <w:gridCol w:w="1098"/>
        <w:gridCol w:w="1099"/>
      </w:tblGrid>
      <w:tr w14:paraId="7B4CC8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3294" w:type="dxa"/>
            <w:gridSpan w:val="3"/>
            <w:noWrap w:val="0"/>
            <w:vAlign w:val="center"/>
          </w:tcPr>
          <w:p w14:paraId="0D6A1EF9">
            <w:pPr>
              <w:jc w:val="center"/>
              <w:rPr>
                <w:rFonts w:hint="eastAsia"/>
                <w:sz w:val="20"/>
                <w:szCs w:val="20"/>
              </w:rPr>
            </w:pPr>
            <w:r>
              <w:rPr>
                <w:rFonts w:hint="eastAsia"/>
                <w:sz w:val="20"/>
                <w:szCs w:val="20"/>
              </w:rPr>
              <w:t>单位工程名称</w:t>
            </w:r>
          </w:p>
        </w:tc>
        <w:tc>
          <w:tcPr>
            <w:tcW w:w="5492" w:type="dxa"/>
            <w:gridSpan w:val="5"/>
            <w:tcBorders>
              <w:left w:val="single" w:color="auto" w:sz="6" w:space="0"/>
            </w:tcBorders>
            <w:noWrap w:val="0"/>
            <w:vAlign w:val="center"/>
          </w:tcPr>
          <w:p w14:paraId="3BCCA59F">
            <w:pPr>
              <w:jc w:val="center"/>
              <w:rPr>
                <w:rFonts w:hint="eastAsia"/>
                <w:szCs w:val="21"/>
              </w:rPr>
            </w:pPr>
          </w:p>
        </w:tc>
      </w:tr>
      <w:tr w14:paraId="52C5953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8786" w:type="dxa"/>
            <w:gridSpan w:val="8"/>
            <w:noWrap w:val="0"/>
            <w:vAlign w:val="center"/>
          </w:tcPr>
          <w:p w14:paraId="6D5B7950">
            <w:pPr>
              <w:jc w:val="center"/>
              <w:rPr>
                <w:rFonts w:hint="eastAsia"/>
                <w:szCs w:val="21"/>
              </w:rPr>
            </w:pPr>
            <w:r>
              <w:rPr>
                <w:rFonts w:hint="eastAsia"/>
                <w:b/>
                <w:sz w:val="20"/>
                <w:szCs w:val="20"/>
              </w:rPr>
              <w:t>二、总价措施项目符合性检查</w:t>
            </w:r>
          </w:p>
        </w:tc>
      </w:tr>
      <w:tr w14:paraId="64FCA36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02A3E898">
            <w:pPr>
              <w:jc w:val="center"/>
              <w:rPr>
                <w:rFonts w:hint="eastAsia"/>
                <w:sz w:val="20"/>
                <w:szCs w:val="20"/>
              </w:rPr>
            </w:pPr>
            <w:r>
              <w:rPr>
                <w:rFonts w:hint="eastAsia"/>
                <w:sz w:val="20"/>
                <w:szCs w:val="20"/>
              </w:rPr>
              <w:t>项目名称或编号</w:t>
            </w:r>
          </w:p>
        </w:tc>
        <w:tc>
          <w:tcPr>
            <w:tcW w:w="1098" w:type="dxa"/>
            <w:tcBorders>
              <w:right w:val="single" w:color="auto" w:sz="6" w:space="0"/>
            </w:tcBorders>
            <w:noWrap w:val="0"/>
            <w:vAlign w:val="center"/>
          </w:tcPr>
          <w:p w14:paraId="691DDF4C">
            <w:pPr>
              <w:jc w:val="center"/>
              <w:rPr>
                <w:rFonts w:hint="eastAsia"/>
                <w:sz w:val="20"/>
                <w:szCs w:val="20"/>
              </w:rPr>
            </w:pPr>
            <w:r>
              <w:rPr>
                <w:rFonts w:hint="eastAsia"/>
                <w:sz w:val="20"/>
                <w:szCs w:val="20"/>
              </w:rPr>
              <w:t>项目编码错误</w:t>
            </w:r>
          </w:p>
        </w:tc>
        <w:tc>
          <w:tcPr>
            <w:tcW w:w="1098" w:type="dxa"/>
            <w:tcBorders>
              <w:left w:val="single" w:color="auto" w:sz="6" w:space="0"/>
            </w:tcBorders>
            <w:noWrap w:val="0"/>
            <w:vAlign w:val="center"/>
          </w:tcPr>
          <w:p w14:paraId="38B153C0">
            <w:pPr>
              <w:jc w:val="center"/>
              <w:rPr>
                <w:rFonts w:hint="eastAsia"/>
                <w:sz w:val="20"/>
                <w:szCs w:val="20"/>
              </w:rPr>
            </w:pPr>
            <w:r>
              <w:rPr>
                <w:rFonts w:hint="eastAsia"/>
                <w:sz w:val="20"/>
                <w:szCs w:val="20"/>
              </w:rPr>
              <w:t>项目名称错误</w:t>
            </w:r>
          </w:p>
        </w:tc>
        <w:tc>
          <w:tcPr>
            <w:tcW w:w="1099" w:type="dxa"/>
            <w:tcBorders>
              <w:left w:val="single" w:color="auto" w:sz="6" w:space="0"/>
            </w:tcBorders>
            <w:noWrap w:val="0"/>
            <w:vAlign w:val="center"/>
          </w:tcPr>
          <w:p w14:paraId="1D1B79B9">
            <w:pPr>
              <w:jc w:val="center"/>
              <w:rPr>
                <w:rFonts w:hint="eastAsia"/>
              </w:rPr>
            </w:pPr>
            <w:r>
              <w:rPr>
                <w:rFonts w:hint="eastAsia"/>
              </w:rPr>
              <w:t>计算基础</w:t>
            </w:r>
            <w:r>
              <w:rPr>
                <w:rFonts w:hint="eastAsia"/>
                <w:sz w:val="20"/>
                <w:szCs w:val="20"/>
              </w:rPr>
              <w:t>错误</w:t>
            </w:r>
          </w:p>
        </w:tc>
        <w:tc>
          <w:tcPr>
            <w:tcW w:w="1098" w:type="dxa"/>
            <w:tcBorders>
              <w:right w:val="single" w:color="auto" w:sz="6" w:space="0"/>
            </w:tcBorders>
            <w:noWrap w:val="0"/>
            <w:vAlign w:val="center"/>
          </w:tcPr>
          <w:p w14:paraId="354E87A1">
            <w:pPr>
              <w:jc w:val="center"/>
              <w:rPr>
                <w:rFonts w:hint="eastAsia"/>
                <w:sz w:val="20"/>
                <w:szCs w:val="20"/>
              </w:rPr>
            </w:pPr>
            <w:r>
              <w:rPr>
                <w:rFonts w:hint="eastAsia"/>
              </w:rPr>
              <w:t>费率(％)</w:t>
            </w:r>
          </w:p>
          <w:p w14:paraId="2578C64D">
            <w:pPr>
              <w:jc w:val="center"/>
              <w:rPr>
                <w:rFonts w:hint="eastAsia"/>
              </w:rPr>
            </w:pPr>
            <w:r>
              <w:rPr>
                <w:rFonts w:hint="eastAsia"/>
                <w:sz w:val="20"/>
                <w:szCs w:val="20"/>
              </w:rPr>
              <w:t>错误</w:t>
            </w:r>
          </w:p>
        </w:tc>
        <w:tc>
          <w:tcPr>
            <w:tcW w:w="1098" w:type="dxa"/>
            <w:noWrap w:val="0"/>
            <w:vAlign w:val="center"/>
          </w:tcPr>
          <w:p w14:paraId="77A630A1">
            <w:pPr>
              <w:jc w:val="center"/>
              <w:rPr>
                <w:rFonts w:hint="eastAsia"/>
                <w:sz w:val="20"/>
                <w:szCs w:val="20"/>
              </w:rPr>
            </w:pPr>
            <w:r>
              <w:rPr>
                <w:rFonts w:hint="eastAsia"/>
                <w:sz w:val="20"/>
                <w:szCs w:val="20"/>
              </w:rPr>
              <w:t>未填报</w:t>
            </w:r>
          </w:p>
        </w:tc>
        <w:tc>
          <w:tcPr>
            <w:tcW w:w="1098" w:type="dxa"/>
            <w:tcBorders>
              <w:right w:val="single" w:color="auto" w:sz="6" w:space="0"/>
            </w:tcBorders>
            <w:noWrap w:val="0"/>
            <w:vAlign w:val="center"/>
          </w:tcPr>
          <w:p w14:paraId="5FD49798">
            <w:pPr>
              <w:jc w:val="center"/>
              <w:rPr>
                <w:rFonts w:hint="eastAsia"/>
                <w:sz w:val="20"/>
                <w:szCs w:val="20"/>
              </w:rPr>
            </w:pPr>
            <w:r>
              <w:rPr>
                <w:rFonts w:hint="eastAsia"/>
                <w:sz w:val="20"/>
                <w:szCs w:val="20"/>
              </w:rPr>
              <w:t>多项</w:t>
            </w:r>
          </w:p>
        </w:tc>
        <w:tc>
          <w:tcPr>
            <w:tcW w:w="1099" w:type="dxa"/>
            <w:noWrap w:val="0"/>
            <w:vAlign w:val="center"/>
          </w:tcPr>
          <w:p w14:paraId="2BC57003">
            <w:pPr>
              <w:jc w:val="center"/>
              <w:rPr>
                <w:rFonts w:hint="eastAsia"/>
                <w:szCs w:val="21"/>
              </w:rPr>
            </w:pPr>
          </w:p>
        </w:tc>
      </w:tr>
      <w:tr w14:paraId="5A35E4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57ABA17B">
            <w:pPr>
              <w:jc w:val="center"/>
              <w:rPr>
                <w:rFonts w:hint="eastAsia" w:ascii="黑体" w:eastAsia="黑体"/>
                <w:szCs w:val="21"/>
              </w:rPr>
            </w:pPr>
          </w:p>
        </w:tc>
        <w:tc>
          <w:tcPr>
            <w:tcW w:w="1098" w:type="dxa"/>
            <w:tcBorders>
              <w:right w:val="single" w:color="auto" w:sz="6" w:space="0"/>
            </w:tcBorders>
            <w:noWrap w:val="0"/>
            <w:vAlign w:val="center"/>
          </w:tcPr>
          <w:p w14:paraId="36453C70">
            <w:pPr>
              <w:ind w:firstLine="210" w:firstLineChars="100"/>
              <w:jc w:val="center"/>
              <w:rPr>
                <w:rFonts w:hint="eastAsia"/>
                <w:szCs w:val="21"/>
              </w:rPr>
            </w:pPr>
          </w:p>
        </w:tc>
        <w:tc>
          <w:tcPr>
            <w:tcW w:w="1098" w:type="dxa"/>
            <w:tcBorders>
              <w:left w:val="single" w:color="auto" w:sz="6" w:space="0"/>
            </w:tcBorders>
            <w:noWrap w:val="0"/>
            <w:vAlign w:val="center"/>
          </w:tcPr>
          <w:p w14:paraId="5430FEE2">
            <w:pPr>
              <w:ind w:firstLine="210" w:firstLineChars="100"/>
              <w:jc w:val="center"/>
              <w:rPr>
                <w:rFonts w:hint="eastAsia"/>
                <w:szCs w:val="21"/>
              </w:rPr>
            </w:pPr>
          </w:p>
        </w:tc>
        <w:tc>
          <w:tcPr>
            <w:tcW w:w="1099" w:type="dxa"/>
            <w:tcBorders>
              <w:left w:val="single" w:color="auto" w:sz="6" w:space="0"/>
            </w:tcBorders>
            <w:noWrap w:val="0"/>
            <w:vAlign w:val="center"/>
          </w:tcPr>
          <w:p w14:paraId="12C7CA4C">
            <w:pPr>
              <w:ind w:firstLine="210" w:firstLineChars="100"/>
              <w:jc w:val="center"/>
              <w:rPr>
                <w:rFonts w:hint="eastAsia"/>
                <w:szCs w:val="21"/>
              </w:rPr>
            </w:pPr>
          </w:p>
        </w:tc>
        <w:tc>
          <w:tcPr>
            <w:tcW w:w="1098" w:type="dxa"/>
            <w:tcBorders>
              <w:right w:val="single" w:color="auto" w:sz="6" w:space="0"/>
            </w:tcBorders>
            <w:noWrap w:val="0"/>
            <w:vAlign w:val="center"/>
          </w:tcPr>
          <w:p w14:paraId="14CE8130">
            <w:pPr>
              <w:jc w:val="center"/>
              <w:rPr>
                <w:rFonts w:hint="eastAsia"/>
                <w:szCs w:val="21"/>
              </w:rPr>
            </w:pPr>
          </w:p>
        </w:tc>
        <w:tc>
          <w:tcPr>
            <w:tcW w:w="1098" w:type="dxa"/>
            <w:noWrap w:val="0"/>
            <w:vAlign w:val="center"/>
          </w:tcPr>
          <w:p w14:paraId="474CDEE1">
            <w:pPr>
              <w:jc w:val="center"/>
              <w:rPr>
                <w:rFonts w:hint="eastAsia"/>
                <w:szCs w:val="21"/>
              </w:rPr>
            </w:pPr>
          </w:p>
        </w:tc>
        <w:tc>
          <w:tcPr>
            <w:tcW w:w="1098" w:type="dxa"/>
            <w:tcBorders>
              <w:right w:val="single" w:color="auto" w:sz="6" w:space="0"/>
            </w:tcBorders>
            <w:noWrap w:val="0"/>
            <w:vAlign w:val="center"/>
          </w:tcPr>
          <w:p w14:paraId="05E9802F">
            <w:pPr>
              <w:jc w:val="center"/>
              <w:rPr>
                <w:rFonts w:hint="eastAsia"/>
                <w:szCs w:val="21"/>
              </w:rPr>
            </w:pPr>
          </w:p>
        </w:tc>
        <w:tc>
          <w:tcPr>
            <w:tcW w:w="1099" w:type="dxa"/>
            <w:noWrap w:val="0"/>
            <w:vAlign w:val="center"/>
          </w:tcPr>
          <w:p w14:paraId="36704CC3">
            <w:pPr>
              <w:jc w:val="center"/>
              <w:rPr>
                <w:rFonts w:hint="eastAsia"/>
                <w:szCs w:val="21"/>
              </w:rPr>
            </w:pPr>
          </w:p>
        </w:tc>
      </w:tr>
      <w:tr w14:paraId="1C00889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74DD20F6">
            <w:pPr>
              <w:jc w:val="center"/>
              <w:rPr>
                <w:rFonts w:hint="eastAsia" w:ascii="黑体" w:eastAsia="黑体"/>
                <w:szCs w:val="21"/>
              </w:rPr>
            </w:pPr>
          </w:p>
        </w:tc>
        <w:tc>
          <w:tcPr>
            <w:tcW w:w="1098" w:type="dxa"/>
            <w:tcBorders>
              <w:right w:val="single" w:color="auto" w:sz="6" w:space="0"/>
            </w:tcBorders>
            <w:noWrap w:val="0"/>
            <w:vAlign w:val="center"/>
          </w:tcPr>
          <w:p w14:paraId="160E4F1A">
            <w:pPr>
              <w:ind w:firstLine="210" w:firstLineChars="100"/>
              <w:jc w:val="center"/>
              <w:rPr>
                <w:rFonts w:hint="eastAsia"/>
                <w:szCs w:val="21"/>
              </w:rPr>
            </w:pPr>
          </w:p>
        </w:tc>
        <w:tc>
          <w:tcPr>
            <w:tcW w:w="1098" w:type="dxa"/>
            <w:tcBorders>
              <w:left w:val="single" w:color="auto" w:sz="6" w:space="0"/>
            </w:tcBorders>
            <w:noWrap w:val="0"/>
            <w:vAlign w:val="center"/>
          </w:tcPr>
          <w:p w14:paraId="1134E758">
            <w:pPr>
              <w:ind w:firstLine="210" w:firstLineChars="100"/>
              <w:jc w:val="center"/>
              <w:rPr>
                <w:rFonts w:hint="eastAsia"/>
                <w:szCs w:val="21"/>
              </w:rPr>
            </w:pPr>
          </w:p>
        </w:tc>
        <w:tc>
          <w:tcPr>
            <w:tcW w:w="1099" w:type="dxa"/>
            <w:tcBorders>
              <w:left w:val="single" w:color="auto" w:sz="6" w:space="0"/>
            </w:tcBorders>
            <w:noWrap w:val="0"/>
            <w:vAlign w:val="center"/>
          </w:tcPr>
          <w:p w14:paraId="7990B189">
            <w:pPr>
              <w:ind w:firstLine="210" w:firstLineChars="100"/>
              <w:jc w:val="center"/>
              <w:rPr>
                <w:rFonts w:hint="eastAsia"/>
                <w:szCs w:val="21"/>
              </w:rPr>
            </w:pPr>
          </w:p>
        </w:tc>
        <w:tc>
          <w:tcPr>
            <w:tcW w:w="1098" w:type="dxa"/>
            <w:tcBorders>
              <w:right w:val="single" w:color="auto" w:sz="6" w:space="0"/>
            </w:tcBorders>
            <w:noWrap w:val="0"/>
            <w:vAlign w:val="center"/>
          </w:tcPr>
          <w:p w14:paraId="148AF523">
            <w:pPr>
              <w:jc w:val="center"/>
              <w:rPr>
                <w:rFonts w:hint="eastAsia"/>
                <w:szCs w:val="21"/>
              </w:rPr>
            </w:pPr>
          </w:p>
        </w:tc>
        <w:tc>
          <w:tcPr>
            <w:tcW w:w="1098" w:type="dxa"/>
            <w:noWrap w:val="0"/>
            <w:vAlign w:val="center"/>
          </w:tcPr>
          <w:p w14:paraId="0E402521">
            <w:pPr>
              <w:jc w:val="center"/>
              <w:rPr>
                <w:rFonts w:hint="eastAsia"/>
                <w:szCs w:val="21"/>
              </w:rPr>
            </w:pPr>
          </w:p>
        </w:tc>
        <w:tc>
          <w:tcPr>
            <w:tcW w:w="1098" w:type="dxa"/>
            <w:tcBorders>
              <w:right w:val="single" w:color="auto" w:sz="6" w:space="0"/>
            </w:tcBorders>
            <w:noWrap w:val="0"/>
            <w:vAlign w:val="center"/>
          </w:tcPr>
          <w:p w14:paraId="6DAB2A38">
            <w:pPr>
              <w:jc w:val="center"/>
              <w:rPr>
                <w:rFonts w:hint="eastAsia"/>
                <w:szCs w:val="21"/>
              </w:rPr>
            </w:pPr>
          </w:p>
        </w:tc>
        <w:tc>
          <w:tcPr>
            <w:tcW w:w="1099" w:type="dxa"/>
            <w:noWrap w:val="0"/>
            <w:vAlign w:val="center"/>
          </w:tcPr>
          <w:p w14:paraId="3689B68B">
            <w:pPr>
              <w:jc w:val="center"/>
              <w:rPr>
                <w:rFonts w:hint="eastAsia"/>
                <w:szCs w:val="21"/>
              </w:rPr>
            </w:pPr>
          </w:p>
        </w:tc>
      </w:tr>
      <w:tr w14:paraId="65643EB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489" w:hRule="atLeast"/>
          <w:jc w:val="center"/>
        </w:trPr>
        <w:tc>
          <w:tcPr>
            <w:tcW w:w="1098" w:type="dxa"/>
            <w:noWrap w:val="0"/>
            <w:vAlign w:val="center"/>
          </w:tcPr>
          <w:p w14:paraId="2FCCA2B7">
            <w:pPr>
              <w:jc w:val="center"/>
              <w:rPr>
                <w:rFonts w:hint="eastAsia" w:ascii="黑体" w:eastAsia="黑体"/>
                <w:szCs w:val="21"/>
              </w:rPr>
            </w:pPr>
          </w:p>
        </w:tc>
        <w:tc>
          <w:tcPr>
            <w:tcW w:w="1098" w:type="dxa"/>
            <w:tcBorders>
              <w:right w:val="single" w:color="auto" w:sz="6" w:space="0"/>
            </w:tcBorders>
            <w:noWrap w:val="0"/>
            <w:vAlign w:val="center"/>
          </w:tcPr>
          <w:p w14:paraId="55F18879">
            <w:pPr>
              <w:ind w:firstLine="210" w:firstLineChars="100"/>
              <w:jc w:val="center"/>
              <w:rPr>
                <w:rFonts w:hint="eastAsia"/>
                <w:szCs w:val="21"/>
              </w:rPr>
            </w:pPr>
          </w:p>
        </w:tc>
        <w:tc>
          <w:tcPr>
            <w:tcW w:w="1098" w:type="dxa"/>
            <w:tcBorders>
              <w:left w:val="single" w:color="auto" w:sz="6" w:space="0"/>
            </w:tcBorders>
            <w:noWrap w:val="0"/>
            <w:vAlign w:val="center"/>
          </w:tcPr>
          <w:p w14:paraId="358EB558">
            <w:pPr>
              <w:ind w:firstLine="210" w:firstLineChars="100"/>
              <w:jc w:val="center"/>
              <w:rPr>
                <w:rFonts w:hint="eastAsia"/>
                <w:szCs w:val="21"/>
              </w:rPr>
            </w:pPr>
          </w:p>
        </w:tc>
        <w:tc>
          <w:tcPr>
            <w:tcW w:w="1099" w:type="dxa"/>
            <w:tcBorders>
              <w:left w:val="single" w:color="auto" w:sz="6" w:space="0"/>
            </w:tcBorders>
            <w:noWrap w:val="0"/>
            <w:vAlign w:val="center"/>
          </w:tcPr>
          <w:p w14:paraId="0F511141">
            <w:pPr>
              <w:ind w:firstLine="210" w:firstLineChars="100"/>
              <w:jc w:val="center"/>
              <w:rPr>
                <w:rFonts w:hint="eastAsia"/>
                <w:szCs w:val="21"/>
              </w:rPr>
            </w:pPr>
          </w:p>
        </w:tc>
        <w:tc>
          <w:tcPr>
            <w:tcW w:w="1098" w:type="dxa"/>
            <w:tcBorders>
              <w:right w:val="single" w:color="auto" w:sz="6" w:space="0"/>
            </w:tcBorders>
            <w:noWrap w:val="0"/>
            <w:vAlign w:val="center"/>
          </w:tcPr>
          <w:p w14:paraId="56B39D63">
            <w:pPr>
              <w:jc w:val="center"/>
              <w:rPr>
                <w:rFonts w:hint="eastAsia"/>
                <w:szCs w:val="21"/>
              </w:rPr>
            </w:pPr>
          </w:p>
        </w:tc>
        <w:tc>
          <w:tcPr>
            <w:tcW w:w="1098" w:type="dxa"/>
            <w:noWrap w:val="0"/>
            <w:vAlign w:val="center"/>
          </w:tcPr>
          <w:p w14:paraId="009CA9A8">
            <w:pPr>
              <w:jc w:val="center"/>
              <w:rPr>
                <w:rFonts w:hint="eastAsia"/>
                <w:szCs w:val="21"/>
              </w:rPr>
            </w:pPr>
          </w:p>
        </w:tc>
        <w:tc>
          <w:tcPr>
            <w:tcW w:w="1098" w:type="dxa"/>
            <w:tcBorders>
              <w:right w:val="single" w:color="auto" w:sz="6" w:space="0"/>
            </w:tcBorders>
            <w:noWrap w:val="0"/>
            <w:vAlign w:val="center"/>
          </w:tcPr>
          <w:p w14:paraId="547A7434">
            <w:pPr>
              <w:jc w:val="center"/>
              <w:rPr>
                <w:rFonts w:hint="eastAsia"/>
                <w:szCs w:val="21"/>
              </w:rPr>
            </w:pPr>
          </w:p>
        </w:tc>
        <w:tc>
          <w:tcPr>
            <w:tcW w:w="1099" w:type="dxa"/>
            <w:noWrap w:val="0"/>
            <w:vAlign w:val="center"/>
          </w:tcPr>
          <w:p w14:paraId="3CD30237">
            <w:pPr>
              <w:jc w:val="center"/>
              <w:rPr>
                <w:rFonts w:hint="eastAsia"/>
                <w:szCs w:val="21"/>
              </w:rPr>
            </w:pPr>
          </w:p>
        </w:tc>
      </w:tr>
      <w:tr w14:paraId="75E27B9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37B213C6">
            <w:pPr>
              <w:jc w:val="center"/>
              <w:rPr>
                <w:rFonts w:hint="eastAsia" w:ascii="黑体" w:eastAsia="黑体"/>
                <w:szCs w:val="21"/>
              </w:rPr>
            </w:pPr>
          </w:p>
        </w:tc>
        <w:tc>
          <w:tcPr>
            <w:tcW w:w="1098" w:type="dxa"/>
            <w:tcBorders>
              <w:right w:val="single" w:color="auto" w:sz="6" w:space="0"/>
            </w:tcBorders>
            <w:noWrap w:val="0"/>
            <w:vAlign w:val="center"/>
          </w:tcPr>
          <w:p w14:paraId="1C782EA2">
            <w:pPr>
              <w:ind w:firstLine="210" w:firstLineChars="100"/>
              <w:jc w:val="center"/>
              <w:rPr>
                <w:rFonts w:hint="eastAsia"/>
                <w:szCs w:val="21"/>
              </w:rPr>
            </w:pPr>
          </w:p>
        </w:tc>
        <w:tc>
          <w:tcPr>
            <w:tcW w:w="1098" w:type="dxa"/>
            <w:tcBorders>
              <w:left w:val="single" w:color="auto" w:sz="6" w:space="0"/>
            </w:tcBorders>
            <w:noWrap w:val="0"/>
            <w:vAlign w:val="center"/>
          </w:tcPr>
          <w:p w14:paraId="6756D846">
            <w:pPr>
              <w:ind w:firstLine="210" w:firstLineChars="100"/>
              <w:jc w:val="center"/>
              <w:rPr>
                <w:rFonts w:hint="eastAsia"/>
                <w:szCs w:val="21"/>
              </w:rPr>
            </w:pPr>
          </w:p>
        </w:tc>
        <w:tc>
          <w:tcPr>
            <w:tcW w:w="1099" w:type="dxa"/>
            <w:tcBorders>
              <w:left w:val="single" w:color="auto" w:sz="6" w:space="0"/>
            </w:tcBorders>
            <w:noWrap w:val="0"/>
            <w:vAlign w:val="center"/>
          </w:tcPr>
          <w:p w14:paraId="75B671ED">
            <w:pPr>
              <w:ind w:firstLine="210" w:firstLineChars="100"/>
              <w:jc w:val="center"/>
              <w:rPr>
                <w:rFonts w:hint="eastAsia"/>
                <w:szCs w:val="21"/>
              </w:rPr>
            </w:pPr>
          </w:p>
        </w:tc>
        <w:tc>
          <w:tcPr>
            <w:tcW w:w="1098" w:type="dxa"/>
            <w:tcBorders>
              <w:right w:val="single" w:color="auto" w:sz="6" w:space="0"/>
            </w:tcBorders>
            <w:noWrap w:val="0"/>
            <w:vAlign w:val="center"/>
          </w:tcPr>
          <w:p w14:paraId="23C7A5EA">
            <w:pPr>
              <w:jc w:val="center"/>
              <w:rPr>
                <w:rFonts w:hint="eastAsia"/>
                <w:szCs w:val="21"/>
              </w:rPr>
            </w:pPr>
          </w:p>
        </w:tc>
        <w:tc>
          <w:tcPr>
            <w:tcW w:w="1098" w:type="dxa"/>
            <w:noWrap w:val="0"/>
            <w:vAlign w:val="center"/>
          </w:tcPr>
          <w:p w14:paraId="12A2037F">
            <w:pPr>
              <w:jc w:val="center"/>
              <w:rPr>
                <w:rFonts w:hint="eastAsia"/>
                <w:szCs w:val="21"/>
              </w:rPr>
            </w:pPr>
          </w:p>
        </w:tc>
        <w:tc>
          <w:tcPr>
            <w:tcW w:w="1098" w:type="dxa"/>
            <w:tcBorders>
              <w:right w:val="single" w:color="auto" w:sz="6" w:space="0"/>
            </w:tcBorders>
            <w:noWrap w:val="0"/>
            <w:vAlign w:val="center"/>
          </w:tcPr>
          <w:p w14:paraId="4B2CE9E0">
            <w:pPr>
              <w:jc w:val="center"/>
              <w:rPr>
                <w:rFonts w:hint="eastAsia"/>
                <w:szCs w:val="21"/>
              </w:rPr>
            </w:pPr>
          </w:p>
        </w:tc>
        <w:tc>
          <w:tcPr>
            <w:tcW w:w="1099" w:type="dxa"/>
            <w:noWrap w:val="0"/>
            <w:vAlign w:val="center"/>
          </w:tcPr>
          <w:p w14:paraId="2A6CC81D">
            <w:pPr>
              <w:jc w:val="center"/>
              <w:rPr>
                <w:rFonts w:hint="eastAsia"/>
                <w:szCs w:val="21"/>
              </w:rPr>
            </w:pPr>
          </w:p>
        </w:tc>
      </w:tr>
      <w:tr w14:paraId="2C1F84B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327D9C95">
            <w:pPr>
              <w:jc w:val="center"/>
              <w:rPr>
                <w:rFonts w:hint="eastAsia" w:ascii="黑体" w:eastAsia="黑体"/>
                <w:szCs w:val="21"/>
              </w:rPr>
            </w:pPr>
          </w:p>
        </w:tc>
        <w:tc>
          <w:tcPr>
            <w:tcW w:w="1098" w:type="dxa"/>
            <w:tcBorders>
              <w:right w:val="single" w:color="auto" w:sz="6" w:space="0"/>
            </w:tcBorders>
            <w:noWrap w:val="0"/>
            <w:vAlign w:val="center"/>
          </w:tcPr>
          <w:p w14:paraId="73E2AFEE">
            <w:pPr>
              <w:ind w:firstLine="210" w:firstLineChars="100"/>
              <w:jc w:val="center"/>
              <w:rPr>
                <w:rFonts w:hint="eastAsia"/>
                <w:szCs w:val="21"/>
              </w:rPr>
            </w:pPr>
          </w:p>
        </w:tc>
        <w:tc>
          <w:tcPr>
            <w:tcW w:w="1098" w:type="dxa"/>
            <w:tcBorders>
              <w:left w:val="single" w:color="auto" w:sz="6" w:space="0"/>
            </w:tcBorders>
            <w:noWrap w:val="0"/>
            <w:vAlign w:val="center"/>
          </w:tcPr>
          <w:p w14:paraId="0B80F85B">
            <w:pPr>
              <w:ind w:firstLine="210" w:firstLineChars="100"/>
              <w:jc w:val="center"/>
              <w:rPr>
                <w:rFonts w:hint="eastAsia"/>
                <w:szCs w:val="21"/>
              </w:rPr>
            </w:pPr>
          </w:p>
        </w:tc>
        <w:tc>
          <w:tcPr>
            <w:tcW w:w="1099" w:type="dxa"/>
            <w:tcBorders>
              <w:left w:val="single" w:color="auto" w:sz="6" w:space="0"/>
            </w:tcBorders>
            <w:noWrap w:val="0"/>
            <w:vAlign w:val="center"/>
          </w:tcPr>
          <w:p w14:paraId="36A5967D">
            <w:pPr>
              <w:ind w:firstLine="210" w:firstLineChars="100"/>
              <w:jc w:val="center"/>
              <w:rPr>
                <w:rFonts w:hint="eastAsia"/>
                <w:szCs w:val="21"/>
              </w:rPr>
            </w:pPr>
          </w:p>
        </w:tc>
        <w:tc>
          <w:tcPr>
            <w:tcW w:w="1098" w:type="dxa"/>
            <w:tcBorders>
              <w:right w:val="single" w:color="auto" w:sz="6" w:space="0"/>
            </w:tcBorders>
            <w:noWrap w:val="0"/>
            <w:vAlign w:val="center"/>
          </w:tcPr>
          <w:p w14:paraId="3F3701E9">
            <w:pPr>
              <w:jc w:val="center"/>
              <w:rPr>
                <w:rFonts w:hint="eastAsia"/>
                <w:szCs w:val="21"/>
              </w:rPr>
            </w:pPr>
          </w:p>
        </w:tc>
        <w:tc>
          <w:tcPr>
            <w:tcW w:w="1098" w:type="dxa"/>
            <w:noWrap w:val="0"/>
            <w:vAlign w:val="center"/>
          </w:tcPr>
          <w:p w14:paraId="4892AC1C">
            <w:pPr>
              <w:jc w:val="center"/>
              <w:rPr>
                <w:rFonts w:hint="eastAsia"/>
                <w:szCs w:val="21"/>
              </w:rPr>
            </w:pPr>
          </w:p>
        </w:tc>
        <w:tc>
          <w:tcPr>
            <w:tcW w:w="1098" w:type="dxa"/>
            <w:tcBorders>
              <w:right w:val="single" w:color="auto" w:sz="6" w:space="0"/>
            </w:tcBorders>
            <w:noWrap w:val="0"/>
            <w:vAlign w:val="center"/>
          </w:tcPr>
          <w:p w14:paraId="1D32F265">
            <w:pPr>
              <w:jc w:val="center"/>
              <w:rPr>
                <w:rFonts w:hint="eastAsia"/>
                <w:szCs w:val="21"/>
              </w:rPr>
            </w:pPr>
          </w:p>
        </w:tc>
        <w:tc>
          <w:tcPr>
            <w:tcW w:w="1099" w:type="dxa"/>
            <w:noWrap w:val="0"/>
            <w:vAlign w:val="center"/>
          </w:tcPr>
          <w:p w14:paraId="6DB71C34">
            <w:pPr>
              <w:jc w:val="center"/>
              <w:rPr>
                <w:rFonts w:hint="eastAsia"/>
                <w:szCs w:val="21"/>
              </w:rPr>
            </w:pPr>
          </w:p>
        </w:tc>
      </w:tr>
      <w:tr w14:paraId="414866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644D6316">
            <w:pPr>
              <w:jc w:val="center"/>
              <w:rPr>
                <w:rFonts w:hint="eastAsia" w:ascii="黑体" w:eastAsia="黑体"/>
                <w:szCs w:val="21"/>
              </w:rPr>
            </w:pPr>
          </w:p>
        </w:tc>
        <w:tc>
          <w:tcPr>
            <w:tcW w:w="1098" w:type="dxa"/>
            <w:tcBorders>
              <w:right w:val="single" w:color="auto" w:sz="6" w:space="0"/>
            </w:tcBorders>
            <w:noWrap w:val="0"/>
            <w:vAlign w:val="center"/>
          </w:tcPr>
          <w:p w14:paraId="00C33509">
            <w:pPr>
              <w:ind w:firstLine="210" w:firstLineChars="100"/>
              <w:jc w:val="center"/>
              <w:rPr>
                <w:rFonts w:hint="eastAsia"/>
                <w:szCs w:val="21"/>
              </w:rPr>
            </w:pPr>
          </w:p>
        </w:tc>
        <w:tc>
          <w:tcPr>
            <w:tcW w:w="1098" w:type="dxa"/>
            <w:tcBorders>
              <w:left w:val="single" w:color="auto" w:sz="6" w:space="0"/>
            </w:tcBorders>
            <w:noWrap w:val="0"/>
            <w:vAlign w:val="center"/>
          </w:tcPr>
          <w:p w14:paraId="49CAE014">
            <w:pPr>
              <w:ind w:firstLine="210" w:firstLineChars="100"/>
              <w:jc w:val="center"/>
              <w:rPr>
                <w:rFonts w:hint="eastAsia"/>
                <w:szCs w:val="21"/>
              </w:rPr>
            </w:pPr>
          </w:p>
        </w:tc>
        <w:tc>
          <w:tcPr>
            <w:tcW w:w="1099" w:type="dxa"/>
            <w:tcBorders>
              <w:left w:val="single" w:color="auto" w:sz="6" w:space="0"/>
            </w:tcBorders>
            <w:noWrap w:val="0"/>
            <w:vAlign w:val="center"/>
          </w:tcPr>
          <w:p w14:paraId="127EF928">
            <w:pPr>
              <w:ind w:firstLine="210" w:firstLineChars="100"/>
              <w:jc w:val="center"/>
              <w:rPr>
                <w:rFonts w:hint="eastAsia"/>
                <w:szCs w:val="21"/>
              </w:rPr>
            </w:pPr>
          </w:p>
        </w:tc>
        <w:tc>
          <w:tcPr>
            <w:tcW w:w="1098" w:type="dxa"/>
            <w:tcBorders>
              <w:right w:val="single" w:color="auto" w:sz="6" w:space="0"/>
            </w:tcBorders>
            <w:noWrap w:val="0"/>
            <w:vAlign w:val="center"/>
          </w:tcPr>
          <w:p w14:paraId="2ACCBDAF">
            <w:pPr>
              <w:jc w:val="center"/>
              <w:rPr>
                <w:rFonts w:hint="eastAsia"/>
                <w:szCs w:val="21"/>
              </w:rPr>
            </w:pPr>
          </w:p>
        </w:tc>
        <w:tc>
          <w:tcPr>
            <w:tcW w:w="1098" w:type="dxa"/>
            <w:noWrap w:val="0"/>
            <w:vAlign w:val="center"/>
          </w:tcPr>
          <w:p w14:paraId="5292C49D">
            <w:pPr>
              <w:jc w:val="center"/>
              <w:rPr>
                <w:rFonts w:hint="eastAsia"/>
                <w:szCs w:val="21"/>
              </w:rPr>
            </w:pPr>
          </w:p>
        </w:tc>
        <w:tc>
          <w:tcPr>
            <w:tcW w:w="1098" w:type="dxa"/>
            <w:tcBorders>
              <w:right w:val="single" w:color="auto" w:sz="6" w:space="0"/>
            </w:tcBorders>
            <w:noWrap w:val="0"/>
            <w:vAlign w:val="center"/>
          </w:tcPr>
          <w:p w14:paraId="23990A3F">
            <w:pPr>
              <w:jc w:val="center"/>
              <w:rPr>
                <w:rFonts w:hint="eastAsia"/>
                <w:szCs w:val="21"/>
              </w:rPr>
            </w:pPr>
          </w:p>
        </w:tc>
        <w:tc>
          <w:tcPr>
            <w:tcW w:w="1099" w:type="dxa"/>
            <w:noWrap w:val="0"/>
            <w:vAlign w:val="center"/>
          </w:tcPr>
          <w:p w14:paraId="7B36D3E3">
            <w:pPr>
              <w:jc w:val="center"/>
              <w:rPr>
                <w:rFonts w:hint="eastAsia"/>
                <w:szCs w:val="21"/>
              </w:rPr>
            </w:pPr>
          </w:p>
        </w:tc>
      </w:tr>
      <w:tr w14:paraId="4AF7AE1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1D25EB24">
            <w:pPr>
              <w:jc w:val="center"/>
              <w:rPr>
                <w:rFonts w:hint="eastAsia" w:ascii="黑体" w:eastAsia="黑体"/>
                <w:szCs w:val="21"/>
              </w:rPr>
            </w:pPr>
          </w:p>
        </w:tc>
        <w:tc>
          <w:tcPr>
            <w:tcW w:w="1098" w:type="dxa"/>
            <w:tcBorders>
              <w:right w:val="single" w:color="auto" w:sz="6" w:space="0"/>
            </w:tcBorders>
            <w:noWrap w:val="0"/>
            <w:vAlign w:val="center"/>
          </w:tcPr>
          <w:p w14:paraId="6EF8BD07">
            <w:pPr>
              <w:ind w:firstLine="210" w:firstLineChars="100"/>
              <w:jc w:val="center"/>
              <w:rPr>
                <w:rFonts w:hint="eastAsia"/>
                <w:szCs w:val="21"/>
              </w:rPr>
            </w:pPr>
          </w:p>
        </w:tc>
        <w:tc>
          <w:tcPr>
            <w:tcW w:w="1098" w:type="dxa"/>
            <w:tcBorders>
              <w:left w:val="single" w:color="auto" w:sz="6" w:space="0"/>
            </w:tcBorders>
            <w:noWrap w:val="0"/>
            <w:vAlign w:val="center"/>
          </w:tcPr>
          <w:p w14:paraId="77074973">
            <w:pPr>
              <w:ind w:firstLine="210" w:firstLineChars="100"/>
              <w:jc w:val="center"/>
              <w:rPr>
                <w:rFonts w:hint="eastAsia"/>
                <w:szCs w:val="21"/>
              </w:rPr>
            </w:pPr>
          </w:p>
        </w:tc>
        <w:tc>
          <w:tcPr>
            <w:tcW w:w="1099" w:type="dxa"/>
            <w:tcBorders>
              <w:left w:val="single" w:color="auto" w:sz="6" w:space="0"/>
            </w:tcBorders>
            <w:noWrap w:val="0"/>
            <w:vAlign w:val="center"/>
          </w:tcPr>
          <w:p w14:paraId="35B3F492">
            <w:pPr>
              <w:ind w:firstLine="210" w:firstLineChars="100"/>
              <w:jc w:val="center"/>
              <w:rPr>
                <w:rFonts w:hint="eastAsia"/>
                <w:szCs w:val="21"/>
              </w:rPr>
            </w:pPr>
          </w:p>
        </w:tc>
        <w:tc>
          <w:tcPr>
            <w:tcW w:w="1098" w:type="dxa"/>
            <w:tcBorders>
              <w:right w:val="single" w:color="auto" w:sz="6" w:space="0"/>
            </w:tcBorders>
            <w:noWrap w:val="0"/>
            <w:vAlign w:val="center"/>
          </w:tcPr>
          <w:p w14:paraId="08061DEA">
            <w:pPr>
              <w:jc w:val="center"/>
              <w:rPr>
                <w:rFonts w:hint="eastAsia"/>
                <w:szCs w:val="21"/>
              </w:rPr>
            </w:pPr>
          </w:p>
        </w:tc>
        <w:tc>
          <w:tcPr>
            <w:tcW w:w="1098" w:type="dxa"/>
            <w:noWrap w:val="0"/>
            <w:vAlign w:val="center"/>
          </w:tcPr>
          <w:p w14:paraId="399CE37A">
            <w:pPr>
              <w:jc w:val="center"/>
              <w:rPr>
                <w:rFonts w:hint="eastAsia"/>
                <w:szCs w:val="21"/>
              </w:rPr>
            </w:pPr>
          </w:p>
        </w:tc>
        <w:tc>
          <w:tcPr>
            <w:tcW w:w="1098" w:type="dxa"/>
            <w:tcBorders>
              <w:right w:val="single" w:color="auto" w:sz="6" w:space="0"/>
            </w:tcBorders>
            <w:noWrap w:val="0"/>
            <w:vAlign w:val="center"/>
          </w:tcPr>
          <w:p w14:paraId="3D19EFCA">
            <w:pPr>
              <w:jc w:val="center"/>
              <w:rPr>
                <w:rFonts w:hint="eastAsia"/>
                <w:szCs w:val="21"/>
              </w:rPr>
            </w:pPr>
          </w:p>
        </w:tc>
        <w:tc>
          <w:tcPr>
            <w:tcW w:w="1099" w:type="dxa"/>
            <w:noWrap w:val="0"/>
            <w:vAlign w:val="center"/>
          </w:tcPr>
          <w:p w14:paraId="631D1370">
            <w:pPr>
              <w:jc w:val="center"/>
              <w:rPr>
                <w:rFonts w:hint="eastAsia"/>
                <w:szCs w:val="21"/>
              </w:rPr>
            </w:pPr>
          </w:p>
        </w:tc>
      </w:tr>
      <w:tr w14:paraId="1C4E622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3A71E1A8">
            <w:pPr>
              <w:jc w:val="center"/>
              <w:rPr>
                <w:rFonts w:hint="eastAsia" w:ascii="黑体" w:eastAsia="黑体"/>
                <w:szCs w:val="21"/>
              </w:rPr>
            </w:pPr>
          </w:p>
        </w:tc>
        <w:tc>
          <w:tcPr>
            <w:tcW w:w="1098" w:type="dxa"/>
            <w:tcBorders>
              <w:right w:val="single" w:color="auto" w:sz="6" w:space="0"/>
            </w:tcBorders>
            <w:noWrap w:val="0"/>
            <w:vAlign w:val="center"/>
          </w:tcPr>
          <w:p w14:paraId="509ADAB5">
            <w:pPr>
              <w:ind w:firstLine="210" w:firstLineChars="100"/>
              <w:jc w:val="center"/>
              <w:rPr>
                <w:rFonts w:hint="eastAsia"/>
                <w:szCs w:val="21"/>
              </w:rPr>
            </w:pPr>
          </w:p>
        </w:tc>
        <w:tc>
          <w:tcPr>
            <w:tcW w:w="1098" w:type="dxa"/>
            <w:tcBorders>
              <w:left w:val="single" w:color="auto" w:sz="6" w:space="0"/>
            </w:tcBorders>
            <w:noWrap w:val="0"/>
            <w:vAlign w:val="center"/>
          </w:tcPr>
          <w:p w14:paraId="77E0991A">
            <w:pPr>
              <w:ind w:firstLine="210" w:firstLineChars="100"/>
              <w:jc w:val="center"/>
              <w:rPr>
                <w:rFonts w:hint="eastAsia"/>
                <w:szCs w:val="21"/>
              </w:rPr>
            </w:pPr>
          </w:p>
        </w:tc>
        <w:tc>
          <w:tcPr>
            <w:tcW w:w="1099" w:type="dxa"/>
            <w:tcBorders>
              <w:left w:val="single" w:color="auto" w:sz="6" w:space="0"/>
            </w:tcBorders>
            <w:noWrap w:val="0"/>
            <w:vAlign w:val="center"/>
          </w:tcPr>
          <w:p w14:paraId="67D4EBEC">
            <w:pPr>
              <w:ind w:firstLine="210" w:firstLineChars="100"/>
              <w:jc w:val="center"/>
              <w:rPr>
                <w:rFonts w:hint="eastAsia"/>
                <w:szCs w:val="21"/>
              </w:rPr>
            </w:pPr>
          </w:p>
        </w:tc>
        <w:tc>
          <w:tcPr>
            <w:tcW w:w="1098" w:type="dxa"/>
            <w:tcBorders>
              <w:right w:val="single" w:color="auto" w:sz="6" w:space="0"/>
            </w:tcBorders>
            <w:noWrap w:val="0"/>
            <w:vAlign w:val="center"/>
          </w:tcPr>
          <w:p w14:paraId="0DFB6DB5">
            <w:pPr>
              <w:jc w:val="center"/>
              <w:rPr>
                <w:rFonts w:hint="eastAsia"/>
                <w:szCs w:val="21"/>
              </w:rPr>
            </w:pPr>
          </w:p>
        </w:tc>
        <w:tc>
          <w:tcPr>
            <w:tcW w:w="1098" w:type="dxa"/>
            <w:noWrap w:val="0"/>
            <w:vAlign w:val="center"/>
          </w:tcPr>
          <w:p w14:paraId="7A38786E">
            <w:pPr>
              <w:jc w:val="center"/>
              <w:rPr>
                <w:rFonts w:hint="eastAsia"/>
                <w:szCs w:val="21"/>
              </w:rPr>
            </w:pPr>
          </w:p>
        </w:tc>
        <w:tc>
          <w:tcPr>
            <w:tcW w:w="1098" w:type="dxa"/>
            <w:tcBorders>
              <w:right w:val="single" w:color="auto" w:sz="6" w:space="0"/>
            </w:tcBorders>
            <w:noWrap w:val="0"/>
            <w:vAlign w:val="center"/>
          </w:tcPr>
          <w:p w14:paraId="3922FD2F">
            <w:pPr>
              <w:jc w:val="center"/>
              <w:rPr>
                <w:rFonts w:hint="eastAsia"/>
                <w:szCs w:val="21"/>
              </w:rPr>
            </w:pPr>
          </w:p>
        </w:tc>
        <w:tc>
          <w:tcPr>
            <w:tcW w:w="1099" w:type="dxa"/>
            <w:noWrap w:val="0"/>
            <w:vAlign w:val="center"/>
          </w:tcPr>
          <w:p w14:paraId="1590CF0E">
            <w:pPr>
              <w:jc w:val="center"/>
              <w:rPr>
                <w:rFonts w:hint="eastAsia"/>
                <w:szCs w:val="21"/>
              </w:rPr>
            </w:pPr>
          </w:p>
        </w:tc>
      </w:tr>
      <w:tr w14:paraId="328532F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98" w:type="dxa"/>
            <w:noWrap w:val="0"/>
            <w:vAlign w:val="center"/>
          </w:tcPr>
          <w:p w14:paraId="192C8F52">
            <w:pPr>
              <w:jc w:val="center"/>
              <w:rPr>
                <w:rFonts w:hint="eastAsia" w:ascii="黑体" w:eastAsia="黑体"/>
                <w:szCs w:val="21"/>
              </w:rPr>
            </w:pPr>
          </w:p>
        </w:tc>
        <w:tc>
          <w:tcPr>
            <w:tcW w:w="1098" w:type="dxa"/>
            <w:tcBorders>
              <w:right w:val="single" w:color="auto" w:sz="6" w:space="0"/>
            </w:tcBorders>
            <w:noWrap w:val="0"/>
            <w:vAlign w:val="center"/>
          </w:tcPr>
          <w:p w14:paraId="2EE1E687">
            <w:pPr>
              <w:ind w:firstLine="210" w:firstLineChars="100"/>
              <w:jc w:val="center"/>
              <w:rPr>
                <w:rFonts w:hint="eastAsia"/>
                <w:szCs w:val="21"/>
              </w:rPr>
            </w:pPr>
          </w:p>
        </w:tc>
        <w:tc>
          <w:tcPr>
            <w:tcW w:w="1098" w:type="dxa"/>
            <w:tcBorders>
              <w:left w:val="single" w:color="auto" w:sz="6" w:space="0"/>
            </w:tcBorders>
            <w:noWrap w:val="0"/>
            <w:vAlign w:val="center"/>
          </w:tcPr>
          <w:p w14:paraId="3FBC2D97">
            <w:pPr>
              <w:ind w:firstLine="210" w:firstLineChars="100"/>
              <w:jc w:val="center"/>
              <w:rPr>
                <w:rFonts w:hint="eastAsia"/>
                <w:szCs w:val="21"/>
              </w:rPr>
            </w:pPr>
          </w:p>
        </w:tc>
        <w:tc>
          <w:tcPr>
            <w:tcW w:w="1099" w:type="dxa"/>
            <w:tcBorders>
              <w:left w:val="single" w:color="auto" w:sz="6" w:space="0"/>
            </w:tcBorders>
            <w:noWrap w:val="0"/>
            <w:vAlign w:val="center"/>
          </w:tcPr>
          <w:p w14:paraId="471D369E">
            <w:pPr>
              <w:ind w:firstLine="210" w:firstLineChars="100"/>
              <w:jc w:val="center"/>
              <w:rPr>
                <w:rFonts w:hint="eastAsia"/>
                <w:szCs w:val="21"/>
              </w:rPr>
            </w:pPr>
          </w:p>
        </w:tc>
        <w:tc>
          <w:tcPr>
            <w:tcW w:w="1098" w:type="dxa"/>
            <w:tcBorders>
              <w:right w:val="single" w:color="auto" w:sz="6" w:space="0"/>
            </w:tcBorders>
            <w:noWrap w:val="0"/>
            <w:vAlign w:val="center"/>
          </w:tcPr>
          <w:p w14:paraId="25EEF8A0">
            <w:pPr>
              <w:jc w:val="center"/>
              <w:rPr>
                <w:rFonts w:hint="eastAsia"/>
                <w:szCs w:val="21"/>
              </w:rPr>
            </w:pPr>
          </w:p>
        </w:tc>
        <w:tc>
          <w:tcPr>
            <w:tcW w:w="1098" w:type="dxa"/>
            <w:noWrap w:val="0"/>
            <w:vAlign w:val="center"/>
          </w:tcPr>
          <w:p w14:paraId="22AAD8DA">
            <w:pPr>
              <w:jc w:val="center"/>
              <w:rPr>
                <w:rFonts w:hint="eastAsia"/>
                <w:szCs w:val="21"/>
              </w:rPr>
            </w:pPr>
          </w:p>
        </w:tc>
        <w:tc>
          <w:tcPr>
            <w:tcW w:w="1098" w:type="dxa"/>
            <w:tcBorders>
              <w:right w:val="single" w:color="auto" w:sz="6" w:space="0"/>
            </w:tcBorders>
            <w:noWrap w:val="0"/>
            <w:vAlign w:val="center"/>
          </w:tcPr>
          <w:p w14:paraId="4D99B667">
            <w:pPr>
              <w:jc w:val="center"/>
              <w:rPr>
                <w:rFonts w:hint="eastAsia"/>
                <w:szCs w:val="21"/>
              </w:rPr>
            </w:pPr>
          </w:p>
        </w:tc>
        <w:tc>
          <w:tcPr>
            <w:tcW w:w="1099" w:type="dxa"/>
            <w:noWrap w:val="0"/>
            <w:vAlign w:val="center"/>
          </w:tcPr>
          <w:p w14:paraId="44255185">
            <w:pPr>
              <w:jc w:val="center"/>
              <w:rPr>
                <w:rFonts w:hint="eastAsia"/>
                <w:szCs w:val="21"/>
              </w:rPr>
            </w:pPr>
          </w:p>
        </w:tc>
      </w:tr>
      <w:tr w14:paraId="1530C89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98" w:type="dxa"/>
            <w:noWrap w:val="0"/>
            <w:vAlign w:val="center"/>
          </w:tcPr>
          <w:p w14:paraId="2360B386">
            <w:pPr>
              <w:jc w:val="center"/>
              <w:rPr>
                <w:rFonts w:hint="eastAsia" w:ascii="黑体" w:eastAsia="黑体"/>
                <w:szCs w:val="21"/>
              </w:rPr>
            </w:pPr>
          </w:p>
        </w:tc>
        <w:tc>
          <w:tcPr>
            <w:tcW w:w="1098" w:type="dxa"/>
            <w:tcBorders>
              <w:right w:val="single" w:color="auto" w:sz="6" w:space="0"/>
            </w:tcBorders>
            <w:noWrap w:val="0"/>
            <w:vAlign w:val="center"/>
          </w:tcPr>
          <w:p w14:paraId="64BC24D8">
            <w:pPr>
              <w:ind w:firstLine="210" w:firstLineChars="100"/>
              <w:jc w:val="center"/>
              <w:rPr>
                <w:rFonts w:hint="eastAsia"/>
                <w:szCs w:val="21"/>
              </w:rPr>
            </w:pPr>
          </w:p>
        </w:tc>
        <w:tc>
          <w:tcPr>
            <w:tcW w:w="1098" w:type="dxa"/>
            <w:tcBorders>
              <w:left w:val="single" w:color="auto" w:sz="6" w:space="0"/>
            </w:tcBorders>
            <w:noWrap w:val="0"/>
            <w:vAlign w:val="center"/>
          </w:tcPr>
          <w:p w14:paraId="28BCC628">
            <w:pPr>
              <w:ind w:firstLine="210" w:firstLineChars="100"/>
              <w:jc w:val="center"/>
              <w:rPr>
                <w:rFonts w:hint="eastAsia"/>
                <w:szCs w:val="21"/>
              </w:rPr>
            </w:pPr>
          </w:p>
        </w:tc>
        <w:tc>
          <w:tcPr>
            <w:tcW w:w="1099" w:type="dxa"/>
            <w:tcBorders>
              <w:left w:val="single" w:color="auto" w:sz="6" w:space="0"/>
            </w:tcBorders>
            <w:noWrap w:val="0"/>
            <w:vAlign w:val="center"/>
          </w:tcPr>
          <w:p w14:paraId="0F45213B">
            <w:pPr>
              <w:ind w:firstLine="210" w:firstLineChars="100"/>
              <w:jc w:val="center"/>
              <w:rPr>
                <w:rFonts w:hint="eastAsia"/>
                <w:szCs w:val="21"/>
              </w:rPr>
            </w:pPr>
          </w:p>
        </w:tc>
        <w:tc>
          <w:tcPr>
            <w:tcW w:w="1098" w:type="dxa"/>
            <w:tcBorders>
              <w:right w:val="single" w:color="auto" w:sz="6" w:space="0"/>
            </w:tcBorders>
            <w:noWrap w:val="0"/>
            <w:vAlign w:val="center"/>
          </w:tcPr>
          <w:p w14:paraId="7F90B557">
            <w:pPr>
              <w:jc w:val="center"/>
              <w:rPr>
                <w:rFonts w:hint="eastAsia"/>
                <w:szCs w:val="21"/>
              </w:rPr>
            </w:pPr>
          </w:p>
        </w:tc>
        <w:tc>
          <w:tcPr>
            <w:tcW w:w="1098" w:type="dxa"/>
            <w:noWrap w:val="0"/>
            <w:vAlign w:val="center"/>
          </w:tcPr>
          <w:p w14:paraId="46E11558">
            <w:pPr>
              <w:jc w:val="center"/>
              <w:rPr>
                <w:rFonts w:hint="eastAsia"/>
                <w:szCs w:val="21"/>
              </w:rPr>
            </w:pPr>
          </w:p>
        </w:tc>
        <w:tc>
          <w:tcPr>
            <w:tcW w:w="1098" w:type="dxa"/>
            <w:tcBorders>
              <w:right w:val="single" w:color="auto" w:sz="6" w:space="0"/>
            </w:tcBorders>
            <w:noWrap w:val="0"/>
            <w:vAlign w:val="center"/>
          </w:tcPr>
          <w:p w14:paraId="364B9121">
            <w:pPr>
              <w:jc w:val="center"/>
              <w:rPr>
                <w:rFonts w:hint="eastAsia"/>
                <w:szCs w:val="21"/>
              </w:rPr>
            </w:pPr>
          </w:p>
        </w:tc>
        <w:tc>
          <w:tcPr>
            <w:tcW w:w="1099" w:type="dxa"/>
            <w:noWrap w:val="0"/>
            <w:vAlign w:val="center"/>
          </w:tcPr>
          <w:p w14:paraId="2D0F990B">
            <w:pPr>
              <w:jc w:val="center"/>
              <w:rPr>
                <w:rFonts w:hint="eastAsia"/>
                <w:szCs w:val="21"/>
              </w:rPr>
            </w:pPr>
          </w:p>
        </w:tc>
      </w:tr>
    </w:tbl>
    <w:p w14:paraId="2032155A">
      <w:pPr>
        <w:spacing w:line="420" w:lineRule="exact"/>
        <w:jc w:val="center"/>
        <w:rPr>
          <w:rFonts w:hint="eastAsia" w:ascii="楷体_GB2312" w:eastAsia="楷体_GB2312"/>
        </w:rPr>
      </w:pPr>
    </w:p>
    <w:p w14:paraId="11AF2C68">
      <w:pPr>
        <w:rPr>
          <w:rFonts w:hint="eastAsia"/>
        </w:rPr>
      </w:pPr>
    </w:p>
    <w:p w14:paraId="64F1451F">
      <w:pPr>
        <w:spacing w:line="420" w:lineRule="exact"/>
        <w:rPr>
          <w:rFonts w:hint="eastAsia" w:ascii="宋体" w:hAnsi="宋体"/>
          <w:szCs w:val="21"/>
        </w:rPr>
      </w:pPr>
      <w:r>
        <w:rPr>
          <w:rFonts w:hint="eastAsia" w:ascii="宋体" w:hAnsi="宋体"/>
          <w:szCs w:val="21"/>
        </w:rPr>
        <w:t>评标委员会成员签名：                                     日期:     年     月     日</w:t>
      </w:r>
    </w:p>
    <w:p w14:paraId="439535C0">
      <w:pPr>
        <w:rPr>
          <w:rFonts w:hint="eastAsia"/>
        </w:rPr>
      </w:pPr>
    </w:p>
    <w:p w14:paraId="6CB11EB7">
      <w:pPr>
        <w:rPr>
          <w:rFonts w:hint="eastAsia"/>
        </w:rPr>
      </w:pPr>
    </w:p>
    <w:p w14:paraId="358DA044">
      <w:pPr>
        <w:rPr>
          <w:rFonts w:hint="eastAsia"/>
        </w:rPr>
      </w:pPr>
    </w:p>
    <w:p w14:paraId="04DBF0D1">
      <w:pPr>
        <w:rPr>
          <w:rFonts w:hint="eastAsia"/>
        </w:rPr>
      </w:pPr>
    </w:p>
    <w:p w14:paraId="5F92E15B">
      <w:pPr>
        <w:rPr>
          <w:rFonts w:hint="eastAsia"/>
        </w:rPr>
      </w:pPr>
    </w:p>
    <w:p w14:paraId="5B34A7CF">
      <w:pPr>
        <w:rPr>
          <w:rFonts w:hint="eastAsia"/>
        </w:rPr>
      </w:pPr>
    </w:p>
    <w:p w14:paraId="3C07C3FE">
      <w:pPr>
        <w:rPr>
          <w:rFonts w:hint="eastAsia"/>
        </w:rPr>
      </w:pPr>
    </w:p>
    <w:p w14:paraId="63F3D23F">
      <w:pPr>
        <w:rPr>
          <w:rFonts w:hint="eastAsia"/>
        </w:rPr>
      </w:pPr>
    </w:p>
    <w:p w14:paraId="2981D2DC">
      <w:pPr>
        <w:rPr>
          <w:rFonts w:hint="eastAsia"/>
        </w:rPr>
      </w:pPr>
    </w:p>
    <w:p w14:paraId="160C60B9">
      <w:pPr>
        <w:rPr>
          <w:rFonts w:hint="eastAsia"/>
        </w:rPr>
      </w:pPr>
      <w:r>
        <w:rPr>
          <w:rFonts w:hint="eastAsia"/>
        </w:rPr>
        <w:t>注：“费率(％)</w:t>
      </w:r>
      <w:r>
        <w:rPr>
          <w:rFonts w:hint="eastAsia"/>
          <w:sz w:val="20"/>
          <w:szCs w:val="20"/>
        </w:rPr>
        <w:t xml:space="preserve"> 错误</w:t>
      </w:r>
      <w:r>
        <w:rPr>
          <w:rFonts w:hint="eastAsia"/>
        </w:rPr>
        <w:t>”是指仅检查安全文明施工费的取费费率是否有错误</w:t>
      </w:r>
      <w:r>
        <w:t>。</w:t>
      </w:r>
    </w:p>
    <w:p w14:paraId="081A6090">
      <w:pPr>
        <w:rPr>
          <w:rFonts w:hint="eastAsia"/>
        </w:rPr>
      </w:pPr>
    </w:p>
    <w:p w14:paraId="167C30A9">
      <w:pPr>
        <w:rPr>
          <w:rFonts w:hint="eastAsia" w:ascii="黑体" w:eastAsia="黑体"/>
          <w:szCs w:val="21"/>
        </w:rPr>
      </w:pPr>
    </w:p>
    <w:p w14:paraId="4ECCF40C">
      <w:pPr>
        <w:rPr>
          <w:rFonts w:hint="eastAsia" w:ascii="黑体" w:eastAsia="黑体"/>
          <w:szCs w:val="21"/>
        </w:rPr>
      </w:pPr>
    </w:p>
    <w:p w14:paraId="6086F053">
      <w:pPr>
        <w:pStyle w:val="20"/>
        <w:rPr>
          <w:rFonts w:hint="eastAsia"/>
        </w:rPr>
      </w:pPr>
      <w:bookmarkStart w:id="444" w:name="_Toc108513671"/>
      <w:r>
        <w:rPr>
          <w:rFonts w:hint="eastAsia"/>
        </w:rPr>
        <w:t>附表C-3：清标报告-其他项目符合性检查</w:t>
      </w:r>
      <w:bookmarkEnd w:id="444"/>
    </w:p>
    <w:p w14:paraId="64EC8455">
      <w:pPr>
        <w:rPr>
          <w:rFonts w:hint="eastAsia" w:ascii="黑体" w:eastAsia="黑体"/>
          <w:szCs w:val="21"/>
        </w:rPr>
      </w:pPr>
    </w:p>
    <w:p w14:paraId="24B1723A">
      <w:pPr>
        <w:spacing w:before="240" w:beforeLines="100" w:after="240" w:afterLines="100"/>
        <w:jc w:val="center"/>
        <w:rPr>
          <w:rFonts w:hint="eastAsia" w:ascii="黑体" w:eastAsia="黑体"/>
          <w:sz w:val="32"/>
          <w:szCs w:val="32"/>
        </w:rPr>
      </w:pPr>
      <w:r>
        <w:rPr>
          <w:rFonts w:hint="eastAsia" w:ascii="黑体" w:eastAsia="黑体"/>
          <w:sz w:val="32"/>
          <w:szCs w:val="32"/>
        </w:rPr>
        <w:t>清标报告-其他项目符合性检查</w:t>
      </w:r>
    </w:p>
    <w:p w14:paraId="1F2E6932">
      <w:pPr>
        <w:rPr>
          <w:rFonts w:hint="eastAsia" w:ascii="宋体" w:hAnsi="宋体"/>
          <w:szCs w:val="21"/>
        </w:rPr>
      </w:pPr>
      <w:r>
        <w:rPr>
          <w:rFonts w:hint="eastAsia" w:ascii="宋体" w:hAnsi="宋体"/>
          <w:szCs w:val="21"/>
        </w:rPr>
        <w:t>投标人名称：</w:t>
      </w:r>
    </w:p>
    <w:p w14:paraId="529C1DE3">
      <w:pPr>
        <w:spacing w:line="420" w:lineRule="exact"/>
        <w:jc w:val="center"/>
        <w:rPr>
          <w:rFonts w:hint="eastAsia" w:ascii="楷体_GB2312" w:eastAsia="楷体_GB2312"/>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5147E7C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3747" w:type="dxa"/>
            <w:gridSpan w:val="3"/>
            <w:tcBorders>
              <w:top w:val="single" w:color="auto" w:sz="6" w:space="0"/>
            </w:tcBorders>
            <w:noWrap w:val="0"/>
            <w:vAlign w:val="center"/>
          </w:tcPr>
          <w:p w14:paraId="6FC9FFB9">
            <w:pPr>
              <w:jc w:val="center"/>
              <w:rPr>
                <w:rFonts w:hint="eastAsia"/>
                <w:sz w:val="20"/>
                <w:szCs w:val="20"/>
              </w:rPr>
            </w:pPr>
            <w:r>
              <w:rPr>
                <w:rFonts w:hint="eastAsia"/>
                <w:sz w:val="20"/>
                <w:szCs w:val="20"/>
              </w:rPr>
              <w:t>单位工程名称</w:t>
            </w:r>
          </w:p>
        </w:tc>
        <w:tc>
          <w:tcPr>
            <w:tcW w:w="5001" w:type="dxa"/>
            <w:gridSpan w:val="4"/>
            <w:tcBorders>
              <w:top w:val="single" w:color="auto" w:sz="6" w:space="0"/>
            </w:tcBorders>
            <w:noWrap w:val="0"/>
            <w:vAlign w:val="center"/>
          </w:tcPr>
          <w:p w14:paraId="6E23D6B8">
            <w:pPr>
              <w:jc w:val="center"/>
              <w:rPr>
                <w:rFonts w:hint="eastAsia"/>
                <w:sz w:val="20"/>
                <w:szCs w:val="20"/>
              </w:rPr>
            </w:pPr>
          </w:p>
        </w:tc>
      </w:tr>
      <w:tr w14:paraId="4C1B0FE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748" w:type="dxa"/>
            <w:gridSpan w:val="7"/>
            <w:tcBorders>
              <w:top w:val="single" w:color="auto" w:sz="6" w:space="0"/>
            </w:tcBorders>
            <w:noWrap w:val="0"/>
            <w:vAlign w:val="center"/>
          </w:tcPr>
          <w:p w14:paraId="0281E48E">
            <w:pPr>
              <w:jc w:val="center"/>
              <w:rPr>
                <w:rFonts w:hint="eastAsia"/>
                <w:b/>
                <w:sz w:val="20"/>
                <w:szCs w:val="20"/>
              </w:rPr>
            </w:pPr>
            <w:r>
              <w:rPr>
                <w:rFonts w:hint="eastAsia"/>
                <w:b/>
                <w:sz w:val="20"/>
                <w:szCs w:val="20"/>
              </w:rPr>
              <w:t>三、其他项目符合性检查</w:t>
            </w:r>
          </w:p>
        </w:tc>
      </w:tr>
      <w:tr w14:paraId="5A023FA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32C3464">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2AE09ECD">
            <w:pPr>
              <w:jc w:val="center"/>
              <w:rPr>
                <w:rFonts w:hint="eastAsia"/>
                <w:sz w:val="20"/>
                <w:szCs w:val="20"/>
              </w:rPr>
            </w:pPr>
            <w:r>
              <w:rPr>
                <w:rFonts w:hint="eastAsia"/>
                <w:sz w:val="20"/>
                <w:szCs w:val="20"/>
              </w:rPr>
              <w:t>项目名称</w:t>
            </w:r>
          </w:p>
          <w:p w14:paraId="2A36905F">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699B6B13">
            <w:pPr>
              <w:jc w:val="center"/>
              <w:rPr>
                <w:rFonts w:hint="eastAsia"/>
                <w:sz w:val="20"/>
                <w:szCs w:val="20"/>
              </w:rPr>
            </w:pPr>
            <w:r>
              <w:rPr>
                <w:rFonts w:hint="eastAsia"/>
                <w:sz w:val="20"/>
                <w:szCs w:val="20"/>
              </w:rPr>
              <w:t>金额</w:t>
            </w:r>
          </w:p>
          <w:p w14:paraId="1379DD03">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05E8B550">
            <w:pPr>
              <w:jc w:val="center"/>
              <w:rPr>
                <w:rFonts w:hint="eastAsia"/>
                <w:sz w:val="20"/>
                <w:szCs w:val="20"/>
              </w:rPr>
            </w:pPr>
          </w:p>
        </w:tc>
        <w:tc>
          <w:tcPr>
            <w:tcW w:w="1250" w:type="dxa"/>
            <w:tcBorders>
              <w:right w:val="single" w:color="auto" w:sz="6" w:space="0"/>
            </w:tcBorders>
            <w:noWrap w:val="0"/>
            <w:vAlign w:val="center"/>
          </w:tcPr>
          <w:p w14:paraId="40888068">
            <w:pPr>
              <w:jc w:val="center"/>
              <w:rPr>
                <w:rFonts w:hint="eastAsia"/>
                <w:sz w:val="20"/>
                <w:szCs w:val="20"/>
              </w:rPr>
            </w:pPr>
          </w:p>
        </w:tc>
        <w:tc>
          <w:tcPr>
            <w:tcW w:w="1250" w:type="dxa"/>
            <w:noWrap w:val="0"/>
            <w:vAlign w:val="center"/>
          </w:tcPr>
          <w:p w14:paraId="64E52396">
            <w:pPr>
              <w:jc w:val="center"/>
              <w:rPr>
                <w:rFonts w:hint="eastAsia"/>
                <w:sz w:val="20"/>
                <w:szCs w:val="20"/>
              </w:rPr>
            </w:pPr>
          </w:p>
        </w:tc>
        <w:tc>
          <w:tcPr>
            <w:tcW w:w="1250" w:type="dxa"/>
            <w:tcBorders>
              <w:right w:val="single" w:color="auto" w:sz="6" w:space="0"/>
            </w:tcBorders>
            <w:noWrap w:val="0"/>
            <w:vAlign w:val="center"/>
          </w:tcPr>
          <w:p w14:paraId="4E74B600">
            <w:pPr>
              <w:jc w:val="center"/>
              <w:rPr>
                <w:rFonts w:hint="eastAsia"/>
                <w:sz w:val="20"/>
                <w:szCs w:val="20"/>
              </w:rPr>
            </w:pPr>
          </w:p>
        </w:tc>
      </w:tr>
      <w:tr w14:paraId="010F06F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4D9BB43">
            <w:pPr>
              <w:jc w:val="center"/>
              <w:rPr>
                <w:rFonts w:hint="eastAsia" w:ascii="黑体" w:eastAsia="黑体"/>
                <w:sz w:val="20"/>
                <w:szCs w:val="20"/>
              </w:rPr>
            </w:pPr>
          </w:p>
        </w:tc>
        <w:tc>
          <w:tcPr>
            <w:tcW w:w="1315" w:type="dxa"/>
            <w:tcBorders>
              <w:right w:val="single" w:color="auto" w:sz="6" w:space="0"/>
            </w:tcBorders>
            <w:noWrap w:val="0"/>
            <w:vAlign w:val="center"/>
          </w:tcPr>
          <w:p w14:paraId="0543C705">
            <w:pPr>
              <w:jc w:val="center"/>
              <w:rPr>
                <w:rFonts w:hint="eastAsia"/>
                <w:sz w:val="20"/>
                <w:szCs w:val="20"/>
              </w:rPr>
            </w:pPr>
          </w:p>
        </w:tc>
        <w:tc>
          <w:tcPr>
            <w:tcW w:w="1249" w:type="dxa"/>
            <w:tcBorders>
              <w:left w:val="single" w:color="auto" w:sz="6" w:space="0"/>
            </w:tcBorders>
            <w:noWrap w:val="0"/>
            <w:vAlign w:val="center"/>
          </w:tcPr>
          <w:p w14:paraId="1546D182">
            <w:pPr>
              <w:jc w:val="center"/>
              <w:rPr>
                <w:rFonts w:hint="eastAsia"/>
                <w:sz w:val="20"/>
                <w:szCs w:val="20"/>
              </w:rPr>
            </w:pPr>
          </w:p>
        </w:tc>
        <w:tc>
          <w:tcPr>
            <w:tcW w:w="1251" w:type="dxa"/>
            <w:tcBorders>
              <w:left w:val="single" w:color="auto" w:sz="6" w:space="0"/>
            </w:tcBorders>
            <w:noWrap w:val="0"/>
            <w:vAlign w:val="center"/>
          </w:tcPr>
          <w:p w14:paraId="03711A4F">
            <w:pPr>
              <w:jc w:val="center"/>
              <w:rPr>
                <w:rFonts w:hint="eastAsia"/>
                <w:sz w:val="20"/>
                <w:szCs w:val="20"/>
              </w:rPr>
            </w:pPr>
          </w:p>
        </w:tc>
        <w:tc>
          <w:tcPr>
            <w:tcW w:w="1250" w:type="dxa"/>
            <w:tcBorders>
              <w:right w:val="single" w:color="auto" w:sz="6" w:space="0"/>
            </w:tcBorders>
            <w:noWrap w:val="0"/>
            <w:vAlign w:val="center"/>
          </w:tcPr>
          <w:p w14:paraId="7BC7F4CF">
            <w:pPr>
              <w:jc w:val="center"/>
              <w:rPr>
                <w:rFonts w:hint="eastAsia"/>
                <w:sz w:val="20"/>
                <w:szCs w:val="20"/>
              </w:rPr>
            </w:pPr>
          </w:p>
        </w:tc>
        <w:tc>
          <w:tcPr>
            <w:tcW w:w="1250" w:type="dxa"/>
            <w:noWrap w:val="0"/>
            <w:vAlign w:val="center"/>
          </w:tcPr>
          <w:p w14:paraId="6C5EC72F">
            <w:pPr>
              <w:jc w:val="center"/>
              <w:rPr>
                <w:rFonts w:hint="eastAsia"/>
                <w:sz w:val="20"/>
                <w:szCs w:val="20"/>
              </w:rPr>
            </w:pPr>
          </w:p>
        </w:tc>
        <w:tc>
          <w:tcPr>
            <w:tcW w:w="1250" w:type="dxa"/>
            <w:tcBorders>
              <w:right w:val="single" w:color="auto" w:sz="6" w:space="0"/>
            </w:tcBorders>
            <w:noWrap w:val="0"/>
            <w:vAlign w:val="center"/>
          </w:tcPr>
          <w:p w14:paraId="4746DD91">
            <w:pPr>
              <w:jc w:val="center"/>
              <w:rPr>
                <w:rFonts w:hint="eastAsia"/>
                <w:sz w:val="20"/>
                <w:szCs w:val="20"/>
              </w:rPr>
            </w:pPr>
          </w:p>
        </w:tc>
      </w:tr>
      <w:tr w14:paraId="78C4292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noWrap w:val="0"/>
            <w:vAlign w:val="center"/>
          </w:tcPr>
          <w:p w14:paraId="0B605170">
            <w:pPr>
              <w:jc w:val="center"/>
              <w:rPr>
                <w:rFonts w:hint="eastAsia"/>
                <w:b/>
                <w:sz w:val="20"/>
                <w:szCs w:val="20"/>
              </w:rPr>
            </w:pPr>
            <w:r>
              <w:rPr>
                <w:rFonts w:hint="eastAsia"/>
                <w:b/>
                <w:sz w:val="20"/>
                <w:szCs w:val="20"/>
              </w:rPr>
              <w:t>暂列金额</w:t>
            </w:r>
          </w:p>
        </w:tc>
      </w:tr>
      <w:tr w14:paraId="6CA640A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47C745B">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4D5525AC">
            <w:pPr>
              <w:jc w:val="center"/>
              <w:rPr>
                <w:rFonts w:hint="eastAsia"/>
                <w:sz w:val="20"/>
                <w:szCs w:val="20"/>
              </w:rPr>
            </w:pPr>
            <w:r>
              <w:rPr>
                <w:rFonts w:hint="eastAsia"/>
                <w:sz w:val="20"/>
                <w:szCs w:val="20"/>
              </w:rPr>
              <w:t>项目名称</w:t>
            </w:r>
          </w:p>
          <w:p w14:paraId="65FC3926">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23AB41DE">
            <w:pPr>
              <w:jc w:val="center"/>
              <w:rPr>
                <w:rFonts w:hint="eastAsia"/>
                <w:sz w:val="20"/>
                <w:szCs w:val="20"/>
              </w:rPr>
            </w:pPr>
            <w:r>
              <w:rPr>
                <w:rFonts w:hint="eastAsia"/>
                <w:sz w:val="20"/>
                <w:szCs w:val="20"/>
              </w:rPr>
              <w:t>计量单位</w:t>
            </w:r>
          </w:p>
          <w:p w14:paraId="4020B961">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7228AE5E">
            <w:pPr>
              <w:jc w:val="center"/>
              <w:rPr>
                <w:rFonts w:hint="eastAsia"/>
                <w:sz w:val="20"/>
                <w:szCs w:val="20"/>
              </w:rPr>
            </w:pPr>
            <w:r>
              <w:rPr>
                <w:rFonts w:hint="eastAsia"/>
                <w:sz w:val="20"/>
                <w:szCs w:val="20"/>
              </w:rPr>
              <w:t>暂定金额</w:t>
            </w:r>
          </w:p>
          <w:p w14:paraId="4565615B">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1C3D31EF">
            <w:pPr>
              <w:jc w:val="center"/>
              <w:rPr>
                <w:rFonts w:hint="eastAsia"/>
                <w:sz w:val="20"/>
                <w:szCs w:val="20"/>
              </w:rPr>
            </w:pPr>
            <w:r>
              <w:rPr>
                <w:rFonts w:hint="eastAsia"/>
                <w:sz w:val="20"/>
                <w:szCs w:val="20"/>
              </w:rPr>
              <w:t>未填报</w:t>
            </w:r>
          </w:p>
        </w:tc>
        <w:tc>
          <w:tcPr>
            <w:tcW w:w="1250" w:type="dxa"/>
            <w:noWrap w:val="0"/>
            <w:vAlign w:val="center"/>
          </w:tcPr>
          <w:p w14:paraId="2F443AA3">
            <w:pPr>
              <w:jc w:val="center"/>
              <w:rPr>
                <w:rFonts w:hint="eastAsia"/>
                <w:szCs w:val="21"/>
              </w:rPr>
            </w:pPr>
            <w:r>
              <w:rPr>
                <w:rFonts w:hint="eastAsia"/>
                <w:sz w:val="20"/>
                <w:szCs w:val="20"/>
              </w:rPr>
              <w:t>多项</w:t>
            </w:r>
          </w:p>
        </w:tc>
        <w:tc>
          <w:tcPr>
            <w:tcW w:w="1250" w:type="dxa"/>
            <w:tcBorders>
              <w:right w:val="single" w:color="auto" w:sz="6" w:space="0"/>
            </w:tcBorders>
            <w:noWrap w:val="0"/>
            <w:vAlign w:val="center"/>
          </w:tcPr>
          <w:p w14:paraId="3F62E7F6">
            <w:pPr>
              <w:jc w:val="center"/>
              <w:rPr>
                <w:rFonts w:hint="eastAsia"/>
                <w:szCs w:val="21"/>
              </w:rPr>
            </w:pPr>
          </w:p>
        </w:tc>
      </w:tr>
      <w:tr w14:paraId="0CCB42B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87A42D7">
            <w:pPr>
              <w:jc w:val="center"/>
              <w:rPr>
                <w:rFonts w:hint="eastAsia" w:ascii="黑体" w:eastAsia="黑体"/>
                <w:szCs w:val="21"/>
              </w:rPr>
            </w:pPr>
          </w:p>
        </w:tc>
        <w:tc>
          <w:tcPr>
            <w:tcW w:w="1315" w:type="dxa"/>
            <w:tcBorders>
              <w:right w:val="single" w:color="auto" w:sz="6" w:space="0"/>
            </w:tcBorders>
            <w:noWrap w:val="0"/>
            <w:vAlign w:val="center"/>
          </w:tcPr>
          <w:p w14:paraId="4F1A5EC0">
            <w:pPr>
              <w:jc w:val="center"/>
              <w:rPr>
                <w:rFonts w:hint="eastAsia"/>
                <w:szCs w:val="21"/>
              </w:rPr>
            </w:pPr>
          </w:p>
        </w:tc>
        <w:tc>
          <w:tcPr>
            <w:tcW w:w="1249" w:type="dxa"/>
            <w:tcBorders>
              <w:left w:val="single" w:color="auto" w:sz="6" w:space="0"/>
            </w:tcBorders>
            <w:noWrap w:val="0"/>
            <w:vAlign w:val="center"/>
          </w:tcPr>
          <w:p w14:paraId="71C1C9C5">
            <w:pPr>
              <w:jc w:val="center"/>
              <w:rPr>
                <w:rFonts w:hint="eastAsia"/>
                <w:szCs w:val="21"/>
              </w:rPr>
            </w:pPr>
          </w:p>
        </w:tc>
        <w:tc>
          <w:tcPr>
            <w:tcW w:w="1251" w:type="dxa"/>
            <w:tcBorders>
              <w:left w:val="single" w:color="auto" w:sz="6" w:space="0"/>
            </w:tcBorders>
            <w:noWrap w:val="0"/>
            <w:vAlign w:val="center"/>
          </w:tcPr>
          <w:p w14:paraId="579BA07E">
            <w:pPr>
              <w:jc w:val="center"/>
              <w:rPr>
                <w:rFonts w:hint="eastAsia"/>
                <w:szCs w:val="21"/>
              </w:rPr>
            </w:pPr>
          </w:p>
        </w:tc>
        <w:tc>
          <w:tcPr>
            <w:tcW w:w="1250" w:type="dxa"/>
            <w:tcBorders>
              <w:right w:val="single" w:color="auto" w:sz="6" w:space="0"/>
            </w:tcBorders>
            <w:noWrap w:val="0"/>
            <w:vAlign w:val="center"/>
          </w:tcPr>
          <w:p w14:paraId="4642EBEC">
            <w:pPr>
              <w:jc w:val="center"/>
              <w:rPr>
                <w:rFonts w:hint="eastAsia"/>
                <w:szCs w:val="21"/>
              </w:rPr>
            </w:pPr>
          </w:p>
        </w:tc>
        <w:tc>
          <w:tcPr>
            <w:tcW w:w="1250" w:type="dxa"/>
            <w:noWrap w:val="0"/>
            <w:vAlign w:val="center"/>
          </w:tcPr>
          <w:p w14:paraId="71D24ED7">
            <w:pPr>
              <w:jc w:val="center"/>
              <w:rPr>
                <w:rFonts w:hint="eastAsia"/>
                <w:szCs w:val="21"/>
              </w:rPr>
            </w:pPr>
          </w:p>
        </w:tc>
        <w:tc>
          <w:tcPr>
            <w:tcW w:w="1250" w:type="dxa"/>
            <w:tcBorders>
              <w:right w:val="single" w:color="auto" w:sz="6" w:space="0"/>
            </w:tcBorders>
            <w:noWrap w:val="0"/>
            <w:vAlign w:val="center"/>
          </w:tcPr>
          <w:p w14:paraId="53505AB8">
            <w:pPr>
              <w:jc w:val="center"/>
              <w:rPr>
                <w:rFonts w:hint="eastAsia"/>
                <w:szCs w:val="21"/>
              </w:rPr>
            </w:pPr>
          </w:p>
        </w:tc>
      </w:tr>
      <w:tr w14:paraId="005F2E2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8" w:type="dxa"/>
            <w:gridSpan w:val="7"/>
            <w:noWrap w:val="0"/>
            <w:vAlign w:val="center"/>
          </w:tcPr>
          <w:p w14:paraId="7BE11CCE">
            <w:pPr>
              <w:jc w:val="center"/>
              <w:rPr>
                <w:rFonts w:hint="eastAsia"/>
                <w:b/>
                <w:sz w:val="20"/>
                <w:szCs w:val="20"/>
              </w:rPr>
            </w:pPr>
            <w:r>
              <w:rPr>
                <w:rFonts w:hint="eastAsia"/>
                <w:b/>
                <w:sz w:val="20"/>
                <w:szCs w:val="20"/>
              </w:rPr>
              <w:t>材料（工程设备）暂估</w:t>
            </w:r>
          </w:p>
        </w:tc>
      </w:tr>
      <w:tr w14:paraId="5F18180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5EFCD71">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197CC41C">
            <w:pPr>
              <w:jc w:val="center"/>
              <w:rPr>
                <w:rFonts w:hint="eastAsia"/>
                <w:sz w:val="20"/>
                <w:szCs w:val="20"/>
              </w:rPr>
            </w:pPr>
            <w:r>
              <w:rPr>
                <w:rFonts w:hint="eastAsia"/>
              </w:rPr>
              <w:t>材料（设备）名称、规格、型号</w:t>
            </w:r>
            <w:r>
              <w:rPr>
                <w:rFonts w:hint="eastAsia"/>
                <w:sz w:val="20"/>
                <w:szCs w:val="20"/>
              </w:rPr>
              <w:t>错误</w:t>
            </w:r>
          </w:p>
        </w:tc>
        <w:tc>
          <w:tcPr>
            <w:tcW w:w="1249" w:type="dxa"/>
            <w:tcBorders>
              <w:left w:val="single" w:color="auto" w:sz="6" w:space="0"/>
            </w:tcBorders>
            <w:noWrap w:val="0"/>
            <w:vAlign w:val="center"/>
          </w:tcPr>
          <w:p w14:paraId="21AE7DA3">
            <w:pPr>
              <w:jc w:val="center"/>
              <w:rPr>
                <w:rFonts w:hint="eastAsia"/>
                <w:sz w:val="20"/>
                <w:szCs w:val="20"/>
              </w:rPr>
            </w:pPr>
            <w:r>
              <w:rPr>
                <w:rFonts w:hint="eastAsia"/>
                <w:sz w:val="20"/>
                <w:szCs w:val="20"/>
              </w:rPr>
              <w:t>计量单位</w:t>
            </w:r>
          </w:p>
          <w:p w14:paraId="75E3E850">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2A0BE4F6">
            <w:pPr>
              <w:jc w:val="center"/>
              <w:rPr>
                <w:rFonts w:hint="eastAsia"/>
                <w:sz w:val="20"/>
                <w:szCs w:val="20"/>
              </w:rPr>
            </w:pPr>
            <w:r>
              <w:rPr>
                <w:rFonts w:hint="eastAsia"/>
                <w:sz w:val="20"/>
                <w:szCs w:val="20"/>
              </w:rPr>
              <w:t>数量</w:t>
            </w:r>
          </w:p>
          <w:p w14:paraId="674988F4">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5A25BBF9">
            <w:pPr>
              <w:jc w:val="center"/>
              <w:rPr>
                <w:rFonts w:hint="eastAsia"/>
                <w:sz w:val="20"/>
                <w:szCs w:val="20"/>
              </w:rPr>
            </w:pPr>
            <w:r>
              <w:rPr>
                <w:rFonts w:hint="eastAsia"/>
                <w:sz w:val="20"/>
                <w:szCs w:val="20"/>
              </w:rPr>
              <w:t>暂估单价</w:t>
            </w:r>
          </w:p>
          <w:p w14:paraId="11C57175">
            <w:pPr>
              <w:jc w:val="center"/>
              <w:rPr>
                <w:rFonts w:hint="eastAsia"/>
                <w:szCs w:val="21"/>
              </w:rPr>
            </w:pPr>
            <w:r>
              <w:rPr>
                <w:rFonts w:hint="eastAsia"/>
                <w:sz w:val="20"/>
                <w:szCs w:val="20"/>
              </w:rPr>
              <w:t>错误</w:t>
            </w:r>
          </w:p>
        </w:tc>
        <w:tc>
          <w:tcPr>
            <w:tcW w:w="1250" w:type="dxa"/>
            <w:noWrap w:val="0"/>
            <w:vAlign w:val="center"/>
          </w:tcPr>
          <w:p w14:paraId="63C187C0">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52DC9236">
            <w:pPr>
              <w:jc w:val="center"/>
              <w:rPr>
                <w:rFonts w:hint="eastAsia"/>
                <w:szCs w:val="21"/>
              </w:rPr>
            </w:pPr>
            <w:r>
              <w:rPr>
                <w:rFonts w:hint="eastAsia"/>
                <w:sz w:val="20"/>
                <w:szCs w:val="20"/>
              </w:rPr>
              <w:t>多项</w:t>
            </w:r>
          </w:p>
        </w:tc>
      </w:tr>
      <w:tr w14:paraId="2B80C0F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E85795F">
            <w:pPr>
              <w:jc w:val="center"/>
              <w:rPr>
                <w:rFonts w:hint="eastAsia"/>
                <w:sz w:val="20"/>
                <w:szCs w:val="20"/>
              </w:rPr>
            </w:pPr>
          </w:p>
        </w:tc>
        <w:tc>
          <w:tcPr>
            <w:tcW w:w="1315" w:type="dxa"/>
            <w:tcBorders>
              <w:right w:val="single" w:color="auto" w:sz="6" w:space="0"/>
            </w:tcBorders>
            <w:noWrap w:val="0"/>
            <w:vAlign w:val="center"/>
          </w:tcPr>
          <w:p w14:paraId="000D72D0">
            <w:pPr>
              <w:jc w:val="center"/>
              <w:rPr>
                <w:rFonts w:hint="eastAsia"/>
                <w:sz w:val="20"/>
                <w:szCs w:val="20"/>
              </w:rPr>
            </w:pPr>
          </w:p>
        </w:tc>
        <w:tc>
          <w:tcPr>
            <w:tcW w:w="1249" w:type="dxa"/>
            <w:tcBorders>
              <w:left w:val="single" w:color="auto" w:sz="6" w:space="0"/>
            </w:tcBorders>
            <w:noWrap w:val="0"/>
            <w:vAlign w:val="center"/>
          </w:tcPr>
          <w:p w14:paraId="3204AA77">
            <w:pPr>
              <w:jc w:val="center"/>
              <w:rPr>
                <w:rFonts w:hint="eastAsia"/>
                <w:sz w:val="20"/>
                <w:szCs w:val="20"/>
              </w:rPr>
            </w:pPr>
          </w:p>
        </w:tc>
        <w:tc>
          <w:tcPr>
            <w:tcW w:w="1251" w:type="dxa"/>
            <w:tcBorders>
              <w:left w:val="single" w:color="auto" w:sz="6" w:space="0"/>
            </w:tcBorders>
            <w:noWrap w:val="0"/>
            <w:vAlign w:val="center"/>
          </w:tcPr>
          <w:p w14:paraId="5FB334D7">
            <w:pPr>
              <w:jc w:val="center"/>
              <w:rPr>
                <w:rFonts w:hint="eastAsia"/>
                <w:sz w:val="20"/>
                <w:szCs w:val="20"/>
              </w:rPr>
            </w:pPr>
          </w:p>
        </w:tc>
        <w:tc>
          <w:tcPr>
            <w:tcW w:w="1250" w:type="dxa"/>
            <w:tcBorders>
              <w:right w:val="single" w:color="auto" w:sz="6" w:space="0"/>
            </w:tcBorders>
            <w:noWrap w:val="0"/>
            <w:vAlign w:val="center"/>
          </w:tcPr>
          <w:p w14:paraId="5CE9E9F9">
            <w:pPr>
              <w:jc w:val="center"/>
              <w:rPr>
                <w:rFonts w:hint="eastAsia"/>
                <w:sz w:val="20"/>
                <w:szCs w:val="20"/>
              </w:rPr>
            </w:pPr>
          </w:p>
        </w:tc>
        <w:tc>
          <w:tcPr>
            <w:tcW w:w="1250" w:type="dxa"/>
            <w:noWrap w:val="0"/>
            <w:vAlign w:val="center"/>
          </w:tcPr>
          <w:p w14:paraId="337C77AC">
            <w:pPr>
              <w:jc w:val="center"/>
              <w:rPr>
                <w:rFonts w:hint="eastAsia"/>
                <w:sz w:val="20"/>
                <w:szCs w:val="20"/>
              </w:rPr>
            </w:pPr>
          </w:p>
        </w:tc>
        <w:tc>
          <w:tcPr>
            <w:tcW w:w="1250" w:type="dxa"/>
            <w:tcBorders>
              <w:right w:val="single" w:color="auto" w:sz="6" w:space="0"/>
            </w:tcBorders>
            <w:noWrap w:val="0"/>
            <w:vAlign w:val="center"/>
          </w:tcPr>
          <w:p w14:paraId="2125BA5D">
            <w:pPr>
              <w:jc w:val="center"/>
              <w:rPr>
                <w:rFonts w:hint="eastAsia"/>
                <w:sz w:val="20"/>
                <w:szCs w:val="20"/>
              </w:rPr>
            </w:pPr>
          </w:p>
        </w:tc>
      </w:tr>
      <w:tr w14:paraId="1CF4131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8" w:type="dxa"/>
            <w:gridSpan w:val="7"/>
            <w:noWrap w:val="0"/>
            <w:vAlign w:val="center"/>
          </w:tcPr>
          <w:p w14:paraId="2333D2E9">
            <w:pPr>
              <w:jc w:val="center"/>
              <w:rPr>
                <w:rFonts w:hint="eastAsia"/>
                <w:b/>
                <w:sz w:val="20"/>
                <w:szCs w:val="20"/>
              </w:rPr>
            </w:pPr>
            <w:r>
              <w:rPr>
                <w:rFonts w:hint="eastAsia"/>
                <w:b/>
                <w:sz w:val="20"/>
                <w:szCs w:val="20"/>
              </w:rPr>
              <w:t>专业工程暂估</w:t>
            </w:r>
          </w:p>
        </w:tc>
      </w:tr>
      <w:tr w14:paraId="41993A0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52479B5C">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75E64603">
            <w:pPr>
              <w:jc w:val="center"/>
              <w:rPr>
                <w:rFonts w:hint="eastAsia"/>
                <w:sz w:val="20"/>
                <w:szCs w:val="20"/>
              </w:rPr>
            </w:pPr>
            <w:r>
              <w:rPr>
                <w:rFonts w:hint="eastAsia"/>
                <w:sz w:val="20"/>
                <w:szCs w:val="20"/>
              </w:rPr>
              <w:t>工程名称</w:t>
            </w:r>
          </w:p>
          <w:p w14:paraId="5B8FF5F5">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0149C70F">
            <w:pPr>
              <w:jc w:val="center"/>
              <w:rPr>
                <w:rFonts w:hint="eastAsia"/>
                <w:sz w:val="20"/>
                <w:szCs w:val="20"/>
              </w:rPr>
            </w:pPr>
            <w:r>
              <w:rPr>
                <w:rFonts w:hint="eastAsia"/>
                <w:sz w:val="20"/>
                <w:szCs w:val="20"/>
              </w:rPr>
              <w:t>工程内容</w:t>
            </w:r>
          </w:p>
          <w:p w14:paraId="3DF494F4">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5D173D80">
            <w:pPr>
              <w:jc w:val="center"/>
              <w:rPr>
                <w:rFonts w:hint="eastAsia"/>
                <w:sz w:val="20"/>
                <w:szCs w:val="20"/>
              </w:rPr>
            </w:pPr>
            <w:r>
              <w:rPr>
                <w:rFonts w:hint="eastAsia"/>
                <w:sz w:val="20"/>
                <w:szCs w:val="20"/>
              </w:rPr>
              <w:t>暂估金额</w:t>
            </w:r>
          </w:p>
          <w:p w14:paraId="2115C565">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69192073">
            <w:pPr>
              <w:jc w:val="center"/>
              <w:rPr>
                <w:rFonts w:hint="eastAsia"/>
                <w:sz w:val="20"/>
                <w:szCs w:val="20"/>
              </w:rPr>
            </w:pPr>
            <w:r>
              <w:rPr>
                <w:rFonts w:hint="eastAsia"/>
                <w:sz w:val="20"/>
                <w:szCs w:val="20"/>
              </w:rPr>
              <w:t>未填报</w:t>
            </w:r>
          </w:p>
        </w:tc>
        <w:tc>
          <w:tcPr>
            <w:tcW w:w="1250" w:type="dxa"/>
            <w:noWrap w:val="0"/>
            <w:vAlign w:val="center"/>
          </w:tcPr>
          <w:p w14:paraId="16E22B71">
            <w:pPr>
              <w:jc w:val="center"/>
              <w:rPr>
                <w:rFonts w:hint="eastAsia"/>
                <w:szCs w:val="21"/>
              </w:rPr>
            </w:pPr>
            <w:r>
              <w:rPr>
                <w:rFonts w:hint="eastAsia"/>
                <w:sz w:val="20"/>
                <w:szCs w:val="20"/>
              </w:rPr>
              <w:t>多项</w:t>
            </w:r>
          </w:p>
        </w:tc>
        <w:tc>
          <w:tcPr>
            <w:tcW w:w="1250" w:type="dxa"/>
            <w:tcBorders>
              <w:right w:val="single" w:color="auto" w:sz="6" w:space="0"/>
            </w:tcBorders>
            <w:noWrap w:val="0"/>
            <w:vAlign w:val="center"/>
          </w:tcPr>
          <w:p w14:paraId="0B1F837A">
            <w:pPr>
              <w:jc w:val="center"/>
              <w:rPr>
                <w:rFonts w:hint="eastAsia"/>
                <w:szCs w:val="21"/>
              </w:rPr>
            </w:pPr>
          </w:p>
        </w:tc>
      </w:tr>
      <w:tr w14:paraId="4751D82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239FA82">
            <w:pPr>
              <w:jc w:val="center"/>
              <w:rPr>
                <w:rFonts w:hint="eastAsia" w:ascii="黑体" w:eastAsia="黑体"/>
                <w:szCs w:val="21"/>
              </w:rPr>
            </w:pPr>
          </w:p>
        </w:tc>
        <w:tc>
          <w:tcPr>
            <w:tcW w:w="1315" w:type="dxa"/>
            <w:tcBorders>
              <w:right w:val="single" w:color="auto" w:sz="6" w:space="0"/>
            </w:tcBorders>
            <w:noWrap w:val="0"/>
            <w:vAlign w:val="center"/>
          </w:tcPr>
          <w:p w14:paraId="50698343">
            <w:pPr>
              <w:ind w:firstLine="210" w:firstLineChars="100"/>
              <w:jc w:val="center"/>
              <w:rPr>
                <w:rFonts w:hint="eastAsia"/>
                <w:szCs w:val="21"/>
              </w:rPr>
            </w:pPr>
          </w:p>
        </w:tc>
        <w:tc>
          <w:tcPr>
            <w:tcW w:w="1249" w:type="dxa"/>
            <w:tcBorders>
              <w:left w:val="single" w:color="auto" w:sz="6" w:space="0"/>
            </w:tcBorders>
            <w:noWrap w:val="0"/>
            <w:vAlign w:val="center"/>
          </w:tcPr>
          <w:p w14:paraId="1B66BEB2">
            <w:pPr>
              <w:ind w:firstLine="210" w:firstLineChars="100"/>
              <w:jc w:val="center"/>
              <w:rPr>
                <w:rFonts w:hint="eastAsia"/>
                <w:szCs w:val="21"/>
              </w:rPr>
            </w:pPr>
          </w:p>
        </w:tc>
        <w:tc>
          <w:tcPr>
            <w:tcW w:w="1251" w:type="dxa"/>
            <w:tcBorders>
              <w:left w:val="single" w:color="auto" w:sz="6" w:space="0"/>
            </w:tcBorders>
            <w:noWrap w:val="0"/>
            <w:vAlign w:val="center"/>
          </w:tcPr>
          <w:p w14:paraId="5CB4C9D3">
            <w:pPr>
              <w:ind w:firstLine="210" w:firstLineChars="100"/>
              <w:jc w:val="center"/>
              <w:rPr>
                <w:rFonts w:hint="eastAsia"/>
                <w:szCs w:val="21"/>
              </w:rPr>
            </w:pPr>
          </w:p>
        </w:tc>
        <w:tc>
          <w:tcPr>
            <w:tcW w:w="1250" w:type="dxa"/>
            <w:tcBorders>
              <w:right w:val="single" w:color="auto" w:sz="6" w:space="0"/>
            </w:tcBorders>
            <w:noWrap w:val="0"/>
            <w:vAlign w:val="center"/>
          </w:tcPr>
          <w:p w14:paraId="0C7D9C8A">
            <w:pPr>
              <w:jc w:val="center"/>
              <w:rPr>
                <w:rFonts w:hint="eastAsia"/>
                <w:szCs w:val="21"/>
              </w:rPr>
            </w:pPr>
          </w:p>
        </w:tc>
        <w:tc>
          <w:tcPr>
            <w:tcW w:w="1250" w:type="dxa"/>
            <w:noWrap w:val="0"/>
            <w:vAlign w:val="center"/>
          </w:tcPr>
          <w:p w14:paraId="13FC3FA6">
            <w:pPr>
              <w:jc w:val="center"/>
              <w:rPr>
                <w:rFonts w:hint="eastAsia"/>
                <w:szCs w:val="21"/>
              </w:rPr>
            </w:pPr>
          </w:p>
        </w:tc>
        <w:tc>
          <w:tcPr>
            <w:tcW w:w="1250" w:type="dxa"/>
            <w:tcBorders>
              <w:right w:val="single" w:color="auto" w:sz="6" w:space="0"/>
            </w:tcBorders>
            <w:noWrap w:val="0"/>
            <w:vAlign w:val="center"/>
          </w:tcPr>
          <w:p w14:paraId="352AC3C2">
            <w:pPr>
              <w:jc w:val="center"/>
              <w:rPr>
                <w:rFonts w:hint="eastAsia"/>
                <w:szCs w:val="21"/>
              </w:rPr>
            </w:pPr>
          </w:p>
        </w:tc>
      </w:tr>
      <w:tr w14:paraId="730C676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noWrap w:val="0"/>
            <w:vAlign w:val="center"/>
          </w:tcPr>
          <w:p w14:paraId="0FF259FA">
            <w:pPr>
              <w:jc w:val="center"/>
              <w:rPr>
                <w:rFonts w:hint="eastAsia"/>
                <w:b/>
                <w:sz w:val="20"/>
                <w:szCs w:val="20"/>
              </w:rPr>
            </w:pPr>
            <w:r>
              <w:rPr>
                <w:rFonts w:hint="eastAsia"/>
                <w:b/>
                <w:sz w:val="20"/>
                <w:szCs w:val="20"/>
              </w:rPr>
              <w:t>计日工</w:t>
            </w:r>
          </w:p>
        </w:tc>
      </w:tr>
      <w:tr w14:paraId="2AB4928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3E6BB60">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54E95F73">
            <w:pPr>
              <w:jc w:val="center"/>
              <w:rPr>
                <w:rFonts w:hint="eastAsia"/>
                <w:sz w:val="20"/>
                <w:szCs w:val="20"/>
              </w:rPr>
            </w:pPr>
            <w:r>
              <w:rPr>
                <w:rFonts w:hint="eastAsia"/>
                <w:sz w:val="20"/>
                <w:szCs w:val="20"/>
              </w:rPr>
              <w:t>项目名称</w:t>
            </w:r>
          </w:p>
          <w:p w14:paraId="51BA3A9F">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0570B21A">
            <w:pPr>
              <w:jc w:val="center"/>
              <w:rPr>
                <w:rFonts w:hint="eastAsia"/>
                <w:sz w:val="20"/>
                <w:szCs w:val="20"/>
              </w:rPr>
            </w:pPr>
            <w:r>
              <w:rPr>
                <w:rFonts w:hint="eastAsia"/>
                <w:sz w:val="20"/>
                <w:szCs w:val="20"/>
              </w:rPr>
              <w:t>暂定数量</w:t>
            </w:r>
          </w:p>
          <w:p w14:paraId="11E530F8">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1379794E">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527E7A32">
            <w:pPr>
              <w:jc w:val="center"/>
              <w:rPr>
                <w:rFonts w:hint="eastAsia"/>
                <w:szCs w:val="21"/>
              </w:rPr>
            </w:pPr>
            <w:r>
              <w:rPr>
                <w:rFonts w:hint="eastAsia"/>
                <w:sz w:val="20"/>
                <w:szCs w:val="20"/>
              </w:rPr>
              <w:t>多项</w:t>
            </w:r>
          </w:p>
        </w:tc>
        <w:tc>
          <w:tcPr>
            <w:tcW w:w="1250" w:type="dxa"/>
            <w:noWrap w:val="0"/>
            <w:vAlign w:val="center"/>
          </w:tcPr>
          <w:p w14:paraId="6728CCA4">
            <w:pPr>
              <w:jc w:val="center"/>
              <w:rPr>
                <w:rFonts w:hint="eastAsia"/>
                <w:szCs w:val="21"/>
              </w:rPr>
            </w:pPr>
          </w:p>
        </w:tc>
        <w:tc>
          <w:tcPr>
            <w:tcW w:w="1250" w:type="dxa"/>
            <w:tcBorders>
              <w:right w:val="single" w:color="auto" w:sz="6" w:space="0"/>
            </w:tcBorders>
            <w:noWrap w:val="0"/>
            <w:vAlign w:val="center"/>
          </w:tcPr>
          <w:p w14:paraId="4C852D0B">
            <w:pPr>
              <w:jc w:val="center"/>
              <w:rPr>
                <w:rFonts w:hint="eastAsia"/>
                <w:szCs w:val="21"/>
              </w:rPr>
            </w:pPr>
          </w:p>
        </w:tc>
      </w:tr>
      <w:tr w14:paraId="6D59CE1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8B5D580">
            <w:pPr>
              <w:jc w:val="center"/>
              <w:rPr>
                <w:rFonts w:hint="eastAsia"/>
                <w:sz w:val="20"/>
                <w:szCs w:val="20"/>
              </w:rPr>
            </w:pPr>
          </w:p>
        </w:tc>
        <w:tc>
          <w:tcPr>
            <w:tcW w:w="1315" w:type="dxa"/>
            <w:tcBorders>
              <w:right w:val="single" w:color="auto" w:sz="6" w:space="0"/>
            </w:tcBorders>
            <w:noWrap w:val="0"/>
            <w:vAlign w:val="center"/>
          </w:tcPr>
          <w:p w14:paraId="660AAEA1">
            <w:pPr>
              <w:jc w:val="center"/>
              <w:rPr>
                <w:rFonts w:hint="eastAsia"/>
                <w:sz w:val="20"/>
                <w:szCs w:val="20"/>
              </w:rPr>
            </w:pPr>
          </w:p>
        </w:tc>
        <w:tc>
          <w:tcPr>
            <w:tcW w:w="1249" w:type="dxa"/>
            <w:tcBorders>
              <w:left w:val="single" w:color="auto" w:sz="6" w:space="0"/>
            </w:tcBorders>
            <w:noWrap w:val="0"/>
            <w:vAlign w:val="center"/>
          </w:tcPr>
          <w:p w14:paraId="6A63028A">
            <w:pPr>
              <w:jc w:val="center"/>
              <w:rPr>
                <w:rFonts w:hint="eastAsia"/>
                <w:sz w:val="20"/>
                <w:szCs w:val="20"/>
              </w:rPr>
            </w:pPr>
          </w:p>
        </w:tc>
        <w:tc>
          <w:tcPr>
            <w:tcW w:w="1251" w:type="dxa"/>
            <w:tcBorders>
              <w:left w:val="single" w:color="auto" w:sz="6" w:space="0"/>
            </w:tcBorders>
            <w:noWrap w:val="0"/>
            <w:vAlign w:val="center"/>
          </w:tcPr>
          <w:p w14:paraId="1CC3B638">
            <w:pPr>
              <w:ind w:firstLine="210" w:firstLineChars="100"/>
              <w:jc w:val="center"/>
              <w:rPr>
                <w:rFonts w:hint="eastAsia"/>
                <w:szCs w:val="21"/>
              </w:rPr>
            </w:pPr>
          </w:p>
        </w:tc>
        <w:tc>
          <w:tcPr>
            <w:tcW w:w="1250" w:type="dxa"/>
            <w:tcBorders>
              <w:right w:val="single" w:color="auto" w:sz="6" w:space="0"/>
            </w:tcBorders>
            <w:noWrap w:val="0"/>
            <w:vAlign w:val="center"/>
          </w:tcPr>
          <w:p w14:paraId="6E1683C1">
            <w:pPr>
              <w:jc w:val="center"/>
              <w:rPr>
                <w:rFonts w:hint="eastAsia"/>
                <w:szCs w:val="21"/>
              </w:rPr>
            </w:pPr>
          </w:p>
        </w:tc>
        <w:tc>
          <w:tcPr>
            <w:tcW w:w="1250" w:type="dxa"/>
            <w:noWrap w:val="0"/>
            <w:vAlign w:val="center"/>
          </w:tcPr>
          <w:p w14:paraId="1CCB983D">
            <w:pPr>
              <w:jc w:val="center"/>
              <w:rPr>
                <w:rFonts w:hint="eastAsia"/>
                <w:szCs w:val="21"/>
              </w:rPr>
            </w:pPr>
          </w:p>
        </w:tc>
        <w:tc>
          <w:tcPr>
            <w:tcW w:w="1250" w:type="dxa"/>
            <w:tcBorders>
              <w:right w:val="single" w:color="auto" w:sz="6" w:space="0"/>
            </w:tcBorders>
            <w:noWrap w:val="0"/>
            <w:vAlign w:val="center"/>
          </w:tcPr>
          <w:p w14:paraId="0D2C481E">
            <w:pPr>
              <w:jc w:val="center"/>
              <w:rPr>
                <w:rFonts w:hint="eastAsia"/>
                <w:szCs w:val="21"/>
              </w:rPr>
            </w:pPr>
          </w:p>
        </w:tc>
      </w:tr>
      <w:tr w14:paraId="3E420D7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748" w:type="dxa"/>
            <w:gridSpan w:val="7"/>
            <w:tcBorders>
              <w:right w:val="single" w:color="auto" w:sz="6" w:space="0"/>
            </w:tcBorders>
            <w:noWrap w:val="0"/>
            <w:vAlign w:val="center"/>
          </w:tcPr>
          <w:p w14:paraId="16AB7F11">
            <w:pPr>
              <w:jc w:val="center"/>
              <w:rPr>
                <w:rFonts w:hint="eastAsia"/>
                <w:szCs w:val="21"/>
              </w:rPr>
            </w:pPr>
            <w:r>
              <w:rPr>
                <w:rFonts w:hint="eastAsia"/>
                <w:b/>
                <w:sz w:val="20"/>
                <w:szCs w:val="20"/>
              </w:rPr>
              <w:t>总承包服务费</w:t>
            </w:r>
          </w:p>
        </w:tc>
      </w:tr>
      <w:tr w14:paraId="48B6647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5585F897">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40C29453">
            <w:pPr>
              <w:jc w:val="center"/>
              <w:rPr>
                <w:rFonts w:hint="eastAsia"/>
                <w:sz w:val="20"/>
                <w:szCs w:val="20"/>
              </w:rPr>
            </w:pPr>
            <w:r>
              <w:rPr>
                <w:rFonts w:hint="eastAsia"/>
                <w:sz w:val="20"/>
                <w:szCs w:val="20"/>
              </w:rPr>
              <w:t>工程名称</w:t>
            </w:r>
          </w:p>
          <w:p w14:paraId="69739F43">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48F81278">
            <w:pPr>
              <w:jc w:val="center"/>
              <w:rPr>
                <w:rFonts w:hint="eastAsia"/>
                <w:sz w:val="20"/>
                <w:szCs w:val="20"/>
              </w:rPr>
            </w:pPr>
            <w:r>
              <w:rPr>
                <w:rFonts w:hint="eastAsia"/>
                <w:sz w:val="20"/>
                <w:szCs w:val="20"/>
              </w:rPr>
              <w:t>项目价值</w:t>
            </w:r>
          </w:p>
          <w:p w14:paraId="088AC7DF">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1B03F797">
            <w:pPr>
              <w:jc w:val="center"/>
              <w:rPr>
                <w:rFonts w:hint="eastAsia"/>
                <w:sz w:val="20"/>
                <w:szCs w:val="20"/>
              </w:rPr>
            </w:pPr>
            <w:r>
              <w:rPr>
                <w:rFonts w:hint="eastAsia"/>
                <w:sz w:val="20"/>
                <w:szCs w:val="20"/>
              </w:rPr>
              <w:t>服务内容</w:t>
            </w:r>
          </w:p>
          <w:p w14:paraId="3B3D066E">
            <w:pPr>
              <w:jc w:val="center"/>
              <w:rPr>
                <w:rFonts w:hint="eastAsia"/>
                <w:szCs w:val="21"/>
              </w:rPr>
            </w:pPr>
            <w:r>
              <w:rPr>
                <w:rFonts w:hint="eastAsia"/>
                <w:sz w:val="20"/>
                <w:szCs w:val="20"/>
              </w:rPr>
              <w:t>错误</w:t>
            </w:r>
          </w:p>
        </w:tc>
        <w:tc>
          <w:tcPr>
            <w:tcW w:w="1250" w:type="dxa"/>
            <w:tcBorders>
              <w:right w:val="single" w:color="auto" w:sz="6" w:space="0"/>
            </w:tcBorders>
            <w:noWrap w:val="0"/>
            <w:vAlign w:val="center"/>
          </w:tcPr>
          <w:p w14:paraId="766AB020">
            <w:pPr>
              <w:jc w:val="center"/>
              <w:rPr>
                <w:rFonts w:hint="eastAsia"/>
                <w:sz w:val="20"/>
                <w:szCs w:val="20"/>
              </w:rPr>
            </w:pPr>
            <w:r>
              <w:rPr>
                <w:rFonts w:hint="eastAsia"/>
                <w:sz w:val="20"/>
                <w:szCs w:val="20"/>
              </w:rPr>
              <w:t>计算基础</w:t>
            </w:r>
          </w:p>
          <w:p w14:paraId="2A48F58C">
            <w:pPr>
              <w:jc w:val="center"/>
              <w:rPr>
                <w:rFonts w:hint="eastAsia"/>
                <w:szCs w:val="21"/>
              </w:rPr>
            </w:pPr>
            <w:r>
              <w:rPr>
                <w:rFonts w:hint="eastAsia"/>
                <w:sz w:val="20"/>
                <w:szCs w:val="20"/>
              </w:rPr>
              <w:t>错误</w:t>
            </w:r>
          </w:p>
        </w:tc>
        <w:tc>
          <w:tcPr>
            <w:tcW w:w="1250" w:type="dxa"/>
            <w:noWrap w:val="0"/>
            <w:vAlign w:val="center"/>
          </w:tcPr>
          <w:p w14:paraId="6B310A5C">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549DB51E">
            <w:pPr>
              <w:jc w:val="center"/>
              <w:rPr>
                <w:rFonts w:hint="eastAsia"/>
                <w:szCs w:val="21"/>
              </w:rPr>
            </w:pPr>
            <w:r>
              <w:rPr>
                <w:rFonts w:hint="eastAsia"/>
                <w:sz w:val="20"/>
                <w:szCs w:val="20"/>
              </w:rPr>
              <w:t>多项</w:t>
            </w:r>
          </w:p>
        </w:tc>
      </w:tr>
      <w:tr w14:paraId="4C8E9F2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50EAF9E">
            <w:pPr>
              <w:jc w:val="center"/>
              <w:rPr>
                <w:rFonts w:hint="eastAsia"/>
                <w:sz w:val="20"/>
                <w:szCs w:val="20"/>
              </w:rPr>
            </w:pPr>
          </w:p>
        </w:tc>
        <w:tc>
          <w:tcPr>
            <w:tcW w:w="1315" w:type="dxa"/>
            <w:tcBorders>
              <w:right w:val="single" w:color="auto" w:sz="6" w:space="0"/>
            </w:tcBorders>
            <w:noWrap w:val="0"/>
            <w:vAlign w:val="center"/>
          </w:tcPr>
          <w:p w14:paraId="788079AE">
            <w:pPr>
              <w:jc w:val="center"/>
              <w:rPr>
                <w:rFonts w:hint="eastAsia"/>
                <w:sz w:val="20"/>
                <w:szCs w:val="20"/>
              </w:rPr>
            </w:pPr>
          </w:p>
        </w:tc>
        <w:tc>
          <w:tcPr>
            <w:tcW w:w="1249" w:type="dxa"/>
            <w:tcBorders>
              <w:left w:val="single" w:color="auto" w:sz="6" w:space="0"/>
            </w:tcBorders>
            <w:noWrap w:val="0"/>
            <w:vAlign w:val="center"/>
          </w:tcPr>
          <w:p w14:paraId="431678AB">
            <w:pPr>
              <w:jc w:val="center"/>
              <w:rPr>
                <w:rFonts w:hint="eastAsia"/>
                <w:sz w:val="20"/>
                <w:szCs w:val="20"/>
              </w:rPr>
            </w:pPr>
          </w:p>
        </w:tc>
        <w:tc>
          <w:tcPr>
            <w:tcW w:w="1251" w:type="dxa"/>
            <w:tcBorders>
              <w:left w:val="single" w:color="auto" w:sz="6" w:space="0"/>
            </w:tcBorders>
            <w:noWrap w:val="0"/>
            <w:vAlign w:val="center"/>
          </w:tcPr>
          <w:p w14:paraId="5B006A30">
            <w:pPr>
              <w:ind w:firstLine="210" w:firstLineChars="100"/>
              <w:jc w:val="center"/>
              <w:rPr>
                <w:rFonts w:hint="eastAsia"/>
                <w:szCs w:val="21"/>
              </w:rPr>
            </w:pPr>
          </w:p>
        </w:tc>
        <w:tc>
          <w:tcPr>
            <w:tcW w:w="1250" w:type="dxa"/>
            <w:tcBorders>
              <w:right w:val="single" w:color="auto" w:sz="6" w:space="0"/>
            </w:tcBorders>
            <w:noWrap w:val="0"/>
            <w:vAlign w:val="center"/>
          </w:tcPr>
          <w:p w14:paraId="6610332C">
            <w:pPr>
              <w:jc w:val="center"/>
              <w:rPr>
                <w:rFonts w:hint="eastAsia"/>
                <w:szCs w:val="21"/>
              </w:rPr>
            </w:pPr>
          </w:p>
        </w:tc>
        <w:tc>
          <w:tcPr>
            <w:tcW w:w="1250" w:type="dxa"/>
            <w:noWrap w:val="0"/>
            <w:vAlign w:val="center"/>
          </w:tcPr>
          <w:p w14:paraId="3F2D5043">
            <w:pPr>
              <w:jc w:val="center"/>
              <w:rPr>
                <w:rFonts w:hint="eastAsia"/>
                <w:szCs w:val="21"/>
              </w:rPr>
            </w:pPr>
          </w:p>
        </w:tc>
        <w:tc>
          <w:tcPr>
            <w:tcW w:w="1250" w:type="dxa"/>
            <w:tcBorders>
              <w:right w:val="single" w:color="auto" w:sz="6" w:space="0"/>
            </w:tcBorders>
            <w:noWrap w:val="0"/>
            <w:vAlign w:val="center"/>
          </w:tcPr>
          <w:p w14:paraId="1D998B32">
            <w:pPr>
              <w:jc w:val="center"/>
              <w:rPr>
                <w:rFonts w:hint="eastAsia"/>
                <w:szCs w:val="21"/>
              </w:rPr>
            </w:pPr>
          </w:p>
        </w:tc>
      </w:tr>
    </w:tbl>
    <w:p w14:paraId="0F35F7B8">
      <w:pPr>
        <w:spacing w:line="420" w:lineRule="exact"/>
        <w:jc w:val="center"/>
        <w:rPr>
          <w:rFonts w:hint="eastAsia" w:ascii="楷体_GB2312" w:eastAsia="楷体_GB2312"/>
        </w:rPr>
      </w:pPr>
    </w:p>
    <w:p w14:paraId="2C33AB74">
      <w:pPr>
        <w:spacing w:line="420" w:lineRule="exact"/>
        <w:rPr>
          <w:rFonts w:hint="eastAsia" w:ascii="宋体" w:hAnsi="宋体"/>
          <w:szCs w:val="21"/>
        </w:rPr>
      </w:pPr>
      <w:r>
        <w:rPr>
          <w:rFonts w:hint="eastAsia" w:ascii="宋体" w:hAnsi="宋体"/>
          <w:szCs w:val="21"/>
        </w:rPr>
        <w:t>评标委员会成员签名：                                     日期:     年     月     日</w:t>
      </w:r>
    </w:p>
    <w:p w14:paraId="7D8D263D">
      <w:pPr>
        <w:rPr>
          <w:rFonts w:hint="eastAsia" w:ascii="黑体" w:eastAsia="黑体"/>
          <w:szCs w:val="21"/>
        </w:rPr>
      </w:pPr>
    </w:p>
    <w:p w14:paraId="48E60521">
      <w:pPr>
        <w:pStyle w:val="20"/>
        <w:rPr>
          <w:rFonts w:hint="eastAsia"/>
        </w:rPr>
      </w:pPr>
      <w:bookmarkStart w:id="445" w:name="_Toc108513672"/>
      <w:r>
        <w:rPr>
          <w:rFonts w:hint="eastAsia"/>
        </w:rPr>
        <w:t>附表C-4：清标报告-规费、税金项目符合性检查</w:t>
      </w:r>
      <w:bookmarkEnd w:id="445"/>
    </w:p>
    <w:p w14:paraId="0640B981">
      <w:pPr>
        <w:spacing w:before="240" w:beforeLines="100" w:after="240" w:afterLines="100"/>
        <w:jc w:val="center"/>
        <w:rPr>
          <w:rFonts w:hint="eastAsia" w:ascii="黑体" w:eastAsia="黑体"/>
          <w:sz w:val="32"/>
          <w:szCs w:val="32"/>
        </w:rPr>
      </w:pPr>
    </w:p>
    <w:p w14:paraId="72AA41C2">
      <w:pPr>
        <w:spacing w:before="240" w:beforeLines="100" w:after="240" w:afterLines="100"/>
        <w:jc w:val="center"/>
        <w:rPr>
          <w:rFonts w:hint="eastAsia" w:ascii="黑体" w:eastAsia="黑体"/>
          <w:sz w:val="32"/>
          <w:szCs w:val="32"/>
        </w:rPr>
      </w:pPr>
      <w:r>
        <w:rPr>
          <w:rFonts w:hint="eastAsia" w:ascii="黑体" w:eastAsia="黑体"/>
          <w:sz w:val="32"/>
          <w:szCs w:val="32"/>
        </w:rPr>
        <w:t>清标报告-规费、税金项目符合性检查</w:t>
      </w:r>
    </w:p>
    <w:p w14:paraId="07E3B1A3">
      <w:pPr>
        <w:rPr>
          <w:rFonts w:hint="eastAsia" w:ascii="宋体" w:hAnsi="宋体"/>
          <w:szCs w:val="21"/>
        </w:rPr>
      </w:pPr>
      <w:r>
        <w:rPr>
          <w:rFonts w:hint="eastAsia" w:ascii="宋体" w:hAnsi="宋体"/>
          <w:szCs w:val="21"/>
        </w:rPr>
        <w:t>投标人名称：</w:t>
      </w:r>
    </w:p>
    <w:p w14:paraId="55567C3B">
      <w:pPr>
        <w:rPr>
          <w:rFonts w:hint="eastAsia" w:ascii="宋体" w:hAnsi="宋体"/>
          <w:szCs w:val="21"/>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1744C9A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tcBorders>
            <w:noWrap w:val="0"/>
            <w:vAlign w:val="center"/>
          </w:tcPr>
          <w:p w14:paraId="6EAD4F2C">
            <w:pPr>
              <w:jc w:val="center"/>
              <w:rPr>
                <w:rFonts w:hint="eastAsia"/>
                <w:sz w:val="20"/>
                <w:szCs w:val="20"/>
              </w:rPr>
            </w:pPr>
            <w:r>
              <w:rPr>
                <w:rFonts w:hint="eastAsia"/>
                <w:sz w:val="20"/>
                <w:szCs w:val="20"/>
              </w:rPr>
              <w:t>单位工程名称</w:t>
            </w:r>
          </w:p>
        </w:tc>
        <w:tc>
          <w:tcPr>
            <w:tcW w:w="5001" w:type="dxa"/>
            <w:gridSpan w:val="4"/>
            <w:tcBorders>
              <w:top w:val="single" w:color="auto" w:sz="6" w:space="0"/>
            </w:tcBorders>
            <w:noWrap w:val="0"/>
            <w:vAlign w:val="center"/>
          </w:tcPr>
          <w:p w14:paraId="10B2E595">
            <w:pPr>
              <w:jc w:val="center"/>
              <w:rPr>
                <w:rFonts w:hint="eastAsia"/>
                <w:sz w:val="20"/>
                <w:szCs w:val="20"/>
              </w:rPr>
            </w:pPr>
          </w:p>
        </w:tc>
      </w:tr>
      <w:tr w14:paraId="19EFC32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7"/>
            <w:tcBorders>
              <w:top w:val="single" w:color="auto" w:sz="6" w:space="0"/>
            </w:tcBorders>
            <w:noWrap w:val="0"/>
            <w:vAlign w:val="center"/>
          </w:tcPr>
          <w:p w14:paraId="5C3F3431">
            <w:pPr>
              <w:jc w:val="center"/>
              <w:rPr>
                <w:rFonts w:hint="eastAsia"/>
                <w:b/>
                <w:sz w:val="20"/>
                <w:szCs w:val="20"/>
              </w:rPr>
            </w:pPr>
            <w:r>
              <w:rPr>
                <w:rFonts w:hint="eastAsia"/>
                <w:b/>
                <w:sz w:val="20"/>
                <w:szCs w:val="20"/>
              </w:rPr>
              <w:t>四、规费、税金项目符合性检查</w:t>
            </w:r>
          </w:p>
        </w:tc>
      </w:tr>
      <w:tr w14:paraId="27506AD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4689577">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39BAF229">
            <w:pPr>
              <w:jc w:val="center"/>
              <w:rPr>
                <w:rFonts w:hint="eastAsia"/>
                <w:sz w:val="20"/>
                <w:szCs w:val="20"/>
              </w:rPr>
            </w:pPr>
            <w:r>
              <w:rPr>
                <w:rFonts w:hint="eastAsia"/>
                <w:sz w:val="20"/>
                <w:szCs w:val="20"/>
              </w:rPr>
              <w:t>项目名称</w:t>
            </w:r>
          </w:p>
          <w:p w14:paraId="0676DC8D">
            <w:pPr>
              <w:jc w:val="center"/>
              <w:rPr>
                <w:rFonts w:hint="eastAsia"/>
                <w:sz w:val="20"/>
                <w:szCs w:val="20"/>
              </w:rPr>
            </w:pPr>
            <w:r>
              <w:rPr>
                <w:rFonts w:hint="eastAsia"/>
                <w:sz w:val="20"/>
                <w:szCs w:val="20"/>
              </w:rPr>
              <w:t>错误</w:t>
            </w:r>
          </w:p>
        </w:tc>
        <w:tc>
          <w:tcPr>
            <w:tcW w:w="1249" w:type="dxa"/>
            <w:tcBorders>
              <w:left w:val="single" w:color="auto" w:sz="6" w:space="0"/>
            </w:tcBorders>
            <w:noWrap w:val="0"/>
            <w:vAlign w:val="center"/>
          </w:tcPr>
          <w:p w14:paraId="34E3F167">
            <w:pPr>
              <w:jc w:val="center"/>
              <w:rPr>
                <w:rFonts w:hint="eastAsia"/>
                <w:sz w:val="20"/>
                <w:szCs w:val="20"/>
              </w:rPr>
            </w:pPr>
            <w:r>
              <w:rPr>
                <w:rFonts w:hint="eastAsia"/>
                <w:sz w:val="20"/>
                <w:szCs w:val="20"/>
              </w:rPr>
              <w:t>计算基础</w:t>
            </w:r>
          </w:p>
          <w:p w14:paraId="39C20B97">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41FC74D7">
            <w:pPr>
              <w:jc w:val="center"/>
              <w:rPr>
                <w:rFonts w:hint="eastAsia"/>
                <w:sz w:val="20"/>
                <w:szCs w:val="20"/>
              </w:rPr>
            </w:pPr>
            <w:r>
              <w:rPr>
                <w:rFonts w:hint="eastAsia" w:ascii="宋体" w:hAnsi="宋体"/>
                <w:szCs w:val="21"/>
              </w:rPr>
              <w:t>计算基数错误</w:t>
            </w:r>
          </w:p>
        </w:tc>
        <w:tc>
          <w:tcPr>
            <w:tcW w:w="1250" w:type="dxa"/>
            <w:tcBorders>
              <w:right w:val="single" w:color="auto" w:sz="6" w:space="0"/>
            </w:tcBorders>
            <w:noWrap w:val="0"/>
            <w:vAlign w:val="center"/>
          </w:tcPr>
          <w:p w14:paraId="70664B74">
            <w:pPr>
              <w:jc w:val="center"/>
              <w:rPr>
                <w:rFonts w:hint="eastAsia"/>
                <w:sz w:val="20"/>
                <w:szCs w:val="20"/>
              </w:rPr>
            </w:pPr>
            <w:r>
              <w:rPr>
                <w:rFonts w:hint="eastAsia"/>
                <w:sz w:val="20"/>
                <w:szCs w:val="20"/>
              </w:rPr>
              <w:t>费率（%）错误</w:t>
            </w:r>
          </w:p>
        </w:tc>
        <w:tc>
          <w:tcPr>
            <w:tcW w:w="1250" w:type="dxa"/>
            <w:noWrap w:val="0"/>
            <w:vAlign w:val="center"/>
          </w:tcPr>
          <w:p w14:paraId="1302A9DB">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3A75CD2E">
            <w:pPr>
              <w:jc w:val="center"/>
              <w:rPr>
                <w:rFonts w:hint="eastAsia"/>
                <w:szCs w:val="21"/>
              </w:rPr>
            </w:pPr>
            <w:r>
              <w:rPr>
                <w:rFonts w:hint="eastAsia"/>
                <w:sz w:val="20"/>
                <w:szCs w:val="20"/>
              </w:rPr>
              <w:t>多项</w:t>
            </w:r>
          </w:p>
        </w:tc>
      </w:tr>
      <w:tr w14:paraId="5D297C3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FA9F52D">
            <w:pPr>
              <w:jc w:val="center"/>
              <w:rPr>
                <w:rFonts w:hint="eastAsia" w:ascii="黑体" w:eastAsia="黑体"/>
                <w:sz w:val="20"/>
                <w:szCs w:val="20"/>
              </w:rPr>
            </w:pPr>
          </w:p>
        </w:tc>
        <w:tc>
          <w:tcPr>
            <w:tcW w:w="1315" w:type="dxa"/>
            <w:tcBorders>
              <w:right w:val="single" w:color="auto" w:sz="6" w:space="0"/>
            </w:tcBorders>
            <w:noWrap w:val="0"/>
            <w:vAlign w:val="center"/>
          </w:tcPr>
          <w:p w14:paraId="47E998CC">
            <w:pPr>
              <w:jc w:val="center"/>
              <w:rPr>
                <w:rFonts w:hint="eastAsia"/>
                <w:sz w:val="20"/>
                <w:szCs w:val="20"/>
              </w:rPr>
            </w:pPr>
          </w:p>
        </w:tc>
        <w:tc>
          <w:tcPr>
            <w:tcW w:w="1249" w:type="dxa"/>
            <w:tcBorders>
              <w:left w:val="single" w:color="auto" w:sz="6" w:space="0"/>
            </w:tcBorders>
            <w:noWrap w:val="0"/>
            <w:vAlign w:val="center"/>
          </w:tcPr>
          <w:p w14:paraId="3335EC0D">
            <w:pPr>
              <w:jc w:val="center"/>
              <w:rPr>
                <w:rFonts w:hint="eastAsia"/>
                <w:sz w:val="20"/>
                <w:szCs w:val="20"/>
              </w:rPr>
            </w:pPr>
          </w:p>
        </w:tc>
        <w:tc>
          <w:tcPr>
            <w:tcW w:w="1251" w:type="dxa"/>
            <w:tcBorders>
              <w:left w:val="single" w:color="auto" w:sz="6" w:space="0"/>
            </w:tcBorders>
            <w:noWrap w:val="0"/>
            <w:vAlign w:val="center"/>
          </w:tcPr>
          <w:p w14:paraId="4AA2A323">
            <w:pPr>
              <w:jc w:val="center"/>
              <w:rPr>
                <w:rFonts w:hint="eastAsia"/>
                <w:sz w:val="20"/>
                <w:szCs w:val="20"/>
              </w:rPr>
            </w:pPr>
          </w:p>
        </w:tc>
        <w:tc>
          <w:tcPr>
            <w:tcW w:w="1250" w:type="dxa"/>
            <w:tcBorders>
              <w:right w:val="single" w:color="auto" w:sz="6" w:space="0"/>
            </w:tcBorders>
            <w:noWrap w:val="0"/>
            <w:vAlign w:val="center"/>
          </w:tcPr>
          <w:p w14:paraId="59F325A3">
            <w:pPr>
              <w:jc w:val="center"/>
              <w:rPr>
                <w:rFonts w:hint="eastAsia"/>
                <w:sz w:val="20"/>
                <w:szCs w:val="20"/>
              </w:rPr>
            </w:pPr>
          </w:p>
        </w:tc>
        <w:tc>
          <w:tcPr>
            <w:tcW w:w="1250" w:type="dxa"/>
            <w:noWrap w:val="0"/>
            <w:vAlign w:val="center"/>
          </w:tcPr>
          <w:p w14:paraId="1363A325">
            <w:pPr>
              <w:jc w:val="center"/>
              <w:rPr>
                <w:rFonts w:hint="eastAsia"/>
                <w:sz w:val="20"/>
                <w:szCs w:val="20"/>
              </w:rPr>
            </w:pPr>
          </w:p>
        </w:tc>
        <w:tc>
          <w:tcPr>
            <w:tcW w:w="1250" w:type="dxa"/>
            <w:tcBorders>
              <w:right w:val="single" w:color="auto" w:sz="6" w:space="0"/>
            </w:tcBorders>
            <w:noWrap w:val="0"/>
            <w:vAlign w:val="center"/>
          </w:tcPr>
          <w:p w14:paraId="55DDA7ED">
            <w:pPr>
              <w:jc w:val="center"/>
              <w:rPr>
                <w:rFonts w:hint="eastAsia"/>
                <w:sz w:val="20"/>
                <w:szCs w:val="20"/>
              </w:rPr>
            </w:pPr>
          </w:p>
        </w:tc>
      </w:tr>
      <w:tr w14:paraId="71B63A7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BF392AC">
            <w:pPr>
              <w:jc w:val="center"/>
              <w:rPr>
                <w:rFonts w:hint="eastAsia" w:ascii="黑体" w:eastAsia="黑体"/>
                <w:sz w:val="20"/>
                <w:szCs w:val="20"/>
              </w:rPr>
            </w:pPr>
          </w:p>
        </w:tc>
        <w:tc>
          <w:tcPr>
            <w:tcW w:w="1315" w:type="dxa"/>
            <w:tcBorders>
              <w:right w:val="single" w:color="auto" w:sz="6" w:space="0"/>
            </w:tcBorders>
            <w:noWrap w:val="0"/>
            <w:vAlign w:val="center"/>
          </w:tcPr>
          <w:p w14:paraId="5D18A8F8">
            <w:pPr>
              <w:jc w:val="center"/>
              <w:rPr>
                <w:rFonts w:hint="eastAsia"/>
                <w:sz w:val="20"/>
                <w:szCs w:val="20"/>
              </w:rPr>
            </w:pPr>
          </w:p>
        </w:tc>
        <w:tc>
          <w:tcPr>
            <w:tcW w:w="1249" w:type="dxa"/>
            <w:tcBorders>
              <w:left w:val="single" w:color="auto" w:sz="6" w:space="0"/>
            </w:tcBorders>
            <w:noWrap w:val="0"/>
            <w:vAlign w:val="center"/>
          </w:tcPr>
          <w:p w14:paraId="193D87B6">
            <w:pPr>
              <w:jc w:val="center"/>
              <w:rPr>
                <w:rFonts w:hint="eastAsia"/>
                <w:sz w:val="20"/>
                <w:szCs w:val="20"/>
              </w:rPr>
            </w:pPr>
          </w:p>
        </w:tc>
        <w:tc>
          <w:tcPr>
            <w:tcW w:w="1251" w:type="dxa"/>
            <w:tcBorders>
              <w:left w:val="single" w:color="auto" w:sz="6" w:space="0"/>
            </w:tcBorders>
            <w:noWrap w:val="0"/>
            <w:vAlign w:val="center"/>
          </w:tcPr>
          <w:p w14:paraId="5B0E9C2F">
            <w:pPr>
              <w:jc w:val="center"/>
              <w:rPr>
                <w:rFonts w:hint="eastAsia"/>
                <w:sz w:val="20"/>
                <w:szCs w:val="20"/>
              </w:rPr>
            </w:pPr>
          </w:p>
        </w:tc>
        <w:tc>
          <w:tcPr>
            <w:tcW w:w="1250" w:type="dxa"/>
            <w:tcBorders>
              <w:right w:val="single" w:color="auto" w:sz="6" w:space="0"/>
            </w:tcBorders>
            <w:noWrap w:val="0"/>
            <w:vAlign w:val="center"/>
          </w:tcPr>
          <w:p w14:paraId="28924550">
            <w:pPr>
              <w:jc w:val="center"/>
              <w:rPr>
                <w:rFonts w:hint="eastAsia"/>
                <w:sz w:val="20"/>
                <w:szCs w:val="20"/>
              </w:rPr>
            </w:pPr>
          </w:p>
        </w:tc>
        <w:tc>
          <w:tcPr>
            <w:tcW w:w="1250" w:type="dxa"/>
            <w:noWrap w:val="0"/>
            <w:vAlign w:val="center"/>
          </w:tcPr>
          <w:p w14:paraId="1322F549">
            <w:pPr>
              <w:jc w:val="center"/>
              <w:rPr>
                <w:rFonts w:hint="eastAsia"/>
                <w:sz w:val="20"/>
                <w:szCs w:val="20"/>
              </w:rPr>
            </w:pPr>
          </w:p>
        </w:tc>
        <w:tc>
          <w:tcPr>
            <w:tcW w:w="1250" w:type="dxa"/>
            <w:tcBorders>
              <w:right w:val="single" w:color="auto" w:sz="6" w:space="0"/>
            </w:tcBorders>
            <w:noWrap w:val="0"/>
            <w:vAlign w:val="center"/>
          </w:tcPr>
          <w:p w14:paraId="207289F3">
            <w:pPr>
              <w:jc w:val="center"/>
              <w:rPr>
                <w:rFonts w:hint="eastAsia"/>
                <w:sz w:val="20"/>
                <w:szCs w:val="20"/>
              </w:rPr>
            </w:pPr>
          </w:p>
        </w:tc>
      </w:tr>
      <w:tr w14:paraId="56A54C2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D05F8A3">
            <w:pPr>
              <w:jc w:val="center"/>
              <w:rPr>
                <w:rFonts w:hint="eastAsia" w:ascii="黑体" w:eastAsia="黑体"/>
                <w:sz w:val="20"/>
                <w:szCs w:val="20"/>
              </w:rPr>
            </w:pPr>
          </w:p>
        </w:tc>
        <w:tc>
          <w:tcPr>
            <w:tcW w:w="1315" w:type="dxa"/>
            <w:tcBorders>
              <w:right w:val="single" w:color="auto" w:sz="6" w:space="0"/>
            </w:tcBorders>
            <w:noWrap w:val="0"/>
            <w:vAlign w:val="center"/>
          </w:tcPr>
          <w:p w14:paraId="278C9606">
            <w:pPr>
              <w:jc w:val="center"/>
              <w:rPr>
                <w:rFonts w:hint="eastAsia"/>
                <w:sz w:val="20"/>
                <w:szCs w:val="20"/>
              </w:rPr>
            </w:pPr>
          </w:p>
        </w:tc>
        <w:tc>
          <w:tcPr>
            <w:tcW w:w="1249" w:type="dxa"/>
            <w:tcBorders>
              <w:left w:val="single" w:color="auto" w:sz="6" w:space="0"/>
            </w:tcBorders>
            <w:noWrap w:val="0"/>
            <w:vAlign w:val="center"/>
          </w:tcPr>
          <w:p w14:paraId="001B3FF6">
            <w:pPr>
              <w:jc w:val="center"/>
              <w:rPr>
                <w:rFonts w:hint="eastAsia"/>
                <w:sz w:val="20"/>
                <w:szCs w:val="20"/>
              </w:rPr>
            </w:pPr>
          </w:p>
        </w:tc>
        <w:tc>
          <w:tcPr>
            <w:tcW w:w="1251" w:type="dxa"/>
            <w:tcBorders>
              <w:left w:val="single" w:color="auto" w:sz="6" w:space="0"/>
            </w:tcBorders>
            <w:noWrap w:val="0"/>
            <w:vAlign w:val="center"/>
          </w:tcPr>
          <w:p w14:paraId="77E6E02D">
            <w:pPr>
              <w:jc w:val="center"/>
              <w:rPr>
                <w:rFonts w:hint="eastAsia"/>
                <w:sz w:val="20"/>
                <w:szCs w:val="20"/>
              </w:rPr>
            </w:pPr>
          </w:p>
        </w:tc>
        <w:tc>
          <w:tcPr>
            <w:tcW w:w="1250" w:type="dxa"/>
            <w:tcBorders>
              <w:right w:val="single" w:color="auto" w:sz="6" w:space="0"/>
            </w:tcBorders>
            <w:noWrap w:val="0"/>
            <w:vAlign w:val="center"/>
          </w:tcPr>
          <w:p w14:paraId="08E5F525">
            <w:pPr>
              <w:jc w:val="center"/>
              <w:rPr>
                <w:rFonts w:hint="eastAsia"/>
                <w:sz w:val="20"/>
                <w:szCs w:val="20"/>
              </w:rPr>
            </w:pPr>
          </w:p>
        </w:tc>
        <w:tc>
          <w:tcPr>
            <w:tcW w:w="1250" w:type="dxa"/>
            <w:noWrap w:val="0"/>
            <w:vAlign w:val="center"/>
          </w:tcPr>
          <w:p w14:paraId="33248F4C">
            <w:pPr>
              <w:jc w:val="center"/>
              <w:rPr>
                <w:rFonts w:hint="eastAsia"/>
                <w:sz w:val="20"/>
                <w:szCs w:val="20"/>
              </w:rPr>
            </w:pPr>
          </w:p>
        </w:tc>
        <w:tc>
          <w:tcPr>
            <w:tcW w:w="1250" w:type="dxa"/>
            <w:tcBorders>
              <w:right w:val="single" w:color="auto" w:sz="6" w:space="0"/>
            </w:tcBorders>
            <w:noWrap w:val="0"/>
            <w:vAlign w:val="center"/>
          </w:tcPr>
          <w:p w14:paraId="1279BC96">
            <w:pPr>
              <w:jc w:val="center"/>
              <w:rPr>
                <w:rFonts w:hint="eastAsia"/>
                <w:sz w:val="20"/>
                <w:szCs w:val="20"/>
              </w:rPr>
            </w:pPr>
          </w:p>
        </w:tc>
      </w:tr>
      <w:tr w14:paraId="21B8A38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8B8BAC8">
            <w:pPr>
              <w:jc w:val="center"/>
              <w:rPr>
                <w:rFonts w:hint="eastAsia" w:ascii="黑体" w:eastAsia="黑体"/>
                <w:sz w:val="20"/>
                <w:szCs w:val="20"/>
              </w:rPr>
            </w:pPr>
          </w:p>
        </w:tc>
        <w:tc>
          <w:tcPr>
            <w:tcW w:w="1315" w:type="dxa"/>
            <w:tcBorders>
              <w:right w:val="single" w:color="auto" w:sz="6" w:space="0"/>
            </w:tcBorders>
            <w:noWrap w:val="0"/>
            <w:vAlign w:val="center"/>
          </w:tcPr>
          <w:p w14:paraId="4531D7FE">
            <w:pPr>
              <w:jc w:val="center"/>
              <w:rPr>
                <w:rFonts w:hint="eastAsia"/>
                <w:sz w:val="20"/>
                <w:szCs w:val="20"/>
              </w:rPr>
            </w:pPr>
          </w:p>
        </w:tc>
        <w:tc>
          <w:tcPr>
            <w:tcW w:w="1249" w:type="dxa"/>
            <w:tcBorders>
              <w:left w:val="single" w:color="auto" w:sz="6" w:space="0"/>
            </w:tcBorders>
            <w:noWrap w:val="0"/>
            <w:vAlign w:val="center"/>
          </w:tcPr>
          <w:p w14:paraId="6D53035E">
            <w:pPr>
              <w:jc w:val="center"/>
              <w:rPr>
                <w:rFonts w:hint="eastAsia"/>
                <w:sz w:val="20"/>
                <w:szCs w:val="20"/>
              </w:rPr>
            </w:pPr>
          </w:p>
        </w:tc>
        <w:tc>
          <w:tcPr>
            <w:tcW w:w="1251" w:type="dxa"/>
            <w:tcBorders>
              <w:left w:val="single" w:color="auto" w:sz="6" w:space="0"/>
            </w:tcBorders>
            <w:noWrap w:val="0"/>
            <w:vAlign w:val="center"/>
          </w:tcPr>
          <w:p w14:paraId="2E8C6467">
            <w:pPr>
              <w:jc w:val="center"/>
              <w:rPr>
                <w:rFonts w:hint="eastAsia"/>
                <w:sz w:val="20"/>
                <w:szCs w:val="20"/>
              </w:rPr>
            </w:pPr>
          </w:p>
        </w:tc>
        <w:tc>
          <w:tcPr>
            <w:tcW w:w="1250" w:type="dxa"/>
            <w:tcBorders>
              <w:right w:val="single" w:color="auto" w:sz="6" w:space="0"/>
            </w:tcBorders>
            <w:noWrap w:val="0"/>
            <w:vAlign w:val="center"/>
          </w:tcPr>
          <w:p w14:paraId="5EF49DB9">
            <w:pPr>
              <w:jc w:val="center"/>
              <w:rPr>
                <w:rFonts w:hint="eastAsia"/>
                <w:sz w:val="20"/>
                <w:szCs w:val="20"/>
              </w:rPr>
            </w:pPr>
          </w:p>
        </w:tc>
        <w:tc>
          <w:tcPr>
            <w:tcW w:w="1250" w:type="dxa"/>
            <w:noWrap w:val="0"/>
            <w:vAlign w:val="center"/>
          </w:tcPr>
          <w:p w14:paraId="67C0863B">
            <w:pPr>
              <w:jc w:val="center"/>
              <w:rPr>
                <w:rFonts w:hint="eastAsia"/>
                <w:sz w:val="20"/>
                <w:szCs w:val="20"/>
              </w:rPr>
            </w:pPr>
          </w:p>
        </w:tc>
        <w:tc>
          <w:tcPr>
            <w:tcW w:w="1250" w:type="dxa"/>
            <w:tcBorders>
              <w:right w:val="single" w:color="auto" w:sz="6" w:space="0"/>
            </w:tcBorders>
            <w:noWrap w:val="0"/>
            <w:vAlign w:val="center"/>
          </w:tcPr>
          <w:p w14:paraId="44A2F956">
            <w:pPr>
              <w:jc w:val="center"/>
              <w:rPr>
                <w:rFonts w:hint="eastAsia"/>
                <w:sz w:val="20"/>
                <w:szCs w:val="20"/>
              </w:rPr>
            </w:pPr>
          </w:p>
        </w:tc>
      </w:tr>
      <w:tr w14:paraId="0FEB6CB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66577E8">
            <w:pPr>
              <w:jc w:val="center"/>
              <w:rPr>
                <w:rFonts w:hint="eastAsia" w:ascii="黑体" w:eastAsia="黑体"/>
                <w:sz w:val="20"/>
                <w:szCs w:val="20"/>
              </w:rPr>
            </w:pPr>
          </w:p>
        </w:tc>
        <w:tc>
          <w:tcPr>
            <w:tcW w:w="1315" w:type="dxa"/>
            <w:tcBorders>
              <w:right w:val="single" w:color="auto" w:sz="6" w:space="0"/>
            </w:tcBorders>
            <w:noWrap w:val="0"/>
            <w:vAlign w:val="center"/>
          </w:tcPr>
          <w:p w14:paraId="2B48DE36">
            <w:pPr>
              <w:jc w:val="center"/>
              <w:rPr>
                <w:rFonts w:hint="eastAsia"/>
                <w:sz w:val="20"/>
                <w:szCs w:val="20"/>
              </w:rPr>
            </w:pPr>
          </w:p>
        </w:tc>
        <w:tc>
          <w:tcPr>
            <w:tcW w:w="1249" w:type="dxa"/>
            <w:tcBorders>
              <w:left w:val="single" w:color="auto" w:sz="6" w:space="0"/>
            </w:tcBorders>
            <w:noWrap w:val="0"/>
            <w:vAlign w:val="center"/>
          </w:tcPr>
          <w:p w14:paraId="381B188E">
            <w:pPr>
              <w:jc w:val="center"/>
              <w:rPr>
                <w:rFonts w:hint="eastAsia"/>
                <w:sz w:val="20"/>
                <w:szCs w:val="20"/>
              </w:rPr>
            </w:pPr>
          </w:p>
        </w:tc>
        <w:tc>
          <w:tcPr>
            <w:tcW w:w="1251" w:type="dxa"/>
            <w:tcBorders>
              <w:left w:val="single" w:color="auto" w:sz="6" w:space="0"/>
            </w:tcBorders>
            <w:noWrap w:val="0"/>
            <w:vAlign w:val="center"/>
          </w:tcPr>
          <w:p w14:paraId="092D1E74">
            <w:pPr>
              <w:jc w:val="center"/>
              <w:rPr>
                <w:rFonts w:hint="eastAsia"/>
                <w:sz w:val="20"/>
                <w:szCs w:val="20"/>
              </w:rPr>
            </w:pPr>
          </w:p>
        </w:tc>
        <w:tc>
          <w:tcPr>
            <w:tcW w:w="1250" w:type="dxa"/>
            <w:tcBorders>
              <w:right w:val="single" w:color="auto" w:sz="6" w:space="0"/>
            </w:tcBorders>
            <w:noWrap w:val="0"/>
            <w:vAlign w:val="center"/>
          </w:tcPr>
          <w:p w14:paraId="2E6D118C">
            <w:pPr>
              <w:jc w:val="center"/>
              <w:rPr>
                <w:rFonts w:hint="eastAsia"/>
                <w:sz w:val="20"/>
                <w:szCs w:val="20"/>
              </w:rPr>
            </w:pPr>
          </w:p>
        </w:tc>
        <w:tc>
          <w:tcPr>
            <w:tcW w:w="1250" w:type="dxa"/>
            <w:noWrap w:val="0"/>
            <w:vAlign w:val="center"/>
          </w:tcPr>
          <w:p w14:paraId="00D95D16">
            <w:pPr>
              <w:jc w:val="center"/>
              <w:rPr>
                <w:rFonts w:hint="eastAsia"/>
                <w:sz w:val="20"/>
                <w:szCs w:val="20"/>
              </w:rPr>
            </w:pPr>
          </w:p>
        </w:tc>
        <w:tc>
          <w:tcPr>
            <w:tcW w:w="1250" w:type="dxa"/>
            <w:tcBorders>
              <w:right w:val="single" w:color="auto" w:sz="6" w:space="0"/>
            </w:tcBorders>
            <w:noWrap w:val="0"/>
            <w:vAlign w:val="center"/>
          </w:tcPr>
          <w:p w14:paraId="3A685EBE">
            <w:pPr>
              <w:jc w:val="center"/>
              <w:rPr>
                <w:rFonts w:hint="eastAsia"/>
                <w:sz w:val="20"/>
                <w:szCs w:val="20"/>
              </w:rPr>
            </w:pPr>
          </w:p>
        </w:tc>
      </w:tr>
      <w:tr w14:paraId="1E628FE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E535998">
            <w:pPr>
              <w:jc w:val="center"/>
              <w:rPr>
                <w:rFonts w:hint="eastAsia" w:ascii="黑体" w:eastAsia="黑体"/>
                <w:sz w:val="20"/>
                <w:szCs w:val="20"/>
              </w:rPr>
            </w:pPr>
          </w:p>
        </w:tc>
        <w:tc>
          <w:tcPr>
            <w:tcW w:w="1315" w:type="dxa"/>
            <w:tcBorders>
              <w:right w:val="single" w:color="auto" w:sz="6" w:space="0"/>
            </w:tcBorders>
            <w:noWrap w:val="0"/>
            <w:vAlign w:val="center"/>
          </w:tcPr>
          <w:p w14:paraId="3E75B053">
            <w:pPr>
              <w:jc w:val="center"/>
              <w:rPr>
                <w:rFonts w:hint="eastAsia"/>
                <w:sz w:val="20"/>
                <w:szCs w:val="20"/>
              </w:rPr>
            </w:pPr>
          </w:p>
        </w:tc>
        <w:tc>
          <w:tcPr>
            <w:tcW w:w="1249" w:type="dxa"/>
            <w:tcBorders>
              <w:left w:val="single" w:color="auto" w:sz="6" w:space="0"/>
            </w:tcBorders>
            <w:noWrap w:val="0"/>
            <w:vAlign w:val="center"/>
          </w:tcPr>
          <w:p w14:paraId="66453441">
            <w:pPr>
              <w:jc w:val="center"/>
              <w:rPr>
                <w:rFonts w:hint="eastAsia"/>
                <w:sz w:val="20"/>
                <w:szCs w:val="20"/>
              </w:rPr>
            </w:pPr>
          </w:p>
        </w:tc>
        <w:tc>
          <w:tcPr>
            <w:tcW w:w="1251" w:type="dxa"/>
            <w:tcBorders>
              <w:left w:val="single" w:color="auto" w:sz="6" w:space="0"/>
            </w:tcBorders>
            <w:noWrap w:val="0"/>
            <w:vAlign w:val="center"/>
          </w:tcPr>
          <w:p w14:paraId="09A08B91">
            <w:pPr>
              <w:jc w:val="center"/>
              <w:rPr>
                <w:rFonts w:hint="eastAsia"/>
                <w:sz w:val="20"/>
                <w:szCs w:val="20"/>
              </w:rPr>
            </w:pPr>
          </w:p>
        </w:tc>
        <w:tc>
          <w:tcPr>
            <w:tcW w:w="1250" w:type="dxa"/>
            <w:tcBorders>
              <w:right w:val="single" w:color="auto" w:sz="6" w:space="0"/>
            </w:tcBorders>
            <w:noWrap w:val="0"/>
            <w:vAlign w:val="center"/>
          </w:tcPr>
          <w:p w14:paraId="10EE2470">
            <w:pPr>
              <w:jc w:val="center"/>
              <w:rPr>
                <w:rFonts w:hint="eastAsia"/>
                <w:sz w:val="20"/>
                <w:szCs w:val="20"/>
              </w:rPr>
            </w:pPr>
          </w:p>
        </w:tc>
        <w:tc>
          <w:tcPr>
            <w:tcW w:w="1250" w:type="dxa"/>
            <w:noWrap w:val="0"/>
            <w:vAlign w:val="center"/>
          </w:tcPr>
          <w:p w14:paraId="29D7D192">
            <w:pPr>
              <w:jc w:val="center"/>
              <w:rPr>
                <w:rFonts w:hint="eastAsia"/>
                <w:sz w:val="20"/>
                <w:szCs w:val="20"/>
              </w:rPr>
            </w:pPr>
          </w:p>
        </w:tc>
        <w:tc>
          <w:tcPr>
            <w:tcW w:w="1250" w:type="dxa"/>
            <w:tcBorders>
              <w:right w:val="single" w:color="auto" w:sz="6" w:space="0"/>
            </w:tcBorders>
            <w:noWrap w:val="0"/>
            <w:vAlign w:val="center"/>
          </w:tcPr>
          <w:p w14:paraId="7F9A2089">
            <w:pPr>
              <w:jc w:val="center"/>
              <w:rPr>
                <w:rFonts w:hint="eastAsia"/>
                <w:sz w:val="20"/>
                <w:szCs w:val="20"/>
              </w:rPr>
            </w:pPr>
          </w:p>
        </w:tc>
      </w:tr>
      <w:tr w14:paraId="6E6DD93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E3E526D">
            <w:pPr>
              <w:jc w:val="center"/>
              <w:rPr>
                <w:rFonts w:hint="eastAsia" w:ascii="黑体" w:eastAsia="黑体"/>
                <w:sz w:val="20"/>
                <w:szCs w:val="20"/>
              </w:rPr>
            </w:pPr>
          </w:p>
        </w:tc>
        <w:tc>
          <w:tcPr>
            <w:tcW w:w="1315" w:type="dxa"/>
            <w:tcBorders>
              <w:right w:val="single" w:color="auto" w:sz="6" w:space="0"/>
            </w:tcBorders>
            <w:noWrap w:val="0"/>
            <w:vAlign w:val="center"/>
          </w:tcPr>
          <w:p w14:paraId="2059546C">
            <w:pPr>
              <w:jc w:val="center"/>
              <w:rPr>
                <w:rFonts w:hint="eastAsia"/>
                <w:sz w:val="20"/>
                <w:szCs w:val="20"/>
              </w:rPr>
            </w:pPr>
          </w:p>
        </w:tc>
        <w:tc>
          <w:tcPr>
            <w:tcW w:w="1249" w:type="dxa"/>
            <w:tcBorders>
              <w:left w:val="single" w:color="auto" w:sz="6" w:space="0"/>
            </w:tcBorders>
            <w:noWrap w:val="0"/>
            <w:vAlign w:val="center"/>
          </w:tcPr>
          <w:p w14:paraId="1CBFA376">
            <w:pPr>
              <w:jc w:val="center"/>
              <w:rPr>
                <w:rFonts w:hint="eastAsia"/>
                <w:sz w:val="20"/>
                <w:szCs w:val="20"/>
              </w:rPr>
            </w:pPr>
          </w:p>
        </w:tc>
        <w:tc>
          <w:tcPr>
            <w:tcW w:w="1251" w:type="dxa"/>
            <w:tcBorders>
              <w:left w:val="single" w:color="auto" w:sz="6" w:space="0"/>
            </w:tcBorders>
            <w:noWrap w:val="0"/>
            <w:vAlign w:val="center"/>
          </w:tcPr>
          <w:p w14:paraId="51C784A8">
            <w:pPr>
              <w:jc w:val="center"/>
              <w:rPr>
                <w:rFonts w:hint="eastAsia"/>
                <w:sz w:val="20"/>
                <w:szCs w:val="20"/>
              </w:rPr>
            </w:pPr>
          </w:p>
        </w:tc>
        <w:tc>
          <w:tcPr>
            <w:tcW w:w="1250" w:type="dxa"/>
            <w:tcBorders>
              <w:right w:val="single" w:color="auto" w:sz="6" w:space="0"/>
            </w:tcBorders>
            <w:noWrap w:val="0"/>
            <w:vAlign w:val="center"/>
          </w:tcPr>
          <w:p w14:paraId="5C587B9F">
            <w:pPr>
              <w:jc w:val="center"/>
              <w:rPr>
                <w:rFonts w:hint="eastAsia"/>
                <w:sz w:val="20"/>
                <w:szCs w:val="20"/>
              </w:rPr>
            </w:pPr>
          </w:p>
        </w:tc>
        <w:tc>
          <w:tcPr>
            <w:tcW w:w="1250" w:type="dxa"/>
            <w:noWrap w:val="0"/>
            <w:vAlign w:val="center"/>
          </w:tcPr>
          <w:p w14:paraId="737D7FA1">
            <w:pPr>
              <w:jc w:val="center"/>
              <w:rPr>
                <w:rFonts w:hint="eastAsia"/>
                <w:sz w:val="20"/>
                <w:szCs w:val="20"/>
              </w:rPr>
            </w:pPr>
          </w:p>
        </w:tc>
        <w:tc>
          <w:tcPr>
            <w:tcW w:w="1250" w:type="dxa"/>
            <w:tcBorders>
              <w:right w:val="single" w:color="auto" w:sz="6" w:space="0"/>
            </w:tcBorders>
            <w:noWrap w:val="0"/>
            <w:vAlign w:val="center"/>
          </w:tcPr>
          <w:p w14:paraId="1E1E8322">
            <w:pPr>
              <w:jc w:val="center"/>
              <w:rPr>
                <w:rFonts w:hint="eastAsia"/>
                <w:sz w:val="20"/>
                <w:szCs w:val="20"/>
              </w:rPr>
            </w:pPr>
          </w:p>
        </w:tc>
      </w:tr>
      <w:tr w14:paraId="7B801DA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742FB05">
            <w:pPr>
              <w:jc w:val="center"/>
              <w:rPr>
                <w:rFonts w:hint="eastAsia" w:ascii="黑体" w:eastAsia="黑体"/>
                <w:szCs w:val="21"/>
              </w:rPr>
            </w:pPr>
          </w:p>
        </w:tc>
        <w:tc>
          <w:tcPr>
            <w:tcW w:w="1315" w:type="dxa"/>
            <w:tcBorders>
              <w:right w:val="single" w:color="auto" w:sz="6" w:space="0"/>
            </w:tcBorders>
            <w:noWrap w:val="0"/>
            <w:vAlign w:val="center"/>
          </w:tcPr>
          <w:p w14:paraId="20725755">
            <w:pPr>
              <w:jc w:val="center"/>
              <w:rPr>
                <w:rFonts w:hint="eastAsia"/>
                <w:szCs w:val="21"/>
              </w:rPr>
            </w:pPr>
          </w:p>
        </w:tc>
        <w:tc>
          <w:tcPr>
            <w:tcW w:w="1249" w:type="dxa"/>
            <w:tcBorders>
              <w:left w:val="single" w:color="auto" w:sz="6" w:space="0"/>
            </w:tcBorders>
            <w:noWrap w:val="0"/>
            <w:vAlign w:val="center"/>
          </w:tcPr>
          <w:p w14:paraId="736D0895">
            <w:pPr>
              <w:jc w:val="center"/>
              <w:rPr>
                <w:rFonts w:hint="eastAsia"/>
                <w:szCs w:val="21"/>
              </w:rPr>
            </w:pPr>
          </w:p>
        </w:tc>
        <w:tc>
          <w:tcPr>
            <w:tcW w:w="1251" w:type="dxa"/>
            <w:tcBorders>
              <w:left w:val="single" w:color="auto" w:sz="6" w:space="0"/>
            </w:tcBorders>
            <w:noWrap w:val="0"/>
            <w:vAlign w:val="center"/>
          </w:tcPr>
          <w:p w14:paraId="4AE851B4">
            <w:pPr>
              <w:jc w:val="center"/>
              <w:rPr>
                <w:rFonts w:hint="eastAsia"/>
                <w:szCs w:val="21"/>
              </w:rPr>
            </w:pPr>
          </w:p>
        </w:tc>
        <w:tc>
          <w:tcPr>
            <w:tcW w:w="1250" w:type="dxa"/>
            <w:tcBorders>
              <w:right w:val="single" w:color="auto" w:sz="6" w:space="0"/>
            </w:tcBorders>
            <w:noWrap w:val="0"/>
            <w:vAlign w:val="center"/>
          </w:tcPr>
          <w:p w14:paraId="7D8382AF">
            <w:pPr>
              <w:jc w:val="center"/>
              <w:rPr>
                <w:rFonts w:hint="eastAsia"/>
                <w:szCs w:val="21"/>
              </w:rPr>
            </w:pPr>
          </w:p>
        </w:tc>
        <w:tc>
          <w:tcPr>
            <w:tcW w:w="1250" w:type="dxa"/>
            <w:noWrap w:val="0"/>
            <w:vAlign w:val="center"/>
          </w:tcPr>
          <w:p w14:paraId="0A977A4D">
            <w:pPr>
              <w:jc w:val="center"/>
              <w:rPr>
                <w:rFonts w:hint="eastAsia"/>
                <w:szCs w:val="21"/>
              </w:rPr>
            </w:pPr>
          </w:p>
        </w:tc>
        <w:tc>
          <w:tcPr>
            <w:tcW w:w="1250" w:type="dxa"/>
            <w:tcBorders>
              <w:right w:val="single" w:color="auto" w:sz="6" w:space="0"/>
            </w:tcBorders>
            <w:noWrap w:val="0"/>
            <w:vAlign w:val="center"/>
          </w:tcPr>
          <w:p w14:paraId="03B5427E">
            <w:pPr>
              <w:jc w:val="center"/>
              <w:rPr>
                <w:rFonts w:hint="eastAsia"/>
                <w:szCs w:val="21"/>
              </w:rPr>
            </w:pPr>
          </w:p>
        </w:tc>
      </w:tr>
    </w:tbl>
    <w:p w14:paraId="069859CA">
      <w:pPr>
        <w:spacing w:line="420" w:lineRule="exact"/>
        <w:jc w:val="center"/>
        <w:rPr>
          <w:rFonts w:hint="eastAsia" w:ascii="楷体_GB2312" w:eastAsia="楷体_GB2312"/>
        </w:rPr>
      </w:pPr>
    </w:p>
    <w:p w14:paraId="36967DE4">
      <w:pPr>
        <w:spacing w:line="420" w:lineRule="exact"/>
        <w:jc w:val="center"/>
        <w:rPr>
          <w:rFonts w:hint="eastAsia" w:ascii="楷体_GB2312" w:eastAsia="楷体_GB2312"/>
        </w:rPr>
      </w:pPr>
    </w:p>
    <w:p w14:paraId="2F9A03A5">
      <w:pPr>
        <w:spacing w:line="420" w:lineRule="exact"/>
        <w:jc w:val="center"/>
        <w:rPr>
          <w:rFonts w:hint="eastAsia" w:ascii="楷体_GB2312" w:eastAsia="楷体_GB2312"/>
        </w:rPr>
      </w:pPr>
      <w:r>
        <w:rPr>
          <w:rFonts w:hint="eastAsia" w:ascii="宋体" w:hAnsi="宋体"/>
          <w:szCs w:val="21"/>
        </w:rPr>
        <w:t>评标委员会成员签名：                                     日期:     年     月     日</w:t>
      </w:r>
    </w:p>
    <w:p w14:paraId="3B31CBF5">
      <w:pPr>
        <w:spacing w:line="420" w:lineRule="exact"/>
        <w:rPr>
          <w:rFonts w:hint="eastAsia" w:ascii="黑体" w:eastAsia="黑体"/>
          <w:szCs w:val="21"/>
        </w:rPr>
      </w:pPr>
    </w:p>
    <w:p w14:paraId="5E785B8B">
      <w:pPr>
        <w:spacing w:line="420" w:lineRule="exact"/>
        <w:rPr>
          <w:rFonts w:hint="eastAsia" w:ascii="楷体_GB2312" w:eastAsia="楷体_GB2312"/>
        </w:rPr>
      </w:pPr>
    </w:p>
    <w:p w14:paraId="20723730">
      <w:pPr>
        <w:spacing w:line="420" w:lineRule="exact"/>
        <w:rPr>
          <w:rFonts w:hint="eastAsia" w:ascii="楷体_GB2312" w:eastAsia="楷体_GB2312"/>
        </w:rPr>
      </w:pPr>
    </w:p>
    <w:p w14:paraId="499A30DF">
      <w:pPr>
        <w:spacing w:line="420" w:lineRule="exact"/>
        <w:rPr>
          <w:rFonts w:hint="eastAsia" w:ascii="楷体_GB2312" w:eastAsia="楷体_GB2312"/>
        </w:rPr>
      </w:pPr>
    </w:p>
    <w:p w14:paraId="7A27DC30">
      <w:pPr>
        <w:spacing w:line="420" w:lineRule="exact"/>
        <w:rPr>
          <w:rFonts w:hint="eastAsia" w:ascii="楷体_GB2312" w:eastAsia="楷体_GB2312"/>
        </w:rPr>
      </w:pPr>
    </w:p>
    <w:p w14:paraId="1CCB5DB5">
      <w:pPr>
        <w:spacing w:line="420" w:lineRule="exact"/>
        <w:rPr>
          <w:rFonts w:hint="eastAsia" w:ascii="楷体_GB2312" w:eastAsia="楷体_GB2312"/>
        </w:rPr>
      </w:pPr>
    </w:p>
    <w:p w14:paraId="55FF57A2">
      <w:pPr>
        <w:spacing w:line="420" w:lineRule="exact"/>
        <w:rPr>
          <w:rFonts w:hint="eastAsia" w:ascii="楷体_GB2312" w:eastAsia="楷体_GB2312"/>
        </w:rPr>
      </w:pPr>
    </w:p>
    <w:p w14:paraId="2B5B1BFD">
      <w:pPr>
        <w:spacing w:line="420" w:lineRule="exact"/>
        <w:rPr>
          <w:rFonts w:hint="eastAsia" w:ascii="楷体_GB2312" w:eastAsia="楷体_GB2312"/>
        </w:rPr>
      </w:pPr>
    </w:p>
    <w:p w14:paraId="0F4B457A">
      <w:pPr>
        <w:pStyle w:val="20"/>
        <w:rPr>
          <w:rFonts w:hint="eastAsia"/>
        </w:rPr>
      </w:pPr>
      <w:bookmarkStart w:id="446" w:name="_Toc108513673"/>
      <w:r>
        <w:rPr>
          <w:rFonts w:hint="eastAsia"/>
        </w:rPr>
        <w:t>附表C-5：清标报告-发包人提供材料和工程设备符合性检查</w:t>
      </w:r>
      <w:bookmarkEnd w:id="446"/>
    </w:p>
    <w:p w14:paraId="4E682989">
      <w:pPr>
        <w:spacing w:before="240" w:beforeLines="100" w:after="240" w:afterLines="100"/>
        <w:jc w:val="center"/>
        <w:rPr>
          <w:rFonts w:hint="eastAsia" w:ascii="黑体" w:eastAsia="黑体"/>
          <w:sz w:val="32"/>
          <w:szCs w:val="32"/>
        </w:rPr>
      </w:pPr>
    </w:p>
    <w:p w14:paraId="3DF90919">
      <w:pPr>
        <w:spacing w:before="240" w:beforeLines="100" w:after="240" w:afterLines="100"/>
        <w:jc w:val="center"/>
        <w:rPr>
          <w:rFonts w:hint="eastAsia" w:ascii="黑体" w:eastAsia="黑体"/>
          <w:sz w:val="32"/>
          <w:szCs w:val="32"/>
        </w:rPr>
      </w:pPr>
      <w:r>
        <w:rPr>
          <w:rFonts w:hint="eastAsia" w:ascii="黑体" w:eastAsia="黑体"/>
          <w:sz w:val="32"/>
          <w:szCs w:val="32"/>
        </w:rPr>
        <w:t>清标报告-发包人提供材料和工程设备符合性检查</w:t>
      </w:r>
    </w:p>
    <w:p w14:paraId="629886C5">
      <w:pPr>
        <w:rPr>
          <w:rFonts w:hint="eastAsia" w:ascii="宋体" w:hAnsi="宋体"/>
          <w:szCs w:val="21"/>
        </w:rPr>
      </w:pPr>
      <w:r>
        <w:rPr>
          <w:rFonts w:hint="eastAsia" w:ascii="宋体" w:hAnsi="宋体"/>
          <w:szCs w:val="21"/>
        </w:rPr>
        <w:t>投标人名称：</w:t>
      </w:r>
    </w:p>
    <w:p w14:paraId="57A7F003">
      <w:pPr>
        <w:spacing w:line="420" w:lineRule="exact"/>
        <w:jc w:val="center"/>
        <w:rPr>
          <w:rFonts w:hint="eastAsia" w:ascii="楷体_GB2312" w:eastAsia="楷体_GB2312"/>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315"/>
        <w:gridCol w:w="1249"/>
        <w:gridCol w:w="1251"/>
        <w:gridCol w:w="1250"/>
        <w:gridCol w:w="1250"/>
        <w:gridCol w:w="1250"/>
      </w:tblGrid>
      <w:tr w14:paraId="2877BDE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tcBorders>
            <w:noWrap w:val="0"/>
            <w:vAlign w:val="center"/>
          </w:tcPr>
          <w:p w14:paraId="1CF2121F">
            <w:pPr>
              <w:jc w:val="center"/>
              <w:rPr>
                <w:rFonts w:hint="eastAsia"/>
                <w:sz w:val="20"/>
                <w:szCs w:val="20"/>
              </w:rPr>
            </w:pPr>
            <w:r>
              <w:rPr>
                <w:rFonts w:hint="eastAsia"/>
                <w:sz w:val="20"/>
                <w:szCs w:val="20"/>
              </w:rPr>
              <w:t>建设项目名称</w:t>
            </w:r>
          </w:p>
        </w:tc>
        <w:tc>
          <w:tcPr>
            <w:tcW w:w="5001" w:type="dxa"/>
            <w:gridSpan w:val="4"/>
            <w:tcBorders>
              <w:top w:val="single" w:color="auto" w:sz="6" w:space="0"/>
            </w:tcBorders>
            <w:noWrap w:val="0"/>
            <w:vAlign w:val="center"/>
          </w:tcPr>
          <w:p w14:paraId="69D9A1FB">
            <w:pPr>
              <w:jc w:val="center"/>
              <w:rPr>
                <w:rFonts w:hint="eastAsia"/>
                <w:sz w:val="20"/>
                <w:szCs w:val="20"/>
              </w:rPr>
            </w:pPr>
          </w:p>
        </w:tc>
      </w:tr>
      <w:tr w14:paraId="02D32E3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7"/>
            <w:tcBorders>
              <w:top w:val="single" w:color="auto" w:sz="6" w:space="0"/>
            </w:tcBorders>
            <w:noWrap w:val="0"/>
            <w:vAlign w:val="center"/>
          </w:tcPr>
          <w:p w14:paraId="751C7E36">
            <w:pPr>
              <w:jc w:val="center"/>
              <w:rPr>
                <w:rFonts w:hint="eastAsia"/>
                <w:b/>
                <w:sz w:val="20"/>
                <w:szCs w:val="20"/>
              </w:rPr>
            </w:pPr>
            <w:r>
              <w:rPr>
                <w:rFonts w:hint="eastAsia"/>
                <w:b/>
                <w:sz w:val="20"/>
                <w:szCs w:val="20"/>
              </w:rPr>
              <w:t>五、发包人提供材料和工程设备符合性检查</w:t>
            </w:r>
          </w:p>
        </w:tc>
      </w:tr>
      <w:tr w14:paraId="4E63725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9CD1595">
            <w:pPr>
              <w:jc w:val="center"/>
              <w:rPr>
                <w:rFonts w:hint="eastAsia"/>
                <w:sz w:val="20"/>
                <w:szCs w:val="20"/>
              </w:rPr>
            </w:pPr>
            <w:r>
              <w:rPr>
                <w:rFonts w:hint="eastAsia"/>
                <w:sz w:val="20"/>
                <w:szCs w:val="20"/>
              </w:rPr>
              <w:t>项目名称</w:t>
            </w:r>
          </w:p>
        </w:tc>
        <w:tc>
          <w:tcPr>
            <w:tcW w:w="1315" w:type="dxa"/>
            <w:tcBorders>
              <w:right w:val="single" w:color="auto" w:sz="6" w:space="0"/>
            </w:tcBorders>
            <w:noWrap w:val="0"/>
            <w:vAlign w:val="center"/>
          </w:tcPr>
          <w:p w14:paraId="03992364">
            <w:pPr>
              <w:jc w:val="center"/>
              <w:rPr>
                <w:rFonts w:hint="eastAsia"/>
                <w:sz w:val="20"/>
                <w:szCs w:val="20"/>
              </w:rPr>
            </w:pPr>
            <w:r>
              <w:rPr>
                <w:rFonts w:hint="eastAsia"/>
                <w:sz w:val="20"/>
                <w:szCs w:val="20"/>
              </w:rPr>
              <w:t>材料（工程设备）名称、规格、型号错误</w:t>
            </w:r>
          </w:p>
        </w:tc>
        <w:tc>
          <w:tcPr>
            <w:tcW w:w="1249" w:type="dxa"/>
            <w:tcBorders>
              <w:left w:val="single" w:color="auto" w:sz="6" w:space="0"/>
            </w:tcBorders>
            <w:noWrap w:val="0"/>
            <w:vAlign w:val="center"/>
          </w:tcPr>
          <w:p w14:paraId="666D37CE">
            <w:pPr>
              <w:jc w:val="center"/>
              <w:rPr>
                <w:rFonts w:hint="eastAsia"/>
                <w:sz w:val="20"/>
                <w:szCs w:val="20"/>
              </w:rPr>
            </w:pPr>
            <w:r>
              <w:rPr>
                <w:rFonts w:hint="eastAsia"/>
                <w:sz w:val="20"/>
                <w:szCs w:val="20"/>
              </w:rPr>
              <w:t>单位</w:t>
            </w:r>
          </w:p>
          <w:p w14:paraId="5482D236">
            <w:pPr>
              <w:jc w:val="center"/>
              <w:rPr>
                <w:rFonts w:hint="eastAsia"/>
                <w:sz w:val="20"/>
                <w:szCs w:val="20"/>
              </w:rPr>
            </w:pPr>
            <w:r>
              <w:rPr>
                <w:rFonts w:hint="eastAsia"/>
                <w:sz w:val="20"/>
                <w:szCs w:val="20"/>
              </w:rPr>
              <w:t>错误</w:t>
            </w:r>
          </w:p>
        </w:tc>
        <w:tc>
          <w:tcPr>
            <w:tcW w:w="1251" w:type="dxa"/>
            <w:tcBorders>
              <w:left w:val="single" w:color="auto" w:sz="6" w:space="0"/>
            </w:tcBorders>
            <w:noWrap w:val="0"/>
            <w:vAlign w:val="center"/>
          </w:tcPr>
          <w:p w14:paraId="1F0ECBD4">
            <w:pPr>
              <w:jc w:val="center"/>
              <w:rPr>
                <w:rFonts w:hint="eastAsia"/>
                <w:sz w:val="20"/>
                <w:szCs w:val="20"/>
              </w:rPr>
            </w:pPr>
            <w:r>
              <w:rPr>
                <w:rFonts w:hint="eastAsia"/>
                <w:sz w:val="20"/>
                <w:szCs w:val="20"/>
              </w:rPr>
              <w:t>数量</w:t>
            </w:r>
          </w:p>
          <w:p w14:paraId="022C1880">
            <w:pPr>
              <w:jc w:val="center"/>
              <w:rPr>
                <w:rFonts w:hint="eastAsia"/>
                <w:sz w:val="20"/>
                <w:szCs w:val="20"/>
              </w:rPr>
            </w:pPr>
            <w:r>
              <w:rPr>
                <w:rFonts w:hint="eastAsia"/>
                <w:sz w:val="20"/>
                <w:szCs w:val="20"/>
              </w:rPr>
              <w:t>错误</w:t>
            </w:r>
          </w:p>
        </w:tc>
        <w:tc>
          <w:tcPr>
            <w:tcW w:w="1250" w:type="dxa"/>
            <w:tcBorders>
              <w:right w:val="single" w:color="auto" w:sz="6" w:space="0"/>
            </w:tcBorders>
            <w:noWrap w:val="0"/>
            <w:vAlign w:val="center"/>
          </w:tcPr>
          <w:p w14:paraId="6FD95728">
            <w:pPr>
              <w:jc w:val="center"/>
              <w:rPr>
                <w:rFonts w:hint="eastAsia"/>
                <w:sz w:val="20"/>
                <w:szCs w:val="20"/>
              </w:rPr>
            </w:pPr>
            <w:r>
              <w:rPr>
                <w:rFonts w:hint="eastAsia"/>
                <w:sz w:val="20"/>
                <w:szCs w:val="20"/>
              </w:rPr>
              <w:t>单价</w:t>
            </w:r>
          </w:p>
          <w:p w14:paraId="620E10D1">
            <w:pPr>
              <w:jc w:val="center"/>
              <w:rPr>
                <w:rFonts w:hint="eastAsia"/>
                <w:sz w:val="20"/>
                <w:szCs w:val="20"/>
              </w:rPr>
            </w:pPr>
            <w:r>
              <w:rPr>
                <w:rFonts w:hint="eastAsia"/>
                <w:sz w:val="20"/>
                <w:szCs w:val="20"/>
              </w:rPr>
              <w:t>错误</w:t>
            </w:r>
          </w:p>
        </w:tc>
        <w:tc>
          <w:tcPr>
            <w:tcW w:w="1250" w:type="dxa"/>
            <w:noWrap w:val="0"/>
            <w:vAlign w:val="center"/>
          </w:tcPr>
          <w:p w14:paraId="15E78B60">
            <w:pPr>
              <w:jc w:val="center"/>
              <w:rPr>
                <w:rFonts w:hint="eastAsia"/>
                <w:sz w:val="20"/>
                <w:szCs w:val="20"/>
              </w:rPr>
            </w:pPr>
            <w:r>
              <w:rPr>
                <w:rFonts w:hint="eastAsia"/>
                <w:sz w:val="20"/>
                <w:szCs w:val="20"/>
              </w:rPr>
              <w:t>未填报</w:t>
            </w:r>
          </w:p>
        </w:tc>
        <w:tc>
          <w:tcPr>
            <w:tcW w:w="1250" w:type="dxa"/>
            <w:tcBorders>
              <w:right w:val="single" w:color="auto" w:sz="6" w:space="0"/>
            </w:tcBorders>
            <w:noWrap w:val="0"/>
            <w:vAlign w:val="center"/>
          </w:tcPr>
          <w:p w14:paraId="3BEC1C83">
            <w:pPr>
              <w:jc w:val="center"/>
              <w:rPr>
                <w:rFonts w:hint="eastAsia"/>
                <w:szCs w:val="21"/>
              </w:rPr>
            </w:pPr>
            <w:r>
              <w:rPr>
                <w:rFonts w:hint="eastAsia"/>
                <w:sz w:val="20"/>
                <w:szCs w:val="20"/>
              </w:rPr>
              <w:t>多项</w:t>
            </w:r>
          </w:p>
        </w:tc>
      </w:tr>
      <w:tr w14:paraId="0F95955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026E0367">
            <w:pPr>
              <w:jc w:val="center"/>
              <w:rPr>
                <w:rFonts w:hint="eastAsia" w:ascii="黑体" w:eastAsia="黑体"/>
                <w:sz w:val="20"/>
                <w:szCs w:val="20"/>
              </w:rPr>
            </w:pPr>
          </w:p>
        </w:tc>
        <w:tc>
          <w:tcPr>
            <w:tcW w:w="1315" w:type="dxa"/>
            <w:tcBorders>
              <w:right w:val="single" w:color="auto" w:sz="6" w:space="0"/>
            </w:tcBorders>
            <w:noWrap w:val="0"/>
            <w:vAlign w:val="center"/>
          </w:tcPr>
          <w:p w14:paraId="0F17CF9A">
            <w:pPr>
              <w:jc w:val="center"/>
              <w:rPr>
                <w:rFonts w:hint="eastAsia"/>
                <w:sz w:val="20"/>
                <w:szCs w:val="20"/>
              </w:rPr>
            </w:pPr>
          </w:p>
        </w:tc>
        <w:tc>
          <w:tcPr>
            <w:tcW w:w="1249" w:type="dxa"/>
            <w:tcBorders>
              <w:left w:val="single" w:color="auto" w:sz="6" w:space="0"/>
            </w:tcBorders>
            <w:noWrap w:val="0"/>
            <w:vAlign w:val="center"/>
          </w:tcPr>
          <w:p w14:paraId="4A5768F7">
            <w:pPr>
              <w:jc w:val="center"/>
              <w:rPr>
                <w:rFonts w:hint="eastAsia"/>
                <w:sz w:val="20"/>
                <w:szCs w:val="20"/>
              </w:rPr>
            </w:pPr>
          </w:p>
        </w:tc>
        <w:tc>
          <w:tcPr>
            <w:tcW w:w="1251" w:type="dxa"/>
            <w:tcBorders>
              <w:left w:val="single" w:color="auto" w:sz="6" w:space="0"/>
            </w:tcBorders>
            <w:noWrap w:val="0"/>
            <w:vAlign w:val="center"/>
          </w:tcPr>
          <w:p w14:paraId="341A4BFC">
            <w:pPr>
              <w:jc w:val="center"/>
              <w:rPr>
                <w:rFonts w:hint="eastAsia"/>
                <w:sz w:val="20"/>
                <w:szCs w:val="20"/>
              </w:rPr>
            </w:pPr>
          </w:p>
        </w:tc>
        <w:tc>
          <w:tcPr>
            <w:tcW w:w="1250" w:type="dxa"/>
            <w:tcBorders>
              <w:right w:val="single" w:color="auto" w:sz="6" w:space="0"/>
            </w:tcBorders>
            <w:noWrap w:val="0"/>
            <w:vAlign w:val="center"/>
          </w:tcPr>
          <w:p w14:paraId="59596BA4">
            <w:pPr>
              <w:jc w:val="center"/>
              <w:rPr>
                <w:rFonts w:hint="eastAsia"/>
                <w:sz w:val="20"/>
                <w:szCs w:val="20"/>
              </w:rPr>
            </w:pPr>
          </w:p>
        </w:tc>
        <w:tc>
          <w:tcPr>
            <w:tcW w:w="1250" w:type="dxa"/>
            <w:noWrap w:val="0"/>
            <w:vAlign w:val="center"/>
          </w:tcPr>
          <w:p w14:paraId="2E04D0F9">
            <w:pPr>
              <w:jc w:val="center"/>
              <w:rPr>
                <w:rFonts w:hint="eastAsia"/>
                <w:sz w:val="20"/>
                <w:szCs w:val="20"/>
              </w:rPr>
            </w:pPr>
          </w:p>
        </w:tc>
        <w:tc>
          <w:tcPr>
            <w:tcW w:w="1250" w:type="dxa"/>
            <w:tcBorders>
              <w:right w:val="single" w:color="auto" w:sz="6" w:space="0"/>
            </w:tcBorders>
            <w:noWrap w:val="0"/>
            <w:vAlign w:val="center"/>
          </w:tcPr>
          <w:p w14:paraId="519C1579">
            <w:pPr>
              <w:jc w:val="center"/>
              <w:rPr>
                <w:rFonts w:hint="eastAsia"/>
                <w:sz w:val="20"/>
                <w:szCs w:val="20"/>
              </w:rPr>
            </w:pPr>
          </w:p>
        </w:tc>
      </w:tr>
      <w:tr w14:paraId="1E0F929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53E6A37">
            <w:pPr>
              <w:jc w:val="center"/>
              <w:rPr>
                <w:rFonts w:hint="eastAsia" w:ascii="黑体" w:eastAsia="黑体"/>
                <w:szCs w:val="21"/>
              </w:rPr>
            </w:pPr>
          </w:p>
        </w:tc>
        <w:tc>
          <w:tcPr>
            <w:tcW w:w="1315" w:type="dxa"/>
            <w:tcBorders>
              <w:right w:val="single" w:color="auto" w:sz="6" w:space="0"/>
            </w:tcBorders>
            <w:noWrap w:val="0"/>
            <w:vAlign w:val="center"/>
          </w:tcPr>
          <w:p w14:paraId="6A22385E">
            <w:pPr>
              <w:jc w:val="center"/>
              <w:rPr>
                <w:rFonts w:hint="eastAsia"/>
                <w:szCs w:val="21"/>
              </w:rPr>
            </w:pPr>
          </w:p>
        </w:tc>
        <w:tc>
          <w:tcPr>
            <w:tcW w:w="1249" w:type="dxa"/>
            <w:tcBorders>
              <w:left w:val="single" w:color="auto" w:sz="6" w:space="0"/>
            </w:tcBorders>
            <w:noWrap w:val="0"/>
            <w:vAlign w:val="center"/>
          </w:tcPr>
          <w:p w14:paraId="41BC0FFD">
            <w:pPr>
              <w:jc w:val="center"/>
              <w:rPr>
                <w:rFonts w:hint="eastAsia"/>
                <w:szCs w:val="21"/>
              </w:rPr>
            </w:pPr>
          </w:p>
        </w:tc>
        <w:tc>
          <w:tcPr>
            <w:tcW w:w="1251" w:type="dxa"/>
            <w:tcBorders>
              <w:left w:val="single" w:color="auto" w:sz="6" w:space="0"/>
            </w:tcBorders>
            <w:noWrap w:val="0"/>
            <w:vAlign w:val="center"/>
          </w:tcPr>
          <w:p w14:paraId="6C432885">
            <w:pPr>
              <w:jc w:val="center"/>
              <w:rPr>
                <w:rFonts w:hint="eastAsia"/>
                <w:szCs w:val="21"/>
              </w:rPr>
            </w:pPr>
          </w:p>
        </w:tc>
        <w:tc>
          <w:tcPr>
            <w:tcW w:w="1250" w:type="dxa"/>
            <w:tcBorders>
              <w:right w:val="single" w:color="auto" w:sz="6" w:space="0"/>
            </w:tcBorders>
            <w:noWrap w:val="0"/>
            <w:vAlign w:val="center"/>
          </w:tcPr>
          <w:p w14:paraId="320DB9DC">
            <w:pPr>
              <w:jc w:val="center"/>
              <w:rPr>
                <w:rFonts w:hint="eastAsia"/>
                <w:szCs w:val="21"/>
              </w:rPr>
            </w:pPr>
          </w:p>
        </w:tc>
        <w:tc>
          <w:tcPr>
            <w:tcW w:w="1250" w:type="dxa"/>
            <w:noWrap w:val="0"/>
            <w:vAlign w:val="center"/>
          </w:tcPr>
          <w:p w14:paraId="28A33940">
            <w:pPr>
              <w:jc w:val="center"/>
              <w:rPr>
                <w:rFonts w:hint="eastAsia"/>
                <w:szCs w:val="21"/>
              </w:rPr>
            </w:pPr>
          </w:p>
        </w:tc>
        <w:tc>
          <w:tcPr>
            <w:tcW w:w="1250" w:type="dxa"/>
            <w:tcBorders>
              <w:right w:val="single" w:color="auto" w:sz="6" w:space="0"/>
            </w:tcBorders>
            <w:noWrap w:val="0"/>
            <w:vAlign w:val="center"/>
          </w:tcPr>
          <w:p w14:paraId="1CAB05DF">
            <w:pPr>
              <w:jc w:val="center"/>
              <w:rPr>
                <w:rFonts w:hint="eastAsia"/>
                <w:szCs w:val="21"/>
              </w:rPr>
            </w:pPr>
          </w:p>
        </w:tc>
      </w:tr>
      <w:tr w14:paraId="6830B9C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FCB3E92">
            <w:pPr>
              <w:jc w:val="center"/>
              <w:rPr>
                <w:rFonts w:hint="eastAsia" w:ascii="黑体" w:eastAsia="黑体"/>
                <w:szCs w:val="21"/>
              </w:rPr>
            </w:pPr>
          </w:p>
        </w:tc>
        <w:tc>
          <w:tcPr>
            <w:tcW w:w="1315" w:type="dxa"/>
            <w:tcBorders>
              <w:right w:val="single" w:color="auto" w:sz="6" w:space="0"/>
            </w:tcBorders>
            <w:noWrap w:val="0"/>
            <w:vAlign w:val="center"/>
          </w:tcPr>
          <w:p w14:paraId="66D5BB19">
            <w:pPr>
              <w:jc w:val="center"/>
              <w:rPr>
                <w:rFonts w:hint="eastAsia"/>
                <w:szCs w:val="21"/>
              </w:rPr>
            </w:pPr>
          </w:p>
        </w:tc>
        <w:tc>
          <w:tcPr>
            <w:tcW w:w="1249" w:type="dxa"/>
            <w:tcBorders>
              <w:left w:val="single" w:color="auto" w:sz="6" w:space="0"/>
            </w:tcBorders>
            <w:noWrap w:val="0"/>
            <w:vAlign w:val="center"/>
          </w:tcPr>
          <w:p w14:paraId="26838949">
            <w:pPr>
              <w:jc w:val="center"/>
              <w:rPr>
                <w:rFonts w:hint="eastAsia"/>
                <w:szCs w:val="21"/>
              </w:rPr>
            </w:pPr>
          </w:p>
        </w:tc>
        <w:tc>
          <w:tcPr>
            <w:tcW w:w="1251" w:type="dxa"/>
            <w:tcBorders>
              <w:left w:val="single" w:color="auto" w:sz="6" w:space="0"/>
            </w:tcBorders>
            <w:noWrap w:val="0"/>
            <w:vAlign w:val="center"/>
          </w:tcPr>
          <w:p w14:paraId="4311DCA0">
            <w:pPr>
              <w:jc w:val="center"/>
              <w:rPr>
                <w:rFonts w:hint="eastAsia"/>
                <w:szCs w:val="21"/>
              </w:rPr>
            </w:pPr>
          </w:p>
        </w:tc>
        <w:tc>
          <w:tcPr>
            <w:tcW w:w="1250" w:type="dxa"/>
            <w:tcBorders>
              <w:right w:val="single" w:color="auto" w:sz="6" w:space="0"/>
            </w:tcBorders>
            <w:noWrap w:val="0"/>
            <w:vAlign w:val="center"/>
          </w:tcPr>
          <w:p w14:paraId="02B91189">
            <w:pPr>
              <w:jc w:val="center"/>
              <w:rPr>
                <w:rFonts w:hint="eastAsia"/>
                <w:szCs w:val="21"/>
              </w:rPr>
            </w:pPr>
          </w:p>
        </w:tc>
        <w:tc>
          <w:tcPr>
            <w:tcW w:w="1250" w:type="dxa"/>
            <w:noWrap w:val="0"/>
            <w:vAlign w:val="center"/>
          </w:tcPr>
          <w:p w14:paraId="64ED0F8C">
            <w:pPr>
              <w:jc w:val="center"/>
              <w:rPr>
                <w:rFonts w:hint="eastAsia"/>
                <w:szCs w:val="21"/>
              </w:rPr>
            </w:pPr>
          </w:p>
        </w:tc>
        <w:tc>
          <w:tcPr>
            <w:tcW w:w="1250" w:type="dxa"/>
            <w:tcBorders>
              <w:right w:val="single" w:color="auto" w:sz="6" w:space="0"/>
            </w:tcBorders>
            <w:noWrap w:val="0"/>
            <w:vAlign w:val="center"/>
          </w:tcPr>
          <w:p w14:paraId="23AF1121">
            <w:pPr>
              <w:jc w:val="center"/>
              <w:rPr>
                <w:rFonts w:hint="eastAsia"/>
                <w:szCs w:val="21"/>
              </w:rPr>
            </w:pPr>
          </w:p>
        </w:tc>
      </w:tr>
      <w:tr w14:paraId="7F7567B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3162A447">
            <w:pPr>
              <w:jc w:val="center"/>
              <w:rPr>
                <w:rFonts w:hint="eastAsia" w:ascii="黑体" w:eastAsia="黑体"/>
                <w:szCs w:val="21"/>
              </w:rPr>
            </w:pPr>
          </w:p>
        </w:tc>
        <w:tc>
          <w:tcPr>
            <w:tcW w:w="1315" w:type="dxa"/>
            <w:tcBorders>
              <w:right w:val="single" w:color="auto" w:sz="6" w:space="0"/>
            </w:tcBorders>
            <w:noWrap w:val="0"/>
            <w:vAlign w:val="center"/>
          </w:tcPr>
          <w:p w14:paraId="7DCC8D4F">
            <w:pPr>
              <w:jc w:val="center"/>
              <w:rPr>
                <w:rFonts w:hint="eastAsia"/>
                <w:szCs w:val="21"/>
              </w:rPr>
            </w:pPr>
          </w:p>
        </w:tc>
        <w:tc>
          <w:tcPr>
            <w:tcW w:w="1249" w:type="dxa"/>
            <w:tcBorders>
              <w:left w:val="single" w:color="auto" w:sz="6" w:space="0"/>
            </w:tcBorders>
            <w:noWrap w:val="0"/>
            <w:vAlign w:val="center"/>
          </w:tcPr>
          <w:p w14:paraId="56349735">
            <w:pPr>
              <w:jc w:val="center"/>
              <w:rPr>
                <w:rFonts w:hint="eastAsia"/>
                <w:szCs w:val="21"/>
              </w:rPr>
            </w:pPr>
          </w:p>
        </w:tc>
        <w:tc>
          <w:tcPr>
            <w:tcW w:w="1251" w:type="dxa"/>
            <w:tcBorders>
              <w:left w:val="single" w:color="auto" w:sz="6" w:space="0"/>
            </w:tcBorders>
            <w:noWrap w:val="0"/>
            <w:vAlign w:val="center"/>
          </w:tcPr>
          <w:p w14:paraId="42D12F23">
            <w:pPr>
              <w:jc w:val="center"/>
              <w:rPr>
                <w:rFonts w:hint="eastAsia"/>
                <w:szCs w:val="21"/>
              </w:rPr>
            </w:pPr>
          </w:p>
        </w:tc>
        <w:tc>
          <w:tcPr>
            <w:tcW w:w="1250" w:type="dxa"/>
            <w:tcBorders>
              <w:right w:val="single" w:color="auto" w:sz="6" w:space="0"/>
            </w:tcBorders>
            <w:noWrap w:val="0"/>
            <w:vAlign w:val="center"/>
          </w:tcPr>
          <w:p w14:paraId="09298D60">
            <w:pPr>
              <w:jc w:val="center"/>
              <w:rPr>
                <w:rFonts w:hint="eastAsia"/>
                <w:szCs w:val="21"/>
              </w:rPr>
            </w:pPr>
          </w:p>
        </w:tc>
        <w:tc>
          <w:tcPr>
            <w:tcW w:w="1250" w:type="dxa"/>
            <w:noWrap w:val="0"/>
            <w:vAlign w:val="center"/>
          </w:tcPr>
          <w:p w14:paraId="40D17B63">
            <w:pPr>
              <w:jc w:val="center"/>
              <w:rPr>
                <w:rFonts w:hint="eastAsia"/>
                <w:szCs w:val="21"/>
              </w:rPr>
            </w:pPr>
          </w:p>
        </w:tc>
        <w:tc>
          <w:tcPr>
            <w:tcW w:w="1250" w:type="dxa"/>
            <w:tcBorders>
              <w:right w:val="single" w:color="auto" w:sz="6" w:space="0"/>
            </w:tcBorders>
            <w:noWrap w:val="0"/>
            <w:vAlign w:val="center"/>
          </w:tcPr>
          <w:p w14:paraId="4B463E1A">
            <w:pPr>
              <w:jc w:val="center"/>
              <w:rPr>
                <w:rFonts w:hint="eastAsia"/>
                <w:szCs w:val="21"/>
              </w:rPr>
            </w:pPr>
          </w:p>
        </w:tc>
      </w:tr>
      <w:tr w14:paraId="18D293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557736FF">
            <w:pPr>
              <w:jc w:val="center"/>
              <w:rPr>
                <w:rFonts w:hint="eastAsia" w:ascii="黑体" w:eastAsia="黑体"/>
                <w:szCs w:val="21"/>
              </w:rPr>
            </w:pPr>
          </w:p>
        </w:tc>
        <w:tc>
          <w:tcPr>
            <w:tcW w:w="1315" w:type="dxa"/>
            <w:tcBorders>
              <w:right w:val="single" w:color="auto" w:sz="6" w:space="0"/>
            </w:tcBorders>
            <w:noWrap w:val="0"/>
            <w:vAlign w:val="center"/>
          </w:tcPr>
          <w:p w14:paraId="63A9628D">
            <w:pPr>
              <w:jc w:val="center"/>
              <w:rPr>
                <w:rFonts w:hint="eastAsia"/>
                <w:szCs w:val="21"/>
              </w:rPr>
            </w:pPr>
          </w:p>
        </w:tc>
        <w:tc>
          <w:tcPr>
            <w:tcW w:w="1249" w:type="dxa"/>
            <w:tcBorders>
              <w:left w:val="single" w:color="auto" w:sz="6" w:space="0"/>
            </w:tcBorders>
            <w:noWrap w:val="0"/>
            <w:vAlign w:val="center"/>
          </w:tcPr>
          <w:p w14:paraId="339435D7">
            <w:pPr>
              <w:jc w:val="center"/>
              <w:rPr>
                <w:rFonts w:hint="eastAsia"/>
                <w:szCs w:val="21"/>
              </w:rPr>
            </w:pPr>
          </w:p>
        </w:tc>
        <w:tc>
          <w:tcPr>
            <w:tcW w:w="1251" w:type="dxa"/>
            <w:tcBorders>
              <w:left w:val="single" w:color="auto" w:sz="6" w:space="0"/>
            </w:tcBorders>
            <w:noWrap w:val="0"/>
            <w:vAlign w:val="center"/>
          </w:tcPr>
          <w:p w14:paraId="270269E5">
            <w:pPr>
              <w:jc w:val="center"/>
              <w:rPr>
                <w:rFonts w:hint="eastAsia"/>
                <w:szCs w:val="21"/>
              </w:rPr>
            </w:pPr>
          </w:p>
        </w:tc>
        <w:tc>
          <w:tcPr>
            <w:tcW w:w="1250" w:type="dxa"/>
            <w:tcBorders>
              <w:right w:val="single" w:color="auto" w:sz="6" w:space="0"/>
            </w:tcBorders>
            <w:noWrap w:val="0"/>
            <w:vAlign w:val="center"/>
          </w:tcPr>
          <w:p w14:paraId="36F6D813">
            <w:pPr>
              <w:jc w:val="center"/>
              <w:rPr>
                <w:rFonts w:hint="eastAsia"/>
                <w:szCs w:val="21"/>
              </w:rPr>
            </w:pPr>
          </w:p>
        </w:tc>
        <w:tc>
          <w:tcPr>
            <w:tcW w:w="1250" w:type="dxa"/>
            <w:noWrap w:val="0"/>
            <w:vAlign w:val="center"/>
          </w:tcPr>
          <w:p w14:paraId="6F9D1E41">
            <w:pPr>
              <w:jc w:val="center"/>
              <w:rPr>
                <w:rFonts w:hint="eastAsia"/>
                <w:szCs w:val="21"/>
              </w:rPr>
            </w:pPr>
          </w:p>
        </w:tc>
        <w:tc>
          <w:tcPr>
            <w:tcW w:w="1250" w:type="dxa"/>
            <w:tcBorders>
              <w:right w:val="single" w:color="auto" w:sz="6" w:space="0"/>
            </w:tcBorders>
            <w:noWrap w:val="0"/>
            <w:vAlign w:val="center"/>
          </w:tcPr>
          <w:p w14:paraId="33C38BA8">
            <w:pPr>
              <w:jc w:val="center"/>
              <w:rPr>
                <w:rFonts w:hint="eastAsia"/>
                <w:szCs w:val="21"/>
              </w:rPr>
            </w:pPr>
          </w:p>
        </w:tc>
      </w:tr>
      <w:tr w14:paraId="20C2BC5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198A88C1">
            <w:pPr>
              <w:jc w:val="center"/>
              <w:rPr>
                <w:rFonts w:hint="eastAsia" w:ascii="黑体" w:eastAsia="黑体"/>
                <w:szCs w:val="21"/>
              </w:rPr>
            </w:pPr>
          </w:p>
        </w:tc>
        <w:tc>
          <w:tcPr>
            <w:tcW w:w="1315" w:type="dxa"/>
            <w:tcBorders>
              <w:right w:val="single" w:color="auto" w:sz="6" w:space="0"/>
            </w:tcBorders>
            <w:noWrap w:val="0"/>
            <w:vAlign w:val="center"/>
          </w:tcPr>
          <w:p w14:paraId="15521861">
            <w:pPr>
              <w:jc w:val="center"/>
              <w:rPr>
                <w:rFonts w:hint="eastAsia"/>
                <w:szCs w:val="21"/>
              </w:rPr>
            </w:pPr>
          </w:p>
        </w:tc>
        <w:tc>
          <w:tcPr>
            <w:tcW w:w="1249" w:type="dxa"/>
            <w:tcBorders>
              <w:left w:val="single" w:color="auto" w:sz="6" w:space="0"/>
            </w:tcBorders>
            <w:noWrap w:val="0"/>
            <w:vAlign w:val="center"/>
          </w:tcPr>
          <w:p w14:paraId="15450D68">
            <w:pPr>
              <w:jc w:val="center"/>
              <w:rPr>
                <w:rFonts w:hint="eastAsia"/>
                <w:szCs w:val="21"/>
              </w:rPr>
            </w:pPr>
          </w:p>
        </w:tc>
        <w:tc>
          <w:tcPr>
            <w:tcW w:w="1251" w:type="dxa"/>
            <w:tcBorders>
              <w:left w:val="single" w:color="auto" w:sz="6" w:space="0"/>
            </w:tcBorders>
            <w:noWrap w:val="0"/>
            <w:vAlign w:val="center"/>
          </w:tcPr>
          <w:p w14:paraId="652946E7">
            <w:pPr>
              <w:jc w:val="center"/>
              <w:rPr>
                <w:rFonts w:hint="eastAsia"/>
                <w:szCs w:val="21"/>
              </w:rPr>
            </w:pPr>
          </w:p>
        </w:tc>
        <w:tc>
          <w:tcPr>
            <w:tcW w:w="1250" w:type="dxa"/>
            <w:tcBorders>
              <w:right w:val="single" w:color="auto" w:sz="6" w:space="0"/>
            </w:tcBorders>
            <w:noWrap w:val="0"/>
            <w:vAlign w:val="center"/>
          </w:tcPr>
          <w:p w14:paraId="46F1A654">
            <w:pPr>
              <w:jc w:val="center"/>
              <w:rPr>
                <w:rFonts w:hint="eastAsia"/>
                <w:szCs w:val="21"/>
              </w:rPr>
            </w:pPr>
          </w:p>
        </w:tc>
        <w:tc>
          <w:tcPr>
            <w:tcW w:w="1250" w:type="dxa"/>
            <w:noWrap w:val="0"/>
            <w:vAlign w:val="center"/>
          </w:tcPr>
          <w:p w14:paraId="62060013">
            <w:pPr>
              <w:jc w:val="center"/>
              <w:rPr>
                <w:rFonts w:hint="eastAsia"/>
                <w:szCs w:val="21"/>
              </w:rPr>
            </w:pPr>
          </w:p>
        </w:tc>
        <w:tc>
          <w:tcPr>
            <w:tcW w:w="1250" w:type="dxa"/>
            <w:tcBorders>
              <w:right w:val="single" w:color="auto" w:sz="6" w:space="0"/>
            </w:tcBorders>
            <w:noWrap w:val="0"/>
            <w:vAlign w:val="center"/>
          </w:tcPr>
          <w:p w14:paraId="15D7448C">
            <w:pPr>
              <w:jc w:val="center"/>
              <w:rPr>
                <w:rFonts w:hint="eastAsia"/>
                <w:szCs w:val="21"/>
              </w:rPr>
            </w:pPr>
          </w:p>
        </w:tc>
      </w:tr>
      <w:tr w14:paraId="7DCF4F4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5B8A65E3">
            <w:pPr>
              <w:jc w:val="center"/>
              <w:rPr>
                <w:rFonts w:hint="eastAsia" w:ascii="黑体" w:eastAsia="黑体"/>
                <w:szCs w:val="21"/>
              </w:rPr>
            </w:pPr>
          </w:p>
        </w:tc>
        <w:tc>
          <w:tcPr>
            <w:tcW w:w="1315" w:type="dxa"/>
            <w:tcBorders>
              <w:right w:val="single" w:color="auto" w:sz="6" w:space="0"/>
            </w:tcBorders>
            <w:noWrap w:val="0"/>
            <w:vAlign w:val="center"/>
          </w:tcPr>
          <w:p w14:paraId="29EA7477">
            <w:pPr>
              <w:jc w:val="center"/>
              <w:rPr>
                <w:rFonts w:hint="eastAsia"/>
                <w:szCs w:val="21"/>
              </w:rPr>
            </w:pPr>
          </w:p>
        </w:tc>
        <w:tc>
          <w:tcPr>
            <w:tcW w:w="1249" w:type="dxa"/>
            <w:tcBorders>
              <w:left w:val="single" w:color="auto" w:sz="6" w:space="0"/>
            </w:tcBorders>
            <w:noWrap w:val="0"/>
            <w:vAlign w:val="center"/>
          </w:tcPr>
          <w:p w14:paraId="1B3E821A">
            <w:pPr>
              <w:jc w:val="center"/>
              <w:rPr>
                <w:rFonts w:hint="eastAsia"/>
                <w:szCs w:val="21"/>
              </w:rPr>
            </w:pPr>
          </w:p>
        </w:tc>
        <w:tc>
          <w:tcPr>
            <w:tcW w:w="1251" w:type="dxa"/>
            <w:tcBorders>
              <w:left w:val="single" w:color="auto" w:sz="6" w:space="0"/>
            </w:tcBorders>
            <w:noWrap w:val="0"/>
            <w:vAlign w:val="center"/>
          </w:tcPr>
          <w:p w14:paraId="6D82AE50">
            <w:pPr>
              <w:jc w:val="center"/>
              <w:rPr>
                <w:rFonts w:hint="eastAsia"/>
                <w:szCs w:val="21"/>
              </w:rPr>
            </w:pPr>
          </w:p>
        </w:tc>
        <w:tc>
          <w:tcPr>
            <w:tcW w:w="1250" w:type="dxa"/>
            <w:tcBorders>
              <w:right w:val="single" w:color="auto" w:sz="6" w:space="0"/>
            </w:tcBorders>
            <w:noWrap w:val="0"/>
            <w:vAlign w:val="center"/>
          </w:tcPr>
          <w:p w14:paraId="5F1A28C8">
            <w:pPr>
              <w:jc w:val="center"/>
              <w:rPr>
                <w:rFonts w:hint="eastAsia"/>
                <w:szCs w:val="21"/>
              </w:rPr>
            </w:pPr>
          </w:p>
        </w:tc>
        <w:tc>
          <w:tcPr>
            <w:tcW w:w="1250" w:type="dxa"/>
            <w:noWrap w:val="0"/>
            <w:vAlign w:val="center"/>
          </w:tcPr>
          <w:p w14:paraId="640ABEC5">
            <w:pPr>
              <w:jc w:val="center"/>
              <w:rPr>
                <w:rFonts w:hint="eastAsia"/>
                <w:szCs w:val="21"/>
              </w:rPr>
            </w:pPr>
          </w:p>
        </w:tc>
        <w:tc>
          <w:tcPr>
            <w:tcW w:w="1250" w:type="dxa"/>
            <w:tcBorders>
              <w:right w:val="single" w:color="auto" w:sz="6" w:space="0"/>
            </w:tcBorders>
            <w:noWrap w:val="0"/>
            <w:vAlign w:val="center"/>
          </w:tcPr>
          <w:p w14:paraId="31A2B3F4">
            <w:pPr>
              <w:jc w:val="center"/>
              <w:rPr>
                <w:rFonts w:hint="eastAsia"/>
                <w:szCs w:val="21"/>
              </w:rPr>
            </w:pPr>
          </w:p>
        </w:tc>
      </w:tr>
      <w:tr w14:paraId="20D11DE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FC0B9CA">
            <w:pPr>
              <w:jc w:val="center"/>
              <w:rPr>
                <w:rFonts w:hint="eastAsia" w:ascii="黑体" w:eastAsia="黑体"/>
                <w:szCs w:val="21"/>
              </w:rPr>
            </w:pPr>
          </w:p>
        </w:tc>
        <w:tc>
          <w:tcPr>
            <w:tcW w:w="1315" w:type="dxa"/>
            <w:tcBorders>
              <w:right w:val="single" w:color="auto" w:sz="6" w:space="0"/>
            </w:tcBorders>
            <w:noWrap w:val="0"/>
            <w:vAlign w:val="center"/>
          </w:tcPr>
          <w:p w14:paraId="3ED80E71">
            <w:pPr>
              <w:jc w:val="center"/>
              <w:rPr>
                <w:rFonts w:hint="eastAsia"/>
                <w:szCs w:val="21"/>
              </w:rPr>
            </w:pPr>
          </w:p>
        </w:tc>
        <w:tc>
          <w:tcPr>
            <w:tcW w:w="1249" w:type="dxa"/>
            <w:tcBorders>
              <w:left w:val="single" w:color="auto" w:sz="6" w:space="0"/>
            </w:tcBorders>
            <w:noWrap w:val="0"/>
            <w:vAlign w:val="center"/>
          </w:tcPr>
          <w:p w14:paraId="08CE2583">
            <w:pPr>
              <w:jc w:val="center"/>
              <w:rPr>
                <w:rFonts w:hint="eastAsia"/>
                <w:szCs w:val="21"/>
              </w:rPr>
            </w:pPr>
          </w:p>
        </w:tc>
        <w:tc>
          <w:tcPr>
            <w:tcW w:w="1251" w:type="dxa"/>
            <w:tcBorders>
              <w:left w:val="single" w:color="auto" w:sz="6" w:space="0"/>
            </w:tcBorders>
            <w:noWrap w:val="0"/>
            <w:vAlign w:val="center"/>
          </w:tcPr>
          <w:p w14:paraId="61C1E12D">
            <w:pPr>
              <w:jc w:val="center"/>
              <w:rPr>
                <w:rFonts w:hint="eastAsia"/>
                <w:szCs w:val="21"/>
              </w:rPr>
            </w:pPr>
          </w:p>
        </w:tc>
        <w:tc>
          <w:tcPr>
            <w:tcW w:w="1250" w:type="dxa"/>
            <w:tcBorders>
              <w:right w:val="single" w:color="auto" w:sz="6" w:space="0"/>
            </w:tcBorders>
            <w:noWrap w:val="0"/>
            <w:vAlign w:val="center"/>
          </w:tcPr>
          <w:p w14:paraId="61A3627C">
            <w:pPr>
              <w:jc w:val="center"/>
              <w:rPr>
                <w:rFonts w:hint="eastAsia"/>
                <w:szCs w:val="21"/>
              </w:rPr>
            </w:pPr>
          </w:p>
        </w:tc>
        <w:tc>
          <w:tcPr>
            <w:tcW w:w="1250" w:type="dxa"/>
            <w:noWrap w:val="0"/>
            <w:vAlign w:val="center"/>
          </w:tcPr>
          <w:p w14:paraId="5F8074FD">
            <w:pPr>
              <w:jc w:val="center"/>
              <w:rPr>
                <w:rFonts w:hint="eastAsia"/>
                <w:szCs w:val="21"/>
              </w:rPr>
            </w:pPr>
          </w:p>
        </w:tc>
        <w:tc>
          <w:tcPr>
            <w:tcW w:w="1250" w:type="dxa"/>
            <w:tcBorders>
              <w:right w:val="single" w:color="auto" w:sz="6" w:space="0"/>
            </w:tcBorders>
            <w:noWrap w:val="0"/>
            <w:vAlign w:val="center"/>
          </w:tcPr>
          <w:p w14:paraId="74B9F1EA">
            <w:pPr>
              <w:jc w:val="center"/>
              <w:rPr>
                <w:rFonts w:hint="eastAsia"/>
                <w:szCs w:val="21"/>
              </w:rPr>
            </w:pPr>
          </w:p>
        </w:tc>
      </w:tr>
      <w:tr w14:paraId="6644644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465E7AD4">
            <w:pPr>
              <w:jc w:val="center"/>
              <w:rPr>
                <w:rFonts w:hint="eastAsia" w:ascii="黑体" w:eastAsia="黑体"/>
                <w:szCs w:val="21"/>
              </w:rPr>
            </w:pPr>
          </w:p>
        </w:tc>
        <w:tc>
          <w:tcPr>
            <w:tcW w:w="1315" w:type="dxa"/>
            <w:tcBorders>
              <w:right w:val="single" w:color="auto" w:sz="6" w:space="0"/>
            </w:tcBorders>
            <w:noWrap w:val="0"/>
            <w:vAlign w:val="center"/>
          </w:tcPr>
          <w:p w14:paraId="0426907B">
            <w:pPr>
              <w:jc w:val="center"/>
              <w:rPr>
                <w:rFonts w:hint="eastAsia"/>
                <w:szCs w:val="21"/>
              </w:rPr>
            </w:pPr>
          </w:p>
        </w:tc>
        <w:tc>
          <w:tcPr>
            <w:tcW w:w="1249" w:type="dxa"/>
            <w:tcBorders>
              <w:left w:val="single" w:color="auto" w:sz="6" w:space="0"/>
            </w:tcBorders>
            <w:noWrap w:val="0"/>
            <w:vAlign w:val="center"/>
          </w:tcPr>
          <w:p w14:paraId="217E8A87">
            <w:pPr>
              <w:jc w:val="center"/>
              <w:rPr>
                <w:rFonts w:hint="eastAsia"/>
                <w:szCs w:val="21"/>
              </w:rPr>
            </w:pPr>
          </w:p>
        </w:tc>
        <w:tc>
          <w:tcPr>
            <w:tcW w:w="1251" w:type="dxa"/>
            <w:tcBorders>
              <w:left w:val="single" w:color="auto" w:sz="6" w:space="0"/>
            </w:tcBorders>
            <w:noWrap w:val="0"/>
            <w:vAlign w:val="center"/>
          </w:tcPr>
          <w:p w14:paraId="14883829">
            <w:pPr>
              <w:jc w:val="center"/>
              <w:rPr>
                <w:rFonts w:hint="eastAsia"/>
                <w:szCs w:val="21"/>
              </w:rPr>
            </w:pPr>
          </w:p>
        </w:tc>
        <w:tc>
          <w:tcPr>
            <w:tcW w:w="1250" w:type="dxa"/>
            <w:tcBorders>
              <w:right w:val="single" w:color="auto" w:sz="6" w:space="0"/>
            </w:tcBorders>
            <w:noWrap w:val="0"/>
            <w:vAlign w:val="center"/>
          </w:tcPr>
          <w:p w14:paraId="5E7C5719">
            <w:pPr>
              <w:jc w:val="center"/>
              <w:rPr>
                <w:rFonts w:hint="eastAsia"/>
                <w:szCs w:val="21"/>
              </w:rPr>
            </w:pPr>
          </w:p>
        </w:tc>
        <w:tc>
          <w:tcPr>
            <w:tcW w:w="1250" w:type="dxa"/>
            <w:noWrap w:val="0"/>
            <w:vAlign w:val="center"/>
          </w:tcPr>
          <w:p w14:paraId="022CC4D3">
            <w:pPr>
              <w:jc w:val="center"/>
              <w:rPr>
                <w:rFonts w:hint="eastAsia"/>
                <w:szCs w:val="21"/>
              </w:rPr>
            </w:pPr>
          </w:p>
        </w:tc>
        <w:tc>
          <w:tcPr>
            <w:tcW w:w="1250" w:type="dxa"/>
            <w:tcBorders>
              <w:right w:val="single" w:color="auto" w:sz="6" w:space="0"/>
            </w:tcBorders>
            <w:noWrap w:val="0"/>
            <w:vAlign w:val="center"/>
          </w:tcPr>
          <w:p w14:paraId="74284DB8">
            <w:pPr>
              <w:jc w:val="center"/>
              <w:rPr>
                <w:rFonts w:hint="eastAsia"/>
                <w:szCs w:val="21"/>
              </w:rPr>
            </w:pPr>
          </w:p>
        </w:tc>
      </w:tr>
      <w:tr w14:paraId="68CBA67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74E099E0">
            <w:pPr>
              <w:jc w:val="center"/>
              <w:rPr>
                <w:rFonts w:hint="eastAsia" w:ascii="黑体" w:eastAsia="黑体"/>
                <w:szCs w:val="21"/>
              </w:rPr>
            </w:pPr>
          </w:p>
        </w:tc>
        <w:tc>
          <w:tcPr>
            <w:tcW w:w="1315" w:type="dxa"/>
            <w:tcBorders>
              <w:right w:val="single" w:color="auto" w:sz="6" w:space="0"/>
            </w:tcBorders>
            <w:noWrap w:val="0"/>
            <w:vAlign w:val="center"/>
          </w:tcPr>
          <w:p w14:paraId="6D96E9B5">
            <w:pPr>
              <w:jc w:val="center"/>
              <w:rPr>
                <w:rFonts w:hint="eastAsia"/>
                <w:szCs w:val="21"/>
              </w:rPr>
            </w:pPr>
          </w:p>
        </w:tc>
        <w:tc>
          <w:tcPr>
            <w:tcW w:w="1249" w:type="dxa"/>
            <w:tcBorders>
              <w:left w:val="single" w:color="auto" w:sz="6" w:space="0"/>
            </w:tcBorders>
            <w:noWrap w:val="0"/>
            <w:vAlign w:val="center"/>
          </w:tcPr>
          <w:p w14:paraId="29F1C2D4">
            <w:pPr>
              <w:jc w:val="center"/>
              <w:rPr>
                <w:rFonts w:hint="eastAsia"/>
                <w:szCs w:val="21"/>
              </w:rPr>
            </w:pPr>
          </w:p>
        </w:tc>
        <w:tc>
          <w:tcPr>
            <w:tcW w:w="1251" w:type="dxa"/>
            <w:tcBorders>
              <w:left w:val="single" w:color="auto" w:sz="6" w:space="0"/>
            </w:tcBorders>
            <w:noWrap w:val="0"/>
            <w:vAlign w:val="center"/>
          </w:tcPr>
          <w:p w14:paraId="75B8DE25">
            <w:pPr>
              <w:jc w:val="center"/>
              <w:rPr>
                <w:rFonts w:hint="eastAsia"/>
                <w:szCs w:val="21"/>
              </w:rPr>
            </w:pPr>
          </w:p>
        </w:tc>
        <w:tc>
          <w:tcPr>
            <w:tcW w:w="1250" w:type="dxa"/>
            <w:tcBorders>
              <w:right w:val="single" w:color="auto" w:sz="6" w:space="0"/>
            </w:tcBorders>
            <w:noWrap w:val="0"/>
            <w:vAlign w:val="center"/>
          </w:tcPr>
          <w:p w14:paraId="506EF11B">
            <w:pPr>
              <w:jc w:val="center"/>
              <w:rPr>
                <w:rFonts w:hint="eastAsia"/>
                <w:szCs w:val="21"/>
              </w:rPr>
            </w:pPr>
          </w:p>
        </w:tc>
        <w:tc>
          <w:tcPr>
            <w:tcW w:w="1250" w:type="dxa"/>
            <w:noWrap w:val="0"/>
            <w:vAlign w:val="center"/>
          </w:tcPr>
          <w:p w14:paraId="546C60B8">
            <w:pPr>
              <w:jc w:val="center"/>
              <w:rPr>
                <w:rFonts w:hint="eastAsia"/>
                <w:szCs w:val="21"/>
              </w:rPr>
            </w:pPr>
          </w:p>
        </w:tc>
        <w:tc>
          <w:tcPr>
            <w:tcW w:w="1250" w:type="dxa"/>
            <w:tcBorders>
              <w:right w:val="single" w:color="auto" w:sz="6" w:space="0"/>
            </w:tcBorders>
            <w:noWrap w:val="0"/>
            <w:vAlign w:val="center"/>
          </w:tcPr>
          <w:p w14:paraId="06C11FCF">
            <w:pPr>
              <w:jc w:val="center"/>
              <w:rPr>
                <w:rFonts w:hint="eastAsia"/>
                <w:szCs w:val="21"/>
              </w:rPr>
            </w:pPr>
          </w:p>
        </w:tc>
      </w:tr>
      <w:tr w14:paraId="13D35F1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3" w:type="dxa"/>
            <w:noWrap w:val="0"/>
            <w:vAlign w:val="center"/>
          </w:tcPr>
          <w:p w14:paraId="2AF5E347">
            <w:pPr>
              <w:jc w:val="center"/>
              <w:rPr>
                <w:rFonts w:hint="eastAsia" w:ascii="黑体" w:eastAsia="黑体"/>
                <w:szCs w:val="21"/>
              </w:rPr>
            </w:pPr>
          </w:p>
        </w:tc>
        <w:tc>
          <w:tcPr>
            <w:tcW w:w="1315" w:type="dxa"/>
            <w:tcBorders>
              <w:right w:val="single" w:color="auto" w:sz="6" w:space="0"/>
            </w:tcBorders>
            <w:noWrap w:val="0"/>
            <w:vAlign w:val="center"/>
          </w:tcPr>
          <w:p w14:paraId="2199E0AF">
            <w:pPr>
              <w:jc w:val="center"/>
              <w:rPr>
                <w:rFonts w:hint="eastAsia"/>
                <w:szCs w:val="21"/>
              </w:rPr>
            </w:pPr>
          </w:p>
        </w:tc>
        <w:tc>
          <w:tcPr>
            <w:tcW w:w="1249" w:type="dxa"/>
            <w:tcBorders>
              <w:left w:val="single" w:color="auto" w:sz="6" w:space="0"/>
            </w:tcBorders>
            <w:noWrap w:val="0"/>
            <w:vAlign w:val="center"/>
          </w:tcPr>
          <w:p w14:paraId="69BF873A">
            <w:pPr>
              <w:jc w:val="center"/>
              <w:rPr>
                <w:rFonts w:hint="eastAsia"/>
                <w:szCs w:val="21"/>
              </w:rPr>
            </w:pPr>
          </w:p>
        </w:tc>
        <w:tc>
          <w:tcPr>
            <w:tcW w:w="1251" w:type="dxa"/>
            <w:tcBorders>
              <w:left w:val="single" w:color="auto" w:sz="6" w:space="0"/>
            </w:tcBorders>
            <w:noWrap w:val="0"/>
            <w:vAlign w:val="center"/>
          </w:tcPr>
          <w:p w14:paraId="51A22CA5">
            <w:pPr>
              <w:jc w:val="center"/>
              <w:rPr>
                <w:rFonts w:hint="eastAsia"/>
                <w:szCs w:val="21"/>
              </w:rPr>
            </w:pPr>
          </w:p>
        </w:tc>
        <w:tc>
          <w:tcPr>
            <w:tcW w:w="1250" w:type="dxa"/>
            <w:tcBorders>
              <w:right w:val="single" w:color="auto" w:sz="6" w:space="0"/>
            </w:tcBorders>
            <w:noWrap w:val="0"/>
            <w:vAlign w:val="center"/>
          </w:tcPr>
          <w:p w14:paraId="00B06BBA">
            <w:pPr>
              <w:jc w:val="center"/>
              <w:rPr>
                <w:rFonts w:hint="eastAsia"/>
                <w:szCs w:val="21"/>
              </w:rPr>
            </w:pPr>
          </w:p>
        </w:tc>
        <w:tc>
          <w:tcPr>
            <w:tcW w:w="1250" w:type="dxa"/>
            <w:noWrap w:val="0"/>
            <w:vAlign w:val="center"/>
          </w:tcPr>
          <w:p w14:paraId="23B63691">
            <w:pPr>
              <w:jc w:val="center"/>
              <w:rPr>
                <w:rFonts w:hint="eastAsia"/>
                <w:szCs w:val="21"/>
              </w:rPr>
            </w:pPr>
          </w:p>
        </w:tc>
        <w:tc>
          <w:tcPr>
            <w:tcW w:w="1250" w:type="dxa"/>
            <w:tcBorders>
              <w:right w:val="single" w:color="auto" w:sz="6" w:space="0"/>
            </w:tcBorders>
            <w:noWrap w:val="0"/>
            <w:vAlign w:val="center"/>
          </w:tcPr>
          <w:p w14:paraId="3DE5755C">
            <w:pPr>
              <w:jc w:val="center"/>
              <w:rPr>
                <w:rFonts w:hint="eastAsia"/>
                <w:szCs w:val="21"/>
              </w:rPr>
            </w:pPr>
          </w:p>
        </w:tc>
      </w:tr>
    </w:tbl>
    <w:p w14:paraId="187FC3FF">
      <w:pPr>
        <w:spacing w:line="420" w:lineRule="exact"/>
        <w:jc w:val="center"/>
        <w:rPr>
          <w:rFonts w:hint="eastAsia" w:ascii="楷体_GB2312" w:eastAsia="楷体_GB2312"/>
        </w:rPr>
      </w:pPr>
    </w:p>
    <w:p w14:paraId="4AB0D11E">
      <w:pPr>
        <w:spacing w:line="420" w:lineRule="exact"/>
        <w:jc w:val="center"/>
        <w:rPr>
          <w:rFonts w:hint="eastAsia" w:ascii="楷体_GB2312" w:eastAsia="楷体_GB2312"/>
        </w:rPr>
      </w:pPr>
    </w:p>
    <w:p w14:paraId="22CF5B7D">
      <w:pPr>
        <w:spacing w:line="420" w:lineRule="exact"/>
        <w:jc w:val="center"/>
        <w:rPr>
          <w:rFonts w:hint="eastAsia" w:ascii="楷体_GB2312" w:eastAsia="楷体_GB2312"/>
        </w:rPr>
      </w:pPr>
      <w:r>
        <w:rPr>
          <w:rFonts w:hint="eastAsia" w:ascii="宋体" w:hAnsi="宋体"/>
          <w:szCs w:val="21"/>
        </w:rPr>
        <w:t>评标委员会成员签名：                                     日期:     年     月     日</w:t>
      </w:r>
    </w:p>
    <w:p w14:paraId="1B43E6C1">
      <w:pPr>
        <w:spacing w:line="420" w:lineRule="exact"/>
        <w:jc w:val="center"/>
        <w:rPr>
          <w:rFonts w:hint="eastAsia" w:ascii="楷体_GB2312" w:eastAsia="楷体_GB2312"/>
        </w:rPr>
      </w:pPr>
    </w:p>
    <w:p w14:paraId="47F31176">
      <w:pPr>
        <w:spacing w:line="420" w:lineRule="exact"/>
        <w:jc w:val="center"/>
        <w:rPr>
          <w:rFonts w:hint="eastAsia" w:ascii="楷体_GB2312" w:eastAsia="楷体_GB2312"/>
        </w:rPr>
      </w:pPr>
    </w:p>
    <w:p w14:paraId="3EED5C4F">
      <w:pPr>
        <w:spacing w:line="420" w:lineRule="exact"/>
        <w:jc w:val="center"/>
        <w:rPr>
          <w:rFonts w:hint="eastAsia" w:ascii="楷体_GB2312" w:eastAsia="楷体_GB2312"/>
        </w:rPr>
      </w:pPr>
    </w:p>
    <w:p w14:paraId="2187E03E">
      <w:pPr>
        <w:spacing w:line="420" w:lineRule="exact"/>
        <w:jc w:val="center"/>
        <w:rPr>
          <w:rFonts w:hint="eastAsia" w:ascii="楷体_GB2312" w:eastAsia="楷体_GB2312"/>
        </w:rPr>
      </w:pPr>
    </w:p>
    <w:p w14:paraId="782B0136">
      <w:pPr>
        <w:pStyle w:val="20"/>
        <w:rPr>
          <w:rFonts w:hint="eastAsia"/>
        </w:rPr>
      </w:pPr>
      <w:bookmarkStart w:id="447" w:name="_Toc108513674"/>
      <w:r>
        <w:rPr>
          <w:rFonts w:hint="eastAsia"/>
        </w:rPr>
        <w:t>附表C-6：清标报告-算术错误检查</w:t>
      </w:r>
      <w:bookmarkEnd w:id="447"/>
    </w:p>
    <w:p w14:paraId="59C63095">
      <w:pPr>
        <w:spacing w:before="240" w:beforeLines="100" w:after="240" w:afterLines="100"/>
        <w:jc w:val="center"/>
        <w:rPr>
          <w:rFonts w:hint="eastAsia" w:ascii="黑体" w:eastAsia="黑体"/>
          <w:szCs w:val="21"/>
        </w:rPr>
      </w:pPr>
    </w:p>
    <w:p w14:paraId="3824AE24">
      <w:pPr>
        <w:spacing w:before="240" w:beforeLines="100" w:after="240" w:afterLines="100"/>
        <w:jc w:val="center"/>
        <w:rPr>
          <w:rFonts w:hint="eastAsia" w:ascii="黑体" w:eastAsia="黑体"/>
          <w:sz w:val="32"/>
          <w:szCs w:val="32"/>
        </w:rPr>
      </w:pPr>
      <w:r>
        <w:rPr>
          <w:rFonts w:hint="eastAsia" w:ascii="黑体" w:eastAsia="黑体"/>
          <w:sz w:val="32"/>
          <w:szCs w:val="32"/>
        </w:rPr>
        <w:t>清标报告-算术错误检查</w:t>
      </w:r>
    </w:p>
    <w:p w14:paraId="6FE0F51A">
      <w:pPr>
        <w:rPr>
          <w:rFonts w:hint="eastAsia" w:ascii="宋体" w:hAnsi="宋体"/>
          <w:szCs w:val="21"/>
        </w:rPr>
      </w:pPr>
      <w:r>
        <w:rPr>
          <w:rFonts w:hint="eastAsia" w:ascii="宋体" w:hAnsi="宋体"/>
          <w:szCs w:val="21"/>
        </w:rPr>
        <w:t>投标人名称：</w:t>
      </w:r>
    </w:p>
    <w:p w14:paraId="0A45C80B">
      <w:pPr>
        <w:spacing w:line="420" w:lineRule="exact"/>
        <w:jc w:val="center"/>
        <w:rPr>
          <w:rFonts w:hint="eastAsia" w:ascii="楷体_GB2312" w:eastAsia="楷体_GB2312"/>
        </w:rPr>
      </w:pPr>
    </w:p>
    <w:tbl>
      <w:tblPr>
        <w:tblStyle w:val="15"/>
        <w:tblW w:w="874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723"/>
        <w:gridCol w:w="1170"/>
        <w:gridCol w:w="854"/>
        <w:gridCol w:w="317"/>
        <w:gridCol w:w="1171"/>
        <w:gridCol w:w="1171"/>
        <w:gridCol w:w="1171"/>
        <w:gridCol w:w="1171"/>
      </w:tblGrid>
      <w:tr w14:paraId="43B499B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47" w:type="dxa"/>
            <w:gridSpan w:val="3"/>
            <w:tcBorders>
              <w:top w:val="single" w:color="auto" w:sz="6" w:space="0"/>
            </w:tcBorders>
            <w:noWrap w:val="0"/>
            <w:vAlign w:val="center"/>
          </w:tcPr>
          <w:p w14:paraId="483CD914">
            <w:pPr>
              <w:jc w:val="center"/>
              <w:rPr>
                <w:rFonts w:hint="eastAsia"/>
                <w:sz w:val="20"/>
                <w:szCs w:val="20"/>
              </w:rPr>
            </w:pPr>
            <w:r>
              <w:rPr>
                <w:rFonts w:hint="eastAsia"/>
                <w:sz w:val="20"/>
                <w:szCs w:val="20"/>
              </w:rPr>
              <w:t>建设项目名称</w:t>
            </w:r>
          </w:p>
        </w:tc>
        <w:tc>
          <w:tcPr>
            <w:tcW w:w="5001" w:type="dxa"/>
            <w:gridSpan w:val="5"/>
            <w:tcBorders>
              <w:top w:val="single" w:color="auto" w:sz="6" w:space="0"/>
            </w:tcBorders>
            <w:noWrap w:val="0"/>
            <w:vAlign w:val="center"/>
          </w:tcPr>
          <w:p w14:paraId="6FC58EC8">
            <w:pPr>
              <w:jc w:val="center"/>
              <w:rPr>
                <w:rFonts w:hint="eastAsia"/>
                <w:sz w:val="20"/>
                <w:szCs w:val="20"/>
              </w:rPr>
            </w:pPr>
          </w:p>
        </w:tc>
      </w:tr>
      <w:tr w14:paraId="2650E12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748" w:type="dxa"/>
            <w:gridSpan w:val="8"/>
            <w:tcBorders>
              <w:top w:val="single" w:color="auto" w:sz="6" w:space="0"/>
            </w:tcBorders>
            <w:noWrap w:val="0"/>
            <w:vAlign w:val="center"/>
          </w:tcPr>
          <w:p w14:paraId="3E3A1421">
            <w:pPr>
              <w:jc w:val="center"/>
              <w:rPr>
                <w:rFonts w:hint="eastAsia"/>
                <w:b/>
                <w:sz w:val="20"/>
                <w:szCs w:val="20"/>
              </w:rPr>
            </w:pPr>
            <w:r>
              <w:rPr>
                <w:rFonts w:hint="eastAsia"/>
                <w:b/>
                <w:sz w:val="20"/>
                <w:szCs w:val="20"/>
              </w:rPr>
              <w:t>六、算术错误检查</w:t>
            </w:r>
          </w:p>
        </w:tc>
      </w:tr>
      <w:tr w14:paraId="46FAE13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675351F3">
            <w:pPr>
              <w:jc w:val="center"/>
              <w:rPr>
                <w:rFonts w:hint="eastAsia"/>
                <w:sz w:val="20"/>
                <w:szCs w:val="20"/>
              </w:rPr>
            </w:pPr>
            <w:r>
              <w:rPr>
                <w:rFonts w:hint="eastAsia"/>
                <w:sz w:val="20"/>
                <w:szCs w:val="20"/>
              </w:rPr>
              <w:t>项目编码或</w:t>
            </w:r>
          </w:p>
          <w:p w14:paraId="6A45E911">
            <w:pPr>
              <w:jc w:val="center"/>
              <w:rPr>
                <w:rFonts w:hint="eastAsia"/>
                <w:sz w:val="20"/>
                <w:szCs w:val="20"/>
              </w:rPr>
            </w:pPr>
            <w:r>
              <w:rPr>
                <w:rFonts w:hint="eastAsia"/>
                <w:sz w:val="20"/>
                <w:szCs w:val="20"/>
              </w:rPr>
              <w:t>项目名称或</w:t>
            </w:r>
          </w:p>
          <w:p w14:paraId="204D7893">
            <w:pPr>
              <w:jc w:val="center"/>
              <w:rPr>
                <w:rFonts w:hint="eastAsia"/>
                <w:sz w:val="20"/>
                <w:szCs w:val="20"/>
              </w:rPr>
            </w:pPr>
            <w:r>
              <w:rPr>
                <w:rFonts w:hint="eastAsia"/>
                <w:sz w:val="20"/>
                <w:szCs w:val="20"/>
              </w:rPr>
              <w:t>单位工程名称或单项工程名称或表格名称</w:t>
            </w:r>
          </w:p>
        </w:tc>
        <w:tc>
          <w:tcPr>
            <w:tcW w:w="1170" w:type="dxa"/>
            <w:tcBorders>
              <w:right w:val="single" w:color="auto" w:sz="6" w:space="0"/>
            </w:tcBorders>
            <w:noWrap w:val="0"/>
            <w:vAlign w:val="center"/>
          </w:tcPr>
          <w:p w14:paraId="140BE935">
            <w:pPr>
              <w:jc w:val="center"/>
              <w:rPr>
                <w:rFonts w:hint="eastAsia"/>
                <w:sz w:val="20"/>
                <w:szCs w:val="20"/>
              </w:rPr>
            </w:pPr>
            <w:r>
              <w:rPr>
                <w:rFonts w:hint="eastAsia"/>
                <w:sz w:val="20"/>
                <w:szCs w:val="20"/>
              </w:rPr>
              <w:t>人工费+材料费+机械费+管理费+利润不等于综合单价</w:t>
            </w:r>
          </w:p>
        </w:tc>
        <w:tc>
          <w:tcPr>
            <w:tcW w:w="1171" w:type="dxa"/>
            <w:gridSpan w:val="2"/>
            <w:tcBorders>
              <w:left w:val="single" w:color="auto" w:sz="6" w:space="0"/>
            </w:tcBorders>
            <w:noWrap w:val="0"/>
            <w:vAlign w:val="center"/>
          </w:tcPr>
          <w:p w14:paraId="68FA1B26">
            <w:pPr>
              <w:jc w:val="center"/>
              <w:rPr>
                <w:rFonts w:hint="eastAsia"/>
                <w:sz w:val="20"/>
                <w:szCs w:val="20"/>
              </w:rPr>
            </w:pPr>
            <w:r>
              <w:rPr>
                <w:rFonts w:hint="eastAsia"/>
                <w:sz w:val="20"/>
                <w:szCs w:val="20"/>
              </w:rPr>
              <w:t>综合单价×数量不等于总价</w:t>
            </w:r>
          </w:p>
        </w:tc>
        <w:tc>
          <w:tcPr>
            <w:tcW w:w="1171" w:type="dxa"/>
            <w:tcBorders>
              <w:left w:val="single" w:color="auto" w:sz="6" w:space="0"/>
            </w:tcBorders>
            <w:noWrap w:val="0"/>
            <w:vAlign w:val="center"/>
          </w:tcPr>
          <w:p w14:paraId="10685403">
            <w:pPr>
              <w:jc w:val="center"/>
              <w:rPr>
                <w:rFonts w:hint="eastAsia"/>
                <w:sz w:val="20"/>
                <w:szCs w:val="20"/>
              </w:rPr>
            </w:pPr>
            <w:r>
              <w:rPr>
                <w:rFonts w:hint="eastAsia"/>
                <w:sz w:val="20"/>
                <w:szCs w:val="20"/>
              </w:rPr>
              <w:t>各项费用分项之和不等于各项费用总价</w:t>
            </w:r>
          </w:p>
        </w:tc>
        <w:tc>
          <w:tcPr>
            <w:tcW w:w="1171" w:type="dxa"/>
            <w:tcBorders>
              <w:right w:val="single" w:color="auto" w:sz="6" w:space="0"/>
            </w:tcBorders>
            <w:noWrap w:val="0"/>
            <w:vAlign w:val="center"/>
          </w:tcPr>
          <w:p w14:paraId="7662C91A">
            <w:pPr>
              <w:jc w:val="center"/>
              <w:rPr>
                <w:rFonts w:hint="eastAsia"/>
                <w:sz w:val="20"/>
                <w:szCs w:val="20"/>
              </w:rPr>
            </w:pPr>
            <w:r>
              <w:rPr>
                <w:rFonts w:hint="eastAsia"/>
                <w:sz w:val="20"/>
                <w:szCs w:val="20"/>
              </w:rPr>
              <w:t>单位工程各项费用之和不等于总价</w:t>
            </w:r>
          </w:p>
        </w:tc>
        <w:tc>
          <w:tcPr>
            <w:tcW w:w="1171" w:type="dxa"/>
            <w:noWrap w:val="0"/>
            <w:vAlign w:val="center"/>
          </w:tcPr>
          <w:p w14:paraId="210038E7">
            <w:pPr>
              <w:jc w:val="center"/>
              <w:rPr>
                <w:rFonts w:hint="eastAsia"/>
                <w:sz w:val="20"/>
                <w:szCs w:val="20"/>
              </w:rPr>
            </w:pPr>
            <w:r>
              <w:rPr>
                <w:rFonts w:hint="eastAsia"/>
                <w:sz w:val="20"/>
                <w:szCs w:val="20"/>
              </w:rPr>
              <w:t>单位工程总价之和不等于单项工程总价</w:t>
            </w:r>
          </w:p>
        </w:tc>
        <w:tc>
          <w:tcPr>
            <w:tcW w:w="1171" w:type="dxa"/>
            <w:tcBorders>
              <w:right w:val="single" w:color="auto" w:sz="6" w:space="0"/>
            </w:tcBorders>
            <w:noWrap w:val="0"/>
            <w:vAlign w:val="center"/>
          </w:tcPr>
          <w:p w14:paraId="7813DE93">
            <w:pPr>
              <w:jc w:val="center"/>
              <w:rPr>
                <w:rFonts w:hint="eastAsia"/>
                <w:sz w:val="20"/>
                <w:szCs w:val="20"/>
              </w:rPr>
            </w:pPr>
            <w:r>
              <w:rPr>
                <w:rFonts w:hint="eastAsia"/>
                <w:sz w:val="20"/>
                <w:szCs w:val="20"/>
              </w:rPr>
              <w:t>单项工程总价之和不等于建设项目总价</w:t>
            </w:r>
          </w:p>
        </w:tc>
      </w:tr>
      <w:tr w14:paraId="3E67EE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56B807D4">
            <w:pPr>
              <w:jc w:val="center"/>
              <w:rPr>
                <w:rFonts w:hint="eastAsia" w:ascii="黑体" w:eastAsia="黑体"/>
                <w:sz w:val="20"/>
                <w:szCs w:val="20"/>
              </w:rPr>
            </w:pPr>
          </w:p>
        </w:tc>
        <w:tc>
          <w:tcPr>
            <w:tcW w:w="1170" w:type="dxa"/>
            <w:tcBorders>
              <w:right w:val="single" w:color="auto" w:sz="6" w:space="0"/>
            </w:tcBorders>
            <w:noWrap w:val="0"/>
            <w:vAlign w:val="center"/>
          </w:tcPr>
          <w:p w14:paraId="42B7287B">
            <w:pPr>
              <w:jc w:val="center"/>
              <w:rPr>
                <w:rFonts w:hint="eastAsia"/>
                <w:sz w:val="20"/>
                <w:szCs w:val="20"/>
              </w:rPr>
            </w:pPr>
          </w:p>
        </w:tc>
        <w:tc>
          <w:tcPr>
            <w:tcW w:w="1171" w:type="dxa"/>
            <w:gridSpan w:val="2"/>
            <w:tcBorders>
              <w:left w:val="single" w:color="auto" w:sz="6" w:space="0"/>
            </w:tcBorders>
            <w:noWrap w:val="0"/>
            <w:vAlign w:val="center"/>
          </w:tcPr>
          <w:p w14:paraId="37302119">
            <w:pPr>
              <w:jc w:val="center"/>
              <w:rPr>
                <w:rFonts w:hint="eastAsia"/>
                <w:sz w:val="20"/>
                <w:szCs w:val="20"/>
              </w:rPr>
            </w:pPr>
          </w:p>
        </w:tc>
        <w:tc>
          <w:tcPr>
            <w:tcW w:w="1171" w:type="dxa"/>
            <w:tcBorders>
              <w:left w:val="single" w:color="auto" w:sz="6" w:space="0"/>
            </w:tcBorders>
            <w:noWrap w:val="0"/>
            <w:vAlign w:val="center"/>
          </w:tcPr>
          <w:p w14:paraId="648C4809">
            <w:pPr>
              <w:jc w:val="center"/>
              <w:rPr>
                <w:rFonts w:hint="eastAsia"/>
                <w:sz w:val="20"/>
                <w:szCs w:val="20"/>
              </w:rPr>
            </w:pPr>
          </w:p>
        </w:tc>
        <w:tc>
          <w:tcPr>
            <w:tcW w:w="1171" w:type="dxa"/>
            <w:tcBorders>
              <w:right w:val="single" w:color="auto" w:sz="6" w:space="0"/>
            </w:tcBorders>
            <w:noWrap w:val="0"/>
            <w:vAlign w:val="center"/>
          </w:tcPr>
          <w:p w14:paraId="5D0ABA44">
            <w:pPr>
              <w:jc w:val="center"/>
              <w:rPr>
                <w:rFonts w:hint="eastAsia"/>
                <w:sz w:val="20"/>
                <w:szCs w:val="20"/>
              </w:rPr>
            </w:pPr>
          </w:p>
        </w:tc>
        <w:tc>
          <w:tcPr>
            <w:tcW w:w="1171" w:type="dxa"/>
            <w:noWrap w:val="0"/>
            <w:vAlign w:val="center"/>
          </w:tcPr>
          <w:p w14:paraId="21FBA6C9">
            <w:pPr>
              <w:jc w:val="center"/>
              <w:rPr>
                <w:rFonts w:hint="eastAsia"/>
                <w:sz w:val="20"/>
                <w:szCs w:val="20"/>
              </w:rPr>
            </w:pPr>
          </w:p>
        </w:tc>
        <w:tc>
          <w:tcPr>
            <w:tcW w:w="1171" w:type="dxa"/>
            <w:tcBorders>
              <w:right w:val="single" w:color="auto" w:sz="6" w:space="0"/>
            </w:tcBorders>
            <w:noWrap w:val="0"/>
            <w:vAlign w:val="center"/>
          </w:tcPr>
          <w:p w14:paraId="7C259B2C">
            <w:pPr>
              <w:jc w:val="center"/>
              <w:rPr>
                <w:rFonts w:hint="eastAsia"/>
                <w:sz w:val="20"/>
                <w:szCs w:val="20"/>
              </w:rPr>
            </w:pPr>
          </w:p>
        </w:tc>
      </w:tr>
      <w:tr w14:paraId="72E3643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5DF649E7">
            <w:pPr>
              <w:jc w:val="center"/>
              <w:rPr>
                <w:rFonts w:hint="eastAsia" w:ascii="黑体" w:eastAsia="黑体"/>
                <w:szCs w:val="21"/>
              </w:rPr>
            </w:pPr>
          </w:p>
        </w:tc>
        <w:tc>
          <w:tcPr>
            <w:tcW w:w="1170" w:type="dxa"/>
            <w:tcBorders>
              <w:right w:val="single" w:color="auto" w:sz="6" w:space="0"/>
            </w:tcBorders>
            <w:noWrap w:val="0"/>
            <w:vAlign w:val="center"/>
          </w:tcPr>
          <w:p w14:paraId="30333B7A">
            <w:pPr>
              <w:jc w:val="center"/>
              <w:rPr>
                <w:rFonts w:hint="eastAsia"/>
                <w:szCs w:val="21"/>
              </w:rPr>
            </w:pPr>
          </w:p>
        </w:tc>
        <w:tc>
          <w:tcPr>
            <w:tcW w:w="1171" w:type="dxa"/>
            <w:gridSpan w:val="2"/>
            <w:tcBorders>
              <w:left w:val="single" w:color="auto" w:sz="6" w:space="0"/>
            </w:tcBorders>
            <w:noWrap w:val="0"/>
            <w:vAlign w:val="center"/>
          </w:tcPr>
          <w:p w14:paraId="02A30268">
            <w:pPr>
              <w:jc w:val="center"/>
              <w:rPr>
                <w:rFonts w:hint="eastAsia"/>
                <w:szCs w:val="21"/>
              </w:rPr>
            </w:pPr>
          </w:p>
        </w:tc>
        <w:tc>
          <w:tcPr>
            <w:tcW w:w="1171" w:type="dxa"/>
            <w:tcBorders>
              <w:left w:val="single" w:color="auto" w:sz="6" w:space="0"/>
            </w:tcBorders>
            <w:noWrap w:val="0"/>
            <w:vAlign w:val="center"/>
          </w:tcPr>
          <w:p w14:paraId="2C71C712">
            <w:pPr>
              <w:jc w:val="center"/>
              <w:rPr>
                <w:rFonts w:hint="eastAsia"/>
                <w:szCs w:val="21"/>
              </w:rPr>
            </w:pPr>
          </w:p>
        </w:tc>
        <w:tc>
          <w:tcPr>
            <w:tcW w:w="1171" w:type="dxa"/>
            <w:tcBorders>
              <w:right w:val="single" w:color="auto" w:sz="6" w:space="0"/>
            </w:tcBorders>
            <w:noWrap w:val="0"/>
            <w:vAlign w:val="center"/>
          </w:tcPr>
          <w:p w14:paraId="08C55061">
            <w:pPr>
              <w:jc w:val="center"/>
              <w:rPr>
                <w:rFonts w:hint="eastAsia"/>
                <w:szCs w:val="21"/>
              </w:rPr>
            </w:pPr>
          </w:p>
        </w:tc>
        <w:tc>
          <w:tcPr>
            <w:tcW w:w="1171" w:type="dxa"/>
            <w:noWrap w:val="0"/>
            <w:vAlign w:val="center"/>
          </w:tcPr>
          <w:p w14:paraId="12FB755D">
            <w:pPr>
              <w:jc w:val="center"/>
              <w:rPr>
                <w:rFonts w:hint="eastAsia"/>
                <w:szCs w:val="21"/>
              </w:rPr>
            </w:pPr>
          </w:p>
        </w:tc>
        <w:tc>
          <w:tcPr>
            <w:tcW w:w="1171" w:type="dxa"/>
            <w:tcBorders>
              <w:right w:val="single" w:color="auto" w:sz="6" w:space="0"/>
            </w:tcBorders>
            <w:noWrap w:val="0"/>
            <w:vAlign w:val="center"/>
          </w:tcPr>
          <w:p w14:paraId="2BE8C7EE">
            <w:pPr>
              <w:jc w:val="center"/>
              <w:rPr>
                <w:rFonts w:hint="eastAsia"/>
                <w:szCs w:val="21"/>
              </w:rPr>
            </w:pPr>
          </w:p>
        </w:tc>
      </w:tr>
      <w:tr w14:paraId="0417877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2ED25DD7">
            <w:pPr>
              <w:jc w:val="center"/>
              <w:rPr>
                <w:rFonts w:hint="eastAsia" w:ascii="黑体" w:eastAsia="黑体"/>
                <w:szCs w:val="21"/>
              </w:rPr>
            </w:pPr>
          </w:p>
        </w:tc>
        <w:tc>
          <w:tcPr>
            <w:tcW w:w="1170" w:type="dxa"/>
            <w:tcBorders>
              <w:right w:val="single" w:color="auto" w:sz="6" w:space="0"/>
            </w:tcBorders>
            <w:noWrap w:val="0"/>
            <w:vAlign w:val="center"/>
          </w:tcPr>
          <w:p w14:paraId="5CE7B577">
            <w:pPr>
              <w:jc w:val="center"/>
              <w:rPr>
                <w:rFonts w:hint="eastAsia"/>
                <w:szCs w:val="21"/>
              </w:rPr>
            </w:pPr>
          </w:p>
        </w:tc>
        <w:tc>
          <w:tcPr>
            <w:tcW w:w="1171" w:type="dxa"/>
            <w:gridSpan w:val="2"/>
            <w:tcBorders>
              <w:left w:val="single" w:color="auto" w:sz="6" w:space="0"/>
            </w:tcBorders>
            <w:noWrap w:val="0"/>
            <w:vAlign w:val="center"/>
          </w:tcPr>
          <w:p w14:paraId="23D18C79">
            <w:pPr>
              <w:jc w:val="center"/>
              <w:rPr>
                <w:rFonts w:hint="eastAsia"/>
                <w:szCs w:val="21"/>
              </w:rPr>
            </w:pPr>
          </w:p>
        </w:tc>
        <w:tc>
          <w:tcPr>
            <w:tcW w:w="1171" w:type="dxa"/>
            <w:tcBorders>
              <w:left w:val="single" w:color="auto" w:sz="6" w:space="0"/>
            </w:tcBorders>
            <w:noWrap w:val="0"/>
            <w:vAlign w:val="center"/>
          </w:tcPr>
          <w:p w14:paraId="5CA00B06">
            <w:pPr>
              <w:jc w:val="center"/>
              <w:rPr>
                <w:rFonts w:hint="eastAsia"/>
                <w:szCs w:val="21"/>
              </w:rPr>
            </w:pPr>
          </w:p>
        </w:tc>
        <w:tc>
          <w:tcPr>
            <w:tcW w:w="1171" w:type="dxa"/>
            <w:tcBorders>
              <w:right w:val="single" w:color="auto" w:sz="6" w:space="0"/>
            </w:tcBorders>
            <w:noWrap w:val="0"/>
            <w:vAlign w:val="center"/>
          </w:tcPr>
          <w:p w14:paraId="56041479">
            <w:pPr>
              <w:jc w:val="center"/>
              <w:rPr>
                <w:rFonts w:hint="eastAsia"/>
                <w:szCs w:val="21"/>
              </w:rPr>
            </w:pPr>
          </w:p>
        </w:tc>
        <w:tc>
          <w:tcPr>
            <w:tcW w:w="1171" w:type="dxa"/>
            <w:noWrap w:val="0"/>
            <w:vAlign w:val="center"/>
          </w:tcPr>
          <w:p w14:paraId="1FBA20DE">
            <w:pPr>
              <w:jc w:val="center"/>
              <w:rPr>
                <w:rFonts w:hint="eastAsia"/>
                <w:szCs w:val="21"/>
              </w:rPr>
            </w:pPr>
          </w:p>
        </w:tc>
        <w:tc>
          <w:tcPr>
            <w:tcW w:w="1171" w:type="dxa"/>
            <w:tcBorders>
              <w:right w:val="single" w:color="auto" w:sz="6" w:space="0"/>
            </w:tcBorders>
            <w:noWrap w:val="0"/>
            <w:vAlign w:val="center"/>
          </w:tcPr>
          <w:p w14:paraId="6D34ABE5">
            <w:pPr>
              <w:jc w:val="center"/>
              <w:rPr>
                <w:rFonts w:hint="eastAsia"/>
                <w:szCs w:val="21"/>
              </w:rPr>
            </w:pPr>
          </w:p>
        </w:tc>
      </w:tr>
      <w:tr w14:paraId="2AEE209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071FF0E5">
            <w:pPr>
              <w:jc w:val="center"/>
              <w:rPr>
                <w:rFonts w:hint="eastAsia" w:ascii="黑体" w:eastAsia="黑体"/>
                <w:szCs w:val="21"/>
              </w:rPr>
            </w:pPr>
          </w:p>
        </w:tc>
        <w:tc>
          <w:tcPr>
            <w:tcW w:w="1170" w:type="dxa"/>
            <w:tcBorders>
              <w:right w:val="single" w:color="auto" w:sz="6" w:space="0"/>
            </w:tcBorders>
            <w:noWrap w:val="0"/>
            <w:vAlign w:val="center"/>
          </w:tcPr>
          <w:p w14:paraId="1B018CEB">
            <w:pPr>
              <w:jc w:val="center"/>
              <w:rPr>
                <w:rFonts w:hint="eastAsia"/>
                <w:szCs w:val="21"/>
              </w:rPr>
            </w:pPr>
          </w:p>
        </w:tc>
        <w:tc>
          <w:tcPr>
            <w:tcW w:w="1171" w:type="dxa"/>
            <w:gridSpan w:val="2"/>
            <w:tcBorders>
              <w:left w:val="single" w:color="auto" w:sz="6" w:space="0"/>
            </w:tcBorders>
            <w:noWrap w:val="0"/>
            <w:vAlign w:val="center"/>
          </w:tcPr>
          <w:p w14:paraId="2C5EEC75">
            <w:pPr>
              <w:jc w:val="center"/>
              <w:rPr>
                <w:rFonts w:hint="eastAsia"/>
                <w:szCs w:val="21"/>
              </w:rPr>
            </w:pPr>
          </w:p>
        </w:tc>
        <w:tc>
          <w:tcPr>
            <w:tcW w:w="1171" w:type="dxa"/>
            <w:tcBorders>
              <w:left w:val="single" w:color="auto" w:sz="6" w:space="0"/>
            </w:tcBorders>
            <w:noWrap w:val="0"/>
            <w:vAlign w:val="center"/>
          </w:tcPr>
          <w:p w14:paraId="6523E88A">
            <w:pPr>
              <w:jc w:val="center"/>
              <w:rPr>
                <w:rFonts w:hint="eastAsia"/>
                <w:szCs w:val="21"/>
              </w:rPr>
            </w:pPr>
          </w:p>
        </w:tc>
        <w:tc>
          <w:tcPr>
            <w:tcW w:w="1171" w:type="dxa"/>
            <w:tcBorders>
              <w:right w:val="single" w:color="auto" w:sz="6" w:space="0"/>
            </w:tcBorders>
            <w:noWrap w:val="0"/>
            <w:vAlign w:val="center"/>
          </w:tcPr>
          <w:p w14:paraId="2579911D">
            <w:pPr>
              <w:jc w:val="center"/>
              <w:rPr>
                <w:rFonts w:hint="eastAsia"/>
                <w:szCs w:val="21"/>
              </w:rPr>
            </w:pPr>
          </w:p>
        </w:tc>
        <w:tc>
          <w:tcPr>
            <w:tcW w:w="1171" w:type="dxa"/>
            <w:noWrap w:val="0"/>
            <w:vAlign w:val="center"/>
          </w:tcPr>
          <w:p w14:paraId="002F7229">
            <w:pPr>
              <w:jc w:val="center"/>
              <w:rPr>
                <w:rFonts w:hint="eastAsia"/>
                <w:szCs w:val="21"/>
              </w:rPr>
            </w:pPr>
          </w:p>
        </w:tc>
        <w:tc>
          <w:tcPr>
            <w:tcW w:w="1171" w:type="dxa"/>
            <w:tcBorders>
              <w:right w:val="single" w:color="auto" w:sz="6" w:space="0"/>
            </w:tcBorders>
            <w:noWrap w:val="0"/>
            <w:vAlign w:val="center"/>
          </w:tcPr>
          <w:p w14:paraId="46310288">
            <w:pPr>
              <w:jc w:val="center"/>
              <w:rPr>
                <w:rFonts w:hint="eastAsia"/>
                <w:szCs w:val="21"/>
              </w:rPr>
            </w:pPr>
          </w:p>
        </w:tc>
      </w:tr>
      <w:tr w14:paraId="5D1A0F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345BCF96">
            <w:pPr>
              <w:jc w:val="center"/>
              <w:rPr>
                <w:rFonts w:hint="eastAsia" w:ascii="黑体" w:eastAsia="黑体"/>
                <w:szCs w:val="21"/>
              </w:rPr>
            </w:pPr>
          </w:p>
        </w:tc>
        <w:tc>
          <w:tcPr>
            <w:tcW w:w="1170" w:type="dxa"/>
            <w:tcBorders>
              <w:right w:val="single" w:color="auto" w:sz="6" w:space="0"/>
            </w:tcBorders>
            <w:noWrap w:val="0"/>
            <w:vAlign w:val="center"/>
          </w:tcPr>
          <w:p w14:paraId="18D17DEC">
            <w:pPr>
              <w:jc w:val="center"/>
              <w:rPr>
                <w:rFonts w:hint="eastAsia"/>
                <w:szCs w:val="21"/>
              </w:rPr>
            </w:pPr>
          </w:p>
        </w:tc>
        <w:tc>
          <w:tcPr>
            <w:tcW w:w="1171" w:type="dxa"/>
            <w:gridSpan w:val="2"/>
            <w:tcBorders>
              <w:left w:val="single" w:color="auto" w:sz="6" w:space="0"/>
            </w:tcBorders>
            <w:noWrap w:val="0"/>
            <w:vAlign w:val="center"/>
          </w:tcPr>
          <w:p w14:paraId="4D0ED709">
            <w:pPr>
              <w:jc w:val="center"/>
              <w:rPr>
                <w:rFonts w:hint="eastAsia"/>
                <w:szCs w:val="21"/>
              </w:rPr>
            </w:pPr>
          </w:p>
        </w:tc>
        <w:tc>
          <w:tcPr>
            <w:tcW w:w="1171" w:type="dxa"/>
            <w:tcBorders>
              <w:left w:val="single" w:color="auto" w:sz="6" w:space="0"/>
            </w:tcBorders>
            <w:noWrap w:val="0"/>
            <w:vAlign w:val="center"/>
          </w:tcPr>
          <w:p w14:paraId="05F754DD">
            <w:pPr>
              <w:jc w:val="center"/>
              <w:rPr>
                <w:rFonts w:hint="eastAsia"/>
                <w:szCs w:val="21"/>
              </w:rPr>
            </w:pPr>
          </w:p>
        </w:tc>
        <w:tc>
          <w:tcPr>
            <w:tcW w:w="1171" w:type="dxa"/>
            <w:tcBorders>
              <w:right w:val="single" w:color="auto" w:sz="6" w:space="0"/>
            </w:tcBorders>
            <w:noWrap w:val="0"/>
            <w:vAlign w:val="center"/>
          </w:tcPr>
          <w:p w14:paraId="42F894DD">
            <w:pPr>
              <w:jc w:val="center"/>
              <w:rPr>
                <w:rFonts w:hint="eastAsia"/>
                <w:szCs w:val="21"/>
              </w:rPr>
            </w:pPr>
          </w:p>
        </w:tc>
        <w:tc>
          <w:tcPr>
            <w:tcW w:w="1171" w:type="dxa"/>
            <w:noWrap w:val="0"/>
            <w:vAlign w:val="center"/>
          </w:tcPr>
          <w:p w14:paraId="3D595A49">
            <w:pPr>
              <w:jc w:val="center"/>
              <w:rPr>
                <w:rFonts w:hint="eastAsia"/>
                <w:szCs w:val="21"/>
              </w:rPr>
            </w:pPr>
          </w:p>
        </w:tc>
        <w:tc>
          <w:tcPr>
            <w:tcW w:w="1171" w:type="dxa"/>
            <w:tcBorders>
              <w:right w:val="single" w:color="auto" w:sz="6" w:space="0"/>
            </w:tcBorders>
            <w:noWrap w:val="0"/>
            <w:vAlign w:val="center"/>
          </w:tcPr>
          <w:p w14:paraId="57B20D8F">
            <w:pPr>
              <w:jc w:val="center"/>
              <w:rPr>
                <w:rFonts w:hint="eastAsia"/>
                <w:szCs w:val="21"/>
              </w:rPr>
            </w:pPr>
          </w:p>
        </w:tc>
      </w:tr>
      <w:tr w14:paraId="28F6866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23" w:type="dxa"/>
            <w:noWrap w:val="0"/>
            <w:vAlign w:val="center"/>
          </w:tcPr>
          <w:p w14:paraId="2678A2CE">
            <w:pPr>
              <w:jc w:val="center"/>
              <w:rPr>
                <w:rFonts w:hint="eastAsia" w:ascii="黑体" w:eastAsia="黑体"/>
                <w:szCs w:val="21"/>
              </w:rPr>
            </w:pPr>
          </w:p>
        </w:tc>
        <w:tc>
          <w:tcPr>
            <w:tcW w:w="1170" w:type="dxa"/>
            <w:tcBorders>
              <w:right w:val="single" w:color="auto" w:sz="6" w:space="0"/>
            </w:tcBorders>
            <w:noWrap w:val="0"/>
            <w:vAlign w:val="center"/>
          </w:tcPr>
          <w:p w14:paraId="2C77D43C">
            <w:pPr>
              <w:jc w:val="center"/>
              <w:rPr>
                <w:rFonts w:hint="eastAsia"/>
                <w:szCs w:val="21"/>
              </w:rPr>
            </w:pPr>
          </w:p>
        </w:tc>
        <w:tc>
          <w:tcPr>
            <w:tcW w:w="1171" w:type="dxa"/>
            <w:gridSpan w:val="2"/>
            <w:tcBorders>
              <w:left w:val="single" w:color="auto" w:sz="6" w:space="0"/>
            </w:tcBorders>
            <w:noWrap w:val="0"/>
            <w:vAlign w:val="center"/>
          </w:tcPr>
          <w:p w14:paraId="78772689">
            <w:pPr>
              <w:jc w:val="center"/>
              <w:rPr>
                <w:rFonts w:hint="eastAsia"/>
                <w:szCs w:val="21"/>
              </w:rPr>
            </w:pPr>
          </w:p>
        </w:tc>
        <w:tc>
          <w:tcPr>
            <w:tcW w:w="1171" w:type="dxa"/>
            <w:tcBorders>
              <w:left w:val="single" w:color="auto" w:sz="6" w:space="0"/>
            </w:tcBorders>
            <w:noWrap w:val="0"/>
            <w:vAlign w:val="center"/>
          </w:tcPr>
          <w:p w14:paraId="57B4F0FE">
            <w:pPr>
              <w:jc w:val="center"/>
              <w:rPr>
                <w:rFonts w:hint="eastAsia"/>
                <w:szCs w:val="21"/>
              </w:rPr>
            </w:pPr>
          </w:p>
        </w:tc>
        <w:tc>
          <w:tcPr>
            <w:tcW w:w="1171" w:type="dxa"/>
            <w:tcBorders>
              <w:right w:val="single" w:color="auto" w:sz="6" w:space="0"/>
            </w:tcBorders>
            <w:noWrap w:val="0"/>
            <w:vAlign w:val="center"/>
          </w:tcPr>
          <w:p w14:paraId="7A15E6E9">
            <w:pPr>
              <w:jc w:val="center"/>
              <w:rPr>
                <w:rFonts w:hint="eastAsia"/>
                <w:szCs w:val="21"/>
              </w:rPr>
            </w:pPr>
          </w:p>
        </w:tc>
        <w:tc>
          <w:tcPr>
            <w:tcW w:w="1171" w:type="dxa"/>
            <w:noWrap w:val="0"/>
            <w:vAlign w:val="center"/>
          </w:tcPr>
          <w:p w14:paraId="1FF68164">
            <w:pPr>
              <w:jc w:val="center"/>
              <w:rPr>
                <w:rFonts w:hint="eastAsia"/>
                <w:szCs w:val="21"/>
              </w:rPr>
            </w:pPr>
          </w:p>
        </w:tc>
        <w:tc>
          <w:tcPr>
            <w:tcW w:w="1171" w:type="dxa"/>
            <w:tcBorders>
              <w:right w:val="single" w:color="auto" w:sz="6" w:space="0"/>
            </w:tcBorders>
            <w:noWrap w:val="0"/>
            <w:vAlign w:val="center"/>
          </w:tcPr>
          <w:p w14:paraId="11466A58">
            <w:pPr>
              <w:jc w:val="center"/>
              <w:rPr>
                <w:rFonts w:hint="eastAsia"/>
                <w:szCs w:val="21"/>
              </w:rPr>
            </w:pPr>
          </w:p>
        </w:tc>
      </w:tr>
    </w:tbl>
    <w:p w14:paraId="3190946B">
      <w:pPr>
        <w:spacing w:line="420" w:lineRule="exact"/>
        <w:rPr>
          <w:rFonts w:hint="eastAsia" w:ascii="宋体" w:hAnsi="宋体"/>
          <w:szCs w:val="21"/>
        </w:rPr>
      </w:pPr>
    </w:p>
    <w:p w14:paraId="28E903AE">
      <w:pPr>
        <w:spacing w:line="420" w:lineRule="exact"/>
        <w:rPr>
          <w:rFonts w:hint="eastAsia" w:ascii="宋体" w:hAnsi="宋体"/>
          <w:szCs w:val="21"/>
        </w:rPr>
      </w:pPr>
      <w:r>
        <w:rPr>
          <w:rFonts w:hint="eastAsia" w:ascii="宋体" w:hAnsi="宋体"/>
          <w:szCs w:val="21"/>
        </w:rPr>
        <w:t>评标委员会成员签名：                                     日期:     年     月     日</w:t>
      </w:r>
    </w:p>
    <w:p w14:paraId="7068E913">
      <w:pPr>
        <w:rPr>
          <w:rFonts w:hint="eastAsia" w:ascii="黑体" w:eastAsia="黑体"/>
          <w:szCs w:val="21"/>
        </w:rPr>
      </w:pPr>
    </w:p>
    <w:p w14:paraId="4682A3C1">
      <w:pPr>
        <w:rPr>
          <w:rFonts w:hint="eastAsia" w:ascii="黑体" w:eastAsia="黑体"/>
          <w:szCs w:val="21"/>
        </w:rPr>
      </w:pPr>
    </w:p>
    <w:p w14:paraId="6D145186">
      <w:pPr>
        <w:rPr>
          <w:rFonts w:hint="eastAsia" w:ascii="黑体" w:eastAsia="黑体"/>
          <w:szCs w:val="21"/>
        </w:rPr>
      </w:pPr>
    </w:p>
    <w:p w14:paraId="285C238F">
      <w:pPr>
        <w:rPr>
          <w:rFonts w:hint="eastAsia" w:ascii="黑体" w:eastAsia="黑体"/>
          <w:szCs w:val="21"/>
        </w:rPr>
      </w:pPr>
    </w:p>
    <w:p w14:paraId="51ACEE1B">
      <w:pPr>
        <w:rPr>
          <w:rFonts w:hint="eastAsia" w:ascii="黑体" w:eastAsia="黑体"/>
          <w:szCs w:val="21"/>
        </w:rPr>
      </w:pPr>
    </w:p>
    <w:p w14:paraId="38CC0D2F">
      <w:pPr>
        <w:rPr>
          <w:rFonts w:hint="eastAsia" w:ascii="黑体" w:eastAsia="黑体"/>
          <w:szCs w:val="21"/>
        </w:rPr>
      </w:pPr>
    </w:p>
    <w:p w14:paraId="5C5D94A5">
      <w:pPr>
        <w:rPr>
          <w:rFonts w:hint="eastAsia" w:ascii="黑体" w:eastAsia="黑体"/>
          <w:szCs w:val="21"/>
        </w:rPr>
      </w:pPr>
    </w:p>
    <w:p w14:paraId="1DA44B68">
      <w:pPr>
        <w:rPr>
          <w:rFonts w:hint="eastAsia" w:ascii="黑体" w:eastAsia="黑体"/>
          <w:szCs w:val="21"/>
        </w:rPr>
      </w:pPr>
    </w:p>
    <w:p w14:paraId="19C72338">
      <w:pPr>
        <w:rPr>
          <w:rFonts w:hint="eastAsia" w:ascii="黑体" w:eastAsia="黑体"/>
          <w:szCs w:val="21"/>
        </w:rPr>
      </w:pPr>
    </w:p>
    <w:p w14:paraId="74BC1B05">
      <w:pPr>
        <w:rPr>
          <w:rFonts w:hint="eastAsia" w:ascii="黑体" w:eastAsia="黑体"/>
          <w:szCs w:val="21"/>
        </w:rPr>
      </w:pPr>
    </w:p>
    <w:p w14:paraId="4E0A9F1C">
      <w:pPr>
        <w:ind w:left="420" w:hanging="420" w:hangingChars="200"/>
        <w:rPr>
          <w:rFonts w:hint="eastAsia"/>
        </w:rPr>
      </w:pPr>
      <w:r>
        <w:rPr>
          <w:rFonts w:hint="eastAsia"/>
        </w:rPr>
        <w:t>注：“算术错误检查”是指按评标办法正文部分“算术错误修正原则”，对已标价的工程量清单相应表格中可能存在的计算错误进行检查，并将检查结果记录在上述表格中。</w:t>
      </w:r>
    </w:p>
    <w:p w14:paraId="188DF89B">
      <w:pPr>
        <w:rPr>
          <w:rFonts w:hint="eastAsia" w:ascii="黑体" w:eastAsia="黑体"/>
          <w:szCs w:val="21"/>
        </w:rPr>
      </w:pPr>
    </w:p>
    <w:p w14:paraId="5BBA09F1">
      <w:pPr>
        <w:rPr>
          <w:rFonts w:hint="eastAsia" w:ascii="黑体" w:eastAsia="黑体"/>
          <w:szCs w:val="21"/>
        </w:rPr>
      </w:pPr>
    </w:p>
    <w:p w14:paraId="05E97902">
      <w:pPr>
        <w:spacing w:after="240" w:afterLines="100"/>
        <w:rPr>
          <w:rFonts w:hint="eastAsia" w:ascii="黑体" w:eastAsia="黑体"/>
          <w:sz w:val="24"/>
        </w:rPr>
      </w:pPr>
    </w:p>
    <w:p w14:paraId="30A92527">
      <w:pPr>
        <w:pStyle w:val="20"/>
        <w:rPr>
          <w:rFonts w:hint="eastAsia"/>
        </w:rPr>
      </w:pPr>
      <w:bookmarkStart w:id="448" w:name="_Toc108513675"/>
      <w:r>
        <w:rPr>
          <w:rFonts w:hint="eastAsia"/>
        </w:rPr>
        <w:t>附表C-7：清标报告-算术错误分析及修正记录表</w:t>
      </w:r>
      <w:bookmarkEnd w:id="448"/>
    </w:p>
    <w:p w14:paraId="0597B422">
      <w:pPr>
        <w:rPr>
          <w:rFonts w:hint="eastAsia" w:ascii="黑体" w:eastAsia="黑体"/>
          <w:szCs w:val="21"/>
        </w:rPr>
      </w:pPr>
    </w:p>
    <w:p w14:paraId="05B680B2">
      <w:pPr>
        <w:spacing w:before="120" w:beforeLines="50" w:after="120" w:afterLines="50"/>
        <w:jc w:val="center"/>
        <w:rPr>
          <w:rFonts w:hint="eastAsia" w:ascii="黑体" w:eastAsia="黑体"/>
          <w:sz w:val="32"/>
          <w:szCs w:val="32"/>
        </w:rPr>
      </w:pPr>
      <w:r>
        <w:rPr>
          <w:rFonts w:hint="eastAsia" w:ascii="黑体" w:eastAsia="黑体"/>
          <w:sz w:val="32"/>
          <w:szCs w:val="32"/>
        </w:rPr>
        <w:t>清标报告-算术错误分析及修正记录表</w:t>
      </w:r>
    </w:p>
    <w:p w14:paraId="43EAEF13">
      <w:pPr>
        <w:rPr>
          <w:rFonts w:hint="eastAsia" w:ascii="宋体" w:hAnsi="宋体"/>
          <w:szCs w:val="21"/>
        </w:rPr>
      </w:pPr>
      <w:r>
        <w:rPr>
          <w:rFonts w:hint="eastAsia" w:ascii="宋体" w:hAnsi="宋体"/>
          <w:szCs w:val="21"/>
        </w:rPr>
        <w:t>投标人名称：</w:t>
      </w:r>
    </w:p>
    <w:p w14:paraId="1B39F96F">
      <w:pPr>
        <w:rPr>
          <w:rFonts w:hint="eastAsia" w:ascii="宋体" w:hAnsi="宋体"/>
          <w:szCs w:val="21"/>
        </w:rPr>
      </w:pP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367"/>
        <w:gridCol w:w="1431"/>
        <w:gridCol w:w="1432"/>
        <w:gridCol w:w="1431"/>
        <w:gridCol w:w="2032"/>
      </w:tblGrid>
      <w:tr w14:paraId="01D9A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779" w:type="dxa"/>
            <w:noWrap w:val="0"/>
            <w:vAlign w:val="center"/>
          </w:tcPr>
          <w:p w14:paraId="79B121CB">
            <w:pPr>
              <w:jc w:val="center"/>
              <w:rPr>
                <w:rFonts w:hint="eastAsia" w:ascii="宋体" w:hAnsi="宋体"/>
                <w:szCs w:val="21"/>
              </w:rPr>
            </w:pPr>
            <w:r>
              <w:rPr>
                <w:rFonts w:hint="eastAsia" w:ascii="宋体" w:hAnsi="宋体"/>
                <w:szCs w:val="21"/>
              </w:rPr>
              <w:t>序号</w:t>
            </w:r>
          </w:p>
        </w:tc>
        <w:tc>
          <w:tcPr>
            <w:tcW w:w="1367" w:type="dxa"/>
            <w:noWrap w:val="0"/>
            <w:vAlign w:val="center"/>
          </w:tcPr>
          <w:p w14:paraId="7ECDEDA0">
            <w:pPr>
              <w:jc w:val="center"/>
              <w:rPr>
                <w:rFonts w:hint="eastAsia" w:ascii="宋体" w:hAnsi="宋体"/>
                <w:szCs w:val="21"/>
              </w:rPr>
            </w:pPr>
            <w:r>
              <w:rPr>
                <w:rFonts w:hint="eastAsia" w:ascii="宋体" w:hAnsi="宋体"/>
                <w:szCs w:val="21"/>
              </w:rPr>
              <w:t>项目名称</w:t>
            </w:r>
          </w:p>
        </w:tc>
        <w:tc>
          <w:tcPr>
            <w:tcW w:w="1431" w:type="dxa"/>
            <w:noWrap w:val="0"/>
            <w:vAlign w:val="center"/>
          </w:tcPr>
          <w:p w14:paraId="0B0240B1">
            <w:pPr>
              <w:jc w:val="center"/>
              <w:rPr>
                <w:rFonts w:hint="eastAsia" w:ascii="宋体" w:hAnsi="宋体"/>
                <w:szCs w:val="21"/>
              </w:rPr>
            </w:pPr>
            <w:r>
              <w:rPr>
                <w:rFonts w:hint="eastAsia" w:ascii="宋体" w:hAnsi="宋体"/>
                <w:szCs w:val="21"/>
              </w:rPr>
              <w:t>投标价格</w:t>
            </w:r>
          </w:p>
        </w:tc>
        <w:tc>
          <w:tcPr>
            <w:tcW w:w="1432" w:type="dxa"/>
            <w:noWrap w:val="0"/>
            <w:vAlign w:val="center"/>
          </w:tcPr>
          <w:p w14:paraId="3A7F2D5E">
            <w:pPr>
              <w:jc w:val="center"/>
              <w:rPr>
                <w:rFonts w:hint="eastAsia" w:ascii="宋体" w:hAnsi="宋体"/>
                <w:szCs w:val="21"/>
              </w:rPr>
            </w:pPr>
            <w:r>
              <w:rPr>
                <w:rFonts w:hint="eastAsia" w:ascii="宋体" w:hAnsi="宋体"/>
                <w:szCs w:val="21"/>
              </w:rPr>
              <w:t>算术正确投</w:t>
            </w:r>
          </w:p>
          <w:p w14:paraId="095BEE57">
            <w:pPr>
              <w:jc w:val="center"/>
              <w:rPr>
                <w:rFonts w:hint="eastAsia" w:ascii="宋体" w:hAnsi="宋体"/>
                <w:szCs w:val="21"/>
              </w:rPr>
            </w:pPr>
            <w:r>
              <w:rPr>
                <w:rFonts w:hint="eastAsia" w:ascii="宋体" w:hAnsi="宋体"/>
                <w:szCs w:val="21"/>
              </w:rPr>
              <w:t>标价</w:t>
            </w:r>
          </w:p>
        </w:tc>
        <w:tc>
          <w:tcPr>
            <w:tcW w:w="1431" w:type="dxa"/>
            <w:noWrap w:val="0"/>
            <w:vAlign w:val="center"/>
          </w:tcPr>
          <w:p w14:paraId="76E54BF5">
            <w:pPr>
              <w:jc w:val="center"/>
              <w:rPr>
                <w:rFonts w:hint="eastAsia" w:ascii="宋体" w:hAnsi="宋体"/>
                <w:szCs w:val="21"/>
              </w:rPr>
            </w:pPr>
            <w:r>
              <w:rPr>
                <w:rFonts w:hint="eastAsia" w:ascii="宋体" w:hAnsi="宋体"/>
                <w:szCs w:val="21"/>
              </w:rPr>
              <w:t>差额</w:t>
            </w:r>
          </w:p>
          <w:p w14:paraId="2490AF8E">
            <w:pPr>
              <w:jc w:val="center"/>
              <w:rPr>
                <w:rFonts w:hint="eastAsia" w:ascii="宋体" w:hAnsi="宋体"/>
                <w:szCs w:val="21"/>
              </w:rPr>
            </w:pPr>
            <w:r>
              <w:rPr>
                <w:rFonts w:hint="eastAsia" w:ascii="宋体" w:hAnsi="宋体"/>
                <w:szCs w:val="21"/>
              </w:rPr>
              <w:t>（代数值）</w:t>
            </w:r>
          </w:p>
        </w:tc>
        <w:tc>
          <w:tcPr>
            <w:tcW w:w="2032" w:type="dxa"/>
            <w:noWrap w:val="0"/>
            <w:vAlign w:val="center"/>
          </w:tcPr>
          <w:p w14:paraId="432BED9F">
            <w:pPr>
              <w:jc w:val="center"/>
              <w:rPr>
                <w:rFonts w:hint="eastAsia" w:ascii="宋体" w:hAnsi="宋体"/>
                <w:szCs w:val="21"/>
              </w:rPr>
            </w:pPr>
            <w:r>
              <w:rPr>
                <w:rFonts w:hint="eastAsia" w:ascii="宋体" w:hAnsi="宋体"/>
                <w:szCs w:val="21"/>
              </w:rPr>
              <w:t>有关事项备注</w:t>
            </w:r>
          </w:p>
        </w:tc>
      </w:tr>
      <w:tr w14:paraId="11C7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34A00C04">
            <w:pPr>
              <w:jc w:val="center"/>
              <w:rPr>
                <w:rFonts w:hint="eastAsia" w:ascii="宋体" w:hAnsi="宋体"/>
                <w:szCs w:val="21"/>
              </w:rPr>
            </w:pPr>
          </w:p>
        </w:tc>
        <w:tc>
          <w:tcPr>
            <w:tcW w:w="1367" w:type="dxa"/>
            <w:noWrap w:val="0"/>
            <w:vAlign w:val="center"/>
          </w:tcPr>
          <w:p w14:paraId="439DEA3D">
            <w:pPr>
              <w:jc w:val="center"/>
              <w:rPr>
                <w:rFonts w:hint="eastAsia" w:ascii="宋体" w:hAnsi="宋体"/>
                <w:szCs w:val="21"/>
              </w:rPr>
            </w:pPr>
          </w:p>
        </w:tc>
        <w:tc>
          <w:tcPr>
            <w:tcW w:w="1431" w:type="dxa"/>
            <w:noWrap w:val="0"/>
            <w:vAlign w:val="center"/>
          </w:tcPr>
          <w:p w14:paraId="3DA5DA12">
            <w:pPr>
              <w:jc w:val="center"/>
              <w:rPr>
                <w:rFonts w:hint="eastAsia" w:ascii="宋体" w:hAnsi="宋体"/>
                <w:szCs w:val="21"/>
              </w:rPr>
            </w:pPr>
          </w:p>
        </w:tc>
        <w:tc>
          <w:tcPr>
            <w:tcW w:w="1432" w:type="dxa"/>
            <w:noWrap w:val="0"/>
            <w:vAlign w:val="center"/>
          </w:tcPr>
          <w:p w14:paraId="6C43E42B">
            <w:pPr>
              <w:jc w:val="center"/>
              <w:rPr>
                <w:rFonts w:hint="eastAsia" w:ascii="宋体" w:hAnsi="宋体"/>
                <w:szCs w:val="21"/>
              </w:rPr>
            </w:pPr>
          </w:p>
        </w:tc>
        <w:tc>
          <w:tcPr>
            <w:tcW w:w="1431" w:type="dxa"/>
            <w:noWrap w:val="0"/>
            <w:vAlign w:val="center"/>
          </w:tcPr>
          <w:p w14:paraId="41B1DFC1">
            <w:pPr>
              <w:jc w:val="center"/>
              <w:rPr>
                <w:rFonts w:hint="eastAsia" w:ascii="宋体" w:hAnsi="宋体"/>
                <w:szCs w:val="21"/>
              </w:rPr>
            </w:pPr>
          </w:p>
        </w:tc>
        <w:tc>
          <w:tcPr>
            <w:tcW w:w="2032" w:type="dxa"/>
            <w:noWrap w:val="0"/>
            <w:vAlign w:val="center"/>
          </w:tcPr>
          <w:p w14:paraId="0C38BB05">
            <w:pPr>
              <w:jc w:val="center"/>
              <w:rPr>
                <w:rFonts w:hint="eastAsia" w:ascii="宋体" w:hAnsi="宋体"/>
                <w:szCs w:val="21"/>
              </w:rPr>
            </w:pPr>
          </w:p>
        </w:tc>
      </w:tr>
      <w:tr w14:paraId="7B0E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024961F7">
            <w:pPr>
              <w:jc w:val="center"/>
              <w:rPr>
                <w:rFonts w:hint="eastAsia" w:ascii="宋体" w:hAnsi="宋体"/>
                <w:szCs w:val="21"/>
              </w:rPr>
            </w:pPr>
          </w:p>
        </w:tc>
        <w:tc>
          <w:tcPr>
            <w:tcW w:w="1367" w:type="dxa"/>
            <w:noWrap w:val="0"/>
            <w:vAlign w:val="center"/>
          </w:tcPr>
          <w:p w14:paraId="53402874">
            <w:pPr>
              <w:jc w:val="center"/>
              <w:rPr>
                <w:rFonts w:hint="eastAsia" w:ascii="宋体" w:hAnsi="宋体"/>
                <w:szCs w:val="21"/>
              </w:rPr>
            </w:pPr>
          </w:p>
        </w:tc>
        <w:tc>
          <w:tcPr>
            <w:tcW w:w="1431" w:type="dxa"/>
            <w:noWrap w:val="0"/>
            <w:vAlign w:val="center"/>
          </w:tcPr>
          <w:p w14:paraId="5C184313">
            <w:pPr>
              <w:jc w:val="center"/>
              <w:rPr>
                <w:rFonts w:hint="eastAsia" w:ascii="宋体" w:hAnsi="宋体"/>
                <w:szCs w:val="21"/>
              </w:rPr>
            </w:pPr>
          </w:p>
        </w:tc>
        <w:tc>
          <w:tcPr>
            <w:tcW w:w="1432" w:type="dxa"/>
            <w:noWrap w:val="0"/>
            <w:vAlign w:val="center"/>
          </w:tcPr>
          <w:p w14:paraId="30025763">
            <w:pPr>
              <w:jc w:val="center"/>
              <w:rPr>
                <w:rFonts w:hint="eastAsia" w:ascii="宋体" w:hAnsi="宋体"/>
                <w:szCs w:val="21"/>
              </w:rPr>
            </w:pPr>
          </w:p>
        </w:tc>
        <w:tc>
          <w:tcPr>
            <w:tcW w:w="1431" w:type="dxa"/>
            <w:noWrap w:val="0"/>
            <w:vAlign w:val="center"/>
          </w:tcPr>
          <w:p w14:paraId="100BDA1C">
            <w:pPr>
              <w:jc w:val="center"/>
              <w:rPr>
                <w:rFonts w:hint="eastAsia" w:ascii="宋体" w:hAnsi="宋体"/>
                <w:szCs w:val="21"/>
              </w:rPr>
            </w:pPr>
          </w:p>
        </w:tc>
        <w:tc>
          <w:tcPr>
            <w:tcW w:w="2032" w:type="dxa"/>
            <w:noWrap w:val="0"/>
            <w:vAlign w:val="center"/>
          </w:tcPr>
          <w:p w14:paraId="43580962">
            <w:pPr>
              <w:jc w:val="center"/>
              <w:rPr>
                <w:rFonts w:hint="eastAsia" w:ascii="宋体" w:hAnsi="宋体"/>
                <w:szCs w:val="21"/>
              </w:rPr>
            </w:pPr>
          </w:p>
        </w:tc>
      </w:tr>
      <w:tr w14:paraId="160A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204A234E">
            <w:pPr>
              <w:jc w:val="center"/>
              <w:rPr>
                <w:rFonts w:hint="eastAsia" w:ascii="宋体" w:hAnsi="宋体"/>
                <w:szCs w:val="21"/>
              </w:rPr>
            </w:pPr>
          </w:p>
        </w:tc>
        <w:tc>
          <w:tcPr>
            <w:tcW w:w="1367" w:type="dxa"/>
            <w:noWrap w:val="0"/>
            <w:vAlign w:val="center"/>
          </w:tcPr>
          <w:p w14:paraId="21E1E39F">
            <w:pPr>
              <w:jc w:val="center"/>
              <w:rPr>
                <w:rFonts w:hint="eastAsia" w:ascii="宋体" w:hAnsi="宋体"/>
                <w:szCs w:val="21"/>
              </w:rPr>
            </w:pPr>
          </w:p>
        </w:tc>
        <w:tc>
          <w:tcPr>
            <w:tcW w:w="1431" w:type="dxa"/>
            <w:noWrap w:val="0"/>
            <w:vAlign w:val="center"/>
          </w:tcPr>
          <w:p w14:paraId="34729E18">
            <w:pPr>
              <w:jc w:val="center"/>
              <w:rPr>
                <w:rFonts w:hint="eastAsia" w:ascii="宋体" w:hAnsi="宋体"/>
                <w:szCs w:val="21"/>
              </w:rPr>
            </w:pPr>
          </w:p>
        </w:tc>
        <w:tc>
          <w:tcPr>
            <w:tcW w:w="1432" w:type="dxa"/>
            <w:noWrap w:val="0"/>
            <w:vAlign w:val="center"/>
          </w:tcPr>
          <w:p w14:paraId="377699A4">
            <w:pPr>
              <w:jc w:val="center"/>
              <w:rPr>
                <w:rFonts w:hint="eastAsia" w:ascii="宋体" w:hAnsi="宋体"/>
                <w:szCs w:val="21"/>
              </w:rPr>
            </w:pPr>
          </w:p>
        </w:tc>
        <w:tc>
          <w:tcPr>
            <w:tcW w:w="1431" w:type="dxa"/>
            <w:noWrap w:val="0"/>
            <w:vAlign w:val="center"/>
          </w:tcPr>
          <w:p w14:paraId="26B4FA25">
            <w:pPr>
              <w:jc w:val="center"/>
              <w:rPr>
                <w:rFonts w:hint="eastAsia" w:ascii="宋体" w:hAnsi="宋体"/>
                <w:szCs w:val="21"/>
              </w:rPr>
            </w:pPr>
          </w:p>
        </w:tc>
        <w:tc>
          <w:tcPr>
            <w:tcW w:w="2032" w:type="dxa"/>
            <w:noWrap w:val="0"/>
            <w:vAlign w:val="center"/>
          </w:tcPr>
          <w:p w14:paraId="02A6F89E">
            <w:pPr>
              <w:jc w:val="center"/>
              <w:rPr>
                <w:rFonts w:hint="eastAsia" w:ascii="宋体" w:hAnsi="宋体"/>
                <w:szCs w:val="21"/>
              </w:rPr>
            </w:pPr>
          </w:p>
        </w:tc>
      </w:tr>
      <w:tr w14:paraId="6484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1996A8AF">
            <w:pPr>
              <w:jc w:val="center"/>
              <w:rPr>
                <w:rFonts w:hint="eastAsia" w:ascii="宋体" w:hAnsi="宋体"/>
                <w:szCs w:val="21"/>
              </w:rPr>
            </w:pPr>
          </w:p>
        </w:tc>
        <w:tc>
          <w:tcPr>
            <w:tcW w:w="1367" w:type="dxa"/>
            <w:noWrap w:val="0"/>
            <w:vAlign w:val="center"/>
          </w:tcPr>
          <w:p w14:paraId="31E0D599">
            <w:pPr>
              <w:jc w:val="center"/>
              <w:rPr>
                <w:rFonts w:hint="eastAsia" w:ascii="宋体" w:hAnsi="宋体"/>
                <w:szCs w:val="21"/>
              </w:rPr>
            </w:pPr>
          </w:p>
        </w:tc>
        <w:tc>
          <w:tcPr>
            <w:tcW w:w="1431" w:type="dxa"/>
            <w:noWrap w:val="0"/>
            <w:vAlign w:val="center"/>
          </w:tcPr>
          <w:p w14:paraId="56951188">
            <w:pPr>
              <w:jc w:val="center"/>
              <w:rPr>
                <w:rFonts w:hint="eastAsia" w:ascii="宋体" w:hAnsi="宋体"/>
                <w:szCs w:val="21"/>
              </w:rPr>
            </w:pPr>
          </w:p>
        </w:tc>
        <w:tc>
          <w:tcPr>
            <w:tcW w:w="1432" w:type="dxa"/>
            <w:noWrap w:val="0"/>
            <w:vAlign w:val="center"/>
          </w:tcPr>
          <w:p w14:paraId="015591DA">
            <w:pPr>
              <w:jc w:val="center"/>
              <w:rPr>
                <w:rFonts w:hint="eastAsia" w:ascii="宋体" w:hAnsi="宋体"/>
                <w:szCs w:val="21"/>
              </w:rPr>
            </w:pPr>
          </w:p>
        </w:tc>
        <w:tc>
          <w:tcPr>
            <w:tcW w:w="1431" w:type="dxa"/>
            <w:noWrap w:val="0"/>
            <w:vAlign w:val="center"/>
          </w:tcPr>
          <w:p w14:paraId="555F15A1">
            <w:pPr>
              <w:jc w:val="center"/>
              <w:rPr>
                <w:rFonts w:hint="eastAsia" w:ascii="宋体" w:hAnsi="宋体"/>
                <w:szCs w:val="21"/>
              </w:rPr>
            </w:pPr>
          </w:p>
        </w:tc>
        <w:tc>
          <w:tcPr>
            <w:tcW w:w="2032" w:type="dxa"/>
            <w:noWrap w:val="0"/>
            <w:vAlign w:val="center"/>
          </w:tcPr>
          <w:p w14:paraId="3703250F">
            <w:pPr>
              <w:jc w:val="center"/>
              <w:rPr>
                <w:rFonts w:hint="eastAsia" w:ascii="宋体" w:hAnsi="宋体"/>
                <w:szCs w:val="21"/>
              </w:rPr>
            </w:pPr>
          </w:p>
        </w:tc>
      </w:tr>
      <w:tr w14:paraId="0A81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72A91CC9">
            <w:pPr>
              <w:jc w:val="center"/>
              <w:rPr>
                <w:rFonts w:hint="eastAsia" w:ascii="宋体" w:hAnsi="宋体"/>
                <w:szCs w:val="21"/>
              </w:rPr>
            </w:pPr>
          </w:p>
        </w:tc>
        <w:tc>
          <w:tcPr>
            <w:tcW w:w="1367" w:type="dxa"/>
            <w:noWrap w:val="0"/>
            <w:vAlign w:val="center"/>
          </w:tcPr>
          <w:p w14:paraId="575232CD">
            <w:pPr>
              <w:jc w:val="center"/>
              <w:rPr>
                <w:rFonts w:hint="eastAsia" w:ascii="宋体" w:hAnsi="宋体"/>
                <w:szCs w:val="21"/>
              </w:rPr>
            </w:pPr>
          </w:p>
        </w:tc>
        <w:tc>
          <w:tcPr>
            <w:tcW w:w="1431" w:type="dxa"/>
            <w:noWrap w:val="0"/>
            <w:vAlign w:val="center"/>
          </w:tcPr>
          <w:p w14:paraId="19A2EC17">
            <w:pPr>
              <w:jc w:val="center"/>
              <w:rPr>
                <w:rFonts w:hint="eastAsia" w:ascii="宋体" w:hAnsi="宋体"/>
                <w:szCs w:val="21"/>
              </w:rPr>
            </w:pPr>
          </w:p>
        </w:tc>
        <w:tc>
          <w:tcPr>
            <w:tcW w:w="1432" w:type="dxa"/>
            <w:noWrap w:val="0"/>
            <w:vAlign w:val="center"/>
          </w:tcPr>
          <w:p w14:paraId="6DF4FB30">
            <w:pPr>
              <w:jc w:val="center"/>
              <w:rPr>
                <w:rFonts w:hint="eastAsia" w:ascii="宋体" w:hAnsi="宋体"/>
                <w:szCs w:val="21"/>
              </w:rPr>
            </w:pPr>
          </w:p>
        </w:tc>
        <w:tc>
          <w:tcPr>
            <w:tcW w:w="1431" w:type="dxa"/>
            <w:noWrap w:val="0"/>
            <w:vAlign w:val="center"/>
          </w:tcPr>
          <w:p w14:paraId="5022E35C">
            <w:pPr>
              <w:jc w:val="center"/>
              <w:rPr>
                <w:rFonts w:hint="eastAsia" w:ascii="宋体" w:hAnsi="宋体"/>
                <w:szCs w:val="21"/>
              </w:rPr>
            </w:pPr>
          </w:p>
        </w:tc>
        <w:tc>
          <w:tcPr>
            <w:tcW w:w="2032" w:type="dxa"/>
            <w:noWrap w:val="0"/>
            <w:vAlign w:val="center"/>
          </w:tcPr>
          <w:p w14:paraId="265D7B6F">
            <w:pPr>
              <w:jc w:val="center"/>
              <w:rPr>
                <w:rFonts w:hint="eastAsia" w:ascii="宋体" w:hAnsi="宋体"/>
                <w:szCs w:val="21"/>
              </w:rPr>
            </w:pPr>
          </w:p>
        </w:tc>
      </w:tr>
      <w:tr w14:paraId="6B7B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35712358">
            <w:pPr>
              <w:jc w:val="center"/>
              <w:rPr>
                <w:rFonts w:hint="eastAsia" w:ascii="宋体" w:hAnsi="宋体"/>
                <w:szCs w:val="21"/>
              </w:rPr>
            </w:pPr>
          </w:p>
        </w:tc>
        <w:tc>
          <w:tcPr>
            <w:tcW w:w="1367" w:type="dxa"/>
            <w:noWrap w:val="0"/>
            <w:vAlign w:val="center"/>
          </w:tcPr>
          <w:p w14:paraId="3094FEC4">
            <w:pPr>
              <w:jc w:val="center"/>
              <w:rPr>
                <w:rFonts w:hint="eastAsia" w:ascii="宋体" w:hAnsi="宋体"/>
                <w:szCs w:val="21"/>
              </w:rPr>
            </w:pPr>
          </w:p>
        </w:tc>
        <w:tc>
          <w:tcPr>
            <w:tcW w:w="1431" w:type="dxa"/>
            <w:noWrap w:val="0"/>
            <w:vAlign w:val="center"/>
          </w:tcPr>
          <w:p w14:paraId="4A03C485">
            <w:pPr>
              <w:jc w:val="center"/>
              <w:rPr>
                <w:rFonts w:hint="eastAsia" w:ascii="宋体" w:hAnsi="宋体"/>
                <w:szCs w:val="21"/>
              </w:rPr>
            </w:pPr>
          </w:p>
        </w:tc>
        <w:tc>
          <w:tcPr>
            <w:tcW w:w="1432" w:type="dxa"/>
            <w:noWrap w:val="0"/>
            <w:vAlign w:val="center"/>
          </w:tcPr>
          <w:p w14:paraId="4CDB56EF">
            <w:pPr>
              <w:jc w:val="center"/>
              <w:rPr>
                <w:rFonts w:hint="eastAsia" w:ascii="宋体" w:hAnsi="宋体"/>
                <w:szCs w:val="21"/>
              </w:rPr>
            </w:pPr>
          </w:p>
        </w:tc>
        <w:tc>
          <w:tcPr>
            <w:tcW w:w="1431" w:type="dxa"/>
            <w:noWrap w:val="0"/>
            <w:vAlign w:val="center"/>
          </w:tcPr>
          <w:p w14:paraId="2540670B">
            <w:pPr>
              <w:jc w:val="center"/>
              <w:rPr>
                <w:rFonts w:hint="eastAsia" w:ascii="宋体" w:hAnsi="宋体"/>
                <w:szCs w:val="21"/>
              </w:rPr>
            </w:pPr>
          </w:p>
        </w:tc>
        <w:tc>
          <w:tcPr>
            <w:tcW w:w="2032" w:type="dxa"/>
            <w:noWrap w:val="0"/>
            <w:vAlign w:val="center"/>
          </w:tcPr>
          <w:p w14:paraId="5373811A">
            <w:pPr>
              <w:jc w:val="center"/>
              <w:rPr>
                <w:rFonts w:hint="eastAsia" w:ascii="宋体" w:hAnsi="宋体"/>
                <w:szCs w:val="21"/>
              </w:rPr>
            </w:pPr>
          </w:p>
        </w:tc>
      </w:tr>
      <w:tr w14:paraId="7735E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101D7BFE">
            <w:pPr>
              <w:jc w:val="center"/>
              <w:rPr>
                <w:rFonts w:hint="eastAsia" w:ascii="宋体" w:hAnsi="宋体"/>
                <w:szCs w:val="21"/>
              </w:rPr>
            </w:pPr>
          </w:p>
        </w:tc>
        <w:tc>
          <w:tcPr>
            <w:tcW w:w="1367" w:type="dxa"/>
            <w:noWrap w:val="0"/>
            <w:vAlign w:val="center"/>
          </w:tcPr>
          <w:p w14:paraId="7FAF135B">
            <w:pPr>
              <w:jc w:val="center"/>
              <w:rPr>
                <w:rFonts w:hint="eastAsia" w:ascii="宋体" w:hAnsi="宋体"/>
                <w:szCs w:val="21"/>
              </w:rPr>
            </w:pPr>
          </w:p>
        </w:tc>
        <w:tc>
          <w:tcPr>
            <w:tcW w:w="1431" w:type="dxa"/>
            <w:noWrap w:val="0"/>
            <w:vAlign w:val="center"/>
          </w:tcPr>
          <w:p w14:paraId="64D8C747">
            <w:pPr>
              <w:jc w:val="center"/>
              <w:rPr>
                <w:rFonts w:hint="eastAsia" w:ascii="宋体" w:hAnsi="宋体"/>
                <w:szCs w:val="21"/>
              </w:rPr>
            </w:pPr>
          </w:p>
        </w:tc>
        <w:tc>
          <w:tcPr>
            <w:tcW w:w="1432" w:type="dxa"/>
            <w:noWrap w:val="0"/>
            <w:vAlign w:val="center"/>
          </w:tcPr>
          <w:p w14:paraId="58353B1B">
            <w:pPr>
              <w:jc w:val="center"/>
              <w:rPr>
                <w:rFonts w:hint="eastAsia" w:ascii="宋体" w:hAnsi="宋体"/>
                <w:szCs w:val="21"/>
              </w:rPr>
            </w:pPr>
          </w:p>
        </w:tc>
        <w:tc>
          <w:tcPr>
            <w:tcW w:w="1431" w:type="dxa"/>
            <w:noWrap w:val="0"/>
            <w:vAlign w:val="center"/>
          </w:tcPr>
          <w:p w14:paraId="28A6EC8B">
            <w:pPr>
              <w:jc w:val="center"/>
              <w:rPr>
                <w:rFonts w:hint="eastAsia" w:ascii="宋体" w:hAnsi="宋体"/>
                <w:szCs w:val="21"/>
              </w:rPr>
            </w:pPr>
          </w:p>
        </w:tc>
        <w:tc>
          <w:tcPr>
            <w:tcW w:w="2032" w:type="dxa"/>
            <w:noWrap w:val="0"/>
            <w:vAlign w:val="center"/>
          </w:tcPr>
          <w:p w14:paraId="44D39758">
            <w:pPr>
              <w:jc w:val="center"/>
              <w:rPr>
                <w:rFonts w:hint="eastAsia" w:ascii="宋体" w:hAnsi="宋体"/>
                <w:szCs w:val="21"/>
              </w:rPr>
            </w:pPr>
          </w:p>
        </w:tc>
      </w:tr>
      <w:tr w14:paraId="68EA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5A352A85">
            <w:pPr>
              <w:jc w:val="center"/>
              <w:rPr>
                <w:rFonts w:hint="eastAsia" w:ascii="宋体" w:hAnsi="宋体"/>
                <w:szCs w:val="21"/>
              </w:rPr>
            </w:pPr>
          </w:p>
        </w:tc>
        <w:tc>
          <w:tcPr>
            <w:tcW w:w="1367" w:type="dxa"/>
            <w:noWrap w:val="0"/>
            <w:vAlign w:val="center"/>
          </w:tcPr>
          <w:p w14:paraId="37A318B4">
            <w:pPr>
              <w:jc w:val="center"/>
              <w:rPr>
                <w:rFonts w:hint="eastAsia" w:ascii="宋体" w:hAnsi="宋体"/>
                <w:szCs w:val="21"/>
              </w:rPr>
            </w:pPr>
          </w:p>
        </w:tc>
        <w:tc>
          <w:tcPr>
            <w:tcW w:w="1431" w:type="dxa"/>
            <w:noWrap w:val="0"/>
            <w:vAlign w:val="center"/>
          </w:tcPr>
          <w:p w14:paraId="7E7535C8">
            <w:pPr>
              <w:jc w:val="center"/>
              <w:rPr>
                <w:rFonts w:hint="eastAsia" w:ascii="宋体" w:hAnsi="宋体"/>
                <w:szCs w:val="21"/>
              </w:rPr>
            </w:pPr>
          </w:p>
        </w:tc>
        <w:tc>
          <w:tcPr>
            <w:tcW w:w="1432" w:type="dxa"/>
            <w:noWrap w:val="0"/>
            <w:vAlign w:val="center"/>
          </w:tcPr>
          <w:p w14:paraId="7B38A877">
            <w:pPr>
              <w:jc w:val="center"/>
              <w:rPr>
                <w:rFonts w:hint="eastAsia" w:ascii="宋体" w:hAnsi="宋体"/>
                <w:szCs w:val="21"/>
              </w:rPr>
            </w:pPr>
          </w:p>
        </w:tc>
        <w:tc>
          <w:tcPr>
            <w:tcW w:w="1431" w:type="dxa"/>
            <w:noWrap w:val="0"/>
            <w:vAlign w:val="center"/>
          </w:tcPr>
          <w:p w14:paraId="23B5D081">
            <w:pPr>
              <w:jc w:val="center"/>
              <w:rPr>
                <w:rFonts w:hint="eastAsia" w:ascii="宋体" w:hAnsi="宋体"/>
                <w:szCs w:val="21"/>
              </w:rPr>
            </w:pPr>
          </w:p>
        </w:tc>
        <w:tc>
          <w:tcPr>
            <w:tcW w:w="2032" w:type="dxa"/>
            <w:noWrap w:val="0"/>
            <w:vAlign w:val="center"/>
          </w:tcPr>
          <w:p w14:paraId="2A4CD95C">
            <w:pPr>
              <w:jc w:val="center"/>
              <w:rPr>
                <w:rFonts w:hint="eastAsia" w:ascii="宋体" w:hAnsi="宋体"/>
                <w:szCs w:val="21"/>
              </w:rPr>
            </w:pPr>
          </w:p>
        </w:tc>
      </w:tr>
      <w:tr w14:paraId="2C82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5DD053A6">
            <w:pPr>
              <w:jc w:val="center"/>
              <w:rPr>
                <w:rFonts w:hint="eastAsia" w:ascii="宋体" w:hAnsi="宋体"/>
                <w:szCs w:val="21"/>
              </w:rPr>
            </w:pPr>
          </w:p>
        </w:tc>
        <w:tc>
          <w:tcPr>
            <w:tcW w:w="1367" w:type="dxa"/>
            <w:noWrap w:val="0"/>
            <w:vAlign w:val="center"/>
          </w:tcPr>
          <w:p w14:paraId="34DCCFEE">
            <w:pPr>
              <w:jc w:val="center"/>
              <w:rPr>
                <w:rFonts w:hint="eastAsia" w:ascii="宋体" w:hAnsi="宋体"/>
                <w:szCs w:val="21"/>
              </w:rPr>
            </w:pPr>
          </w:p>
        </w:tc>
        <w:tc>
          <w:tcPr>
            <w:tcW w:w="1431" w:type="dxa"/>
            <w:noWrap w:val="0"/>
            <w:vAlign w:val="center"/>
          </w:tcPr>
          <w:p w14:paraId="5FB423A2">
            <w:pPr>
              <w:jc w:val="center"/>
              <w:rPr>
                <w:rFonts w:hint="eastAsia" w:ascii="宋体" w:hAnsi="宋体"/>
                <w:szCs w:val="21"/>
              </w:rPr>
            </w:pPr>
          </w:p>
        </w:tc>
        <w:tc>
          <w:tcPr>
            <w:tcW w:w="1432" w:type="dxa"/>
            <w:noWrap w:val="0"/>
            <w:vAlign w:val="center"/>
          </w:tcPr>
          <w:p w14:paraId="7C6F8D97">
            <w:pPr>
              <w:jc w:val="center"/>
              <w:rPr>
                <w:rFonts w:hint="eastAsia" w:ascii="宋体" w:hAnsi="宋体"/>
                <w:szCs w:val="21"/>
              </w:rPr>
            </w:pPr>
          </w:p>
        </w:tc>
        <w:tc>
          <w:tcPr>
            <w:tcW w:w="1431" w:type="dxa"/>
            <w:noWrap w:val="0"/>
            <w:vAlign w:val="center"/>
          </w:tcPr>
          <w:p w14:paraId="3D0F3D1F">
            <w:pPr>
              <w:jc w:val="center"/>
              <w:rPr>
                <w:rFonts w:hint="eastAsia" w:ascii="宋体" w:hAnsi="宋体"/>
                <w:szCs w:val="21"/>
              </w:rPr>
            </w:pPr>
          </w:p>
        </w:tc>
        <w:tc>
          <w:tcPr>
            <w:tcW w:w="2032" w:type="dxa"/>
            <w:noWrap w:val="0"/>
            <w:vAlign w:val="center"/>
          </w:tcPr>
          <w:p w14:paraId="0327332C">
            <w:pPr>
              <w:jc w:val="center"/>
              <w:rPr>
                <w:rFonts w:hint="eastAsia" w:ascii="宋体" w:hAnsi="宋体"/>
                <w:szCs w:val="21"/>
              </w:rPr>
            </w:pPr>
          </w:p>
        </w:tc>
      </w:tr>
      <w:tr w14:paraId="21F4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0E443D5C">
            <w:pPr>
              <w:jc w:val="center"/>
              <w:rPr>
                <w:rFonts w:hint="eastAsia" w:ascii="宋体" w:hAnsi="宋体"/>
                <w:szCs w:val="21"/>
              </w:rPr>
            </w:pPr>
          </w:p>
        </w:tc>
        <w:tc>
          <w:tcPr>
            <w:tcW w:w="1367" w:type="dxa"/>
            <w:noWrap w:val="0"/>
            <w:vAlign w:val="center"/>
          </w:tcPr>
          <w:p w14:paraId="7EF472B6">
            <w:pPr>
              <w:jc w:val="center"/>
              <w:rPr>
                <w:rFonts w:hint="eastAsia" w:ascii="宋体" w:hAnsi="宋体"/>
                <w:szCs w:val="21"/>
              </w:rPr>
            </w:pPr>
          </w:p>
        </w:tc>
        <w:tc>
          <w:tcPr>
            <w:tcW w:w="1431" w:type="dxa"/>
            <w:noWrap w:val="0"/>
            <w:vAlign w:val="center"/>
          </w:tcPr>
          <w:p w14:paraId="30893439">
            <w:pPr>
              <w:jc w:val="center"/>
              <w:rPr>
                <w:rFonts w:hint="eastAsia" w:ascii="宋体" w:hAnsi="宋体"/>
                <w:szCs w:val="21"/>
              </w:rPr>
            </w:pPr>
          </w:p>
        </w:tc>
        <w:tc>
          <w:tcPr>
            <w:tcW w:w="1432" w:type="dxa"/>
            <w:noWrap w:val="0"/>
            <w:vAlign w:val="center"/>
          </w:tcPr>
          <w:p w14:paraId="75DCD609">
            <w:pPr>
              <w:jc w:val="center"/>
              <w:rPr>
                <w:rFonts w:hint="eastAsia" w:ascii="宋体" w:hAnsi="宋体"/>
                <w:szCs w:val="21"/>
              </w:rPr>
            </w:pPr>
          </w:p>
        </w:tc>
        <w:tc>
          <w:tcPr>
            <w:tcW w:w="1431" w:type="dxa"/>
            <w:noWrap w:val="0"/>
            <w:vAlign w:val="center"/>
          </w:tcPr>
          <w:p w14:paraId="40FCE4FF">
            <w:pPr>
              <w:jc w:val="center"/>
              <w:rPr>
                <w:rFonts w:hint="eastAsia" w:ascii="宋体" w:hAnsi="宋体"/>
                <w:szCs w:val="21"/>
              </w:rPr>
            </w:pPr>
          </w:p>
        </w:tc>
        <w:tc>
          <w:tcPr>
            <w:tcW w:w="2032" w:type="dxa"/>
            <w:noWrap w:val="0"/>
            <w:vAlign w:val="center"/>
          </w:tcPr>
          <w:p w14:paraId="5E1C63C3">
            <w:pPr>
              <w:jc w:val="center"/>
              <w:rPr>
                <w:rFonts w:hint="eastAsia" w:ascii="宋体" w:hAnsi="宋体"/>
                <w:szCs w:val="21"/>
              </w:rPr>
            </w:pPr>
          </w:p>
        </w:tc>
      </w:tr>
      <w:tr w14:paraId="25E8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7C151357">
            <w:pPr>
              <w:jc w:val="center"/>
              <w:rPr>
                <w:rFonts w:hint="eastAsia" w:ascii="宋体" w:hAnsi="宋体"/>
                <w:szCs w:val="21"/>
              </w:rPr>
            </w:pPr>
          </w:p>
        </w:tc>
        <w:tc>
          <w:tcPr>
            <w:tcW w:w="1367" w:type="dxa"/>
            <w:noWrap w:val="0"/>
            <w:vAlign w:val="center"/>
          </w:tcPr>
          <w:p w14:paraId="762F3655">
            <w:pPr>
              <w:jc w:val="center"/>
              <w:rPr>
                <w:rFonts w:hint="eastAsia" w:ascii="宋体" w:hAnsi="宋体"/>
                <w:szCs w:val="21"/>
              </w:rPr>
            </w:pPr>
          </w:p>
        </w:tc>
        <w:tc>
          <w:tcPr>
            <w:tcW w:w="1431" w:type="dxa"/>
            <w:noWrap w:val="0"/>
            <w:vAlign w:val="center"/>
          </w:tcPr>
          <w:p w14:paraId="1444BCC1">
            <w:pPr>
              <w:jc w:val="center"/>
              <w:rPr>
                <w:rFonts w:hint="eastAsia" w:ascii="宋体" w:hAnsi="宋体"/>
                <w:szCs w:val="21"/>
              </w:rPr>
            </w:pPr>
          </w:p>
        </w:tc>
        <w:tc>
          <w:tcPr>
            <w:tcW w:w="1432" w:type="dxa"/>
            <w:noWrap w:val="0"/>
            <w:vAlign w:val="center"/>
          </w:tcPr>
          <w:p w14:paraId="4B1D9E61">
            <w:pPr>
              <w:jc w:val="center"/>
              <w:rPr>
                <w:rFonts w:hint="eastAsia" w:ascii="宋体" w:hAnsi="宋体"/>
                <w:szCs w:val="21"/>
              </w:rPr>
            </w:pPr>
          </w:p>
        </w:tc>
        <w:tc>
          <w:tcPr>
            <w:tcW w:w="1431" w:type="dxa"/>
            <w:noWrap w:val="0"/>
            <w:vAlign w:val="center"/>
          </w:tcPr>
          <w:p w14:paraId="4EEE58BD">
            <w:pPr>
              <w:jc w:val="center"/>
              <w:rPr>
                <w:rFonts w:hint="eastAsia" w:ascii="宋体" w:hAnsi="宋体"/>
                <w:szCs w:val="21"/>
              </w:rPr>
            </w:pPr>
          </w:p>
        </w:tc>
        <w:tc>
          <w:tcPr>
            <w:tcW w:w="2032" w:type="dxa"/>
            <w:noWrap w:val="0"/>
            <w:vAlign w:val="center"/>
          </w:tcPr>
          <w:p w14:paraId="0755D054">
            <w:pPr>
              <w:jc w:val="center"/>
              <w:rPr>
                <w:rFonts w:hint="eastAsia" w:ascii="宋体" w:hAnsi="宋体"/>
                <w:szCs w:val="21"/>
              </w:rPr>
            </w:pPr>
          </w:p>
        </w:tc>
      </w:tr>
      <w:tr w14:paraId="0F2E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1DABC89F">
            <w:pPr>
              <w:jc w:val="center"/>
              <w:rPr>
                <w:rFonts w:hint="eastAsia" w:ascii="宋体" w:hAnsi="宋体"/>
                <w:szCs w:val="21"/>
              </w:rPr>
            </w:pPr>
          </w:p>
        </w:tc>
        <w:tc>
          <w:tcPr>
            <w:tcW w:w="1367" w:type="dxa"/>
            <w:noWrap w:val="0"/>
            <w:vAlign w:val="center"/>
          </w:tcPr>
          <w:p w14:paraId="615A0E72">
            <w:pPr>
              <w:jc w:val="center"/>
              <w:rPr>
                <w:rFonts w:hint="eastAsia" w:ascii="宋体" w:hAnsi="宋体"/>
                <w:szCs w:val="21"/>
              </w:rPr>
            </w:pPr>
          </w:p>
        </w:tc>
        <w:tc>
          <w:tcPr>
            <w:tcW w:w="1431" w:type="dxa"/>
            <w:noWrap w:val="0"/>
            <w:vAlign w:val="center"/>
          </w:tcPr>
          <w:p w14:paraId="699A8548">
            <w:pPr>
              <w:jc w:val="center"/>
              <w:rPr>
                <w:rFonts w:hint="eastAsia" w:ascii="宋体" w:hAnsi="宋体"/>
                <w:szCs w:val="21"/>
              </w:rPr>
            </w:pPr>
          </w:p>
        </w:tc>
        <w:tc>
          <w:tcPr>
            <w:tcW w:w="1432" w:type="dxa"/>
            <w:noWrap w:val="0"/>
            <w:vAlign w:val="center"/>
          </w:tcPr>
          <w:p w14:paraId="7A10E4CD">
            <w:pPr>
              <w:jc w:val="center"/>
              <w:rPr>
                <w:rFonts w:hint="eastAsia" w:ascii="宋体" w:hAnsi="宋体"/>
                <w:szCs w:val="21"/>
              </w:rPr>
            </w:pPr>
          </w:p>
        </w:tc>
        <w:tc>
          <w:tcPr>
            <w:tcW w:w="1431" w:type="dxa"/>
            <w:noWrap w:val="0"/>
            <w:vAlign w:val="center"/>
          </w:tcPr>
          <w:p w14:paraId="51CFDB76">
            <w:pPr>
              <w:jc w:val="center"/>
              <w:rPr>
                <w:rFonts w:hint="eastAsia" w:ascii="宋体" w:hAnsi="宋体"/>
                <w:szCs w:val="21"/>
              </w:rPr>
            </w:pPr>
          </w:p>
        </w:tc>
        <w:tc>
          <w:tcPr>
            <w:tcW w:w="2032" w:type="dxa"/>
            <w:noWrap w:val="0"/>
            <w:vAlign w:val="center"/>
          </w:tcPr>
          <w:p w14:paraId="392DAE8B">
            <w:pPr>
              <w:jc w:val="center"/>
              <w:rPr>
                <w:rFonts w:hint="eastAsia" w:ascii="宋体" w:hAnsi="宋体"/>
                <w:szCs w:val="21"/>
              </w:rPr>
            </w:pPr>
          </w:p>
        </w:tc>
      </w:tr>
      <w:tr w14:paraId="7B0B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9" w:type="dxa"/>
            <w:noWrap w:val="0"/>
            <w:vAlign w:val="center"/>
          </w:tcPr>
          <w:p w14:paraId="572BCA8B">
            <w:pPr>
              <w:jc w:val="center"/>
              <w:rPr>
                <w:rFonts w:hint="eastAsia" w:ascii="宋体" w:hAnsi="宋体"/>
                <w:szCs w:val="21"/>
              </w:rPr>
            </w:pPr>
          </w:p>
        </w:tc>
        <w:tc>
          <w:tcPr>
            <w:tcW w:w="1367" w:type="dxa"/>
            <w:noWrap w:val="0"/>
            <w:vAlign w:val="center"/>
          </w:tcPr>
          <w:p w14:paraId="5D22C106">
            <w:pPr>
              <w:jc w:val="center"/>
              <w:rPr>
                <w:rFonts w:hint="eastAsia" w:ascii="宋体" w:hAnsi="宋体"/>
                <w:szCs w:val="21"/>
              </w:rPr>
            </w:pPr>
          </w:p>
        </w:tc>
        <w:tc>
          <w:tcPr>
            <w:tcW w:w="1431" w:type="dxa"/>
            <w:noWrap w:val="0"/>
            <w:vAlign w:val="center"/>
          </w:tcPr>
          <w:p w14:paraId="27F36B63">
            <w:pPr>
              <w:jc w:val="center"/>
              <w:rPr>
                <w:rFonts w:hint="eastAsia" w:ascii="宋体" w:hAnsi="宋体"/>
                <w:szCs w:val="21"/>
              </w:rPr>
            </w:pPr>
          </w:p>
        </w:tc>
        <w:tc>
          <w:tcPr>
            <w:tcW w:w="1432" w:type="dxa"/>
            <w:noWrap w:val="0"/>
            <w:vAlign w:val="center"/>
          </w:tcPr>
          <w:p w14:paraId="336AB095">
            <w:pPr>
              <w:jc w:val="center"/>
              <w:rPr>
                <w:rFonts w:hint="eastAsia" w:ascii="宋体" w:hAnsi="宋体"/>
                <w:szCs w:val="21"/>
              </w:rPr>
            </w:pPr>
          </w:p>
        </w:tc>
        <w:tc>
          <w:tcPr>
            <w:tcW w:w="1431" w:type="dxa"/>
            <w:noWrap w:val="0"/>
            <w:vAlign w:val="center"/>
          </w:tcPr>
          <w:p w14:paraId="60BA98B4">
            <w:pPr>
              <w:jc w:val="center"/>
              <w:rPr>
                <w:rFonts w:hint="eastAsia" w:ascii="宋体" w:hAnsi="宋体"/>
                <w:szCs w:val="21"/>
              </w:rPr>
            </w:pPr>
          </w:p>
        </w:tc>
        <w:tc>
          <w:tcPr>
            <w:tcW w:w="2032" w:type="dxa"/>
            <w:noWrap w:val="0"/>
            <w:vAlign w:val="center"/>
          </w:tcPr>
          <w:p w14:paraId="28315139">
            <w:pPr>
              <w:jc w:val="center"/>
              <w:rPr>
                <w:rFonts w:hint="eastAsia" w:ascii="宋体" w:hAnsi="宋体"/>
                <w:szCs w:val="21"/>
              </w:rPr>
            </w:pPr>
          </w:p>
        </w:tc>
      </w:tr>
      <w:tr w14:paraId="65A6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79" w:type="dxa"/>
            <w:noWrap w:val="0"/>
            <w:vAlign w:val="center"/>
          </w:tcPr>
          <w:p w14:paraId="1E258BE8">
            <w:pPr>
              <w:jc w:val="center"/>
              <w:rPr>
                <w:rFonts w:hint="eastAsia" w:ascii="宋体" w:hAnsi="宋体"/>
                <w:szCs w:val="21"/>
              </w:rPr>
            </w:pPr>
          </w:p>
        </w:tc>
        <w:tc>
          <w:tcPr>
            <w:tcW w:w="1367" w:type="dxa"/>
            <w:noWrap w:val="0"/>
            <w:vAlign w:val="center"/>
          </w:tcPr>
          <w:p w14:paraId="3F9EC99B">
            <w:pPr>
              <w:jc w:val="center"/>
              <w:rPr>
                <w:rFonts w:hint="eastAsia" w:ascii="宋体" w:hAnsi="宋体"/>
                <w:szCs w:val="21"/>
              </w:rPr>
            </w:pPr>
          </w:p>
        </w:tc>
        <w:tc>
          <w:tcPr>
            <w:tcW w:w="1431" w:type="dxa"/>
            <w:noWrap w:val="0"/>
            <w:vAlign w:val="center"/>
          </w:tcPr>
          <w:p w14:paraId="22E3EEA9">
            <w:pPr>
              <w:jc w:val="center"/>
              <w:rPr>
                <w:rFonts w:hint="eastAsia" w:ascii="宋体" w:hAnsi="宋体"/>
                <w:szCs w:val="21"/>
              </w:rPr>
            </w:pPr>
          </w:p>
        </w:tc>
        <w:tc>
          <w:tcPr>
            <w:tcW w:w="1432" w:type="dxa"/>
            <w:noWrap w:val="0"/>
            <w:vAlign w:val="center"/>
          </w:tcPr>
          <w:p w14:paraId="4DF864A6">
            <w:pPr>
              <w:jc w:val="center"/>
              <w:rPr>
                <w:rFonts w:hint="eastAsia" w:ascii="宋体" w:hAnsi="宋体"/>
                <w:szCs w:val="21"/>
              </w:rPr>
            </w:pPr>
          </w:p>
        </w:tc>
        <w:tc>
          <w:tcPr>
            <w:tcW w:w="1431" w:type="dxa"/>
            <w:noWrap w:val="0"/>
            <w:vAlign w:val="center"/>
          </w:tcPr>
          <w:p w14:paraId="605B5A8E">
            <w:pPr>
              <w:jc w:val="center"/>
              <w:rPr>
                <w:rFonts w:hint="eastAsia" w:ascii="宋体" w:hAnsi="宋体"/>
                <w:szCs w:val="21"/>
              </w:rPr>
            </w:pPr>
          </w:p>
        </w:tc>
        <w:tc>
          <w:tcPr>
            <w:tcW w:w="2032" w:type="dxa"/>
            <w:noWrap w:val="0"/>
            <w:vAlign w:val="center"/>
          </w:tcPr>
          <w:p w14:paraId="7F3DD2B4">
            <w:pPr>
              <w:jc w:val="center"/>
              <w:rPr>
                <w:rFonts w:hint="eastAsia" w:ascii="宋体" w:hAnsi="宋体"/>
                <w:szCs w:val="21"/>
              </w:rPr>
            </w:pPr>
          </w:p>
        </w:tc>
      </w:tr>
    </w:tbl>
    <w:p w14:paraId="2D8C19BE">
      <w:pPr>
        <w:spacing w:before="480" w:beforeLines="200"/>
        <w:rPr>
          <w:rFonts w:hint="eastAsia" w:ascii="宋体" w:hAnsi="宋体"/>
          <w:szCs w:val="21"/>
        </w:rPr>
      </w:pPr>
      <w:r>
        <w:rPr>
          <w:rFonts w:hint="eastAsia" w:ascii="宋体" w:hAnsi="宋体"/>
          <w:szCs w:val="21"/>
        </w:rPr>
        <w:t>评标委员会成员签名：                                  日期:     年     月     日</w:t>
      </w:r>
    </w:p>
    <w:p w14:paraId="7D9DCF1B">
      <w:pPr>
        <w:spacing w:before="480" w:beforeLines="200"/>
        <w:ind w:left="420" w:hanging="420" w:hangingChars="200"/>
        <w:rPr>
          <w:rFonts w:hint="eastAsia" w:ascii="宋体" w:hAnsi="宋体"/>
          <w:szCs w:val="21"/>
        </w:rPr>
      </w:pPr>
      <w:r>
        <w:rPr>
          <w:rFonts w:hint="eastAsia" w:ascii="宋体" w:hAnsi="宋体"/>
          <w:szCs w:val="21"/>
        </w:rPr>
        <w:t>注：存在算术错误的已标价工程量清单按此模式进行分析、修正和记录。并按修正后的价格的修正投标人已标价工程量清单相应表格并计算其修正后的投标报价。</w:t>
      </w:r>
    </w:p>
    <w:p w14:paraId="27F358E8">
      <w:pPr>
        <w:rPr>
          <w:rFonts w:hint="eastAsia" w:ascii="黑体" w:eastAsia="黑体"/>
          <w:szCs w:val="21"/>
        </w:rPr>
      </w:pPr>
    </w:p>
    <w:p w14:paraId="448517F5">
      <w:pPr>
        <w:pStyle w:val="20"/>
        <w:rPr>
          <w:rFonts w:hint="eastAsia"/>
        </w:rPr>
      </w:pPr>
      <w:bookmarkStart w:id="449" w:name="_Toc108513676"/>
      <w:r>
        <w:rPr>
          <w:rFonts w:hint="eastAsia"/>
        </w:rPr>
        <w:t>附表C-8：清标报告-算术错误修正后的已标价工程量清单</w:t>
      </w:r>
      <w:bookmarkEnd w:id="449"/>
    </w:p>
    <w:p w14:paraId="38BC94FA">
      <w:pPr>
        <w:rPr>
          <w:rFonts w:hint="eastAsia" w:ascii="黑体" w:eastAsia="黑体"/>
          <w:szCs w:val="21"/>
        </w:rPr>
      </w:pPr>
    </w:p>
    <w:p w14:paraId="21EA4131">
      <w:pPr>
        <w:spacing w:after="240" w:afterLines="100" w:line="380" w:lineRule="exact"/>
        <w:ind w:firstLine="560" w:firstLineChars="200"/>
        <w:jc w:val="center"/>
        <w:rPr>
          <w:rFonts w:hint="eastAsia" w:ascii="黑体" w:eastAsia="黑体"/>
          <w:sz w:val="28"/>
          <w:szCs w:val="28"/>
        </w:rPr>
      </w:pPr>
      <w:r>
        <w:rPr>
          <w:rFonts w:hint="eastAsia" w:ascii="黑体" w:eastAsia="黑体"/>
          <w:sz w:val="28"/>
          <w:szCs w:val="28"/>
        </w:rPr>
        <w:t>算术错误修正后的建设项目投标报价汇总表</w:t>
      </w:r>
    </w:p>
    <w:p w14:paraId="37CBD38F">
      <w:pPr>
        <w:spacing w:after="120" w:afterLines="50" w:line="380" w:lineRule="exact"/>
        <w:rPr>
          <w:rFonts w:ascii="宋体" w:hAnsi="宋体"/>
          <w:sz w:val="28"/>
          <w:szCs w:val="28"/>
        </w:rPr>
      </w:pPr>
      <w:r>
        <w:rPr>
          <w:rFonts w:hint="eastAsia" w:ascii="宋体" w:hAnsi="宋体"/>
        </w:rPr>
        <w:t>工程名称：                                           第  页  共  页</w:t>
      </w:r>
    </w:p>
    <w:tbl>
      <w:tblPr>
        <w:tblStyle w:val="15"/>
        <w:tblW w:w="8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3318"/>
        <w:gridCol w:w="1218"/>
        <w:gridCol w:w="965"/>
        <w:gridCol w:w="1400"/>
        <w:gridCol w:w="925"/>
      </w:tblGrid>
      <w:tr w14:paraId="1307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2" w:type="dxa"/>
            <w:vMerge w:val="restart"/>
            <w:noWrap w:val="0"/>
            <w:vAlign w:val="center"/>
          </w:tcPr>
          <w:p w14:paraId="17BDC7A1">
            <w:pPr>
              <w:spacing w:after="120" w:afterLines="50" w:line="380" w:lineRule="exact"/>
              <w:jc w:val="center"/>
              <w:rPr>
                <w:rFonts w:hint="eastAsia" w:ascii="宋体" w:hAnsi="宋体"/>
                <w:szCs w:val="21"/>
              </w:rPr>
            </w:pPr>
            <w:r>
              <w:rPr>
                <w:rFonts w:hint="eastAsia" w:ascii="宋体" w:hAnsi="宋体"/>
                <w:szCs w:val="21"/>
              </w:rPr>
              <w:t>序号</w:t>
            </w:r>
          </w:p>
        </w:tc>
        <w:tc>
          <w:tcPr>
            <w:tcW w:w="3318" w:type="dxa"/>
            <w:vMerge w:val="restart"/>
            <w:noWrap w:val="0"/>
            <w:vAlign w:val="center"/>
          </w:tcPr>
          <w:p w14:paraId="3452CF66">
            <w:pPr>
              <w:spacing w:after="120" w:afterLines="50" w:line="380" w:lineRule="exact"/>
              <w:jc w:val="center"/>
              <w:rPr>
                <w:rFonts w:hint="eastAsia" w:ascii="宋体" w:hAnsi="宋体"/>
                <w:szCs w:val="21"/>
              </w:rPr>
            </w:pPr>
            <w:r>
              <w:rPr>
                <w:rFonts w:hint="eastAsia" w:ascii="宋体" w:hAnsi="宋体"/>
                <w:szCs w:val="21"/>
              </w:rPr>
              <w:t>单项工程名称</w:t>
            </w:r>
          </w:p>
        </w:tc>
        <w:tc>
          <w:tcPr>
            <w:tcW w:w="1218" w:type="dxa"/>
            <w:vMerge w:val="restart"/>
            <w:noWrap w:val="0"/>
            <w:vAlign w:val="center"/>
          </w:tcPr>
          <w:p w14:paraId="5C9D5B94">
            <w:pPr>
              <w:spacing w:after="120" w:afterLines="50" w:line="380" w:lineRule="exact"/>
              <w:jc w:val="center"/>
              <w:rPr>
                <w:rFonts w:hint="eastAsia" w:ascii="宋体" w:hAnsi="宋体"/>
                <w:szCs w:val="21"/>
              </w:rPr>
            </w:pPr>
            <w:r>
              <w:rPr>
                <w:rFonts w:hint="eastAsia" w:ascii="宋体" w:hAnsi="宋体"/>
                <w:szCs w:val="21"/>
              </w:rPr>
              <w:t>金额（元）</w:t>
            </w:r>
          </w:p>
        </w:tc>
        <w:tc>
          <w:tcPr>
            <w:tcW w:w="3290" w:type="dxa"/>
            <w:gridSpan w:val="3"/>
            <w:noWrap w:val="0"/>
            <w:vAlign w:val="center"/>
          </w:tcPr>
          <w:p w14:paraId="3A57E3A7">
            <w:pPr>
              <w:spacing w:after="120" w:afterLines="50" w:line="380" w:lineRule="exact"/>
              <w:jc w:val="center"/>
              <w:rPr>
                <w:rFonts w:hint="eastAsia" w:ascii="宋体" w:hAnsi="宋体"/>
                <w:szCs w:val="21"/>
              </w:rPr>
            </w:pPr>
            <w:r>
              <w:rPr>
                <w:rFonts w:hint="eastAsia" w:ascii="宋体" w:hAnsi="宋体"/>
                <w:szCs w:val="21"/>
              </w:rPr>
              <w:t>其  中：（元）</w:t>
            </w:r>
          </w:p>
        </w:tc>
      </w:tr>
      <w:tr w14:paraId="4A43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2" w:type="dxa"/>
            <w:vMerge w:val="continue"/>
            <w:noWrap w:val="0"/>
            <w:vAlign w:val="center"/>
          </w:tcPr>
          <w:p w14:paraId="5079D94B">
            <w:pPr>
              <w:spacing w:after="120" w:afterLines="50" w:line="380" w:lineRule="exact"/>
              <w:jc w:val="center"/>
              <w:rPr>
                <w:rFonts w:hint="eastAsia" w:ascii="宋体" w:hAnsi="宋体"/>
                <w:szCs w:val="21"/>
              </w:rPr>
            </w:pPr>
          </w:p>
        </w:tc>
        <w:tc>
          <w:tcPr>
            <w:tcW w:w="3318" w:type="dxa"/>
            <w:vMerge w:val="continue"/>
            <w:noWrap w:val="0"/>
            <w:vAlign w:val="center"/>
          </w:tcPr>
          <w:p w14:paraId="0A59EF82">
            <w:pPr>
              <w:spacing w:after="120" w:afterLines="50" w:line="380" w:lineRule="exact"/>
              <w:jc w:val="center"/>
              <w:rPr>
                <w:rFonts w:hint="eastAsia" w:ascii="宋体" w:hAnsi="宋体"/>
                <w:szCs w:val="21"/>
              </w:rPr>
            </w:pPr>
          </w:p>
        </w:tc>
        <w:tc>
          <w:tcPr>
            <w:tcW w:w="1218" w:type="dxa"/>
            <w:vMerge w:val="continue"/>
            <w:noWrap w:val="0"/>
            <w:vAlign w:val="center"/>
          </w:tcPr>
          <w:p w14:paraId="585CE62D">
            <w:pPr>
              <w:spacing w:after="120" w:afterLines="50" w:line="380" w:lineRule="exact"/>
              <w:jc w:val="center"/>
              <w:rPr>
                <w:rFonts w:hint="eastAsia" w:ascii="宋体" w:hAnsi="宋体"/>
                <w:szCs w:val="21"/>
              </w:rPr>
            </w:pPr>
          </w:p>
        </w:tc>
        <w:tc>
          <w:tcPr>
            <w:tcW w:w="965" w:type="dxa"/>
            <w:noWrap w:val="0"/>
            <w:vAlign w:val="center"/>
          </w:tcPr>
          <w:p w14:paraId="724AEBA4">
            <w:pPr>
              <w:spacing w:line="300" w:lineRule="exact"/>
              <w:jc w:val="center"/>
              <w:rPr>
                <w:rFonts w:hint="eastAsia" w:ascii="宋体" w:hAnsi="宋体"/>
                <w:szCs w:val="21"/>
              </w:rPr>
            </w:pPr>
            <w:r>
              <w:rPr>
                <w:rFonts w:hint="eastAsia" w:ascii="宋体" w:hAnsi="宋体"/>
                <w:szCs w:val="21"/>
              </w:rPr>
              <w:t>暂估价</w:t>
            </w:r>
          </w:p>
        </w:tc>
        <w:tc>
          <w:tcPr>
            <w:tcW w:w="1400" w:type="dxa"/>
            <w:noWrap w:val="0"/>
            <w:vAlign w:val="center"/>
          </w:tcPr>
          <w:p w14:paraId="07A357EA">
            <w:pPr>
              <w:spacing w:line="300" w:lineRule="exact"/>
              <w:jc w:val="center"/>
              <w:rPr>
                <w:rFonts w:hint="eastAsia" w:ascii="宋体" w:hAnsi="宋体"/>
                <w:szCs w:val="21"/>
              </w:rPr>
            </w:pPr>
            <w:r>
              <w:rPr>
                <w:rFonts w:hint="eastAsia" w:ascii="宋体" w:hAnsi="宋体"/>
                <w:szCs w:val="21"/>
              </w:rPr>
              <w:t>安全文明</w:t>
            </w:r>
          </w:p>
          <w:p w14:paraId="0BC129EA">
            <w:pPr>
              <w:spacing w:line="300" w:lineRule="exact"/>
              <w:jc w:val="center"/>
              <w:rPr>
                <w:rFonts w:hint="eastAsia" w:ascii="宋体" w:hAnsi="宋体"/>
                <w:szCs w:val="21"/>
              </w:rPr>
            </w:pPr>
            <w:r>
              <w:rPr>
                <w:rFonts w:hint="eastAsia" w:ascii="宋体" w:hAnsi="宋体"/>
                <w:szCs w:val="21"/>
              </w:rPr>
              <w:t>施工费</w:t>
            </w:r>
          </w:p>
        </w:tc>
        <w:tc>
          <w:tcPr>
            <w:tcW w:w="925" w:type="dxa"/>
            <w:noWrap w:val="0"/>
            <w:vAlign w:val="center"/>
          </w:tcPr>
          <w:p w14:paraId="75DB3299">
            <w:pPr>
              <w:spacing w:line="300" w:lineRule="exact"/>
              <w:jc w:val="center"/>
              <w:rPr>
                <w:rFonts w:hint="eastAsia" w:ascii="宋体" w:hAnsi="宋体"/>
                <w:szCs w:val="21"/>
              </w:rPr>
            </w:pPr>
            <w:r>
              <w:rPr>
                <w:rFonts w:hint="eastAsia" w:ascii="宋体" w:hAnsi="宋体"/>
                <w:szCs w:val="21"/>
              </w:rPr>
              <w:t>规费</w:t>
            </w:r>
          </w:p>
          <w:p w14:paraId="0A77469E">
            <w:pPr>
              <w:spacing w:line="300" w:lineRule="exact"/>
              <w:jc w:val="center"/>
              <w:rPr>
                <w:rFonts w:hint="eastAsia" w:ascii="宋体" w:hAnsi="宋体"/>
                <w:szCs w:val="21"/>
              </w:rPr>
            </w:pPr>
          </w:p>
        </w:tc>
      </w:tr>
      <w:tr w14:paraId="6DB8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3B901D13">
            <w:pPr>
              <w:spacing w:after="120" w:afterLines="50" w:line="380" w:lineRule="exact"/>
              <w:jc w:val="center"/>
              <w:rPr>
                <w:rFonts w:hint="eastAsia" w:ascii="宋体" w:hAnsi="宋体"/>
                <w:szCs w:val="21"/>
              </w:rPr>
            </w:pPr>
            <w:r>
              <w:rPr>
                <w:rFonts w:hint="eastAsia" w:ascii="宋体" w:hAnsi="宋体"/>
                <w:szCs w:val="21"/>
              </w:rPr>
              <w:t>1</w:t>
            </w:r>
          </w:p>
        </w:tc>
        <w:tc>
          <w:tcPr>
            <w:tcW w:w="3318" w:type="dxa"/>
            <w:tcBorders>
              <w:bottom w:val="single" w:color="auto" w:sz="4" w:space="0"/>
            </w:tcBorders>
            <w:noWrap w:val="0"/>
            <w:vAlign w:val="center"/>
          </w:tcPr>
          <w:p w14:paraId="15E8F4B9">
            <w:pPr>
              <w:spacing w:after="120" w:afterLines="50" w:line="380" w:lineRule="exact"/>
              <w:rPr>
                <w:rFonts w:hint="eastAsia" w:ascii="宋体" w:hAnsi="宋体"/>
                <w:szCs w:val="21"/>
              </w:rPr>
            </w:pPr>
            <w:r>
              <w:rPr>
                <w:rFonts w:hint="eastAsia" w:ascii="宋体" w:hAnsi="宋体"/>
                <w:szCs w:val="21"/>
              </w:rPr>
              <w:t>单项工程</w:t>
            </w:r>
          </w:p>
        </w:tc>
        <w:tc>
          <w:tcPr>
            <w:tcW w:w="1218" w:type="dxa"/>
            <w:tcBorders>
              <w:bottom w:val="single" w:color="auto" w:sz="4" w:space="0"/>
            </w:tcBorders>
            <w:noWrap w:val="0"/>
            <w:vAlign w:val="center"/>
          </w:tcPr>
          <w:p w14:paraId="664355E5">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2CC1F536">
            <w:pPr>
              <w:spacing w:line="300" w:lineRule="exact"/>
              <w:jc w:val="center"/>
              <w:rPr>
                <w:rFonts w:hint="eastAsia" w:ascii="宋体" w:hAnsi="宋体"/>
                <w:szCs w:val="21"/>
              </w:rPr>
            </w:pPr>
          </w:p>
        </w:tc>
        <w:tc>
          <w:tcPr>
            <w:tcW w:w="1400" w:type="dxa"/>
            <w:noWrap w:val="0"/>
            <w:vAlign w:val="center"/>
          </w:tcPr>
          <w:p w14:paraId="512F7101">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1037BB93">
            <w:pPr>
              <w:spacing w:line="300" w:lineRule="exact"/>
              <w:jc w:val="center"/>
              <w:rPr>
                <w:rFonts w:hint="eastAsia" w:ascii="宋体" w:hAnsi="宋体"/>
                <w:szCs w:val="21"/>
              </w:rPr>
            </w:pPr>
          </w:p>
        </w:tc>
      </w:tr>
      <w:tr w14:paraId="2D0A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1EE08D9D">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54F98F52">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306EDB30">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012556A8">
            <w:pPr>
              <w:spacing w:line="300" w:lineRule="exact"/>
              <w:jc w:val="center"/>
              <w:rPr>
                <w:rFonts w:hint="eastAsia" w:ascii="宋体" w:hAnsi="宋体"/>
                <w:szCs w:val="21"/>
              </w:rPr>
            </w:pPr>
          </w:p>
        </w:tc>
        <w:tc>
          <w:tcPr>
            <w:tcW w:w="1400" w:type="dxa"/>
            <w:noWrap w:val="0"/>
            <w:vAlign w:val="center"/>
          </w:tcPr>
          <w:p w14:paraId="138BB1C9">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F4E3CA9">
            <w:pPr>
              <w:spacing w:line="300" w:lineRule="exact"/>
              <w:jc w:val="center"/>
              <w:rPr>
                <w:rFonts w:hint="eastAsia" w:ascii="宋体" w:hAnsi="宋体"/>
                <w:szCs w:val="21"/>
              </w:rPr>
            </w:pPr>
          </w:p>
        </w:tc>
      </w:tr>
      <w:tr w14:paraId="7B76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108694E7">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2FDC0217">
            <w:pPr>
              <w:spacing w:after="120" w:afterLines="50" w:line="380" w:lineRule="exact"/>
              <w:rPr>
                <w:rFonts w:hint="eastAsia" w:ascii="宋体" w:hAnsi="宋体"/>
                <w:szCs w:val="21"/>
              </w:rPr>
            </w:pPr>
            <w:r>
              <w:rPr>
                <w:rFonts w:hint="eastAsia" w:ascii="宋体" w:hAnsi="宋体"/>
                <w:szCs w:val="21"/>
              </w:rPr>
              <w:t>建设项目数据：</w:t>
            </w:r>
          </w:p>
        </w:tc>
        <w:tc>
          <w:tcPr>
            <w:tcW w:w="1218" w:type="dxa"/>
            <w:tcBorders>
              <w:bottom w:val="single" w:color="auto" w:sz="4" w:space="0"/>
            </w:tcBorders>
            <w:noWrap w:val="0"/>
            <w:vAlign w:val="center"/>
          </w:tcPr>
          <w:p w14:paraId="54E221E3">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2EFBA071">
            <w:pPr>
              <w:spacing w:line="300" w:lineRule="exact"/>
              <w:jc w:val="center"/>
              <w:rPr>
                <w:rFonts w:hint="eastAsia" w:ascii="宋体" w:hAnsi="宋体"/>
                <w:szCs w:val="21"/>
              </w:rPr>
            </w:pPr>
          </w:p>
        </w:tc>
        <w:tc>
          <w:tcPr>
            <w:tcW w:w="1400" w:type="dxa"/>
            <w:noWrap w:val="0"/>
            <w:vAlign w:val="center"/>
          </w:tcPr>
          <w:p w14:paraId="58A50FE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CEABD5C">
            <w:pPr>
              <w:spacing w:line="300" w:lineRule="exact"/>
              <w:jc w:val="center"/>
              <w:rPr>
                <w:rFonts w:hint="eastAsia" w:ascii="宋体" w:hAnsi="宋体"/>
                <w:szCs w:val="21"/>
              </w:rPr>
            </w:pPr>
          </w:p>
        </w:tc>
      </w:tr>
      <w:tr w14:paraId="796AF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3D27C4A7">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559C870B">
            <w:pPr>
              <w:spacing w:after="120" w:afterLines="50" w:line="380" w:lineRule="exact"/>
              <w:rPr>
                <w:rFonts w:hint="eastAsia" w:ascii="宋体" w:hAnsi="宋体"/>
                <w:szCs w:val="21"/>
              </w:rPr>
            </w:pPr>
            <w:r>
              <w:rPr>
                <w:rFonts w:hint="eastAsia" w:ascii="宋体" w:hAnsi="宋体"/>
                <w:szCs w:val="21"/>
              </w:rPr>
              <w:t>人工费</w:t>
            </w:r>
          </w:p>
        </w:tc>
        <w:tc>
          <w:tcPr>
            <w:tcW w:w="1218" w:type="dxa"/>
            <w:tcBorders>
              <w:bottom w:val="single" w:color="auto" w:sz="4" w:space="0"/>
            </w:tcBorders>
            <w:noWrap w:val="0"/>
            <w:vAlign w:val="center"/>
          </w:tcPr>
          <w:p w14:paraId="14E91C5A">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49795B26">
            <w:pPr>
              <w:spacing w:line="300" w:lineRule="exact"/>
              <w:jc w:val="center"/>
              <w:rPr>
                <w:rFonts w:hint="eastAsia" w:ascii="宋体" w:hAnsi="宋体"/>
                <w:szCs w:val="21"/>
              </w:rPr>
            </w:pPr>
          </w:p>
        </w:tc>
        <w:tc>
          <w:tcPr>
            <w:tcW w:w="1400" w:type="dxa"/>
            <w:noWrap w:val="0"/>
            <w:vAlign w:val="center"/>
          </w:tcPr>
          <w:p w14:paraId="273C72F4">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F1A7D38">
            <w:pPr>
              <w:spacing w:line="300" w:lineRule="exact"/>
              <w:jc w:val="center"/>
              <w:rPr>
                <w:rFonts w:hint="eastAsia" w:ascii="宋体" w:hAnsi="宋体"/>
                <w:szCs w:val="21"/>
              </w:rPr>
            </w:pPr>
          </w:p>
        </w:tc>
      </w:tr>
      <w:tr w14:paraId="3C3C3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0D8F3F0C">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5A4DD5D8">
            <w:pPr>
              <w:spacing w:after="120" w:afterLines="50" w:line="380" w:lineRule="exact"/>
              <w:rPr>
                <w:rFonts w:hint="eastAsia" w:ascii="宋体" w:hAnsi="宋体"/>
                <w:szCs w:val="21"/>
              </w:rPr>
            </w:pPr>
            <w:r>
              <w:rPr>
                <w:rFonts w:hint="eastAsia" w:ascii="宋体" w:hAnsi="宋体"/>
                <w:szCs w:val="21"/>
              </w:rPr>
              <w:t>材料费</w:t>
            </w:r>
          </w:p>
        </w:tc>
        <w:tc>
          <w:tcPr>
            <w:tcW w:w="1218" w:type="dxa"/>
            <w:tcBorders>
              <w:bottom w:val="single" w:color="auto" w:sz="4" w:space="0"/>
            </w:tcBorders>
            <w:noWrap w:val="0"/>
            <w:vAlign w:val="center"/>
          </w:tcPr>
          <w:p w14:paraId="60CFA709">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4D5BCD1F">
            <w:pPr>
              <w:spacing w:line="300" w:lineRule="exact"/>
              <w:jc w:val="center"/>
              <w:rPr>
                <w:rFonts w:hint="eastAsia" w:ascii="宋体" w:hAnsi="宋体"/>
                <w:szCs w:val="21"/>
              </w:rPr>
            </w:pPr>
          </w:p>
        </w:tc>
        <w:tc>
          <w:tcPr>
            <w:tcW w:w="1400" w:type="dxa"/>
            <w:noWrap w:val="0"/>
            <w:vAlign w:val="center"/>
          </w:tcPr>
          <w:p w14:paraId="6EE29FD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FD6EF77">
            <w:pPr>
              <w:spacing w:line="300" w:lineRule="exact"/>
              <w:jc w:val="center"/>
              <w:rPr>
                <w:rFonts w:hint="eastAsia" w:ascii="宋体" w:hAnsi="宋体"/>
                <w:szCs w:val="21"/>
              </w:rPr>
            </w:pPr>
          </w:p>
        </w:tc>
      </w:tr>
      <w:tr w14:paraId="53A8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8" w:hRule="atLeast"/>
        </w:trPr>
        <w:tc>
          <w:tcPr>
            <w:tcW w:w="642" w:type="dxa"/>
            <w:tcBorders>
              <w:bottom w:val="single" w:color="auto" w:sz="4" w:space="0"/>
            </w:tcBorders>
            <w:noWrap w:val="0"/>
            <w:vAlign w:val="center"/>
          </w:tcPr>
          <w:p w14:paraId="278328EE">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0F9B81B2">
            <w:pPr>
              <w:spacing w:after="120" w:afterLines="50" w:line="380" w:lineRule="exact"/>
              <w:rPr>
                <w:rFonts w:hint="eastAsia" w:ascii="宋体" w:hAnsi="宋体"/>
                <w:szCs w:val="21"/>
              </w:rPr>
            </w:pPr>
            <w:r>
              <w:rPr>
                <w:rFonts w:hint="eastAsia" w:ascii="宋体" w:hAnsi="宋体"/>
                <w:szCs w:val="21"/>
              </w:rPr>
              <w:t>机械费</w:t>
            </w:r>
          </w:p>
        </w:tc>
        <w:tc>
          <w:tcPr>
            <w:tcW w:w="1218" w:type="dxa"/>
            <w:tcBorders>
              <w:bottom w:val="single" w:color="auto" w:sz="4" w:space="0"/>
            </w:tcBorders>
            <w:noWrap w:val="0"/>
            <w:vAlign w:val="center"/>
          </w:tcPr>
          <w:p w14:paraId="66B8B169">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71CA7341">
            <w:pPr>
              <w:spacing w:line="300" w:lineRule="exact"/>
              <w:jc w:val="center"/>
              <w:rPr>
                <w:rFonts w:hint="eastAsia" w:ascii="宋体" w:hAnsi="宋体"/>
                <w:szCs w:val="21"/>
              </w:rPr>
            </w:pPr>
          </w:p>
        </w:tc>
        <w:tc>
          <w:tcPr>
            <w:tcW w:w="1400" w:type="dxa"/>
            <w:noWrap w:val="0"/>
            <w:vAlign w:val="center"/>
          </w:tcPr>
          <w:p w14:paraId="480AA1EC">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7818FA8">
            <w:pPr>
              <w:spacing w:line="300" w:lineRule="exact"/>
              <w:jc w:val="center"/>
              <w:rPr>
                <w:rFonts w:hint="eastAsia" w:ascii="宋体" w:hAnsi="宋体"/>
                <w:szCs w:val="21"/>
              </w:rPr>
            </w:pPr>
          </w:p>
        </w:tc>
      </w:tr>
      <w:tr w14:paraId="128D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444F5F9E">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0F3A42ED">
            <w:pPr>
              <w:spacing w:after="120" w:afterLines="50" w:line="380" w:lineRule="exact"/>
              <w:rPr>
                <w:rFonts w:hint="eastAsia" w:ascii="宋体" w:hAnsi="宋体"/>
                <w:szCs w:val="21"/>
              </w:rPr>
            </w:pPr>
            <w:r>
              <w:rPr>
                <w:rFonts w:hint="eastAsia" w:ascii="宋体" w:hAnsi="宋体"/>
                <w:szCs w:val="21"/>
              </w:rPr>
              <w:t>设备费</w:t>
            </w:r>
          </w:p>
        </w:tc>
        <w:tc>
          <w:tcPr>
            <w:tcW w:w="1218" w:type="dxa"/>
            <w:tcBorders>
              <w:bottom w:val="single" w:color="auto" w:sz="4" w:space="0"/>
            </w:tcBorders>
            <w:noWrap w:val="0"/>
            <w:vAlign w:val="center"/>
          </w:tcPr>
          <w:p w14:paraId="4788E1A6">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688C736">
            <w:pPr>
              <w:spacing w:line="300" w:lineRule="exact"/>
              <w:jc w:val="center"/>
              <w:rPr>
                <w:rFonts w:hint="eastAsia" w:ascii="宋体" w:hAnsi="宋体"/>
                <w:szCs w:val="21"/>
              </w:rPr>
            </w:pPr>
          </w:p>
        </w:tc>
        <w:tc>
          <w:tcPr>
            <w:tcW w:w="1400" w:type="dxa"/>
            <w:noWrap w:val="0"/>
            <w:vAlign w:val="center"/>
          </w:tcPr>
          <w:p w14:paraId="01FEEDD8">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6CC9A63">
            <w:pPr>
              <w:spacing w:line="300" w:lineRule="exact"/>
              <w:jc w:val="center"/>
              <w:rPr>
                <w:rFonts w:hint="eastAsia" w:ascii="宋体" w:hAnsi="宋体"/>
                <w:szCs w:val="21"/>
              </w:rPr>
            </w:pPr>
          </w:p>
        </w:tc>
      </w:tr>
      <w:tr w14:paraId="1E40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3E9EEEA9">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0D04DACE">
            <w:pPr>
              <w:spacing w:after="120" w:afterLines="50" w:line="380" w:lineRule="exact"/>
              <w:rPr>
                <w:rFonts w:hint="eastAsia" w:ascii="宋体" w:hAnsi="宋体"/>
                <w:szCs w:val="21"/>
              </w:rPr>
            </w:pPr>
            <w:r>
              <w:rPr>
                <w:rFonts w:hint="eastAsia" w:ascii="宋体" w:hAnsi="宋体"/>
                <w:szCs w:val="21"/>
              </w:rPr>
              <w:t>主材费</w:t>
            </w:r>
          </w:p>
        </w:tc>
        <w:tc>
          <w:tcPr>
            <w:tcW w:w="1218" w:type="dxa"/>
            <w:tcBorders>
              <w:bottom w:val="single" w:color="auto" w:sz="4" w:space="0"/>
            </w:tcBorders>
            <w:noWrap w:val="0"/>
            <w:vAlign w:val="center"/>
          </w:tcPr>
          <w:p w14:paraId="3449DD0D">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64F6B91F">
            <w:pPr>
              <w:spacing w:line="300" w:lineRule="exact"/>
              <w:jc w:val="center"/>
              <w:rPr>
                <w:rFonts w:hint="eastAsia" w:ascii="宋体" w:hAnsi="宋体"/>
                <w:szCs w:val="21"/>
              </w:rPr>
            </w:pPr>
          </w:p>
        </w:tc>
        <w:tc>
          <w:tcPr>
            <w:tcW w:w="1400" w:type="dxa"/>
            <w:noWrap w:val="0"/>
            <w:vAlign w:val="center"/>
          </w:tcPr>
          <w:p w14:paraId="0A38AA08">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97DF81B">
            <w:pPr>
              <w:spacing w:line="300" w:lineRule="exact"/>
              <w:jc w:val="center"/>
              <w:rPr>
                <w:rFonts w:hint="eastAsia" w:ascii="宋体" w:hAnsi="宋体"/>
                <w:szCs w:val="21"/>
              </w:rPr>
            </w:pPr>
          </w:p>
        </w:tc>
      </w:tr>
      <w:tr w14:paraId="2BE1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4D8BEA03">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164C7CF9">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5A656EB7">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027C2DAA">
            <w:pPr>
              <w:spacing w:line="300" w:lineRule="exact"/>
              <w:jc w:val="center"/>
              <w:rPr>
                <w:rFonts w:hint="eastAsia" w:ascii="宋体" w:hAnsi="宋体"/>
                <w:szCs w:val="21"/>
              </w:rPr>
            </w:pPr>
          </w:p>
        </w:tc>
        <w:tc>
          <w:tcPr>
            <w:tcW w:w="1400" w:type="dxa"/>
            <w:noWrap w:val="0"/>
            <w:vAlign w:val="center"/>
          </w:tcPr>
          <w:p w14:paraId="4ABEA28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7CAB1C1E">
            <w:pPr>
              <w:spacing w:line="300" w:lineRule="exact"/>
              <w:jc w:val="center"/>
              <w:rPr>
                <w:rFonts w:hint="eastAsia" w:ascii="宋体" w:hAnsi="宋体"/>
                <w:szCs w:val="21"/>
              </w:rPr>
            </w:pPr>
          </w:p>
        </w:tc>
      </w:tr>
      <w:tr w14:paraId="0FFE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42" w:type="dxa"/>
            <w:tcBorders>
              <w:bottom w:val="single" w:color="auto" w:sz="4" w:space="0"/>
            </w:tcBorders>
            <w:noWrap w:val="0"/>
            <w:vAlign w:val="center"/>
          </w:tcPr>
          <w:p w14:paraId="2B9E7BA8">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903A82B">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0601EB83">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7C51FEE">
            <w:pPr>
              <w:spacing w:line="300" w:lineRule="exact"/>
              <w:jc w:val="center"/>
              <w:rPr>
                <w:rFonts w:hint="eastAsia" w:ascii="宋体" w:hAnsi="宋体"/>
                <w:szCs w:val="21"/>
              </w:rPr>
            </w:pPr>
          </w:p>
        </w:tc>
        <w:tc>
          <w:tcPr>
            <w:tcW w:w="1400" w:type="dxa"/>
            <w:noWrap w:val="0"/>
            <w:vAlign w:val="center"/>
          </w:tcPr>
          <w:p w14:paraId="0703EAA2">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4F25304">
            <w:pPr>
              <w:spacing w:line="300" w:lineRule="exact"/>
              <w:jc w:val="center"/>
              <w:rPr>
                <w:rFonts w:hint="eastAsia" w:ascii="宋体" w:hAnsi="宋体"/>
                <w:szCs w:val="21"/>
              </w:rPr>
            </w:pPr>
          </w:p>
        </w:tc>
      </w:tr>
      <w:tr w14:paraId="34B2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5DF5D620">
            <w:pPr>
              <w:spacing w:after="120" w:afterLines="50" w:line="380" w:lineRule="exact"/>
              <w:jc w:val="center"/>
              <w:rPr>
                <w:rFonts w:hint="eastAsia" w:ascii="宋体" w:hAnsi="宋体"/>
                <w:szCs w:val="21"/>
              </w:rPr>
            </w:pPr>
            <w:r>
              <w:rPr>
                <w:rFonts w:hint="eastAsia" w:ascii="宋体" w:hAnsi="宋体"/>
                <w:szCs w:val="21"/>
              </w:rPr>
              <w:t>合 计</w:t>
            </w:r>
          </w:p>
        </w:tc>
        <w:tc>
          <w:tcPr>
            <w:tcW w:w="1218" w:type="dxa"/>
            <w:noWrap w:val="0"/>
            <w:vAlign w:val="center"/>
          </w:tcPr>
          <w:p w14:paraId="1545184F">
            <w:pPr>
              <w:spacing w:after="120" w:afterLines="50" w:line="380" w:lineRule="exact"/>
              <w:jc w:val="center"/>
              <w:rPr>
                <w:rFonts w:hint="eastAsia" w:ascii="宋体" w:hAnsi="宋体"/>
                <w:szCs w:val="21"/>
              </w:rPr>
            </w:pPr>
          </w:p>
        </w:tc>
        <w:tc>
          <w:tcPr>
            <w:tcW w:w="965" w:type="dxa"/>
            <w:noWrap w:val="0"/>
            <w:vAlign w:val="center"/>
          </w:tcPr>
          <w:p w14:paraId="69B7C2C7">
            <w:pPr>
              <w:spacing w:line="300" w:lineRule="exact"/>
              <w:jc w:val="center"/>
              <w:rPr>
                <w:rFonts w:hint="eastAsia" w:ascii="宋体" w:hAnsi="宋体"/>
                <w:szCs w:val="21"/>
              </w:rPr>
            </w:pPr>
          </w:p>
        </w:tc>
        <w:tc>
          <w:tcPr>
            <w:tcW w:w="1400" w:type="dxa"/>
            <w:noWrap w:val="0"/>
            <w:vAlign w:val="center"/>
          </w:tcPr>
          <w:p w14:paraId="174485E0">
            <w:pPr>
              <w:spacing w:line="300" w:lineRule="exact"/>
              <w:jc w:val="center"/>
              <w:rPr>
                <w:rFonts w:hint="eastAsia" w:ascii="宋体" w:hAnsi="宋体"/>
                <w:szCs w:val="21"/>
              </w:rPr>
            </w:pPr>
          </w:p>
        </w:tc>
        <w:tc>
          <w:tcPr>
            <w:tcW w:w="925" w:type="dxa"/>
            <w:noWrap w:val="0"/>
            <w:vAlign w:val="center"/>
          </w:tcPr>
          <w:p w14:paraId="2EC3D8AE">
            <w:pPr>
              <w:spacing w:line="300" w:lineRule="exact"/>
              <w:jc w:val="center"/>
              <w:rPr>
                <w:rFonts w:hint="eastAsia" w:ascii="宋体" w:hAnsi="宋体"/>
                <w:szCs w:val="21"/>
              </w:rPr>
            </w:pPr>
          </w:p>
        </w:tc>
      </w:tr>
      <w:tr w14:paraId="29F0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46A73AFD">
            <w:pPr>
              <w:spacing w:after="120" w:afterLines="50" w:line="380" w:lineRule="exact"/>
              <w:rPr>
                <w:rFonts w:hint="eastAsia" w:ascii="宋体" w:hAnsi="宋体"/>
                <w:szCs w:val="21"/>
              </w:rPr>
            </w:pPr>
            <w:r>
              <w:rPr>
                <w:rFonts w:hint="eastAsia" w:ascii="宋体" w:hAnsi="宋体"/>
                <w:szCs w:val="21"/>
              </w:rPr>
              <w:t>算术错误修正后的投标报价（A）</w:t>
            </w:r>
          </w:p>
        </w:tc>
        <w:tc>
          <w:tcPr>
            <w:tcW w:w="1218" w:type="dxa"/>
            <w:noWrap w:val="0"/>
            <w:vAlign w:val="center"/>
          </w:tcPr>
          <w:p w14:paraId="4589E117">
            <w:pPr>
              <w:spacing w:after="120" w:afterLines="50" w:line="380" w:lineRule="exact"/>
              <w:jc w:val="center"/>
              <w:rPr>
                <w:rFonts w:hint="eastAsia" w:ascii="宋体" w:hAnsi="宋体"/>
                <w:szCs w:val="21"/>
              </w:rPr>
            </w:pPr>
          </w:p>
        </w:tc>
        <w:tc>
          <w:tcPr>
            <w:tcW w:w="965" w:type="dxa"/>
            <w:noWrap w:val="0"/>
            <w:vAlign w:val="center"/>
          </w:tcPr>
          <w:p w14:paraId="56D024ED">
            <w:pPr>
              <w:spacing w:line="300" w:lineRule="exact"/>
              <w:jc w:val="center"/>
              <w:rPr>
                <w:rFonts w:hint="eastAsia" w:ascii="宋体" w:hAnsi="宋体"/>
                <w:szCs w:val="21"/>
              </w:rPr>
            </w:pPr>
          </w:p>
        </w:tc>
        <w:tc>
          <w:tcPr>
            <w:tcW w:w="1400" w:type="dxa"/>
            <w:noWrap w:val="0"/>
            <w:vAlign w:val="center"/>
          </w:tcPr>
          <w:p w14:paraId="2A26AF25">
            <w:pPr>
              <w:spacing w:line="300" w:lineRule="exact"/>
              <w:jc w:val="center"/>
              <w:rPr>
                <w:rFonts w:hint="eastAsia" w:ascii="宋体" w:hAnsi="宋体"/>
                <w:szCs w:val="21"/>
              </w:rPr>
            </w:pPr>
          </w:p>
        </w:tc>
        <w:tc>
          <w:tcPr>
            <w:tcW w:w="925" w:type="dxa"/>
            <w:noWrap w:val="0"/>
            <w:vAlign w:val="center"/>
          </w:tcPr>
          <w:p w14:paraId="130D1903">
            <w:pPr>
              <w:spacing w:line="300" w:lineRule="exact"/>
              <w:jc w:val="center"/>
              <w:rPr>
                <w:rFonts w:hint="eastAsia" w:ascii="宋体" w:hAnsi="宋体"/>
                <w:szCs w:val="21"/>
              </w:rPr>
            </w:pPr>
          </w:p>
        </w:tc>
      </w:tr>
      <w:tr w14:paraId="69DA1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3AB18330">
            <w:pPr>
              <w:spacing w:after="120" w:afterLines="50" w:line="380" w:lineRule="exact"/>
              <w:rPr>
                <w:rFonts w:hint="eastAsia" w:ascii="宋体" w:hAnsi="宋体"/>
                <w:szCs w:val="21"/>
              </w:rPr>
            </w:pPr>
            <w:r>
              <w:rPr>
                <w:rFonts w:hint="eastAsia" w:ascii="宋体" w:hAnsi="宋体"/>
                <w:szCs w:val="21"/>
              </w:rPr>
              <w:t>原投标报价（B）</w:t>
            </w:r>
          </w:p>
        </w:tc>
        <w:tc>
          <w:tcPr>
            <w:tcW w:w="1218" w:type="dxa"/>
            <w:noWrap w:val="0"/>
            <w:vAlign w:val="center"/>
          </w:tcPr>
          <w:p w14:paraId="0FF61726">
            <w:pPr>
              <w:spacing w:after="120" w:afterLines="50" w:line="380" w:lineRule="exact"/>
              <w:jc w:val="center"/>
              <w:rPr>
                <w:rFonts w:hint="eastAsia" w:ascii="宋体" w:hAnsi="宋体"/>
                <w:szCs w:val="21"/>
              </w:rPr>
            </w:pPr>
          </w:p>
        </w:tc>
        <w:tc>
          <w:tcPr>
            <w:tcW w:w="965" w:type="dxa"/>
            <w:noWrap w:val="0"/>
            <w:vAlign w:val="center"/>
          </w:tcPr>
          <w:p w14:paraId="34A9E720">
            <w:pPr>
              <w:spacing w:line="300" w:lineRule="exact"/>
              <w:jc w:val="center"/>
              <w:rPr>
                <w:rFonts w:hint="eastAsia" w:ascii="宋体" w:hAnsi="宋体"/>
                <w:szCs w:val="21"/>
              </w:rPr>
            </w:pPr>
          </w:p>
        </w:tc>
        <w:tc>
          <w:tcPr>
            <w:tcW w:w="1400" w:type="dxa"/>
            <w:noWrap w:val="0"/>
            <w:vAlign w:val="center"/>
          </w:tcPr>
          <w:p w14:paraId="01D19E50">
            <w:pPr>
              <w:spacing w:line="300" w:lineRule="exact"/>
              <w:jc w:val="center"/>
              <w:rPr>
                <w:rFonts w:hint="eastAsia" w:ascii="宋体" w:hAnsi="宋体"/>
                <w:szCs w:val="21"/>
              </w:rPr>
            </w:pPr>
          </w:p>
        </w:tc>
        <w:tc>
          <w:tcPr>
            <w:tcW w:w="925" w:type="dxa"/>
            <w:noWrap w:val="0"/>
            <w:vAlign w:val="center"/>
          </w:tcPr>
          <w:p w14:paraId="647E453F">
            <w:pPr>
              <w:spacing w:line="300" w:lineRule="exact"/>
              <w:jc w:val="center"/>
              <w:rPr>
                <w:rFonts w:hint="eastAsia" w:ascii="宋体" w:hAnsi="宋体"/>
                <w:szCs w:val="21"/>
              </w:rPr>
            </w:pPr>
          </w:p>
        </w:tc>
      </w:tr>
      <w:tr w14:paraId="613A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960" w:type="dxa"/>
            <w:gridSpan w:val="2"/>
            <w:noWrap w:val="0"/>
            <w:vAlign w:val="center"/>
          </w:tcPr>
          <w:p w14:paraId="61DC1DEE">
            <w:pPr>
              <w:spacing w:after="120" w:afterLines="50" w:line="380" w:lineRule="exact"/>
              <w:rPr>
                <w:rFonts w:hint="eastAsia" w:ascii="宋体" w:hAnsi="宋体"/>
                <w:szCs w:val="21"/>
              </w:rPr>
            </w:pPr>
            <w:r>
              <w:rPr>
                <w:rFonts w:hint="eastAsia" w:ascii="宋体" w:hAnsi="宋体"/>
                <w:szCs w:val="21"/>
              </w:rPr>
              <w:t>偏差      (A-B)/B</w:t>
            </w:r>
          </w:p>
        </w:tc>
        <w:tc>
          <w:tcPr>
            <w:tcW w:w="1218" w:type="dxa"/>
            <w:noWrap w:val="0"/>
            <w:vAlign w:val="center"/>
          </w:tcPr>
          <w:p w14:paraId="7749D3C0">
            <w:pPr>
              <w:spacing w:after="120" w:afterLines="50" w:line="380" w:lineRule="exact"/>
              <w:jc w:val="center"/>
              <w:rPr>
                <w:rFonts w:hint="eastAsia" w:ascii="宋体" w:hAnsi="宋体"/>
                <w:szCs w:val="21"/>
              </w:rPr>
            </w:pPr>
          </w:p>
        </w:tc>
        <w:tc>
          <w:tcPr>
            <w:tcW w:w="965" w:type="dxa"/>
            <w:noWrap w:val="0"/>
            <w:vAlign w:val="center"/>
          </w:tcPr>
          <w:p w14:paraId="0C2E60BA">
            <w:pPr>
              <w:spacing w:line="300" w:lineRule="exact"/>
              <w:jc w:val="center"/>
              <w:rPr>
                <w:rFonts w:hint="eastAsia" w:ascii="宋体" w:hAnsi="宋体"/>
                <w:szCs w:val="21"/>
              </w:rPr>
            </w:pPr>
          </w:p>
        </w:tc>
        <w:tc>
          <w:tcPr>
            <w:tcW w:w="1400" w:type="dxa"/>
            <w:noWrap w:val="0"/>
            <w:vAlign w:val="center"/>
          </w:tcPr>
          <w:p w14:paraId="26CC1CB4">
            <w:pPr>
              <w:spacing w:line="300" w:lineRule="exact"/>
              <w:jc w:val="center"/>
              <w:rPr>
                <w:rFonts w:hint="eastAsia" w:ascii="宋体" w:hAnsi="宋体"/>
                <w:szCs w:val="21"/>
              </w:rPr>
            </w:pPr>
          </w:p>
        </w:tc>
        <w:tc>
          <w:tcPr>
            <w:tcW w:w="925" w:type="dxa"/>
            <w:noWrap w:val="0"/>
            <w:vAlign w:val="center"/>
          </w:tcPr>
          <w:p w14:paraId="2185297D">
            <w:pPr>
              <w:spacing w:line="300" w:lineRule="exact"/>
              <w:jc w:val="center"/>
              <w:rPr>
                <w:rFonts w:hint="eastAsia" w:ascii="宋体" w:hAnsi="宋体"/>
                <w:szCs w:val="21"/>
              </w:rPr>
            </w:pPr>
          </w:p>
        </w:tc>
      </w:tr>
    </w:tbl>
    <w:p w14:paraId="5B1CEAE9">
      <w:pPr>
        <w:rPr>
          <w:rFonts w:hint="eastAsia" w:ascii="黑体" w:eastAsia="黑体"/>
          <w:szCs w:val="21"/>
        </w:rPr>
      </w:pPr>
    </w:p>
    <w:p w14:paraId="45D165DB">
      <w:pPr>
        <w:rPr>
          <w:rFonts w:hint="eastAsia" w:ascii="黑体" w:eastAsia="黑体"/>
          <w:szCs w:val="21"/>
        </w:rPr>
      </w:pPr>
      <w:r>
        <w:rPr>
          <w:rFonts w:hint="eastAsia" w:ascii="宋体" w:hAnsi="宋体"/>
          <w:szCs w:val="21"/>
        </w:rPr>
        <w:t>评标委员会成员签名：                                  日期:     年     月     日</w:t>
      </w:r>
    </w:p>
    <w:p w14:paraId="346FBE0A">
      <w:pPr>
        <w:rPr>
          <w:rFonts w:hint="eastAsia" w:ascii="黑体" w:eastAsia="黑体"/>
          <w:szCs w:val="21"/>
        </w:rPr>
      </w:pPr>
    </w:p>
    <w:p w14:paraId="50CA232C">
      <w:pPr>
        <w:ind w:left="420" w:hanging="420" w:hangingChars="200"/>
        <w:rPr>
          <w:rFonts w:hint="eastAsia" w:ascii="宋体" w:hAnsi="宋体"/>
          <w:szCs w:val="21"/>
        </w:rPr>
      </w:pPr>
      <w:r>
        <w:rPr>
          <w:rFonts w:hint="eastAsia" w:ascii="宋体" w:hAnsi="宋体"/>
          <w:szCs w:val="21"/>
        </w:rPr>
        <w:t>注：按修正后的价格的修正投标人已标价工程量清单相应表格并计算其修正后的投标报价，本表为示例</w:t>
      </w:r>
    </w:p>
    <w:p w14:paraId="125A2C26">
      <w:pPr>
        <w:rPr>
          <w:rFonts w:hint="eastAsia" w:ascii="黑体" w:eastAsia="黑体"/>
          <w:szCs w:val="21"/>
        </w:rPr>
      </w:pPr>
    </w:p>
    <w:p w14:paraId="5EC42D2D">
      <w:pPr>
        <w:rPr>
          <w:rFonts w:hint="eastAsia" w:ascii="黑体" w:eastAsia="黑体"/>
          <w:szCs w:val="21"/>
        </w:rPr>
        <w:sectPr>
          <w:footerReference r:id="rId10" w:type="default"/>
          <w:footerReference r:id="rId11" w:type="even"/>
          <w:pgSz w:w="11907" w:h="16840"/>
          <w:pgMar w:top="1701" w:right="1531" w:bottom="1588" w:left="1474" w:header="851" w:footer="851" w:gutter="0"/>
          <w:cols w:space="720" w:num="1"/>
          <w:docGrid w:linePitch="312" w:charSpace="0"/>
        </w:sectPr>
      </w:pPr>
    </w:p>
    <w:p w14:paraId="08A4D062">
      <w:pPr>
        <w:pStyle w:val="20"/>
        <w:rPr>
          <w:rFonts w:hint="eastAsia"/>
        </w:rPr>
      </w:pPr>
      <w:bookmarkStart w:id="450" w:name="_Toc108513677"/>
      <w:r>
        <w:rPr>
          <w:rFonts w:hint="eastAsia"/>
        </w:rPr>
        <w:t>附表C-9：清标报告-分部分项工程和单价措施项目清单综合单价分析记录表</w:t>
      </w:r>
      <w:bookmarkEnd w:id="450"/>
    </w:p>
    <w:p w14:paraId="05281E74">
      <w:pPr>
        <w:rPr>
          <w:rFonts w:hint="eastAsia" w:ascii="黑体" w:eastAsia="黑体"/>
          <w:szCs w:val="21"/>
        </w:rPr>
      </w:pPr>
    </w:p>
    <w:p w14:paraId="1481BF04">
      <w:pPr>
        <w:spacing w:before="120" w:beforeLines="50" w:after="120" w:afterLines="50"/>
        <w:jc w:val="center"/>
        <w:rPr>
          <w:rFonts w:hint="eastAsia" w:ascii="黑体" w:eastAsia="黑体"/>
          <w:sz w:val="32"/>
          <w:szCs w:val="32"/>
        </w:rPr>
      </w:pPr>
      <w:r>
        <w:rPr>
          <w:rFonts w:hint="eastAsia" w:ascii="黑体" w:eastAsia="黑体"/>
          <w:sz w:val="32"/>
          <w:szCs w:val="32"/>
        </w:rPr>
        <w:t>清标报告-分部分项工程和单价措施项目清单价格分析记录表</w:t>
      </w:r>
    </w:p>
    <w:p w14:paraId="0DDF6BEF">
      <w:pPr>
        <w:rPr>
          <w:rFonts w:hint="eastAsia" w:ascii="宋体" w:hAnsi="宋体"/>
          <w:szCs w:val="21"/>
        </w:rPr>
      </w:pPr>
      <w:r>
        <w:rPr>
          <w:rFonts w:hint="eastAsia" w:ascii="宋体" w:hAnsi="宋体"/>
          <w:szCs w:val="21"/>
        </w:rPr>
        <w:t>投标人名称：</w:t>
      </w:r>
    </w:p>
    <w:p w14:paraId="13F45D25">
      <w:pPr>
        <w:rPr>
          <w:rFonts w:hint="eastAsia" w:ascii="宋体" w:hAnsi="宋体"/>
          <w:szCs w:val="21"/>
        </w:rPr>
      </w:pPr>
    </w:p>
    <w:tbl>
      <w:tblPr>
        <w:tblStyle w:val="15"/>
        <w:tblW w:w="13832" w:type="dxa"/>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315"/>
        <w:gridCol w:w="1316"/>
        <w:gridCol w:w="1316"/>
        <w:gridCol w:w="1316"/>
        <w:gridCol w:w="1316"/>
        <w:gridCol w:w="1315"/>
        <w:gridCol w:w="1316"/>
        <w:gridCol w:w="1316"/>
        <w:gridCol w:w="1316"/>
        <w:gridCol w:w="1316"/>
      </w:tblGrid>
      <w:tr w14:paraId="7764EA0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305" w:type="dxa"/>
            <w:gridSpan w:val="3"/>
            <w:noWrap w:val="0"/>
            <w:vAlign w:val="center"/>
          </w:tcPr>
          <w:p w14:paraId="6D2C4F76">
            <w:pPr>
              <w:jc w:val="center"/>
              <w:rPr>
                <w:rFonts w:hint="eastAsia"/>
                <w:sz w:val="20"/>
                <w:szCs w:val="20"/>
              </w:rPr>
            </w:pPr>
            <w:r>
              <w:rPr>
                <w:rFonts w:hint="eastAsia"/>
                <w:sz w:val="20"/>
                <w:szCs w:val="20"/>
              </w:rPr>
              <w:t>单位工程名称</w:t>
            </w:r>
          </w:p>
        </w:tc>
        <w:tc>
          <w:tcPr>
            <w:tcW w:w="10527" w:type="dxa"/>
            <w:gridSpan w:val="8"/>
            <w:tcBorders>
              <w:left w:val="single" w:color="auto" w:sz="6" w:space="0"/>
            </w:tcBorders>
            <w:noWrap w:val="0"/>
            <w:vAlign w:val="center"/>
          </w:tcPr>
          <w:p w14:paraId="374274C5">
            <w:pPr>
              <w:jc w:val="center"/>
              <w:rPr>
                <w:rFonts w:hint="eastAsia"/>
                <w:sz w:val="20"/>
                <w:szCs w:val="20"/>
              </w:rPr>
            </w:pPr>
          </w:p>
        </w:tc>
      </w:tr>
      <w:tr w14:paraId="451E2C0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347F19A7">
            <w:pPr>
              <w:jc w:val="center"/>
              <w:rPr>
                <w:rFonts w:hint="eastAsia"/>
                <w:sz w:val="20"/>
                <w:szCs w:val="20"/>
              </w:rPr>
            </w:pPr>
            <w:r>
              <w:rPr>
                <w:rFonts w:hint="eastAsia"/>
                <w:sz w:val="20"/>
                <w:szCs w:val="20"/>
              </w:rPr>
              <w:t>序号</w:t>
            </w:r>
          </w:p>
        </w:tc>
        <w:tc>
          <w:tcPr>
            <w:tcW w:w="1315" w:type="dxa"/>
            <w:tcBorders>
              <w:right w:val="single" w:color="auto" w:sz="6" w:space="0"/>
            </w:tcBorders>
            <w:noWrap w:val="0"/>
            <w:vAlign w:val="center"/>
          </w:tcPr>
          <w:p w14:paraId="5AC20343">
            <w:pPr>
              <w:jc w:val="center"/>
              <w:rPr>
                <w:rFonts w:hint="eastAsia"/>
                <w:sz w:val="20"/>
                <w:szCs w:val="20"/>
              </w:rPr>
            </w:pPr>
            <w:r>
              <w:rPr>
                <w:rFonts w:hint="eastAsia"/>
                <w:sz w:val="20"/>
                <w:szCs w:val="20"/>
              </w:rPr>
              <w:t>项目编码</w:t>
            </w:r>
          </w:p>
        </w:tc>
        <w:tc>
          <w:tcPr>
            <w:tcW w:w="1316" w:type="dxa"/>
            <w:tcBorders>
              <w:left w:val="single" w:color="auto" w:sz="6" w:space="0"/>
            </w:tcBorders>
            <w:noWrap w:val="0"/>
            <w:vAlign w:val="center"/>
          </w:tcPr>
          <w:p w14:paraId="159668A8">
            <w:pPr>
              <w:jc w:val="center"/>
              <w:rPr>
                <w:rFonts w:hint="eastAsia"/>
                <w:sz w:val="20"/>
                <w:szCs w:val="20"/>
              </w:rPr>
            </w:pPr>
            <w:r>
              <w:rPr>
                <w:rFonts w:hint="eastAsia"/>
                <w:sz w:val="20"/>
                <w:szCs w:val="20"/>
              </w:rPr>
              <w:t>项目名称</w:t>
            </w:r>
          </w:p>
        </w:tc>
        <w:tc>
          <w:tcPr>
            <w:tcW w:w="1316" w:type="dxa"/>
            <w:tcBorders>
              <w:left w:val="single" w:color="auto" w:sz="6" w:space="0"/>
              <w:right w:val="single" w:color="auto" w:sz="6" w:space="0"/>
            </w:tcBorders>
            <w:noWrap w:val="0"/>
            <w:vAlign w:val="center"/>
          </w:tcPr>
          <w:p w14:paraId="63274498">
            <w:pPr>
              <w:jc w:val="center"/>
              <w:rPr>
                <w:rFonts w:hint="eastAsia"/>
                <w:sz w:val="20"/>
                <w:szCs w:val="20"/>
              </w:rPr>
            </w:pPr>
            <w:r>
              <w:rPr>
                <w:rFonts w:hint="eastAsia"/>
                <w:sz w:val="20"/>
                <w:szCs w:val="20"/>
              </w:rPr>
              <w:t>综合单价</w:t>
            </w:r>
          </w:p>
        </w:tc>
        <w:tc>
          <w:tcPr>
            <w:tcW w:w="1316" w:type="dxa"/>
            <w:tcBorders>
              <w:left w:val="single" w:color="auto" w:sz="6" w:space="0"/>
            </w:tcBorders>
            <w:noWrap w:val="0"/>
            <w:vAlign w:val="center"/>
          </w:tcPr>
          <w:p w14:paraId="7A8D08C1">
            <w:pPr>
              <w:jc w:val="center"/>
              <w:rPr>
                <w:rFonts w:hint="eastAsia"/>
                <w:sz w:val="20"/>
                <w:szCs w:val="20"/>
              </w:rPr>
            </w:pPr>
            <w:r>
              <w:rPr>
                <w:rFonts w:hint="eastAsia"/>
                <w:sz w:val="20"/>
                <w:szCs w:val="20"/>
              </w:rPr>
              <w:t>招标控制价</w:t>
            </w:r>
          </w:p>
          <w:p w14:paraId="1A3BBE00">
            <w:pPr>
              <w:jc w:val="center"/>
              <w:rPr>
                <w:rFonts w:hint="eastAsia"/>
                <w:sz w:val="20"/>
                <w:szCs w:val="20"/>
              </w:rPr>
            </w:pPr>
            <w:r>
              <w:rPr>
                <w:rFonts w:hint="eastAsia"/>
                <w:sz w:val="20"/>
                <w:szCs w:val="20"/>
              </w:rPr>
              <w:t>的综合单价</w:t>
            </w:r>
          </w:p>
        </w:tc>
        <w:tc>
          <w:tcPr>
            <w:tcW w:w="1316" w:type="dxa"/>
            <w:noWrap w:val="0"/>
            <w:vAlign w:val="center"/>
          </w:tcPr>
          <w:p w14:paraId="21B2687C">
            <w:pPr>
              <w:jc w:val="center"/>
              <w:rPr>
                <w:rFonts w:hint="eastAsia"/>
                <w:sz w:val="20"/>
                <w:szCs w:val="20"/>
              </w:rPr>
            </w:pPr>
            <w:r>
              <w:rPr>
                <w:rFonts w:hint="eastAsia"/>
                <w:sz w:val="20"/>
                <w:szCs w:val="20"/>
              </w:rPr>
              <w:t>综合单价</w:t>
            </w:r>
          </w:p>
          <w:p w14:paraId="5624D12D">
            <w:pPr>
              <w:jc w:val="center"/>
              <w:rPr>
                <w:rFonts w:hint="eastAsia"/>
                <w:sz w:val="20"/>
                <w:szCs w:val="20"/>
              </w:rPr>
            </w:pPr>
            <w:r>
              <w:rPr>
                <w:rFonts w:hint="eastAsia"/>
                <w:sz w:val="20"/>
                <w:szCs w:val="20"/>
              </w:rPr>
              <w:t>偏离幅度</w:t>
            </w:r>
          </w:p>
        </w:tc>
        <w:tc>
          <w:tcPr>
            <w:tcW w:w="1315" w:type="dxa"/>
            <w:noWrap w:val="0"/>
            <w:vAlign w:val="center"/>
          </w:tcPr>
          <w:p w14:paraId="60E63D5E">
            <w:pPr>
              <w:jc w:val="center"/>
              <w:rPr>
                <w:rFonts w:hint="eastAsia"/>
                <w:sz w:val="20"/>
                <w:szCs w:val="20"/>
              </w:rPr>
            </w:pPr>
            <w:r>
              <w:rPr>
                <w:rFonts w:hint="eastAsia"/>
                <w:sz w:val="20"/>
                <w:szCs w:val="20"/>
              </w:rPr>
              <w:t>主要材料</w:t>
            </w:r>
          </w:p>
          <w:p w14:paraId="373B376A">
            <w:pPr>
              <w:jc w:val="center"/>
              <w:rPr>
                <w:rFonts w:hint="eastAsia"/>
                <w:sz w:val="20"/>
                <w:szCs w:val="20"/>
              </w:rPr>
            </w:pPr>
            <w:r>
              <w:rPr>
                <w:rFonts w:hint="eastAsia"/>
                <w:sz w:val="20"/>
                <w:szCs w:val="20"/>
              </w:rPr>
              <w:t>价格</w:t>
            </w:r>
          </w:p>
        </w:tc>
        <w:tc>
          <w:tcPr>
            <w:tcW w:w="1316" w:type="dxa"/>
            <w:noWrap w:val="0"/>
            <w:vAlign w:val="center"/>
          </w:tcPr>
          <w:p w14:paraId="2D54E754">
            <w:pPr>
              <w:jc w:val="center"/>
              <w:rPr>
                <w:rFonts w:hint="eastAsia"/>
                <w:sz w:val="20"/>
                <w:szCs w:val="20"/>
              </w:rPr>
            </w:pPr>
            <w:r>
              <w:rPr>
                <w:rFonts w:hint="eastAsia"/>
                <w:sz w:val="20"/>
                <w:szCs w:val="20"/>
              </w:rPr>
              <w:t>招标控制价的主要材料价格</w:t>
            </w:r>
          </w:p>
        </w:tc>
        <w:tc>
          <w:tcPr>
            <w:tcW w:w="1316" w:type="dxa"/>
            <w:noWrap w:val="0"/>
            <w:vAlign w:val="center"/>
          </w:tcPr>
          <w:p w14:paraId="33BD3D4D">
            <w:pPr>
              <w:jc w:val="center"/>
              <w:rPr>
                <w:rFonts w:hint="eastAsia"/>
                <w:sz w:val="20"/>
                <w:szCs w:val="20"/>
              </w:rPr>
            </w:pPr>
            <w:r>
              <w:rPr>
                <w:rFonts w:hint="eastAsia"/>
                <w:sz w:val="20"/>
                <w:szCs w:val="20"/>
              </w:rPr>
              <w:t>主要材料价格偏离幅度</w:t>
            </w:r>
          </w:p>
        </w:tc>
        <w:tc>
          <w:tcPr>
            <w:tcW w:w="1316" w:type="dxa"/>
            <w:tcBorders>
              <w:right w:val="single" w:color="auto" w:sz="6" w:space="0"/>
            </w:tcBorders>
            <w:noWrap w:val="0"/>
            <w:vAlign w:val="center"/>
          </w:tcPr>
          <w:p w14:paraId="4194D233">
            <w:pPr>
              <w:jc w:val="center"/>
              <w:rPr>
                <w:rFonts w:hint="eastAsia"/>
                <w:sz w:val="20"/>
                <w:szCs w:val="20"/>
              </w:rPr>
            </w:pPr>
            <w:r>
              <w:rPr>
                <w:rFonts w:hint="eastAsia"/>
                <w:sz w:val="20"/>
                <w:szCs w:val="20"/>
              </w:rPr>
              <w:t>管理费</w:t>
            </w:r>
          </w:p>
          <w:p w14:paraId="72E22354">
            <w:pPr>
              <w:jc w:val="center"/>
              <w:rPr>
                <w:rFonts w:hint="eastAsia"/>
                <w:sz w:val="20"/>
                <w:szCs w:val="20"/>
              </w:rPr>
            </w:pPr>
            <w:r>
              <w:rPr>
                <w:rFonts w:hint="eastAsia"/>
                <w:sz w:val="20"/>
                <w:szCs w:val="20"/>
              </w:rPr>
              <w:t>和利润</w:t>
            </w:r>
          </w:p>
        </w:tc>
        <w:tc>
          <w:tcPr>
            <w:tcW w:w="1316" w:type="dxa"/>
            <w:tcBorders>
              <w:left w:val="single" w:color="auto" w:sz="6" w:space="0"/>
            </w:tcBorders>
            <w:noWrap w:val="0"/>
            <w:vAlign w:val="center"/>
          </w:tcPr>
          <w:p w14:paraId="3D1F9AFA">
            <w:pPr>
              <w:jc w:val="center"/>
              <w:rPr>
                <w:rFonts w:hint="eastAsia"/>
                <w:sz w:val="20"/>
                <w:szCs w:val="20"/>
              </w:rPr>
            </w:pPr>
            <w:r>
              <w:rPr>
                <w:rFonts w:hint="eastAsia"/>
                <w:sz w:val="20"/>
                <w:szCs w:val="20"/>
              </w:rPr>
              <w:t>材料消耗量</w:t>
            </w:r>
          </w:p>
        </w:tc>
      </w:tr>
      <w:tr w14:paraId="3918407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00C2B986">
            <w:pPr>
              <w:jc w:val="center"/>
              <w:rPr>
                <w:rFonts w:hint="eastAsia" w:ascii="黑体" w:eastAsia="黑体"/>
                <w:szCs w:val="21"/>
              </w:rPr>
            </w:pPr>
          </w:p>
        </w:tc>
        <w:tc>
          <w:tcPr>
            <w:tcW w:w="1315" w:type="dxa"/>
            <w:tcBorders>
              <w:right w:val="single" w:color="auto" w:sz="6" w:space="0"/>
            </w:tcBorders>
            <w:noWrap w:val="0"/>
            <w:vAlign w:val="center"/>
          </w:tcPr>
          <w:p w14:paraId="0652E2B8">
            <w:pPr>
              <w:jc w:val="center"/>
              <w:rPr>
                <w:rFonts w:hint="eastAsia"/>
                <w:szCs w:val="21"/>
              </w:rPr>
            </w:pPr>
          </w:p>
        </w:tc>
        <w:tc>
          <w:tcPr>
            <w:tcW w:w="1316" w:type="dxa"/>
            <w:tcBorders>
              <w:left w:val="single" w:color="auto" w:sz="6" w:space="0"/>
            </w:tcBorders>
            <w:noWrap w:val="0"/>
            <w:vAlign w:val="center"/>
          </w:tcPr>
          <w:p w14:paraId="6B930F9A">
            <w:pPr>
              <w:jc w:val="center"/>
              <w:rPr>
                <w:rFonts w:hint="eastAsia"/>
                <w:szCs w:val="21"/>
              </w:rPr>
            </w:pPr>
          </w:p>
        </w:tc>
        <w:tc>
          <w:tcPr>
            <w:tcW w:w="1316" w:type="dxa"/>
            <w:tcBorders>
              <w:left w:val="single" w:color="auto" w:sz="6" w:space="0"/>
              <w:right w:val="single" w:color="auto" w:sz="6" w:space="0"/>
            </w:tcBorders>
            <w:noWrap w:val="0"/>
            <w:vAlign w:val="center"/>
          </w:tcPr>
          <w:p w14:paraId="07907B2B">
            <w:pPr>
              <w:jc w:val="center"/>
              <w:rPr>
                <w:rFonts w:hint="eastAsia"/>
                <w:szCs w:val="21"/>
              </w:rPr>
            </w:pPr>
          </w:p>
        </w:tc>
        <w:tc>
          <w:tcPr>
            <w:tcW w:w="1316" w:type="dxa"/>
            <w:tcBorders>
              <w:left w:val="single" w:color="auto" w:sz="6" w:space="0"/>
            </w:tcBorders>
            <w:noWrap w:val="0"/>
            <w:vAlign w:val="center"/>
          </w:tcPr>
          <w:p w14:paraId="607CB9FA">
            <w:pPr>
              <w:jc w:val="center"/>
              <w:rPr>
                <w:rFonts w:hint="eastAsia"/>
                <w:szCs w:val="21"/>
              </w:rPr>
            </w:pPr>
          </w:p>
        </w:tc>
        <w:tc>
          <w:tcPr>
            <w:tcW w:w="1316" w:type="dxa"/>
            <w:noWrap w:val="0"/>
            <w:vAlign w:val="center"/>
          </w:tcPr>
          <w:p w14:paraId="6DEAAB87">
            <w:pPr>
              <w:jc w:val="center"/>
              <w:rPr>
                <w:rFonts w:hint="eastAsia"/>
                <w:szCs w:val="21"/>
              </w:rPr>
            </w:pPr>
          </w:p>
        </w:tc>
        <w:tc>
          <w:tcPr>
            <w:tcW w:w="1315" w:type="dxa"/>
            <w:noWrap w:val="0"/>
            <w:vAlign w:val="center"/>
          </w:tcPr>
          <w:p w14:paraId="3E03A934">
            <w:pPr>
              <w:jc w:val="center"/>
              <w:rPr>
                <w:rFonts w:hint="eastAsia"/>
                <w:szCs w:val="21"/>
              </w:rPr>
            </w:pPr>
          </w:p>
        </w:tc>
        <w:tc>
          <w:tcPr>
            <w:tcW w:w="1316" w:type="dxa"/>
            <w:noWrap w:val="0"/>
            <w:vAlign w:val="center"/>
          </w:tcPr>
          <w:p w14:paraId="48893884">
            <w:pPr>
              <w:jc w:val="center"/>
              <w:rPr>
                <w:rFonts w:hint="eastAsia"/>
                <w:szCs w:val="21"/>
              </w:rPr>
            </w:pPr>
          </w:p>
        </w:tc>
        <w:tc>
          <w:tcPr>
            <w:tcW w:w="1316" w:type="dxa"/>
            <w:noWrap w:val="0"/>
            <w:vAlign w:val="center"/>
          </w:tcPr>
          <w:p w14:paraId="14510080">
            <w:pPr>
              <w:jc w:val="center"/>
              <w:rPr>
                <w:rFonts w:hint="eastAsia"/>
                <w:szCs w:val="21"/>
              </w:rPr>
            </w:pPr>
          </w:p>
        </w:tc>
        <w:tc>
          <w:tcPr>
            <w:tcW w:w="1316" w:type="dxa"/>
            <w:tcBorders>
              <w:right w:val="single" w:color="auto" w:sz="6" w:space="0"/>
            </w:tcBorders>
            <w:noWrap w:val="0"/>
            <w:vAlign w:val="center"/>
          </w:tcPr>
          <w:p w14:paraId="3A7EC1A0">
            <w:pPr>
              <w:jc w:val="center"/>
              <w:rPr>
                <w:rFonts w:hint="eastAsia"/>
                <w:szCs w:val="21"/>
              </w:rPr>
            </w:pPr>
          </w:p>
        </w:tc>
        <w:tc>
          <w:tcPr>
            <w:tcW w:w="1316" w:type="dxa"/>
            <w:tcBorders>
              <w:left w:val="single" w:color="auto" w:sz="6" w:space="0"/>
            </w:tcBorders>
            <w:noWrap w:val="0"/>
            <w:vAlign w:val="center"/>
          </w:tcPr>
          <w:p w14:paraId="133E6C81">
            <w:pPr>
              <w:jc w:val="center"/>
              <w:rPr>
                <w:rFonts w:hint="eastAsia"/>
                <w:szCs w:val="21"/>
              </w:rPr>
            </w:pPr>
          </w:p>
        </w:tc>
      </w:tr>
      <w:tr w14:paraId="1C5C9C6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0BDF1983">
            <w:pPr>
              <w:jc w:val="center"/>
              <w:rPr>
                <w:rFonts w:hint="eastAsia" w:ascii="黑体" w:eastAsia="黑体"/>
                <w:szCs w:val="21"/>
              </w:rPr>
            </w:pPr>
          </w:p>
        </w:tc>
        <w:tc>
          <w:tcPr>
            <w:tcW w:w="1315" w:type="dxa"/>
            <w:tcBorders>
              <w:right w:val="single" w:color="auto" w:sz="6" w:space="0"/>
            </w:tcBorders>
            <w:noWrap w:val="0"/>
            <w:vAlign w:val="center"/>
          </w:tcPr>
          <w:p w14:paraId="1709FB39">
            <w:pPr>
              <w:jc w:val="center"/>
              <w:rPr>
                <w:rFonts w:hint="eastAsia"/>
                <w:szCs w:val="21"/>
              </w:rPr>
            </w:pPr>
          </w:p>
        </w:tc>
        <w:tc>
          <w:tcPr>
            <w:tcW w:w="1316" w:type="dxa"/>
            <w:tcBorders>
              <w:left w:val="single" w:color="auto" w:sz="6" w:space="0"/>
            </w:tcBorders>
            <w:noWrap w:val="0"/>
            <w:vAlign w:val="center"/>
          </w:tcPr>
          <w:p w14:paraId="1328BBCA">
            <w:pPr>
              <w:jc w:val="center"/>
              <w:rPr>
                <w:rFonts w:hint="eastAsia"/>
                <w:szCs w:val="21"/>
              </w:rPr>
            </w:pPr>
          </w:p>
        </w:tc>
        <w:tc>
          <w:tcPr>
            <w:tcW w:w="1316" w:type="dxa"/>
            <w:tcBorders>
              <w:left w:val="single" w:color="auto" w:sz="6" w:space="0"/>
              <w:right w:val="single" w:color="auto" w:sz="6" w:space="0"/>
            </w:tcBorders>
            <w:noWrap w:val="0"/>
            <w:vAlign w:val="center"/>
          </w:tcPr>
          <w:p w14:paraId="22D600A1">
            <w:pPr>
              <w:jc w:val="center"/>
              <w:rPr>
                <w:rFonts w:hint="eastAsia"/>
                <w:szCs w:val="21"/>
              </w:rPr>
            </w:pPr>
          </w:p>
        </w:tc>
        <w:tc>
          <w:tcPr>
            <w:tcW w:w="1316" w:type="dxa"/>
            <w:tcBorders>
              <w:left w:val="single" w:color="auto" w:sz="6" w:space="0"/>
            </w:tcBorders>
            <w:noWrap w:val="0"/>
            <w:vAlign w:val="center"/>
          </w:tcPr>
          <w:p w14:paraId="0845BB31">
            <w:pPr>
              <w:jc w:val="center"/>
              <w:rPr>
                <w:rFonts w:hint="eastAsia"/>
                <w:szCs w:val="21"/>
              </w:rPr>
            </w:pPr>
          </w:p>
        </w:tc>
        <w:tc>
          <w:tcPr>
            <w:tcW w:w="1316" w:type="dxa"/>
            <w:noWrap w:val="0"/>
            <w:vAlign w:val="center"/>
          </w:tcPr>
          <w:p w14:paraId="33B4C210">
            <w:pPr>
              <w:jc w:val="center"/>
              <w:rPr>
                <w:rFonts w:hint="eastAsia"/>
                <w:szCs w:val="21"/>
              </w:rPr>
            </w:pPr>
          </w:p>
        </w:tc>
        <w:tc>
          <w:tcPr>
            <w:tcW w:w="1315" w:type="dxa"/>
            <w:noWrap w:val="0"/>
            <w:vAlign w:val="center"/>
          </w:tcPr>
          <w:p w14:paraId="6278DE72">
            <w:pPr>
              <w:jc w:val="center"/>
              <w:rPr>
                <w:rFonts w:hint="eastAsia"/>
                <w:szCs w:val="21"/>
              </w:rPr>
            </w:pPr>
          </w:p>
        </w:tc>
        <w:tc>
          <w:tcPr>
            <w:tcW w:w="1316" w:type="dxa"/>
            <w:noWrap w:val="0"/>
            <w:vAlign w:val="center"/>
          </w:tcPr>
          <w:p w14:paraId="22FDF4DD">
            <w:pPr>
              <w:jc w:val="center"/>
              <w:rPr>
                <w:rFonts w:hint="eastAsia"/>
                <w:szCs w:val="21"/>
              </w:rPr>
            </w:pPr>
          </w:p>
        </w:tc>
        <w:tc>
          <w:tcPr>
            <w:tcW w:w="1316" w:type="dxa"/>
            <w:noWrap w:val="0"/>
            <w:vAlign w:val="center"/>
          </w:tcPr>
          <w:p w14:paraId="5EE34F37">
            <w:pPr>
              <w:jc w:val="center"/>
              <w:rPr>
                <w:rFonts w:hint="eastAsia"/>
                <w:szCs w:val="21"/>
              </w:rPr>
            </w:pPr>
          </w:p>
        </w:tc>
        <w:tc>
          <w:tcPr>
            <w:tcW w:w="1316" w:type="dxa"/>
            <w:tcBorders>
              <w:right w:val="single" w:color="auto" w:sz="6" w:space="0"/>
            </w:tcBorders>
            <w:noWrap w:val="0"/>
            <w:vAlign w:val="center"/>
          </w:tcPr>
          <w:p w14:paraId="4F580269">
            <w:pPr>
              <w:jc w:val="center"/>
              <w:rPr>
                <w:rFonts w:hint="eastAsia"/>
                <w:szCs w:val="21"/>
              </w:rPr>
            </w:pPr>
          </w:p>
        </w:tc>
        <w:tc>
          <w:tcPr>
            <w:tcW w:w="1316" w:type="dxa"/>
            <w:tcBorders>
              <w:left w:val="single" w:color="auto" w:sz="6" w:space="0"/>
            </w:tcBorders>
            <w:noWrap w:val="0"/>
            <w:vAlign w:val="center"/>
          </w:tcPr>
          <w:p w14:paraId="416A56B2">
            <w:pPr>
              <w:jc w:val="center"/>
              <w:rPr>
                <w:rFonts w:hint="eastAsia"/>
                <w:szCs w:val="21"/>
              </w:rPr>
            </w:pPr>
          </w:p>
        </w:tc>
      </w:tr>
      <w:tr w14:paraId="79662F4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2BA01DCE">
            <w:pPr>
              <w:jc w:val="center"/>
              <w:rPr>
                <w:rFonts w:hint="eastAsia" w:ascii="黑体" w:eastAsia="黑体"/>
                <w:szCs w:val="21"/>
              </w:rPr>
            </w:pPr>
          </w:p>
        </w:tc>
        <w:tc>
          <w:tcPr>
            <w:tcW w:w="1315" w:type="dxa"/>
            <w:tcBorders>
              <w:right w:val="single" w:color="auto" w:sz="6" w:space="0"/>
            </w:tcBorders>
            <w:noWrap w:val="0"/>
            <w:vAlign w:val="center"/>
          </w:tcPr>
          <w:p w14:paraId="0429AF36">
            <w:pPr>
              <w:jc w:val="center"/>
              <w:rPr>
                <w:rFonts w:hint="eastAsia"/>
                <w:szCs w:val="21"/>
              </w:rPr>
            </w:pPr>
          </w:p>
        </w:tc>
        <w:tc>
          <w:tcPr>
            <w:tcW w:w="1316" w:type="dxa"/>
            <w:tcBorders>
              <w:left w:val="single" w:color="auto" w:sz="6" w:space="0"/>
            </w:tcBorders>
            <w:noWrap w:val="0"/>
            <w:vAlign w:val="center"/>
          </w:tcPr>
          <w:p w14:paraId="678ED0A4">
            <w:pPr>
              <w:jc w:val="center"/>
              <w:rPr>
                <w:rFonts w:hint="eastAsia"/>
                <w:szCs w:val="21"/>
              </w:rPr>
            </w:pPr>
          </w:p>
        </w:tc>
        <w:tc>
          <w:tcPr>
            <w:tcW w:w="1316" w:type="dxa"/>
            <w:tcBorders>
              <w:left w:val="single" w:color="auto" w:sz="6" w:space="0"/>
              <w:right w:val="single" w:color="auto" w:sz="6" w:space="0"/>
            </w:tcBorders>
            <w:noWrap w:val="0"/>
            <w:vAlign w:val="center"/>
          </w:tcPr>
          <w:p w14:paraId="4CF462B7">
            <w:pPr>
              <w:jc w:val="center"/>
              <w:rPr>
                <w:rFonts w:hint="eastAsia"/>
                <w:szCs w:val="21"/>
              </w:rPr>
            </w:pPr>
          </w:p>
        </w:tc>
        <w:tc>
          <w:tcPr>
            <w:tcW w:w="1316" w:type="dxa"/>
            <w:tcBorders>
              <w:left w:val="single" w:color="auto" w:sz="6" w:space="0"/>
            </w:tcBorders>
            <w:noWrap w:val="0"/>
            <w:vAlign w:val="center"/>
          </w:tcPr>
          <w:p w14:paraId="54DCB620">
            <w:pPr>
              <w:jc w:val="center"/>
              <w:rPr>
                <w:rFonts w:hint="eastAsia"/>
                <w:szCs w:val="21"/>
              </w:rPr>
            </w:pPr>
          </w:p>
        </w:tc>
        <w:tc>
          <w:tcPr>
            <w:tcW w:w="1316" w:type="dxa"/>
            <w:noWrap w:val="0"/>
            <w:vAlign w:val="center"/>
          </w:tcPr>
          <w:p w14:paraId="5A273677">
            <w:pPr>
              <w:jc w:val="center"/>
              <w:rPr>
                <w:rFonts w:hint="eastAsia"/>
                <w:szCs w:val="21"/>
              </w:rPr>
            </w:pPr>
          </w:p>
        </w:tc>
        <w:tc>
          <w:tcPr>
            <w:tcW w:w="1315" w:type="dxa"/>
            <w:noWrap w:val="0"/>
            <w:vAlign w:val="center"/>
          </w:tcPr>
          <w:p w14:paraId="64448B19">
            <w:pPr>
              <w:jc w:val="center"/>
              <w:rPr>
                <w:rFonts w:hint="eastAsia"/>
                <w:szCs w:val="21"/>
              </w:rPr>
            </w:pPr>
          </w:p>
        </w:tc>
        <w:tc>
          <w:tcPr>
            <w:tcW w:w="1316" w:type="dxa"/>
            <w:noWrap w:val="0"/>
            <w:vAlign w:val="center"/>
          </w:tcPr>
          <w:p w14:paraId="4AF10852">
            <w:pPr>
              <w:jc w:val="center"/>
              <w:rPr>
                <w:rFonts w:hint="eastAsia"/>
                <w:szCs w:val="21"/>
              </w:rPr>
            </w:pPr>
          </w:p>
        </w:tc>
        <w:tc>
          <w:tcPr>
            <w:tcW w:w="1316" w:type="dxa"/>
            <w:noWrap w:val="0"/>
            <w:vAlign w:val="center"/>
          </w:tcPr>
          <w:p w14:paraId="1EC387D8">
            <w:pPr>
              <w:jc w:val="center"/>
              <w:rPr>
                <w:rFonts w:hint="eastAsia"/>
                <w:szCs w:val="21"/>
              </w:rPr>
            </w:pPr>
          </w:p>
        </w:tc>
        <w:tc>
          <w:tcPr>
            <w:tcW w:w="1316" w:type="dxa"/>
            <w:tcBorders>
              <w:right w:val="single" w:color="auto" w:sz="6" w:space="0"/>
            </w:tcBorders>
            <w:noWrap w:val="0"/>
            <w:vAlign w:val="center"/>
          </w:tcPr>
          <w:p w14:paraId="40703171">
            <w:pPr>
              <w:jc w:val="center"/>
              <w:rPr>
                <w:rFonts w:hint="eastAsia"/>
                <w:szCs w:val="21"/>
              </w:rPr>
            </w:pPr>
          </w:p>
        </w:tc>
        <w:tc>
          <w:tcPr>
            <w:tcW w:w="1316" w:type="dxa"/>
            <w:tcBorders>
              <w:left w:val="single" w:color="auto" w:sz="6" w:space="0"/>
            </w:tcBorders>
            <w:noWrap w:val="0"/>
            <w:vAlign w:val="center"/>
          </w:tcPr>
          <w:p w14:paraId="1F059C76">
            <w:pPr>
              <w:jc w:val="center"/>
              <w:rPr>
                <w:rFonts w:hint="eastAsia"/>
                <w:szCs w:val="21"/>
              </w:rPr>
            </w:pPr>
          </w:p>
        </w:tc>
      </w:tr>
      <w:tr w14:paraId="6043C2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5D6C4907">
            <w:pPr>
              <w:jc w:val="center"/>
              <w:rPr>
                <w:rFonts w:hint="eastAsia" w:ascii="黑体" w:eastAsia="黑体"/>
                <w:szCs w:val="21"/>
              </w:rPr>
            </w:pPr>
          </w:p>
        </w:tc>
        <w:tc>
          <w:tcPr>
            <w:tcW w:w="1315" w:type="dxa"/>
            <w:tcBorders>
              <w:right w:val="single" w:color="auto" w:sz="6" w:space="0"/>
            </w:tcBorders>
            <w:noWrap w:val="0"/>
            <w:vAlign w:val="center"/>
          </w:tcPr>
          <w:p w14:paraId="33495855">
            <w:pPr>
              <w:jc w:val="center"/>
              <w:rPr>
                <w:rFonts w:hint="eastAsia"/>
                <w:szCs w:val="21"/>
              </w:rPr>
            </w:pPr>
          </w:p>
        </w:tc>
        <w:tc>
          <w:tcPr>
            <w:tcW w:w="1316" w:type="dxa"/>
            <w:tcBorders>
              <w:left w:val="single" w:color="auto" w:sz="6" w:space="0"/>
            </w:tcBorders>
            <w:noWrap w:val="0"/>
            <w:vAlign w:val="center"/>
          </w:tcPr>
          <w:p w14:paraId="5D025B07">
            <w:pPr>
              <w:jc w:val="center"/>
              <w:rPr>
                <w:rFonts w:hint="eastAsia"/>
                <w:szCs w:val="21"/>
              </w:rPr>
            </w:pPr>
          </w:p>
        </w:tc>
        <w:tc>
          <w:tcPr>
            <w:tcW w:w="1316" w:type="dxa"/>
            <w:tcBorders>
              <w:left w:val="single" w:color="auto" w:sz="6" w:space="0"/>
              <w:right w:val="single" w:color="auto" w:sz="6" w:space="0"/>
            </w:tcBorders>
            <w:noWrap w:val="0"/>
            <w:vAlign w:val="center"/>
          </w:tcPr>
          <w:p w14:paraId="70741D9B">
            <w:pPr>
              <w:jc w:val="center"/>
              <w:rPr>
                <w:rFonts w:hint="eastAsia"/>
                <w:szCs w:val="21"/>
              </w:rPr>
            </w:pPr>
          </w:p>
        </w:tc>
        <w:tc>
          <w:tcPr>
            <w:tcW w:w="1316" w:type="dxa"/>
            <w:tcBorders>
              <w:left w:val="single" w:color="auto" w:sz="6" w:space="0"/>
            </w:tcBorders>
            <w:noWrap w:val="0"/>
            <w:vAlign w:val="center"/>
          </w:tcPr>
          <w:p w14:paraId="3FEC7B30">
            <w:pPr>
              <w:jc w:val="center"/>
              <w:rPr>
                <w:rFonts w:hint="eastAsia"/>
                <w:szCs w:val="21"/>
              </w:rPr>
            </w:pPr>
          </w:p>
        </w:tc>
        <w:tc>
          <w:tcPr>
            <w:tcW w:w="1316" w:type="dxa"/>
            <w:noWrap w:val="0"/>
            <w:vAlign w:val="center"/>
          </w:tcPr>
          <w:p w14:paraId="7C3BAEAE">
            <w:pPr>
              <w:jc w:val="center"/>
              <w:rPr>
                <w:rFonts w:hint="eastAsia"/>
                <w:szCs w:val="21"/>
              </w:rPr>
            </w:pPr>
          </w:p>
        </w:tc>
        <w:tc>
          <w:tcPr>
            <w:tcW w:w="1315" w:type="dxa"/>
            <w:noWrap w:val="0"/>
            <w:vAlign w:val="center"/>
          </w:tcPr>
          <w:p w14:paraId="375813D9">
            <w:pPr>
              <w:jc w:val="center"/>
              <w:rPr>
                <w:rFonts w:hint="eastAsia"/>
                <w:szCs w:val="21"/>
              </w:rPr>
            </w:pPr>
          </w:p>
        </w:tc>
        <w:tc>
          <w:tcPr>
            <w:tcW w:w="1316" w:type="dxa"/>
            <w:noWrap w:val="0"/>
            <w:vAlign w:val="center"/>
          </w:tcPr>
          <w:p w14:paraId="26D3F993">
            <w:pPr>
              <w:jc w:val="center"/>
              <w:rPr>
                <w:rFonts w:hint="eastAsia"/>
                <w:szCs w:val="21"/>
              </w:rPr>
            </w:pPr>
          </w:p>
        </w:tc>
        <w:tc>
          <w:tcPr>
            <w:tcW w:w="1316" w:type="dxa"/>
            <w:noWrap w:val="0"/>
            <w:vAlign w:val="center"/>
          </w:tcPr>
          <w:p w14:paraId="3EE3C22D">
            <w:pPr>
              <w:jc w:val="center"/>
              <w:rPr>
                <w:rFonts w:hint="eastAsia"/>
                <w:szCs w:val="21"/>
              </w:rPr>
            </w:pPr>
          </w:p>
        </w:tc>
        <w:tc>
          <w:tcPr>
            <w:tcW w:w="1316" w:type="dxa"/>
            <w:tcBorders>
              <w:right w:val="single" w:color="auto" w:sz="6" w:space="0"/>
            </w:tcBorders>
            <w:noWrap w:val="0"/>
            <w:vAlign w:val="center"/>
          </w:tcPr>
          <w:p w14:paraId="04747A92">
            <w:pPr>
              <w:jc w:val="center"/>
              <w:rPr>
                <w:rFonts w:hint="eastAsia"/>
                <w:szCs w:val="21"/>
              </w:rPr>
            </w:pPr>
          </w:p>
        </w:tc>
        <w:tc>
          <w:tcPr>
            <w:tcW w:w="1316" w:type="dxa"/>
            <w:tcBorders>
              <w:left w:val="single" w:color="auto" w:sz="6" w:space="0"/>
            </w:tcBorders>
            <w:noWrap w:val="0"/>
            <w:vAlign w:val="center"/>
          </w:tcPr>
          <w:p w14:paraId="1FFE9B36">
            <w:pPr>
              <w:jc w:val="center"/>
              <w:rPr>
                <w:rFonts w:hint="eastAsia"/>
                <w:szCs w:val="21"/>
              </w:rPr>
            </w:pPr>
          </w:p>
        </w:tc>
      </w:tr>
      <w:tr w14:paraId="58B233D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4" w:type="dxa"/>
            <w:noWrap w:val="0"/>
            <w:vAlign w:val="center"/>
          </w:tcPr>
          <w:p w14:paraId="7D2E84E3">
            <w:pPr>
              <w:jc w:val="center"/>
              <w:rPr>
                <w:rFonts w:hint="eastAsia" w:ascii="黑体" w:eastAsia="黑体"/>
                <w:szCs w:val="21"/>
              </w:rPr>
            </w:pPr>
          </w:p>
        </w:tc>
        <w:tc>
          <w:tcPr>
            <w:tcW w:w="1315" w:type="dxa"/>
            <w:tcBorders>
              <w:right w:val="single" w:color="auto" w:sz="6" w:space="0"/>
            </w:tcBorders>
            <w:noWrap w:val="0"/>
            <w:vAlign w:val="center"/>
          </w:tcPr>
          <w:p w14:paraId="5E1B5312">
            <w:pPr>
              <w:jc w:val="center"/>
              <w:rPr>
                <w:rFonts w:hint="eastAsia"/>
                <w:szCs w:val="21"/>
              </w:rPr>
            </w:pPr>
          </w:p>
        </w:tc>
        <w:tc>
          <w:tcPr>
            <w:tcW w:w="1316" w:type="dxa"/>
            <w:tcBorders>
              <w:left w:val="single" w:color="auto" w:sz="6" w:space="0"/>
            </w:tcBorders>
            <w:noWrap w:val="0"/>
            <w:vAlign w:val="center"/>
          </w:tcPr>
          <w:p w14:paraId="3A468261">
            <w:pPr>
              <w:jc w:val="center"/>
              <w:rPr>
                <w:rFonts w:hint="eastAsia"/>
                <w:szCs w:val="21"/>
              </w:rPr>
            </w:pPr>
          </w:p>
        </w:tc>
        <w:tc>
          <w:tcPr>
            <w:tcW w:w="1316" w:type="dxa"/>
            <w:tcBorders>
              <w:left w:val="single" w:color="auto" w:sz="6" w:space="0"/>
              <w:right w:val="single" w:color="auto" w:sz="6" w:space="0"/>
            </w:tcBorders>
            <w:noWrap w:val="0"/>
            <w:vAlign w:val="center"/>
          </w:tcPr>
          <w:p w14:paraId="6340F4D6">
            <w:pPr>
              <w:jc w:val="center"/>
              <w:rPr>
                <w:rFonts w:hint="eastAsia"/>
                <w:szCs w:val="21"/>
              </w:rPr>
            </w:pPr>
          </w:p>
        </w:tc>
        <w:tc>
          <w:tcPr>
            <w:tcW w:w="1316" w:type="dxa"/>
            <w:tcBorders>
              <w:left w:val="single" w:color="auto" w:sz="6" w:space="0"/>
            </w:tcBorders>
            <w:noWrap w:val="0"/>
            <w:vAlign w:val="center"/>
          </w:tcPr>
          <w:p w14:paraId="6796D289">
            <w:pPr>
              <w:jc w:val="center"/>
              <w:rPr>
                <w:rFonts w:hint="eastAsia"/>
                <w:szCs w:val="21"/>
              </w:rPr>
            </w:pPr>
          </w:p>
        </w:tc>
        <w:tc>
          <w:tcPr>
            <w:tcW w:w="1316" w:type="dxa"/>
            <w:noWrap w:val="0"/>
            <w:vAlign w:val="center"/>
          </w:tcPr>
          <w:p w14:paraId="49461F54">
            <w:pPr>
              <w:jc w:val="center"/>
              <w:rPr>
                <w:rFonts w:hint="eastAsia"/>
                <w:szCs w:val="21"/>
              </w:rPr>
            </w:pPr>
          </w:p>
        </w:tc>
        <w:tc>
          <w:tcPr>
            <w:tcW w:w="1315" w:type="dxa"/>
            <w:noWrap w:val="0"/>
            <w:vAlign w:val="center"/>
          </w:tcPr>
          <w:p w14:paraId="7442F540">
            <w:pPr>
              <w:jc w:val="center"/>
              <w:rPr>
                <w:rFonts w:hint="eastAsia"/>
                <w:szCs w:val="21"/>
              </w:rPr>
            </w:pPr>
          </w:p>
        </w:tc>
        <w:tc>
          <w:tcPr>
            <w:tcW w:w="1316" w:type="dxa"/>
            <w:noWrap w:val="0"/>
            <w:vAlign w:val="center"/>
          </w:tcPr>
          <w:p w14:paraId="30D95017">
            <w:pPr>
              <w:jc w:val="center"/>
              <w:rPr>
                <w:rFonts w:hint="eastAsia"/>
                <w:szCs w:val="21"/>
              </w:rPr>
            </w:pPr>
          </w:p>
        </w:tc>
        <w:tc>
          <w:tcPr>
            <w:tcW w:w="1316" w:type="dxa"/>
            <w:noWrap w:val="0"/>
            <w:vAlign w:val="center"/>
          </w:tcPr>
          <w:p w14:paraId="3C364203">
            <w:pPr>
              <w:jc w:val="center"/>
              <w:rPr>
                <w:rFonts w:hint="eastAsia"/>
                <w:szCs w:val="21"/>
              </w:rPr>
            </w:pPr>
          </w:p>
        </w:tc>
        <w:tc>
          <w:tcPr>
            <w:tcW w:w="1316" w:type="dxa"/>
            <w:tcBorders>
              <w:right w:val="single" w:color="auto" w:sz="6" w:space="0"/>
            </w:tcBorders>
            <w:noWrap w:val="0"/>
            <w:vAlign w:val="center"/>
          </w:tcPr>
          <w:p w14:paraId="6B30538D">
            <w:pPr>
              <w:jc w:val="center"/>
              <w:rPr>
                <w:rFonts w:hint="eastAsia"/>
                <w:szCs w:val="21"/>
              </w:rPr>
            </w:pPr>
          </w:p>
        </w:tc>
        <w:tc>
          <w:tcPr>
            <w:tcW w:w="1316" w:type="dxa"/>
            <w:tcBorders>
              <w:left w:val="single" w:color="auto" w:sz="6" w:space="0"/>
            </w:tcBorders>
            <w:noWrap w:val="0"/>
            <w:vAlign w:val="center"/>
          </w:tcPr>
          <w:p w14:paraId="2A9D3DC7">
            <w:pPr>
              <w:jc w:val="center"/>
              <w:rPr>
                <w:rFonts w:hint="eastAsia"/>
                <w:szCs w:val="21"/>
              </w:rPr>
            </w:pPr>
          </w:p>
        </w:tc>
      </w:tr>
      <w:tr w14:paraId="516CB72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305" w:type="dxa"/>
            <w:gridSpan w:val="3"/>
            <w:noWrap w:val="0"/>
            <w:vAlign w:val="center"/>
          </w:tcPr>
          <w:p w14:paraId="16B03DE7">
            <w:pPr>
              <w:jc w:val="center"/>
              <w:rPr>
                <w:rFonts w:hint="eastAsia"/>
                <w:szCs w:val="21"/>
              </w:rPr>
            </w:pPr>
            <w:r>
              <w:rPr>
                <w:rFonts w:hint="eastAsia"/>
                <w:sz w:val="20"/>
                <w:szCs w:val="20"/>
              </w:rPr>
              <w:t>偏离的项数合计</w:t>
            </w:r>
          </w:p>
        </w:tc>
        <w:tc>
          <w:tcPr>
            <w:tcW w:w="1316" w:type="dxa"/>
            <w:tcBorders>
              <w:left w:val="single" w:color="auto" w:sz="6" w:space="0"/>
              <w:right w:val="single" w:color="auto" w:sz="6" w:space="0"/>
            </w:tcBorders>
            <w:noWrap w:val="0"/>
            <w:vAlign w:val="center"/>
          </w:tcPr>
          <w:p w14:paraId="549EB0F1">
            <w:pPr>
              <w:jc w:val="center"/>
              <w:rPr>
                <w:rFonts w:hint="eastAsia"/>
                <w:szCs w:val="21"/>
              </w:rPr>
            </w:pPr>
            <w:r>
              <w:rPr>
                <w:rFonts w:hint="eastAsia"/>
                <w:szCs w:val="21"/>
              </w:rPr>
              <w:t>－</w:t>
            </w:r>
          </w:p>
        </w:tc>
        <w:tc>
          <w:tcPr>
            <w:tcW w:w="1316" w:type="dxa"/>
            <w:tcBorders>
              <w:left w:val="single" w:color="auto" w:sz="6" w:space="0"/>
            </w:tcBorders>
            <w:noWrap w:val="0"/>
            <w:vAlign w:val="center"/>
          </w:tcPr>
          <w:p w14:paraId="48C2C1EA">
            <w:pPr>
              <w:jc w:val="center"/>
              <w:rPr>
                <w:rFonts w:hint="eastAsia"/>
                <w:szCs w:val="21"/>
              </w:rPr>
            </w:pPr>
            <w:r>
              <w:rPr>
                <w:rFonts w:hint="eastAsia"/>
                <w:szCs w:val="21"/>
              </w:rPr>
              <w:t>－</w:t>
            </w:r>
          </w:p>
        </w:tc>
        <w:tc>
          <w:tcPr>
            <w:tcW w:w="1316" w:type="dxa"/>
            <w:noWrap w:val="0"/>
            <w:vAlign w:val="center"/>
          </w:tcPr>
          <w:p w14:paraId="73557CE5">
            <w:pPr>
              <w:jc w:val="center"/>
              <w:rPr>
                <w:rFonts w:hint="eastAsia"/>
                <w:szCs w:val="21"/>
              </w:rPr>
            </w:pPr>
          </w:p>
        </w:tc>
        <w:tc>
          <w:tcPr>
            <w:tcW w:w="1315" w:type="dxa"/>
            <w:noWrap w:val="0"/>
            <w:vAlign w:val="center"/>
          </w:tcPr>
          <w:p w14:paraId="04D0C578">
            <w:pPr>
              <w:jc w:val="center"/>
              <w:rPr>
                <w:rFonts w:hint="eastAsia"/>
                <w:szCs w:val="21"/>
              </w:rPr>
            </w:pPr>
          </w:p>
        </w:tc>
        <w:tc>
          <w:tcPr>
            <w:tcW w:w="1316" w:type="dxa"/>
            <w:noWrap w:val="0"/>
            <w:vAlign w:val="center"/>
          </w:tcPr>
          <w:p w14:paraId="5996393B">
            <w:pPr>
              <w:jc w:val="center"/>
              <w:rPr>
                <w:rFonts w:hint="eastAsia"/>
                <w:szCs w:val="21"/>
              </w:rPr>
            </w:pPr>
          </w:p>
        </w:tc>
        <w:tc>
          <w:tcPr>
            <w:tcW w:w="1316" w:type="dxa"/>
            <w:noWrap w:val="0"/>
            <w:vAlign w:val="center"/>
          </w:tcPr>
          <w:p w14:paraId="16382E9B">
            <w:pPr>
              <w:jc w:val="center"/>
              <w:rPr>
                <w:rFonts w:hint="eastAsia"/>
                <w:szCs w:val="21"/>
              </w:rPr>
            </w:pPr>
          </w:p>
        </w:tc>
        <w:tc>
          <w:tcPr>
            <w:tcW w:w="1316" w:type="dxa"/>
            <w:tcBorders>
              <w:right w:val="single" w:color="auto" w:sz="6" w:space="0"/>
            </w:tcBorders>
            <w:noWrap w:val="0"/>
            <w:vAlign w:val="center"/>
          </w:tcPr>
          <w:p w14:paraId="57D7E972">
            <w:pPr>
              <w:jc w:val="center"/>
              <w:rPr>
                <w:rFonts w:hint="eastAsia"/>
                <w:szCs w:val="21"/>
              </w:rPr>
            </w:pPr>
          </w:p>
        </w:tc>
        <w:tc>
          <w:tcPr>
            <w:tcW w:w="1316" w:type="dxa"/>
            <w:tcBorders>
              <w:left w:val="single" w:color="auto" w:sz="6" w:space="0"/>
            </w:tcBorders>
            <w:noWrap w:val="0"/>
            <w:vAlign w:val="center"/>
          </w:tcPr>
          <w:p w14:paraId="6AF47EED">
            <w:pPr>
              <w:jc w:val="center"/>
              <w:rPr>
                <w:rFonts w:hint="eastAsia"/>
                <w:szCs w:val="21"/>
              </w:rPr>
            </w:pPr>
          </w:p>
        </w:tc>
      </w:tr>
    </w:tbl>
    <w:p w14:paraId="3A71FE70">
      <w:pPr>
        <w:spacing w:before="480" w:beforeLines="200"/>
        <w:rPr>
          <w:rFonts w:hint="eastAsia" w:ascii="宋体" w:hAnsi="宋体"/>
          <w:szCs w:val="21"/>
        </w:rPr>
      </w:pPr>
      <w:r>
        <w:rPr>
          <w:rFonts w:hint="eastAsia" w:ascii="宋体" w:hAnsi="宋体"/>
          <w:szCs w:val="21"/>
        </w:rPr>
        <w:t>评标委员会成员签名：                                                                                  日期：     年     月     日</w:t>
      </w:r>
    </w:p>
    <w:p w14:paraId="2DC10044">
      <w:pPr>
        <w:rPr>
          <w:rFonts w:hint="eastAsia" w:ascii="黑体" w:eastAsia="黑体"/>
          <w:szCs w:val="21"/>
        </w:rPr>
      </w:pPr>
    </w:p>
    <w:p w14:paraId="0C0FACC3">
      <w:pPr>
        <w:rPr>
          <w:rFonts w:hint="eastAsia" w:ascii="黑体" w:eastAsia="黑体"/>
          <w:szCs w:val="21"/>
        </w:rPr>
      </w:pPr>
    </w:p>
    <w:p w14:paraId="6BC254F2">
      <w:pPr>
        <w:ind w:left="420" w:hanging="420" w:hangingChars="200"/>
        <w:rPr>
          <w:rFonts w:hint="eastAsia"/>
          <w:sz w:val="20"/>
          <w:szCs w:val="20"/>
        </w:rPr>
      </w:pPr>
      <w:r>
        <w:rPr>
          <w:rFonts w:hint="eastAsia" w:ascii="宋体" w:hAnsi="宋体"/>
          <w:szCs w:val="21"/>
        </w:rPr>
        <w:t>注：“综合单价偏离幅度”、“ 主要材料价格偏离幅度”、“ 管理费和利润”、“材料消耗量”指标用于在投标人投标总报价低于招标控制价一定幅度，评标委员会启</w:t>
      </w:r>
      <w:r>
        <w:rPr>
          <w:rFonts w:hint="eastAsia"/>
          <w:szCs w:val="21"/>
        </w:rPr>
        <w:t>动成本评审工作时，要求投标人进行澄清和说明并提交有关证明材料的依据</w:t>
      </w:r>
      <w:r>
        <w:rPr>
          <w:rFonts w:hint="eastAsia"/>
          <w:sz w:val="20"/>
          <w:szCs w:val="20"/>
        </w:rPr>
        <w:t>。</w:t>
      </w:r>
    </w:p>
    <w:p w14:paraId="77F1A2AA">
      <w:pPr>
        <w:rPr>
          <w:rFonts w:ascii="黑体" w:eastAsia="黑体"/>
          <w:szCs w:val="21"/>
        </w:rPr>
        <w:sectPr>
          <w:pgSz w:w="16840" w:h="11907" w:orient="landscape"/>
          <w:pgMar w:top="1531" w:right="1588" w:bottom="1474" w:left="1701" w:header="851" w:footer="851" w:gutter="0"/>
          <w:cols w:space="720" w:num="1"/>
          <w:docGrid w:linePitch="312" w:charSpace="0"/>
        </w:sectPr>
      </w:pPr>
    </w:p>
    <w:p w14:paraId="79D74791">
      <w:pPr>
        <w:pStyle w:val="20"/>
        <w:rPr>
          <w:rFonts w:hint="eastAsia"/>
        </w:rPr>
      </w:pPr>
      <w:bookmarkStart w:id="451" w:name="_Toc108513678"/>
      <w:r>
        <w:rPr>
          <w:rFonts w:hint="eastAsia"/>
        </w:rPr>
        <w:t>附表C-10：清标报告-总价措施项目清单价格分析记录表</w:t>
      </w:r>
      <w:bookmarkEnd w:id="451"/>
    </w:p>
    <w:p w14:paraId="04844CF6">
      <w:pPr>
        <w:spacing w:before="156" w:beforeLines="50" w:after="156" w:afterLines="50"/>
        <w:jc w:val="center"/>
        <w:rPr>
          <w:rFonts w:hint="eastAsia" w:ascii="黑体" w:eastAsia="黑体"/>
          <w:sz w:val="32"/>
          <w:szCs w:val="32"/>
        </w:rPr>
      </w:pPr>
    </w:p>
    <w:p w14:paraId="02BCEFE9">
      <w:pPr>
        <w:spacing w:before="156" w:beforeLines="50" w:after="156" w:afterLines="50"/>
        <w:jc w:val="center"/>
        <w:rPr>
          <w:rFonts w:hint="eastAsia" w:ascii="黑体" w:eastAsia="黑体"/>
          <w:sz w:val="32"/>
          <w:szCs w:val="32"/>
        </w:rPr>
      </w:pPr>
      <w:r>
        <w:rPr>
          <w:rFonts w:hint="eastAsia" w:ascii="黑体" w:eastAsia="黑体"/>
          <w:sz w:val="32"/>
          <w:szCs w:val="32"/>
        </w:rPr>
        <w:t>清标报告-总价措施项目清单价格分析记录表</w:t>
      </w:r>
    </w:p>
    <w:p w14:paraId="32D76BC6">
      <w:pPr>
        <w:rPr>
          <w:rFonts w:hint="eastAsia" w:ascii="宋体" w:hAnsi="宋体"/>
          <w:szCs w:val="21"/>
        </w:rPr>
      </w:pPr>
    </w:p>
    <w:p w14:paraId="647F7385">
      <w:pPr>
        <w:rPr>
          <w:rFonts w:hint="eastAsia" w:ascii="宋体" w:hAnsi="宋体"/>
          <w:szCs w:val="21"/>
        </w:rPr>
      </w:pPr>
      <w:r>
        <w:rPr>
          <w:rFonts w:hint="eastAsia" w:ascii="宋体" w:hAnsi="宋体"/>
          <w:szCs w:val="21"/>
        </w:rPr>
        <w:t>投标人名称：</w:t>
      </w:r>
    </w:p>
    <w:p w14:paraId="559FD5DF">
      <w:pPr>
        <w:rPr>
          <w:rFonts w:hint="eastAsia" w:ascii="宋体" w:hAnsi="宋体"/>
          <w:szCs w:val="21"/>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170"/>
        <w:gridCol w:w="1745"/>
        <w:gridCol w:w="1324"/>
        <w:gridCol w:w="1351"/>
        <w:gridCol w:w="1351"/>
        <w:gridCol w:w="1259"/>
      </w:tblGrid>
      <w:tr w14:paraId="01E5B8D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64347FDA">
            <w:pPr>
              <w:jc w:val="center"/>
              <w:rPr>
                <w:rFonts w:hint="eastAsia"/>
                <w:sz w:val="20"/>
                <w:szCs w:val="20"/>
              </w:rPr>
            </w:pPr>
            <w:r>
              <w:rPr>
                <w:rFonts w:hint="eastAsia"/>
                <w:sz w:val="20"/>
                <w:szCs w:val="20"/>
              </w:rPr>
              <w:t>单位工程名称</w:t>
            </w:r>
          </w:p>
        </w:tc>
        <w:tc>
          <w:tcPr>
            <w:tcW w:w="5285" w:type="dxa"/>
            <w:gridSpan w:val="4"/>
            <w:tcBorders>
              <w:left w:val="single" w:color="auto" w:sz="6" w:space="0"/>
            </w:tcBorders>
            <w:noWrap w:val="0"/>
            <w:vAlign w:val="center"/>
          </w:tcPr>
          <w:p w14:paraId="346F127B">
            <w:pPr>
              <w:jc w:val="center"/>
              <w:rPr>
                <w:rFonts w:hint="eastAsia"/>
                <w:sz w:val="20"/>
                <w:szCs w:val="20"/>
              </w:rPr>
            </w:pPr>
          </w:p>
        </w:tc>
      </w:tr>
      <w:tr w14:paraId="1998CA7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noWrap w:val="0"/>
            <w:vAlign w:val="center"/>
          </w:tcPr>
          <w:p w14:paraId="5DD1A72A">
            <w:pPr>
              <w:jc w:val="center"/>
              <w:rPr>
                <w:rFonts w:hint="eastAsia"/>
                <w:sz w:val="20"/>
                <w:szCs w:val="20"/>
              </w:rPr>
            </w:pPr>
            <w:r>
              <w:rPr>
                <w:rFonts w:hint="eastAsia"/>
                <w:sz w:val="20"/>
                <w:szCs w:val="20"/>
              </w:rPr>
              <w:t>序号</w:t>
            </w:r>
          </w:p>
        </w:tc>
        <w:tc>
          <w:tcPr>
            <w:tcW w:w="1170" w:type="dxa"/>
            <w:tcBorders>
              <w:right w:val="single" w:color="auto" w:sz="6" w:space="0"/>
            </w:tcBorders>
            <w:noWrap w:val="0"/>
            <w:vAlign w:val="center"/>
          </w:tcPr>
          <w:p w14:paraId="469ED389">
            <w:pPr>
              <w:jc w:val="center"/>
              <w:rPr>
                <w:rFonts w:hint="eastAsia"/>
                <w:sz w:val="20"/>
                <w:szCs w:val="20"/>
              </w:rPr>
            </w:pPr>
            <w:r>
              <w:rPr>
                <w:rFonts w:hint="eastAsia"/>
                <w:sz w:val="20"/>
                <w:szCs w:val="20"/>
              </w:rPr>
              <w:t>项目编码</w:t>
            </w:r>
          </w:p>
        </w:tc>
        <w:tc>
          <w:tcPr>
            <w:tcW w:w="1745" w:type="dxa"/>
            <w:tcBorders>
              <w:left w:val="single" w:color="auto" w:sz="6" w:space="0"/>
            </w:tcBorders>
            <w:noWrap w:val="0"/>
            <w:vAlign w:val="center"/>
          </w:tcPr>
          <w:p w14:paraId="5C2388BB">
            <w:pPr>
              <w:jc w:val="center"/>
              <w:rPr>
                <w:rFonts w:hint="eastAsia"/>
                <w:sz w:val="20"/>
                <w:szCs w:val="20"/>
              </w:rPr>
            </w:pPr>
            <w:r>
              <w:rPr>
                <w:rFonts w:hint="eastAsia"/>
                <w:sz w:val="20"/>
                <w:szCs w:val="20"/>
              </w:rPr>
              <w:t>项目名称</w:t>
            </w:r>
          </w:p>
        </w:tc>
        <w:tc>
          <w:tcPr>
            <w:tcW w:w="1324" w:type="dxa"/>
            <w:tcBorders>
              <w:left w:val="single" w:color="auto" w:sz="6" w:space="0"/>
              <w:right w:val="single" w:color="auto" w:sz="6" w:space="0"/>
            </w:tcBorders>
            <w:noWrap w:val="0"/>
            <w:vAlign w:val="center"/>
          </w:tcPr>
          <w:p w14:paraId="3D01C686">
            <w:pPr>
              <w:jc w:val="center"/>
              <w:rPr>
                <w:rFonts w:hint="eastAsia"/>
                <w:sz w:val="20"/>
                <w:szCs w:val="20"/>
              </w:rPr>
            </w:pPr>
            <w:r>
              <w:rPr>
                <w:rFonts w:hint="eastAsia"/>
                <w:sz w:val="20"/>
                <w:szCs w:val="20"/>
              </w:rPr>
              <w:t>投标费率(％)</w:t>
            </w:r>
          </w:p>
        </w:tc>
        <w:tc>
          <w:tcPr>
            <w:tcW w:w="1351" w:type="dxa"/>
            <w:tcBorders>
              <w:left w:val="single" w:color="auto" w:sz="6" w:space="0"/>
            </w:tcBorders>
            <w:noWrap w:val="0"/>
            <w:vAlign w:val="center"/>
          </w:tcPr>
          <w:p w14:paraId="1DB8AEA6">
            <w:pPr>
              <w:jc w:val="center"/>
              <w:rPr>
                <w:rFonts w:hint="eastAsia"/>
                <w:sz w:val="20"/>
                <w:szCs w:val="20"/>
              </w:rPr>
            </w:pPr>
            <w:r>
              <w:rPr>
                <w:rFonts w:hint="eastAsia"/>
                <w:sz w:val="20"/>
                <w:szCs w:val="20"/>
              </w:rPr>
              <w:t>正确费率(％)</w:t>
            </w:r>
          </w:p>
        </w:tc>
        <w:tc>
          <w:tcPr>
            <w:tcW w:w="1351" w:type="dxa"/>
            <w:tcBorders>
              <w:right w:val="single" w:color="auto" w:sz="6" w:space="0"/>
            </w:tcBorders>
            <w:noWrap w:val="0"/>
            <w:vAlign w:val="center"/>
          </w:tcPr>
          <w:p w14:paraId="79508F97">
            <w:pPr>
              <w:jc w:val="center"/>
              <w:rPr>
                <w:rFonts w:hint="eastAsia"/>
                <w:sz w:val="20"/>
                <w:szCs w:val="20"/>
              </w:rPr>
            </w:pPr>
            <w:r>
              <w:rPr>
                <w:rFonts w:hint="eastAsia"/>
                <w:sz w:val="20"/>
                <w:szCs w:val="20"/>
              </w:rPr>
              <w:t>偏离幅度</w:t>
            </w:r>
          </w:p>
        </w:tc>
        <w:tc>
          <w:tcPr>
            <w:tcW w:w="1259" w:type="dxa"/>
            <w:tcBorders>
              <w:left w:val="single" w:color="auto" w:sz="6" w:space="0"/>
            </w:tcBorders>
            <w:noWrap w:val="0"/>
            <w:vAlign w:val="center"/>
          </w:tcPr>
          <w:p w14:paraId="767ED8BC">
            <w:pPr>
              <w:jc w:val="center"/>
              <w:rPr>
                <w:rFonts w:hint="eastAsia"/>
                <w:sz w:val="20"/>
                <w:szCs w:val="20"/>
              </w:rPr>
            </w:pPr>
            <w:r>
              <w:rPr>
                <w:rFonts w:hint="eastAsia"/>
                <w:sz w:val="20"/>
                <w:szCs w:val="20"/>
              </w:rPr>
              <w:t>备注</w:t>
            </w:r>
          </w:p>
        </w:tc>
      </w:tr>
      <w:tr w14:paraId="15C2C54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noWrap w:val="0"/>
            <w:vAlign w:val="center"/>
          </w:tcPr>
          <w:p w14:paraId="4E9B24F9">
            <w:pPr>
              <w:jc w:val="center"/>
              <w:rPr>
                <w:rFonts w:hint="eastAsia" w:ascii="黑体" w:eastAsia="黑体"/>
                <w:sz w:val="20"/>
                <w:szCs w:val="20"/>
              </w:rPr>
            </w:pPr>
          </w:p>
        </w:tc>
        <w:tc>
          <w:tcPr>
            <w:tcW w:w="1170" w:type="dxa"/>
            <w:tcBorders>
              <w:right w:val="single" w:color="auto" w:sz="6" w:space="0"/>
            </w:tcBorders>
            <w:noWrap w:val="0"/>
            <w:vAlign w:val="center"/>
          </w:tcPr>
          <w:p w14:paraId="3A449086">
            <w:pPr>
              <w:jc w:val="center"/>
              <w:rPr>
                <w:rFonts w:hint="eastAsia"/>
                <w:sz w:val="20"/>
                <w:szCs w:val="20"/>
              </w:rPr>
            </w:pPr>
          </w:p>
        </w:tc>
        <w:tc>
          <w:tcPr>
            <w:tcW w:w="1745" w:type="dxa"/>
            <w:tcBorders>
              <w:left w:val="single" w:color="auto" w:sz="6" w:space="0"/>
            </w:tcBorders>
            <w:noWrap w:val="0"/>
            <w:vAlign w:val="center"/>
          </w:tcPr>
          <w:p w14:paraId="7D4607A1">
            <w:pPr>
              <w:jc w:val="center"/>
              <w:rPr>
                <w:rFonts w:hint="eastAsia"/>
                <w:sz w:val="20"/>
                <w:szCs w:val="20"/>
              </w:rPr>
            </w:pPr>
            <w:r>
              <w:rPr>
                <w:rFonts w:hint="eastAsia"/>
                <w:sz w:val="20"/>
                <w:szCs w:val="20"/>
              </w:rPr>
              <w:t>安全文明施工费</w:t>
            </w:r>
          </w:p>
        </w:tc>
        <w:tc>
          <w:tcPr>
            <w:tcW w:w="1324" w:type="dxa"/>
            <w:tcBorders>
              <w:left w:val="single" w:color="auto" w:sz="6" w:space="0"/>
              <w:right w:val="single" w:color="auto" w:sz="6" w:space="0"/>
            </w:tcBorders>
            <w:noWrap w:val="0"/>
            <w:vAlign w:val="center"/>
          </w:tcPr>
          <w:p w14:paraId="2D73C2DD">
            <w:pPr>
              <w:jc w:val="center"/>
              <w:rPr>
                <w:rFonts w:hint="eastAsia"/>
                <w:sz w:val="20"/>
                <w:szCs w:val="20"/>
              </w:rPr>
            </w:pPr>
          </w:p>
        </w:tc>
        <w:tc>
          <w:tcPr>
            <w:tcW w:w="1351" w:type="dxa"/>
            <w:tcBorders>
              <w:left w:val="single" w:color="auto" w:sz="6" w:space="0"/>
            </w:tcBorders>
            <w:noWrap w:val="0"/>
            <w:vAlign w:val="center"/>
          </w:tcPr>
          <w:p w14:paraId="4DB4A25A">
            <w:pPr>
              <w:jc w:val="center"/>
              <w:rPr>
                <w:rFonts w:hint="eastAsia"/>
                <w:sz w:val="20"/>
                <w:szCs w:val="20"/>
              </w:rPr>
            </w:pPr>
          </w:p>
        </w:tc>
        <w:tc>
          <w:tcPr>
            <w:tcW w:w="1351" w:type="dxa"/>
            <w:tcBorders>
              <w:right w:val="single" w:color="auto" w:sz="6" w:space="0"/>
            </w:tcBorders>
            <w:noWrap w:val="0"/>
            <w:vAlign w:val="center"/>
          </w:tcPr>
          <w:p w14:paraId="116486EB">
            <w:pPr>
              <w:jc w:val="center"/>
              <w:rPr>
                <w:rFonts w:hint="eastAsia"/>
                <w:sz w:val="20"/>
                <w:szCs w:val="20"/>
              </w:rPr>
            </w:pPr>
          </w:p>
        </w:tc>
        <w:tc>
          <w:tcPr>
            <w:tcW w:w="1259" w:type="dxa"/>
            <w:tcBorders>
              <w:left w:val="single" w:color="auto" w:sz="6" w:space="0"/>
            </w:tcBorders>
            <w:noWrap w:val="0"/>
            <w:vAlign w:val="center"/>
          </w:tcPr>
          <w:p w14:paraId="07A46BFD">
            <w:pPr>
              <w:jc w:val="center"/>
              <w:rPr>
                <w:rFonts w:hint="eastAsia"/>
                <w:sz w:val="20"/>
                <w:szCs w:val="20"/>
              </w:rPr>
            </w:pPr>
          </w:p>
        </w:tc>
      </w:tr>
      <w:tr w14:paraId="519DD19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8" w:type="dxa"/>
            <w:noWrap w:val="0"/>
            <w:vAlign w:val="center"/>
          </w:tcPr>
          <w:p w14:paraId="732D3791">
            <w:pPr>
              <w:jc w:val="center"/>
              <w:rPr>
                <w:rFonts w:hint="eastAsia" w:ascii="黑体" w:eastAsia="黑体"/>
                <w:szCs w:val="21"/>
              </w:rPr>
            </w:pPr>
          </w:p>
        </w:tc>
        <w:tc>
          <w:tcPr>
            <w:tcW w:w="1170" w:type="dxa"/>
            <w:tcBorders>
              <w:right w:val="single" w:color="auto" w:sz="6" w:space="0"/>
            </w:tcBorders>
            <w:noWrap w:val="0"/>
            <w:vAlign w:val="center"/>
          </w:tcPr>
          <w:p w14:paraId="3C471F7B">
            <w:pPr>
              <w:jc w:val="center"/>
              <w:rPr>
                <w:rFonts w:hint="eastAsia"/>
                <w:szCs w:val="21"/>
              </w:rPr>
            </w:pPr>
          </w:p>
        </w:tc>
        <w:tc>
          <w:tcPr>
            <w:tcW w:w="1745" w:type="dxa"/>
            <w:tcBorders>
              <w:left w:val="single" w:color="auto" w:sz="6" w:space="0"/>
            </w:tcBorders>
            <w:noWrap w:val="0"/>
            <w:vAlign w:val="center"/>
          </w:tcPr>
          <w:p w14:paraId="5DEE415A">
            <w:pPr>
              <w:jc w:val="center"/>
              <w:rPr>
                <w:rFonts w:hint="eastAsia"/>
                <w:szCs w:val="21"/>
              </w:rPr>
            </w:pPr>
          </w:p>
        </w:tc>
        <w:tc>
          <w:tcPr>
            <w:tcW w:w="1324" w:type="dxa"/>
            <w:tcBorders>
              <w:left w:val="single" w:color="auto" w:sz="6" w:space="0"/>
              <w:right w:val="single" w:color="auto" w:sz="6" w:space="0"/>
            </w:tcBorders>
            <w:noWrap w:val="0"/>
            <w:vAlign w:val="center"/>
          </w:tcPr>
          <w:p w14:paraId="74337BBD">
            <w:pPr>
              <w:jc w:val="center"/>
              <w:rPr>
                <w:rFonts w:hint="eastAsia"/>
                <w:szCs w:val="21"/>
              </w:rPr>
            </w:pPr>
          </w:p>
        </w:tc>
        <w:tc>
          <w:tcPr>
            <w:tcW w:w="1351" w:type="dxa"/>
            <w:tcBorders>
              <w:left w:val="single" w:color="auto" w:sz="6" w:space="0"/>
            </w:tcBorders>
            <w:noWrap w:val="0"/>
            <w:vAlign w:val="center"/>
          </w:tcPr>
          <w:p w14:paraId="75EED777">
            <w:pPr>
              <w:jc w:val="center"/>
              <w:rPr>
                <w:rFonts w:hint="eastAsia"/>
                <w:szCs w:val="21"/>
              </w:rPr>
            </w:pPr>
          </w:p>
        </w:tc>
        <w:tc>
          <w:tcPr>
            <w:tcW w:w="1351" w:type="dxa"/>
            <w:tcBorders>
              <w:right w:val="single" w:color="auto" w:sz="6" w:space="0"/>
            </w:tcBorders>
            <w:noWrap w:val="0"/>
            <w:vAlign w:val="center"/>
          </w:tcPr>
          <w:p w14:paraId="1CC018E4">
            <w:pPr>
              <w:jc w:val="center"/>
              <w:rPr>
                <w:rFonts w:hint="eastAsia"/>
                <w:szCs w:val="21"/>
              </w:rPr>
            </w:pPr>
          </w:p>
        </w:tc>
        <w:tc>
          <w:tcPr>
            <w:tcW w:w="1259" w:type="dxa"/>
            <w:tcBorders>
              <w:left w:val="single" w:color="auto" w:sz="6" w:space="0"/>
            </w:tcBorders>
            <w:noWrap w:val="0"/>
            <w:vAlign w:val="center"/>
          </w:tcPr>
          <w:p w14:paraId="18D69534">
            <w:pPr>
              <w:jc w:val="center"/>
              <w:rPr>
                <w:rFonts w:hint="eastAsia"/>
                <w:szCs w:val="21"/>
              </w:rPr>
            </w:pPr>
          </w:p>
        </w:tc>
      </w:tr>
      <w:tr w14:paraId="6F7FE19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118" w:type="dxa"/>
            <w:gridSpan w:val="7"/>
            <w:noWrap w:val="0"/>
            <w:vAlign w:val="center"/>
          </w:tcPr>
          <w:p w14:paraId="066ED001">
            <w:pPr>
              <w:jc w:val="center"/>
              <w:rPr>
                <w:rFonts w:hint="eastAsia"/>
                <w:szCs w:val="21"/>
              </w:rPr>
            </w:pPr>
          </w:p>
        </w:tc>
      </w:tr>
      <w:tr w14:paraId="67B4738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79970B6E">
            <w:pPr>
              <w:jc w:val="center"/>
              <w:rPr>
                <w:rFonts w:hint="eastAsia"/>
                <w:sz w:val="20"/>
                <w:szCs w:val="20"/>
              </w:rPr>
            </w:pPr>
            <w:r>
              <w:rPr>
                <w:rFonts w:hint="eastAsia"/>
                <w:sz w:val="20"/>
                <w:szCs w:val="20"/>
              </w:rPr>
              <w:t>项目名称</w:t>
            </w:r>
          </w:p>
        </w:tc>
        <w:tc>
          <w:tcPr>
            <w:tcW w:w="1324" w:type="dxa"/>
            <w:tcBorders>
              <w:left w:val="single" w:color="auto" w:sz="6" w:space="0"/>
              <w:right w:val="single" w:color="auto" w:sz="6" w:space="0"/>
            </w:tcBorders>
            <w:noWrap w:val="0"/>
            <w:vAlign w:val="center"/>
          </w:tcPr>
          <w:p w14:paraId="145721D3">
            <w:pPr>
              <w:jc w:val="center"/>
              <w:rPr>
                <w:rFonts w:hint="eastAsia"/>
                <w:sz w:val="20"/>
                <w:szCs w:val="20"/>
              </w:rPr>
            </w:pPr>
            <w:r>
              <w:rPr>
                <w:rFonts w:hint="eastAsia"/>
                <w:sz w:val="20"/>
                <w:szCs w:val="20"/>
              </w:rPr>
              <w:t>投标合计</w:t>
            </w:r>
          </w:p>
          <w:p w14:paraId="5C30F86E">
            <w:pPr>
              <w:jc w:val="center"/>
              <w:rPr>
                <w:rFonts w:hint="eastAsia"/>
                <w:sz w:val="20"/>
                <w:szCs w:val="20"/>
              </w:rPr>
            </w:pPr>
            <w:r>
              <w:rPr>
                <w:rFonts w:hint="eastAsia"/>
                <w:sz w:val="20"/>
                <w:szCs w:val="20"/>
              </w:rPr>
              <w:t>金额</w:t>
            </w:r>
          </w:p>
        </w:tc>
        <w:tc>
          <w:tcPr>
            <w:tcW w:w="1351" w:type="dxa"/>
            <w:tcBorders>
              <w:left w:val="single" w:color="auto" w:sz="6" w:space="0"/>
            </w:tcBorders>
            <w:noWrap w:val="0"/>
            <w:vAlign w:val="center"/>
          </w:tcPr>
          <w:p w14:paraId="41D7E153">
            <w:pPr>
              <w:jc w:val="center"/>
              <w:rPr>
                <w:rFonts w:hint="eastAsia"/>
                <w:sz w:val="20"/>
                <w:szCs w:val="20"/>
              </w:rPr>
            </w:pPr>
            <w:r>
              <w:rPr>
                <w:rFonts w:hint="eastAsia"/>
                <w:sz w:val="20"/>
                <w:szCs w:val="20"/>
              </w:rPr>
              <w:t>招标控制价的合计金额</w:t>
            </w:r>
          </w:p>
        </w:tc>
        <w:tc>
          <w:tcPr>
            <w:tcW w:w="1351" w:type="dxa"/>
            <w:tcBorders>
              <w:right w:val="single" w:color="auto" w:sz="6" w:space="0"/>
            </w:tcBorders>
            <w:noWrap w:val="0"/>
            <w:vAlign w:val="center"/>
          </w:tcPr>
          <w:p w14:paraId="6F7A22FD">
            <w:pPr>
              <w:jc w:val="center"/>
              <w:rPr>
                <w:rFonts w:hint="eastAsia"/>
                <w:szCs w:val="21"/>
              </w:rPr>
            </w:pPr>
            <w:r>
              <w:rPr>
                <w:rFonts w:hint="eastAsia"/>
                <w:sz w:val="20"/>
                <w:szCs w:val="20"/>
              </w:rPr>
              <w:t>偏离幅度</w:t>
            </w:r>
          </w:p>
        </w:tc>
        <w:tc>
          <w:tcPr>
            <w:tcW w:w="1259" w:type="dxa"/>
            <w:tcBorders>
              <w:left w:val="single" w:color="auto" w:sz="6" w:space="0"/>
            </w:tcBorders>
            <w:noWrap w:val="0"/>
            <w:vAlign w:val="center"/>
          </w:tcPr>
          <w:p w14:paraId="158994F8">
            <w:pPr>
              <w:jc w:val="center"/>
              <w:rPr>
                <w:rFonts w:hint="eastAsia"/>
                <w:szCs w:val="21"/>
              </w:rPr>
            </w:pPr>
          </w:p>
        </w:tc>
      </w:tr>
      <w:tr w14:paraId="3F1A427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59362CCA">
            <w:pPr>
              <w:jc w:val="center"/>
              <w:rPr>
                <w:rFonts w:hint="eastAsia"/>
                <w:sz w:val="20"/>
                <w:szCs w:val="20"/>
              </w:rPr>
            </w:pPr>
            <w:r>
              <w:rPr>
                <w:rFonts w:hint="eastAsia"/>
                <w:sz w:val="20"/>
                <w:szCs w:val="20"/>
              </w:rPr>
              <w:t>总价措施项目</w:t>
            </w:r>
          </w:p>
        </w:tc>
        <w:tc>
          <w:tcPr>
            <w:tcW w:w="1324" w:type="dxa"/>
            <w:tcBorders>
              <w:left w:val="single" w:color="auto" w:sz="6" w:space="0"/>
              <w:right w:val="single" w:color="auto" w:sz="6" w:space="0"/>
            </w:tcBorders>
            <w:noWrap w:val="0"/>
            <w:vAlign w:val="center"/>
          </w:tcPr>
          <w:p w14:paraId="6AFAB41B">
            <w:pPr>
              <w:jc w:val="center"/>
              <w:rPr>
                <w:rFonts w:hint="eastAsia"/>
                <w:sz w:val="20"/>
                <w:szCs w:val="20"/>
              </w:rPr>
            </w:pPr>
          </w:p>
        </w:tc>
        <w:tc>
          <w:tcPr>
            <w:tcW w:w="1351" w:type="dxa"/>
            <w:tcBorders>
              <w:left w:val="single" w:color="auto" w:sz="6" w:space="0"/>
            </w:tcBorders>
            <w:noWrap w:val="0"/>
            <w:vAlign w:val="center"/>
          </w:tcPr>
          <w:p w14:paraId="7FFE5649">
            <w:pPr>
              <w:jc w:val="center"/>
              <w:rPr>
                <w:rFonts w:hint="eastAsia"/>
                <w:sz w:val="20"/>
                <w:szCs w:val="20"/>
              </w:rPr>
            </w:pPr>
          </w:p>
        </w:tc>
        <w:tc>
          <w:tcPr>
            <w:tcW w:w="1351" w:type="dxa"/>
            <w:tcBorders>
              <w:right w:val="single" w:color="auto" w:sz="6" w:space="0"/>
            </w:tcBorders>
            <w:noWrap w:val="0"/>
            <w:vAlign w:val="center"/>
          </w:tcPr>
          <w:p w14:paraId="2244531F">
            <w:pPr>
              <w:jc w:val="center"/>
              <w:rPr>
                <w:rFonts w:hint="eastAsia"/>
                <w:szCs w:val="21"/>
              </w:rPr>
            </w:pPr>
          </w:p>
        </w:tc>
        <w:tc>
          <w:tcPr>
            <w:tcW w:w="1259" w:type="dxa"/>
            <w:tcBorders>
              <w:left w:val="single" w:color="auto" w:sz="6" w:space="0"/>
            </w:tcBorders>
            <w:noWrap w:val="0"/>
            <w:vAlign w:val="center"/>
          </w:tcPr>
          <w:p w14:paraId="196087BC">
            <w:pPr>
              <w:jc w:val="center"/>
              <w:rPr>
                <w:rFonts w:hint="eastAsia"/>
                <w:szCs w:val="21"/>
              </w:rPr>
            </w:pPr>
          </w:p>
        </w:tc>
      </w:tr>
      <w:tr w14:paraId="02BE926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gridSpan w:val="3"/>
            <w:noWrap w:val="0"/>
            <w:vAlign w:val="center"/>
          </w:tcPr>
          <w:p w14:paraId="72896E8D">
            <w:pPr>
              <w:jc w:val="center"/>
              <w:rPr>
                <w:rFonts w:hint="eastAsia"/>
                <w:szCs w:val="21"/>
              </w:rPr>
            </w:pPr>
          </w:p>
        </w:tc>
        <w:tc>
          <w:tcPr>
            <w:tcW w:w="1324" w:type="dxa"/>
            <w:tcBorders>
              <w:left w:val="single" w:color="auto" w:sz="6" w:space="0"/>
              <w:right w:val="single" w:color="auto" w:sz="6" w:space="0"/>
            </w:tcBorders>
            <w:noWrap w:val="0"/>
            <w:vAlign w:val="center"/>
          </w:tcPr>
          <w:p w14:paraId="49CC293E">
            <w:pPr>
              <w:jc w:val="center"/>
              <w:rPr>
                <w:rFonts w:hint="eastAsia"/>
                <w:szCs w:val="21"/>
              </w:rPr>
            </w:pPr>
          </w:p>
        </w:tc>
        <w:tc>
          <w:tcPr>
            <w:tcW w:w="1351" w:type="dxa"/>
            <w:tcBorders>
              <w:left w:val="single" w:color="auto" w:sz="6" w:space="0"/>
            </w:tcBorders>
            <w:noWrap w:val="0"/>
            <w:vAlign w:val="center"/>
          </w:tcPr>
          <w:p w14:paraId="235D02BC">
            <w:pPr>
              <w:jc w:val="center"/>
              <w:rPr>
                <w:rFonts w:hint="eastAsia"/>
                <w:szCs w:val="21"/>
              </w:rPr>
            </w:pPr>
          </w:p>
        </w:tc>
        <w:tc>
          <w:tcPr>
            <w:tcW w:w="1351" w:type="dxa"/>
            <w:tcBorders>
              <w:right w:val="single" w:color="auto" w:sz="6" w:space="0"/>
            </w:tcBorders>
            <w:noWrap w:val="0"/>
            <w:vAlign w:val="center"/>
          </w:tcPr>
          <w:p w14:paraId="695C98FE">
            <w:pPr>
              <w:jc w:val="center"/>
              <w:rPr>
                <w:rFonts w:hint="eastAsia"/>
                <w:szCs w:val="21"/>
              </w:rPr>
            </w:pPr>
          </w:p>
        </w:tc>
        <w:tc>
          <w:tcPr>
            <w:tcW w:w="1259" w:type="dxa"/>
            <w:tcBorders>
              <w:left w:val="single" w:color="auto" w:sz="6" w:space="0"/>
            </w:tcBorders>
            <w:noWrap w:val="0"/>
            <w:vAlign w:val="center"/>
          </w:tcPr>
          <w:p w14:paraId="066230A2">
            <w:pPr>
              <w:jc w:val="center"/>
              <w:rPr>
                <w:rFonts w:hint="eastAsia"/>
                <w:szCs w:val="21"/>
              </w:rPr>
            </w:pPr>
          </w:p>
        </w:tc>
      </w:tr>
    </w:tbl>
    <w:p w14:paraId="3DD5698F">
      <w:pPr>
        <w:spacing w:before="624" w:beforeLines="200"/>
        <w:rPr>
          <w:rFonts w:hint="eastAsia" w:ascii="宋体" w:hAnsi="宋体"/>
          <w:szCs w:val="21"/>
        </w:rPr>
      </w:pPr>
      <w:r>
        <w:rPr>
          <w:rFonts w:hint="eastAsia" w:ascii="宋体" w:hAnsi="宋体"/>
          <w:szCs w:val="21"/>
        </w:rPr>
        <w:t>评标委员会成员签名：                                 日期：     年     月     日</w:t>
      </w:r>
    </w:p>
    <w:p w14:paraId="0E378496">
      <w:pPr>
        <w:rPr>
          <w:rFonts w:hint="eastAsia" w:ascii="黑体" w:eastAsia="黑体"/>
          <w:szCs w:val="21"/>
        </w:rPr>
      </w:pPr>
    </w:p>
    <w:p w14:paraId="245432FA">
      <w:pPr>
        <w:rPr>
          <w:rFonts w:hint="eastAsia" w:ascii="黑体" w:eastAsia="黑体"/>
          <w:szCs w:val="21"/>
        </w:rPr>
      </w:pPr>
    </w:p>
    <w:p w14:paraId="5F725BA1">
      <w:pPr>
        <w:rPr>
          <w:rFonts w:hint="eastAsia" w:ascii="黑体" w:eastAsia="黑体"/>
          <w:szCs w:val="21"/>
        </w:rPr>
      </w:pPr>
    </w:p>
    <w:p w14:paraId="6E18A975">
      <w:pPr>
        <w:rPr>
          <w:rFonts w:hint="eastAsia" w:ascii="黑体" w:eastAsia="黑体"/>
          <w:szCs w:val="21"/>
        </w:rPr>
      </w:pPr>
    </w:p>
    <w:p w14:paraId="3F486347">
      <w:pPr>
        <w:rPr>
          <w:rFonts w:hint="eastAsia" w:ascii="黑体" w:eastAsia="黑体"/>
          <w:szCs w:val="21"/>
        </w:rPr>
      </w:pPr>
    </w:p>
    <w:p w14:paraId="1752073D">
      <w:pPr>
        <w:rPr>
          <w:rFonts w:hint="eastAsia" w:ascii="黑体" w:eastAsia="黑体"/>
          <w:szCs w:val="21"/>
        </w:rPr>
      </w:pPr>
    </w:p>
    <w:p w14:paraId="6DBBAD40">
      <w:pPr>
        <w:rPr>
          <w:rFonts w:hint="eastAsia" w:ascii="黑体" w:eastAsia="黑体"/>
          <w:szCs w:val="21"/>
        </w:rPr>
      </w:pPr>
    </w:p>
    <w:p w14:paraId="7B6B0235">
      <w:pPr>
        <w:rPr>
          <w:rFonts w:hint="eastAsia" w:ascii="黑体" w:eastAsia="黑体"/>
          <w:szCs w:val="21"/>
        </w:rPr>
      </w:pPr>
    </w:p>
    <w:p w14:paraId="0364C5C3">
      <w:pPr>
        <w:rPr>
          <w:rFonts w:hint="eastAsia" w:ascii="黑体" w:eastAsia="黑体"/>
          <w:szCs w:val="21"/>
        </w:rPr>
      </w:pPr>
    </w:p>
    <w:p w14:paraId="4027CB31">
      <w:pPr>
        <w:rPr>
          <w:rFonts w:hint="eastAsia" w:ascii="黑体" w:eastAsia="黑体"/>
          <w:szCs w:val="21"/>
        </w:rPr>
      </w:pPr>
    </w:p>
    <w:p w14:paraId="37846A9F">
      <w:pPr>
        <w:rPr>
          <w:rFonts w:hint="eastAsia" w:ascii="黑体" w:eastAsia="黑体"/>
          <w:szCs w:val="21"/>
        </w:rPr>
      </w:pPr>
    </w:p>
    <w:p w14:paraId="304F9C47">
      <w:pPr>
        <w:rPr>
          <w:rFonts w:hint="eastAsia" w:ascii="宋体" w:hAnsi="宋体"/>
          <w:szCs w:val="21"/>
        </w:rPr>
      </w:pPr>
    </w:p>
    <w:p w14:paraId="688EE710">
      <w:pPr>
        <w:ind w:left="420" w:hanging="420" w:hangingChars="200"/>
        <w:rPr>
          <w:rFonts w:hint="eastAsia"/>
          <w:szCs w:val="21"/>
        </w:rPr>
      </w:pPr>
      <w:r>
        <w:rPr>
          <w:rFonts w:hint="eastAsia" w:ascii="宋体" w:hAnsi="宋体"/>
          <w:szCs w:val="21"/>
        </w:rPr>
        <w:t>注：“总价措施项目价格偏离幅度”指标用于在投标人投标总报价低于招标控制价一定幅度，评标委员会</w:t>
      </w:r>
      <w:r>
        <w:rPr>
          <w:rFonts w:hint="eastAsia"/>
          <w:szCs w:val="21"/>
        </w:rPr>
        <w:t>启动成本评审工作时，要求投标人进行澄清和说明并提交有关证明材料的依据。</w:t>
      </w:r>
    </w:p>
    <w:p w14:paraId="429BADAF">
      <w:pPr>
        <w:rPr>
          <w:rFonts w:hint="eastAsia" w:ascii="黑体" w:eastAsia="黑体"/>
          <w:szCs w:val="21"/>
        </w:rPr>
      </w:pPr>
    </w:p>
    <w:p w14:paraId="74F993A4">
      <w:pPr>
        <w:rPr>
          <w:rFonts w:hint="eastAsia" w:ascii="黑体" w:eastAsia="黑体"/>
          <w:szCs w:val="21"/>
        </w:rPr>
      </w:pPr>
    </w:p>
    <w:p w14:paraId="23938C66">
      <w:pPr>
        <w:pStyle w:val="20"/>
        <w:rPr>
          <w:rFonts w:hint="eastAsia"/>
        </w:rPr>
      </w:pPr>
      <w:bookmarkStart w:id="452" w:name="_Toc108513679"/>
      <w:r>
        <w:rPr>
          <w:rFonts w:hint="eastAsia"/>
        </w:rPr>
        <w:t>附表C-11：清标报告-其他项目清单价格分析记录表</w:t>
      </w:r>
      <w:bookmarkEnd w:id="452"/>
    </w:p>
    <w:p w14:paraId="6997B01A">
      <w:pPr>
        <w:rPr>
          <w:rFonts w:hint="eastAsia" w:ascii="黑体" w:eastAsia="黑体"/>
          <w:szCs w:val="21"/>
        </w:rPr>
      </w:pPr>
    </w:p>
    <w:p w14:paraId="57DC7788">
      <w:pPr>
        <w:rPr>
          <w:rFonts w:hint="eastAsia" w:ascii="黑体" w:eastAsia="黑体"/>
          <w:szCs w:val="21"/>
        </w:rPr>
      </w:pPr>
    </w:p>
    <w:p w14:paraId="5387D0A6">
      <w:pPr>
        <w:spacing w:before="156" w:beforeLines="50" w:after="156" w:afterLines="50"/>
        <w:jc w:val="center"/>
        <w:rPr>
          <w:rFonts w:hint="eastAsia" w:ascii="黑体" w:eastAsia="黑体"/>
          <w:sz w:val="32"/>
          <w:szCs w:val="32"/>
        </w:rPr>
      </w:pPr>
      <w:r>
        <w:rPr>
          <w:rFonts w:hint="eastAsia" w:ascii="黑体" w:eastAsia="黑体"/>
          <w:sz w:val="32"/>
          <w:szCs w:val="32"/>
        </w:rPr>
        <w:t>清标报告-其他项目清单价格分析记录表</w:t>
      </w:r>
    </w:p>
    <w:p w14:paraId="547F4B46">
      <w:pPr>
        <w:rPr>
          <w:rFonts w:hint="eastAsia" w:ascii="宋体" w:hAnsi="宋体"/>
          <w:szCs w:val="21"/>
        </w:rPr>
      </w:pPr>
    </w:p>
    <w:p w14:paraId="324E6952">
      <w:pPr>
        <w:rPr>
          <w:rFonts w:hint="eastAsia" w:ascii="宋体" w:hAnsi="宋体"/>
          <w:szCs w:val="21"/>
        </w:rPr>
      </w:pPr>
      <w:r>
        <w:rPr>
          <w:rFonts w:hint="eastAsia" w:ascii="宋体" w:hAnsi="宋体"/>
          <w:szCs w:val="21"/>
        </w:rPr>
        <w:t>投标人名称：</w:t>
      </w:r>
    </w:p>
    <w:p w14:paraId="5EE45187">
      <w:pPr>
        <w:rPr>
          <w:rFonts w:hint="eastAsia" w:ascii="宋体" w:hAnsi="宋体"/>
          <w:szCs w:val="21"/>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4026"/>
        <w:gridCol w:w="1259"/>
      </w:tblGrid>
      <w:tr w14:paraId="353EDE9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0CB34BDE">
            <w:pPr>
              <w:jc w:val="center"/>
              <w:rPr>
                <w:rFonts w:hint="eastAsia"/>
                <w:sz w:val="20"/>
                <w:szCs w:val="20"/>
              </w:rPr>
            </w:pPr>
            <w:r>
              <w:rPr>
                <w:rFonts w:hint="eastAsia"/>
                <w:sz w:val="20"/>
                <w:szCs w:val="20"/>
              </w:rPr>
              <w:t>单位工程名称</w:t>
            </w:r>
          </w:p>
        </w:tc>
        <w:tc>
          <w:tcPr>
            <w:tcW w:w="5285" w:type="dxa"/>
            <w:gridSpan w:val="2"/>
            <w:tcBorders>
              <w:left w:val="single" w:color="auto" w:sz="6" w:space="0"/>
            </w:tcBorders>
            <w:noWrap w:val="0"/>
            <w:vAlign w:val="center"/>
          </w:tcPr>
          <w:p w14:paraId="5B8F9AE5">
            <w:pPr>
              <w:jc w:val="center"/>
              <w:rPr>
                <w:rFonts w:hint="eastAsia"/>
                <w:sz w:val="20"/>
                <w:szCs w:val="20"/>
              </w:rPr>
            </w:pPr>
          </w:p>
        </w:tc>
      </w:tr>
      <w:tr w14:paraId="20725B5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0B045A5">
            <w:pPr>
              <w:jc w:val="center"/>
              <w:rPr>
                <w:rFonts w:hint="eastAsia"/>
                <w:sz w:val="20"/>
                <w:szCs w:val="20"/>
              </w:rPr>
            </w:pPr>
            <w:r>
              <w:rPr>
                <w:rFonts w:hint="eastAsia"/>
                <w:sz w:val="20"/>
                <w:szCs w:val="20"/>
              </w:rPr>
              <w:t>项目名称</w:t>
            </w:r>
          </w:p>
        </w:tc>
        <w:tc>
          <w:tcPr>
            <w:tcW w:w="4026" w:type="dxa"/>
            <w:tcBorders>
              <w:left w:val="single" w:color="auto" w:sz="6" w:space="0"/>
              <w:right w:val="single" w:color="auto" w:sz="6" w:space="0"/>
            </w:tcBorders>
            <w:noWrap w:val="0"/>
            <w:vAlign w:val="center"/>
          </w:tcPr>
          <w:p w14:paraId="2EDF4ECB">
            <w:pPr>
              <w:jc w:val="center"/>
              <w:rPr>
                <w:rFonts w:hint="eastAsia"/>
                <w:sz w:val="20"/>
                <w:szCs w:val="20"/>
              </w:rPr>
            </w:pPr>
            <w:r>
              <w:rPr>
                <w:rFonts w:hint="eastAsia" w:ascii="宋体" w:hAnsi="宋体"/>
                <w:szCs w:val="21"/>
              </w:rPr>
              <w:t>企业管理费和利润</w:t>
            </w:r>
          </w:p>
        </w:tc>
        <w:tc>
          <w:tcPr>
            <w:tcW w:w="1259" w:type="dxa"/>
            <w:tcBorders>
              <w:left w:val="single" w:color="auto" w:sz="6" w:space="0"/>
            </w:tcBorders>
            <w:noWrap w:val="0"/>
            <w:vAlign w:val="center"/>
          </w:tcPr>
          <w:p w14:paraId="7C98C6B4">
            <w:pPr>
              <w:jc w:val="center"/>
              <w:rPr>
                <w:rFonts w:hint="eastAsia"/>
                <w:sz w:val="20"/>
                <w:szCs w:val="20"/>
              </w:rPr>
            </w:pPr>
            <w:r>
              <w:rPr>
                <w:rFonts w:hint="eastAsia"/>
                <w:sz w:val="20"/>
                <w:szCs w:val="20"/>
              </w:rPr>
              <w:t>备注</w:t>
            </w:r>
          </w:p>
        </w:tc>
      </w:tr>
      <w:tr w14:paraId="08F97EE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50C710C">
            <w:pPr>
              <w:jc w:val="center"/>
              <w:rPr>
                <w:rFonts w:hint="eastAsia"/>
                <w:szCs w:val="21"/>
              </w:rPr>
            </w:pPr>
            <w:r>
              <w:rPr>
                <w:rFonts w:hint="eastAsia" w:ascii="宋体" w:hAnsi="宋体"/>
                <w:szCs w:val="21"/>
              </w:rPr>
              <w:t>计日工表</w:t>
            </w:r>
          </w:p>
        </w:tc>
        <w:tc>
          <w:tcPr>
            <w:tcW w:w="4026" w:type="dxa"/>
            <w:tcBorders>
              <w:left w:val="single" w:color="auto" w:sz="6" w:space="0"/>
              <w:right w:val="single" w:color="auto" w:sz="6" w:space="0"/>
            </w:tcBorders>
            <w:noWrap w:val="0"/>
            <w:vAlign w:val="center"/>
          </w:tcPr>
          <w:p w14:paraId="550941EF">
            <w:pPr>
              <w:jc w:val="center"/>
              <w:rPr>
                <w:rFonts w:hint="eastAsia"/>
                <w:szCs w:val="21"/>
              </w:rPr>
            </w:pPr>
          </w:p>
        </w:tc>
        <w:tc>
          <w:tcPr>
            <w:tcW w:w="1259" w:type="dxa"/>
            <w:tcBorders>
              <w:left w:val="single" w:color="auto" w:sz="6" w:space="0"/>
            </w:tcBorders>
            <w:noWrap w:val="0"/>
            <w:vAlign w:val="center"/>
          </w:tcPr>
          <w:p w14:paraId="2DD851E3">
            <w:pPr>
              <w:jc w:val="center"/>
              <w:rPr>
                <w:rFonts w:hint="eastAsia"/>
                <w:szCs w:val="21"/>
              </w:rPr>
            </w:pPr>
          </w:p>
        </w:tc>
      </w:tr>
    </w:tbl>
    <w:p w14:paraId="536CEDD9">
      <w:pPr>
        <w:spacing w:before="624" w:beforeLines="200"/>
        <w:rPr>
          <w:rFonts w:hint="eastAsia" w:ascii="宋体" w:hAnsi="宋体"/>
          <w:szCs w:val="21"/>
        </w:rPr>
      </w:pPr>
      <w:r>
        <w:rPr>
          <w:rFonts w:hint="eastAsia" w:ascii="宋体" w:hAnsi="宋体"/>
          <w:szCs w:val="21"/>
        </w:rPr>
        <w:t>评标委员会成员签名：                                 日期：     年     月     日</w:t>
      </w:r>
    </w:p>
    <w:p w14:paraId="53B7218A">
      <w:pPr>
        <w:rPr>
          <w:rFonts w:hint="eastAsia" w:ascii="黑体" w:eastAsia="黑体"/>
          <w:szCs w:val="21"/>
        </w:rPr>
      </w:pPr>
    </w:p>
    <w:p w14:paraId="1DAE19EA">
      <w:pPr>
        <w:rPr>
          <w:rFonts w:hint="eastAsia" w:ascii="黑体" w:eastAsia="黑体"/>
          <w:szCs w:val="21"/>
        </w:rPr>
      </w:pPr>
    </w:p>
    <w:p w14:paraId="16790780">
      <w:pPr>
        <w:rPr>
          <w:rFonts w:hint="eastAsia" w:ascii="黑体" w:eastAsia="黑体"/>
          <w:szCs w:val="21"/>
        </w:rPr>
      </w:pPr>
    </w:p>
    <w:p w14:paraId="2FE53842">
      <w:pPr>
        <w:rPr>
          <w:rFonts w:hint="eastAsia" w:ascii="黑体" w:eastAsia="黑体"/>
          <w:szCs w:val="21"/>
        </w:rPr>
      </w:pPr>
    </w:p>
    <w:p w14:paraId="7FF93725">
      <w:pPr>
        <w:rPr>
          <w:rFonts w:hint="eastAsia" w:ascii="黑体" w:eastAsia="黑体"/>
          <w:szCs w:val="21"/>
        </w:rPr>
      </w:pPr>
    </w:p>
    <w:p w14:paraId="0AF74C2C">
      <w:pPr>
        <w:rPr>
          <w:rFonts w:hint="eastAsia" w:ascii="黑体" w:eastAsia="黑体"/>
          <w:szCs w:val="21"/>
        </w:rPr>
      </w:pPr>
    </w:p>
    <w:p w14:paraId="7692AC60">
      <w:pPr>
        <w:rPr>
          <w:rFonts w:hint="eastAsia" w:ascii="黑体" w:eastAsia="黑体"/>
          <w:szCs w:val="21"/>
        </w:rPr>
      </w:pPr>
    </w:p>
    <w:p w14:paraId="32894706">
      <w:pPr>
        <w:rPr>
          <w:rFonts w:hint="eastAsia" w:ascii="黑体" w:eastAsia="黑体"/>
          <w:szCs w:val="21"/>
        </w:rPr>
      </w:pPr>
    </w:p>
    <w:p w14:paraId="6F6C69D6">
      <w:pPr>
        <w:rPr>
          <w:rFonts w:hint="eastAsia" w:ascii="黑体" w:eastAsia="黑体"/>
          <w:szCs w:val="21"/>
        </w:rPr>
      </w:pPr>
    </w:p>
    <w:p w14:paraId="2674EB0D">
      <w:pPr>
        <w:rPr>
          <w:rFonts w:hint="eastAsia" w:ascii="黑体" w:eastAsia="黑体"/>
          <w:szCs w:val="21"/>
        </w:rPr>
      </w:pPr>
    </w:p>
    <w:p w14:paraId="3ECFA997">
      <w:pPr>
        <w:rPr>
          <w:rFonts w:hint="eastAsia" w:ascii="黑体" w:eastAsia="黑体"/>
          <w:szCs w:val="21"/>
        </w:rPr>
      </w:pPr>
    </w:p>
    <w:p w14:paraId="48EF64AE">
      <w:pPr>
        <w:rPr>
          <w:rFonts w:hint="eastAsia" w:ascii="黑体" w:eastAsia="黑体"/>
          <w:szCs w:val="21"/>
        </w:rPr>
      </w:pPr>
    </w:p>
    <w:p w14:paraId="5E0796FB">
      <w:pPr>
        <w:rPr>
          <w:rFonts w:hint="eastAsia" w:ascii="黑体" w:eastAsia="黑体"/>
          <w:szCs w:val="21"/>
        </w:rPr>
      </w:pPr>
    </w:p>
    <w:p w14:paraId="21C4A61C">
      <w:pPr>
        <w:rPr>
          <w:rFonts w:hint="eastAsia" w:ascii="黑体" w:eastAsia="黑体"/>
          <w:szCs w:val="21"/>
        </w:rPr>
      </w:pPr>
    </w:p>
    <w:p w14:paraId="12E4AFDD">
      <w:pPr>
        <w:rPr>
          <w:rFonts w:hint="eastAsia" w:ascii="黑体" w:eastAsia="黑体"/>
          <w:szCs w:val="21"/>
        </w:rPr>
      </w:pPr>
    </w:p>
    <w:p w14:paraId="36F25E94">
      <w:pPr>
        <w:rPr>
          <w:rFonts w:hint="eastAsia" w:ascii="黑体" w:eastAsia="黑体"/>
          <w:szCs w:val="21"/>
        </w:rPr>
      </w:pPr>
    </w:p>
    <w:p w14:paraId="151CB8C2">
      <w:pPr>
        <w:rPr>
          <w:rFonts w:hint="eastAsia" w:ascii="黑体" w:eastAsia="黑体"/>
          <w:szCs w:val="21"/>
        </w:rPr>
      </w:pPr>
    </w:p>
    <w:p w14:paraId="088FF718">
      <w:pPr>
        <w:rPr>
          <w:rFonts w:hint="eastAsia" w:ascii="黑体" w:eastAsia="黑体"/>
          <w:szCs w:val="21"/>
        </w:rPr>
      </w:pPr>
    </w:p>
    <w:p w14:paraId="530A0659">
      <w:pPr>
        <w:rPr>
          <w:rFonts w:hint="eastAsia" w:ascii="黑体" w:eastAsia="黑体"/>
          <w:szCs w:val="21"/>
        </w:rPr>
      </w:pPr>
    </w:p>
    <w:p w14:paraId="74DA9BB2">
      <w:pPr>
        <w:rPr>
          <w:rFonts w:hint="eastAsia" w:ascii="黑体" w:eastAsia="黑体"/>
          <w:szCs w:val="21"/>
        </w:rPr>
      </w:pPr>
    </w:p>
    <w:p w14:paraId="7D924C8B">
      <w:pPr>
        <w:rPr>
          <w:rFonts w:hint="eastAsia" w:ascii="黑体" w:eastAsia="黑体"/>
          <w:szCs w:val="21"/>
        </w:rPr>
      </w:pPr>
    </w:p>
    <w:p w14:paraId="04F03469">
      <w:pPr>
        <w:rPr>
          <w:rFonts w:hint="eastAsia" w:ascii="黑体" w:eastAsia="黑体"/>
          <w:szCs w:val="21"/>
        </w:rPr>
      </w:pPr>
    </w:p>
    <w:p w14:paraId="729BC08F">
      <w:pPr>
        <w:rPr>
          <w:rFonts w:hint="eastAsia" w:ascii="黑体" w:eastAsia="黑体"/>
          <w:szCs w:val="21"/>
        </w:rPr>
      </w:pPr>
    </w:p>
    <w:p w14:paraId="5871F446">
      <w:pPr>
        <w:rPr>
          <w:rFonts w:hint="eastAsia" w:ascii="黑体" w:eastAsia="黑体"/>
          <w:szCs w:val="21"/>
        </w:rPr>
      </w:pPr>
    </w:p>
    <w:p w14:paraId="221BD81A">
      <w:pPr>
        <w:pStyle w:val="20"/>
        <w:rPr>
          <w:rFonts w:hint="eastAsia"/>
        </w:rPr>
      </w:pPr>
      <w:bookmarkStart w:id="453" w:name="_Toc108513680"/>
      <w:r>
        <w:rPr>
          <w:rFonts w:hint="eastAsia"/>
        </w:rPr>
        <w:t>附表C-12：清标报告-建设项目总人工费分析记录表</w:t>
      </w:r>
      <w:bookmarkEnd w:id="453"/>
    </w:p>
    <w:p w14:paraId="5939EAE5">
      <w:pPr>
        <w:spacing w:before="156" w:beforeLines="50" w:after="156" w:afterLines="50"/>
        <w:jc w:val="center"/>
        <w:rPr>
          <w:rFonts w:hint="eastAsia" w:ascii="黑体" w:eastAsia="黑体"/>
          <w:sz w:val="32"/>
          <w:szCs w:val="32"/>
        </w:rPr>
      </w:pPr>
    </w:p>
    <w:p w14:paraId="5F97C912">
      <w:pPr>
        <w:spacing w:before="156" w:beforeLines="50" w:after="156" w:afterLines="50"/>
        <w:jc w:val="center"/>
        <w:rPr>
          <w:rFonts w:hint="eastAsia" w:ascii="黑体" w:eastAsia="黑体"/>
          <w:sz w:val="32"/>
          <w:szCs w:val="32"/>
        </w:rPr>
      </w:pPr>
      <w:r>
        <w:rPr>
          <w:rFonts w:hint="eastAsia" w:ascii="黑体" w:eastAsia="黑体"/>
          <w:sz w:val="32"/>
          <w:szCs w:val="32"/>
        </w:rPr>
        <w:t>清标报告-建设项目总人工费分析记录表</w:t>
      </w:r>
    </w:p>
    <w:p w14:paraId="220B79E3">
      <w:pPr>
        <w:spacing w:before="156" w:beforeLines="50" w:after="156" w:afterLines="50"/>
        <w:jc w:val="center"/>
        <w:rPr>
          <w:rFonts w:hint="eastAsia" w:ascii="黑体" w:eastAsia="黑体"/>
          <w:sz w:val="32"/>
          <w:szCs w:val="32"/>
        </w:rPr>
      </w:pPr>
    </w:p>
    <w:p w14:paraId="3A820510">
      <w:pPr>
        <w:rPr>
          <w:rFonts w:hint="eastAsia" w:ascii="宋体" w:hAnsi="宋体"/>
          <w:szCs w:val="21"/>
        </w:rPr>
      </w:pPr>
      <w:r>
        <w:rPr>
          <w:rFonts w:hint="eastAsia" w:ascii="宋体" w:hAnsi="宋体"/>
          <w:szCs w:val="21"/>
        </w:rPr>
        <w:t>投标人名称：</w:t>
      </w:r>
    </w:p>
    <w:p w14:paraId="374C2335">
      <w:pPr>
        <w:rPr>
          <w:rFonts w:hint="eastAsia" w:ascii="宋体" w:hAnsi="宋体"/>
          <w:szCs w:val="21"/>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1324"/>
        <w:gridCol w:w="1351"/>
        <w:gridCol w:w="1351"/>
        <w:gridCol w:w="1259"/>
      </w:tblGrid>
      <w:tr w14:paraId="3CE8AEC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3AE5B483">
            <w:pPr>
              <w:jc w:val="center"/>
              <w:rPr>
                <w:rFonts w:hint="eastAsia"/>
                <w:sz w:val="20"/>
                <w:szCs w:val="20"/>
              </w:rPr>
            </w:pPr>
            <w:r>
              <w:rPr>
                <w:rFonts w:hint="eastAsia"/>
                <w:sz w:val="20"/>
                <w:szCs w:val="20"/>
              </w:rPr>
              <w:t>建设项目名称</w:t>
            </w:r>
          </w:p>
        </w:tc>
        <w:tc>
          <w:tcPr>
            <w:tcW w:w="5285" w:type="dxa"/>
            <w:gridSpan w:val="4"/>
            <w:tcBorders>
              <w:left w:val="single" w:color="auto" w:sz="6" w:space="0"/>
            </w:tcBorders>
            <w:noWrap w:val="0"/>
            <w:vAlign w:val="center"/>
          </w:tcPr>
          <w:p w14:paraId="5909B92A">
            <w:pPr>
              <w:jc w:val="center"/>
              <w:rPr>
                <w:rFonts w:hint="eastAsia"/>
                <w:sz w:val="20"/>
                <w:szCs w:val="20"/>
              </w:rPr>
            </w:pPr>
          </w:p>
        </w:tc>
      </w:tr>
      <w:tr w14:paraId="552761D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34A39D73">
            <w:pPr>
              <w:jc w:val="center"/>
              <w:rPr>
                <w:rFonts w:hint="eastAsia"/>
                <w:sz w:val="20"/>
                <w:szCs w:val="20"/>
              </w:rPr>
            </w:pPr>
            <w:r>
              <w:rPr>
                <w:rFonts w:hint="eastAsia"/>
                <w:sz w:val="20"/>
                <w:szCs w:val="20"/>
              </w:rPr>
              <w:t>项目名称</w:t>
            </w:r>
          </w:p>
        </w:tc>
        <w:tc>
          <w:tcPr>
            <w:tcW w:w="1324" w:type="dxa"/>
            <w:tcBorders>
              <w:left w:val="single" w:color="auto" w:sz="6" w:space="0"/>
              <w:right w:val="single" w:color="auto" w:sz="6" w:space="0"/>
            </w:tcBorders>
            <w:noWrap w:val="0"/>
            <w:vAlign w:val="center"/>
          </w:tcPr>
          <w:p w14:paraId="0C0446CD">
            <w:pPr>
              <w:jc w:val="center"/>
              <w:rPr>
                <w:rFonts w:hint="eastAsia"/>
                <w:sz w:val="20"/>
                <w:szCs w:val="20"/>
              </w:rPr>
            </w:pPr>
            <w:r>
              <w:rPr>
                <w:rFonts w:hint="eastAsia"/>
                <w:sz w:val="20"/>
                <w:szCs w:val="20"/>
              </w:rPr>
              <w:t>投标合计</w:t>
            </w:r>
          </w:p>
          <w:p w14:paraId="3EDB930A">
            <w:pPr>
              <w:jc w:val="center"/>
              <w:rPr>
                <w:rFonts w:hint="eastAsia"/>
                <w:sz w:val="20"/>
                <w:szCs w:val="20"/>
              </w:rPr>
            </w:pPr>
            <w:r>
              <w:rPr>
                <w:rFonts w:hint="eastAsia"/>
                <w:sz w:val="20"/>
                <w:szCs w:val="20"/>
              </w:rPr>
              <w:t>金额</w:t>
            </w:r>
          </w:p>
        </w:tc>
        <w:tc>
          <w:tcPr>
            <w:tcW w:w="1351" w:type="dxa"/>
            <w:tcBorders>
              <w:left w:val="single" w:color="auto" w:sz="6" w:space="0"/>
            </w:tcBorders>
            <w:noWrap w:val="0"/>
            <w:vAlign w:val="center"/>
          </w:tcPr>
          <w:p w14:paraId="313A5F28">
            <w:pPr>
              <w:jc w:val="center"/>
              <w:rPr>
                <w:rFonts w:hint="eastAsia"/>
                <w:sz w:val="20"/>
                <w:szCs w:val="20"/>
              </w:rPr>
            </w:pPr>
            <w:r>
              <w:rPr>
                <w:rFonts w:hint="eastAsia"/>
                <w:sz w:val="20"/>
                <w:szCs w:val="20"/>
              </w:rPr>
              <w:t>招标控制价的合计金额</w:t>
            </w:r>
          </w:p>
        </w:tc>
        <w:tc>
          <w:tcPr>
            <w:tcW w:w="1351" w:type="dxa"/>
            <w:tcBorders>
              <w:right w:val="single" w:color="auto" w:sz="6" w:space="0"/>
            </w:tcBorders>
            <w:noWrap w:val="0"/>
            <w:vAlign w:val="center"/>
          </w:tcPr>
          <w:p w14:paraId="0E435B75">
            <w:pPr>
              <w:jc w:val="center"/>
              <w:rPr>
                <w:rFonts w:hint="eastAsia"/>
                <w:szCs w:val="21"/>
              </w:rPr>
            </w:pPr>
            <w:r>
              <w:rPr>
                <w:rFonts w:hint="eastAsia"/>
                <w:sz w:val="20"/>
                <w:szCs w:val="20"/>
              </w:rPr>
              <w:t>偏离幅度</w:t>
            </w:r>
          </w:p>
        </w:tc>
        <w:tc>
          <w:tcPr>
            <w:tcW w:w="1259" w:type="dxa"/>
            <w:tcBorders>
              <w:left w:val="single" w:color="auto" w:sz="6" w:space="0"/>
            </w:tcBorders>
            <w:noWrap w:val="0"/>
            <w:vAlign w:val="center"/>
          </w:tcPr>
          <w:p w14:paraId="78C5C4D1">
            <w:pPr>
              <w:jc w:val="center"/>
              <w:rPr>
                <w:rFonts w:hint="eastAsia"/>
                <w:szCs w:val="21"/>
              </w:rPr>
            </w:pPr>
            <w:r>
              <w:rPr>
                <w:rFonts w:hint="eastAsia"/>
                <w:sz w:val="20"/>
                <w:szCs w:val="20"/>
              </w:rPr>
              <w:t>备注</w:t>
            </w:r>
          </w:p>
        </w:tc>
      </w:tr>
      <w:tr w14:paraId="5893B7F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14CEFADC">
            <w:pPr>
              <w:jc w:val="center"/>
              <w:rPr>
                <w:rFonts w:hint="eastAsia"/>
                <w:sz w:val="20"/>
                <w:szCs w:val="20"/>
              </w:rPr>
            </w:pPr>
            <w:r>
              <w:rPr>
                <w:rFonts w:hint="eastAsia"/>
                <w:sz w:val="20"/>
                <w:szCs w:val="20"/>
              </w:rPr>
              <w:t>总人工费</w:t>
            </w:r>
          </w:p>
        </w:tc>
        <w:tc>
          <w:tcPr>
            <w:tcW w:w="1324" w:type="dxa"/>
            <w:tcBorders>
              <w:left w:val="single" w:color="auto" w:sz="6" w:space="0"/>
              <w:right w:val="single" w:color="auto" w:sz="6" w:space="0"/>
            </w:tcBorders>
            <w:noWrap w:val="0"/>
            <w:vAlign w:val="center"/>
          </w:tcPr>
          <w:p w14:paraId="421AE030">
            <w:pPr>
              <w:jc w:val="center"/>
              <w:rPr>
                <w:rFonts w:hint="eastAsia"/>
                <w:sz w:val="20"/>
                <w:szCs w:val="20"/>
              </w:rPr>
            </w:pPr>
          </w:p>
        </w:tc>
        <w:tc>
          <w:tcPr>
            <w:tcW w:w="1351" w:type="dxa"/>
            <w:tcBorders>
              <w:left w:val="single" w:color="auto" w:sz="6" w:space="0"/>
            </w:tcBorders>
            <w:noWrap w:val="0"/>
            <w:vAlign w:val="center"/>
          </w:tcPr>
          <w:p w14:paraId="0C6E96EA">
            <w:pPr>
              <w:jc w:val="center"/>
              <w:rPr>
                <w:rFonts w:hint="eastAsia"/>
                <w:sz w:val="20"/>
                <w:szCs w:val="20"/>
              </w:rPr>
            </w:pPr>
          </w:p>
        </w:tc>
        <w:tc>
          <w:tcPr>
            <w:tcW w:w="1351" w:type="dxa"/>
            <w:tcBorders>
              <w:right w:val="single" w:color="auto" w:sz="6" w:space="0"/>
            </w:tcBorders>
            <w:noWrap w:val="0"/>
            <w:vAlign w:val="center"/>
          </w:tcPr>
          <w:p w14:paraId="585AD46B">
            <w:pPr>
              <w:jc w:val="center"/>
              <w:rPr>
                <w:rFonts w:hint="eastAsia"/>
                <w:szCs w:val="21"/>
              </w:rPr>
            </w:pPr>
          </w:p>
        </w:tc>
        <w:tc>
          <w:tcPr>
            <w:tcW w:w="1259" w:type="dxa"/>
            <w:tcBorders>
              <w:left w:val="single" w:color="auto" w:sz="6" w:space="0"/>
            </w:tcBorders>
            <w:noWrap w:val="0"/>
            <w:vAlign w:val="center"/>
          </w:tcPr>
          <w:p w14:paraId="4BC2B787">
            <w:pPr>
              <w:jc w:val="center"/>
              <w:rPr>
                <w:rFonts w:hint="eastAsia"/>
                <w:szCs w:val="21"/>
              </w:rPr>
            </w:pPr>
          </w:p>
        </w:tc>
      </w:tr>
    </w:tbl>
    <w:p w14:paraId="34606203">
      <w:pPr>
        <w:rPr>
          <w:rFonts w:hint="eastAsia" w:ascii="宋体" w:hAnsi="宋体"/>
          <w:szCs w:val="21"/>
        </w:rPr>
      </w:pPr>
    </w:p>
    <w:p w14:paraId="422AEC5E">
      <w:pPr>
        <w:rPr>
          <w:rFonts w:hint="eastAsia" w:ascii="黑体" w:eastAsia="黑体"/>
          <w:szCs w:val="21"/>
        </w:rPr>
      </w:pPr>
      <w:r>
        <w:rPr>
          <w:rFonts w:hint="eastAsia" w:ascii="宋体" w:hAnsi="宋体"/>
          <w:szCs w:val="21"/>
        </w:rPr>
        <w:t>评标委员会成员签名：                                 日期：     年     月     日</w:t>
      </w:r>
    </w:p>
    <w:p w14:paraId="4A702115">
      <w:pPr>
        <w:rPr>
          <w:rFonts w:hint="eastAsia" w:ascii="黑体" w:eastAsia="黑体"/>
          <w:szCs w:val="21"/>
        </w:rPr>
      </w:pPr>
    </w:p>
    <w:p w14:paraId="30990486">
      <w:pPr>
        <w:rPr>
          <w:rFonts w:hint="eastAsia" w:ascii="黑体" w:eastAsia="黑体"/>
          <w:szCs w:val="21"/>
        </w:rPr>
      </w:pPr>
    </w:p>
    <w:p w14:paraId="1D7173D3">
      <w:pPr>
        <w:rPr>
          <w:rFonts w:hint="eastAsia" w:ascii="黑体" w:eastAsia="黑体"/>
          <w:szCs w:val="21"/>
        </w:rPr>
      </w:pPr>
    </w:p>
    <w:p w14:paraId="53F21643">
      <w:pPr>
        <w:rPr>
          <w:rFonts w:hint="eastAsia" w:ascii="黑体" w:eastAsia="黑体"/>
          <w:szCs w:val="21"/>
        </w:rPr>
      </w:pPr>
    </w:p>
    <w:p w14:paraId="1CF75F93">
      <w:pPr>
        <w:rPr>
          <w:rFonts w:hint="eastAsia" w:ascii="黑体" w:eastAsia="黑体"/>
          <w:szCs w:val="21"/>
        </w:rPr>
      </w:pPr>
    </w:p>
    <w:p w14:paraId="76846B97">
      <w:pPr>
        <w:rPr>
          <w:rFonts w:hint="eastAsia" w:ascii="黑体" w:eastAsia="黑体"/>
          <w:szCs w:val="21"/>
        </w:rPr>
      </w:pPr>
    </w:p>
    <w:p w14:paraId="7A282F65">
      <w:pPr>
        <w:rPr>
          <w:rFonts w:hint="eastAsia" w:ascii="黑体" w:eastAsia="黑体"/>
          <w:szCs w:val="21"/>
        </w:rPr>
      </w:pPr>
    </w:p>
    <w:p w14:paraId="330CC2D7">
      <w:pPr>
        <w:rPr>
          <w:rFonts w:hint="eastAsia" w:ascii="黑体" w:eastAsia="黑体"/>
          <w:szCs w:val="21"/>
        </w:rPr>
      </w:pPr>
    </w:p>
    <w:p w14:paraId="01DFD664">
      <w:pPr>
        <w:rPr>
          <w:rFonts w:hint="eastAsia" w:ascii="黑体" w:eastAsia="黑体"/>
          <w:szCs w:val="21"/>
        </w:rPr>
      </w:pPr>
    </w:p>
    <w:p w14:paraId="7D01877C">
      <w:pPr>
        <w:rPr>
          <w:rFonts w:hint="eastAsia" w:ascii="黑体" w:eastAsia="黑体"/>
          <w:szCs w:val="21"/>
        </w:rPr>
      </w:pPr>
    </w:p>
    <w:p w14:paraId="5AC3E250">
      <w:pPr>
        <w:rPr>
          <w:rFonts w:hint="eastAsia" w:ascii="黑体" w:eastAsia="黑体"/>
          <w:szCs w:val="21"/>
        </w:rPr>
      </w:pPr>
    </w:p>
    <w:p w14:paraId="0551494C">
      <w:pPr>
        <w:rPr>
          <w:rFonts w:hint="eastAsia" w:ascii="黑体" w:eastAsia="黑体"/>
          <w:szCs w:val="21"/>
        </w:rPr>
      </w:pPr>
    </w:p>
    <w:p w14:paraId="4C0598E1">
      <w:pPr>
        <w:rPr>
          <w:rFonts w:hint="eastAsia" w:ascii="黑体" w:eastAsia="黑体"/>
          <w:szCs w:val="21"/>
        </w:rPr>
      </w:pPr>
    </w:p>
    <w:p w14:paraId="2960E52C">
      <w:pPr>
        <w:rPr>
          <w:rFonts w:hint="eastAsia" w:ascii="黑体" w:eastAsia="黑体"/>
          <w:szCs w:val="21"/>
        </w:rPr>
      </w:pPr>
    </w:p>
    <w:p w14:paraId="5EA3D279">
      <w:pPr>
        <w:rPr>
          <w:rFonts w:hint="eastAsia" w:ascii="黑体" w:eastAsia="黑体"/>
          <w:szCs w:val="21"/>
        </w:rPr>
      </w:pPr>
    </w:p>
    <w:p w14:paraId="171DDBE5">
      <w:pPr>
        <w:rPr>
          <w:rFonts w:hint="eastAsia" w:ascii="黑体" w:eastAsia="黑体"/>
          <w:szCs w:val="21"/>
        </w:rPr>
      </w:pPr>
    </w:p>
    <w:p w14:paraId="3270835C">
      <w:pPr>
        <w:rPr>
          <w:rFonts w:hint="eastAsia" w:ascii="黑体" w:eastAsia="黑体"/>
          <w:szCs w:val="21"/>
        </w:rPr>
      </w:pPr>
    </w:p>
    <w:p w14:paraId="765A9DD9">
      <w:pPr>
        <w:rPr>
          <w:rFonts w:hint="eastAsia" w:ascii="黑体" w:eastAsia="黑体"/>
          <w:szCs w:val="21"/>
        </w:rPr>
      </w:pPr>
    </w:p>
    <w:p w14:paraId="6F2CD979">
      <w:pPr>
        <w:rPr>
          <w:rFonts w:hint="eastAsia" w:ascii="黑体" w:eastAsia="黑体"/>
          <w:szCs w:val="21"/>
        </w:rPr>
      </w:pPr>
    </w:p>
    <w:p w14:paraId="79E6D4EE">
      <w:pPr>
        <w:rPr>
          <w:rFonts w:hint="eastAsia" w:ascii="黑体" w:eastAsia="黑体"/>
          <w:szCs w:val="21"/>
        </w:rPr>
      </w:pPr>
    </w:p>
    <w:p w14:paraId="761BB1B5">
      <w:pPr>
        <w:rPr>
          <w:rFonts w:hint="eastAsia" w:ascii="黑体" w:eastAsia="黑体"/>
          <w:szCs w:val="21"/>
        </w:rPr>
      </w:pPr>
    </w:p>
    <w:p w14:paraId="3D7E0C88">
      <w:pPr>
        <w:rPr>
          <w:rFonts w:hint="eastAsia" w:ascii="黑体" w:eastAsia="黑体"/>
          <w:szCs w:val="21"/>
        </w:rPr>
      </w:pPr>
    </w:p>
    <w:p w14:paraId="2BEA9B12">
      <w:pPr>
        <w:rPr>
          <w:rFonts w:hint="eastAsia" w:ascii="黑体" w:eastAsia="黑体"/>
          <w:szCs w:val="21"/>
        </w:rPr>
      </w:pPr>
    </w:p>
    <w:p w14:paraId="546B7FAB">
      <w:pPr>
        <w:rPr>
          <w:rFonts w:hint="eastAsia" w:ascii="黑体" w:eastAsia="黑体"/>
          <w:szCs w:val="21"/>
        </w:rPr>
      </w:pPr>
    </w:p>
    <w:p w14:paraId="3AED6F31">
      <w:pPr>
        <w:rPr>
          <w:rFonts w:hint="eastAsia" w:ascii="黑体" w:eastAsia="黑体"/>
          <w:szCs w:val="21"/>
        </w:rPr>
      </w:pPr>
    </w:p>
    <w:p w14:paraId="74B43E21">
      <w:pPr>
        <w:pStyle w:val="20"/>
        <w:rPr>
          <w:rFonts w:hint="eastAsia"/>
        </w:rPr>
      </w:pPr>
      <w:bookmarkStart w:id="454" w:name="_Toc108513681"/>
      <w:r>
        <w:rPr>
          <w:rFonts w:hint="eastAsia"/>
        </w:rPr>
        <w:t>附表C-13：清标报告-单位工程投标报价分析记录表</w:t>
      </w:r>
      <w:bookmarkEnd w:id="454"/>
    </w:p>
    <w:p w14:paraId="6C153A9A">
      <w:pPr>
        <w:rPr>
          <w:rFonts w:hint="eastAsia" w:ascii="黑体" w:eastAsia="黑体"/>
          <w:szCs w:val="21"/>
        </w:rPr>
      </w:pPr>
    </w:p>
    <w:p w14:paraId="4AD75D2D">
      <w:pPr>
        <w:spacing w:before="156" w:beforeLines="50" w:after="156" w:afterLines="50"/>
        <w:jc w:val="center"/>
        <w:rPr>
          <w:rFonts w:hint="eastAsia" w:ascii="黑体" w:eastAsia="黑体"/>
          <w:sz w:val="32"/>
          <w:szCs w:val="32"/>
        </w:rPr>
      </w:pPr>
    </w:p>
    <w:p w14:paraId="058E6C0D">
      <w:pPr>
        <w:spacing w:before="156" w:beforeLines="50" w:after="156" w:afterLines="50"/>
        <w:jc w:val="center"/>
        <w:rPr>
          <w:rFonts w:hint="eastAsia" w:ascii="黑体" w:eastAsia="黑体"/>
          <w:sz w:val="32"/>
          <w:szCs w:val="32"/>
        </w:rPr>
      </w:pPr>
      <w:r>
        <w:rPr>
          <w:rFonts w:hint="eastAsia" w:ascii="黑体" w:eastAsia="黑体"/>
          <w:sz w:val="32"/>
          <w:szCs w:val="32"/>
        </w:rPr>
        <w:t>清标报告-单位工程投标报价分析记录表</w:t>
      </w:r>
    </w:p>
    <w:p w14:paraId="23DC2EBC">
      <w:pPr>
        <w:spacing w:before="156" w:beforeLines="50" w:after="156" w:afterLines="50"/>
        <w:jc w:val="center"/>
        <w:rPr>
          <w:rFonts w:hint="eastAsia" w:ascii="黑体" w:eastAsia="黑体"/>
          <w:sz w:val="32"/>
          <w:szCs w:val="32"/>
        </w:rPr>
      </w:pPr>
    </w:p>
    <w:p w14:paraId="1704399F">
      <w:pPr>
        <w:rPr>
          <w:rFonts w:hint="eastAsia" w:ascii="宋体" w:hAnsi="宋体"/>
          <w:szCs w:val="21"/>
        </w:rPr>
      </w:pPr>
      <w:r>
        <w:rPr>
          <w:rFonts w:hint="eastAsia" w:ascii="宋体" w:hAnsi="宋体"/>
          <w:szCs w:val="21"/>
        </w:rPr>
        <w:t>投标人名称：</w:t>
      </w:r>
    </w:p>
    <w:p w14:paraId="59634F9C">
      <w:pPr>
        <w:rPr>
          <w:rFonts w:hint="eastAsia" w:ascii="宋体" w:hAnsi="宋体"/>
          <w:szCs w:val="21"/>
        </w:rPr>
      </w:pPr>
    </w:p>
    <w:tbl>
      <w:tblPr>
        <w:tblStyle w:val="15"/>
        <w:tblW w:w="911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3833"/>
        <w:gridCol w:w="1324"/>
        <w:gridCol w:w="1351"/>
        <w:gridCol w:w="1351"/>
        <w:gridCol w:w="1259"/>
      </w:tblGrid>
      <w:tr w14:paraId="01F3F1A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5DEE854B">
            <w:pPr>
              <w:jc w:val="center"/>
              <w:rPr>
                <w:rFonts w:hint="eastAsia"/>
                <w:sz w:val="20"/>
                <w:szCs w:val="20"/>
              </w:rPr>
            </w:pPr>
            <w:r>
              <w:rPr>
                <w:rFonts w:hint="eastAsia"/>
                <w:sz w:val="20"/>
                <w:szCs w:val="20"/>
              </w:rPr>
              <w:t>建设项目名称</w:t>
            </w:r>
          </w:p>
        </w:tc>
        <w:tc>
          <w:tcPr>
            <w:tcW w:w="5285" w:type="dxa"/>
            <w:gridSpan w:val="4"/>
            <w:tcBorders>
              <w:left w:val="single" w:color="auto" w:sz="6" w:space="0"/>
            </w:tcBorders>
            <w:noWrap w:val="0"/>
            <w:vAlign w:val="center"/>
          </w:tcPr>
          <w:p w14:paraId="20BC1EA2">
            <w:pPr>
              <w:jc w:val="center"/>
              <w:rPr>
                <w:rFonts w:hint="eastAsia"/>
                <w:sz w:val="20"/>
                <w:szCs w:val="20"/>
              </w:rPr>
            </w:pPr>
          </w:p>
        </w:tc>
      </w:tr>
      <w:tr w14:paraId="6737769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615B4E9C">
            <w:pPr>
              <w:jc w:val="center"/>
              <w:rPr>
                <w:rFonts w:hint="eastAsia"/>
                <w:sz w:val="20"/>
                <w:szCs w:val="20"/>
              </w:rPr>
            </w:pPr>
            <w:r>
              <w:rPr>
                <w:rFonts w:hint="eastAsia"/>
                <w:sz w:val="20"/>
                <w:szCs w:val="20"/>
              </w:rPr>
              <w:t>单位工程名称</w:t>
            </w:r>
          </w:p>
        </w:tc>
        <w:tc>
          <w:tcPr>
            <w:tcW w:w="1324" w:type="dxa"/>
            <w:tcBorders>
              <w:left w:val="single" w:color="auto" w:sz="6" w:space="0"/>
              <w:right w:val="single" w:color="auto" w:sz="6" w:space="0"/>
            </w:tcBorders>
            <w:noWrap w:val="0"/>
            <w:vAlign w:val="center"/>
          </w:tcPr>
          <w:p w14:paraId="38934B7E">
            <w:pPr>
              <w:jc w:val="center"/>
              <w:rPr>
                <w:rFonts w:hint="eastAsia"/>
                <w:sz w:val="20"/>
                <w:szCs w:val="20"/>
              </w:rPr>
            </w:pPr>
            <w:r>
              <w:rPr>
                <w:rFonts w:hint="eastAsia"/>
                <w:sz w:val="20"/>
                <w:szCs w:val="20"/>
              </w:rPr>
              <w:t>投标合计</w:t>
            </w:r>
          </w:p>
          <w:p w14:paraId="7986DD76">
            <w:pPr>
              <w:jc w:val="center"/>
              <w:rPr>
                <w:rFonts w:hint="eastAsia"/>
                <w:sz w:val="20"/>
                <w:szCs w:val="20"/>
              </w:rPr>
            </w:pPr>
            <w:r>
              <w:rPr>
                <w:rFonts w:hint="eastAsia"/>
                <w:sz w:val="20"/>
                <w:szCs w:val="20"/>
              </w:rPr>
              <w:t>金额</w:t>
            </w:r>
          </w:p>
        </w:tc>
        <w:tc>
          <w:tcPr>
            <w:tcW w:w="1351" w:type="dxa"/>
            <w:tcBorders>
              <w:left w:val="single" w:color="auto" w:sz="6" w:space="0"/>
            </w:tcBorders>
            <w:noWrap w:val="0"/>
            <w:vAlign w:val="center"/>
          </w:tcPr>
          <w:p w14:paraId="6A06EA94">
            <w:pPr>
              <w:jc w:val="center"/>
              <w:rPr>
                <w:rFonts w:hint="eastAsia"/>
                <w:sz w:val="20"/>
                <w:szCs w:val="20"/>
              </w:rPr>
            </w:pPr>
            <w:r>
              <w:rPr>
                <w:rFonts w:hint="eastAsia"/>
                <w:sz w:val="20"/>
                <w:szCs w:val="20"/>
              </w:rPr>
              <w:t>招标控制价的合计金额</w:t>
            </w:r>
          </w:p>
        </w:tc>
        <w:tc>
          <w:tcPr>
            <w:tcW w:w="1351" w:type="dxa"/>
            <w:tcBorders>
              <w:right w:val="single" w:color="auto" w:sz="6" w:space="0"/>
            </w:tcBorders>
            <w:noWrap w:val="0"/>
            <w:vAlign w:val="center"/>
          </w:tcPr>
          <w:p w14:paraId="65A19B73">
            <w:pPr>
              <w:jc w:val="center"/>
              <w:rPr>
                <w:rFonts w:hint="eastAsia"/>
                <w:szCs w:val="21"/>
              </w:rPr>
            </w:pPr>
            <w:r>
              <w:rPr>
                <w:rFonts w:hint="eastAsia"/>
                <w:sz w:val="20"/>
                <w:szCs w:val="20"/>
              </w:rPr>
              <w:t>偏离幅度</w:t>
            </w:r>
          </w:p>
        </w:tc>
        <w:tc>
          <w:tcPr>
            <w:tcW w:w="1259" w:type="dxa"/>
            <w:tcBorders>
              <w:left w:val="single" w:color="auto" w:sz="6" w:space="0"/>
            </w:tcBorders>
            <w:noWrap w:val="0"/>
            <w:vAlign w:val="center"/>
          </w:tcPr>
          <w:p w14:paraId="5D13199C">
            <w:pPr>
              <w:jc w:val="center"/>
              <w:rPr>
                <w:rFonts w:hint="eastAsia"/>
                <w:szCs w:val="21"/>
              </w:rPr>
            </w:pPr>
            <w:r>
              <w:rPr>
                <w:rFonts w:hint="eastAsia"/>
                <w:sz w:val="20"/>
                <w:szCs w:val="20"/>
              </w:rPr>
              <w:t>备注</w:t>
            </w:r>
          </w:p>
        </w:tc>
      </w:tr>
      <w:tr w14:paraId="32130C8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3CD2EFA8">
            <w:pPr>
              <w:jc w:val="center"/>
              <w:rPr>
                <w:rFonts w:hint="eastAsia"/>
                <w:sz w:val="20"/>
                <w:szCs w:val="20"/>
              </w:rPr>
            </w:pPr>
          </w:p>
        </w:tc>
        <w:tc>
          <w:tcPr>
            <w:tcW w:w="1324" w:type="dxa"/>
            <w:tcBorders>
              <w:left w:val="single" w:color="auto" w:sz="6" w:space="0"/>
              <w:right w:val="single" w:color="auto" w:sz="6" w:space="0"/>
            </w:tcBorders>
            <w:noWrap w:val="0"/>
            <w:vAlign w:val="center"/>
          </w:tcPr>
          <w:p w14:paraId="2CA06D92">
            <w:pPr>
              <w:jc w:val="center"/>
              <w:rPr>
                <w:rFonts w:hint="eastAsia"/>
                <w:sz w:val="20"/>
                <w:szCs w:val="20"/>
              </w:rPr>
            </w:pPr>
          </w:p>
        </w:tc>
        <w:tc>
          <w:tcPr>
            <w:tcW w:w="1351" w:type="dxa"/>
            <w:tcBorders>
              <w:left w:val="single" w:color="auto" w:sz="6" w:space="0"/>
            </w:tcBorders>
            <w:noWrap w:val="0"/>
            <w:vAlign w:val="center"/>
          </w:tcPr>
          <w:p w14:paraId="6A406AE7">
            <w:pPr>
              <w:jc w:val="center"/>
              <w:rPr>
                <w:rFonts w:hint="eastAsia"/>
                <w:sz w:val="20"/>
                <w:szCs w:val="20"/>
              </w:rPr>
            </w:pPr>
          </w:p>
        </w:tc>
        <w:tc>
          <w:tcPr>
            <w:tcW w:w="1351" w:type="dxa"/>
            <w:tcBorders>
              <w:right w:val="single" w:color="auto" w:sz="6" w:space="0"/>
            </w:tcBorders>
            <w:noWrap w:val="0"/>
            <w:vAlign w:val="center"/>
          </w:tcPr>
          <w:p w14:paraId="5FF5DAA5">
            <w:pPr>
              <w:jc w:val="center"/>
              <w:rPr>
                <w:rFonts w:hint="eastAsia"/>
                <w:szCs w:val="21"/>
              </w:rPr>
            </w:pPr>
          </w:p>
        </w:tc>
        <w:tc>
          <w:tcPr>
            <w:tcW w:w="1259" w:type="dxa"/>
            <w:tcBorders>
              <w:left w:val="single" w:color="auto" w:sz="6" w:space="0"/>
            </w:tcBorders>
            <w:noWrap w:val="0"/>
            <w:vAlign w:val="center"/>
          </w:tcPr>
          <w:p w14:paraId="67D4E31F">
            <w:pPr>
              <w:jc w:val="center"/>
              <w:rPr>
                <w:rFonts w:hint="eastAsia"/>
                <w:szCs w:val="21"/>
              </w:rPr>
            </w:pPr>
          </w:p>
        </w:tc>
      </w:tr>
      <w:tr w14:paraId="0E031B0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216103AB">
            <w:pPr>
              <w:jc w:val="center"/>
              <w:rPr>
                <w:rFonts w:hint="eastAsia"/>
                <w:sz w:val="20"/>
                <w:szCs w:val="20"/>
              </w:rPr>
            </w:pPr>
          </w:p>
        </w:tc>
        <w:tc>
          <w:tcPr>
            <w:tcW w:w="1324" w:type="dxa"/>
            <w:tcBorders>
              <w:left w:val="single" w:color="auto" w:sz="6" w:space="0"/>
              <w:right w:val="single" w:color="auto" w:sz="6" w:space="0"/>
            </w:tcBorders>
            <w:noWrap w:val="0"/>
            <w:vAlign w:val="center"/>
          </w:tcPr>
          <w:p w14:paraId="0704886C">
            <w:pPr>
              <w:jc w:val="center"/>
              <w:rPr>
                <w:rFonts w:hint="eastAsia"/>
                <w:sz w:val="20"/>
                <w:szCs w:val="20"/>
              </w:rPr>
            </w:pPr>
          </w:p>
        </w:tc>
        <w:tc>
          <w:tcPr>
            <w:tcW w:w="1351" w:type="dxa"/>
            <w:tcBorders>
              <w:left w:val="single" w:color="auto" w:sz="6" w:space="0"/>
            </w:tcBorders>
            <w:noWrap w:val="0"/>
            <w:vAlign w:val="center"/>
          </w:tcPr>
          <w:p w14:paraId="05FDC634">
            <w:pPr>
              <w:jc w:val="center"/>
              <w:rPr>
                <w:rFonts w:hint="eastAsia"/>
                <w:sz w:val="20"/>
                <w:szCs w:val="20"/>
              </w:rPr>
            </w:pPr>
          </w:p>
        </w:tc>
        <w:tc>
          <w:tcPr>
            <w:tcW w:w="1351" w:type="dxa"/>
            <w:tcBorders>
              <w:right w:val="single" w:color="auto" w:sz="6" w:space="0"/>
            </w:tcBorders>
            <w:noWrap w:val="0"/>
            <w:vAlign w:val="center"/>
          </w:tcPr>
          <w:p w14:paraId="65916DF4">
            <w:pPr>
              <w:jc w:val="center"/>
              <w:rPr>
                <w:rFonts w:hint="eastAsia"/>
                <w:szCs w:val="21"/>
              </w:rPr>
            </w:pPr>
          </w:p>
        </w:tc>
        <w:tc>
          <w:tcPr>
            <w:tcW w:w="1259" w:type="dxa"/>
            <w:tcBorders>
              <w:left w:val="single" w:color="auto" w:sz="6" w:space="0"/>
            </w:tcBorders>
            <w:noWrap w:val="0"/>
            <w:vAlign w:val="center"/>
          </w:tcPr>
          <w:p w14:paraId="604BCB23">
            <w:pPr>
              <w:jc w:val="center"/>
              <w:rPr>
                <w:rFonts w:hint="eastAsia"/>
                <w:szCs w:val="21"/>
              </w:rPr>
            </w:pPr>
          </w:p>
        </w:tc>
      </w:tr>
      <w:tr w14:paraId="466B2A1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555CB0DB">
            <w:pPr>
              <w:jc w:val="center"/>
              <w:rPr>
                <w:rFonts w:hint="eastAsia"/>
                <w:sz w:val="20"/>
                <w:szCs w:val="20"/>
              </w:rPr>
            </w:pPr>
          </w:p>
        </w:tc>
        <w:tc>
          <w:tcPr>
            <w:tcW w:w="1324" w:type="dxa"/>
            <w:tcBorders>
              <w:left w:val="single" w:color="auto" w:sz="6" w:space="0"/>
              <w:right w:val="single" w:color="auto" w:sz="6" w:space="0"/>
            </w:tcBorders>
            <w:noWrap w:val="0"/>
            <w:vAlign w:val="center"/>
          </w:tcPr>
          <w:p w14:paraId="67169754">
            <w:pPr>
              <w:jc w:val="center"/>
              <w:rPr>
                <w:rFonts w:hint="eastAsia"/>
                <w:sz w:val="20"/>
                <w:szCs w:val="20"/>
              </w:rPr>
            </w:pPr>
          </w:p>
        </w:tc>
        <w:tc>
          <w:tcPr>
            <w:tcW w:w="1351" w:type="dxa"/>
            <w:tcBorders>
              <w:left w:val="single" w:color="auto" w:sz="6" w:space="0"/>
            </w:tcBorders>
            <w:noWrap w:val="0"/>
            <w:vAlign w:val="center"/>
          </w:tcPr>
          <w:p w14:paraId="0ED7C5F0">
            <w:pPr>
              <w:jc w:val="center"/>
              <w:rPr>
                <w:rFonts w:hint="eastAsia"/>
                <w:sz w:val="20"/>
                <w:szCs w:val="20"/>
              </w:rPr>
            </w:pPr>
          </w:p>
        </w:tc>
        <w:tc>
          <w:tcPr>
            <w:tcW w:w="1351" w:type="dxa"/>
            <w:tcBorders>
              <w:right w:val="single" w:color="auto" w:sz="6" w:space="0"/>
            </w:tcBorders>
            <w:noWrap w:val="0"/>
            <w:vAlign w:val="center"/>
          </w:tcPr>
          <w:p w14:paraId="3E183061">
            <w:pPr>
              <w:jc w:val="center"/>
              <w:rPr>
                <w:rFonts w:hint="eastAsia"/>
                <w:szCs w:val="21"/>
              </w:rPr>
            </w:pPr>
          </w:p>
        </w:tc>
        <w:tc>
          <w:tcPr>
            <w:tcW w:w="1259" w:type="dxa"/>
            <w:tcBorders>
              <w:left w:val="single" w:color="auto" w:sz="6" w:space="0"/>
            </w:tcBorders>
            <w:noWrap w:val="0"/>
            <w:vAlign w:val="center"/>
          </w:tcPr>
          <w:p w14:paraId="302E554F">
            <w:pPr>
              <w:jc w:val="center"/>
              <w:rPr>
                <w:rFonts w:hint="eastAsia"/>
                <w:szCs w:val="21"/>
              </w:rPr>
            </w:pPr>
          </w:p>
        </w:tc>
      </w:tr>
      <w:tr w14:paraId="49C362D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7EBCC010">
            <w:pPr>
              <w:jc w:val="center"/>
              <w:rPr>
                <w:rFonts w:hint="eastAsia"/>
                <w:sz w:val="20"/>
                <w:szCs w:val="20"/>
              </w:rPr>
            </w:pPr>
          </w:p>
        </w:tc>
        <w:tc>
          <w:tcPr>
            <w:tcW w:w="1324" w:type="dxa"/>
            <w:tcBorders>
              <w:left w:val="single" w:color="auto" w:sz="6" w:space="0"/>
              <w:right w:val="single" w:color="auto" w:sz="6" w:space="0"/>
            </w:tcBorders>
            <w:noWrap w:val="0"/>
            <w:vAlign w:val="center"/>
          </w:tcPr>
          <w:p w14:paraId="34DECA00">
            <w:pPr>
              <w:jc w:val="center"/>
              <w:rPr>
                <w:rFonts w:hint="eastAsia"/>
                <w:sz w:val="20"/>
                <w:szCs w:val="20"/>
              </w:rPr>
            </w:pPr>
          </w:p>
        </w:tc>
        <w:tc>
          <w:tcPr>
            <w:tcW w:w="1351" w:type="dxa"/>
            <w:tcBorders>
              <w:left w:val="single" w:color="auto" w:sz="6" w:space="0"/>
            </w:tcBorders>
            <w:noWrap w:val="0"/>
            <w:vAlign w:val="center"/>
          </w:tcPr>
          <w:p w14:paraId="02B34493">
            <w:pPr>
              <w:jc w:val="center"/>
              <w:rPr>
                <w:rFonts w:hint="eastAsia"/>
                <w:sz w:val="20"/>
                <w:szCs w:val="20"/>
              </w:rPr>
            </w:pPr>
          </w:p>
        </w:tc>
        <w:tc>
          <w:tcPr>
            <w:tcW w:w="1351" w:type="dxa"/>
            <w:tcBorders>
              <w:right w:val="single" w:color="auto" w:sz="6" w:space="0"/>
            </w:tcBorders>
            <w:noWrap w:val="0"/>
            <w:vAlign w:val="center"/>
          </w:tcPr>
          <w:p w14:paraId="304E1442">
            <w:pPr>
              <w:jc w:val="center"/>
              <w:rPr>
                <w:rFonts w:hint="eastAsia"/>
                <w:szCs w:val="21"/>
              </w:rPr>
            </w:pPr>
          </w:p>
        </w:tc>
        <w:tc>
          <w:tcPr>
            <w:tcW w:w="1259" w:type="dxa"/>
            <w:tcBorders>
              <w:left w:val="single" w:color="auto" w:sz="6" w:space="0"/>
            </w:tcBorders>
            <w:noWrap w:val="0"/>
            <w:vAlign w:val="center"/>
          </w:tcPr>
          <w:p w14:paraId="20B5DDE7">
            <w:pPr>
              <w:jc w:val="center"/>
              <w:rPr>
                <w:rFonts w:hint="eastAsia"/>
                <w:szCs w:val="21"/>
              </w:rPr>
            </w:pPr>
          </w:p>
        </w:tc>
      </w:tr>
      <w:tr w14:paraId="53A0F5E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5C4BB0FA">
            <w:pPr>
              <w:jc w:val="center"/>
              <w:rPr>
                <w:rFonts w:hint="eastAsia"/>
                <w:sz w:val="20"/>
                <w:szCs w:val="20"/>
              </w:rPr>
            </w:pPr>
          </w:p>
        </w:tc>
        <w:tc>
          <w:tcPr>
            <w:tcW w:w="1324" w:type="dxa"/>
            <w:tcBorders>
              <w:left w:val="single" w:color="auto" w:sz="6" w:space="0"/>
              <w:right w:val="single" w:color="auto" w:sz="6" w:space="0"/>
            </w:tcBorders>
            <w:noWrap w:val="0"/>
            <w:vAlign w:val="center"/>
          </w:tcPr>
          <w:p w14:paraId="13E60358">
            <w:pPr>
              <w:jc w:val="center"/>
              <w:rPr>
                <w:rFonts w:hint="eastAsia"/>
                <w:sz w:val="20"/>
                <w:szCs w:val="20"/>
              </w:rPr>
            </w:pPr>
          </w:p>
        </w:tc>
        <w:tc>
          <w:tcPr>
            <w:tcW w:w="1351" w:type="dxa"/>
            <w:tcBorders>
              <w:left w:val="single" w:color="auto" w:sz="6" w:space="0"/>
            </w:tcBorders>
            <w:noWrap w:val="0"/>
            <w:vAlign w:val="center"/>
          </w:tcPr>
          <w:p w14:paraId="79DE5422">
            <w:pPr>
              <w:jc w:val="center"/>
              <w:rPr>
                <w:rFonts w:hint="eastAsia"/>
                <w:sz w:val="20"/>
                <w:szCs w:val="20"/>
              </w:rPr>
            </w:pPr>
          </w:p>
        </w:tc>
        <w:tc>
          <w:tcPr>
            <w:tcW w:w="1351" w:type="dxa"/>
            <w:tcBorders>
              <w:right w:val="single" w:color="auto" w:sz="6" w:space="0"/>
            </w:tcBorders>
            <w:noWrap w:val="0"/>
            <w:vAlign w:val="center"/>
          </w:tcPr>
          <w:p w14:paraId="03E62477">
            <w:pPr>
              <w:jc w:val="center"/>
              <w:rPr>
                <w:rFonts w:hint="eastAsia"/>
                <w:szCs w:val="21"/>
              </w:rPr>
            </w:pPr>
          </w:p>
        </w:tc>
        <w:tc>
          <w:tcPr>
            <w:tcW w:w="1259" w:type="dxa"/>
            <w:tcBorders>
              <w:left w:val="single" w:color="auto" w:sz="6" w:space="0"/>
            </w:tcBorders>
            <w:noWrap w:val="0"/>
            <w:vAlign w:val="center"/>
          </w:tcPr>
          <w:p w14:paraId="30C68241">
            <w:pPr>
              <w:jc w:val="center"/>
              <w:rPr>
                <w:rFonts w:hint="eastAsia"/>
                <w:szCs w:val="21"/>
              </w:rPr>
            </w:pPr>
          </w:p>
        </w:tc>
      </w:tr>
      <w:tr w14:paraId="7B04BB5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33" w:type="dxa"/>
            <w:noWrap w:val="0"/>
            <w:vAlign w:val="center"/>
          </w:tcPr>
          <w:p w14:paraId="6E2F3257">
            <w:pPr>
              <w:jc w:val="center"/>
              <w:rPr>
                <w:rFonts w:hint="eastAsia"/>
                <w:sz w:val="20"/>
                <w:szCs w:val="20"/>
              </w:rPr>
            </w:pPr>
          </w:p>
        </w:tc>
        <w:tc>
          <w:tcPr>
            <w:tcW w:w="1324" w:type="dxa"/>
            <w:tcBorders>
              <w:left w:val="single" w:color="auto" w:sz="6" w:space="0"/>
              <w:right w:val="single" w:color="auto" w:sz="6" w:space="0"/>
            </w:tcBorders>
            <w:noWrap w:val="0"/>
            <w:vAlign w:val="center"/>
          </w:tcPr>
          <w:p w14:paraId="0EF0DB26">
            <w:pPr>
              <w:jc w:val="center"/>
              <w:rPr>
                <w:rFonts w:hint="eastAsia"/>
                <w:sz w:val="20"/>
                <w:szCs w:val="20"/>
              </w:rPr>
            </w:pPr>
          </w:p>
        </w:tc>
        <w:tc>
          <w:tcPr>
            <w:tcW w:w="1351" w:type="dxa"/>
            <w:tcBorders>
              <w:left w:val="single" w:color="auto" w:sz="6" w:space="0"/>
            </w:tcBorders>
            <w:noWrap w:val="0"/>
            <w:vAlign w:val="center"/>
          </w:tcPr>
          <w:p w14:paraId="798CDD58">
            <w:pPr>
              <w:jc w:val="center"/>
              <w:rPr>
                <w:rFonts w:hint="eastAsia"/>
                <w:sz w:val="20"/>
                <w:szCs w:val="20"/>
              </w:rPr>
            </w:pPr>
          </w:p>
        </w:tc>
        <w:tc>
          <w:tcPr>
            <w:tcW w:w="1351" w:type="dxa"/>
            <w:tcBorders>
              <w:right w:val="single" w:color="auto" w:sz="6" w:space="0"/>
            </w:tcBorders>
            <w:noWrap w:val="0"/>
            <w:vAlign w:val="center"/>
          </w:tcPr>
          <w:p w14:paraId="2376627C">
            <w:pPr>
              <w:jc w:val="center"/>
              <w:rPr>
                <w:rFonts w:hint="eastAsia"/>
                <w:szCs w:val="21"/>
              </w:rPr>
            </w:pPr>
          </w:p>
        </w:tc>
        <w:tc>
          <w:tcPr>
            <w:tcW w:w="1259" w:type="dxa"/>
            <w:tcBorders>
              <w:left w:val="single" w:color="auto" w:sz="6" w:space="0"/>
            </w:tcBorders>
            <w:noWrap w:val="0"/>
            <w:vAlign w:val="center"/>
          </w:tcPr>
          <w:p w14:paraId="6E2827DD">
            <w:pPr>
              <w:jc w:val="center"/>
              <w:rPr>
                <w:rFonts w:hint="eastAsia"/>
                <w:szCs w:val="21"/>
              </w:rPr>
            </w:pPr>
          </w:p>
        </w:tc>
      </w:tr>
    </w:tbl>
    <w:p w14:paraId="33B927CF">
      <w:pPr>
        <w:rPr>
          <w:rFonts w:hint="eastAsia" w:ascii="宋体" w:hAnsi="宋体"/>
          <w:szCs w:val="21"/>
        </w:rPr>
      </w:pPr>
    </w:p>
    <w:p w14:paraId="6F70242C">
      <w:pPr>
        <w:spacing w:line="420" w:lineRule="exact"/>
        <w:jc w:val="center"/>
        <w:rPr>
          <w:rFonts w:hint="eastAsia"/>
          <w:b/>
          <w:sz w:val="20"/>
          <w:szCs w:val="20"/>
        </w:rPr>
      </w:pPr>
      <w:r>
        <w:rPr>
          <w:rFonts w:hint="eastAsia" w:ascii="宋体" w:hAnsi="宋体"/>
          <w:szCs w:val="21"/>
        </w:rPr>
        <w:t>评标委员会成员签名：                                 日期：     年     月     日</w:t>
      </w:r>
    </w:p>
    <w:p w14:paraId="0F7EA008">
      <w:pPr>
        <w:spacing w:line="420" w:lineRule="exact"/>
        <w:jc w:val="center"/>
        <w:rPr>
          <w:rFonts w:hint="eastAsia"/>
          <w:b/>
          <w:sz w:val="20"/>
          <w:szCs w:val="20"/>
        </w:rPr>
      </w:pPr>
    </w:p>
    <w:p w14:paraId="3EA129D7">
      <w:pPr>
        <w:spacing w:line="420" w:lineRule="exact"/>
        <w:jc w:val="center"/>
        <w:rPr>
          <w:rFonts w:hint="eastAsia"/>
          <w:b/>
          <w:sz w:val="20"/>
          <w:szCs w:val="20"/>
        </w:rPr>
      </w:pPr>
    </w:p>
    <w:p w14:paraId="24A380C9">
      <w:pPr>
        <w:spacing w:line="420" w:lineRule="exact"/>
        <w:jc w:val="center"/>
        <w:rPr>
          <w:rFonts w:hint="eastAsia"/>
          <w:b/>
          <w:sz w:val="20"/>
          <w:szCs w:val="20"/>
        </w:rPr>
      </w:pPr>
    </w:p>
    <w:p w14:paraId="47A00C0C">
      <w:pPr>
        <w:spacing w:line="420" w:lineRule="exact"/>
        <w:jc w:val="center"/>
        <w:rPr>
          <w:rFonts w:hint="eastAsia"/>
          <w:b/>
          <w:sz w:val="20"/>
          <w:szCs w:val="20"/>
        </w:rPr>
      </w:pPr>
    </w:p>
    <w:p w14:paraId="71526E30">
      <w:pPr>
        <w:spacing w:line="420" w:lineRule="exact"/>
        <w:jc w:val="center"/>
        <w:rPr>
          <w:rFonts w:hint="eastAsia"/>
          <w:b/>
          <w:sz w:val="20"/>
          <w:szCs w:val="20"/>
        </w:rPr>
      </w:pPr>
    </w:p>
    <w:p w14:paraId="09F68A17">
      <w:pPr>
        <w:spacing w:line="420" w:lineRule="exact"/>
        <w:jc w:val="center"/>
        <w:rPr>
          <w:rFonts w:hint="eastAsia"/>
          <w:b/>
          <w:sz w:val="20"/>
          <w:szCs w:val="20"/>
        </w:rPr>
      </w:pPr>
    </w:p>
    <w:p w14:paraId="59C9B4D5">
      <w:pPr>
        <w:spacing w:line="420" w:lineRule="exact"/>
        <w:jc w:val="center"/>
        <w:rPr>
          <w:rFonts w:hint="eastAsia"/>
          <w:b/>
          <w:sz w:val="20"/>
          <w:szCs w:val="20"/>
        </w:rPr>
      </w:pPr>
    </w:p>
    <w:p w14:paraId="632EB181">
      <w:pPr>
        <w:spacing w:line="420" w:lineRule="exact"/>
        <w:jc w:val="center"/>
        <w:rPr>
          <w:rFonts w:hint="eastAsia"/>
          <w:b/>
          <w:sz w:val="20"/>
          <w:szCs w:val="20"/>
        </w:rPr>
      </w:pPr>
    </w:p>
    <w:p w14:paraId="137D0FB3">
      <w:pPr>
        <w:spacing w:line="420" w:lineRule="exact"/>
        <w:jc w:val="center"/>
        <w:rPr>
          <w:rFonts w:hint="eastAsia"/>
          <w:b/>
          <w:sz w:val="20"/>
          <w:szCs w:val="20"/>
        </w:rPr>
      </w:pPr>
    </w:p>
    <w:p w14:paraId="2307674C">
      <w:pPr>
        <w:spacing w:line="420" w:lineRule="exact"/>
        <w:jc w:val="center"/>
        <w:rPr>
          <w:rFonts w:hint="eastAsia"/>
          <w:b/>
          <w:sz w:val="20"/>
          <w:szCs w:val="20"/>
        </w:rPr>
      </w:pPr>
    </w:p>
    <w:p w14:paraId="32EDEB2F">
      <w:pPr>
        <w:spacing w:line="420" w:lineRule="exact"/>
        <w:jc w:val="center"/>
        <w:rPr>
          <w:rFonts w:hint="eastAsia" w:ascii="楷体_GB2312" w:eastAsia="楷体_GB2312"/>
        </w:rPr>
      </w:pPr>
    </w:p>
    <w:p w14:paraId="59411700">
      <w:pPr>
        <w:spacing w:line="420" w:lineRule="exact"/>
        <w:jc w:val="center"/>
        <w:rPr>
          <w:rFonts w:hint="eastAsia" w:ascii="楷体_GB2312" w:eastAsia="楷体_GB2312"/>
        </w:rPr>
      </w:pPr>
    </w:p>
    <w:p w14:paraId="2A103B45">
      <w:pPr>
        <w:spacing w:line="420" w:lineRule="exact"/>
        <w:jc w:val="center"/>
        <w:rPr>
          <w:rFonts w:hint="eastAsia" w:ascii="楷体_GB2312" w:eastAsia="楷体_GB2312"/>
        </w:rPr>
      </w:pPr>
    </w:p>
    <w:p w14:paraId="60038984">
      <w:pPr>
        <w:spacing w:line="420" w:lineRule="exact"/>
        <w:jc w:val="center"/>
        <w:rPr>
          <w:rFonts w:hint="eastAsia" w:ascii="楷体_GB2312" w:eastAsia="楷体_GB2312"/>
        </w:rPr>
      </w:pPr>
    </w:p>
    <w:p w14:paraId="6DAD1F0B">
      <w:pPr>
        <w:spacing w:line="420" w:lineRule="exact"/>
        <w:jc w:val="center"/>
        <w:rPr>
          <w:rFonts w:hint="eastAsia" w:ascii="楷体_GB2312" w:eastAsia="楷体_GB2312"/>
        </w:rPr>
      </w:pPr>
    </w:p>
    <w:p w14:paraId="3CFDC2E7">
      <w:pPr>
        <w:spacing w:line="420" w:lineRule="exact"/>
        <w:jc w:val="center"/>
        <w:rPr>
          <w:rFonts w:hint="eastAsia" w:ascii="楷体_GB2312" w:eastAsia="楷体_GB2312"/>
        </w:rPr>
      </w:pPr>
    </w:p>
    <w:p w14:paraId="0518D974">
      <w:pPr>
        <w:spacing w:line="420" w:lineRule="exact"/>
        <w:jc w:val="center"/>
        <w:rPr>
          <w:rFonts w:hint="eastAsia" w:ascii="楷体_GB2312" w:eastAsia="楷体_GB2312"/>
        </w:rPr>
      </w:pPr>
    </w:p>
    <w:p w14:paraId="4631F1F8">
      <w:pPr>
        <w:pStyle w:val="2"/>
        <w:spacing w:before="120" w:after="120" w:line="400" w:lineRule="exact"/>
        <w:jc w:val="center"/>
        <w:rPr>
          <w:rFonts w:hint="eastAsia" w:ascii="黑体" w:hAnsi="黑体" w:eastAsia="黑体"/>
          <w:b w:val="0"/>
          <w:bCs w:val="0"/>
          <w:sz w:val="32"/>
        </w:rPr>
      </w:pPr>
      <w:bookmarkStart w:id="455" w:name="_Toc108513682"/>
      <w:r>
        <w:rPr>
          <w:rFonts w:hint="eastAsia" w:ascii="黑体" w:hAnsi="黑体" w:eastAsia="黑体"/>
          <w:b w:val="0"/>
          <w:bCs w:val="0"/>
          <w:sz w:val="32"/>
        </w:rPr>
        <w:t>第四章  合同条款及格式</w:t>
      </w:r>
      <w:bookmarkEnd w:id="455"/>
    </w:p>
    <w:p w14:paraId="0878AA08">
      <w:pPr>
        <w:jc w:val="center"/>
        <w:rPr>
          <w:rFonts w:hint="eastAsia" w:ascii="黑体" w:eastAsia="黑体"/>
          <w:sz w:val="30"/>
          <w:szCs w:val="30"/>
        </w:rPr>
      </w:pPr>
    </w:p>
    <w:p w14:paraId="609F8CE9">
      <w:pPr>
        <w:jc w:val="center"/>
        <w:rPr>
          <w:rFonts w:hint="eastAsia" w:ascii="黑体" w:eastAsia="黑体"/>
          <w:sz w:val="30"/>
          <w:szCs w:val="30"/>
        </w:rPr>
      </w:pPr>
    </w:p>
    <w:p w14:paraId="61E769B6">
      <w:pPr>
        <w:jc w:val="center"/>
        <w:rPr>
          <w:rFonts w:hint="eastAsia" w:ascii="黑体" w:eastAsia="黑体"/>
          <w:sz w:val="30"/>
          <w:szCs w:val="30"/>
        </w:rPr>
      </w:pPr>
    </w:p>
    <w:p w14:paraId="6770EA96">
      <w:pPr>
        <w:jc w:val="center"/>
        <w:rPr>
          <w:rFonts w:hint="eastAsia" w:ascii="黑体" w:eastAsia="黑体"/>
          <w:sz w:val="30"/>
          <w:szCs w:val="30"/>
        </w:rPr>
      </w:pPr>
    </w:p>
    <w:p w14:paraId="2C6070A4">
      <w:pPr>
        <w:jc w:val="center"/>
        <w:rPr>
          <w:rFonts w:hint="eastAsia" w:ascii="黑体" w:eastAsia="黑体"/>
          <w:sz w:val="30"/>
          <w:szCs w:val="30"/>
        </w:rPr>
      </w:pPr>
    </w:p>
    <w:p w14:paraId="432BBA9E">
      <w:pPr>
        <w:jc w:val="center"/>
        <w:rPr>
          <w:rFonts w:hint="eastAsia" w:ascii="黑体" w:eastAsia="黑体"/>
          <w:sz w:val="30"/>
          <w:szCs w:val="30"/>
        </w:rPr>
      </w:pPr>
    </w:p>
    <w:p w14:paraId="789022FF">
      <w:pPr>
        <w:jc w:val="center"/>
        <w:rPr>
          <w:rFonts w:hint="eastAsia" w:ascii="黑体" w:eastAsia="黑体"/>
          <w:sz w:val="30"/>
          <w:szCs w:val="30"/>
        </w:rPr>
      </w:pPr>
    </w:p>
    <w:p w14:paraId="1A67D765">
      <w:pPr>
        <w:jc w:val="center"/>
        <w:rPr>
          <w:rFonts w:hint="eastAsia" w:ascii="黑体" w:eastAsia="黑体"/>
          <w:sz w:val="30"/>
          <w:szCs w:val="30"/>
        </w:rPr>
      </w:pPr>
    </w:p>
    <w:p w14:paraId="5F9ADDA4">
      <w:pPr>
        <w:jc w:val="center"/>
        <w:rPr>
          <w:rFonts w:hint="eastAsia" w:ascii="黑体" w:eastAsia="黑体"/>
          <w:sz w:val="30"/>
          <w:szCs w:val="30"/>
        </w:rPr>
      </w:pPr>
    </w:p>
    <w:p w14:paraId="6ED3AE9E">
      <w:pPr>
        <w:jc w:val="center"/>
        <w:rPr>
          <w:rFonts w:hint="eastAsia" w:ascii="黑体" w:eastAsia="黑体"/>
          <w:sz w:val="30"/>
          <w:szCs w:val="30"/>
        </w:rPr>
      </w:pPr>
    </w:p>
    <w:p w14:paraId="6C022D48">
      <w:pPr>
        <w:jc w:val="center"/>
        <w:rPr>
          <w:rFonts w:hint="eastAsia" w:ascii="黑体" w:eastAsia="黑体"/>
          <w:sz w:val="30"/>
          <w:szCs w:val="30"/>
        </w:rPr>
      </w:pPr>
    </w:p>
    <w:p w14:paraId="4225B87F">
      <w:pPr>
        <w:spacing w:line="400" w:lineRule="exact"/>
        <w:rPr>
          <w:rFonts w:hint="eastAsia"/>
        </w:rPr>
      </w:pPr>
    </w:p>
    <w:p w14:paraId="5A7DFF46">
      <w:pPr>
        <w:spacing w:line="320" w:lineRule="exact"/>
        <w:ind w:left="945" w:hanging="945" w:hangingChars="450"/>
        <w:rPr>
          <w:rFonts w:hint="eastAsia"/>
        </w:rPr>
      </w:pPr>
      <w:r>
        <w:rPr>
          <w:rFonts w:hint="eastAsia"/>
        </w:rPr>
        <w:t>备注： 1. 本合同条款及格式采用自2010年6月9日住房和城乡建设部以建市[2010]88号文发布的2010年版《房屋建筑和市政工程标准施工招标文件》。</w:t>
      </w:r>
    </w:p>
    <w:p w14:paraId="7EA91F8E">
      <w:pPr>
        <w:spacing w:line="320" w:lineRule="exact"/>
        <w:ind w:left="945" w:leftChars="350" w:hanging="210" w:hangingChars="100"/>
      </w:pPr>
      <w:r>
        <w:rPr>
          <w:rFonts w:hint="eastAsia"/>
        </w:rPr>
        <w:t>2. 根据《省人民政府办公厅关于印发持续深化一流营商环境建设若干措施的通知》（鄂政办发〔2022〕2</w:t>
      </w:r>
      <w:r>
        <w:t xml:space="preserve"> </w:t>
      </w:r>
      <w:r>
        <w:rPr>
          <w:rFonts w:hint="eastAsia"/>
        </w:rPr>
        <w:t>号）的要求，预留工程质量保证金的，工程质量保证金预留比例不得高于</w:t>
      </w:r>
      <w:r>
        <w:t>工程价款结算总额的</w:t>
      </w:r>
      <w:r>
        <w:rPr>
          <w:rFonts w:hint="eastAsia"/>
        </w:rPr>
        <w:t>1.5</w:t>
      </w:r>
      <w:r>
        <w:t>%</w:t>
      </w:r>
      <w:r>
        <w:rPr>
          <w:rFonts w:hint="eastAsia"/>
        </w:rPr>
        <w:t>。</w:t>
      </w:r>
    </w:p>
    <w:p w14:paraId="012EC89E">
      <w:pPr>
        <w:spacing w:line="400" w:lineRule="exact"/>
        <w:ind w:left="945" w:hanging="945" w:hangingChars="450"/>
        <w:rPr>
          <w:rFonts w:hint="eastAsia"/>
        </w:rPr>
      </w:pPr>
    </w:p>
    <w:p w14:paraId="1AAD78CD">
      <w:pPr>
        <w:jc w:val="center"/>
        <w:rPr>
          <w:rFonts w:hint="eastAsia" w:ascii="黑体" w:eastAsia="黑体"/>
          <w:sz w:val="30"/>
          <w:szCs w:val="30"/>
        </w:rPr>
      </w:pPr>
      <w:r>
        <w:rPr>
          <w:rFonts w:hint="eastAsia" w:ascii="黑体" w:eastAsia="黑体"/>
          <w:sz w:val="30"/>
          <w:szCs w:val="30"/>
        </w:rPr>
        <w:br w:type="page"/>
      </w:r>
    </w:p>
    <w:p w14:paraId="02386ED1">
      <w:pPr>
        <w:jc w:val="center"/>
        <w:rPr>
          <w:rFonts w:hint="eastAsia" w:ascii="黑体" w:eastAsia="黑体"/>
          <w:sz w:val="30"/>
          <w:szCs w:val="30"/>
        </w:rPr>
      </w:pPr>
    </w:p>
    <w:p w14:paraId="118DA4CD">
      <w:pPr>
        <w:jc w:val="center"/>
        <w:rPr>
          <w:rFonts w:hint="eastAsia" w:ascii="黑体" w:eastAsia="黑体"/>
          <w:sz w:val="30"/>
          <w:szCs w:val="30"/>
        </w:rPr>
      </w:pPr>
    </w:p>
    <w:p w14:paraId="5FCB7AFB">
      <w:pPr>
        <w:jc w:val="center"/>
        <w:rPr>
          <w:rFonts w:hint="eastAsia" w:ascii="黑体" w:eastAsia="黑体"/>
          <w:sz w:val="30"/>
          <w:szCs w:val="30"/>
        </w:rPr>
      </w:pPr>
    </w:p>
    <w:p w14:paraId="29FDB833">
      <w:pPr>
        <w:pStyle w:val="18"/>
        <w:jc w:val="center"/>
        <w:rPr>
          <w:rFonts w:hint="eastAsia"/>
        </w:rPr>
      </w:pPr>
      <w:bookmarkStart w:id="456" w:name="_Toc108513683"/>
      <w:r>
        <w:rPr>
          <w:rFonts w:hint="eastAsia"/>
        </w:rPr>
        <w:t>第一节  通用合同条款</w:t>
      </w:r>
      <w:bookmarkEnd w:id="456"/>
    </w:p>
    <w:p w14:paraId="2A5C2301">
      <w:pPr>
        <w:jc w:val="center"/>
        <w:rPr>
          <w:rFonts w:hint="eastAsia" w:ascii="黑体" w:eastAsia="黑体"/>
          <w:sz w:val="30"/>
          <w:szCs w:val="30"/>
        </w:rPr>
      </w:pPr>
    </w:p>
    <w:p w14:paraId="164C8FB9">
      <w:pPr>
        <w:rPr>
          <w:rFonts w:hint="eastAsia"/>
        </w:rPr>
      </w:pPr>
    </w:p>
    <w:p w14:paraId="7261279D">
      <w:pPr>
        <w:rPr>
          <w:rFonts w:hint="eastAsia"/>
        </w:rPr>
      </w:pPr>
    </w:p>
    <w:p w14:paraId="5C961029">
      <w:pPr>
        <w:rPr>
          <w:rFonts w:hint="eastAsia"/>
        </w:rPr>
      </w:pPr>
    </w:p>
    <w:p w14:paraId="105F8541">
      <w:pPr>
        <w:rPr>
          <w:rFonts w:hint="eastAsia"/>
        </w:rPr>
      </w:pPr>
    </w:p>
    <w:p w14:paraId="69F83160">
      <w:pPr>
        <w:rPr>
          <w:rFonts w:hint="eastAsia"/>
        </w:rPr>
      </w:pPr>
    </w:p>
    <w:p w14:paraId="726E6A4A">
      <w:pPr>
        <w:rPr>
          <w:rFonts w:hint="eastAsia"/>
        </w:rPr>
      </w:pPr>
    </w:p>
    <w:p w14:paraId="764D14D8">
      <w:pPr>
        <w:rPr>
          <w:rFonts w:hint="eastAsia"/>
        </w:rPr>
      </w:pPr>
    </w:p>
    <w:p w14:paraId="494B7E54">
      <w:pPr>
        <w:rPr>
          <w:rFonts w:hint="eastAsia"/>
        </w:rPr>
      </w:pPr>
    </w:p>
    <w:p w14:paraId="279ED852">
      <w:pPr>
        <w:rPr>
          <w:rFonts w:hint="eastAsia"/>
        </w:rPr>
      </w:pPr>
    </w:p>
    <w:p w14:paraId="770B1422">
      <w:pPr>
        <w:rPr>
          <w:rFonts w:hint="eastAsia"/>
        </w:rPr>
      </w:pPr>
    </w:p>
    <w:p w14:paraId="2E4C8AD4">
      <w:pPr>
        <w:rPr>
          <w:rFonts w:hint="eastAsia"/>
        </w:rPr>
      </w:pPr>
    </w:p>
    <w:p w14:paraId="7F14B9C6">
      <w:pPr>
        <w:rPr>
          <w:rFonts w:hint="eastAsia"/>
        </w:rPr>
      </w:pPr>
    </w:p>
    <w:p w14:paraId="47EE7D86">
      <w:pPr>
        <w:rPr>
          <w:rFonts w:hint="eastAsia"/>
        </w:rPr>
      </w:pPr>
    </w:p>
    <w:p w14:paraId="37C36EEC">
      <w:pPr>
        <w:rPr>
          <w:rFonts w:hint="eastAsia"/>
        </w:rPr>
      </w:pPr>
    </w:p>
    <w:p w14:paraId="0FDD1173">
      <w:pPr>
        <w:rPr>
          <w:rFonts w:hint="eastAsia"/>
        </w:rPr>
      </w:pPr>
    </w:p>
    <w:p w14:paraId="0FFEB329">
      <w:pPr>
        <w:rPr>
          <w:rFonts w:hint="eastAsia"/>
        </w:rPr>
      </w:pPr>
    </w:p>
    <w:p w14:paraId="250A7F72">
      <w:pPr>
        <w:rPr>
          <w:rFonts w:hint="eastAsia"/>
        </w:rPr>
      </w:pPr>
    </w:p>
    <w:p w14:paraId="0E6ED271">
      <w:pPr>
        <w:rPr>
          <w:rFonts w:hint="eastAsia"/>
        </w:rPr>
      </w:pPr>
    </w:p>
    <w:p w14:paraId="69AF6E3A">
      <w:pPr>
        <w:rPr>
          <w:rFonts w:hint="eastAsia"/>
        </w:rPr>
      </w:pPr>
    </w:p>
    <w:p w14:paraId="5B3C9FB3">
      <w:pPr>
        <w:rPr>
          <w:rFonts w:hint="eastAsia"/>
        </w:rPr>
      </w:pPr>
    </w:p>
    <w:p w14:paraId="057F6B24">
      <w:pPr>
        <w:rPr>
          <w:rFonts w:hint="eastAsia"/>
        </w:rPr>
      </w:pPr>
    </w:p>
    <w:p w14:paraId="7A23F49F">
      <w:pPr>
        <w:rPr>
          <w:rFonts w:hint="eastAsia"/>
        </w:rPr>
      </w:pPr>
    </w:p>
    <w:p w14:paraId="27B61B5A">
      <w:pPr>
        <w:rPr>
          <w:rFonts w:hint="eastAsia"/>
        </w:rPr>
      </w:pPr>
    </w:p>
    <w:p w14:paraId="294D20FE">
      <w:pPr>
        <w:rPr>
          <w:rFonts w:hint="eastAsia"/>
        </w:rPr>
      </w:pPr>
    </w:p>
    <w:p w14:paraId="716ADCE0">
      <w:pPr>
        <w:rPr>
          <w:rFonts w:hint="eastAsia"/>
        </w:rPr>
      </w:pPr>
    </w:p>
    <w:p w14:paraId="257D8654">
      <w:pPr>
        <w:rPr>
          <w:rFonts w:hint="eastAsia"/>
        </w:rPr>
      </w:pPr>
    </w:p>
    <w:p w14:paraId="4EBACFA5">
      <w:pPr>
        <w:rPr>
          <w:rFonts w:hint="eastAsia"/>
        </w:rPr>
      </w:pPr>
    </w:p>
    <w:p w14:paraId="298CADA3">
      <w:pPr>
        <w:rPr>
          <w:rFonts w:hint="eastAsia"/>
        </w:rPr>
      </w:pPr>
    </w:p>
    <w:p w14:paraId="1CF28A6E">
      <w:pPr>
        <w:rPr>
          <w:rFonts w:hint="eastAsia"/>
        </w:rPr>
      </w:pPr>
    </w:p>
    <w:p w14:paraId="2FBAEA8C">
      <w:pPr>
        <w:rPr>
          <w:rFonts w:hint="eastAsia"/>
        </w:rPr>
      </w:pPr>
    </w:p>
    <w:p w14:paraId="4FD93E0A">
      <w:pPr>
        <w:rPr>
          <w:rFonts w:hint="eastAsia"/>
        </w:rPr>
      </w:pPr>
    </w:p>
    <w:p w14:paraId="7AB29AC7">
      <w:pPr>
        <w:rPr>
          <w:rFonts w:hint="eastAsia"/>
        </w:rPr>
      </w:pPr>
    </w:p>
    <w:p w14:paraId="742D2B32">
      <w:pPr>
        <w:spacing w:line="400" w:lineRule="exact"/>
        <w:jc w:val="center"/>
        <w:rPr>
          <w:rFonts w:hint="eastAsia" w:ascii="黑体" w:eastAsia="黑体"/>
          <w:sz w:val="28"/>
          <w:szCs w:val="28"/>
        </w:rPr>
      </w:pPr>
      <w:r>
        <w:rPr>
          <w:rFonts w:hint="eastAsia" w:ascii="黑体" w:eastAsia="黑体"/>
          <w:sz w:val="28"/>
          <w:szCs w:val="28"/>
        </w:rPr>
        <w:t>通用合同条款</w:t>
      </w:r>
    </w:p>
    <w:p w14:paraId="3C993FDD">
      <w:pPr>
        <w:rPr>
          <w:rFonts w:hint="eastAsia"/>
        </w:rPr>
      </w:pPr>
    </w:p>
    <w:p w14:paraId="211AB9BA">
      <w:pPr>
        <w:rPr>
          <w:rFonts w:hint="eastAsia"/>
        </w:rPr>
      </w:pPr>
    </w:p>
    <w:p w14:paraId="0D426EE5">
      <w:pPr>
        <w:pStyle w:val="18"/>
        <w:rPr>
          <w:rFonts w:hint="eastAsia"/>
        </w:rPr>
      </w:pPr>
      <w:bookmarkStart w:id="457" w:name="_Toc152045611"/>
      <w:bookmarkStart w:id="458" w:name="_Toc108513684"/>
      <w:bookmarkStart w:id="459" w:name="_Toc144974579"/>
      <w:bookmarkStart w:id="460" w:name="_Toc179632629"/>
      <w:bookmarkStart w:id="461" w:name="_Toc152042389"/>
      <w:r>
        <w:rPr>
          <w:rFonts w:hint="eastAsia"/>
        </w:rPr>
        <w:t>1. 一般约定</w:t>
      </w:r>
      <w:bookmarkEnd w:id="457"/>
      <w:bookmarkEnd w:id="458"/>
      <w:bookmarkEnd w:id="459"/>
      <w:bookmarkEnd w:id="460"/>
      <w:bookmarkEnd w:id="461"/>
    </w:p>
    <w:p w14:paraId="61C0EDD8">
      <w:pPr>
        <w:pStyle w:val="20"/>
        <w:rPr>
          <w:rFonts w:hint="eastAsia"/>
        </w:rPr>
      </w:pPr>
      <w:bookmarkStart w:id="462" w:name="_Toc108513685"/>
      <w:bookmarkStart w:id="463" w:name="_Toc179632630"/>
      <w:bookmarkStart w:id="464" w:name="_Toc152042390"/>
      <w:bookmarkStart w:id="465" w:name="_Toc144974580"/>
      <w:bookmarkStart w:id="466" w:name="_Toc152045612"/>
      <w:r>
        <w:rPr>
          <w:rFonts w:hint="eastAsia"/>
        </w:rPr>
        <w:t>1.1 词语定义</w:t>
      </w:r>
      <w:bookmarkEnd w:id="462"/>
      <w:bookmarkEnd w:id="463"/>
      <w:bookmarkEnd w:id="464"/>
      <w:bookmarkEnd w:id="465"/>
      <w:bookmarkEnd w:id="466"/>
    </w:p>
    <w:p w14:paraId="35B7B3F0">
      <w:pPr>
        <w:spacing w:line="400" w:lineRule="exact"/>
        <w:ind w:firstLine="420" w:firstLineChars="200"/>
        <w:rPr>
          <w:rFonts w:hint="eastAsia"/>
        </w:rPr>
      </w:pPr>
      <w:r>
        <w:rPr>
          <w:rFonts w:hint="eastAsia"/>
        </w:rPr>
        <w:t>通用合同条款、专用合同条款中的下列词语应具有本款所赋予的含义。</w:t>
      </w:r>
    </w:p>
    <w:p w14:paraId="703E575E">
      <w:pPr>
        <w:spacing w:line="400" w:lineRule="exact"/>
        <w:ind w:firstLine="420" w:firstLineChars="200"/>
        <w:rPr>
          <w:rFonts w:hint="eastAsia"/>
        </w:rPr>
      </w:pPr>
      <w:r>
        <w:rPr>
          <w:rFonts w:hint="eastAsia"/>
        </w:rPr>
        <w:t xml:space="preserve">1.1.1 </w:t>
      </w:r>
      <w:r>
        <w:rPr>
          <w:rFonts w:hint="eastAsia" w:ascii="黑体" w:eastAsia="黑体"/>
        </w:rPr>
        <w:t>合同</w:t>
      </w:r>
    </w:p>
    <w:p w14:paraId="600D56FC">
      <w:pPr>
        <w:spacing w:line="400" w:lineRule="exact"/>
        <w:ind w:firstLine="718" w:firstLineChars="342"/>
        <w:rPr>
          <w:rFonts w:hint="eastAsia"/>
        </w:rPr>
      </w:pPr>
      <w:r>
        <w:rPr>
          <w:rFonts w:hint="eastAsia"/>
        </w:rPr>
        <w:t>1.1.1.1 合同文件（或称合同）：指合同协议书、中标通知书、投标函及投标函附录、专用合同条款、通用合同条款、技术标准和要求、图纸、已标价工程量清单，以及其他合同文件。</w:t>
      </w:r>
    </w:p>
    <w:p w14:paraId="5F5F7215">
      <w:pPr>
        <w:spacing w:line="400" w:lineRule="exact"/>
        <w:ind w:firstLine="718" w:firstLineChars="342"/>
        <w:rPr>
          <w:rFonts w:hint="eastAsia"/>
        </w:rPr>
      </w:pPr>
      <w:r>
        <w:rPr>
          <w:rFonts w:hint="eastAsia"/>
        </w:rPr>
        <w:t>1.1.1.2 合同协议书：指第1.5款所指的合同协议书。</w:t>
      </w:r>
    </w:p>
    <w:p w14:paraId="7085A069">
      <w:pPr>
        <w:spacing w:line="400" w:lineRule="exact"/>
        <w:ind w:firstLine="718" w:firstLineChars="342"/>
        <w:rPr>
          <w:rFonts w:hint="eastAsia"/>
        </w:rPr>
      </w:pPr>
      <w:r>
        <w:rPr>
          <w:rFonts w:hint="eastAsia"/>
        </w:rPr>
        <w:t>1.1.1.3 中标通知书：指发包人通知承包人中标的函件。中标通知书随附的澄清、说明、补正事项纪要等，是中标通知书的组成部分。</w:t>
      </w:r>
    </w:p>
    <w:p w14:paraId="690010DE">
      <w:pPr>
        <w:spacing w:line="400" w:lineRule="exact"/>
        <w:ind w:firstLine="718" w:firstLineChars="342"/>
        <w:rPr>
          <w:rFonts w:hint="eastAsia"/>
          <w:dstrike/>
          <w:szCs w:val="21"/>
        </w:rPr>
      </w:pPr>
      <w:r>
        <w:rPr>
          <w:rFonts w:hint="eastAsia"/>
        </w:rPr>
        <w:t>1.1.1.4 投标函：指构成合同文件组成部分的由承包人填写并签署的投标函。</w:t>
      </w:r>
    </w:p>
    <w:p w14:paraId="2D12AB6B">
      <w:pPr>
        <w:spacing w:line="400" w:lineRule="exact"/>
        <w:ind w:firstLine="718" w:firstLineChars="342"/>
        <w:rPr>
          <w:rFonts w:hint="eastAsia"/>
        </w:rPr>
      </w:pPr>
      <w:r>
        <w:rPr>
          <w:rFonts w:hint="eastAsia"/>
        </w:rPr>
        <w:t>1.1.1.5 投标函附录：指附在投标函后构成合同文件的投标函附录。</w:t>
      </w:r>
    </w:p>
    <w:p w14:paraId="038D6354">
      <w:pPr>
        <w:spacing w:line="400" w:lineRule="exact"/>
        <w:ind w:firstLine="718" w:firstLineChars="342"/>
        <w:rPr>
          <w:rFonts w:hint="eastAsia"/>
        </w:rPr>
      </w:pPr>
      <w:r>
        <w:rPr>
          <w:rFonts w:hint="eastAsia"/>
        </w:rPr>
        <w:t>1.1.1.6 技术标准和要求：指构成合同文件组成部分的名为技术标准和要求的文件，包括合同双方当事人约定对其所作的修改或补充。</w:t>
      </w:r>
    </w:p>
    <w:p w14:paraId="41D24989">
      <w:pPr>
        <w:spacing w:line="400" w:lineRule="exact"/>
        <w:ind w:firstLine="718" w:firstLineChars="342"/>
        <w:rPr>
          <w:rFonts w:hint="eastAsia"/>
        </w:rPr>
      </w:pPr>
      <w:r>
        <w:rPr>
          <w:rFonts w:hint="eastAsia"/>
        </w:rPr>
        <w:t>1.1.1.7图纸：指包含在合同中的工程图纸，以及由发包人按合同约定提供的任何补充和修改的图纸，包括配套的说明。</w:t>
      </w:r>
    </w:p>
    <w:p w14:paraId="50CCA65C">
      <w:pPr>
        <w:spacing w:line="400" w:lineRule="exact"/>
        <w:ind w:firstLine="718" w:firstLineChars="342"/>
        <w:rPr>
          <w:rFonts w:hint="eastAsia"/>
        </w:rPr>
      </w:pPr>
      <w:r>
        <w:rPr>
          <w:rFonts w:hint="eastAsia"/>
        </w:rPr>
        <w:t>1.1.1.8 已标价工程量清单：指构成合同文件组成部分的由承包人按照规定的格式和要求填写并标明价格的工程量清单。</w:t>
      </w:r>
    </w:p>
    <w:p w14:paraId="74737BDA">
      <w:pPr>
        <w:spacing w:line="400" w:lineRule="exact"/>
        <w:ind w:firstLine="718" w:firstLineChars="342"/>
        <w:rPr>
          <w:rFonts w:hint="eastAsia"/>
        </w:rPr>
      </w:pPr>
      <w:r>
        <w:rPr>
          <w:rFonts w:hint="eastAsia"/>
        </w:rPr>
        <w:t>1.1.1.9 其他合同文件：指经合同双方当事人确认构成合同文件的其他文件。</w:t>
      </w:r>
    </w:p>
    <w:p w14:paraId="7D750B1C">
      <w:pPr>
        <w:spacing w:line="400" w:lineRule="exact"/>
        <w:ind w:firstLine="420" w:firstLineChars="200"/>
        <w:rPr>
          <w:rFonts w:hint="eastAsia"/>
        </w:rPr>
      </w:pPr>
      <w:r>
        <w:rPr>
          <w:rFonts w:hint="eastAsia"/>
        </w:rPr>
        <w:t xml:space="preserve">1.1.2 </w:t>
      </w:r>
      <w:r>
        <w:rPr>
          <w:rFonts w:hint="eastAsia" w:ascii="黑体" w:eastAsia="黑体"/>
        </w:rPr>
        <w:t>合同当事人和人员</w:t>
      </w:r>
    </w:p>
    <w:p w14:paraId="43E46717">
      <w:pPr>
        <w:spacing w:line="400" w:lineRule="exact"/>
        <w:ind w:firstLine="718" w:firstLineChars="342"/>
        <w:rPr>
          <w:rFonts w:hint="eastAsia"/>
        </w:rPr>
      </w:pPr>
      <w:r>
        <w:rPr>
          <w:rFonts w:hint="eastAsia"/>
        </w:rPr>
        <w:t>1.1.2.1 合同当事人:指发包人和（或）承包人。</w:t>
      </w:r>
    </w:p>
    <w:p w14:paraId="75BDE072">
      <w:pPr>
        <w:spacing w:line="400" w:lineRule="exact"/>
        <w:ind w:firstLine="718" w:firstLineChars="342"/>
        <w:rPr>
          <w:rFonts w:hint="eastAsia"/>
        </w:rPr>
      </w:pPr>
      <w:r>
        <w:rPr>
          <w:rFonts w:hint="eastAsia"/>
        </w:rPr>
        <w:t>1.1.2.2 发包人：指专用合同条款中指明并与承包人在合同协议书中签字的当事人。</w:t>
      </w:r>
    </w:p>
    <w:p w14:paraId="2B6F65EA">
      <w:pPr>
        <w:spacing w:line="400" w:lineRule="exact"/>
        <w:ind w:firstLine="718" w:firstLineChars="342"/>
        <w:rPr>
          <w:rFonts w:hint="eastAsia"/>
        </w:rPr>
      </w:pPr>
      <w:r>
        <w:rPr>
          <w:rFonts w:hint="eastAsia"/>
        </w:rPr>
        <w:t>1.1.2.3 承包人：指与发包人签订合同协议书的当事人。</w:t>
      </w:r>
    </w:p>
    <w:p w14:paraId="0FEBD44B">
      <w:pPr>
        <w:spacing w:line="400" w:lineRule="exact"/>
        <w:ind w:firstLine="718" w:firstLineChars="342"/>
        <w:rPr>
          <w:rFonts w:hint="eastAsia"/>
        </w:rPr>
      </w:pPr>
      <w:r>
        <w:rPr>
          <w:rFonts w:hint="eastAsia"/>
        </w:rPr>
        <w:t>1.1.2.4 承包人项目经理：指承包人派驻施工场地的全权负责人。</w:t>
      </w:r>
    </w:p>
    <w:p w14:paraId="019D9DD6">
      <w:pPr>
        <w:spacing w:line="400" w:lineRule="exact"/>
        <w:ind w:firstLine="718" w:firstLineChars="342"/>
        <w:rPr>
          <w:rFonts w:hint="eastAsia"/>
        </w:rPr>
      </w:pPr>
      <w:r>
        <w:rPr>
          <w:rFonts w:hint="eastAsia"/>
        </w:rPr>
        <w:t>1.1.2.5 分包人：指从承包人处分包合同中某一部分工程，并与其签订分包合同的分包人。</w:t>
      </w:r>
    </w:p>
    <w:p w14:paraId="3117907F">
      <w:pPr>
        <w:spacing w:line="400" w:lineRule="exact"/>
        <w:ind w:firstLine="718" w:firstLineChars="342"/>
        <w:rPr>
          <w:rFonts w:hint="eastAsia"/>
        </w:rPr>
      </w:pPr>
      <w:r>
        <w:rPr>
          <w:rFonts w:hint="eastAsia"/>
        </w:rPr>
        <w:t>1.1.2.6 监理人：指在专用合同条款中指明的，受发包人委托对合同履行实施管理的法人或其他组织。</w:t>
      </w:r>
    </w:p>
    <w:p w14:paraId="0149E80C">
      <w:pPr>
        <w:spacing w:line="400" w:lineRule="exact"/>
        <w:ind w:firstLine="718" w:firstLineChars="342"/>
        <w:rPr>
          <w:rFonts w:hint="eastAsia"/>
        </w:rPr>
      </w:pPr>
      <w:r>
        <w:rPr>
          <w:rFonts w:hint="eastAsia"/>
        </w:rPr>
        <w:t>1.1.2.7 总监理工程师（总监）：指由监理人委派常驻施工场地对合同履行实施管理的全权负责人。</w:t>
      </w:r>
    </w:p>
    <w:p w14:paraId="480C3A63">
      <w:pPr>
        <w:spacing w:line="400" w:lineRule="exact"/>
        <w:ind w:firstLine="420" w:firstLineChars="200"/>
        <w:rPr>
          <w:rFonts w:hint="eastAsia"/>
        </w:rPr>
      </w:pPr>
      <w:r>
        <w:rPr>
          <w:rFonts w:hint="eastAsia"/>
        </w:rPr>
        <w:t xml:space="preserve">1.1.3 </w:t>
      </w:r>
      <w:r>
        <w:rPr>
          <w:rFonts w:hint="eastAsia" w:ascii="黑体" w:eastAsia="黑体"/>
        </w:rPr>
        <w:t>工程和设备</w:t>
      </w:r>
    </w:p>
    <w:p w14:paraId="1364195C">
      <w:pPr>
        <w:spacing w:line="400" w:lineRule="exact"/>
        <w:ind w:firstLine="718" w:firstLineChars="342"/>
        <w:rPr>
          <w:rFonts w:hint="eastAsia"/>
        </w:rPr>
      </w:pPr>
      <w:r>
        <w:rPr>
          <w:rFonts w:hint="eastAsia"/>
        </w:rPr>
        <w:t>1.1.3.1 工程：指永久工程和（或）临时工程。</w:t>
      </w:r>
    </w:p>
    <w:p w14:paraId="05CE87A8">
      <w:pPr>
        <w:spacing w:line="400" w:lineRule="exact"/>
        <w:ind w:firstLine="718" w:firstLineChars="342"/>
        <w:rPr>
          <w:rFonts w:hint="eastAsia"/>
        </w:rPr>
      </w:pPr>
      <w:r>
        <w:rPr>
          <w:rFonts w:hint="eastAsia"/>
        </w:rPr>
        <w:t>1.1.3.2 永久工程：指按合同约定建造并移交给发包人的工程，包括工程设备。</w:t>
      </w:r>
    </w:p>
    <w:p w14:paraId="2B725029">
      <w:pPr>
        <w:spacing w:line="400" w:lineRule="exact"/>
        <w:ind w:firstLine="718" w:firstLineChars="342"/>
        <w:rPr>
          <w:rFonts w:hint="eastAsia"/>
        </w:rPr>
      </w:pPr>
      <w:r>
        <w:rPr>
          <w:rFonts w:hint="eastAsia"/>
        </w:rPr>
        <w:t>1.1.3.3 临时工程：指为完成合同约定的永久工程所修建的各类临时性工程，不包括施工设备。</w:t>
      </w:r>
    </w:p>
    <w:p w14:paraId="3A1A1DB1">
      <w:pPr>
        <w:spacing w:line="400" w:lineRule="exact"/>
        <w:ind w:firstLine="718" w:firstLineChars="342"/>
        <w:rPr>
          <w:rFonts w:hint="eastAsia"/>
        </w:rPr>
      </w:pPr>
      <w:r>
        <w:rPr>
          <w:rFonts w:hint="eastAsia"/>
        </w:rPr>
        <w:t>1.1.3.4 单位工程：指专用合同条款中指明特定范围的永久工程。</w:t>
      </w:r>
    </w:p>
    <w:p w14:paraId="4E8BCE67">
      <w:pPr>
        <w:spacing w:line="400" w:lineRule="exact"/>
        <w:ind w:firstLine="718" w:firstLineChars="342"/>
        <w:rPr>
          <w:rFonts w:hint="eastAsia"/>
        </w:rPr>
      </w:pPr>
      <w:r>
        <w:rPr>
          <w:rFonts w:hint="eastAsia"/>
        </w:rPr>
        <w:t>1.1.3.5 工程设备：指构成或计划构成永久工程一部分的机电设备、金属结构设备、仪器装置及其他类似的设备和装置。</w:t>
      </w:r>
    </w:p>
    <w:p w14:paraId="6AC452DC">
      <w:pPr>
        <w:spacing w:line="400" w:lineRule="exact"/>
        <w:ind w:firstLine="718" w:firstLineChars="342"/>
        <w:rPr>
          <w:rFonts w:hint="eastAsia"/>
        </w:rPr>
      </w:pPr>
      <w:r>
        <w:rPr>
          <w:rFonts w:hint="eastAsia"/>
        </w:rPr>
        <w:t>1.1.3.6 施工设备：指为完成合同约定的各项工作所需的设备、器具和其他物品，不包括临时工程和材料。</w:t>
      </w:r>
    </w:p>
    <w:p w14:paraId="4795660A">
      <w:pPr>
        <w:spacing w:line="400" w:lineRule="exact"/>
        <w:ind w:firstLine="718" w:firstLineChars="342"/>
        <w:rPr>
          <w:rFonts w:hint="eastAsia"/>
        </w:rPr>
      </w:pPr>
      <w:r>
        <w:rPr>
          <w:rFonts w:hint="eastAsia"/>
        </w:rPr>
        <w:t>1.1.3.7 临时设施：指为完成合同约定的各项工作所服务的临时性生产和生活设施。</w:t>
      </w:r>
    </w:p>
    <w:p w14:paraId="401948B5">
      <w:pPr>
        <w:spacing w:line="400" w:lineRule="exact"/>
        <w:ind w:firstLine="718" w:firstLineChars="342"/>
        <w:rPr>
          <w:rFonts w:hint="eastAsia"/>
        </w:rPr>
      </w:pPr>
      <w:r>
        <w:rPr>
          <w:rFonts w:hint="eastAsia"/>
        </w:rPr>
        <w:t>1.1.3.8 承包人设备：指承包人自带的施工设备。</w:t>
      </w:r>
    </w:p>
    <w:p w14:paraId="5D35706A">
      <w:pPr>
        <w:spacing w:line="400" w:lineRule="exact"/>
        <w:ind w:firstLine="718" w:firstLineChars="342"/>
        <w:rPr>
          <w:rFonts w:hint="eastAsia"/>
        </w:rPr>
      </w:pPr>
      <w:r>
        <w:rPr>
          <w:rFonts w:hint="eastAsia"/>
        </w:rPr>
        <w:t>1.1.3.9 施工场地（或称工地、现场）：指用于合同工程施工的场所，以及在合同中指定作为施工场地组成部分的其他场所，包括永久占地和临时占地。</w:t>
      </w:r>
    </w:p>
    <w:p w14:paraId="0DD86B5F">
      <w:pPr>
        <w:spacing w:line="400" w:lineRule="exact"/>
        <w:ind w:firstLine="718" w:firstLineChars="342"/>
        <w:rPr>
          <w:rFonts w:hint="eastAsia"/>
        </w:rPr>
      </w:pPr>
      <w:r>
        <w:rPr>
          <w:rFonts w:hint="eastAsia"/>
        </w:rPr>
        <w:t>1.1.3.10 永久占地：指专用合同条款中指明为实施合同工程需永久占用的土地。</w:t>
      </w:r>
    </w:p>
    <w:p w14:paraId="273AE2EB">
      <w:pPr>
        <w:spacing w:line="400" w:lineRule="exact"/>
        <w:ind w:firstLine="718" w:firstLineChars="342"/>
        <w:rPr>
          <w:rFonts w:hint="eastAsia"/>
        </w:rPr>
      </w:pPr>
      <w:r>
        <w:rPr>
          <w:rFonts w:hint="eastAsia"/>
        </w:rPr>
        <w:t>1.1.3.11 临时占地：指专用合同条款中指明为实施合同工程需临时占用的土地。</w:t>
      </w:r>
    </w:p>
    <w:p w14:paraId="39322737">
      <w:pPr>
        <w:spacing w:line="400" w:lineRule="exact"/>
        <w:ind w:firstLine="420" w:firstLineChars="200"/>
        <w:rPr>
          <w:rFonts w:hint="eastAsia"/>
        </w:rPr>
      </w:pPr>
      <w:r>
        <w:rPr>
          <w:rFonts w:hint="eastAsia"/>
        </w:rPr>
        <w:t xml:space="preserve">1.1.4 </w:t>
      </w:r>
      <w:r>
        <w:rPr>
          <w:rFonts w:hint="eastAsia" w:ascii="黑体" w:eastAsia="黑体"/>
        </w:rPr>
        <w:t>日期</w:t>
      </w:r>
    </w:p>
    <w:p w14:paraId="342BFEF1">
      <w:pPr>
        <w:spacing w:line="400" w:lineRule="exact"/>
        <w:ind w:firstLine="718" w:firstLineChars="342"/>
        <w:rPr>
          <w:rFonts w:hint="eastAsia"/>
        </w:rPr>
      </w:pPr>
      <w:r>
        <w:rPr>
          <w:rFonts w:hint="eastAsia"/>
        </w:rPr>
        <w:t>1.1.4.1 开工通知：指监理人按第11.1款通知承包人开工的函件。</w:t>
      </w:r>
    </w:p>
    <w:p w14:paraId="74FE0AB8">
      <w:pPr>
        <w:spacing w:line="400" w:lineRule="exact"/>
        <w:ind w:firstLine="718" w:firstLineChars="342"/>
        <w:rPr>
          <w:rFonts w:hint="eastAsia"/>
        </w:rPr>
      </w:pPr>
      <w:r>
        <w:rPr>
          <w:rFonts w:hint="eastAsia"/>
        </w:rPr>
        <w:t>1.1.4.2 开工日期：指监理人按第11.1款发出的开工通知中写明的开工日期。</w:t>
      </w:r>
    </w:p>
    <w:p w14:paraId="47E5860B">
      <w:pPr>
        <w:spacing w:line="400" w:lineRule="exact"/>
        <w:ind w:firstLine="718" w:firstLineChars="342"/>
        <w:rPr>
          <w:rFonts w:hint="eastAsia"/>
        </w:rPr>
      </w:pPr>
      <w:r>
        <w:rPr>
          <w:rFonts w:hint="eastAsia"/>
        </w:rPr>
        <w:t>1.1.4.3工期：指承包人在投标函中承诺的完成合同工程所需的期限，包括按第11.3款、第11.4款和第11.6款约定所作的变更。</w:t>
      </w:r>
    </w:p>
    <w:p w14:paraId="3CB453BA">
      <w:pPr>
        <w:spacing w:line="400" w:lineRule="exact"/>
        <w:ind w:firstLine="718" w:firstLineChars="342"/>
        <w:rPr>
          <w:rFonts w:hint="eastAsia"/>
        </w:rPr>
      </w:pPr>
      <w:r>
        <w:rPr>
          <w:rFonts w:hint="eastAsia"/>
        </w:rPr>
        <w:t>1.1.4.4 竣工日期：指第1.1.4.3目约定工期届满时的日期。实际竣工日期以工程接收证书中写明的日期为准。</w:t>
      </w:r>
    </w:p>
    <w:p w14:paraId="5B2A8664">
      <w:pPr>
        <w:spacing w:line="400" w:lineRule="exact"/>
        <w:ind w:firstLine="718" w:firstLineChars="342"/>
        <w:rPr>
          <w:rFonts w:hint="eastAsia"/>
        </w:rPr>
      </w:pPr>
      <w:r>
        <w:rPr>
          <w:rFonts w:hint="eastAsia"/>
        </w:rPr>
        <w:t>1.1.4.5 缺陷责任期：指履行第19.2款约定的缺陷责任的期限，具体期限由专用合同条款约定，包括根据第19.3款约定所作的延长。</w:t>
      </w:r>
    </w:p>
    <w:p w14:paraId="58491045">
      <w:pPr>
        <w:spacing w:line="400" w:lineRule="exact"/>
        <w:ind w:firstLine="718" w:firstLineChars="342"/>
        <w:rPr>
          <w:rFonts w:hint="eastAsia"/>
        </w:rPr>
      </w:pPr>
      <w:r>
        <w:rPr>
          <w:rFonts w:hint="eastAsia"/>
        </w:rPr>
        <w:t>1.1.4.6 基准日期：指投标截止时间前28天的日期。</w:t>
      </w:r>
    </w:p>
    <w:p w14:paraId="35A11B0F">
      <w:pPr>
        <w:spacing w:line="400" w:lineRule="exact"/>
        <w:ind w:firstLine="718" w:firstLineChars="342"/>
        <w:rPr>
          <w:rFonts w:hint="eastAsia"/>
        </w:rPr>
      </w:pPr>
      <w:r>
        <w:rPr>
          <w:rFonts w:hint="eastAsia"/>
        </w:rPr>
        <w:t>1.1.4.7 天：除特别指明外，指日历天。合同中按天计算时间的，开始当天不计入，从次日开始计算。期限最后一天的截止时间为当天24:00。</w:t>
      </w:r>
    </w:p>
    <w:p w14:paraId="3559FAC4">
      <w:pPr>
        <w:spacing w:line="400" w:lineRule="exact"/>
        <w:ind w:firstLine="420" w:firstLineChars="200"/>
        <w:rPr>
          <w:rFonts w:hint="eastAsia"/>
        </w:rPr>
      </w:pPr>
      <w:r>
        <w:rPr>
          <w:rFonts w:hint="eastAsia"/>
        </w:rPr>
        <w:t xml:space="preserve">1.1.5 </w:t>
      </w:r>
      <w:r>
        <w:rPr>
          <w:rFonts w:hint="eastAsia" w:ascii="黑体" w:eastAsia="黑体"/>
        </w:rPr>
        <w:t>合同价格和费用</w:t>
      </w:r>
    </w:p>
    <w:p w14:paraId="57D5D43A">
      <w:pPr>
        <w:spacing w:line="400" w:lineRule="exact"/>
        <w:ind w:firstLine="718" w:firstLineChars="342"/>
        <w:rPr>
          <w:rFonts w:hint="eastAsia"/>
        </w:rPr>
      </w:pPr>
      <w:r>
        <w:rPr>
          <w:rFonts w:hint="eastAsia"/>
        </w:rPr>
        <w:t>1.1.5.1 签约合同价：指签</w:t>
      </w:r>
      <w:r>
        <w:rPr>
          <w:rFonts w:hint="eastAsia"/>
          <w:lang w:val="en-US" w:eastAsia="zh-CN"/>
        </w:rPr>
        <w:t>订</w:t>
      </w:r>
      <w:r>
        <w:rPr>
          <w:rFonts w:hint="eastAsia"/>
        </w:rPr>
        <w:t>合同时合同协议书中写明的，包括了暂列金额、暂估价的合同总金额。</w:t>
      </w:r>
    </w:p>
    <w:p w14:paraId="0E156D8C">
      <w:pPr>
        <w:spacing w:line="400" w:lineRule="exact"/>
        <w:ind w:firstLine="718" w:firstLineChars="342"/>
        <w:rPr>
          <w:rFonts w:hint="eastAsia"/>
        </w:rPr>
      </w:pPr>
      <w:r>
        <w:rPr>
          <w:rFonts w:hint="eastAsia"/>
        </w:rPr>
        <w:t>1.1.5.2 合同价格：指承包人按合同约定完成了包括缺陷责任期内的全部承包工作后，发包人应付给承包人的金额，包括在履行合同过程中按合同约定进行的变更和调整。</w:t>
      </w:r>
    </w:p>
    <w:p w14:paraId="19046FD2">
      <w:pPr>
        <w:spacing w:line="400" w:lineRule="exact"/>
        <w:ind w:firstLine="718" w:firstLineChars="342"/>
        <w:rPr>
          <w:rFonts w:hint="eastAsia"/>
        </w:rPr>
      </w:pPr>
      <w:r>
        <w:rPr>
          <w:rFonts w:hint="eastAsia"/>
        </w:rPr>
        <w:t>1.1.5.3 费用：指为履行合同所发生的或将要发生的所有合理开支，包括管理费和应分摊的其他费用，但不包括利润。</w:t>
      </w:r>
    </w:p>
    <w:p w14:paraId="6934C9FA">
      <w:pPr>
        <w:spacing w:line="400" w:lineRule="exact"/>
        <w:ind w:firstLine="718" w:firstLineChars="342"/>
        <w:rPr>
          <w:rFonts w:hint="eastAsia"/>
        </w:rPr>
      </w:pPr>
      <w:r>
        <w:rPr>
          <w:rFonts w:hint="eastAsia"/>
        </w:rPr>
        <w:t>1.1.5.4 暂列金额：指已标价工程量清单中所列的暂列金额，用于在签订协议书时尚未确定或不可预见变更的施工及其所需材料、工程设备、服务等的金额，包括以计日工方式支付的金额。</w:t>
      </w:r>
    </w:p>
    <w:p w14:paraId="7367E0C8">
      <w:pPr>
        <w:spacing w:line="400" w:lineRule="exact"/>
        <w:ind w:firstLine="718" w:firstLineChars="342"/>
        <w:rPr>
          <w:rFonts w:hint="eastAsia"/>
        </w:rPr>
      </w:pPr>
      <w:r>
        <w:rPr>
          <w:rFonts w:hint="eastAsia"/>
        </w:rPr>
        <w:t>1.1.5.5暂估价：指发包人在工程量清单中给定的用于支付必然发生但暂时不能确定价格的材料、设备以及专业工程的金额。</w:t>
      </w:r>
    </w:p>
    <w:p w14:paraId="636BDBB7">
      <w:pPr>
        <w:spacing w:line="400" w:lineRule="exact"/>
        <w:ind w:firstLine="718" w:firstLineChars="342"/>
        <w:rPr>
          <w:rFonts w:hint="eastAsia"/>
        </w:rPr>
      </w:pPr>
      <w:r>
        <w:rPr>
          <w:rFonts w:hint="eastAsia"/>
        </w:rPr>
        <w:t>1.1.5.6 计日工：指对零星工作采取的一种计价方式，按合同中的计日工子目及其单价计价付款。</w:t>
      </w:r>
    </w:p>
    <w:p w14:paraId="268ED68F">
      <w:pPr>
        <w:spacing w:line="400" w:lineRule="exact"/>
        <w:ind w:firstLine="718" w:firstLineChars="342"/>
        <w:rPr>
          <w:rFonts w:hint="eastAsia"/>
        </w:rPr>
      </w:pPr>
      <w:r>
        <w:rPr>
          <w:rFonts w:hint="eastAsia"/>
        </w:rPr>
        <w:t>1.1.5.7 质量保证金（或称保留金）：指按第17.4.1项约定用于保证在缺陷责任期内履行缺陷修复义务的金额。</w:t>
      </w:r>
    </w:p>
    <w:p w14:paraId="4BFCE1AF">
      <w:pPr>
        <w:spacing w:line="400" w:lineRule="exact"/>
        <w:ind w:firstLine="420" w:firstLineChars="200"/>
        <w:rPr>
          <w:rFonts w:hint="eastAsia"/>
        </w:rPr>
      </w:pPr>
      <w:r>
        <w:rPr>
          <w:rFonts w:hint="eastAsia"/>
        </w:rPr>
        <w:t xml:space="preserve">1.1.6 </w:t>
      </w:r>
      <w:r>
        <w:rPr>
          <w:rFonts w:hint="eastAsia" w:ascii="黑体" w:eastAsia="黑体"/>
        </w:rPr>
        <w:t>其他</w:t>
      </w:r>
    </w:p>
    <w:p w14:paraId="333F2B77">
      <w:pPr>
        <w:spacing w:line="400" w:lineRule="exact"/>
        <w:ind w:firstLine="718" w:firstLineChars="342"/>
        <w:rPr>
          <w:rFonts w:hint="eastAsia"/>
        </w:rPr>
      </w:pPr>
      <w:r>
        <w:rPr>
          <w:rFonts w:hint="eastAsia"/>
        </w:rPr>
        <w:t>1.1.6.1 书面形式：指合同文件、信函、电报、传真等可以有形地表现所载内容的形式。</w:t>
      </w:r>
    </w:p>
    <w:p w14:paraId="6B09C1BE">
      <w:pPr>
        <w:pStyle w:val="20"/>
        <w:rPr>
          <w:rFonts w:hint="eastAsia"/>
        </w:rPr>
      </w:pPr>
      <w:bookmarkStart w:id="467" w:name="_Toc144974581"/>
      <w:bookmarkStart w:id="468" w:name="_Toc152045613"/>
      <w:bookmarkStart w:id="469" w:name="_Toc179632631"/>
      <w:bookmarkStart w:id="470" w:name="_Toc108513686"/>
      <w:bookmarkStart w:id="471" w:name="_Toc152042391"/>
      <w:r>
        <w:rPr>
          <w:rFonts w:hint="eastAsia"/>
        </w:rPr>
        <w:t>1.2 语言文字</w:t>
      </w:r>
      <w:bookmarkEnd w:id="467"/>
      <w:bookmarkEnd w:id="468"/>
      <w:bookmarkEnd w:id="469"/>
      <w:bookmarkEnd w:id="470"/>
      <w:bookmarkEnd w:id="471"/>
    </w:p>
    <w:p w14:paraId="20B039FD">
      <w:pPr>
        <w:spacing w:line="400" w:lineRule="exact"/>
        <w:ind w:firstLine="420" w:firstLineChars="200"/>
        <w:rPr>
          <w:rFonts w:hint="eastAsia"/>
        </w:rPr>
      </w:pPr>
      <w:r>
        <w:rPr>
          <w:rFonts w:hint="eastAsia"/>
        </w:rPr>
        <w:t>除专用术语外，合同使用的语言文字为中文。必要时专用术语应附有中文注释。</w:t>
      </w:r>
    </w:p>
    <w:p w14:paraId="0EE64767">
      <w:pPr>
        <w:pStyle w:val="20"/>
        <w:rPr>
          <w:rFonts w:hint="eastAsia"/>
        </w:rPr>
      </w:pPr>
      <w:bookmarkStart w:id="472" w:name="_Toc179632632"/>
      <w:bookmarkStart w:id="473" w:name="_Toc152045614"/>
      <w:bookmarkStart w:id="474" w:name="_Toc108513687"/>
      <w:bookmarkStart w:id="475" w:name="_Toc152042392"/>
      <w:bookmarkStart w:id="476" w:name="_Toc144974582"/>
      <w:r>
        <w:rPr>
          <w:rFonts w:hint="eastAsia"/>
        </w:rPr>
        <w:t>1.3 法律</w:t>
      </w:r>
      <w:bookmarkEnd w:id="472"/>
      <w:bookmarkEnd w:id="473"/>
      <w:bookmarkEnd w:id="474"/>
      <w:bookmarkEnd w:id="475"/>
      <w:bookmarkEnd w:id="476"/>
    </w:p>
    <w:p w14:paraId="456D308D">
      <w:pPr>
        <w:spacing w:line="400" w:lineRule="exact"/>
        <w:ind w:firstLine="420" w:firstLineChars="200"/>
        <w:rPr>
          <w:rFonts w:hint="eastAsia"/>
        </w:rPr>
      </w:pPr>
      <w:r>
        <w:rPr>
          <w:rFonts w:hint="eastAsia"/>
        </w:rPr>
        <w:t>适用于合同的法律包括中华人民共和国法律、行政法规、部门规章，以及工程所在地的地方法规、自治条例、单行条例和地方政府规章。</w:t>
      </w:r>
    </w:p>
    <w:p w14:paraId="21039E5A">
      <w:pPr>
        <w:pStyle w:val="20"/>
        <w:rPr>
          <w:rFonts w:hint="eastAsia"/>
        </w:rPr>
      </w:pPr>
      <w:bookmarkStart w:id="477" w:name="_Toc152045615"/>
      <w:bookmarkStart w:id="478" w:name="_Toc152042393"/>
      <w:bookmarkStart w:id="479" w:name="_Toc144974583"/>
      <w:bookmarkStart w:id="480" w:name="_Toc179632633"/>
      <w:bookmarkStart w:id="481" w:name="_Toc108513688"/>
      <w:r>
        <w:rPr>
          <w:rFonts w:hint="eastAsia"/>
        </w:rPr>
        <w:t>1.4 合同文件的优先顺序</w:t>
      </w:r>
      <w:bookmarkEnd w:id="477"/>
      <w:bookmarkEnd w:id="478"/>
      <w:bookmarkEnd w:id="479"/>
      <w:bookmarkEnd w:id="480"/>
      <w:bookmarkEnd w:id="481"/>
    </w:p>
    <w:p w14:paraId="06D1EEAE">
      <w:pPr>
        <w:spacing w:line="400" w:lineRule="exact"/>
        <w:ind w:firstLine="420" w:firstLineChars="200"/>
        <w:rPr>
          <w:rFonts w:hint="eastAsia"/>
        </w:rPr>
      </w:pPr>
      <w:r>
        <w:rPr>
          <w:rFonts w:hint="eastAsia"/>
        </w:rPr>
        <w:t>组成合同的各项文件应互相解释，互为说明。除专用合同条款另有约定外，解释合同文件的优先顺序如下：</w:t>
      </w:r>
    </w:p>
    <w:p w14:paraId="0C660DF9">
      <w:pPr>
        <w:spacing w:line="400" w:lineRule="exact"/>
        <w:ind w:firstLine="359" w:firstLineChars="171"/>
        <w:rPr>
          <w:rFonts w:hint="eastAsia"/>
        </w:rPr>
      </w:pPr>
      <w:r>
        <w:rPr>
          <w:rFonts w:hint="eastAsia"/>
        </w:rPr>
        <w:t>（1）合同协议书；</w:t>
      </w:r>
    </w:p>
    <w:p w14:paraId="57FAA81B">
      <w:pPr>
        <w:spacing w:line="400" w:lineRule="exact"/>
        <w:ind w:firstLine="359" w:firstLineChars="171"/>
        <w:rPr>
          <w:rFonts w:hint="eastAsia"/>
        </w:rPr>
      </w:pPr>
      <w:r>
        <w:rPr>
          <w:rFonts w:hint="eastAsia"/>
        </w:rPr>
        <w:t>（2）中标通知书；</w:t>
      </w:r>
    </w:p>
    <w:p w14:paraId="7293E5BC">
      <w:pPr>
        <w:spacing w:line="400" w:lineRule="exact"/>
        <w:ind w:firstLine="359" w:firstLineChars="171"/>
        <w:rPr>
          <w:rFonts w:hint="eastAsia"/>
        </w:rPr>
      </w:pPr>
      <w:r>
        <w:rPr>
          <w:rFonts w:hint="eastAsia"/>
        </w:rPr>
        <w:t>（3）投标函及投标函附录；</w:t>
      </w:r>
    </w:p>
    <w:p w14:paraId="47AF68D3">
      <w:pPr>
        <w:spacing w:line="400" w:lineRule="exact"/>
        <w:ind w:firstLine="359" w:firstLineChars="171"/>
        <w:rPr>
          <w:rFonts w:hint="eastAsia"/>
        </w:rPr>
      </w:pPr>
      <w:r>
        <w:rPr>
          <w:rFonts w:hint="eastAsia"/>
        </w:rPr>
        <w:t>（4）专用合同条款；</w:t>
      </w:r>
    </w:p>
    <w:p w14:paraId="05F34CFF">
      <w:pPr>
        <w:spacing w:line="400" w:lineRule="exact"/>
        <w:ind w:firstLine="359" w:firstLineChars="171"/>
        <w:rPr>
          <w:rFonts w:hint="eastAsia"/>
        </w:rPr>
      </w:pPr>
      <w:r>
        <w:rPr>
          <w:rFonts w:hint="eastAsia"/>
        </w:rPr>
        <w:t>（5）通用合同条款；</w:t>
      </w:r>
    </w:p>
    <w:p w14:paraId="4129BA3C">
      <w:pPr>
        <w:spacing w:line="400" w:lineRule="exact"/>
        <w:ind w:firstLine="359" w:firstLineChars="171"/>
        <w:rPr>
          <w:rFonts w:hint="eastAsia"/>
        </w:rPr>
      </w:pPr>
      <w:r>
        <w:rPr>
          <w:rFonts w:hint="eastAsia"/>
        </w:rPr>
        <w:t>（6）技术标准和要求；</w:t>
      </w:r>
    </w:p>
    <w:p w14:paraId="617B2B60">
      <w:pPr>
        <w:spacing w:line="400" w:lineRule="exact"/>
        <w:ind w:firstLine="359" w:firstLineChars="171"/>
        <w:rPr>
          <w:rFonts w:hint="eastAsia"/>
        </w:rPr>
      </w:pPr>
      <w:r>
        <w:rPr>
          <w:rFonts w:hint="eastAsia"/>
        </w:rPr>
        <w:t>（7）图纸；</w:t>
      </w:r>
    </w:p>
    <w:p w14:paraId="7F2F7A17">
      <w:pPr>
        <w:spacing w:line="400" w:lineRule="exact"/>
        <w:ind w:firstLine="359" w:firstLineChars="171"/>
        <w:rPr>
          <w:rFonts w:hint="eastAsia"/>
        </w:rPr>
      </w:pPr>
      <w:r>
        <w:rPr>
          <w:rFonts w:hint="eastAsia"/>
        </w:rPr>
        <w:t>（8）已标价工程量清单；</w:t>
      </w:r>
    </w:p>
    <w:p w14:paraId="4D4A520C">
      <w:pPr>
        <w:spacing w:line="400" w:lineRule="exact"/>
        <w:ind w:firstLine="359" w:firstLineChars="171"/>
        <w:rPr>
          <w:rFonts w:hint="eastAsia"/>
        </w:rPr>
      </w:pPr>
      <w:r>
        <w:rPr>
          <w:rFonts w:hint="eastAsia"/>
        </w:rPr>
        <w:t>（9）其他合同文件。</w:t>
      </w:r>
    </w:p>
    <w:p w14:paraId="3C263002">
      <w:pPr>
        <w:pStyle w:val="20"/>
        <w:rPr>
          <w:rFonts w:hint="eastAsia"/>
        </w:rPr>
      </w:pPr>
      <w:bookmarkStart w:id="482" w:name="_Toc108513689"/>
      <w:bookmarkStart w:id="483" w:name="_Toc144974584"/>
      <w:bookmarkStart w:id="484" w:name="_Toc179632634"/>
      <w:bookmarkStart w:id="485" w:name="_Toc152045616"/>
      <w:bookmarkStart w:id="486" w:name="_Toc152042394"/>
      <w:r>
        <w:rPr>
          <w:rFonts w:hint="eastAsia"/>
        </w:rPr>
        <w:t>1.5 合同协议书</w:t>
      </w:r>
      <w:bookmarkEnd w:id="482"/>
      <w:bookmarkEnd w:id="483"/>
      <w:bookmarkEnd w:id="484"/>
      <w:bookmarkEnd w:id="485"/>
      <w:bookmarkEnd w:id="486"/>
    </w:p>
    <w:p w14:paraId="5B96F415">
      <w:pPr>
        <w:spacing w:line="400" w:lineRule="exact"/>
        <w:ind w:firstLine="420" w:firstLineChars="200"/>
        <w:rPr>
          <w:rFonts w:hint="eastAsia"/>
        </w:rPr>
      </w:pPr>
      <w:r>
        <w:rPr>
          <w:rFonts w:hint="eastAsia"/>
        </w:rPr>
        <w:t>承包人按中标通知书规定的时间与发包人签订合同协议书。除法律另有规定或合同另有约定外，发包人和承包人的法定代表人或其委托代理人在合同协议书上签字并盖单位章后，合同生效。</w:t>
      </w:r>
    </w:p>
    <w:p w14:paraId="490EA8AB">
      <w:pPr>
        <w:pStyle w:val="20"/>
        <w:rPr>
          <w:rFonts w:hint="eastAsia"/>
        </w:rPr>
      </w:pPr>
      <w:bookmarkStart w:id="487" w:name="_Toc108513690"/>
      <w:bookmarkStart w:id="488" w:name="_Toc152042395"/>
      <w:bookmarkStart w:id="489" w:name="_Toc152045617"/>
      <w:bookmarkStart w:id="490" w:name="_Toc179632635"/>
      <w:bookmarkStart w:id="491" w:name="_Toc144974585"/>
      <w:r>
        <w:rPr>
          <w:rFonts w:hint="eastAsia"/>
        </w:rPr>
        <w:t>1.6 图纸和承包人文件</w:t>
      </w:r>
      <w:bookmarkEnd w:id="487"/>
      <w:bookmarkEnd w:id="488"/>
      <w:bookmarkEnd w:id="489"/>
      <w:bookmarkEnd w:id="490"/>
      <w:bookmarkEnd w:id="491"/>
    </w:p>
    <w:p w14:paraId="2027A9BD">
      <w:pPr>
        <w:spacing w:line="400" w:lineRule="exact"/>
        <w:ind w:firstLine="420" w:firstLineChars="200"/>
        <w:rPr>
          <w:rFonts w:hint="eastAsia"/>
        </w:rPr>
      </w:pPr>
      <w:r>
        <w:rPr>
          <w:rFonts w:hint="eastAsia"/>
        </w:rPr>
        <w:t>1.6.1</w:t>
      </w:r>
      <w:r>
        <w:rPr>
          <w:rFonts w:hint="eastAsia" w:ascii="黑体" w:eastAsia="黑体"/>
        </w:rPr>
        <w:t>图纸的提供</w:t>
      </w:r>
    </w:p>
    <w:p w14:paraId="5DE82830">
      <w:pPr>
        <w:spacing w:line="400" w:lineRule="exact"/>
        <w:ind w:firstLine="420" w:firstLineChars="200"/>
        <w:rPr>
          <w:rFonts w:hint="eastAsia"/>
        </w:rPr>
      </w:pPr>
      <w:r>
        <w:rPr>
          <w:rFonts w:hint="eastAsia"/>
        </w:rPr>
        <w:t>除专用合同条款另有约定外，图纸应在合理的期限内按照合同约定的数量提供给承包人。由于发包人未按时提供图纸造成工期延误的，按第11.3款的约定办理。</w:t>
      </w:r>
    </w:p>
    <w:p w14:paraId="32792E5E">
      <w:pPr>
        <w:spacing w:line="400" w:lineRule="exact"/>
        <w:ind w:firstLine="420" w:firstLineChars="200"/>
        <w:rPr>
          <w:rFonts w:hint="eastAsia"/>
        </w:rPr>
      </w:pPr>
      <w:r>
        <w:rPr>
          <w:rFonts w:hint="eastAsia"/>
        </w:rPr>
        <w:t xml:space="preserve">1.6.2 </w:t>
      </w:r>
      <w:r>
        <w:rPr>
          <w:rFonts w:hint="eastAsia" w:ascii="黑体" w:eastAsia="黑体"/>
        </w:rPr>
        <w:t>承包人提供的文件</w:t>
      </w:r>
    </w:p>
    <w:p w14:paraId="3E2DFBBB">
      <w:pPr>
        <w:spacing w:line="400" w:lineRule="exact"/>
        <w:rPr>
          <w:rFonts w:hint="eastAsia"/>
        </w:rPr>
      </w:pPr>
      <w:r>
        <w:rPr>
          <w:rFonts w:hint="eastAsia"/>
        </w:rPr>
        <w:t>　　按专用合同条款约定由承包人提供的文件，包括部分工程的大样图、加工图等，承包人应按约定的数量和期限报送监理人。监理人应在专用合同条款约定的期限内批复。</w:t>
      </w:r>
    </w:p>
    <w:p w14:paraId="20D46154">
      <w:pPr>
        <w:spacing w:line="400" w:lineRule="exact"/>
        <w:ind w:firstLine="420" w:firstLineChars="200"/>
        <w:rPr>
          <w:rFonts w:hint="eastAsia"/>
        </w:rPr>
      </w:pPr>
      <w:r>
        <w:rPr>
          <w:rFonts w:hint="eastAsia"/>
        </w:rPr>
        <w:t xml:space="preserve">1.6.3 </w:t>
      </w:r>
      <w:r>
        <w:rPr>
          <w:rFonts w:hint="eastAsia" w:ascii="黑体" w:eastAsia="黑体"/>
        </w:rPr>
        <w:t>图纸的修改</w:t>
      </w:r>
    </w:p>
    <w:p w14:paraId="00C6CA4E">
      <w:pPr>
        <w:spacing w:line="400" w:lineRule="exact"/>
        <w:ind w:firstLine="420" w:firstLineChars="200"/>
        <w:rPr>
          <w:rFonts w:hint="eastAsia"/>
        </w:rPr>
      </w:pPr>
      <w:r>
        <w:rPr>
          <w:rFonts w:hint="eastAsia"/>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045DD83D">
      <w:pPr>
        <w:spacing w:line="400" w:lineRule="exact"/>
        <w:ind w:firstLine="420" w:firstLineChars="200"/>
        <w:rPr>
          <w:rFonts w:hint="eastAsia"/>
        </w:rPr>
      </w:pPr>
      <w:r>
        <w:rPr>
          <w:rFonts w:hint="eastAsia"/>
        </w:rPr>
        <w:t xml:space="preserve">1.6.4 </w:t>
      </w:r>
      <w:r>
        <w:rPr>
          <w:rFonts w:hint="eastAsia" w:ascii="黑体" w:eastAsia="黑体"/>
        </w:rPr>
        <w:t>图纸的错误</w:t>
      </w:r>
    </w:p>
    <w:p w14:paraId="12EAB5EE">
      <w:pPr>
        <w:spacing w:line="400" w:lineRule="exact"/>
        <w:ind w:firstLine="420" w:firstLineChars="200"/>
        <w:rPr>
          <w:rFonts w:hint="eastAsia"/>
        </w:rPr>
      </w:pPr>
      <w:r>
        <w:rPr>
          <w:rFonts w:hint="eastAsia"/>
        </w:rPr>
        <w:t>承包人发现发包人提供的图纸存在明显错误或疏忽，应及时通知监理人。</w:t>
      </w:r>
    </w:p>
    <w:p w14:paraId="76F0BBEB">
      <w:pPr>
        <w:spacing w:line="400" w:lineRule="exact"/>
        <w:ind w:firstLine="420" w:firstLineChars="200"/>
        <w:rPr>
          <w:rFonts w:hint="eastAsia"/>
        </w:rPr>
      </w:pPr>
      <w:r>
        <w:rPr>
          <w:rFonts w:hint="eastAsia"/>
        </w:rPr>
        <w:t xml:space="preserve">1.6.5 </w:t>
      </w:r>
      <w:r>
        <w:rPr>
          <w:rFonts w:hint="eastAsia" w:ascii="黑体" w:eastAsia="黑体"/>
        </w:rPr>
        <w:t>图纸和承包人文件的保管</w:t>
      </w:r>
    </w:p>
    <w:p w14:paraId="777FD08F">
      <w:pPr>
        <w:spacing w:line="400" w:lineRule="exact"/>
        <w:ind w:firstLine="420" w:firstLineChars="200"/>
        <w:rPr>
          <w:rFonts w:hint="eastAsia"/>
        </w:rPr>
      </w:pPr>
      <w:r>
        <w:rPr>
          <w:rFonts w:hint="eastAsia"/>
        </w:rPr>
        <w:t>监理人和承包人均应在施工场地各保存一套完整的包含第1.6.1项、第1.6.2项、第1.6.3项约定内容的图纸和承包人文件。</w:t>
      </w:r>
    </w:p>
    <w:p w14:paraId="7CE5664C">
      <w:pPr>
        <w:pStyle w:val="20"/>
        <w:rPr>
          <w:rFonts w:hint="eastAsia"/>
        </w:rPr>
      </w:pPr>
      <w:bookmarkStart w:id="492" w:name="_Toc144974586"/>
      <w:bookmarkStart w:id="493" w:name="_Toc108513691"/>
      <w:bookmarkStart w:id="494" w:name="_Toc179632636"/>
      <w:bookmarkStart w:id="495" w:name="_Toc152042396"/>
      <w:bookmarkStart w:id="496" w:name="_Toc152045618"/>
      <w:r>
        <w:rPr>
          <w:rFonts w:hint="eastAsia"/>
        </w:rPr>
        <w:t>1.7 联络</w:t>
      </w:r>
      <w:bookmarkEnd w:id="492"/>
      <w:bookmarkEnd w:id="493"/>
      <w:bookmarkEnd w:id="494"/>
      <w:bookmarkEnd w:id="495"/>
      <w:bookmarkEnd w:id="496"/>
    </w:p>
    <w:p w14:paraId="78278A39">
      <w:pPr>
        <w:spacing w:line="400" w:lineRule="exact"/>
        <w:ind w:firstLine="420" w:firstLineChars="200"/>
        <w:rPr>
          <w:rFonts w:hint="eastAsia"/>
        </w:rPr>
      </w:pPr>
      <w:r>
        <w:rPr>
          <w:rFonts w:hint="eastAsia"/>
        </w:rPr>
        <w:t>1.7.1 与合同有关的通知、批准、证明、证书、指示、要求、请求、同意、意见、确定和决定等，均应采用书面形式。</w:t>
      </w:r>
    </w:p>
    <w:p w14:paraId="7C652359">
      <w:pPr>
        <w:spacing w:line="400" w:lineRule="exact"/>
        <w:ind w:firstLine="420" w:firstLineChars="200"/>
        <w:rPr>
          <w:rFonts w:hint="eastAsia"/>
        </w:rPr>
      </w:pPr>
      <w:r>
        <w:rPr>
          <w:rFonts w:hint="eastAsia"/>
        </w:rPr>
        <w:t>1.7.2 第1.7.1项中的通知、批准、证明、证书、指示、要求、请求、同意、意见、确定和决定等来往函件，均应在合同约定的期限内送达指定地点和接收人，并办理签收手续。</w:t>
      </w:r>
    </w:p>
    <w:p w14:paraId="5F22F5EA">
      <w:pPr>
        <w:pStyle w:val="20"/>
        <w:rPr>
          <w:rFonts w:hint="eastAsia"/>
        </w:rPr>
      </w:pPr>
      <w:bookmarkStart w:id="497" w:name="_Toc152045619"/>
      <w:bookmarkStart w:id="498" w:name="_Toc179632637"/>
      <w:bookmarkStart w:id="499" w:name="_Toc144974587"/>
      <w:bookmarkStart w:id="500" w:name="_Toc152042397"/>
      <w:bookmarkStart w:id="501" w:name="_Toc108513692"/>
      <w:r>
        <w:rPr>
          <w:rFonts w:hint="eastAsia"/>
        </w:rPr>
        <w:t>1.8 转让</w:t>
      </w:r>
      <w:bookmarkEnd w:id="497"/>
      <w:bookmarkEnd w:id="498"/>
      <w:bookmarkEnd w:id="499"/>
      <w:bookmarkEnd w:id="500"/>
      <w:bookmarkEnd w:id="501"/>
    </w:p>
    <w:p w14:paraId="02A8AD28">
      <w:pPr>
        <w:spacing w:line="400" w:lineRule="exact"/>
        <w:ind w:firstLine="420" w:firstLineChars="200"/>
        <w:rPr>
          <w:rFonts w:hint="eastAsia"/>
        </w:rPr>
      </w:pPr>
      <w:r>
        <w:rPr>
          <w:rFonts w:hint="eastAsia"/>
        </w:rPr>
        <w:t>除合同另有约定外，未经对方当事人同意，一方当事人不得将合同权利全部或部分转让给第三人，也不得全部或部分转移合同义务。</w:t>
      </w:r>
    </w:p>
    <w:p w14:paraId="4BFEA70C">
      <w:pPr>
        <w:pStyle w:val="20"/>
        <w:rPr>
          <w:rFonts w:hint="eastAsia"/>
        </w:rPr>
      </w:pPr>
      <w:bookmarkStart w:id="502" w:name="_Toc108513693"/>
      <w:bookmarkStart w:id="503" w:name="_Toc152042398"/>
      <w:bookmarkStart w:id="504" w:name="_Toc144974588"/>
      <w:bookmarkStart w:id="505" w:name="_Toc152045620"/>
      <w:bookmarkStart w:id="506" w:name="_Toc179632638"/>
      <w:r>
        <w:rPr>
          <w:rFonts w:hint="eastAsia"/>
        </w:rPr>
        <w:t>1.9 严禁贿赂</w:t>
      </w:r>
      <w:bookmarkEnd w:id="502"/>
      <w:bookmarkEnd w:id="503"/>
      <w:bookmarkEnd w:id="504"/>
      <w:bookmarkEnd w:id="505"/>
      <w:bookmarkEnd w:id="506"/>
    </w:p>
    <w:p w14:paraId="726430EF">
      <w:pPr>
        <w:spacing w:line="400" w:lineRule="exact"/>
        <w:ind w:firstLine="420" w:firstLineChars="200"/>
        <w:rPr>
          <w:rFonts w:hint="eastAsia"/>
        </w:rPr>
      </w:pPr>
      <w:r>
        <w:rPr>
          <w:rFonts w:hint="eastAsia"/>
        </w:rPr>
        <w:t>合同双方当事人不得以贿赂或变相贿赂的方式，谋取不当利益或损害对方权益。因贿赂造成对方损失的，行为人应赔偿损失，并承担相应的法律责任。</w:t>
      </w:r>
    </w:p>
    <w:p w14:paraId="0735786A">
      <w:pPr>
        <w:pStyle w:val="20"/>
        <w:rPr>
          <w:rFonts w:hint="eastAsia"/>
        </w:rPr>
      </w:pPr>
      <w:bookmarkStart w:id="507" w:name="_Toc152045621"/>
      <w:bookmarkStart w:id="508" w:name="_Toc144974589"/>
      <w:bookmarkStart w:id="509" w:name="_Toc152042399"/>
      <w:bookmarkStart w:id="510" w:name="_Toc179632639"/>
      <w:bookmarkStart w:id="511" w:name="_Toc108513694"/>
      <w:r>
        <w:rPr>
          <w:rFonts w:hint="eastAsia"/>
        </w:rPr>
        <w:t>1.10 化石、文物</w:t>
      </w:r>
      <w:bookmarkEnd w:id="507"/>
      <w:bookmarkEnd w:id="508"/>
      <w:bookmarkEnd w:id="509"/>
      <w:bookmarkEnd w:id="510"/>
      <w:bookmarkEnd w:id="511"/>
    </w:p>
    <w:p w14:paraId="55924D57">
      <w:pPr>
        <w:spacing w:line="400" w:lineRule="exact"/>
        <w:ind w:firstLine="420" w:firstLineChars="200"/>
        <w:rPr>
          <w:rFonts w:hint="eastAsia"/>
        </w:rPr>
      </w:pPr>
      <w:r>
        <w:rPr>
          <w:rFonts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7D7E68AC">
      <w:pPr>
        <w:spacing w:line="400" w:lineRule="exact"/>
        <w:ind w:firstLine="420" w:firstLineChars="200"/>
        <w:rPr>
          <w:rFonts w:hint="eastAsia"/>
        </w:rPr>
      </w:pPr>
      <w:r>
        <w:rPr>
          <w:rFonts w:hint="eastAsia"/>
        </w:rPr>
        <w:t>1.10.2 承包人发现文物后不及时报告或隐瞒不报，致使文物丢失或损坏的，应赔偿损失，并承担相应的法律责任。</w:t>
      </w:r>
    </w:p>
    <w:p w14:paraId="0B1770F7">
      <w:pPr>
        <w:pStyle w:val="20"/>
        <w:rPr>
          <w:rFonts w:hint="eastAsia"/>
        </w:rPr>
      </w:pPr>
      <w:bookmarkStart w:id="512" w:name="_Toc152045622"/>
      <w:bookmarkStart w:id="513" w:name="_Toc108513695"/>
      <w:bookmarkStart w:id="514" w:name="_Toc179632640"/>
      <w:bookmarkStart w:id="515" w:name="_Toc144974590"/>
      <w:bookmarkStart w:id="516" w:name="_Toc152042400"/>
      <w:r>
        <w:rPr>
          <w:rFonts w:hint="eastAsia"/>
        </w:rPr>
        <w:t>1.11 专利技术</w:t>
      </w:r>
      <w:bookmarkEnd w:id="512"/>
      <w:bookmarkEnd w:id="513"/>
      <w:bookmarkEnd w:id="514"/>
      <w:bookmarkEnd w:id="515"/>
      <w:bookmarkEnd w:id="516"/>
    </w:p>
    <w:p w14:paraId="48FA7285">
      <w:pPr>
        <w:spacing w:line="400" w:lineRule="exact"/>
        <w:ind w:firstLine="420" w:firstLineChars="200"/>
        <w:rPr>
          <w:rFonts w:hint="eastAsia"/>
        </w:rPr>
      </w:pPr>
      <w:r>
        <w:rPr>
          <w:rFonts w:hint="eastAsia"/>
        </w:rPr>
        <w:t>1.11.1 承包人在使用任何材料、承包人设备、工程设备或采用施工工艺时，因侵犯专利权或其他知识产权所引起的责任，由承包人承担，但由于遵照发包人提供的设计或技术标准和要求引起的除外。</w:t>
      </w:r>
    </w:p>
    <w:p w14:paraId="16812133">
      <w:pPr>
        <w:spacing w:line="400" w:lineRule="exact"/>
        <w:ind w:firstLine="420" w:firstLineChars="200"/>
        <w:rPr>
          <w:rFonts w:hint="eastAsia"/>
        </w:rPr>
      </w:pPr>
      <w:r>
        <w:rPr>
          <w:rFonts w:hint="eastAsia"/>
        </w:rPr>
        <w:t>1.11.2 承包人在投标文件中采用专利技术的，专利技术的使用费包含在投标报价内。</w:t>
      </w:r>
    </w:p>
    <w:p w14:paraId="68C83C09">
      <w:pPr>
        <w:spacing w:line="400" w:lineRule="exact"/>
        <w:ind w:firstLine="420" w:firstLineChars="200"/>
        <w:rPr>
          <w:rFonts w:hint="eastAsia"/>
        </w:rPr>
      </w:pPr>
      <w:r>
        <w:rPr>
          <w:rFonts w:hint="eastAsia"/>
        </w:rPr>
        <w:t>1.11.3 承包人的技术秘密和声明需要保密的资料和信息，发包人和监理人不得为合同以外的目的泄露给他人。</w:t>
      </w:r>
    </w:p>
    <w:p w14:paraId="2FB2B6AA">
      <w:pPr>
        <w:pStyle w:val="20"/>
        <w:rPr>
          <w:rFonts w:hint="eastAsia"/>
        </w:rPr>
      </w:pPr>
      <w:bookmarkStart w:id="517" w:name="_Toc152045623"/>
      <w:bookmarkStart w:id="518" w:name="_Toc108513696"/>
      <w:bookmarkStart w:id="519" w:name="_Toc152042401"/>
      <w:bookmarkStart w:id="520" w:name="_Toc144974591"/>
      <w:bookmarkStart w:id="521" w:name="_Toc179632641"/>
      <w:r>
        <w:rPr>
          <w:rFonts w:hint="eastAsia"/>
        </w:rPr>
        <w:t>1.12 图纸和文件的保密</w:t>
      </w:r>
      <w:bookmarkEnd w:id="517"/>
      <w:bookmarkEnd w:id="518"/>
      <w:bookmarkEnd w:id="519"/>
      <w:bookmarkEnd w:id="520"/>
      <w:bookmarkEnd w:id="521"/>
    </w:p>
    <w:p w14:paraId="114FD3A2">
      <w:pPr>
        <w:spacing w:line="400" w:lineRule="exact"/>
        <w:ind w:firstLine="420" w:firstLineChars="200"/>
        <w:rPr>
          <w:rFonts w:hint="eastAsia"/>
        </w:rPr>
      </w:pPr>
      <w:r>
        <w:rPr>
          <w:rFonts w:hint="eastAsia"/>
        </w:rPr>
        <w:t>1.12.1 发包人提供的图纸和文件，未经发包人同意，承包人不得为合同以外的目的泄露给他人或公开发表与引用。</w:t>
      </w:r>
    </w:p>
    <w:p w14:paraId="478B4334">
      <w:pPr>
        <w:spacing w:line="400" w:lineRule="exact"/>
        <w:ind w:firstLine="420" w:firstLineChars="200"/>
        <w:rPr>
          <w:rFonts w:hint="eastAsia"/>
        </w:rPr>
      </w:pPr>
      <w:r>
        <w:rPr>
          <w:rFonts w:hint="eastAsia"/>
        </w:rPr>
        <w:t>1.12.2 承包人提供的文件，未经承包人同意，发包人和监理人不得为合同以外的目的泄露给他人或公开发表与引用。</w:t>
      </w:r>
    </w:p>
    <w:p w14:paraId="374E9927">
      <w:pPr>
        <w:pStyle w:val="18"/>
        <w:rPr>
          <w:rFonts w:hint="eastAsia"/>
        </w:rPr>
      </w:pPr>
      <w:bookmarkStart w:id="522" w:name="_Toc152045624"/>
      <w:bookmarkStart w:id="523" w:name="_Toc152042402"/>
      <w:bookmarkStart w:id="524" w:name="_Toc144974592"/>
      <w:bookmarkStart w:id="525" w:name="_Toc179632642"/>
      <w:bookmarkStart w:id="526" w:name="_Toc108513697"/>
      <w:r>
        <w:rPr>
          <w:rFonts w:hint="eastAsia"/>
        </w:rPr>
        <w:t>2. 发包人义务</w:t>
      </w:r>
      <w:bookmarkEnd w:id="522"/>
      <w:bookmarkEnd w:id="523"/>
      <w:bookmarkEnd w:id="524"/>
      <w:bookmarkEnd w:id="525"/>
      <w:bookmarkEnd w:id="526"/>
    </w:p>
    <w:p w14:paraId="61E5C4D1">
      <w:pPr>
        <w:pStyle w:val="20"/>
        <w:rPr>
          <w:rFonts w:hint="eastAsia"/>
        </w:rPr>
      </w:pPr>
      <w:bookmarkStart w:id="527" w:name="_Toc152042403"/>
      <w:bookmarkStart w:id="528" w:name="_Toc108513698"/>
      <w:bookmarkStart w:id="529" w:name="_Toc152045625"/>
      <w:bookmarkStart w:id="530" w:name="_Toc179632643"/>
      <w:bookmarkStart w:id="531" w:name="_Toc144974593"/>
      <w:r>
        <w:rPr>
          <w:rFonts w:hint="eastAsia"/>
        </w:rPr>
        <w:t>2.1 遵守法律</w:t>
      </w:r>
      <w:bookmarkEnd w:id="527"/>
      <w:bookmarkEnd w:id="528"/>
      <w:bookmarkEnd w:id="529"/>
      <w:bookmarkEnd w:id="530"/>
      <w:bookmarkEnd w:id="531"/>
    </w:p>
    <w:p w14:paraId="26B23F75">
      <w:pPr>
        <w:spacing w:line="400" w:lineRule="exact"/>
        <w:ind w:firstLine="420" w:firstLineChars="200"/>
        <w:rPr>
          <w:rFonts w:hint="eastAsia"/>
        </w:rPr>
      </w:pPr>
      <w:r>
        <w:rPr>
          <w:rFonts w:hint="eastAsia"/>
        </w:rPr>
        <w:t>发包人在履行合同过程中应遵守法律，并保证承包人免于承担因发包人违反法律而引起的任何责任。</w:t>
      </w:r>
    </w:p>
    <w:p w14:paraId="2CB83E04">
      <w:pPr>
        <w:pStyle w:val="20"/>
        <w:rPr>
          <w:rFonts w:hint="eastAsia"/>
        </w:rPr>
      </w:pPr>
      <w:bookmarkStart w:id="532" w:name="_Toc144974594"/>
      <w:bookmarkStart w:id="533" w:name="_Toc152042404"/>
      <w:bookmarkStart w:id="534" w:name="_Toc152045626"/>
      <w:bookmarkStart w:id="535" w:name="_Toc108513699"/>
      <w:bookmarkStart w:id="536" w:name="_Toc179632644"/>
      <w:r>
        <w:rPr>
          <w:rFonts w:hint="eastAsia"/>
        </w:rPr>
        <w:t>2.2 发出开工通知</w:t>
      </w:r>
      <w:bookmarkEnd w:id="532"/>
      <w:bookmarkEnd w:id="533"/>
      <w:bookmarkEnd w:id="534"/>
      <w:bookmarkEnd w:id="535"/>
      <w:bookmarkEnd w:id="536"/>
    </w:p>
    <w:p w14:paraId="5F891BDA">
      <w:pPr>
        <w:spacing w:line="400" w:lineRule="exact"/>
        <w:ind w:firstLine="420" w:firstLineChars="200"/>
        <w:rPr>
          <w:rFonts w:hint="eastAsia"/>
        </w:rPr>
      </w:pPr>
      <w:r>
        <w:rPr>
          <w:rFonts w:hint="eastAsia"/>
        </w:rPr>
        <w:t>发包人应委托监理人按第11.1款的约定向承包人发出开工通知。</w:t>
      </w:r>
    </w:p>
    <w:p w14:paraId="269C48B0">
      <w:pPr>
        <w:pStyle w:val="20"/>
        <w:rPr>
          <w:rFonts w:hint="eastAsia"/>
        </w:rPr>
      </w:pPr>
      <w:bookmarkStart w:id="537" w:name="_Toc152045627"/>
      <w:bookmarkStart w:id="538" w:name="_Toc152042405"/>
      <w:bookmarkStart w:id="539" w:name="_Toc108513700"/>
      <w:bookmarkStart w:id="540" w:name="_Toc179632645"/>
      <w:bookmarkStart w:id="541" w:name="_Toc144974595"/>
      <w:r>
        <w:rPr>
          <w:rFonts w:hint="eastAsia"/>
        </w:rPr>
        <w:t>2.3 提供施工场地</w:t>
      </w:r>
      <w:bookmarkEnd w:id="537"/>
      <w:bookmarkEnd w:id="538"/>
      <w:bookmarkEnd w:id="539"/>
      <w:bookmarkEnd w:id="540"/>
      <w:bookmarkEnd w:id="541"/>
    </w:p>
    <w:p w14:paraId="771A5031">
      <w:pPr>
        <w:spacing w:line="400" w:lineRule="exact"/>
        <w:ind w:firstLine="420" w:firstLineChars="200"/>
        <w:rPr>
          <w:rFonts w:hint="eastAsia"/>
        </w:rPr>
      </w:pPr>
      <w:r>
        <w:rPr>
          <w:rFonts w:hint="eastAsia"/>
        </w:rPr>
        <w:t>发包人应按专用合同条款约定向承包人提供施工场地，以及施工场地内地下管线和地下设施等有关资料，并保证资料的真实、准确、完整。</w:t>
      </w:r>
    </w:p>
    <w:p w14:paraId="65D6A838">
      <w:pPr>
        <w:pStyle w:val="20"/>
        <w:rPr>
          <w:rFonts w:hint="eastAsia"/>
        </w:rPr>
      </w:pPr>
      <w:bookmarkStart w:id="542" w:name="_Toc108513701"/>
      <w:bookmarkStart w:id="543" w:name="_Toc144974596"/>
      <w:bookmarkStart w:id="544" w:name="_Toc179632646"/>
      <w:bookmarkStart w:id="545" w:name="_Toc152045628"/>
      <w:bookmarkStart w:id="546" w:name="_Toc152042406"/>
      <w:r>
        <w:rPr>
          <w:rFonts w:hint="eastAsia"/>
        </w:rPr>
        <w:t>2.4 协助承包人办理证件和批件</w:t>
      </w:r>
      <w:bookmarkEnd w:id="542"/>
      <w:bookmarkEnd w:id="543"/>
      <w:bookmarkEnd w:id="544"/>
      <w:bookmarkEnd w:id="545"/>
      <w:bookmarkEnd w:id="546"/>
    </w:p>
    <w:p w14:paraId="71379137">
      <w:pPr>
        <w:spacing w:line="400" w:lineRule="exact"/>
        <w:ind w:firstLine="420" w:firstLineChars="200"/>
        <w:rPr>
          <w:rFonts w:hint="eastAsia"/>
        </w:rPr>
      </w:pPr>
      <w:r>
        <w:rPr>
          <w:rFonts w:hint="eastAsia"/>
        </w:rPr>
        <w:t>发包人应协助承包人办理法律规定的有关施工证件和批件。</w:t>
      </w:r>
    </w:p>
    <w:p w14:paraId="3EB5615E">
      <w:pPr>
        <w:pStyle w:val="20"/>
        <w:rPr>
          <w:rFonts w:hint="eastAsia"/>
        </w:rPr>
      </w:pPr>
      <w:bookmarkStart w:id="547" w:name="_Toc108513702"/>
      <w:bookmarkStart w:id="548" w:name="_Toc179632647"/>
      <w:bookmarkStart w:id="549" w:name="_Toc144974597"/>
      <w:bookmarkStart w:id="550" w:name="_Toc152042407"/>
      <w:bookmarkStart w:id="551" w:name="_Toc152045629"/>
      <w:r>
        <w:rPr>
          <w:rFonts w:hint="eastAsia"/>
        </w:rPr>
        <w:t>2.5 组织设计交底</w:t>
      </w:r>
      <w:bookmarkEnd w:id="547"/>
      <w:bookmarkEnd w:id="548"/>
      <w:bookmarkEnd w:id="549"/>
      <w:bookmarkEnd w:id="550"/>
      <w:bookmarkEnd w:id="551"/>
    </w:p>
    <w:p w14:paraId="6E2B5757">
      <w:pPr>
        <w:spacing w:line="400" w:lineRule="exact"/>
        <w:ind w:firstLine="420" w:firstLineChars="200"/>
        <w:rPr>
          <w:rFonts w:hint="eastAsia"/>
        </w:rPr>
      </w:pPr>
      <w:r>
        <w:rPr>
          <w:rFonts w:hint="eastAsia"/>
        </w:rPr>
        <w:t>发包人应根据合同进度计划，组织设计单位向承包人进行设计交底。</w:t>
      </w:r>
    </w:p>
    <w:p w14:paraId="7610D731">
      <w:pPr>
        <w:pStyle w:val="20"/>
        <w:rPr>
          <w:rFonts w:hint="eastAsia"/>
        </w:rPr>
      </w:pPr>
      <w:bookmarkStart w:id="552" w:name="_Toc179632648"/>
      <w:bookmarkStart w:id="553" w:name="_Toc144974598"/>
      <w:bookmarkStart w:id="554" w:name="_Toc152045630"/>
      <w:bookmarkStart w:id="555" w:name="_Toc152042408"/>
      <w:bookmarkStart w:id="556" w:name="_Toc108513703"/>
      <w:r>
        <w:rPr>
          <w:rFonts w:hint="eastAsia"/>
        </w:rPr>
        <w:t>2.6 支付合同价款</w:t>
      </w:r>
      <w:bookmarkEnd w:id="552"/>
      <w:bookmarkEnd w:id="553"/>
      <w:bookmarkEnd w:id="554"/>
      <w:bookmarkEnd w:id="555"/>
      <w:bookmarkEnd w:id="556"/>
    </w:p>
    <w:p w14:paraId="5F4C94FA">
      <w:pPr>
        <w:spacing w:line="400" w:lineRule="exact"/>
        <w:ind w:firstLine="420" w:firstLineChars="200"/>
        <w:rPr>
          <w:rFonts w:hint="eastAsia"/>
        </w:rPr>
      </w:pPr>
      <w:r>
        <w:rPr>
          <w:rFonts w:hint="eastAsia"/>
        </w:rPr>
        <w:t>发包人应按合同约定向承包人及时支付合同价款。</w:t>
      </w:r>
    </w:p>
    <w:p w14:paraId="2B724972">
      <w:pPr>
        <w:pStyle w:val="20"/>
        <w:rPr>
          <w:rFonts w:hint="eastAsia"/>
        </w:rPr>
      </w:pPr>
      <w:bookmarkStart w:id="557" w:name="_Toc108513704"/>
      <w:bookmarkStart w:id="558" w:name="_Toc179632649"/>
      <w:bookmarkStart w:id="559" w:name="_Toc152042409"/>
      <w:bookmarkStart w:id="560" w:name="_Toc152045631"/>
      <w:bookmarkStart w:id="561" w:name="_Toc144974599"/>
      <w:r>
        <w:rPr>
          <w:rFonts w:hint="eastAsia"/>
        </w:rPr>
        <w:t>2.7 组织竣工验收</w:t>
      </w:r>
      <w:bookmarkEnd w:id="557"/>
      <w:bookmarkEnd w:id="558"/>
      <w:bookmarkEnd w:id="559"/>
      <w:bookmarkEnd w:id="560"/>
      <w:bookmarkEnd w:id="561"/>
    </w:p>
    <w:p w14:paraId="70DAC54F">
      <w:pPr>
        <w:spacing w:line="400" w:lineRule="exact"/>
        <w:ind w:firstLine="420" w:firstLineChars="200"/>
        <w:rPr>
          <w:rFonts w:hint="eastAsia"/>
        </w:rPr>
      </w:pPr>
      <w:r>
        <w:rPr>
          <w:rFonts w:hint="eastAsia"/>
        </w:rPr>
        <w:t>发包人应按合同约定及时组织竣工验收。</w:t>
      </w:r>
    </w:p>
    <w:p w14:paraId="15274E71">
      <w:pPr>
        <w:pStyle w:val="20"/>
        <w:rPr>
          <w:rFonts w:hint="eastAsia"/>
        </w:rPr>
      </w:pPr>
      <w:bookmarkStart w:id="562" w:name="_Toc144974600"/>
      <w:bookmarkStart w:id="563" w:name="_Toc152045632"/>
      <w:bookmarkStart w:id="564" w:name="_Toc108513705"/>
      <w:bookmarkStart w:id="565" w:name="_Toc179632650"/>
      <w:bookmarkStart w:id="566" w:name="_Toc152042410"/>
      <w:r>
        <w:rPr>
          <w:rFonts w:hint="eastAsia"/>
        </w:rPr>
        <w:t>2.8 其他义务</w:t>
      </w:r>
      <w:bookmarkEnd w:id="562"/>
      <w:bookmarkEnd w:id="563"/>
      <w:bookmarkEnd w:id="564"/>
      <w:bookmarkEnd w:id="565"/>
      <w:bookmarkEnd w:id="566"/>
    </w:p>
    <w:p w14:paraId="44DF15D8">
      <w:pPr>
        <w:spacing w:line="400" w:lineRule="exact"/>
        <w:ind w:firstLine="420" w:firstLineChars="200"/>
        <w:rPr>
          <w:rFonts w:hint="eastAsia"/>
        </w:rPr>
      </w:pPr>
      <w:r>
        <w:rPr>
          <w:rFonts w:hint="eastAsia"/>
        </w:rPr>
        <w:t>发包人应履行合同约定的其他义务。</w:t>
      </w:r>
    </w:p>
    <w:p w14:paraId="307C5709">
      <w:pPr>
        <w:pStyle w:val="18"/>
        <w:rPr>
          <w:rFonts w:hint="eastAsia"/>
        </w:rPr>
      </w:pPr>
      <w:bookmarkStart w:id="567" w:name="_Toc144974601"/>
      <w:bookmarkStart w:id="568" w:name="_Toc152042411"/>
      <w:bookmarkStart w:id="569" w:name="_Toc108513706"/>
      <w:bookmarkStart w:id="570" w:name="_Toc179632651"/>
      <w:bookmarkStart w:id="571" w:name="_Toc152045633"/>
      <w:r>
        <w:rPr>
          <w:rFonts w:hint="eastAsia"/>
        </w:rPr>
        <w:t>3. 监理人</w:t>
      </w:r>
      <w:bookmarkEnd w:id="567"/>
      <w:bookmarkEnd w:id="568"/>
      <w:bookmarkEnd w:id="569"/>
      <w:bookmarkEnd w:id="570"/>
      <w:bookmarkEnd w:id="571"/>
    </w:p>
    <w:p w14:paraId="2348A22D">
      <w:pPr>
        <w:pStyle w:val="20"/>
        <w:rPr>
          <w:rFonts w:hint="eastAsia"/>
        </w:rPr>
      </w:pPr>
      <w:bookmarkStart w:id="572" w:name="_Toc152045634"/>
      <w:bookmarkStart w:id="573" w:name="_Toc144974602"/>
      <w:bookmarkStart w:id="574" w:name="_Toc108513707"/>
      <w:bookmarkStart w:id="575" w:name="_Toc152042412"/>
      <w:bookmarkStart w:id="576" w:name="_Toc179632652"/>
      <w:r>
        <w:rPr>
          <w:rFonts w:hint="eastAsia"/>
        </w:rPr>
        <w:t>3.1 监理人的职责和权力</w:t>
      </w:r>
      <w:bookmarkEnd w:id="572"/>
      <w:bookmarkEnd w:id="573"/>
      <w:bookmarkEnd w:id="574"/>
      <w:bookmarkEnd w:id="575"/>
      <w:bookmarkEnd w:id="576"/>
    </w:p>
    <w:p w14:paraId="7616BDF3">
      <w:pPr>
        <w:spacing w:line="400" w:lineRule="exact"/>
        <w:ind w:firstLine="420" w:firstLineChars="200"/>
        <w:rPr>
          <w:rFonts w:hint="eastAsia"/>
        </w:rPr>
      </w:pPr>
      <w:r>
        <w:rPr>
          <w:rFonts w:hint="eastAsia"/>
        </w:rPr>
        <w:t>3.1.1 监理人受发包人委托，享有合同约定的权力。监理人在行使某项权力前需要经发包人事先批准而通用合同条款没有指明的，应在专用合同条款中指明。</w:t>
      </w:r>
    </w:p>
    <w:p w14:paraId="4AF7C111">
      <w:pPr>
        <w:spacing w:line="400" w:lineRule="exact"/>
        <w:ind w:firstLine="420" w:firstLineChars="200"/>
        <w:rPr>
          <w:rFonts w:hint="eastAsia"/>
        </w:rPr>
      </w:pPr>
      <w:r>
        <w:rPr>
          <w:rFonts w:hint="eastAsia"/>
        </w:rPr>
        <w:t>3.1.2 监理人发出的任何指示应视为已得到发包人的批准，但监理人无权免除或变更合同约定的发包人和承包人的权利、义务和责任。</w:t>
      </w:r>
    </w:p>
    <w:p w14:paraId="7715B149">
      <w:pPr>
        <w:spacing w:line="400" w:lineRule="exact"/>
        <w:ind w:firstLine="420" w:firstLineChars="200"/>
        <w:rPr>
          <w:rFonts w:hint="eastAsia"/>
        </w:rPr>
      </w:pPr>
      <w:r>
        <w:rPr>
          <w:rFonts w:hint="eastAsia"/>
        </w:rPr>
        <w:t>3.1.3 合同约定应由承包人承担的义务和责任，不因监理人对承包人提交文件的审查或批准，对工程、材料和设备的检查和检验，以及为实施监理作出的指示等职务行为而减轻或解除。</w:t>
      </w:r>
    </w:p>
    <w:p w14:paraId="60D96FA5">
      <w:pPr>
        <w:pStyle w:val="20"/>
        <w:rPr>
          <w:rFonts w:hint="eastAsia"/>
        </w:rPr>
      </w:pPr>
      <w:bookmarkStart w:id="577" w:name="_Toc152045635"/>
      <w:bookmarkStart w:id="578" w:name="_Toc152042413"/>
      <w:bookmarkStart w:id="579" w:name="_Toc144974603"/>
      <w:bookmarkStart w:id="580" w:name="_Toc108513708"/>
      <w:bookmarkStart w:id="581" w:name="_Toc179632653"/>
      <w:r>
        <w:rPr>
          <w:rFonts w:hint="eastAsia"/>
        </w:rPr>
        <w:t>3.2 总监理工程师</w:t>
      </w:r>
      <w:bookmarkEnd w:id="577"/>
      <w:bookmarkEnd w:id="578"/>
      <w:bookmarkEnd w:id="579"/>
      <w:bookmarkEnd w:id="580"/>
      <w:bookmarkEnd w:id="581"/>
    </w:p>
    <w:p w14:paraId="002E01BA">
      <w:pPr>
        <w:spacing w:line="400" w:lineRule="exact"/>
        <w:ind w:firstLine="420" w:firstLineChars="200"/>
        <w:rPr>
          <w:rFonts w:hint="eastAsia"/>
        </w:rPr>
      </w:pPr>
      <w:r>
        <w:rPr>
          <w:rFonts w:hint="eastAsia"/>
        </w:rPr>
        <w:t>发包人应在发出开工通知前将总监理工程师的任命通知承包人。总监理工程师更换时，应在调离14天前通知承包人。总监理工程师短期离开施工场地的，应委派代表代行其职责，并通知承包人。</w:t>
      </w:r>
    </w:p>
    <w:p w14:paraId="2AA45F7A">
      <w:pPr>
        <w:pStyle w:val="20"/>
        <w:rPr>
          <w:rFonts w:hint="eastAsia"/>
        </w:rPr>
      </w:pPr>
      <w:bookmarkStart w:id="582" w:name="_Toc144974604"/>
      <w:bookmarkStart w:id="583" w:name="_Toc152045636"/>
      <w:bookmarkStart w:id="584" w:name="_Toc152042414"/>
      <w:bookmarkStart w:id="585" w:name="_Toc179632654"/>
      <w:bookmarkStart w:id="586" w:name="_Toc108513709"/>
      <w:r>
        <w:rPr>
          <w:rFonts w:hint="eastAsia"/>
        </w:rPr>
        <w:t>3.3 监理人员</w:t>
      </w:r>
      <w:bookmarkEnd w:id="582"/>
      <w:bookmarkEnd w:id="583"/>
      <w:bookmarkEnd w:id="584"/>
      <w:bookmarkEnd w:id="585"/>
      <w:bookmarkEnd w:id="586"/>
    </w:p>
    <w:p w14:paraId="1B18FFF6">
      <w:pPr>
        <w:spacing w:line="400" w:lineRule="exact"/>
        <w:ind w:firstLine="420" w:firstLineChars="200"/>
        <w:rPr>
          <w:rFonts w:hint="eastAsia"/>
        </w:rPr>
      </w:pPr>
      <w:r>
        <w:rPr>
          <w:rFonts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42A5B012">
      <w:pPr>
        <w:spacing w:line="400" w:lineRule="exact"/>
        <w:ind w:firstLine="420" w:firstLineChars="200"/>
        <w:rPr>
          <w:rFonts w:hint="eastAsia"/>
        </w:rPr>
      </w:pPr>
      <w:r>
        <w:rPr>
          <w:rFonts w:hint="eastAsia"/>
        </w:rPr>
        <w:t>3.3.2 监理人员对承包人的任何工作、工程或其采用的材料和工程设备未在约定的或合理的期限内提出否定意见的，视为已获批准，但不影响监理人在以后拒绝该项工作、工程、材料或工程设备的权利。</w:t>
      </w:r>
    </w:p>
    <w:p w14:paraId="06AACFF8">
      <w:pPr>
        <w:spacing w:line="400" w:lineRule="exact"/>
        <w:ind w:firstLine="420" w:firstLineChars="200"/>
        <w:rPr>
          <w:rFonts w:hint="eastAsia"/>
        </w:rPr>
      </w:pPr>
      <w:r>
        <w:rPr>
          <w:rFonts w:hint="eastAsia"/>
        </w:rPr>
        <w:t>3.3.3 承包人对总监理工程师授权的监理人员发出的指示有疑问的，可向总监理工程师提出书面异议，总监理工程师应在48小时内对该指示予以确认、更改或撤销。</w:t>
      </w:r>
    </w:p>
    <w:p w14:paraId="46E86992">
      <w:pPr>
        <w:spacing w:line="400" w:lineRule="exact"/>
        <w:ind w:firstLine="420" w:firstLineChars="200"/>
        <w:rPr>
          <w:rFonts w:hint="eastAsia"/>
        </w:rPr>
      </w:pPr>
      <w:r>
        <w:rPr>
          <w:rFonts w:hint="eastAsia"/>
        </w:rPr>
        <w:t>3.3.4 除专用合同条款另有约定外，总监理工程师不应将第3.5款约定应由总监理工程师作出确定的权力授权或委托给其他监理人员。</w:t>
      </w:r>
    </w:p>
    <w:p w14:paraId="622AF419">
      <w:pPr>
        <w:pStyle w:val="20"/>
        <w:rPr>
          <w:rFonts w:hint="eastAsia"/>
        </w:rPr>
      </w:pPr>
      <w:bookmarkStart w:id="587" w:name="_Toc108513710"/>
      <w:bookmarkStart w:id="588" w:name="_Toc152042415"/>
      <w:bookmarkStart w:id="589" w:name="_Toc179632655"/>
      <w:bookmarkStart w:id="590" w:name="_Toc144974605"/>
      <w:bookmarkStart w:id="591" w:name="_Toc152045637"/>
      <w:r>
        <w:rPr>
          <w:rFonts w:hint="eastAsia"/>
        </w:rPr>
        <w:t>3.4 监理人的指示</w:t>
      </w:r>
      <w:bookmarkEnd w:id="587"/>
      <w:bookmarkEnd w:id="588"/>
      <w:bookmarkEnd w:id="589"/>
      <w:bookmarkEnd w:id="590"/>
      <w:bookmarkEnd w:id="591"/>
    </w:p>
    <w:p w14:paraId="57ABA99B">
      <w:pPr>
        <w:spacing w:line="400" w:lineRule="exact"/>
        <w:ind w:firstLine="420" w:firstLineChars="200"/>
        <w:rPr>
          <w:rFonts w:hint="eastAsia"/>
        </w:rPr>
      </w:pPr>
      <w:r>
        <w:rPr>
          <w:rFonts w:hint="eastAsia"/>
        </w:rPr>
        <w:t>3.4.1 监理人应按第3.1款的约定向承包人发出指示，监理人的指示应盖有监理人授权的施工场地机构章，并由总监理工程师或总监理工程师按第3.3.1项约定授权的监理人员签字。</w:t>
      </w:r>
    </w:p>
    <w:p w14:paraId="2569DC72">
      <w:pPr>
        <w:spacing w:line="400" w:lineRule="exact"/>
        <w:ind w:firstLine="420" w:firstLineChars="200"/>
        <w:rPr>
          <w:rFonts w:hint="eastAsia"/>
        </w:rPr>
      </w:pPr>
      <w:r>
        <w:rPr>
          <w:rFonts w:hint="eastAsia"/>
        </w:rPr>
        <w:t>3.4.2 承包人收到监理人按第3.4.1项作出的指示后应遵照执行。指示构成变更的，应按第15条处理。</w:t>
      </w:r>
    </w:p>
    <w:p w14:paraId="5AAE9551">
      <w:pPr>
        <w:spacing w:line="400" w:lineRule="exact"/>
        <w:ind w:firstLine="420" w:firstLineChars="200"/>
        <w:rPr>
          <w:rFonts w:hint="eastAsia"/>
        </w:rPr>
      </w:pPr>
      <w:r>
        <w:rPr>
          <w:rFonts w:hint="eastAsia"/>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296F423">
      <w:pPr>
        <w:spacing w:line="400" w:lineRule="exact"/>
        <w:ind w:firstLine="420" w:firstLineChars="200"/>
        <w:rPr>
          <w:rFonts w:hint="eastAsia"/>
        </w:rPr>
      </w:pPr>
      <w:r>
        <w:rPr>
          <w:rFonts w:hint="eastAsia"/>
        </w:rPr>
        <w:t>3.4.4 除合同另有约定外，承包人只从总监理工程师或按第3.3.1项被授权的监理人员处取得指示。</w:t>
      </w:r>
    </w:p>
    <w:p w14:paraId="1121185A">
      <w:pPr>
        <w:spacing w:line="400" w:lineRule="exact"/>
        <w:ind w:firstLine="420" w:firstLineChars="200"/>
        <w:rPr>
          <w:rFonts w:hint="eastAsia"/>
        </w:rPr>
      </w:pPr>
      <w:r>
        <w:rPr>
          <w:rFonts w:hint="eastAsia"/>
        </w:rPr>
        <w:t xml:space="preserve">3.4.5 由于监理人未能按合同约定发出指示、指示延误或指示错误而导致承包人费用增加和（或）工期延误的，由发包人承担赔偿责任。 </w:t>
      </w:r>
    </w:p>
    <w:p w14:paraId="02E12548">
      <w:pPr>
        <w:pStyle w:val="20"/>
        <w:rPr>
          <w:rFonts w:hint="eastAsia"/>
        </w:rPr>
      </w:pPr>
      <w:bookmarkStart w:id="592" w:name="_Toc179632656"/>
      <w:bookmarkStart w:id="593" w:name="_Toc108513711"/>
      <w:bookmarkStart w:id="594" w:name="_Toc152042416"/>
      <w:bookmarkStart w:id="595" w:name="_Toc144974606"/>
      <w:bookmarkStart w:id="596" w:name="_Toc152045638"/>
      <w:r>
        <w:rPr>
          <w:rFonts w:hint="eastAsia"/>
        </w:rPr>
        <w:t>3.5 商定或确定</w:t>
      </w:r>
      <w:bookmarkEnd w:id="592"/>
      <w:bookmarkEnd w:id="593"/>
      <w:bookmarkEnd w:id="594"/>
      <w:bookmarkEnd w:id="595"/>
      <w:bookmarkEnd w:id="596"/>
    </w:p>
    <w:p w14:paraId="4A34E98F">
      <w:pPr>
        <w:spacing w:line="400" w:lineRule="exact"/>
        <w:ind w:firstLine="420" w:firstLineChars="200"/>
        <w:rPr>
          <w:rFonts w:hint="eastAsia"/>
        </w:rPr>
      </w:pPr>
      <w:r>
        <w:rPr>
          <w:rFonts w:hint="eastAsia"/>
        </w:rPr>
        <w:t>3.5.1合同约定总监理工程师应按照本款对任何事项进行商定或确定时，总监理工程师应与合同当事人协商，尽量达成一致。不能达成一致的，总监理工程师应认真研究后审慎确定。</w:t>
      </w:r>
    </w:p>
    <w:p w14:paraId="5E607352">
      <w:pPr>
        <w:spacing w:line="400" w:lineRule="exact"/>
        <w:ind w:firstLine="420" w:firstLineChars="200"/>
        <w:rPr>
          <w:rFonts w:hint="eastAsia"/>
        </w:rPr>
      </w:pPr>
      <w:r>
        <w:rPr>
          <w:rFonts w:hint="eastAsia"/>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0FA1B32B">
      <w:pPr>
        <w:pStyle w:val="18"/>
        <w:rPr>
          <w:rFonts w:hint="eastAsia"/>
        </w:rPr>
      </w:pPr>
      <w:bookmarkStart w:id="597" w:name="_Toc152042417"/>
      <w:bookmarkStart w:id="598" w:name="_Toc108513712"/>
      <w:bookmarkStart w:id="599" w:name="_Toc179632657"/>
      <w:bookmarkStart w:id="600" w:name="_Toc144974607"/>
      <w:bookmarkStart w:id="601" w:name="_Toc152045639"/>
      <w:r>
        <w:rPr>
          <w:rFonts w:hint="eastAsia"/>
        </w:rPr>
        <w:t>4. 承包人</w:t>
      </w:r>
      <w:bookmarkEnd w:id="597"/>
      <w:bookmarkEnd w:id="598"/>
      <w:bookmarkEnd w:id="599"/>
      <w:bookmarkEnd w:id="600"/>
      <w:bookmarkEnd w:id="601"/>
    </w:p>
    <w:p w14:paraId="2F888413">
      <w:pPr>
        <w:pStyle w:val="20"/>
        <w:rPr>
          <w:rFonts w:hint="eastAsia"/>
        </w:rPr>
      </w:pPr>
      <w:bookmarkStart w:id="602" w:name="_Toc108513713"/>
      <w:bookmarkStart w:id="603" w:name="_Toc144974608"/>
      <w:bookmarkStart w:id="604" w:name="_Toc152045640"/>
      <w:bookmarkStart w:id="605" w:name="_Toc179632658"/>
      <w:bookmarkStart w:id="606" w:name="_Toc152042418"/>
      <w:r>
        <w:rPr>
          <w:rFonts w:hint="eastAsia"/>
        </w:rPr>
        <w:t>4.1 承包人的一般义务</w:t>
      </w:r>
      <w:bookmarkEnd w:id="602"/>
      <w:bookmarkEnd w:id="603"/>
      <w:bookmarkEnd w:id="604"/>
      <w:bookmarkEnd w:id="605"/>
      <w:bookmarkEnd w:id="606"/>
    </w:p>
    <w:p w14:paraId="6115E67D">
      <w:pPr>
        <w:spacing w:line="400" w:lineRule="exact"/>
        <w:ind w:firstLine="420" w:firstLineChars="200"/>
        <w:rPr>
          <w:rFonts w:hint="eastAsia"/>
        </w:rPr>
      </w:pPr>
      <w:r>
        <w:rPr>
          <w:rFonts w:hint="eastAsia"/>
        </w:rPr>
        <w:t xml:space="preserve">4.1.1 </w:t>
      </w:r>
      <w:r>
        <w:rPr>
          <w:rFonts w:hint="eastAsia" w:ascii="黑体" w:eastAsia="黑体"/>
        </w:rPr>
        <w:t>遵守法律</w:t>
      </w:r>
    </w:p>
    <w:p w14:paraId="5B6CA63D">
      <w:pPr>
        <w:spacing w:line="400" w:lineRule="exact"/>
        <w:ind w:firstLine="420" w:firstLineChars="200"/>
        <w:rPr>
          <w:rFonts w:hint="eastAsia"/>
        </w:rPr>
      </w:pPr>
      <w:r>
        <w:rPr>
          <w:rFonts w:hint="eastAsia"/>
        </w:rPr>
        <w:t>承包人在履行合同过程中应遵守法律，并保证发包人免于承担因承包人违反法律而引起的任何责任。</w:t>
      </w:r>
    </w:p>
    <w:p w14:paraId="014D7629">
      <w:pPr>
        <w:spacing w:line="400" w:lineRule="exact"/>
        <w:ind w:firstLine="420" w:firstLineChars="200"/>
        <w:rPr>
          <w:rFonts w:hint="eastAsia"/>
        </w:rPr>
      </w:pPr>
      <w:r>
        <w:rPr>
          <w:rFonts w:hint="eastAsia"/>
        </w:rPr>
        <w:t xml:space="preserve">4.1.2 </w:t>
      </w:r>
      <w:r>
        <w:rPr>
          <w:rFonts w:hint="eastAsia" w:ascii="黑体" w:eastAsia="黑体"/>
        </w:rPr>
        <w:t>依法纳税</w:t>
      </w:r>
    </w:p>
    <w:p w14:paraId="2F6DC250">
      <w:pPr>
        <w:spacing w:line="400" w:lineRule="exact"/>
        <w:ind w:firstLine="420" w:firstLineChars="200"/>
        <w:rPr>
          <w:rFonts w:hint="eastAsia"/>
        </w:rPr>
      </w:pPr>
      <w:r>
        <w:rPr>
          <w:rFonts w:hint="eastAsia"/>
        </w:rPr>
        <w:t>承包人应按有关法律规定纳税，应缴纳的税金包括在合同价格内。</w:t>
      </w:r>
    </w:p>
    <w:p w14:paraId="0384136E">
      <w:pPr>
        <w:spacing w:line="400" w:lineRule="exact"/>
        <w:ind w:firstLine="420" w:firstLineChars="200"/>
        <w:rPr>
          <w:rFonts w:hint="eastAsia"/>
        </w:rPr>
      </w:pPr>
      <w:r>
        <w:rPr>
          <w:rFonts w:hint="eastAsia"/>
        </w:rPr>
        <w:t xml:space="preserve">4.1.3 </w:t>
      </w:r>
      <w:r>
        <w:rPr>
          <w:rFonts w:hint="eastAsia" w:ascii="黑体" w:eastAsia="黑体"/>
        </w:rPr>
        <w:t>完成各项承包工作</w:t>
      </w:r>
    </w:p>
    <w:p w14:paraId="46A86749">
      <w:pPr>
        <w:spacing w:line="400" w:lineRule="exact"/>
        <w:ind w:firstLine="420" w:firstLineChars="200"/>
        <w:rPr>
          <w:rFonts w:hint="eastAsia"/>
        </w:rPr>
      </w:pPr>
      <w:r>
        <w:rPr>
          <w:rFonts w:hint="eastAsia"/>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0E290DFA">
      <w:pPr>
        <w:spacing w:line="400" w:lineRule="exact"/>
        <w:ind w:firstLine="420" w:firstLineChars="200"/>
        <w:rPr>
          <w:rFonts w:hint="eastAsia"/>
        </w:rPr>
      </w:pPr>
      <w:r>
        <w:rPr>
          <w:rFonts w:hint="eastAsia"/>
        </w:rPr>
        <w:t xml:space="preserve">4.1.4 </w:t>
      </w:r>
      <w:r>
        <w:rPr>
          <w:rFonts w:hint="eastAsia" w:ascii="黑体" w:eastAsia="黑体"/>
        </w:rPr>
        <w:t>对施工作业和施工方法的完备性负责</w:t>
      </w:r>
    </w:p>
    <w:p w14:paraId="075810CD">
      <w:pPr>
        <w:spacing w:line="400" w:lineRule="exact"/>
        <w:ind w:firstLine="420" w:firstLineChars="200"/>
        <w:rPr>
          <w:rFonts w:hint="eastAsia"/>
        </w:rPr>
      </w:pPr>
      <w:r>
        <w:rPr>
          <w:rFonts w:hint="eastAsia"/>
        </w:rPr>
        <w:t>承包人应按合同约定的工作内容和施工进度要求，编制施工组织设计和施工措施计划，并对所有施工作业和施工方法的完备性和安全可靠性负责。</w:t>
      </w:r>
    </w:p>
    <w:p w14:paraId="5983F34A">
      <w:pPr>
        <w:spacing w:line="400" w:lineRule="exact"/>
        <w:ind w:firstLine="420" w:firstLineChars="200"/>
        <w:rPr>
          <w:rFonts w:hint="eastAsia"/>
        </w:rPr>
      </w:pPr>
      <w:r>
        <w:rPr>
          <w:rFonts w:hint="eastAsia"/>
        </w:rPr>
        <w:t xml:space="preserve">4.1.5 </w:t>
      </w:r>
      <w:r>
        <w:rPr>
          <w:rFonts w:hint="eastAsia" w:ascii="黑体" w:eastAsia="黑体"/>
        </w:rPr>
        <w:t>保证工程施工和人员的安全</w:t>
      </w:r>
    </w:p>
    <w:p w14:paraId="24E66332">
      <w:pPr>
        <w:spacing w:line="400" w:lineRule="exact"/>
        <w:ind w:firstLine="420" w:firstLineChars="200"/>
        <w:rPr>
          <w:rFonts w:hint="eastAsia"/>
        </w:rPr>
      </w:pPr>
      <w:r>
        <w:rPr>
          <w:rFonts w:hint="eastAsia"/>
        </w:rPr>
        <w:t>承包人应按第9.2款约定采取施工安全措施，确保工程及其人员、材料、设备和设施的安全，防止因工程施工造成的人身伤害和财产损失。</w:t>
      </w:r>
    </w:p>
    <w:p w14:paraId="7382628B">
      <w:pPr>
        <w:spacing w:line="400" w:lineRule="exact"/>
        <w:ind w:firstLine="420" w:firstLineChars="200"/>
        <w:rPr>
          <w:rFonts w:hint="eastAsia"/>
        </w:rPr>
      </w:pPr>
      <w:r>
        <w:rPr>
          <w:rFonts w:hint="eastAsia"/>
        </w:rPr>
        <w:t xml:space="preserve">4.1.6 </w:t>
      </w:r>
      <w:r>
        <w:rPr>
          <w:rFonts w:hint="eastAsia" w:ascii="黑体" w:eastAsia="黑体"/>
        </w:rPr>
        <w:t>负责施工场地及其周边环境与生态的保护工作</w:t>
      </w:r>
    </w:p>
    <w:p w14:paraId="7D709686">
      <w:pPr>
        <w:spacing w:line="400" w:lineRule="exact"/>
        <w:ind w:firstLine="420" w:firstLineChars="200"/>
        <w:rPr>
          <w:rFonts w:hint="eastAsia"/>
        </w:rPr>
      </w:pPr>
      <w:r>
        <w:rPr>
          <w:rFonts w:hint="eastAsia"/>
        </w:rPr>
        <w:t>承包人应按照第9.4款约定负责施工场地及其周边环境与生态的保护工作。</w:t>
      </w:r>
    </w:p>
    <w:p w14:paraId="62B127B3">
      <w:pPr>
        <w:spacing w:line="400" w:lineRule="exact"/>
        <w:ind w:firstLine="420" w:firstLineChars="200"/>
        <w:rPr>
          <w:rFonts w:hint="eastAsia"/>
        </w:rPr>
      </w:pPr>
      <w:r>
        <w:rPr>
          <w:rFonts w:hint="eastAsia"/>
        </w:rPr>
        <w:t xml:space="preserve">4.1.7 </w:t>
      </w:r>
      <w:r>
        <w:rPr>
          <w:rFonts w:hint="eastAsia" w:ascii="黑体" w:eastAsia="黑体"/>
        </w:rPr>
        <w:t>避免施工对公众与他人的利益造成损害</w:t>
      </w:r>
    </w:p>
    <w:p w14:paraId="2845408A">
      <w:pPr>
        <w:spacing w:line="400" w:lineRule="exact"/>
        <w:ind w:firstLine="420" w:firstLineChars="200"/>
        <w:rPr>
          <w:rFonts w:hint="eastAsia"/>
        </w:rPr>
      </w:pPr>
      <w:r>
        <w:rPr>
          <w:rFonts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9CF4D47">
      <w:pPr>
        <w:spacing w:line="400" w:lineRule="exact"/>
        <w:ind w:firstLine="420" w:firstLineChars="200"/>
        <w:rPr>
          <w:rFonts w:hint="eastAsia"/>
        </w:rPr>
      </w:pPr>
      <w:r>
        <w:rPr>
          <w:rFonts w:hint="eastAsia"/>
        </w:rPr>
        <w:t xml:space="preserve">4.1.8 </w:t>
      </w:r>
      <w:r>
        <w:rPr>
          <w:rFonts w:hint="eastAsia" w:ascii="黑体" w:eastAsia="黑体"/>
        </w:rPr>
        <w:t>为他人提供方便</w:t>
      </w:r>
    </w:p>
    <w:p w14:paraId="60DFB4D9">
      <w:pPr>
        <w:spacing w:line="400" w:lineRule="exact"/>
        <w:ind w:firstLine="420" w:firstLineChars="200"/>
        <w:rPr>
          <w:rFonts w:hint="eastAsia"/>
        </w:rPr>
      </w:pPr>
      <w:r>
        <w:rPr>
          <w:rFonts w:hint="eastAsia"/>
        </w:rPr>
        <w:t>承包人应按监理人的指示为他人在施工场地或附近实施与工程有关的其他各项工作提供可能的条件。除合同另有约定外，提供有关条件的内容和可能发生的费用，由监理人按第3.5款商定或确定。</w:t>
      </w:r>
    </w:p>
    <w:p w14:paraId="2C58B244">
      <w:pPr>
        <w:spacing w:line="400" w:lineRule="exact"/>
        <w:ind w:firstLine="420" w:firstLineChars="200"/>
        <w:rPr>
          <w:rFonts w:hint="eastAsia"/>
        </w:rPr>
      </w:pPr>
      <w:r>
        <w:rPr>
          <w:rFonts w:hint="eastAsia"/>
        </w:rPr>
        <w:t xml:space="preserve">4.1.9 </w:t>
      </w:r>
      <w:r>
        <w:rPr>
          <w:rFonts w:hint="eastAsia" w:ascii="黑体" w:eastAsia="黑体"/>
        </w:rPr>
        <w:t>工程的维护和照管</w:t>
      </w:r>
    </w:p>
    <w:p w14:paraId="083576BC">
      <w:pPr>
        <w:spacing w:line="400" w:lineRule="exact"/>
        <w:ind w:firstLine="420" w:firstLineChars="200"/>
        <w:rPr>
          <w:rFonts w:hint="eastAsia"/>
        </w:rPr>
      </w:pPr>
      <w:r>
        <w:rPr>
          <w:rFonts w:hint="eastAsia"/>
        </w:rPr>
        <w:t>工程接收证书颁发前，承包人应负责照管和维护工程。工程接收证书颁发时尚有部分未竣工工程的，承包人还应负责该未竣工工程的照管和维护工作，直至竣工后移交给发包人为止。</w:t>
      </w:r>
    </w:p>
    <w:p w14:paraId="177906B3">
      <w:pPr>
        <w:spacing w:line="400" w:lineRule="exact"/>
        <w:ind w:firstLine="420" w:firstLineChars="200"/>
        <w:rPr>
          <w:rFonts w:hint="eastAsia"/>
        </w:rPr>
      </w:pPr>
      <w:r>
        <w:rPr>
          <w:rFonts w:hint="eastAsia"/>
        </w:rPr>
        <w:t xml:space="preserve">4.1.10 </w:t>
      </w:r>
      <w:r>
        <w:rPr>
          <w:rFonts w:hint="eastAsia" w:ascii="黑体" w:eastAsia="黑体"/>
        </w:rPr>
        <w:t>其他义务</w:t>
      </w:r>
    </w:p>
    <w:p w14:paraId="3A43D872">
      <w:pPr>
        <w:spacing w:line="400" w:lineRule="exact"/>
        <w:ind w:firstLine="420" w:firstLineChars="200"/>
        <w:rPr>
          <w:rFonts w:hint="eastAsia"/>
        </w:rPr>
      </w:pPr>
      <w:r>
        <w:rPr>
          <w:rFonts w:hint="eastAsia"/>
        </w:rPr>
        <w:t>承包人应履行合同约定的其他义务。</w:t>
      </w:r>
    </w:p>
    <w:p w14:paraId="07543487">
      <w:pPr>
        <w:pStyle w:val="20"/>
        <w:rPr>
          <w:rFonts w:hint="eastAsia"/>
        </w:rPr>
      </w:pPr>
      <w:bookmarkStart w:id="607" w:name="_Toc152045641"/>
      <w:bookmarkStart w:id="608" w:name="_Toc179632659"/>
      <w:bookmarkStart w:id="609" w:name="_Toc108513714"/>
      <w:bookmarkStart w:id="610" w:name="_Toc152042419"/>
      <w:bookmarkStart w:id="611" w:name="_Toc144974609"/>
      <w:r>
        <w:rPr>
          <w:rFonts w:hint="eastAsia"/>
        </w:rPr>
        <w:t>4.2 履约担保</w:t>
      </w:r>
      <w:bookmarkEnd w:id="607"/>
      <w:bookmarkEnd w:id="608"/>
      <w:bookmarkEnd w:id="609"/>
      <w:bookmarkEnd w:id="610"/>
      <w:bookmarkEnd w:id="611"/>
    </w:p>
    <w:p w14:paraId="6D465D60">
      <w:pPr>
        <w:spacing w:line="400" w:lineRule="exact"/>
        <w:ind w:firstLine="420" w:firstLineChars="200"/>
        <w:rPr>
          <w:rFonts w:hint="eastAsia"/>
        </w:rPr>
      </w:pPr>
      <w:r>
        <w:rPr>
          <w:rFonts w:hint="eastAsia"/>
        </w:rPr>
        <w:t>承包人应保证其履约担保在发包人颁发工程接收证书前一直有效。发包人应在工程接收证书颁发后28天内把履约担保退还给承包人。</w:t>
      </w:r>
    </w:p>
    <w:p w14:paraId="607FE419">
      <w:pPr>
        <w:pStyle w:val="20"/>
        <w:rPr>
          <w:rFonts w:hint="eastAsia"/>
        </w:rPr>
      </w:pPr>
      <w:bookmarkStart w:id="612" w:name="_Toc144974610"/>
      <w:bookmarkStart w:id="613" w:name="_Toc152045642"/>
      <w:bookmarkStart w:id="614" w:name="_Toc152042420"/>
      <w:bookmarkStart w:id="615" w:name="_Toc179632660"/>
      <w:bookmarkStart w:id="616" w:name="_Toc108513715"/>
      <w:r>
        <w:rPr>
          <w:rFonts w:hint="eastAsia"/>
        </w:rPr>
        <w:t>4.3 分包</w:t>
      </w:r>
      <w:bookmarkEnd w:id="612"/>
      <w:bookmarkEnd w:id="613"/>
      <w:bookmarkEnd w:id="614"/>
      <w:bookmarkEnd w:id="615"/>
      <w:bookmarkEnd w:id="616"/>
    </w:p>
    <w:p w14:paraId="17B86506">
      <w:pPr>
        <w:spacing w:line="400" w:lineRule="exact"/>
        <w:ind w:firstLine="420" w:firstLineChars="200"/>
        <w:rPr>
          <w:rFonts w:hint="eastAsia"/>
        </w:rPr>
      </w:pPr>
      <w:r>
        <w:rPr>
          <w:rFonts w:hint="eastAsia"/>
        </w:rPr>
        <w:t>4.3.1 承包人不得将其承包的全部工程转包给第三人，或将其承包的全部工程肢解后以分包的名义转包给第三人。</w:t>
      </w:r>
    </w:p>
    <w:p w14:paraId="3AF5ABEB">
      <w:pPr>
        <w:spacing w:line="400" w:lineRule="exact"/>
        <w:ind w:firstLine="420" w:firstLineChars="200"/>
        <w:rPr>
          <w:rFonts w:hint="eastAsia"/>
        </w:rPr>
      </w:pPr>
      <w:r>
        <w:rPr>
          <w:rFonts w:hint="eastAsia"/>
        </w:rPr>
        <w:t>4.3.2 承包人不得将工程主体、关键性工作分包给第三人。除专用合同条款另有约定外，未经发包人同意，承包人不得将工程的其他部分或工作分包给第三人。</w:t>
      </w:r>
    </w:p>
    <w:p w14:paraId="26477D1E">
      <w:pPr>
        <w:spacing w:line="400" w:lineRule="exact"/>
        <w:ind w:firstLine="420" w:firstLineChars="200"/>
        <w:rPr>
          <w:rFonts w:hint="eastAsia"/>
        </w:rPr>
      </w:pPr>
      <w:r>
        <w:rPr>
          <w:rFonts w:hint="eastAsia"/>
        </w:rPr>
        <w:t>4.3.3 分包人的资格能力应与其分包工程的标准和规模相适应。</w:t>
      </w:r>
    </w:p>
    <w:p w14:paraId="48A0E6C9">
      <w:pPr>
        <w:spacing w:line="400" w:lineRule="exact"/>
        <w:ind w:firstLine="420" w:firstLineChars="200"/>
        <w:rPr>
          <w:rFonts w:hint="eastAsia"/>
        </w:rPr>
      </w:pPr>
      <w:r>
        <w:rPr>
          <w:rFonts w:hint="eastAsia"/>
        </w:rPr>
        <w:t>4.3.4 按投标函附录约定分包工程的，承包人应向发包人和监理人提交分包合同副本。</w:t>
      </w:r>
    </w:p>
    <w:p w14:paraId="3F1756E2">
      <w:pPr>
        <w:spacing w:line="400" w:lineRule="exact"/>
        <w:ind w:firstLine="420" w:firstLineChars="200"/>
        <w:rPr>
          <w:rFonts w:hint="eastAsia"/>
        </w:rPr>
      </w:pPr>
      <w:r>
        <w:rPr>
          <w:rFonts w:hint="eastAsia"/>
        </w:rPr>
        <w:t>4.3.5 承包人应与分包人就分包工程向发包人承担连带责任。</w:t>
      </w:r>
    </w:p>
    <w:p w14:paraId="3EA6478B">
      <w:pPr>
        <w:pStyle w:val="20"/>
        <w:rPr>
          <w:rFonts w:hint="eastAsia"/>
        </w:rPr>
      </w:pPr>
      <w:bookmarkStart w:id="617" w:name="_Toc152042421"/>
      <w:bookmarkStart w:id="618" w:name="_Toc108513716"/>
      <w:bookmarkStart w:id="619" w:name="_Toc144974611"/>
      <w:bookmarkStart w:id="620" w:name="_Toc179632661"/>
      <w:bookmarkStart w:id="621" w:name="_Toc152045643"/>
      <w:r>
        <w:rPr>
          <w:rFonts w:hint="eastAsia"/>
        </w:rPr>
        <w:t>4.4 联合体</w:t>
      </w:r>
      <w:bookmarkEnd w:id="617"/>
      <w:bookmarkEnd w:id="618"/>
      <w:bookmarkEnd w:id="619"/>
      <w:bookmarkEnd w:id="620"/>
      <w:bookmarkEnd w:id="621"/>
    </w:p>
    <w:p w14:paraId="4CEEC832">
      <w:pPr>
        <w:spacing w:line="400" w:lineRule="exact"/>
        <w:ind w:firstLine="420" w:firstLineChars="200"/>
        <w:rPr>
          <w:rFonts w:hint="eastAsia"/>
        </w:rPr>
      </w:pPr>
      <w:r>
        <w:rPr>
          <w:rFonts w:hint="eastAsia"/>
        </w:rPr>
        <w:t>4.4.1 联合体各方应共同与发包人签订合同协议书。联合体各方应为履行合同承担连带责任。</w:t>
      </w:r>
    </w:p>
    <w:p w14:paraId="65F997CC">
      <w:pPr>
        <w:spacing w:line="400" w:lineRule="exact"/>
        <w:ind w:firstLine="420" w:firstLineChars="200"/>
        <w:rPr>
          <w:rFonts w:hint="eastAsia"/>
        </w:rPr>
      </w:pPr>
      <w:r>
        <w:rPr>
          <w:rFonts w:hint="eastAsia"/>
        </w:rPr>
        <w:t>4.4.2 联合体协议经发包人确认后作为合同附件。在履行合同过程中，未经发包人同意，不得修改联合体协议。</w:t>
      </w:r>
    </w:p>
    <w:p w14:paraId="015DA05E">
      <w:pPr>
        <w:spacing w:line="400" w:lineRule="exact"/>
        <w:ind w:firstLine="420" w:firstLineChars="200"/>
        <w:rPr>
          <w:rFonts w:hint="eastAsia"/>
        </w:rPr>
      </w:pPr>
      <w:r>
        <w:rPr>
          <w:rFonts w:hint="eastAsia"/>
        </w:rPr>
        <w:t>4.4.3 联合体牵头人负责与发包人和监理人联系，并接受指示，负责组织联合体各成员全面履行合同。</w:t>
      </w:r>
    </w:p>
    <w:p w14:paraId="27D95C03">
      <w:pPr>
        <w:pStyle w:val="20"/>
        <w:rPr>
          <w:rFonts w:hint="eastAsia"/>
        </w:rPr>
      </w:pPr>
      <w:bookmarkStart w:id="622" w:name="_Toc179632662"/>
      <w:bookmarkStart w:id="623" w:name="_Toc152045644"/>
      <w:bookmarkStart w:id="624" w:name="_Toc108513717"/>
      <w:bookmarkStart w:id="625" w:name="_Toc144974612"/>
      <w:bookmarkStart w:id="626" w:name="_Toc152042422"/>
      <w:r>
        <w:rPr>
          <w:rFonts w:hint="eastAsia"/>
        </w:rPr>
        <w:t>4.5 承包人项目经理</w:t>
      </w:r>
      <w:bookmarkEnd w:id="622"/>
      <w:bookmarkEnd w:id="623"/>
      <w:bookmarkEnd w:id="624"/>
      <w:bookmarkEnd w:id="625"/>
      <w:bookmarkEnd w:id="626"/>
    </w:p>
    <w:p w14:paraId="14E44F74">
      <w:pPr>
        <w:spacing w:line="400" w:lineRule="exact"/>
        <w:ind w:firstLine="420" w:firstLineChars="200"/>
        <w:rPr>
          <w:rFonts w:hint="eastAsia"/>
        </w:rPr>
      </w:pPr>
      <w:r>
        <w:rPr>
          <w:rFonts w:hint="eastAsia"/>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7AE419A6">
      <w:pPr>
        <w:spacing w:line="400" w:lineRule="exact"/>
        <w:ind w:firstLine="420" w:firstLineChars="200"/>
        <w:rPr>
          <w:rFonts w:hint="eastAsia"/>
        </w:rPr>
      </w:pPr>
      <w:r>
        <w:rPr>
          <w:rFonts w:hint="eastAsia"/>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73A2A89">
      <w:pPr>
        <w:spacing w:line="400" w:lineRule="exact"/>
        <w:ind w:firstLine="420" w:firstLineChars="200"/>
        <w:rPr>
          <w:rFonts w:hint="eastAsia"/>
        </w:rPr>
      </w:pPr>
      <w:r>
        <w:rPr>
          <w:rFonts w:hint="eastAsia"/>
        </w:rPr>
        <w:t>4.5.3承包人为履行合同发出的一切函件均应盖有承包人授权的施工场地管理机构章，并由承包人项目经理或其授权代表签字。</w:t>
      </w:r>
    </w:p>
    <w:p w14:paraId="7491779E">
      <w:pPr>
        <w:spacing w:line="400" w:lineRule="exact"/>
        <w:ind w:firstLine="420" w:firstLineChars="200"/>
        <w:rPr>
          <w:rFonts w:hint="eastAsia"/>
        </w:rPr>
      </w:pPr>
      <w:r>
        <w:rPr>
          <w:rFonts w:hint="eastAsia"/>
        </w:rPr>
        <w:t>4.5.4 承包人项目经理可以授权其下属人员履行其某项职责，但事先应将这些人员的姓名和授权范围通知监理人。</w:t>
      </w:r>
    </w:p>
    <w:p w14:paraId="7E5EE906">
      <w:pPr>
        <w:pStyle w:val="20"/>
        <w:rPr>
          <w:rFonts w:hint="eastAsia"/>
        </w:rPr>
      </w:pPr>
      <w:bookmarkStart w:id="627" w:name="_Toc108513718"/>
      <w:bookmarkStart w:id="628" w:name="_Toc152042423"/>
      <w:bookmarkStart w:id="629" w:name="_Toc179632663"/>
      <w:bookmarkStart w:id="630" w:name="_Toc152045645"/>
      <w:bookmarkStart w:id="631" w:name="_Toc144974613"/>
      <w:r>
        <w:rPr>
          <w:rFonts w:hint="eastAsia"/>
        </w:rPr>
        <w:t>4.6 承包人人员的管理</w:t>
      </w:r>
      <w:bookmarkEnd w:id="627"/>
      <w:bookmarkEnd w:id="628"/>
      <w:bookmarkEnd w:id="629"/>
      <w:bookmarkEnd w:id="630"/>
      <w:bookmarkEnd w:id="631"/>
    </w:p>
    <w:p w14:paraId="39D471AD">
      <w:pPr>
        <w:spacing w:line="400" w:lineRule="exact"/>
        <w:ind w:firstLine="420" w:firstLineChars="200"/>
        <w:rPr>
          <w:rFonts w:hint="eastAsia"/>
        </w:rPr>
      </w:pPr>
      <w:r>
        <w:rPr>
          <w:rFonts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3BBBB07B">
      <w:pPr>
        <w:spacing w:line="400" w:lineRule="exact"/>
        <w:ind w:firstLine="420" w:firstLineChars="200"/>
        <w:rPr>
          <w:rFonts w:hint="eastAsia"/>
        </w:rPr>
      </w:pPr>
      <w:r>
        <w:rPr>
          <w:rFonts w:hint="eastAsia"/>
        </w:rPr>
        <w:t>4.6.2 为完成合同约定的各项工作，承包人应向施工场地派遣或雇佣足够数量的下列人员：</w:t>
      </w:r>
    </w:p>
    <w:p w14:paraId="65FE03B2">
      <w:pPr>
        <w:spacing w:line="400" w:lineRule="exact"/>
        <w:ind w:firstLine="718" w:firstLineChars="342"/>
        <w:rPr>
          <w:rFonts w:hint="eastAsia"/>
        </w:rPr>
      </w:pPr>
      <w:r>
        <w:rPr>
          <w:rFonts w:hint="eastAsia"/>
        </w:rPr>
        <w:t>（1）具有相应资格的专业技工和合格的普工；</w:t>
      </w:r>
    </w:p>
    <w:p w14:paraId="667731ED">
      <w:pPr>
        <w:spacing w:line="400" w:lineRule="exact"/>
        <w:ind w:firstLine="718" w:firstLineChars="342"/>
        <w:rPr>
          <w:rFonts w:hint="eastAsia"/>
        </w:rPr>
      </w:pPr>
      <w:r>
        <w:rPr>
          <w:rFonts w:hint="eastAsia"/>
        </w:rPr>
        <w:t>（2）具有相应施工经验的技术人员；</w:t>
      </w:r>
    </w:p>
    <w:p w14:paraId="7C24A99B">
      <w:pPr>
        <w:spacing w:line="400" w:lineRule="exact"/>
        <w:ind w:firstLine="718" w:firstLineChars="342"/>
        <w:rPr>
          <w:rFonts w:hint="eastAsia"/>
        </w:rPr>
      </w:pPr>
      <w:r>
        <w:rPr>
          <w:rFonts w:hint="eastAsia"/>
        </w:rPr>
        <w:t>（3）具有相应岗位资格的各级管理人员。</w:t>
      </w:r>
    </w:p>
    <w:p w14:paraId="5DA956C1">
      <w:pPr>
        <w:spacing w:line="400" w:lineRule="exact"/>
        <w:ind w:firstLine="420" w:firstLineChars="200"/>
        <w:rPr>
          <w:rFonts w:hint="eastAsia"/>
        </w:rPr>
      </w:pPr>
      <w:r>
        <w:rPr>
          <w:rFonts w:hint="eastAsia"/>
        </w:rPr>
        <w:t>4.6.3 承包人安排在施工场地的主要管理人员和技术骨干应相对稳定。承包人更换主要管理人员和技术骨干时，应取得监理人的同意。</w:t>
      </w:r>
    </w:p>
    <w:p w14:paraId="16E76A2A">
      <w:pPr>
        <w:spacing w:line="400" w:lineRule="exact"/>
        <w:ind w:firstLine="420" w:firstLineChars="200"/>
        <w:rPr>
          <w:rFonts w:hint="eastAsia"/>
        </w:rPr>
      </w:pPr>
      <w:r>
        <w:rPr>
          <w:rFonts w:hint="eastAsia"/>
        </w:rPr>
        <w:t>4.6.4 特殊岗位的工作人员均应持有相应的资格证明，监理人有权随时检查。监理人认为有必要时，可进行现场考核。</w:t>
      </w:r>
    </w:p>
    <w:p w14:paraId="628A9F98">
      <w:pPr>
        <w:pStyle w:val="20"/>
        <w:rPr>
          <w:rFonts w:hint="eastAsia"/>
        </w:rPr>
      </w:pPr>
      <w:bookmarkStart w:id="632" w:name="_Toc152045646"/>
      <w:bookmarkStart w:id="633" w:name="_Toc152042424"/>
      <w:bookmarkStart w:id="634" w:name="_Toc144974614"/>
      <w:bookmarkStart w:id="635" w:name="_Toc179632664"/>
      <w:bookmarkStart w:id="636" w:name="_Toc108513719"/>
      <w:r>
        <w:rPr>
          <w:rFonts w:hint="eastAsia"/>
        </w:rPr>
        <w:t>4.7 撤换承包人项目经理和其他人员</w:t>
      </w:r>
      <w:bookmarkEnd w:id="632"/>
      <w:bookmarkEnd w:id="633"/>
      <w:bookmarkEnd w:id="634"/>
      <w:bookmarkEnd w:id="635"/>
      <w:bookmarkEnd w:id="636"/>
    </w:p>
    <w:p w14:paraId="308AABD7">
      <w:pPr>
        <w:spacing w:line="400" w:lineRule="exact"/>
        <w:ind w:firstLine="420" w:firstLineChars="200"/>
        <w:rPr>
          <w:rFonts w:hint="eastAsia"/>
        </w:rPr>
      </w:pPr>
      <w:r>
        <w:rPr>
          <w:rFonts w:hint="eastAsia"/>
        </w:rPr>
        <w:t>承包人应对其项目经理和其他人员进行有效管理。监理人要求撤换不能胜任本职工作、行为不端或玩忽职守的承包人项目经理和其他人员的，承包人应予以撤换。</w:t>
      </w:r>
    </w:p>
    <w:p w14:paraId="051648C4">
      <w:pPr>
        <w:pStyle w:val="20"/>
        <w:rPr>
          <w:rFonts w:hint="eastAsia"/>
        </w:rPr>
      </w:pPr>
      <w:bookmarkStart w:id="637" w:name="_Toc152045647"/>
      <w:bookmarkStart w:id="638" w:name="_Toc144974615"/>
      <w:bookmarkStart w:id="639" w:name="_Toc152042425"/>
      <w:bookmarkStart w:id="640" w:name="_Toc179632665"/>
      <w:bookmarkStart w:id="641" w:name="_Toc108513720"/>
      <w:r>
        <w:rPr>
          <w:rFonts w:hint="eastAsia"/>
        </w:rPr>
        <w:t>4.8 保障承包人人员的合法权益</w:t>
      </w:r>
      <w:bookmarkEnd w:id="637"/>
      <w:bookmarkEnd w:id="638"/>
      <w:bookmarkEnd w:id="639"/>
      <w:bookmarkEnd w:id="640"/>
      <w:bookmarkEnd w:id="641"/>
    </w:p>
    <w:p w14:paraId="014C54C4">
      <w:pPr>
        <w:spacing w:line="400" w:lineRule="exact"/>
        <w:ind w:firstLine="420" w:firstLineChars="200"/>
        <w:rPr>
          <w:rFonts w:hint="eastAsia"/>
        </w:rPr>
      </w:pPr>
      <w:r>
        <w:rPr>
          <w:rFonts w:hint="eastAsia"/>
        </w:rPr>
        <w:t>4.8.1 承包人应与其雇佣的人员签订劳动合同，并按时发放工资。</w:t>
      </w:r>
    </w:p>
    <w:p w14:paraId="43AAA3DB">
      <w:pPr>
        <w:spacing w:line="400" w:lineRule="exact"/>
        <w:ind w:firstLine="420" w:firstLineChars="200"/>
        <w:rPr>
          <w:rFonts w:hint="eastAsia"/>
        </w:rPr>
      </w:pPr>
      <w:r>
        <w:rPr>
          <w:rFonts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14:paraId="786D0667">
      <w:pPr>
        <w:spacing w:line="400" w:lineRule="exact"/>
        <w:ind w:firstLine="420" w:firstLineChars="200"/>
        <w:rPr>
          <w:rFonts w:hint="eastAsia"/>
        </w:rPr>
      </w:pPr>
      <w:r>
        <w:rPr>
          <w:rFonts w:hint="eastAsia"/>
        </w:rPr>
        <w:t>4.8.3 承包人应为其雇佣人员提供必要的食宿条件，以及符合环境保护和卫生要求的生活环境，在远离城镇的施工场地，还应配备必要的伤病防治和急救的医务人员与医疗设施。</w:t>
      </w:r>
    </w:p>
    <w:p w14:paraId="2A97F3EA">
      <w:pPr>
        <w:spacing w:line="400" w:lineRule="exact"/>
        <w:ind w:firstLine="420" w:firstLineChars="200"/>
        <w:rPr>
          <w:rFonts w:hint="eastAsia"/>
        </w:rPr>
      </w:pPr>
      <w:r>
        <w:rPr>
          <w:rFonts w:hint="eastAsia"/>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5334BC60">
      <w:pPr>
        <w:spacing w:line="400" w:lineRule="exact"/>
        <w:ind w:firstLine="420" w:firstLineChars="200"/>
        <w:rPr>
          <w:rFonts w:hint="eastAsia"/>
        </w:rPr>
      </w:pPr>
      <w:r>
        <w:rPr>
          <w:rFonts w:hint="eastAsia"/>
        </w:rPr>
        <w:t>4.8.5 承包人应按有关法律规定和合同约定，为其雇佣人员办理保险。</w:t>
      </w:r>
    </w:p>
    <w:p w14:paraId="490273F8">
      <w:pPr>
        <w:spacing w:line="400" w:lineRule="exact"/>
        <w:ind w:firstLine="420" w:firstLineChars="200"/>
        <w:rPr>
          <w:rFonts w:hint="eastAsia"/>
        </w:rPr>
      </w:pPr>
      <w:r>
        <w:rPr>
          <w:rFonts w:hint="eastAsia"/>
        </w:rPr>
        <w:t>4.8.6 承包人应负责处理其雇佣人员因工伤亡事故的善后事宜。</w:t>
      </w:r>
    </w:p>
    <w:p w14:paraId="49DFAF6E">
      <w:pPr>
        <w:pStyle w:val="20"/>
        <w:rPr>
          <w:rFonts w:hint="eastAsia"/>
        </w:rPr>
      </w:pPr>
      <w:bookmarkStart w:id="642" w:name="_Toc152042426"/>
      <w:bookmarkStart w:id="643" w:name="_Toc179632666"/>
      <w:bookmarkStart w:id="644" w:name="_Toc144974616"/>
      <w:bookmarkStart w:id="645" w:name="_Toc152045648"/>
      <w:bookmarkStart w:id="646" w:name="_Toc108513721"/>
      <w:r>
        <w:rPr>
          <w:rFonts w:hint="eastAsia"/>
        </w:rPr>
        <w:t>4.9 工程价款应专款专用</w:t>
      </w:r>
      <w:bookmarkEnd w:id="642"/>
      <w:bookmarkEnd w:id="643"/>
      <w:bookmarkEnd w:id="644"/>
      <w:bookmarkEnd w:id="645"/>
      <w:bookmarkEnd w:id="646"/>
    </w:p>
    <w:p w14:paraId="4CA3F34D">
      <w:pPr>
        <w:spacing w:line="400" w:lineRule="exact"/>
        <w:ind w:firstLine="420" w:firstLineChars="200"/>
        <w:rPr>
          <w:rFonts w:hint="eastAsia"/>
        </w:rPr>
      </w:pPr>
      <w:r>
        <w:rPr>
          <w:rFonts w:hint="eastAsia"/>
        </w:rPr>
        <w:t>发包人按合同约定支付给承包人的各项价款应专用于合同工程。</w:t>
      </w:r>
    </w:p>
    <w:p w14:paraId="339CB53B">
      <w:pPr>
        <w:pStyle w:val="20"/>
        <w:rPr>
          <w:rFonts w:hint="eastAsia"/>
        </w:rPr>
      </w:pPr>
      <w:bookmarkStart w:id="647" w:name="_Toc179632667"/>
      <w:bookmarkStart w:id="648" w:name="_Toc144974617"/>
      <w:bookmarkStart w:id="649" w:name="_Toc152042427"/>
      <w:bookmarkStart w:id="650" w:name="_Toc108513722"/>
      <w:bookmarkStart w:id="651" w:name="_Toc152045649"/>
      <w:r>
        <w:rPr>
          <w:rFonts w:hint="eastAsia"/>
        </w:rPr>
        <w:t>4.10 承包人现场查勘</w:t>
      </w:r>
      <w:bookmarkEnd w:id="647"/>
      <w:bookmarkEnd w:id="648"/>
      <w:bookmarkEnd w:id="649"/>
      <w:bookmarkEnd w:id="650"/>
      <w:bookmarkEnd w:id="651"/>
      <w:r>
        <w:rPr>
          <w:rFonts w:hint="eastAsia"/>
        </w:rPr>
        <w:t xml:space="preserve">                                                                                                           </w:t>
      </w:r>
    </w:p>
    <w:p w14:paraId="083592DA">
      <w:pPr>
        <w:spacing w:line="400" w:lineRule="exact"/>
        <w:ind w:firstLine="420" w:firstLineChars="200"/>
        <w:rPr>
          <w:rFonts w:hint="eastAsia"/>
        </w:rPr>
      </w:pPr>
      <w:r>
        <w:rPr>
          <w:rFonts w:hint="eastAsia"/>
        </w:rPr>
        <w:t>4.10.1 发包人应将其持有的现场地质勘探资料、水文气象资料提供给承包人，并对其准确性负责。但承包人应对其阅读上述有关资料后所作出的解释和推断负责。</w:t>
      </w:r>
    </w:p>
    <w:p w14:paraId="77D8EF16">
      <w:pPr>
        <w:spacing w:line="400" w:lineRule="exact"/>
        <w:ind w:firstLine="420" w:firstLineChars="200"/>
        <w:rPr>
          <w:rFonts w:hint="eastAsia"/>
        </w:rPr>
      </w:pPr>
      <w:r>
        <w:rPr>
          <w:rFonts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FDCCE4B">
      <w:pPr>
        <w:pStyle w:val="20"/>
        <w:rPr>
          <w:rFonts w:hint="eastAsia"/>
        </w:rPr>
      </w:pPr>
      <w:bookmarkStart w:id="652" w:name="_Toc144974618"/>
      <w:bookmarkStart w:id="653" w:name="_Toc152045650"/>
      <w:bookmarkStart w:id="654" w:name="_Toc179632668"/>
      <w:bookmarkStart w:id="655" w:name="_Toc152042428"/>
      <w:bookmarkStart w:id="656" w:name="_Toc108513723"/>
      <w:r>
        <w:rPr>
          <w:rFonts w:hint="eastAsia"/>
        </w:rPr>
        <w:t>4.11 不利物质条件</w:t>
      </w:r>
      <w:bookmarkEnd w:id="652"/>
      <w:bookmarkEnd w:id="653"/>
      <w:bookmarkEnd w:id="654"/>
      <w:bookmarkEnd w:id="655"/>
      <w:bookmarkEnd w:id="656"/>
    </w:p>
    <w:p w14:paraId="332353D4">
      <w:pPr>
        <w:spacing w:line="400" w:lineRule="exact"/>
        <w:ind w:firstLine="420" w:firstLineChars="200"/>
        <w:rPr>
          <w:rFonts w:hint="eastAsia"/>
        </w:rPr>
      </w:pPr>
      <w:r>
        <w:rPr>
          <w:rFonts w:hint="eastAsia"/>
        </w:rPr>
        <w:t>4.11.1 不利物质条件，除专用合同条款另有约定外，是指承包人在施工场地遇到的不可预见的自然物质条件、非自然的物质障碍和污染物，包括地下和水文条件，但不包括气候条件。</w:t>
      </w:r>
    </w:p>
    <w:p w14:paraId="35B7F46D">
      <w:pPr>
        <w:spacing w:line="400" w:lineRule="exact"/>
        <w:ind w:firstLine="420" w:firstLineChars="200"/>
        <w:rPr>
          <w:rFonts w:hint="eastAsia"/>
        </w:rPr>
      </w:pPr>
      <w:r>
        <w:rPr>
          <w:rFonts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18C88789">
      <w:pPr>
        <w:pStyle w:val="18"/>
        <w:rPr>
          <w:rFonts w:hint="eastAsia"/>
        </w:rPr>
      </w:pPr>
      <w:bookmarkStart w:id="657" w:name="_Toc152045651"/>
      <w:bookmarkStart w:id="658" w:name="_Toc179632669"/>
      <w:bookmarkStart w:id="659" w:name="_Toc144974619"/>
      <w:bookmarkStart w:id="660" w:name="_Toc108513724"/>
      <w:bookmarkStart w:id="661" w:name="_Toc152042429"/>
      <w:r>
        <w:rPr>
          <w:rFonts w:hint="eastAsia"/>
        </w:rPr>
        <w:t>5. 材料和工程设备</w:t>
      </w:r>
      <w:bookmarkEnd w:id="657"/>
      <w:bookmarkEnd w:id="658"/>
      <w:bookmarkEnd w:id="659"/>
      <w:bookmarkEnd w:id="660"/>
      <w:bookmarkEnd w:id="661"/>
    </w:p>
    <w:p w14:paraId="4C4680AA">
      <w:pPr>
        <w:pStyle w:val="20"/>
        <w:rPr>
          <w:rFonts w:hint="eastAsia"/>
        </w:rPr>
      </w:pPr>
      <w:bookmarkStart w:id="662" w:name="_Toc152045652"/>
      <w:bookmarkStart w:id="663" w:name="_Toc179632670"/>
      <w:bookmarkStart w:id="664" w:name="_Toc108513725"/>
      <w:bookmarkStart w:id="665" w:name="_Toc144974620"/>
      <w:bookmarkStart w:id="666" w:name="_Toc152042430"/>
      <w:r>
        <w:rPr>
          <w:rFonts w:hint="eastAsia"/>
        </w:rPr>
        <w:t>5.1 承包人提供的材料和工程设备</w:t>
      </w:r>
      <w:bookmarkEnd w:id="662"/>
      <w:bookmarkEnd w:id="663"/>
      <w:bookmarkEnd w:id="664"/>
      <w:bookmarkEnd w:id="665"/>
      <w:bookmarkEnd w:id="666"/>
    </w:p>
    <w:p w14:paraId="2154810B">
      <w:pPr>
        <w:spacing w:line="400" w:lineRule="exact"/>
        <w:ind w:firstLine="420" w:firstLineChars="200"/>
        <w:rPr>
          <w:rFonts w:hint="eastAsia"/>
        </w:rPr>
      </w:pPr>
      <w:r>
        <w:rPr>
          <w:rFonts w:hint="eastAsia"/>
        </w:rPr>
        <w:t>5.1.1 除专用合同条款另有约定外，承包人提供的材料和工程设备均由承包人负责采购、运输和保管。承包人应对其采购的材料和工程设备负责。</w:t>
      </w:r>
    </w:p>
    <w:p w14:paraId="03EEB5BB">
      <w:pPr>
        <w:spacing w:line="400" w:lineRule="exact"/>
        <w:ind w:firstLine="420" w:firstLineChars="200"/>
        <w:rPr>
          <w:rFonts w:hint="eastAsia"/>
        </w:rPr>
      </w:pPr>
      <w:r>
        <w:rPr>
          <w:rFonts w:hint="eastAsia"/>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2529A843">
      <w:pPr>
        <w:spacing w:line="400" w:lineRule="exact"/>
        <w:ind w:firstLine="420" w:firstLineChars="200"/>
        <w:rPr>
          <w:rFonts w:hint="eastAsia"/>
        </w:rPr>
      </w:pPr>
      <w:r>
        <w:rPr>
          <w:rFonts w:hint="eastAsia"/>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27E57E94">
      <w:pPr>
        <w:pStyle w:val="20"/>
        <w:rPr>
          <w:rFonts w:hint="eastAsia"/>
        </w:rPr>
      </w:pPr>
      <w:bookmarkStart w:id="667" w:name="_Toc108513726"/>
      <w:bookmarkStart w:id="668" w:name="_Toc152042431"/>
      <w:bookmarkStart w:id="669" w:name="_Toc152045653"/>
      <w:bookmarkStart w:id="670" w:name="_Toc179632671"/>
      <w:bookmarkStart w:id="671" w:name="_Toc144974621"/>
      <w:r>
        <w:rPr>
          <w:rFonts w:hint="eastAsia"/>
        </w:rPr>
        <w:t>5.2 发包人提供的材料和工程设备</w:t>
      </w:r>
      <w:bookmarkEnd w:id="667"/>
      <w:bookmarkEnd w:id="668"/>
      <w:bookmarkEnd w:id="669"/>
      <w:bookmarkEnd w:id="670"/>
      <w:bookmarkEnd w:id="671"/>
    </w:p>
    <w:p w14:paraId="7E9D8529">
      <w:pPr>
        <w:spacing w:line="400" w:lineRule="exact"/>
        <w:ind w:firstLine="420" w:firstLineChars="200"/>
        <w:rPr>
          <w:rFonts w:hint="eastAsia"/>
        </w:rPr>
      </w:pPr>
      <w:r>
        <w:rPr>
          <w:rFonts w:hint="eastAsia"/>
        </w:rPr>
        <w:t>5.2.1 发包人提供的材料和工程设备，应在专用合同条款中写明材料和工程设备的名称、规格、数量、价格、交货方式、交货地点和计划交货日期等。</w:t>
      </w:r>
    </w:p>
    <w:p w14:paraId="5CACF834">
      <w:pPr>
        <w:spacing w:line="400" w:lineRule="exact"/>
        <w:ind w:firstLine="420" w:firstLineChars="200"/>
        <w:rPr>
          <w:rFonts w:hint="eastAsia"/>
        </w:rPr>
      </w:pPr>
      <w:r>
        <w:rPr>
          <w:rFonts w:hint="eastAsia"/>
        </w:rPr>
        <w:t>5.2.2 承包人应根据合同进度计划的安排，向监理人报送要求发包人交货的日期计划。发包人应按照监理人与合同双方当事人商定的交货日期，向承包人提交材料和工程设备。</w:t>
      </w:r>
    </w:p>
    <w:p w14:paraId="6D8DC4AF">
      <w:pPr>
        <w:spacing w:line="400" w:lineRule="exact"/>
        <w:ind w:firstLine="420" w:firstLineChars="200"/>
        <w:rPr>
          <w:rFonts w:hint="eastAsia"/>
        </w:rPr>
      </w:pPr>
      <w:r>
        <w:rPr>
          <w:rFonts w:hint="eastAsia"/>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678DEC21">
      <w:pPr>
        <w:spacing w:line="400" w:lineRule="exact"/>
        <w:ind w:firstLine="420" w:firstLineChars="200"/>
        <w:rPr>
          <w:rFonts w:hint="eastAsia"/>
        </w:rPr>
      </w:pPr>
      <w:r>
        <w:rPr>
          <w:rFonts w:hint="eastAsia"/>
        </w:rPr>
        <w:t xml:space="preserve">5.2.4 发包人要求向承包人提前交货的，承包人不得拒绝，但发包人应承担承包人由此增加的费用。 </w:t>
      </w:r>
    </w:p>
    <w:p w14:paraId="1A853B32">
      <w:pPr>
        <w:spacing w:line="400" w:lineRule="exact"/>
        <w:ind w:firstLine="420" w:firstLineChars="200"/>
        <w:rPr>
          <w:rFonts w:hint="eastAsia"/>
        </w:rPr>
      </w:pPr>
      <w:r>
        <w:rPr>
          <w:rFonts w:hint="eastAsia"/>
        </w:rPr>
        <w:t xml:space="preserve">5.2.5 承包人要求更改交货日期或地点的，应事先报请监理人批准。由于承包人要求更改交货时间或地点所增加的费用和（或）工期延误由承包人承担。 </w:t>
      </w:r>
    </w:p>
    <w:p w14:paraId="4C86590C">
      <w:pPr>
        <w:spacing w:line="400" w:lineRule="exact"/>
        <w:ind w:firstLine="420" w:firstLineChars="200"/>
        <w:rPr>
          <w:rFonts w:hint="eastAsia"/>
        </w:rPr>
      </w:pPr>
      <w:r>
        <w:rPr>
          <w:rFonts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581BAC1B">
      <w:pPr>
        <w:pStyle w:val="20"/>
        <w:rPr>
          <w:rFonts w:hint="eastAsia"/>
        </w:rPr>
      </w:pPr>
      <w:bookmarkStart w:id="672" w:name="_Toc108513727"/>
      <w:bookmarkStart w:id="673" w:name="_Toc144974622"/>
      <w:bookmarkStart w:id="674" w:name="_Toc152045654"/>
      <w:bookmarkStart w:id="675" w:name="_Toc152042432"/>
      <w:bookmarkStart w:id="676" w:name="_Toc179632672"/>
      <w:r>
        <w:rPr>
          <w:rFonts w:hint="eastAsia"/>
        </w:rPr>
        <w:t>5.3 材料和工程设备专用于合同工程</w:t>
      </w:r>
      <w:bookmarkEnd w:id="672"/>
      <w:bookmarkEnd w:id="673"/>
      <w:bookmarkEnd w:id="674"/>
      <w:bookmarkEnd w:id="675"/>
      <w:bookmarkEnd w:id="676"/>
    </w:p>
    <w:p w14:paraId="67FB85FC">
      <w:pPr>
        <w:spacing w:line="400" w:lineRule="exact"/>
        <w:ind w:firstLine="420" w:firstLineChars="200"/>
        <w:rPr>
          <w:rFonts w:hint="eastAsia"/>
        </w:rPr>
      </w:pPr>
      <w:r>
        <w:rPr>
          <w:rFonts w:hint="eastAsia"/>
        </w:rPr>
        <w:t>5.3.1运入施工场地的材料、工程设备，包括备品备件、安装专用工器具与随机资料，必须专用于合同工程，未经监理人同意，承包人不得运出施工场地或挪作他用。</w:t>
      </w:r>
    </w:p>
    <w:p w14:paraId="5E33A798">
      <w:pPr>
        <w:spacing w:line="400" w:lineRule="exact"/>
        <w:ind w:firstLine="420" w:firstLineChars="200"/>
        <w:rPr>
          <w:rFonts w:hint="eastAsia"/>
        </w:rPr>
      </w:pPr>
      <w:r>
        <w:rPr>
          <w:rFonts w:hint="eastAsia"/>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1DBB1BE7">
      <w:pPr>
        <w:pStyle w:val="20"/>
        <w:rPr>
          <w:rFonts w:hint="eastAsia"/>
        </w:rPr>
      </w:pPr>
      <w:bookmarkStart w:id="677" w:name="_Toc179632673"/>
      <w:bookmarkStart w:id="678" w:name="_Toc152045655"/>
      <w:bookmarkStart w:id="679" w:name="_Toc108513728"/>
      <w:bookmarkStart w:id="680" w:name="_Toc144974623"/>
      <w:bookmarkStart w:id="681" w:name="_Toc152042433"/>
      <w:r>
        <w:rPr>
          <w:rFonts w:hint="eastAsia"/>
        </w:rPr>
        <w:t>5.4 禁止使用不合格的材料和工程设备</w:t>
      </w:r>
      <w:bookmarkEnd w:id="677"/>
      <w:bookmarkEnd w:id="678"/>
      <w:bookmarkEnd w:id="679"/>
      <w:bookmarkEnd w:id="680"/>
      <w:bookmarkEnd w:id="681"/>
    </w:p>
    <w:p w14:paraId="54C40B11">
      <w:pPr>
        <w:spacing w:line="400" w:lineRule="exact"/>
        <w:ind w:firstLine="420" w:firstLineChars="200"/>
        <w:rPr>
          <w:rFonts w:hint="eastAsia"/>
        </w:rPr>
      </w:pPr>
      <w:r>
        <w:rPr>
          <w:rFonts w:hint="eastAsia"/>
        </w:rPr>
        <w:t>5.4.1 监理人有权拒绝承包人提供的不合格材料或工程设备，并要求承包人立即进行更换。监理人应在更换后再次进行检查和检验，由此增加的费用和（或）工期延误由承包人承担。</w:t>
      </w:r>
    </w:p>
    <w:p w14:paraId="7884F957">
      <w:pPr>
        <w:spacing w:line="400" w:lineRule="exact"/>
        <w:ind w:firstLine="420" w:firstLineChars="200"/>
        <w:rPr>
          <w:rFonts w:hint="eastAsia"/>
        </w:rPr>
      </w:pPr>
      <w:r>
        <w:rPr>
          <w:rFonts w:hint="eastAsia"/>
        </w:rPr>
        <w:t>5.4.2 监理人发现承包人使用了不合格的材料和工程设备，应即时发出指示要求承包人立即改正，并禁止在工程中继续使用不合格的材料和工程设备。</w:t>
      </w:r>
    </w:p>
    <w:p w14:paraId="195D5D62">
      <w:pPr>
        <w:spacing w:line="400" w:lineRule="exact"/>
        <w:ind w:firstLine="420" w:firstLineChars="200"/>
        <w:rPr>
          <w:rFonts w:hint="eastAsia"/>
        </w:rPr>
      </w:pPr>
      <w:r>
        <w:rPr>
          <w:rFonts w:hint="eastAsia"/>
        </w:rPr>
        <w:t>5.4.3 发包人提供的材料或工程设备不符合合同要求的，承包人有权拒绝，并可要求发包人更换，由此增加的费用和（或）工期延误由发包人承担。</w:t>
      </w:r>
    </w:p>
    <w:p w14:paraId="034F2E2B">
      <w:pPr>
        <w:pStyle w:val="18"/>
        <w:rPr>
          <w:rFonts w:hint="eastAsia"/>
        </w:rPr>
      </w:pPr>
      <w:bookmarkStart w:id="682" w:name="_Toc152045656"/>
      <w:bookmarkStart w:id="683" w:name="_Toc108513729"/>
      <w:bookmarkStart w:id="684" w:name="_Toc144974624"/>
      <w:bookmarkStart w:id="685" w:name="_Toc152042434"/>
      <w:bookmarkStart w:id="686" w:name="_Toc179632674"/>
      <w:r>
        <w:rPr>
          <w:rFonts w:hint="eastAsia"/>
        </w:rPr>
        <w:t>6. 施工设备和临时设施</w:t>
      </w:r>
      <w:bookmarkEnd w:id="682"/>
      <w:bookmarkEnd w:id="683"/>
      <w:bookmarkEnd w:id="684"/>
      <w:bookmarkEnd w:id="685"/>
      <w:bookmarkEnd w:id="686"/>
    </w:p>
    <w:p w14:paraId="7F9B8C47">
      <w:pPr>
        <w:pStyle w:val="20"/>
        <w:rPr>
          <w:rFonts w:hint="eastAsia"/>
        </w:rPr>
      </w:pPr>
      <w:bookmarkStart w:id="687" w:name="_Toc179632675"/>
      <w:bookmarkStart w:id="688" w:name="_Toc144974625"/>
      <w:bookmarkStart w:id="689" w:name="_Toc152045657"/>
      <w:bookmarkStart w:id="690" w:name="_Toc108513730"/>
      <w:bookmarkStart w:id="691" w:name="_Toc152042435"/>
      <w:r>
        <w:rPr>
          <w:rFonts w:hint="eastAsia"/>
        </w:rPr>
        <w:t>6.1 承包人提供的施工设备和临时设施</w:t>
      </w:r>
      <w:bookmarkEnd w:id="687"/>
      <w:bookmarkEnd w:id="688"/>
      <w:bookmarkEnd w:id="689"/>
      <w:bookmarkEnd w:id="690"/>
      <w:bookmarkEnd w:id="691"/>
    </w:p>
    <w:p w14:paraId="44CA9AA7">
      <w:pPr>
        <w:spacing w:line="400" w:lineRule="exact"/>
        <w:ind w:firstLine="420" w:firstLineChars="200"/>
        <w:rPr>
          <w:rFonts w:hint="eastAsia"/>
        </w:rPr>
      </w:pPr>
      <w:r>
        <w:rPr>
          <w:rFonts w:hint="eastAsia"/>
        </w:rPr>
        <w:t>6.1.1 承包人应按合同进度计划的要求，及时配置施工设备和修建临时设施。进入施工场地的承包人设备需经监理人核查后才能投入使用。承包人更换合同约定的承包人设备的，应报监理人批准。</w:t>
      </w:r>
    </w:p>
    <w:p w14:paraId="3CAB366A">
      <w:pPr>
        <w:spacing w:line="400" w:lineRule="exact"/>
        <w:ind w:firstLine="420" w:firstLineChars="200"/>
        <w:rPr>
          <w:rFonts w:hint="eastAsia"/>
        </w:rPr>
      </w:pPr>
      <w:r>
        <w:rPr>
          <w:rFonts w:hint="eastAsia"/>
        </w:rPr>
        <w:t>6.1.2除专用合同条款另有约定外，承包人应自行承担修建临时设施的费用，需要临时占地的，应由发包人办理申请手续并承担相应费用。</w:t>
      </w:r>
    </w:p>
    <w:p w14:paraId="246188F8">
      <w:pPr>
        <w:pStyle w:val="20"/>
        <w:rPr>
          <w:rFonts w:hint="eastAsia"/>
        </w:rPr>
      </w:pPr>
      <w:bookmarkStart w:id="692" w:name="_Toc179632676"/>
      <w:bookmarkStart w:id="693" w:name="_Toc152042436"/>
      <w:bookmarkStart w:id="694" w:name="_Toc152045658"/>
      <w:bookmarkStart w:id="695" w:name="_Toc144974626"/>
      <w:bookmarkStart w:id="696" w:name="_Toc108513731"/>
      <w:r>
        <w:rPr>
          <w:rFonts w:hint="eastAsia"/>
        </w:rPr>
        <w:t>6.2 发包人提供的施工设备和临时设施</w:t>
      </w:r>
      <w:bookmarkEnd w:id="692"/>
      <w:bookmarkEnd w:id="693"/>
      <w:bookmarkEnd w:id="694"/>
      <w:bookmarkEnd w:id="695"/>
      <w:bookmarkEnd w:id="696"/>
    </w:p>
    <w:p w14:paraId="11A40661">
      <w:pPr>
        <w:spacing w:line="400" w:lineRule="exact"/>
        <w:ind w:firstLine="420" w:firstLineChars="200"/>
        <w:rPr>
          <w:rFonts w:hint="eastAsia"/>
        </w:rPr>
      </w:pPr>
      <w:r>
        <w:rPr>
          <w:rFonts w:hint="eastAsia"/>
        </w:rPr>
        <w:t>发包人提供的施工设备或临时设施在专用合同条款中约定。</w:t>
      </w:r>
    </w:p>
    <w:p w14:paraId="7E420E55">
      <w:pPr>
        <w:pStyle w:val="20"/>
        <w:rPr>
          <w:rFonts w:hint="eastAsia"/>
        </w:rPr>
      </w:pPr>
      <w:bookmarkStart w:id="697" w:name="_Toc144974627"/>
      <w:bookmarkStart w:id="698" w:name="_Toc152042437"/>
      <w:bookmarkStart w:id="699" w:name="_Toc152045659"/>
      <w:bookmarkStart w:id="700" w:name="_Toc108513732"/>
      <w:bookmarkStart w:id="701" w:name="_Toc179632677"/>
      <w:r>
        <w:rPr>
          <w:rFonts w:hint="eastAsia"/>
        </w:rPr>
        <w:t>6.3 要求承包人增加或更换施工设备</w:t>
      </w:r>
      <w:bookmarkEnd w:id="697"/>
      <w:bookmarkEnd w:id="698"/>
      <w:bookmarkEnd w:id="699"/>
      <w:bookmarkEnd w:id="700"/>
      <w:bookmarkEnd w:id="701"/>
    </w:p>
    <w:p w14:paraId="74F092C1">
      <w:pPr>
        <w:spacing w:line="400" w:lineRule="exact"/>
        <w:ind w:firstLine="420" w:firstLineChars="200"/>
        <w:rPr>
          <w:rFonts w:hint="eastAsia"/>
        </w:rPr>
      </w:pPr>
      <w:r>
        <w:rPr>
          <w:rFonts w:hint="eastAsia"/>
        </w:rPr>
        <w:t>承包人使用的施工设备不能满足合同进度计划和（或）质量要求时，监理人有权要求承包人增加或更换施工设备，承包人应及时增加或更换，由此增加的费用和（或）工期延误由承包人承担。</w:t>
      </w:r>
    </w:p>
    <w:p w14:paraId="09812E21">
      <w:pPr>
        <w:pStyle w:val="20"/>
        <w:rPr>
          <w:rFonts w:hint="eastAsia"/>
        </w:rPr>
      </w:pPr>
      <w:bookmarkStart w:id="702" w:name="_Toc152042438"/>
      <w:bookmarkStart w:id="703" w:name="_Toc144974628"/>
      <w:bookmarkStart w:id="704" w:name="_Toc179632678"/>
      <w:bookmarkStart w:id="705" w:name="_Toc108513733"/>
      <w:bookmarkStart w:id="706" w:name="_Toc152045660"/>
      <w:r>
        <w:rPr>
          <w:rFonts w:hint="eastAsia"/>
        </w:rPr>
        <w:t>6.4 施工设备和临时设施专用于合同工程</w:t>
      </w:r>
      <w:bookmarkEnd w:id="702"/>
      <w:bookmarkEnd w:id="703"/>
      <w:bookmarkEnd w:id="704"/>
      <w:bookmarkEnd w:id="705"/>
      <w:bookmarkEnd w:id="706"/>
    </w:p>
    <w:p w14:paraId="1564BC28">
      <w:pPr>
        <w:spacing w:line="400" w:lineRule="exact"/>
        <w:ind w:firstLine="420" w:firstLineChars="200"/>
        <w:rPr>
          <w:rFonts w:hint="eastAsia"/>
        </w:rPr>
      </w:pPr>
      <w:r>
        <w:rPr>
          <w:rFonts w:hint="eastAsia"/>
        </w:rPr>
        <w:t>6.4.1除合同另有约定外，运入施工场地的所有施工设备以及在施工场地建设的临时设施应专用于合同工程。未经监理人同意，不得将上述施工设备和临时设施中的任何部分运出施工场地或挪作他用。</w:t>
      </w:r>
    </w:p>
    <w:p w14:paraId="2951AEAE">
      <w:pPr>
        <w:spacing w:line="400" w:lineRule="exact"/>
        <w:ind w:firstLine="420" w:firstLineChars="200"/>
        <w:rPr>
          <w:rFonts w:hint="eastAsia"/>
        </w:rPr>
      </w:pPr>
      <w:r>
        <w:rPr>
          <w:rFonts w:hint="eastAsia"/>
        </w:rPr>
        <w:t>6.4.2 经监理人同意，承包人可根据合同进度计划撤走闲置的施工设备。</w:t>
      </w:r>
    </w:p>
    <w:p w14:paraId="7D36AEA4">
      <w:pPr>
        <w:pStyle w:val="18"/>
        <w:rPr>
          <w:rFonts w:hint="eastAsia"/>
        </w:rPr>
      </w:pPr>
      <w:bookmarkStart w:id="707" w:name="_Toc108513734"/>
      <w:bookmarkStart w:id="708" w:name="_Toc144974629"/>
      <w:bookmarkStart w:id="709" w:name="_Toc179632679"/>
      <w:bookmarkStart w:id="710" w:name="_Toc152042439"/>
      <w:bookmarkStart w:id="711" w:name="_Toc152045661"/>
      <w:r>
        <w:rPr>
          <w:rFonts w:hint="eastAsia"/>
        </w:rPr>
        <w:t>7. 交通运输</w:t>
      </w:r>
      <w:bookmarkEnd w:id="707"/>
      <w:bookmarkEnd w:id="708"/>
      <w:bookmarkEnd w:id="709"/>
      <w:bookmarkEnd w:id="710"/>
      <w:bookmarkEnd w:id="711"/>
    </w:p>
    <w:p w14:paraId="615B922D">
      <w:pPr>
        <w:pStyle w:val="20"/>
        <w:rPr>
          <w:rFonts w:hint="eastAsia"/>
        </w:rPr>
      </w:pPr>
      <w:bookmarkStart w:id="712" w:name="_Toc152042440"/>
      <w:bookmarkStart w:id="713" w:name="_Toc152045662"/>
      <w:bookmarkStart w:id="714" w:name="_Toc108513735"/>
      <w:bookmarkStart w:id="715" w:name="_Toc144974630"/>
      <w:bookmarkStart w:id="716" w:name="_Toc179632680"/>
      <w:r>
        <w:rPr>
          <w:rFonts w:hint="eastAsia"/>
        </w:rPr>
        <w:t>7.1 道路通行权和场外设施</w:t>
      </w:r>
      <w:bookmarkEnd w:id="712"/>
      <w:bookmarkEnd w:id="713"/>
      <w:bookmarkEnd w:id="714"/>
      <w:bookmarkEnd w:id="715"/>
      <w:bookmarkEnd w:id="716"/>
    </w:p>
    <w:p w14:paraId="042C3B61">
      <w:pPr>
        <w:spacing w:line="400" w:lineRule="exact"/>
        <w:ind w:firstLine="420" w:firstLineChars="200"/>
        <w:rPr>
          <w:rFonts w:hint="eastAsia"/>
        </w:rPr>
      </w:pPr>
      <w:r>
        <w:rPr>
          <w:rFonts w:hint="eastAsia"/>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73CA5A6D">
      <w:pPr>
        <w:pStyle w:val="20"/>
        <w:rPr>
          <w:rFonts w:hint="eastAsia"/>
        </w:rPr>
      </w:pPr>
      <w:bookmarkStart w:id="717" w:name="_Toc108513736"/>
      <w:bookmarkStart w:id="718" w:name="_Toc179632681"/>
      <w:bookmarkStart w:id="719" w:name="_Toc152042441"/>
      <w:bookmarkStart w:id="720" w:name="_Toc144974631"/>
      <w:bookmarkStart w:id="721" w:name="_Toc152045663"/>
      <w:r>
        <w:rPr>
          <w:rFonts w:hint="eastAsia"/>
        </w:rPr>
        <w:t>7.2 场内施工道路</w:t>
      </w:r>
      <w:bookmarkEnd w:id="717"/>
      <w:bookmarkEnd w:id="718"/>
      <w:bookmarkEnd w:id="719"/>
      <w:bookmarkEnd w:id="720"/>
      <w:bookmarkEnd w:id="721"/>
    </w:p>
    <w:p w14:paraId="02679F1D">
      <w:pPr>
        <w:spacing w:line="400" w:lineRule="exact"/>
        <w:ind w:firstLine="420" w:firstLineChars="200"/>
        <w:rPr>
          <w:rFonts w:hint="eastAsia"/>
        </w:rPr>
      </w:pPr>
      <w:r>
        <w:rPr>
          <w:rFonts w:hint="eastAsia"/>
        </w:rPr>
        <w:t>7.2.1 除专用合同条款另有约定外，承包人应负责修建、维修、养护和管理施工所需的临时道路和交通设施，包括维修、养护和管理发包人提供的道路和交通设施，并承担相应费用。</w:t>
      </w:r>
    </w:p>
    <w:p w14:paraId="45E96C1C">
      <w:pPr>
        <w:spacing w:line="400" w:lineRule="exact"/>
        <w:ind w:firstLine="420" w:firstLineChars="200"/>
        <w:rPr>
          <w:rFonts w:hint="eastAsia"/>
        </w:rPr>
      </w:pPr>
      <w:r>
        <w:rPr>
          <w:rFonts w:hint="eastAsia"/>
        </w:rPr>
        <w:t>7.2.2 除专用合同条款另有约定外，承包人修建的临时道路和交通设施应免费提供发包人和监理人使用。</w:t>
      </w:r>
    </w:p>
    <w:p w14:paraId="662032C6">
      <w:pPr>
        <w:pStyle w:val="20"/>
        <w:rPr>
          <w:rFonts w:hint="eastAsia"/>
        </w:rPr>
      </w:pPr>
      <w:bookmarkStart w:id="722" w:name="_Toc152042442"/>
      <w:bookmarkStart w:id="723" w:name="_Toc144974632"/>
      <w:bookmarkStart w:id="724" w:name="_Toc179632682"/>
      <w:bookmarkStart w:id="725" w:name="_Toc108513737"/>
      <w:bookmarkStart w:id="726" w:name="_Toc152045664"/>
      <w:r>
        <w:rPr>
          <w:rFonts w:hint="eastAsia"/>
        </w:rPr>
        <w:t>7.3 场外交通</w:t>
      </w:r>
      <w:bookmarkEnd w:id="722"/>
      <w:bookmarkEnd w:id="723"/>
      <w:bookmarkEnd w:id="724"/>
      <w:bookmarkEnd w:id="725"/>
      <w:bookmarkEnd w:id="726"/>
    </w:p>
    <w:p w14:paraId="134D383D">
      <w:pPr>
        <w:spacing w:line="400" w:lineRule="exact"/>
        <w:ind w:firstLine="420" w:firstLineChars="200"/>
        <w:rPr>
          <w:rFonts w:hint="eastAsia"/>
        </w:rPr>
      </w:pPr>
      <w:r>
        <w:rPr>
          <w:rFonts w:hint="eastAsia"/>
        </w:rPr>
        <w:t>7.3.1 承包人车辆外出行驶所需的场外公共道路的通行费、养路费和税款等由承包人承担。</w:t>
      </w:r>
    </w:p>
    <w:p w14:paraId="574138B4">
      <w:pPr>
        <w:spacing w:line="400" w:lineRule="exact"/>
        <w:ind w:firstLine="420" w:firstLineChars="200"/>
        <w:rPr>
          <w:rFonts w:hint="eastAsia"/>
        </w:rPr>
      </w:pPr>
      <w:r>
        <w:rPr>
          <w:rFonts w:hint="eastAsia"/>
        </w:rPr>
        <w:t>7.3.2 承包人应遵守有关交通法规，严格按照道路和桥梁的限制荷重安全行驶，并服从交通管理部门的检查和监督。</w:t>
      </w:r>
    </w:p>
    <w:p w14:paraId="4B30D9AF">
      <w:pPr>
        <w:pStyle w:val="20"/>
        <w:rPr>
          <w:rFonts w:hint="eastAsia"/>
        </w:rPr>
      </w:pPr>
      <w:bookmarkStart w:id="727" w:name="_Toc152045665"/>
      <w:bookmarkStart w:id="728" w:name="_Toc108513738"/>
      <w:bookmarkStart w:id="729" w:name="_Toc144974633"/>
      <w:bookmarkStart w:id="730" w:name="_Toc152042443"/>
      <w:bookmarkStart w:id="731" w:name="_Toc179632683"/>
      <w:r>
        <w:rPr>
          <w:rFonts w:hint="eastAsia"/>
        </w:rPr>
        <w:t>7.4 超大件和超重件的运输</w:t>
      </w:r>
      <w:bookmarkEnd w:id="727"/>
      <w:bookmarkEnd w:id="728"/>
      <w:bookmarkEnd w:id="729"/>
      <w:bookmarkEnd w:id="730"/>
      <w:bookmarkEnd w:id="731"/>
    </w:p>
    <w:p w14:paraId="4D2B5F97">
      <w:pPr>
        <w:spacing w:line="400" w:lineRule="exact"/>
        <w:ind w:firstLine="420" w:firstLineChars="200"/>
        <w:rPr>
          <w:rFonts w:hint="eastAsia"/>
        </w:rPr>
      </w:pPr>
      <w:r>
        <w:rPr>
          <w:rFonts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5517AB5C">
      <w:pPr>
        <w:pStyle w:val="20"/>
        <w:rPr>
          <w:rFonts w:hint="eastAsia"/>
        </w:rPr>
      </w:pPr>
      <w:bookmarkStart w:id="732" w:name="_Toc152042444"/>
      <w:bookmarkStart w:id="733" w:name="_Toc152045666"/>
      <w:bookmarkStart w:id="734" w:name="_Toc144974634"/>
      <w:bookmarkStart w:id="735" w:name="_Toc108513739"/>
      <w:bookmarkStart w:id="736" w:name="_Toc179632684"/>
      <w:r>
        <w:rPr>
          <w:rFonts w:hint="eastAsia"/>
        </w:rPr>
        <w:t>7.5 道路和桥梁的损坏责任</w:t>
      </w:r>
      <w:bookmarkEnd w:id="732"/>
      <w:bookmarkEnd w:id="733"/>
      <w:bookmarkEnd w:id="734"/>
      <w:bookmarkEnd w:id="735"/>
      <w:bookmarkEnd w:id="736"/>
    </w:p>
    <w:p w14:paraId="0386824F">
      <w:pPr>
        <w:spacing w:line="400" w:lineRule="exact"/>
        <w:ind w:firstLine="420" w:firstLineChars="200"/>
        <w:rPr>
          <w:rFonts w:hint="eastAsia"/>
        </w:rPr>
      </w:pPr>
      <w:r>
        <w:rPr>
          <w:rFonts w:hint="eastAsia"/>
        </w:rPr>
        <w:t>因承包人运输造成施工场地内外公共道路和桥梁损坏的，由承包人承担修复损坏的全部费用和可能引起的赔偿。</w:t>
      </w:r>
    </w:p>
    <w:p w14:paraId="28936207">
      <w:pPr>
        <w:pStyle w:val="20"/>
        <w:rPr>
          <w:rFonts w:hint="eastAsia"/>
        </w:rPr>
      </w:pPr>
      <w:bookmarkStart w:id="737" w:name="_Toc152042445"/>
      <w:bookmarkStart w:id="738" w:name="_Toc179632685"/>
      <w:bookmarkStart w:id="739" w:name="_Toc152045667"/>
      <w:bookmarkStart w:id="740" w:name="_Toc108513740"/>
      <w:bookmarkStart w:id="741" w:name="_Toc144974635"/>
      <w:r>
        <w:rPr>
          <w:rFonts w:hint="eastAsia"/>
        </w:rPr>
        <w:t>7.6 水路和航空运输</w:t>
      </w:r>
      <w:bookmarkEnd w:id="737"/>
      <w:bookmarkEnd w:id="738"/>
      <w:bookmarkEnd w:id="739"/>
      <w:bookmarkEnd w:id="740"/>
      <w:bookmarkEnd w:id="741"/>
    </w:p>
    <w:p w14:paraId="32599E6F">
      <w:pPr>
        <w:spacing w:line="400" w:lineRule="exact"/>
        <w:ind w:firstLine="420" w:firstLineChars="200"/>
        <w:rPr>
          <w:rFonts w:hint="eastAsia"/>
        </w:rPr>
      </w:pPr>
      <w:r>
        <w:rPr>
          <w:rFonts w:hint="eastAsia"/>
        </w:rPr>
        <w:t xml:space="preserve">本条上述各款的内容适用于水路运输和航空运输，其中“道路”一词的涵义包括河道、航线、船闸、机场、码头、堤防以及水路或航空运输中其他相似结构物；“车辆”一词的涵义包括船舶和飞机等。 </w:t>
      </w:r>
    </w:p>
    <w:p w14:paraId="492426A7">
      <w:pPr>
        <w:pStyle w:val="18"/>
        <w:rPr>
          <w:rFonts w:hint="eastAsia"/>
        </w:rPr>
      </w:pPr>
      <w:bookmarkStart w:id="742" w:name="_Toc152042446"/>
      <w:bookmarkStart w:id="743" w:name="_Toc179632686"/>
      <w:bookmarkStart w:id="744" w:name="_Toc152045668"/>
      <w:bookmarkStart w:id="745" w:name="_Toc108513741"/>
      <w:bookmarkStart w:id="746" w:name="_Toc144974636"/>
      <w:r>
        <w:rPr>
          <w:rFonts w:hint="eastAsia"/>
        </w:rPr>
        <w:t>8. 测量放线</w:t>
      </w:r>
      <w:bookmarkEnd w:id="742"/>
      <w:bookmarkEnd w:id="743"/>
      <w:bookmarkEnd w:id="744"/>
      <w:bookmarkEnd w:id="745"/>
      <w:bookmarkEnd w:id="746"/>
    </w:p>
    <w:p w14:paraId="61E837D4">
      <w:pPr>
        <w:pStyle w:val="20"/>
        <w:rPr>
          <w:rFonts w:hint="eastAsia"/>
        </w:rPr>
      </w:pPr>
      <w:bookmarkStart w:id="747" w:name="_Toc108513742"/>
      <w:bookmarkStart w:id="748" w:name="_Toc179632687"/>
      <w:bookmarkStart w:id="749" w:name="_Toc144974637"/>
      <w:bookmarkStart w:id="750" w:name="_Toc152042447"/>
      <w:bookmarkStart w:id="751" w:name="_Toc152045669"/>
      <w:r>
        <w:rPr>
          <w:rFonts w:hint="eastAsia"/>
        </w:rPr>
        <w:t>8.1 施工控制网</w:t>
      </w:r>
      <w:bookmarkEnd w:id="747"/>
      <w:bookmarkEnd w:id="748"/>
      <w:bookmarkEnd w:id="749"/>
      <w:bookmarkEnd w:id="750"/>
      <w:bookmarkEnd w:id="751"/>
    </w:p>
    <w:p w14:paraId="7FF7E954">
      <w:pPr>
        <w:spacing w:line="400" w:lineRule="exact"/>
        <w:ind w:firstLine="420" w:firstLineChars="200"/>
        <w:rPr>
          <w:rFonts w:hint="eastAsia"/>
        </w:rPr>
      </w:pPr>
      <w:r>
        <w:rPr>
          <w:rFonts w:hint="eastAsia"/>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18B10E65">
      <w:pPr>
        <w:spacing w:line="400" w:lineRule="exact"/>
        <w:ind w:firstLine="420" w:firstLineChars="200"/>
        <w:rPr>
          <w:rFonts w:hint="eastAsia"/>
        </w:rPr>
      </w:pPr>
      <w:r>
        <w:rPr>
          <w:rFonts w:hint="eastAsia"/>
        </w:rPr>
        <w:t>8.1.2承包人应负责管理施工控制网点。施工控制网点丢失或损坏的，承包人应及时修复。承包人应承担施工控制网点的管理与修复费用，并在工程竣工后将施工控制网点移交发包人。</w:t>
      </w:r>
    </w:p>
    <w:p w14:paraId="7103961D">
      <w:pPr>
        <w:pStyle w:val="20"/>
        <w:rPr>
          <w:rFonts w:hint="eastAsia"/>
        </w:rPr>
      </w:pPr>
      <w:bookmarkStart w:id="752" w:name="_Toc152045670"/>
      <w:bookmarkStart w:id="753" w:name="_Toc108513743"/>
      <w:bookmarkStart w:id="754" w:name="_Toc144974638"/>
      <w:bookmarkStart w:id="755" w:name="_Toc179632688"/>
      <w:bookmarkStart w:id="756" w:name="_Toc152042448"/>
      <w:r>
        <w:rPr>
          <w:rFonts w:hint="eastAsia"/>
        </w:rPr>
        <w:t>8.2 施工测量</w:t>
      </w:r>
      <w:bookmarkEnd w:id="752"/>
      <w:bookmarkEnd w:id="753"/>
      <w:bookmarkEnd w:id="754"/>
      <w:bookmarkEnd w:id="755"/>
      <w:bookmarkEnd w:id="756"/>
    </w:p>
    <w:p w14:paraId="042EEB4C">
      <w:pPr>
        <w:spacing w:line="400" w:lineRule="exact"/>
        <w:ind w:firstLine="420" w:firstLineChars="200"/>
        <w:rPr>
          <w:rFonts w:hint="eastAsia"/>
        </w:rPr>
      </w:pPr>
      <w:r>
        <w:rPr>
          <w:rFonts w:hint="eastAsia"/>
        </w:rPr>
        <w:t>8.2.1承包人应负责施工过程中的全部施工测量放线工作，并配置合格的人员、仪器、设备和其他物品。</w:t>
      </w:r>
    </w:p>
    <w:p w14:paraId="5A2B592F">
      <w:pPr>
        <w:spacing w:line="400" w:lineRule="exact"/>
        <w:ind w:firstLine="420" w:firstLineChars="200"/>
        <w:rPr>
          <w:rFonts w:hint="eastAsia"/>
        </w:rPr>
      </w:pPr>
      <w:r>
        <w:rPr>
          <w:rFonts w:hint="eastAsia"/>
        </w:rPr>
        <w:t>8.2.2监理人可以指示承包人进行抽样复测，当复测中发现错误或出现超过合同约定的误差时，承包人应按监理人指示进行修正或补测，并承担相应的复测费用。</w:t>
      </w:r>
    </w:p>
    <w:p w14:paraId="77658695">
      <w:pPr>
        <w:pStyle w:val="20"/>
        <w:rPr>
          <w:rFonts w:hint="eastAsia"/>
        </w:rPr>
      </w:pPr>
      <w:bookmarkStart w:id="757" w:name="_Toc152042449"/>
      <w:bookmarkStart w:id="758" w:name="_Toc108513744"/>
      <w:bookmarkStart w:id="759" w:name="_Toc144974639"/>
      <w:bookmarkStart w:id="760" w:name="_Toc152045671"/>
      <w:bookmarkStart w:id="761" w:name="_Toc179632689"/>
      <w:r>
        <w:rPr>
          <w:rFonts w:hint="eastAsia"/>
        </w:rPr>
        <w:t>8.3 基准资料错误的责任</w:t>
      </w:r>
      <w:bookmarkEnd w:id="757"/>
      <w:bookmarkEnd w:id="758"/>
      <w:bookmarkEnd w:id="759"/>
      <w:bookmarkEnd w:id="760"/>
      <w:bookmarkEnd w:id="761"/>
    </w:p>
    <w:p w14:paraId="0A2C4445">
      <w:pPr>
        <w:spacing w:line="400" w:lineRule="exact"/>
        <w:ind w:firstLine="420" w:firstLineChars="200"/>
        <w:rPr>
          <w:rFonts w:hint="eastAsia"/>
        </w:rPr>
      </w:pPr>
      <w:r>
        <w:rPr>
          <w:rFonts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10023EB">
      <w:pPr>
        <w:pStyle w:val="20"/>
        <w:rPr>
          <w:rFonts w:hint="eastAsia"/>
        </w:rPr>
      </w:pPr>
      <w:bookmarkStart w:id="762" w:name="_Toc144974640"/>
      <w:bookmarkStart w:id="763" w:name="_Toc152042450"/>
      <w:bookmarkStart w:id="764" w:name="_Toc152045672"/>
      <w:bookmarkStart w:id="765" w:name="_Toc108513745"/>
      <w:bookmarkStart w:id="766" w:name="_Toc179632690"/>
      <w:r>
        <w:rPr>
          <w:rFonts w:hint="eastAsia"/>
        </w:rPr>
        <w:t>8.4 监理人使用施工控制网</w:t>
      </w:r>
      <w:bookmarkEnd w:id="762"/>
      <w:bookmarkEnd w:id="763"/>
      <w:bookmarkEnd w:id="764"/>
      <w:bookmarkEnd w:id="765"/>
      <w:bookmarkEnd w:id="766"/>
    </w:p>
    <w:p w14:paraId="54C60C91">
      <w:pPr>
        <w:spacing w:line="400" w:lineRule="exact"/>
        <w:ind w:firstLine="420" w:firstLineChars="200"/>
        <w:rPr>
          <w:rFonts w:hint="eastAsia"/>
          <w:dstrike/>
          <w:szCs w:val="21"/>
        </w:rPr>
      </w:pPr>
      <w:r>
        <w:rPr>
          <w:rFonts w:hint="eastAsia"/>
        </w:rPr>
        <w:t>监理人需要使用施工控制网的，承包人应提供必要的协助，发包人不再为此支付费用。</w:t>
      </w:r>
    </w:p>
    <w:p w14:paraId="1367EF37">
      <w:pPr>
        <w:pStyle w:val="18"/>
        <w:rPr>
          <w:rFonts w:hint="eastAsia"/>
        </w:rPr>
      </w:pPr>
      <w:bookmarkStart w:id="767" w:name="_Toc108513746"/>
      <w:bookmarkStart w:id="768" w:name="_Toc144974641"/>
      <w:bookmarkStart w:id="769" w:name="_Toc152045673"/>
      <w:bookmarkStart w:id="770" w:name="_Toc179632691"/>
      <w:bookmarkStart w:id="771" w:name="_Toc152042451"/>
      <w:r>
        <w:rPr>
          <w:rFonts w:hint="eastAsia"/>
        </w:rPr>
        <w:t>9. 施工安全、治安保卫和环境保护</w:t>
      </w:r>
      <w:bookmarkEnd w:id="767"/>
      <w:bookmarkEnd w:id="768"/>
      <w:bookmarkEnd w:id="769"/>
      <w:bookmarkEnd w:id="770"/>
      <w:bookmarkEnd w:id="771"/>
    </w:p>
    <w:p w14:paraId="32B928A5">
      <w:pPr>
        <w:pStyle w:val="20"/>
        <w:rPr>
          <w:rFonts w:hint="eastAsia"/>
        </w:rPr>
      </w:pPr>
      <w:bookmarkStart w:id="772" w:name="_Toc152042452"/>
      <w:bookmarkStart w:id="773" w:name="_Toc144974642"/>
      <w:bookmarkStart w:id="774" w:name="_Toc108513747"/>
      <w:bookmarkStart w:id="775" w:name="_Toc179632692"/>
      <w:bookmarkStart w:id="776" w:name="_Toc152045674"/>
      <w:r>
        <w:rPr>
          <w:rFonts w:hint="eastAsia"/>
        </w:rPr>
        <w:t>9.1 发包人的施工安全责任</w:t>
      </w:r>
      <w:bookmarkEnd w:id="772"/>
      <w:bookmarkEnd w:id="773"/>
      <w:bookmarkEnd w:id="774"/>
      <w:bookmarkEnd w:id="775"/>
      <w:bookmarkEnd w:id="776"/>
    </w:p>
    <w:p w14:paraId="5D335E88">
      <w:pPr>
        <w:spacing w:line="400" w:lineRule="exact"/>
        <w:ind w:firstLine="420" w:firstLineChars="200"/>
        <w:rPr>
          <w:rFonts w:hint="eastAsia"/>
        </w:rPr>
      </w:pPr>
      <w:r>
        <w:rPr>
          <w:rFonts w:hint="eastAsia"/>
        </w:rPr>
        <w:t>9.1.1 发包人应按合同约定履行安全职责，授权监理人按合同约定的安全工作内容监督、检查承包人安全工作的实施，组织承包人和有关单位进行安全检查。</w:t>
      </w:r>
    </w:p>
    <w:p w14:paraId="7630AF69">
      <w:pPr>
        <w:spacing w:line="400" w:lineRule="exact"/>
        <w:ind w:firstLine="420" w:firstLineChars="200"/>
        <w:rPr>
          <w:rFonts w:hint="eastAsia"/>
        </w:rPr>
      </w:pPr>
      <w:r>
        <w:rPr>
          <w:rFonts w:hint="eastAsia"/>
        </w:rPr>
        <w:t>9.1.2 发包人应对其现场机构雇佣的全部人员的工伤事故承担责任，但由于承包人原因造成发包人人员工伤的，应由承包人承担责任。</w:t>
      </w:r>
    </w:p>
    <w:p w14:paraId="59BB1320">
      <w:pPr>
        <w:spacing w:line="400" w:lineRule="exact"/>
        <w:ind w:firstLine="420" w:firstLineChars="200"/>
        <w:rPr>
          <w:rFonts w:hint="eastAsia"/>
        </w:rPr>
      </w:pPr>
      <w:r>
        <w:rPr>
          <w:rFonts w:hint="eastAsia"/>
        </w:rPr>
        <w:t>9.1.3 发包人应负责赔偿以下各种情况造成的第三者人身伤亡和财产损失：</w:t>
      </w:r>
    </w:p>
    <w:p w14:paraId="4EB170F2">
      <w:pPr>
        <w:spacing w:line="400" w:lineRule="exact"/>
        <w:ind w:firstLine="420" w:firstLineChars="200"/>
        <w:rPr>
          <w:rFonts w:hint="eastAsia"/>
        </w:rPr>
      </w:pPr>
      <w:r>
        <w:rPr>
          <w:rFonts w:hint="eastAsia"/>
        </w:rPr>
        <w:t>（1） 工程或工程的任何部分对土地的占用所造成的第三者财产损失；</w:t>
      </w:r>
    </w:p>
    <w:p w14:paraId="533E39EE">
      <w:pPr>
        <w:spacing w:line="400" w:lineRule="exact"/>
        <w:ind w:firstLine="420" w:firstLineChars="200"/>
        <w:rPr>
          <w:rFonts w:hint="eastAsia"/>
        </w:rPr>
      </w:pPr>
      <w:r>
        <w:rPr>
          <w:rFonts w:hint="eastAsia"/>
        </w:rPr>
        <w:t>（2） 由于发包人原因在施工场地及其毗邻地带造成的第三者人身伤亡和财产损失。</w:t>
      </w:r>
    </w:p>
    <w:p w14:paraId="13A7F1AA">
      <w:pPr>
        <w:pStyle w:val="20"/>
        <w:rPr>
          <w:rFonts w:hint="eastAsia"/>
        </w:rPr>
      </w:pPr>
      <w:bookmarkStart w:id="777" w:name="_Toc144974643"/>
      <w:bookmarkStart w:id="778" w:name="_Toc108513748"/>
      <w:bookmarkStart w:id="779" w:name="_Toc152045675"/>
      <w:bookmarkStart w:id="780" w:name="_Toc179632693"/>
      <w:bookmarkStart w:id="781" w:name="_Toc152042453"/>
      <w:r>
        <w:rPr>
          <w:rFonts w:hint="eastAsia"/>
        </w:rPr>
        <w:t>9.2 承包人的施工安全责任</w:t>
      </w:r>
      <w:bookmarkEnd w:id="777"/>
      <w:bookmarkEnd w:id="778"/>
      <w:bookmarkEnd w:id="779"/>
      <w:bookmarkEnd w:id="780"/>
      <w:bookmarkEnd w:id="781"/>
    </w:p>
    <w:p w14:paraId="468C9778">
      <w:pPr>
        <w:spacing w:line="400" w:lineRule="exact"/>
        <w:ind w:firstLine="420" w:firstLineChars="200"/>
        <w:rPr>
          <w:rFonts w:hint="eastAsia"/>
        </w:rPr>
      </w:pPr>
      <w:r>
        <w:rPr>
          <w:rFonts w:hint="eastAsia"/>
        </w:rPr>
        <w:t>9.2.1 承包人应按合同约定履行安全职责,执行监理人有关安全工作的指示,并在专用合同条款约定的期限内，按合同约定的安全工作内容，编制施工安全措施计划报送监理人审批。</w:t>
      </w:r>
    </w:p>
    <w:p w14:paraId="67988471">
      <w:pPr>
        <w:spacing w:line="400" w:lineRule="exact"/>
        <w:ind w:firstLine="420" w:firstLineChars="200"/>
        <w:rPr>
          <w:rFonts w:hint="eastAsia"/>
        </w:rPr>
      </w:pPr>
      <w:r>
        <w:rPr>
          <w:rFonts w:hint="eastAsia"/>
        </w:rPr>
        <w:t>9.2.2 承包人应加强施工作业安全管理，特别应加强易燃、易爆材料、火工器材、有毒与腐蚀性材料和其他危险品的管理，以及对爆破作业和地下工程施工等危险作业的管理。</w:t>
      </w:r>
    </w:p>
    <w:p w14:paraId="6845567D">
      <w:pPr>
        <w:spacing w:line="400" w:lineRule="exact"/>
        <w:ind w:firstLine="420" w:firstLineChars="200"/>
        <w:rPr>
          <w:rFonts w:hint="eastAsia"/>
        </w:rPr>
      </w:pPr>
      <w:r>
        <w:rPr>
          <w:rFonts w:hint="eastAsia"/>
        </w:rPr>
        <w:t>9.2.3 承包人应严格按照国家安全标准制定施工安全操作规程，配备必要的安全生产和劳动保护设施，加强对承包人人员的安全教育，并发放安全工作手册和劳动保护用具。</w:t>
      </w:r>
    </w:p>
    <w:p w14:paraId="43FDA389">
      <w:pPr>
        <w:spacing w:line="400" w:lineRule="exact"/>
        <w:ind w:firstLine="420" w:firstLineChars="200"/>
        <w:rPr>
          <w:rFonts w:hint="eastAsia"/>
        </w:rPr>
      </w:pPr>
      <w:r>
        <w:rPr>
          <w:rFonts w:hint="eastAsia"/>
        </w:rPr>
        <w:t>9.2.4 承包人应按监理人的指示制定应对灾害的紧急预案，报送监理人审批。承包人还应按预案做好安全检查，配置必要的救助物资和器材，切实保护好有关人员的人身和财产安全。</w:t>
      </w:r>
    </w:p>
    <w:p w14:paraId="506FAC91">
      <w:pPr>
        <w:spacing w:line="400" w:lineRule="exact"/>
        <w:ind w:firstLine="420" w:firstLineChars="200"/>
        <w:rPr>
          <w:rFonts w:hint="eastAsia"/>
        </w:rPr>
      </w:pPr>
      <w:r>
        <w:rPr>
          <w:rFonts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3C6E1B33">
      <w:pPr>
        <w:spacing w:line="400" w:lineRule="exact"/>
        <w:ind w:firstLine="420" w:firstLineChars="200"/>
        <w:rPr>
          <w:rFonts w:hint="eastAsia"/>
        </w:rPr>
      </w:pPr>
      <w:r>
        <w:rPr>
          <w:rFonts w:hint="eastAsia"/>
        </w:rPr>
        <w:t>9.2.6 承包人应对其履行合同所雇佣的全部人员，包括分包人人员的工伤事故承担责任，但由于发包人原因造成承包人人员工伤事故的，应由发包人承担责任。</w:t>
      </w:r>
    </w:p>
    <w:p w14:paraId="5E1E63AB">
      <w:pPr>
        <w:spacing w:line="400" w:lineRule="exact"/>
        <w:ind w:firstLine="420" w:firstLineChars="200"/>
        <w:rPr>
          <w:rFonts w:hint="eastAsia"/>
        </w:rPr>
      </w:pPr>
      <w:r>
        <w:rPr>
          <w:rFonts w:hint="eastAsia"/>
        </w:rPr>
        <w:t>9.2.7 由于承包人原因在施工场地内及其毗邻地带造成的第三者人员伤亡和财产损失，由承包人负责赔偿。</w:t>
      </w:r>
    </w:p>
    <w:p w14:paraId="3D61D3C2">
      <w:pPr>
        <w:pStyle w:val="20"/>
        <w:rPr>
          <w:rFonts w:hint="eastAsia"/>
        </w:rPr>
      </w:pPr>
      <w:bookmarkStart w:id="782" w:name="_Toc152042454"/>
      <w:bookmarkStart w:id="783" w:name="_Toc108513749"/>
      <w:bookmarkStart w:id="784" w:name="_Toc179632694"/>
      <w:bookmarkStart w:id="785" w:name="_Toc144974644"/>
      <w:bookmarkStart w:id="786" w:name="_Toc152045676"/>
      <w:r>
        <w:rPr>
          <w:rFonts w:hint="eastAsia"/>
        </w:rPr>
        <w:t>9.3 治安保卫</w:t>
      </w:r>
      <w:bookmarkEnd w:id="782"/>
      <w:bookmarkEnd w:id="783"/>
      <w:bookmarkEnd w:id="784"/>
      <w:bookmarkEnd w:id="785"/>
      <w:bookmarkEnd w:id="786"/>
    </w:p>
    <w:p w14:paraId="433034F9">
      <w:pPr>
        <w:spacing w:line="400" w:lineRule="exact"/>
        <w:ind w:firstLine="420" w:firstLineChars="200"/>
        <w:rPr>
          <w:rFonts w:hint="eastAsia"/>
        </w:rPr>
      </w:pPr>
      <w:r>
        <w:rPr>
          <w:rFonts w:hint="eastAsia"/>
        </w:rPr>
        <w:t>9.3.1 除合同另有约定外，发包人应与当地公安部门协商，在现场建立治安管理机构或联防组织，统一管理施工场地的治安保卫事项，履行合同工程的治安保卫职责。</w:t>
      </w:r>
    </w:p>
    <w:p w14:paraId="7C8623C3">
      <w:pPr>
        <w:spacing w:line="400" w:lineRule="exact"/>
        <w:ind w:firstLine="420" w:firstLineChars="200"/>
        <w:rPr>
          <w:rFonts w:hint="eastAsia"/>
        </w:rPr>
      </w:pPr>
      <w:r>
        <w:rPr>
          <w:rFonts w:hint="eastAsia"/>
        </w:rPr>
        <w:t>9.3.2 发包人和承包人除应协助现场治安管理机构或联防组织维护施工场地的社会治安外，还应做好包括生活区在内的各自管辖区的治安保卫工作。</w:t>
      </w:r>
    </w:p>
    <w:p w14:paraId="2CEB5FDD">
      <w:pPr>
        <w:spacing w:line="400" w:lineRule="exact"/>
        <w:ind w:firstLine="420" w:firstLineChars="200"/>
        <w:rPr>
          <w:rFonts w:hint="eastAsia"/>
        </w:rPr>
      </w:pPr>
      <w:r>
        <w:rPr>
          <w:rFonts w:hint="eastAsia"/>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22E75282">
      <w:pPr>
        <w:pStyle w:val="20"/>
        <w:rPr>
          <w:rFonts w:hint="eastAsia"/>
        </w:rPr>
      </w:pPr>
      <w:bookmarkStart w:id="787" w:name="_Toc152045677"/>
      <w:bookmarkStart w:id="788" w:name="_Toc144974645"/>
      <w:bookmarkStart w:id="789" w:name="_Toc179632695"/>
      <w:bookmarkStart w:id="790" w:name="_Toc108513750"/>
      <w:bookmarkStart w:id="791" w:name="_Toc152042455"/>
      <w:r>
        <w:rPr>
          <w:rFonts w:hint="eastAsia"/>
        </w:rPr>
        <w:t>9.4 环境保护</w:t>
      </w:r>
      <w:bookmarkEnd w:id="787"/>
      <w:bookmarkEnd w:id="788"/>
      <w:bookmarkEnd w:id="789"/>
      <w:bookmarkEnd w:id="790"/>
      <w:bookmarkEnd w:id="791"/>
    </w:p>
    <w:p w14:paraId="4472CFC4">
      <w:pPr>
        <w:spacing w:line="400" w:lineRule="exact"/>
        <w:ind w:firstLine="420" w:firstLineChars="200"/>
        <w:rPr>
          <w:rFonts w:hint="eastAsia"/>
        </w:rPr>
      </w:pPr>
      <w:r>
        <w:rPr>
          <w:rFonts w:hint="eastAsia"/>
        </w:rPr>
        <w:t>9.4.1 承包人在施工过程中，应遵守有关环境保护的法律，履行合同约定的环境保护义务，并对违反法律和合同约定义务所造成的环境破坏、人身伤害和财产损失负责。</w:t>
      </w:r>
    </w:p>
    <w:p w14:paraId="30B01441">
      <w:pPr>
        <w:spacing w:line="400" w:lineRule="exact"/>
        <w:ind w:firstLine="420" w:firstLineChars="200"/>
        <w:rPr>
          <w:rFonts w:hint="eastAsia"/>
        </w:rPr>
      </w:pPr>
      <w:r>
        <w:rPr>
          <w:rFonts w:hint="eastAsia"/>
        </w:rPr>
        <w:t>9.4.2 承包人应按合同约定的环保工作内容，编制施工环保措施计划，报送监理人审批。</w:t>
      </w:r>
    </w:p>
    <w:p w14:paraId="269B14D2">
      <w:pPr>
        <w:spacing w:line="400" w:lineRule="exact"/>
        <w:ind w:firstLine="420" w:firstLineChars="200"/>
        <w:rPr>
          <w:rFonts w:hint="eastAsia"/>
        </w:rPr>
      </w:pPr>
      <w:r>
        <w:rPr>
          <w:rFonts w:hint="eastAsia"/>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501CFC68">
      <w:pPr>
        <w:spacing w:line="400" w:lineRule="exact"/>
        <w:ind w:firstLine="420" w:firstLineChars="200"/>
        <w:rPr>
          <w:rFonts w:hint="eastAsia"/>
        </w:rPr>
      </w:pPr>
      <w:r>
        <w:rPr>
          <w:rFonts w:hint="eastAsia"/>
        </w:rPr>
        <w:t>9.4.4 承包人应按合同约定采取有效措施，对施工开挖的边坡及时进行支护,维护排水设施，并进行水土保护，避免因施工造成的地质灾害。</w:t>
      </w:r>
    </w:p>
    <w:p w14:paraId="79DFA0CD">
      <w:pPr>
        <w:spacing w:line="400" w:lineRule="exact"/>
        <w:ind w:firstLine="420" w:firstLineChars="200"/>
        <w:rPr>
          <w:rFonts w:hint="eastAsia"/>
        </w:rPr>
      </w:pPr>
      <w:r>
        <w:rPr>
          <w:rFonts w:hint="eastAsia"/>
        </w:rPr>
        <w:t>9.4.5 承包人应按国家饮用水管理标准定期对饮用水源进行监测，防止施工活动污染饮用水源。</w:t>
      </w:r>
    </w:p>
    <w:p w14:paraId="692BD793">
      <w:pPr>
        <w:spacing w:line="400" w:lineRule="exact"/>
        <w:ind w:firstLine="420" w:firstLineChars="200"/>
        <w:rPr>
          <w:rFonts w:hint="eastAsia"/>
        </w:rPr>
      </w:pPr>
      <w:r>
        <w:rPr>
          <w:rFonts w:hint="eastAsia"/>
        </w:rPr>
        <w:t>9.4.6 承包人应按合同约定，加强对噪声、粉尘、废气、废水和废油的控制，努力降低噪声，控制粉尘和废气浓度，做好废水和废油的治理和排放。</w:t>
      </w:r>
    </w:p>
    <w:p w14:paraId="6FD0D7D3">
      <w:pPr>
        <w:pStyle w:val="20"/>
        <w:rPr>
          <w:rFonts w:hint="eastAsia"/>
        </w:rPr>
      </w:pPr>
      <w:bookmarkStart w:id="792" w:name="_Toc108513751"/>
      <w:bookmarkStart w:id="793" w:name="_Toc179632696"/>
      <w:bookmarkStart w:id="794" w:name="_Toc144974646"/>
      <w:bookmarkStart w:id="795" w:name="_Toc152042456"/>
      <w:bookmarkStart w:id="796" w:name="_Toc152045678"/>
      <w:r>
        <w:rPr>
          <w:rFonts w:hint="eastAsia"/>
        </w:rPr>
        <w:t>9.5 事故处理</w:t>
      </w:r>
      <w:bookmarkEnd w:id="792"/>
      <w:bookmarkEnd w:id="793"/>
      <w:bookmarkEnd w:id="794"/>
      <w:bookmarkEnd w:id="795"/>
      <w:bookmarkEnd w:id="796"/>
    </w:p>
    <w:p w14:paraId="5092CA2C">
      <w:pPr>
        <w:spacing w:line="400" w:lineRule="exact"/>
        <w:ind w:firstLine="420" w:firstLineChars="200"/>
        <w:rPr>
          <w:rFonts w:hint="eastAsia"/>
        </w:rPr>
      </w:pPr>
      <w:r>
        <w:rPr>
          <w:rFonts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B8DDF37">
      <w:pPr>
        <w:pStyle w:val="18"/>
        <w:rPr>
          <w:rFonts w:hint="eastAsia"/>
        </w:rPr>
      </w:pPr>
      <w:bookmarkStart w:id="797" w:name="_Toc152045679"/>
      <w:bookmarkStart w:id="798" w:name="_Toc179632697"/>
      <w:bookmarkStart w:id="799" w:name="_Toc144974647"/>
      <w:bookmarkStart w:id="800" w:name="_Toc152042457"/>
      <w:bookmarkStart w:id="801" w:name="_Toc108513752"/>
      <w:r>
        <w:rPr>
          <w:rFonts w:hint="eastAsia"/>
        </w:rPr>
        <w:t>10. 进度计划</w:t>
      </w:r>
      <w:bookmarkEnd w:id="797"/>
      <w:bookmarkEnd w:id="798"/>
      <w:bookmarkEnd w:id="799"/>
      <w:bookmarkEnd w:id="800"/>
      <w:bookmarkEnd w:id="801"/>
    </w:p>
    <w:p w14:paraId="770E8372">
      <w:pPr>
        <w:pStyle w:val="20"/>
        <w:rPr>
          <w:rFonts w:hint="eastAsia"/>
        </w:rPr>
      </w:pPr>
      <w:bookmarkStart w:id="802" w:name="_Toc152045680"/>
      <w:bookmarkStart w:id="803" w:name="_Toc152042458"/>
      <w:bookmarkStart w:id="804" w:name="_Toc179632698"/>
      <w:bookmarkStart w:id="805" w:name="_Toc108513753"/>
      <w:bookmarkStart w:id="806" w:name="_Toc144974648"/>
      <w:r>
        <w:rPr>
          <w:rFonts w:hint="eastAsia"/>
        </w:rPr>
        <w:t>10.1 合同进度计划</w:t>
      </w:r>
      <w:bookmarkEnd w:id="802"/>
      <w:bookmarkEnd w:id="803"/>
      <w:bookmarkEnd w:id="804"/>
      <w:bookmarkEnd w:id="805"/>
      <w:bookmarkEnd w:id="806"/>
    </w:p>
    <w:p w14:paraId="7FB11561">
      <w:pPr>
        <w:spacing w:line="400" w:lineRule="exact"/>
        <w:ind w:firstLine="420" w:firstLineChars="200"/>
        <w:rPr>
          <w:rFonts w:hint="eastAsia"/>
        </w:rPr>
      </w:pPr>
      <w:r>
        <w:rPr>
          <w:rFonts w:hint="eastAsia"/>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3824ED3A">
      <w:pPr>
        <w:pStyle w:val="20"/>
        <w:rPr>
          <w:rFonts w:hint="eastAsia"/>
        </w:rPr>
      </w:pPr>
      <w:bookmarkStart w:id="807" w:name="_Toc152045681"/>
      <w:bookmarkStart w:id="808" w:name="_Toc144974649"/>
      <w:bookmarkStart w:id="809" w:name="_Toc108513754"/>
      <w:bookmarkStart w:id="810" w:name="_Toc152042459"/>
      <w:bookmarkStart w:id="811" w:name="_Toc179632699"/>
      <w:r>
        <w:rPr>
          <w:rFonts w:hint="eastAsia"/>
        </w:rPr>
        <w:t>10.2 合同进度计划的修订</w:t>
      </w:r>
      <w:bookmarkEnd w:id="807"/>
      <w:bookmarkEnd w:id="808"/>
      <w:bookmarkEnd w:id="809"/>
      <w:bookmarkEnd w:id="810"/>
      <w:bookmarkEnd w:id="811"/>
    </w:p>
    <w:p w14:paraId="2E3D746F">
      <w:pPr>
        <w:spacing w:line="400" w:lineRule="exact"/>
        <w:ind w:firstLine="420" w:firstLineChars="200"/>
        <w:rPr>
          <w:rFonts w:hint="eastAsia"/>
        </w:rPr>
      </w:pPr>
      <w:r>
        <w:rPr>
          <w:rFonts w:hint="eastAsia"/>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7A65C396">
      <w:pPr>
        <w:pStyle w:val="18"/>
        <w:rPr>
          <w:rFonts w:hint="eastAsia"/>
        </w:rPr>
      </w:pPr>
      <w:bookmarkStart w:id="812" w:name="_Toc152042460"/>
      <w:bookmarkStart w:id="813" w:name="_Toc152045682"/>
      <w:bookmarkStart w:id="814" w:name="_Toc179632700"/>
      <w:bookmarkStart w:id="815" w:name="_Toc108513755"/>
      <w:bookmarkStart w:id="816" w:name="_Toc144974650"/>
      <w:r>
        <w:rPr>
          <w:rFonts w:hint="eastAsia"/>
        </w:rPr>
        <w:t>11. 开工和竣工</w:t>
      </w:r>
      <w:bookmarkEnd w:id="812"/>
      <w:bookmarkEnd w:id="813"/>
      <w:bookmarkEnd w:id="814"/>
      <w:bookmarkEnd w:id="815"/>
      <w:bookmarkEnd w:id="816"/>
    </w:p>
    <w:p w14:paraId="053FD075">
      <w:pPr>
        <w:pStyle w:val="20"/>
        <w:rPr>
          <w:rFonts w:hint="eastAsia"/>
        </w:rPr>
      </w:pPr>
      <w:bookmarkStart w:id="817" w:name="_Toc152045683"/>
      <w:bookmarkStart w:id="818" w:name="_Toc108513756"/>
      <w:bookmarkStart w:id="819" w:name="_Toc179632701"/>
      <w:bookmarkStart w:id="820" w:name="_Toc144974651"/>
      <w:bookmarkStart w:id="821" w:name="_Toc152042461"/>
      <w:r>
        <w:rPr>
          <w:rFonts w:hint="eastAsia"/>
        </w:rPr>
        <w:t>11.1 开工</w:t>
      </w:r>
      <w:bookmarkEnd w:id="817"/>
      <w:bookmarkEnd w:id="818"/>
      <w:bookmarkEnd w:id="819"/>
      <w:bookmarkEnd w:id="820"/>
      <w:bookmarkEnd w:id="821"/>
    </w:p>
    <w:p w14:paraId="06D306E8">
      <w:pPr>
        <w:spacing w:line="400" w:lineRule="exact"/>
        <w:ind w:firstLine="420" w:firstLineChars="200"/>
        <w:rPr>
          <w:rFonts w:hint="eastAsia"/>
        </w:rPr>
      </w:pPr>
      <w:r>
        <w:rPr>
          <w:rFonts w:hint="eastAsia"/>
        </w:rPr>
        <w:t>11.1.1 监理人应在开工日期7天前向承包人发出开工通知。监理人在发出开工通知前应获得发包人同意。工期自监理人发出的开工通知中载明的开工日期起计算。承包人应在开工日期后尽快施工。</w:t>
      </w:r>
    </w:p>
    <w:p w14:paraId="7394E7D2">
      <w:pPr>
        <w:spacing w:line="400" w:lineRule="exact"/>
        <w:ind w:firstLine="420" w:firstLineChars="200"/>
        <w:rPr>
          <w:rFonts w:hint="eastAsia"/>
          <w:shd w:val="pct10" w:color="auto" w:fill="FFFFFF"/>
        </w:rPr>
      </w:pPr>
      <w:r>
        <w:rPr>
          <w:rFonts w:hint="eastAsia"/>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6E3E8BA3">
      <w:pPr>
        <w:pStyle w:val="20"/>
        <w:rPr>
          <w:rFonts w:hint="eastAsia"/>
        </w:rPr>
      </w:pPr>
      <w:bookmarkStart w:id="822" w:name="_Toc144974652"/>
      <w:bookmarkStart w:id="823" w:name="_Toc152042462"/>
      <w:bookmarkStart w:id="824" w:name="_Toc108513757"/>
      <w:bookmarkStart w:id="825" w:name="_Toc179632702"/>
      <w:bookmarkStart w:id="826" w:name="_Toc152045684"/>
      <w:r>
        <w:rPr>
          <w:rFonts w:hint="eastAsia"/>
        </w:rPr>
        <w:t>11.2 竣工</w:t>
      </w:r>
      <w:bookmarkEnd w:id="822"/>
      <w:bookmarkEnd w:id="823"/>
      <w:bookmarkEnd w:id="824"/>
      <w:bookmarkEnd w:id="825"/>
      <w:bookmarkEnd w:id="826"/>
    </w:p>
    <w:p w14:paraId="46B98C79">
      <w:pPr>
        <w:spacing w:line="400" w:lineRule="exact"/>
        <w:ind w:firstLine="420" w:firstLineChars="200"/>
        <w:rPr>
          <w:rFonts w:hint="eastAsia"/>
        </w:rPr>
      </w:pPr>
      <w:r>
        <w:rPr>
          <w:rFonts w:hint="eastAsia"/>
        </w:rPr>
        <w:t>承包人应在第1.1.4.3目约定的期限内完成合同工程。实际竣工日期在接收证书中写明。</w:t>
      </w:r>
    </w:p>
    <w:p w14:paraId="030A825F">
      <w:pPr>
        <w:pStyle w:val="20"/>
        <w:rPr>
          <w:rFonts w:hint="eastAsia"/>
        </w:rPr>
      </w:pPr>
      <w:bookmarkStart w:id="827" w:name="_Toc152042463"/>
      <w:bookmarkStart w:id="828" w:name="_Toc179632703"/>
      <w:bookmarkStart w:id="829" w:name="_Toc108513758"/>
      <w:bookmarkStart w:id="830" w:name="_Toc152045685"/>
      <w:bookmarkStart w:id="831" w:name="_Toc144974653"/>
      <w:r>
        <w:rPr>
          <w:rFonts w:hint="eastAsia"/>
        </w:rPr>
        <w:t>11.3 发包人的工期延误</w:t>
      </w:r>
      <w:bookmarkEnd w:id="827"/>
      <w:bookmarkEnd w:id="828"/>
      <w:bookmarkEnd w:id="829"/>
      <w:bookmarkEnd w:id="830"/>
      <w:bookmarkEnd w:id="831"/>
    </w:p>
    <w:p w14:paraId="663E6D73">
      <w:pPr>
        <w:spacing w:line="400" w:lineRule="exact"/>
        <w:ind w:firstLine="420" w:firstLineChars="200"/>
        <w:rPr>
          <w:rFonts w:hint="eastAsia"/>
        </w:rPr>
      </w:pPr>
      <w:r>
        <w:rPr>
          <w:rFonts w:hint="eastAsia"/>
        </w:rPr>
        <w:t>在履行合同过程中，由于发包人的下列原因造成工期延误的，承包人有权要求发包人延长工期和（或）增加费用，并支付合理利润。需要修订合同进度计划的，按照第10.2款的约定办理。</w:t>
      </w:r>
    </w:p>
    <w:p w14:paraId="0A5D8D53">
      <w:pPr>
        <w:spacing w:line="400" w:lineRule="exact"/>
        <w:ind w:firstLine="359" w:firstLineChars="171"/>
        <w:rPr>
          <w:rFonts w:hint="eastAsia"/>
        </w:rPr>
      </w:pPr>
      <w:r>
        <w:rPr>
          <w:rFonts w:hint="eastAsia"/>
        </w:rPr>
        <w:t>（1）增加合同工作内容；</w:t>
      </w:r>
    </w:p>
    <w:p w14:paraId="63AACDD7">
      <w:pPr>
        <w:spacing w:line="400" w:lineRule="exact"/>
        <w:ind w:firstLine="359" w:firstLineChars="171"/>
        <w:rPr>
          <w:rFonts w:hint="eastAsia"/>
        </w:rPr>
      </w:pPr>
      <w:r>
        <w:rPr>
          <w:rFonts w:hint="eastAsia"/>
        </w:rPr>
        <w:t>（2）改变合同中任何一项工作的质量要求或其他特性；</w:t>
      </w:r>
    </w:p>
    <w:p w14:paraId="6802525F">
      <w:pPr>
        <w:spacing w:line="400" w:lineRule="exact"/>
        <w:ind w:firstLine="359" w:firstLineChars="171"/>
        <w:rPr>
          <w:rFonts w:hint="eastAsia"/>
        </w:rPr>
      </w:pPr>
      <w:r>
        <w:rPr>
          <w:rFonts w:hint="eastAsia"/>
        </w:rPr>
        <w:t>（3）发包人迟延提供材料、工程设备或变更交货地点的；</w:t>
      </w:r>
    </w:p>
    <w:p w14:paraId="151AE80E">
      <w:pPr>
        <w:spacing w:line="400" w:lineRule="exact"/>
        <w:ind w:firstLine="359" w:firstLineChars="171"/>
        <w:rPr>
          <w:rFonts w:hint="eastAsia"/>
        </w:rPr>
      </w:pPr>
      <w:r>
        <w:rPr>
          <w:rFonts w:hint="eastAsia"/>
        </w:rPr>
        <w:t>（4）因发包人原因导致的暂停施工；</w:t>
      </w:r>
    </w:p>
    <w:p w14:paraId="3000B62E">
      <w:pPr>
        <w:spacing w:line="400" w:lineRule="exact"/>
        <w:ind w:firstLine="359" w:firstLineChars="171"/>
        <w:rPr>
          <w:rFonts w:hint="eastAsia"/>
        </w:rPr>
      </w:pPr>
      <w:r>
        <w:rPr>
          <w:rFonts w:hint="eastAsia"/>
        </w:rPr>
        <w:t>（5）提供图纸延误；</w:t>
      </w:r>
    </w:p>
    <w:p w14:paraId="415B743F">
      <w:pPr>
        <w:spacing w:line="400" w:lineRule="exact"/>
        <w:ind w:firstLine="359" w:firstLineChars="171"/>
        <w:rPr>
          <w:rFonts w:hint="eastAsia"/>
        </w:rPr>
      </w:pPr>
      <w:r>
        <w:rPr>
          <w:rFonts w:hint="eastAsia"/>
        </w:rPr>
        <w:t>（6）未按合同约定及时支付预付款、进度款；</w:t>
      </w:r>
    </w:p>
    <w:p w14:paraId="53ECACE3">
      <w:pPr>
        <w:spacing w:line="400" w:lineRule="exact"/>
        <w:ind w:firstLine="359" w:firstLineChars="171"/>
        <w:rPr>
          <w:rFonts w:hint="eastAsia"/>
        </w:rPr>
      </w:pPr>
      <w:r>
        <w:rPr>
          <w:rFonts w:hint="eastAsia"/>
        </w:rPr>
        <w:t>（7）发包人造成工期延误的其他原因。</w:t>
      </w:r>
    </w:p>
    <w:p w14:paraId="05DA3306">
      <w:pPr>
        <w:pStyle w:val="20"/>
        <w:rPr>
          <w:rFonts w:hint="eastAsia"/>
        </w:rPr>
      </w:pPr>
      <w:bookmarkStart w:id="832" w:name="_Toc152045686"/>
      <w:bookmarkStart w:id="833" w:name="_Toc108513759"/>
      <w:bookmarkStart w:id="834" w:name="_Toc179632704"/>
      <w:bookmarkStart w:id="835" w:name="_Toc152042464"/>
      <w:bookmarkStart w:id="836" w:name="_Toc144974654"/>
      <w:r>
        <w:rPr>
          <w:rFonts w:hint="eastAsia"/>
        </w:rPr>
        <w:t>11.4 异常恶劣的气候条件</w:t>
      </w:r>
      <w:bookmarkEnd w:id="832"/>
      <w:bookmarkEnd w:id="833"/>
      <w:bookmarkEnd w:id="834"/>
      <w:bookmarkEnd w:id="835"/>
      <w:bookmarkEnd w:id="836"/>
    </w:p>
    <w:p w14:paraId="4F9C0A3A">
      <w:pPr>
        <w:spacing w:line="400" w:lineRule="exact"/>
        <w:ind w:firstLine="359" w:firstLineChars="171"/>
        <w:rPr>
          <w:rFonts w:hint="eastAsia"/>
        </w:rPr>
      </w:pPr>
      <w:r>
        <w:rPr>
          <w:rFonts w:hint="eastAsia"/>
        </w:rPr>
        <w:t>由于出现专用合同条款规定的异常恶劣气候的条件导致工期延误的，承包人有权要求发包人延长工期。</w:t>
      </w:r>
    </w:p>
    <w:p w14:paraId="68F08335">
      <w:pPr>
        <w:pStyle w:val="20"/>
        <w:rPr>
          <w:rFonts w:hint="eastAsia"/>
        </w:rPr>
      </w:pPr>
      <w:bookmarkStart w:id="837" w:name="_Toc152042465"/>
      <w:bookmarkStart w:id="838" w:name="_Toc144974655"/>
      <w:bookmarkStart w:id="839" w:name="_Toc152045687"/>
      <w:bookmarkStart w:id="840" w:name="_Toc179632705"/>
      <w:bookmarkStart w:id="841" w:name="_Toc108513760"/>
      <w:r>
        <w:rPr>
          <w:rFonts w:hint="eastAsia"/>
        </w:rPr>
        <w:t>11.5 承包人的工期延误</w:t>
      </w:r>
      <w:bookmarkEnd w:id="837"/>
      <w:bookmarkEnd w:id="838"/>
      <w:bookmarkEnd w:id="839"/>
      <w:bookmarkEnd w:id="840"/>
      <w:bookmarkEnd w:id="841"/>
    </w:p>
    <w:p w14:paraId="25CFA264">
      <w:pPr>
        <w:spacing w:line="400" w:lineRule="exact"/>
        <w:ind w:firstLine="420" w:firstLineChars="200"/>
        <w:rPr>
          <w:rFonts w:hint="eastAsia"/>
        </w:rPr>
      </w:pPr>
      <w:r>
        <w:rPr>
          <w:rFonts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5EFA6770">
      <w:pPr>
        <w:pStyle w:val="20"/>
        <w:rPr>
          <w:rFonts w:hint="eastAsia"/>
        </w:rPr>
      </w:pPr>
      <w:bookmarkStart w:id="842" w:name="_Toc144974656"/>
      <w:bookmarkStart w:id="843" w:name="_Toc179632706"/>
      <w:bookmarkStart w:id="844" w:name="_Toc152045688"/>
      <w:bookmarkStart w:id="845" w:name="_Toc108513761"/>
      <w:bookmarkStart w:id="846" w:name="_Toc152042466"/>
      <w:r>
        <w:rPr>
          <w:rFonts w:hint="eastAsia"/>
        </w:rPr>
        <w:t>11.6</w:t>
      </w:r>
      <w:bookmarkEnd w:id="842"/>
      <w:bookmarkStart w:id="847" w:name="_Toc144974657"/>
      <w:r>
        <w:rPr>
          <w:rFonts w:hint="eastAsia"/>
        </w:rPr>
        <w:t xml:space="preserve"> 工期提前</w:t>
      </w:r>
      <w:bookmarkEnd w:id="843"/>
      <w:bookmarkEnd w:id="844"/>
      <w:bookmarkEnd w:id="845"/>
      <w:bookmarkEnd w:id="846"/>
      <w:bookmarkEnd w:id="847"/>
    </w:p>
    <w:p w14:paraId="331C2812">
      <w:pPr>
        <w:spacing w:line="400" w:lineRule="exact"/>
        <w:ind w:firstLine="420" w:firstLineChars="200"/>
        <w:rPr>
          <w:rFonts w:hint="eastAsia"/>
        </w:rPr>
      </w:pPr>
      <w:r>
        <w:rPr>
          <w:rFonts w:hint="eastAsia"/>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14:paraId="4DBEFAB6">
      <w:pPr>
        <w:pStyle w:val="18"/>
        <w:rPr>
          <w:rFonts w:hint="eastAsia"/>
        </w:rPr>
      </w:pPr>
      <w:bookmarkStart w:id="848" w:name="_Toc152042467"/>
      <w:bookmarkStart w:id="849" w:name="_Toc152045689"/>
      <w:bookmarkStart w:id="850" w:name="_Toc179632707"/>
      <w:bookmarkStart w:id="851" w:name="_Toc144974658"/>
      <w:bookmarkStart w:id="852" w:name="_Toc108513762"/>
      <w:r>
        <w:rPr>
          <w:rFonts w:hint="eastAsia"/>
        </w:rPr>
        <w:t>12. 暂停施工</w:t>
      </w:r>
      <w:bookmarkEnd w:id="848"/>
      <w:bookmarkEnd w:id="849"/>
      <w:bookmarkEnd w:id="850"/>
      <w:bookmarkEnd w:id="851"/>
      <w:bookmarkEnd w:id="852"/>
    </w:p>
    <w:p w14:paraId="174F11F2">
      <w:pPr>
        <w:pStyle w:val="20"/>
        <w:rPr>
          <w:rFonts w:hint="eastAsia"/>
        </w:rPr>
      </w:pPr>
      <w:bookmarkStart w:id="853" w:name="_Toc179632708"/>
      <w:bookmarkStart w:id="854" w:name="_Toc152042468"/>
      <w:bookmarkStart w:id="855" w:name="_Toc152045690"/>
      <w:bookmarkStart w:id="856" w:name="_Toc108513763"/>
      <w:bookmarkStart w:id="857" w:name="_Toc144974659"/>
      <w:r>
        <w:rPr>
          <w:rFonts w:hint="eastAsia"/>
        </w:rPr>
        <w:t>12.1 承包人暂停施工的责任</w:t>
      </w:r>
      <w:bookmarkEnd w:id="853"/>
      <w:bookmarkEnd w:id="854"/>
      <w:bookmarkEnd w:id="855"/>
      <w:bookmarkEnd w:id="856"/>
      <w:bookmarkEnd w:id="857"/>
    </w:p>
    <w:p w14:paraId="4B315244">
      <w:pPr>
        <w:spacing w:line="400" w:lineRule="exact"/>
        <w:ind w:firstLine="420" w:firstLineChars="200"/>
        <w:rPr>
          <w:rFonts w:hint="eastAsia"/>
        </w:rPr>
      </w:pPr>
      <w:r>
        <w:rPr>
          <w:rFonts w:hint="eastAsia"/>
        </w:rPr>
        <w:t>因下列暂停施工增加的费用和（或）工期延误由承包人承担：</w:t>
      </w:r>
    </w:p>
    <w:p w14:paraId="6CCBD54E">
      <w:pPr>
        <w:spacing w:line="400" w:lineRule="exact"/>
        <w:ind w:firstLine="359" w:firstLineChars="171"/>
        <w:rPr>
          <w:rFonts w:hint="eastAsia"/>
        </w:rPr>
      </w:pPr>
      <w:r>
        <w:rPr>
          <w:rFonts w:hint="eastAsia"/>
        </w:rPr>
        <w:t>（1）承包人违约引起的暂停施工；</w:t>
      </w:r>
    </w:p>
    <w:p w14:paraId="16A9B932">
      <w:pPr>
        <w:spacing w:line="400" w:lineRule="exact"/>
        <w:ind w:firstLine="359" w:firstLineChars="171"/>
        <w:rPr>
          <w:rFonts w:hint="eastAsia"/>
        </w:rPr>
      </w:pPr>
      <w:r>
        <w:rPr>
          <w:rFonts w:hint="eastAsia"/>
        </w:rPr>
        <w:t>（2）由于承包人原因为工程合理施工和安全保障所必需的暂停施工；</w:t>
      </w:r>
    </w:p>
    <w:p w14:paraId="41A1AC21">
      <w:pPr>
        <w:spacing w:line="400" w:lineRule="exact"/>
        <w:ind w:firstLine="359" w:firstLineChars="171"/>
        <w:rPr>
          <w:rFonts w:hint="eastAsia"/>
        </w:rPr>
      </w:pPr>
      <w:r>
        <w:rPr>
          <w:rFonts w:hint="eastAsia"/>
        </w:rPr>
        <w:t>（3）承包人擅自暂停施工；</w:t>
      </w:r>
    </w:p>
    <w:p w14:paraId="6AFBE3E0">
      <w:pPr>
        <w:spacing w:line="400" w:lineRule="exact"/>
        <w:ind w:firstLine="359" w:firstLineChars="171"/>
        <w:rPr>
          <w:rFonts w:hint="eastAsia"/>
        </w:rPr>
      </w:pPr>
      <w:r>
        <w:rPr>
          <w:rFonts w:hint="eastAsia"/>
        </w:rPr>
        <w:t>（4）承包人其他原因引起的暂停施工；</w:t>
      </w:r>
    </w:p>
    <w:p w14:paraId="5C3BDC54">
      <w:pPr>
        <w:spacing w:line="400" w:lineRule="exact"/>
        <w:ind w:firstLine="359" w:firstLineChars="171"/>
        <w:rPr>
          <w:rFonts w:hint="eastAsia"/>
        </w:rPr>
      </w:pPr>
      <w:r>
        <w:rPr>
          <w:rFonts w:hint="eastAsia"/>
        </w:rPr>
        <w:t>（5）专用合同条款约定由承包人承担的其他暂停施工。</w:t>
      </w:r>
    </w:p>
    <w:p w14:paraId="7457EAFE">
      <w:pPr>
        <w:pStyle w:val="20"/>
        <w:rPr>
          <w:rFonts w:hint="eastAsia"/>
        </w:rPr>
      </w:pPr>
      <w:bookmarkStart w:id="858" w:name="_Toc144974660"/>
      <w:bookmarkStart w:id="859" w:name="_Toc108513764"/>
      <w:bookmarkStart w:id="860" w:name="_Toc152042469"/>
      <w:bookmarkStart w:id="861" w:name="_Toc179632709"/>
      <w:bookmarkStart w:id="862" w:name="_Toc152045691"/>
      <w:r>
        <w:rPr>
          <w:rFonts w:hint="eastAsia"/>
        </w:rPr>
        <w:t>12.2 发包人暂停施工的责任</w:t>
      </w:r>
      <w:bookmarkEnd w:id="858"/>
      <w:bookmarkEnd w:id="859"/>
      <w:bookmarkEnd w:id="860"/>
      <w:bookmarkEnd w:id="861"/>
      <w:bookmarkEnd w:id="862"/>
    </w:p>
    <w:p w14:paraId="38651B44">
      <w:pPr>
        <w:spacing w:line="400" w:lineRule="exact"/>
        <w:ind w:firstLine="420" w:firstLineChars="200"/>
        <w:rPr>
          <w:rFonts w:hint="eastAsia"/>
        </w:rPr>
      </w:pPr>
      <w:r>
        <w:rPr>
          <w:rFonts w:hint="eastAsia"/>
        </w:rPr>
        <w:t>由于发包人原因引起的暂停施工造成工期延误的，承包人有权要求发包人延长工期和（或）增加费用，并支付合理利润。</w:t>
      </w:r>
    </w:p>
    <w:p w14:paraId="5236116F">
      <w:pPr>
        <w:pStyle w:val="20"/>
        <w:rPr>
          <w:rFonts w:hint="eastAsia"/>
        </w:rPr>
      </w:pPr>
      <w:bookmarkStart w:id="863" w:name="_Toc179632710"/>
      <w:bookmarkStart w:id="864" w:name="_Toc152045692"/>
      <w:bookmarkStart w:id="865" w:name="_Toc152042470"/>
      <w:bookmarkStart w:id="866" w:name="_Toc144974661"/>
      <w:bookmarkStart w:id="867" w:name="_Toc108513765"/>
      <w:r>
        <w:rPr>
          <w:rFonts w:hint="eastAsia"/>
        </w:rPr>
        <w:t>12.3 监理人暂停施工指示</w:t>
      </w:r>
      <w:bookmarkEnd w:id="863"/>
      <w:bookmarkEnd w:id="864"/>
      <w:bookmarkEnd w:id="865"/>
      <w:bookmarkEnd w:id="866"/>
      <w:bookmarkEnd w:id="867"/>
    </w:p>
    <w:p w14:paraId="41C669EA">
      <w:pPr>
        <w:spacing w:line="400" w:lineRule="exact"/>
        <w:ind w:firstLine="420" w:firstLineChars="200"/>
        <w:rPr>
          <w:rFonts w:hint="eastAsia"/>
        </w:rPr>
      </w:pPr>
      <w:r>
        <w:rPr>
          <w:rFonts w:hint="eastAsia"/>
        </w:rPr>
        <w:t>12.3.1 监理人认为有必要时，可向承包人作出暂停施工的指示，承包人应按监理人指示暂停施工。不论由于何种原因引起的暂停施工，暂停施工期间承包人应负责妥善保护工程并提供安全保障。</w:t>
      </w:r>
    </w:p>
    <w:p w14:paraId="5839EA53">
      <w:pPr>
        <w:spacing w:line="400" w:lineRule="exact"/>
        <w:ind w:firstLine="420" w:firstLineChars="200"/>
        <w:rPr>
          <w:rFonts w:hint="eastAsia"/>
        </w:rPr>
      </w:pPr>
      <w:r>
        <w:rPr>
          <w:rFonts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42523518">
      <w:pPr>
        <w:pStyle w:val="20"/>
        <w:rPr>
          <w:rFonts w:hint="eastAsia"/>
        </w:rPr>
      </w:pPr>
      <w:bookmarkStart w:id="868" w:name="_Toc152042471"/>
      <w:bookmarkStart w:id="869" w:name="_Toc144974662"/>
      <w:bookmarkStart w:id="870" w:name="_Toc179632711"/>
      <w:bookmarkStart w:id="871" w:name="_Toc152045693"/>
      <w:bookmarkStart w:id="872" w:name="_Toc108513766"/>
      <w:r>
        <w:rPr>
          <w:rFonts w:hint="eastAsia"/>
        </w:rPr>
        <w:t>12.4 暂停施工后的复工</w:t>
      </w:r>
      <w:bookmarkEnd w:id="868"/>
      <w:bookmarkEnd w:id="869"/>
      <w:bookmarkEnd w:id="870"/>
      <w:bookmarkEnd w:id="871"/>
      <w:bookmarkEnd w:id="872"/>
    </w:p>
    <w:p w14:paraId="058613DC">
      <w:pPr>
        <w:spacing w:line="400" w:lineRule="exact"/>
        <w:ind w:firstLine="420" w:firstLineChars="200"/>
        <w:rPr>
          <w:rFonts w:hint="eastAsia"/>
        </w:rPr>
      </w:pPr>
      <w:r>
        <w:rPr>
          <w:rFonts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139A95CF">
      <w:pPr>
        <w:spacing w:line="400" w:lineRule="exact"/>
        <w:ind w:firstLine="420" w:firstLineChars="200"/>
        <w:rPr>
          <w:rFonts w:hint="eastAsia"/>
        </w:rPr>
      </w:pPr>
      <w:r>
        <w:rPr>
          <w:rFonts w:hint="eastAsia"/>
        </w:rPr>
        <w:t>12.4.2 承包人无故拖延和拒绝复工的，由此增加的费用和工期延误由承包人承担；因发包人原因无法按时复工的，承包人有权要求发包人延长工期和（或）增加费用，并支付合理利润。</w:t>
      </w:r>
    </w:p>
    <w:p w14:paraId="0D103FB6">
      <w:pPr>
        <w:pStyle w:val="20"/>
        <w:rPr>
          <w:rFonts w:hint="eastAsia"/>
        </w:rPr>
      </w:pPr>
      <w:bookmarkStart w:id="873" w:name="_Toc152045694"/>
      <w:bookmarkStart w:id="874" w:name="_Toc108513767"/>
      <w:bookmarkStart w:id="875" w:name="_Toc144974663"/>
      <w:bookmarkStart w:id="876" w:name="_Toc152042472"/>
      <w:bookmarkStart w:id="877" w:name="_Toc179632712"/>
      <w:r>
        <w:rPr>
          <w:rFonts w:hint="eastAsia"/>
        </w:rPr>
        <w:t xml:space="preserve">12.5 </w:t>
      </w:r>
      <w:r>
        <w:t>暂停施工</w:t>
      </w:r>
      <w:r>
        <w:rPr>
          <w:rFonts w:hint="eastAsia"/>
        </w:rPr>
        <w:t>持续56天以上</w:t>
      </w:r>
      <w:bookmarkEnd w:id="873"/>
      <w:bookmarkEnd w:id="874"/>
      <w:bookmarkEnd w:id="875"/>
      <w:bookmarkEnd w:id="876"/>
      <w:bookmarkEnd w:id="877"/>
    </w:p>
    <w:p w14:paraId="2EED896B">
      <w:pPr>
        <w:spacing w:line="400" w:lineRule="exact"/>
        <w:ind w:firstLine="411" w:firstLineChars="196"/>
        <w:rPr>
          <w:rFonts w:hint="eastAsia"/>
        </w:rPr>
      </w:pPr>
      <w:r>
        <w:rPr>
          <w:rFonts w:hint="eastAsia"/>
        </w:rPr>
        <w:t xml:space="preserve">12.5.1 </w:t>
      </w:r>
      <w:r>
        <w:t>监理人</w:t>
      </w:r>
      <w:r>
        <w:rPr>
          <w:rFonts w:hint="eastAsia"/>
        </w:rPr>
        <w:t>发出</w:t>
      </w:r>
      <w:r>
        <w:t>暂停施工指示</w:t>
      </w:r>
      <w:r>
        <w:rPr>
          <w:rFonts w:hint="eastAsia"/>
        </w:rPr>
        <w:t>后56天内未向</w:t>
      </w:r>
      <w:r>
        <w:t>承包人</w:t>
      </w:r>
      <w:r>
        <w:rPr>
          <w:rFonts w:hint="eastAsia"/>
        </w:rPr>
        <w:t>发出复工通知，除了该项停工属于第12.1款的情况外，</w:t>
      </w:r>
      <w:r>
        <w:t>承包人</w:t>
      </w:r>
      <w:r>
        <w:rPr>
          <w:rFonts w:hint="eastAsia"/>
        </w:rPr>
        <w:t>可向</w:t>
      </w:r>
      <w:r>
        <w:t>监理人</w:t>
      </w:r>
      <w:r>
        <w:rPr>
          <w:rFonts w:hint="eastAsia"/>
        </w:rPr>
        <w:t>提交书面通知，要求</w:t>
      </w:r>
      <w:r>
        <w:t>监理人</w:t>
      </w:r>
      <w:r>
        <w:rPr>
          <w:rFonts w:hint="eastAsia"/>
        </w:rPr>
        <w:t>在收到书面通知后28天内准许已</w:t>
      </w:r>
      <w:r>
        <w:t>暂停施工</w:t>
      </w:r>
      <w:r>
        <w:rPr>
          <w:rFonts w:hint="eastAsia"/>
        </w:rPr>
        <w:t>的工程或其中一部分工程继续施工。如</w:t>
      </w:r>
      <w:r>
        <w:t>监理人</w:t>
      </w:r>
      <w:r>
        <w:rPr>
          <w:rFonts w:hint="eastAsia"/>
        </w:rPr>
        <w:t>逾期不予批准，则承包人可以通知</w:t>
      </w:r>
      <w:r>
        <w:t>监理人</w:t>
      </w:r>
      <w:r>
        <w:rPr>
          <w:rFonts w:hint="eastAsia"/>
        </w:rPr>
        <w:t>，将工程受影响的部分视为按第15.1（1）项的可取消工作。如</w:t>
      </w:r>
      <w:r>
        <w:t>暂停施工</w:t>
      </w:r>
      <w:r>
        <w:rPr>
          <w:rFonts w:hint="eastAsia"/>
        </w:rPr>
        <w:t>影响到整个工程，可视为发包人违约，应按第22.2款的规定办理。</w:t>
      </w:r>
    </w:p>
    <w:p w14:paraId="145F8BD4">
      <w:pPr>
        <w:spacing w:line="400" w:lineRule="exact"/>
        <w:ind w:firstLine="420" w:firstLineChars="200"/>
        <w:rPr>
          <w:rFonts w:hint="eastAsia"/>
        </w:rPr>
      </w:pPr>
      <w:r>
        <w:rPr>
          <w:rFonts w:hint="eastAsia"/>
        </w:rPr>
        <w:t>12.5.2 由于</w:t>
      </w:r>
      <w:r>
        <w:t>承包人</w:t>
      </w:r>
      <w:r>
        <w:rPr>
          <w:rFonts w:hint="eastAsia"/>
        </w:rPr>
        <w:t>责任引起的</w:t>
      </w:r>
      <w:r>
        <w:t>暂停施工</w:t>
      </w:r>
      <w:r>
        <w:rPr>
          <w:rFonts w:hint="eastAsia"/>
        </w:rPr>
        <w:t>，如</w:t>
      </w:r>
      <w:r>
        <w:t>承包人</w:t>
      </w:r>
      <w:r>
        <w:rPr>
          <w:rFonts w:hint="eastAsia"/>
        </w:rPr>
        <w:t>在收到</w:t>
      </w:r>
      <w:r>
        <w:t>监理人暂停施工指示</w:t>
      </w:r>
      <w:r>
        <w:rPr>
          <w:rFonts w:hint="eastAsia"/>
        </w:rPr>
        <w:t>后56天内不认真采取有效的复工措施，造成工期延误，可视为</w:t>
      </w:r>
      <w:r>
        <w:t>承包人</w:t>
      </w:r>
      <w:r>
        <w:rPr>
          <w:rFonts w:hint="eastAsia"/>
        </w:rPr>
        <w:t>违约，应按第22.1款的规定办理。</w:t>
      </w:r>
    </w:p>
    <w:p w14:paraId="480C4120">
      <w:pPr>
        <w:pStyle w:val="18"/>
        <w:rPr>
          <w:rFonts w:hint="eastAsia"/>
        </w:rPr>
      </w:pPr>
      <w:bookmarkStart w:id="878" w:name="_Toc152042473"/>
      <w:bookmarkStart w:id="879" w:name="_Toc152045695"/>
      <w:bookmarkStart w:id="880" w:name="_Toc144974664"/>
      <w:bookmarkStart w:id="881" w:name="_Toc108513768"/>
      <w:bookmarkStart w:id="882" w:name="_Toc179632713"/>
      <w:r>
        <w:rPr>
          <w:rFonts w:hint="eastAsia"/>
        </w:rPr>
        <w:t>13. 工程质量</w:t>
      </w:r>
      <w:bookmarkEnd w:id="878"/>
      <w:bookmarkEnd w:id="879"/>
      <w:bookmarkEnd w:id="880"/>
      <w:bookmarkEnd w:id="881"/>
      <w:bookmarkEnd w:id="882"/>
    </w:p>
    <w:p w14:paraId="5C0A8B49">
      <w:pPr>
        <w:pStyle w:val="20"/>
        <w:rPr>
          <w:rFonts w:hint="eastAsia"/>
        </w:rPr>
      </w:pPr>
      <w:bookmarkStart w:id="883" w:name="_Toc152045696"/>
      <w:bookmarkStart w:id="884" w:name="_Toc152042474"/>
      <w:bookmarkStart w:id="885" w:name="_Toc144974665"/>
      <w:bookmarkStart w:id="886" w:name="_Toc108513769"/>
      <w:bookmarkStart w:id="887" w:name="_Toc179632714"/>
      <w:r>
        <w:rPr>
          <w:rFonts w:hint="eastAsia"/>
        </w:rPr>
        <w:t>13.1 工程质量要求</w:t>
      </w:r>
      <w:bookmarkEnd w:id="883"/>
      <w:bookmarkEnd w:id="884"/>
      <w:bookmarkEnd w:id="885"/>
      <w:bookmarkEnd w:id="886"/>
      <w:bookmarkEnd w:id="887"/>
    </w:p>
    <w:p w14:paraId="6EC9289A">
      <w:pPr>
        <w:spacing w:line="400" w:lineRule="exact"/>
        <w:ind w:firstLine="420" w:firstLineChars="200"/>
        <w:rPr>
          <w:rFonts w:hint="eastAsia"/>
        </w:rPr>
      </w:pPr>
      <w:r>
        <w:rPr>
          <w:rFonts w:hint="eastAsia"/>
        </w:rPr>
        <w:t>13.1.1 工程质量验收按合同约定验收标准执行。</w:t>
      </w:r>
    </w:p>
    <w:p w14:paraId="5B421309">
      <w:pPr>
        <w:spacing w:line="400" w:lineRule="exact"/>
        <w:ind w:firstLine="420" w:firstLineChars="200"/>
        <w:rPr>
          <w:rFonts w:hint="eastAsia"/>
        </w:rPr>
      </w:pPr>
      <w:r>
        <w:rPr>
          <w:rFonts w:hint="eastAsia"/>
        </w:rPr>
        <w:t>13.1.2 因承包人原因造成工程质量达不到合同约定验收标准的，监理人有权要求承包人返工直至符合合同要求为止，由此造成的费用增加和（或）工期延误由承包人承担。</w:t>
      </w:r>
    </w:p>
    <w:p w14:paraId="32B6DF38">
      <w:pPr>
        <w:spacing w:line="400" w:lineRule="exact"/>
        <w:ind w:firstLine="420" w:firstLineChars="200"/>
        <w:rPr>
          <w:rFonts w:hint="eastAsia"/>
        </w:rPr>
      </w:pPr>
      <w:r>
        <w:rPr>
          <w:rFonts w:hint="eastAsia"/>
        </w:rPr>
        <w:t>13.1.3 因发包人原因造成工程质量达不到合同约定验收标准的，发包人应承担由于承包人返工造成的费用增加和（或）工期延误，并支付承包人合理利润。</w:t>
      </w:r>
    </w:p>
    <w:p w14:paraId="2C953C06">
      <w:pPr>
        <w:pStyle w:val="20"/>
        <w:rPr>
          <w:rFonts w:hint="eastAsia"/>
        </w:rPr>
      </w:pPr>
      <w:bookmarkStart w:id="888" w:name="_Toc152045697"/>
      <w:bookmarkStart w:id="889" w:name="_Toc108513770"/>
      <w:bookmarkStart w:id="890" w:name="_Toc144974666"/>
      <w:bookmarkStart w:id="891" w:name="_Toc152042475"/>
      <w:bookmarkStart w:id="892" w:name="_Toc179632715"/>
      <w:r>
        <w:rPr>
          <w:rFonts w:hint="eastAsia"/>
        </w:rPr>
        <w:t>13.2 承包人的质量管理</w:t>
      </w:r>
      <w:bookmarkEnd w:id="888"/>
      <w:bookmarkEnd w:id="889"/>
      <w:bookmarkEnd w:id="890"/>
      <w:bookmarkEnd w:id="891"/>
      <w:bookmarkEnd w:id="892"/>
    </w:p>
    <w:p w14:paraId="13DEFBAB">
      <w:pPr>
        <w:spacing w:line="400" w:lineRule="exact"/>
        <w:ind w:firstLine="420" w:firstLineChars="200"/>
        <w:rPr>
          <w:rFonts w:hint="eastAsia"/>
        </w:rPr>
      </w:pPr>
      <w:r>
        <w:rPr>
          <w:rFonts w:hint="eastAsia"/>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1322851A">
      <w:pPr>
        <w:spacing w:line="400" w:lineRule="exact"/>
        <w:ind w:firstLine="420" w:firstLineChars="200"/>
        <w:rPr>
          <w:rFonts w:hint="eastAsia"/>
        </w:rPr>
      </w:pPr>
      <w:r>
        <w:rPr>
          <w:rFonts w:hint="eastAsia"/>
        </w:rPr>
        <w:t>13.2.2 承包人应加强对施工人员的质量教育和技术培训，定期考核施工人员的劳动技能，严格执行规范和操作规程。</w:t>
      </w:r>
    </w:p>
    <w:p w14:paraId="19521169">
      <w:pPr>
        <w:pStyle w:val="20"/>
        <w:rPr>
          <w:rFonts w:hint="eastAsia"/>
        </w:rPr>
      </w:pPr>
      <w:bookmarkStart w:id="893" w:name="_Toc179632716"/>
      <w:bookmarkStart w:id="894" w:name="_Toc144974667"/>
      <w:bookmarkStart w:id="895" w:name="_Toc108513771"/>
      <w:bookmarkStart w:id="896" w:name="_Toc152045698"/>
      <w:bookmarkStart w:id="897" w:name="_Toc152042476"/>
      <w:r>
        <w:rPr>
          <w:rFonts w:hint="eastAsia"/>
        </w:rPr>
        <w:t>13.3 承包人的质量检查</w:t>
      </w:r>
      <w:bookmarkEnd w:id="893"/>
      <w:bookmarkEnd w:id="894"/>
      <w:bookmarkEnd w:id="895"/>
      <w:bookmarkEnd w:id="896"/>
      <w:bookmarkEnd w:id="897"/>
    </w:p>
    <w:p w14:paraId="62373226">
      <w:pPr>
        <w:spacing w:line="400" w:lineRule="exact"/>
        <w:ind w:firstLine="420" w:firstLineChars="200"/>
        <w:rPr>
          <w:rFonts w:hint="eastAsia"/>
        </w:rPr>
      </w:pPr>
      <w:r>
        <w:rPr>
          <w:rFonts w:hint="eastAsia"/>
        </w:rPr>
        <w:t>承包人应按合同约定对材料、工程设备以及工程的所有部位及其施工工艺进行全过程的质量检查和检验，并作详细记录，编制工程质量报表，报送监理人审查。</w:t>
      </w:r>
    </w:p>
    <w:p w14:paraId="49207BAD">
      <w:pPr>
        <w:pStyle w:val="20"/>
        <w:rPr>
          <w:rFonts w:hint="eastAsia"/>
        </w:rPr>
      </w:pPr>
      <w:bookmarkStart w:id="898" w:name="_Toc152045699"/>
      <w:bookmarkStart w:id="899" w:name="_Toc179632717"/>
      <w:bookmarkStart w:id="900" w:name="_Toc108513772"/>
      <w:bookmarkStart w:id="901" w:name="_Toc152042477"/>
      <w:bookmarkStart w:id="902" w:name="_Toc144974668"/>
      <w:r>
        <w:rPr>
          <w:rFonts w:hint="eastAsia"/>
        </w:rPr>
        <w:t>13.4 监理人的质量检查</w:t>
      </w:r>
      <w:bookmarkEnd w:id="898"/>
      <w:bookmarkEnd w:id="899"/>
      <w:bookmarkEnd w:id="900"/>
      <w:bookmarkEnd w:id="901"/>
      <w:bookmarkEnd w:id="902"/>
    </w:p>
    <w:p w14:paraId="5A677B3D">
      <w:pPr>
        <w:spacing w:line="400" w:lineRule="exact"/>
        <w:ind w:firstLine="420" w:firstLineChars="200"/>
        <w:rPr>
          <w:rFonts w:hint="eastAsia"/>
        </w:rPr>
      </w:pPr>
      <w:r>
        <w:rPr>
          <w:rFonts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AA3487F">
      <w:pPr>
        <w:pStyle w:val="20"/>
        <w:rPr>
          <w:rFonts w:hint="eastAsia"/>
        </w:rPr>
      </w:pPr>
      <w:bookmarkStart w:id="903" w:name="_Toc152042478"/>
      <w:bookmarkStart w:id="904" w:name="_Toc152045700"/>
      <w:bookmarkStart w:id="905" w:name="_Toc179632718"/>
      <w:bookmarkStart w:id="906" w:name="_Toc144974669"/>
      <w:bookmarkStart w:id="907" w:name="_Toc108513773"/>
      <w:r>
        <w:rPr>
          <w:rFonts w:hint="eastAsia"/>
        </w:rPr>
        <w:t>13.5 工程隐蔽部位覆盖前的检查</w:t>
      </w:r>
      <w:bookmarkEnd w:id="903"/>
      <w:bookmarkEnd w:id="904"/>
      <w:bookmarkEnd w:id="905"/>
      <w:bookmarkEnd w:id="906"/>
      <w:bookmarkEnd w:id="907"/>
    </w:p>
    <w:p w14:paraId="140B63DE">
      <w:pPr>
        <w:spacing w:line="400" w:lineRule="exact"/>
        <w:ind w:firstLine="420" w:firstLineChars="200"/>
        <w:rPr>
          <w:rFonts w:hint="eastAsia"/>
        </w:rPr>
      </w:pPr>
      <w:r>
        <w:rPr>
          <w:rFonts w:hint="eastAsia"/>
        </w:rPr>
        <w:t xml:space="preserve">13.5.1 </w:t>
      </w:r>
      <w:r>
        <w:rPr>
          <w:rFonts w:hint="eastAsia" w:ascii="黑体" w:eastAsia="黑体"/>
        </w:rPr>
        <w:t>通知监理人检查</w:t>
      </w:r>
    </w:p>
    <w:p w14:paraId="1BE6CB92">
      <w:pPr>
        <w:spacing w:line="400" w:lineRule="exact"/>
        <w:ind w:firstLine="420" w:firstLineChars="200"/>
        <w:rPr>
          <w:rFonts w:hint="eastAsia"/>
        </w:rPr>
      </w:pPr>
      <w:r>
        <w:rPr>
          <w:rFonts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2B099DD">
      <w:pPr>
        <w:spacing w:line="400" w:lineRule="exact"/>
        <w:ind w:firstLine="420" w:firstLineChars="200"/>
        <w:rPr>
          <w:rFonts w:hint="eastAsia"/>
        </w:rPr>
      </w:pPr>
      <w:r>
        <w:rPr>
          <w:rFonts w:hint="eastAsia"/>
        </w:rPr>
        <w:t xml:space="preserve">13.5.2 </w:t>
      </w:r>
      <w:r>
        <w:rPr>
          <w:rFonts w:hint="eastAsia" w:ascii="黑体" w:eastAsia="黑体"/>
        </w:rPr>
        <w:t>监理人未到场检查</w:t>
      </w:r>
    </w:p>
    <w:p w14:paraId="59FB3D3A">
      <w:pPr>
        <w:spacing w:line="400" w:lineRule="exact"/>
        <w:ind w:firstLine="420" w:firstLineChars="200"/>
        <w:rPr>
          <w:rFonts w:hint="eastAsia"/>
        </w:rPr>
      </w:pPr>
      <w:r>
        <w:rPr>
          <w:rFonts w:hint="eastAsia"/>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58F6F581">
      <w:pPr>
        <w:spacing w:line="400" w:lineRule="exact"/>
        <w:ind w:firstLine="420" w:firstLineChars="200"/>
        <w:rPr>
          <w:rFonts w:hint="eastAsia"/>
        </w:rPr>
      </w:pPr>
      <w:r>
        <w:rPr>
          <w:rFonts w:hint="eastAsia"/>
        </w:rPr>
        <w:t xml:space="preserve">13.5.3 </w:t>
      </w:r>
      <w:r>
        <w:rPr>
          <w:rFonts w:hint="eastAsia" w:ascii="黑体" w:eastAsia="黑体"/>
        </w:rPr>
        <w:t>监理人重新检查</w:t>
      </w:r>
    </w:p>
    <w:p w14:paraId="4E64F19B">
      <w:pPr>
        <w:spacing w:line="400" w:lineRule="exact"/>
        <w:ind w:firstLine="420" w:firstLineChars="200"/>
        <w:rPr>
          <w:rFonts w:hint="eastAsia"/>
        </w:rPr>
      </w:pPr>
      <w:r>
        <w:rPr>
          <w:rFonts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2F4D0200">
      <w:pPr>
        <w:spacing w:line="400" w:lineRule="exact"/>
        <w:ind w:firstLine="420" w:firstLineChars="200"/>
        <w:rPr>
          <w:rFonts w:hint="eastAsia"/>
        </w:rPr>
      </w:pPr>
      <w:r>
        <w:rPr>
          <w:rFonts w:hint="eastAsia"/>
        </w:rPr>
        <w:t xml:space="preserve">13.5.4 </w:t>
      </w:r>
      <w:r>
        <w:rPr>
          <w:rFonts w:hint="eastAsia" w:ascii="黑体" w:eastAsia="黑体"/>
        </w:rPr>
        <w:t>承包人私自覆盖</w:t>
      </w:r>
    </w:p>
    <w:p w14:paraId="58792E97">
      <w:pPr>
        <w:spacing w:line="400" w:lineRule="exact"/>
        <w:ind w:firstLine="420" w:firstLineChars="200"/>
        <w:rPr>
          <w:rFonts w:hint="eastAsia"/>
        </w:rPr>
      </w:pPr>
      <w:r>
        <w:rPr>
          <w:rFonts w:hint="eastAsia"/>
        </w:rPr>
        <w:t>承包人未通知监理人到场检查，私自将工程隐蔽部位覆盖的，监理人有权指示承包人钻孔探测或揭开检查，由此增加的费用和（或）工期延误由承包人承担。</w:t>
      </w:r>
    </w:p>
    <w:p w14:paraId="69E07CB2">
      <w:pPr>
        <w:pStyle w:val="20"/>
        <w:rPr>
          <w:rFonts w:hint="eastAsia"/>
        </w:rPr>
      </w:pPr>
      <w:bookmarkStart w:id="908" w:name="_Toc152045701"/>
      <w:bookmarkStart w:id="909" w:name="_Toc108513774"/>
      <w:bookmarkStart w:id="910" w:name="_Toc179632719"/>
      <w:bookmarkStart w:id="911" w:name="_Toc152042479"/>
      <w:bookmarkStart w:id="912" w:name="_Toc144974670"/>
      <w:r>
        <w:rPr>
          <w:rFonts w:hint="eastAsia"/>
        </w:rPr>
        <w:t>13.6 清除不合格工程</w:t>
      </w:r>
      <w:bookmarkEnd w:id="908"/>
      <w:bookmarkEnd w:id="909"/>
      <w:bookmarkEnd w:id="910"/>
      <w:bookmarkEnd w:id="911"/>
      <w:bookmarkEnd w:id="912"/>
    </w:p>
    <w:p w14:paraId="22FECF85">
      <w:pPr>
        <w:spacing w:line="400" w:lineRule="exact"/>
        <w:ind w:firstLine="420" w:firstLineChars="200"/>
        <w:rPr>
          <w:rFonts w:hint="eastAsia"/>
        </w:rPr>
      </w:pPr>
      <w:r>
        <w:rPr>
          <w:rFonts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E53936C">
      <w:pPr>
        <w:spacing w:line="400" w:lineRule="exact"/>
        <w:ind w:firstLine="420" w:firstLineChars="200"/>
        <w:rPr>
          <w:rFonts w:hint="eastAsia"/>
        </w:rPr>
      </w:pPr>
      <w:r>
        <w:rPr>
          <w:rFonts w:hint="eastAsia"/>
        </w:rPr>
        <w:t>13.6.2 由于发包人提供的材料或工程设备不合格造成的工程不合格，需要承包人采取措施补救的，发包人应承担由此增加的费用和（或）工期延误，并支付承包人合理利润。</w:t>
      </w:r>
    </w:p>
    <w:p w14:paraId="16582FD0">
      <w:pPr>
        <w:pStyle w:val="18"/>
        <w:rPr>
          <w:rFonts w:hint="eastAsia"/>
        </w:rPr>
      </w:pPr>
      <w:bookmarkStart w:id="913" w:name="_Toc108513775"/>
      <w:bookmarkStart w:id="914" w:name="_Toc152042480"/>
      <w:bookmarkStart w:id="915" w:name="_Toc152045702"/>
      <w:bookmarkStart w:id="916" w:name="_Toc179632720"/>
      <w:bookmarkStart w:id="917" w:name="_Toc144974671"/>
      <w:r>
        <w:rPr>
          <w:rFonts w:hint="eastAsia"/>
        </w:rPr>
        <w:t>14. 试验和检验</w:t>
      </w:r>
      <w:bookmarkEnd w:id="913"/>
      <w:bookmarkEnd w:id="914"/>
      <w:bookmarkEnd w:id="915"/>
      <w:bookmarkEnd w:id="916"/>
      <w:bookmarkEnd w:id="917"/>
    </w:p>
    <w:p w14:paraId="2599E200">
      <w:pPr>
        <w:pStyle w:val="20"/>
        <w:rPr>
          <w:rFonts w:hint="eastAsia"/>
        </w:rPr>
      </w:pPr>
      <w:bookmarkStart w:id="918" w:name="_Toc108513776"/>
      <w:bookmarkStart w:id="919" w:name="_Toc152045703"/>
      <w:bookmarkStart w:id="920" w:name="_Toc179632721"/>
      <w:bookmarkStart w:id="921" w:name="_Toc152042481"/>
      <w:bookmarkStart w:id="922" w:name="_Toc144974672"/>
      <w:r>
        <w:rPr>
          <w:rFonts w:hint="eastAsia"/>
        </w:rPr>
        <w:t>14.1 材料、工程设备和工程的试验和检验</w:t>
      </w:r>
      <w:bookmarkEnd w:id="918"/>
      <w:bookmarkEnd w:id="919"/>
      <w:bookmarkEnd w:id="920"/>
      <w:bookmarkEnd w:id="921"/>
      <w:bookmarkEnd w:id="922"/>
    </w:p>
    <w:p w14:paraId="6EE9DA35">
      <w:pPr>
        <w:spacing w:line="400" w:lineRule="exact"/>
        <w:ind w:firstLine="420" w:firstLineChars="200"/>
        <w:rPr>
          <w:rFonts w:hint="eastAsia"/>
        </w:rPr>
      </w:pPr>
      <w:r>
        <w:rPr>
          <w:rFonts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D13EFA9">
      <w:pPr>
        <w:spacing w:line="400" w:lineRule="exact"/>
        <w:ind w:firstLine="420" w:firstLineChars="200"/>
        <w:rPr>
          <w:rFonts w:hint="eastAsia"/>
        </w:rPr>
      </w:pPr>
      <w:r>
        <w:rPr>
          <w:rFonts w:hint="eastAsia"/>
        </w:rPr>
        <w:t>14.1.2 监理人未按合同约定派员参加试验和检验的，除监理人另有指示外，承包人可自行试验和检验，并应立即将试验和检验结果报送监理人，监理人应签字确认。</w:t>
      </w:r>
    </w:p>
    <w:p w14:paraId="7CDD2742">
      <w:pPr>
        <w:spacing w:line="400" w:lineRule="exact"/>
        <w:ind w:firstLine="420" w:firstLineChars="200"/>
        <w:rPr>
          <w:rFonts w:hint="eastAsia"/>
        </w:rPr>
      </w:pPr>
      <w:r>
        <w:rPr>
          <w:rFonts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2BAEB5E5">
      <w:pPr>
        <w:pStyle w:val="20"/>
        <w:rPr>
          <w:rFonts w:hint="eastAsia"/>
        </w:rPr>
      </w:pPr>
      <w:bookmarkStart w:id="923" w:name="_Toc152042482"/>
      <w:bookmarkStart w:id="924" w:name="_Toc179632722"/>
      <w:bookmarkStart w:id="925" w:name="_Toc152045704"/>
      <w:bookmarkStart w:id="926" w:name="_Toc144974673"/>
      <w:bookmarkStart w:id="927" w:name="_Toc108513777"/>
      <w:r>
        <w:rPr>
          <w:rFonts w:hint="eastAsia"/>
        </w:rPr>
        <w:t>14.2 现场材料试验</w:t>
      </w:r>
      <w:bookmarkEnd w:id="923"/>
      <w:bookmarkEnd w:id="924"/>
      <w:bookmarkEnd w:id="925"/>
      <w:bookmarkEnd w:id="926"/>
      <w:bookmarkEnd w:id="927"/>
    </w:p>
    <w:p w14:paraId="2C99D530">
      <w:pPr>
        <w:spacing w:line="400" w:lineRule="exact"/>
        <w:ind w:firstLine="420" w:firstLineChars="200"/>
        <w:rPr>
          <w:rFonts w:hint="eastAsia"/>
        </w:rPr>
      </w:pPr>
      <w:r>
        <w:rPr>
          <w:rFonts w:hint="eastAsia"/>
        </w:rPr>
        <w:t>14.2.1 承包人根据合同约定或监理人指示进行的现场材料试验，应由承包人提供试验场所、试验人员、试验设备器材以及其他必要的试验条件。</w:t>
      </w:r>
    </w:p>
    <w:p w14:paraId="3B872E29">
      <w:pPr>
        <w:spacing w:line="400" w:lineRule="exact"/>
        <w:ind w:firstLine="420" w:firstLineChars="200"/>
        <w:rPr>
          <w:rFonts w:hint="eastAsia"/>
        </w:rPr>
      </w:pPr>
      <w:r>
        <w:rPr>
          <w:rFonts w:hint="eastAsia"/>
        </w:rPr>
        <w:t>14.2.2 监理人在必要时可以使用承包人的试验场所、试验设备器材以及其他试验条件，进行以工程质量检查为目的的复核性材料试验，承包人应予以协助。</w:t>
      </w:r>
    </w:p>
    <w:p w14:paraId="3DF1F011">
      <w:pPr>
        <w:pStyle w:val="20"/>
        <w:rPr>
          <w:rFonts w:hint="eastAsia"/>
        </w:rPr>
      </w:pPr>
      <w:bookmarkStart w:id="928" w:name="_Toc152045705"/>
      <w:bookmarkStart w:id="929" w:name="_Toc108513778"/>
      <w:bookmarkStart w:id="930" w:name="_Toc179632723"/>
      <w:bookmarkStart w:id="931" w:name="_Toc144974674"/>
      <w:bookmarkStart w:id="932" w:name="_Toc152042483"/>
      <w:r>
        <w:rPr>
          <w:rFonts w:hint="eastAsia"/>
        </w:rPr>
        <w:t>14.3 现场工艺试验</w:t>
      </w:r>
      <w:bookmarkEnd w:id="928"/>
      <w:bookmarkEnd w:id="929"/>
      <w:bookmarkEnd w:id="930"/>
      <w:bookmarkEnd w:id="931"/>
      <w:bookmarkEnd w:id="932"/>
    </w:p>
    <w:p w14:paraId="51E30D2D">
      <w:pPr>
        <w:spacing w:line="400" w:lineRule="exact"/>
        <w:ind w:firstLine="420" w:firstLineChars="200"/>
        <w:rPr>
          <w:rFonts w:hint="eastAsia"/>
        </w:rPr>
      </w:pPr>
      <w:r>
        <w:rPr>
          <w:rFonts w:hint="eastAsia"/>
        </w:rPr>
        <w:t>承包人应按合同约定或监理人指示进行现场工艺试验。对大型的现场工艺试验，监理人认为必要时，应由承包人根据监理人提出的工艺试验要求，编制工艺试验措施计划，报送监理人审批。</w:t>
      </w:r>
    </w:p>
    <w:p w14:paraId="61C1F70B">
      <w:pPr>
        <w:pStyle w:val="18"/>
        <w:rPr>
          <w:rFonts w:hint="eastAsia"/>
        </w:rPr>
      </w:pPr>
      <w:bookmarkStart w:id="933" w:name="_Toc152045706"/>
      <w:bookmarkStart w:id="934" w:name="_Toc152042484"/>
      <w:bookmarkStart w:id="935" w:name="_Toc144974675"/>
      <w:bookmarkStart w:id="936" w:name="_Toc108513779"/>
      <w:bookmarkStart w:id="937" w:name="_Toc179632724"/>
      <w:r>
        <w:rPr>
          <w:rFonts w:hint="eastAsia"/>
        </w:rPr>
        <w:t>15. 变更</w:t>
      </w:r>
      <w:bookmarkEnd w:id="933"/>
      <w:bookmarkEnd w:id="934"/>
      <w:bookmarkEnd w:id="935"/>
      <w:bookmarkEnd w:id="936"/>
      <w:bookmarkEnd w:id="937"/>
    </w:p>
    <w:p w14:paraId="6F596587">
      <w:pPr>
        <w:pStyle w:val="20"/>
        <w:rPr>
          <w:rFonts w:hint="eastAsia"/>
        </w:rPr>
      </w:pPr>
      <w:bookmarkStart w:id="938" w:name="_Toc179632725"/>
      <w:bookmarkStart w:id="939" w:name="_Toc152042485"/>
      <w:bookmarkStart w:id="940" w:name="_Toc108513780"/>
      <w:bookmarkStart w:id="941" w:name="_Toc144974676"/>
      <w:bookmarkStart w:id="942" w:name="_Toc152045707"/>
      <w:r>
        <w:rPr>
          <w:rFonts w:hint="eastAsia"/>
        </w:rPr>
        <w:t>15.1 变更的范围和内容</w:t>
      </w:r>
      <w:bookmarkEnd w:id="938"/>
      <w:bookmarkEnd w:id="939"/>
      <w:bookmarkEnd w:id="940"/>
      <w:bookmarkEnd w:id="941"/>
      <w:bookmarkEnd w:id="942"/>
    </w:p>
    <w:p w14:paraId="0A1B55AE">
      <w:pPr>
        <w:spacing w:line="400" w:lineRule="exact"/>
        <w:ind w:firstLine="420" w:firstLineChars="200"/>
        <w:rPr>
          <w:rFonts w:hint="eastAsia"/>
        </w:rPr>
      </w:pPr>
      <w:r>
        <w:rPr>
          <w:rFonts w:hint="eastAsia"/>
        </w:rPr>
        <w:t>除专用合同条款另有约定外，在履行合同中发生以下情形之一，应按照本条规定进行变更。</w:t>
      </w:r>
    </w:p>
    <w:p w14:paraId="4827704E">
      <w:pPr>
        <w:spacing w:line="400" w:lineRule="exact"/>
        <w:ind w:firstLine="359" w:firstLineChars="171"/>
        <w:rPr>
          <w:rFonts w:hint="eastAsia"/>
        </w:rPr>
      </w:pPr>
      <w:r>
        <w:rPr>
          <w:rFonts w:hint="eastAsia"/>
        </w:rPr>
        <w:t>（1）取消合同中任何一项工作，但被取消的工作不能转由发包人或其他人实施；</w:t>
      </w:r>
    </w:p>
    <w:p w14:paraId="58DABD97">
      <w:pPr>
        <w:spacing w:line="400" w:lineRule="exact"/>
        <w:ind w:firstLine="359" w:firstLineChars="171"/>
        <w:rPr>
          <w:rFonts w:hint="eastAsia"/>
        </w:rPr>
      </w:pPr>
      <w:r>
        <w:rPr>
          <w:rFonts w:hint="eastAsia"/>
        </w:rPr>
        <w:t>（2）改变合同中任何一项工作的质量或其他特性；</w:t>
      </w:r>
    </w:p>
    <w:p w14:paraId="78DDA0CC">
      <w:pPr>
        <w:spacing w:line="400" w:lineRule="exact"/>
        <w:ind w:firstLine="359" w:firstLineChars="171"/>
        <w:rPr>
          <w:rFonts w:hint="eastAsia"/>
        </w:rPr>
      </w:pPr>
      <w:r>
        <w:rPr>
          <w:rFonts w:hint="eastAsia"/>
        </w:rPr>
        <w:t>（3）改变合同工程的基线、标高、位置或尺寸；</w:t>
      </w:r>
    </w:p>
    <w:p w14:paraId="10544A69">
      <w:pPr>
        <w:spacing w:line="400" w:lineRule="exact"/>
        <w:ind w:firstLine="359" w:firstLineChars="171"/>
        <w:rPr>
          <w:rFonts w:hint="eastAsia"/>
        </w:rPr>
      </w:pPr>
      <w:r>
        <w:rPr>
          <w:rFonts w:hint="eastAsia"/>
        </w:rPr>
        <w:t>（4）改变合同中任何一项工作的施工时间或改变已批准的施工工艺或顺序；</w:t>
      </w:r>
    </w:p>
    <w:p w14:paraId="55772897">
      <w:pPr>
        <w:spacing w:line="400" w:lineRule="exact"/>
        <w:ind w:firstLine="359" w:firstLineChars="171"/>
        <w:rPr>
          <w:rFonts w:hint="eastAsia"/>
        </w:rPr>
      </w:pPr>
      <w:r>
        <w:rPr>
          <w:rFonts w:hint="eastAsia"/>
        </w:rPr>
        <w:t>（5）为完成工程需要追加的额外工作。</w:t>
      </w:r>
    </w:p>
    <w:p w14:paraId="5A90029B">
      <w:pPr>
        <w:pStyle w:val="20"/>
        <w:rPr>
          <w:rFonts w:hint="eastAsia"/>
        </w:rPr>
      </w:pPr>
      <w:bookmarkStart w:id="943" w:name="_Toc152042486"/>
      <w:bookmarkStart w:id="944" w:name="_Toc152045708"/>
      <w:bookmarkStart w:id="945" w:name="_Toc108513781"/>
      <w:bookmarkStart w:id="946" w:name="_Toc179632726"/>
      <w:bookmarkStart w:id="947" w:name="_Toc144974677"/>
      <w:r>
        <w:rPr>
          <w:rFonts w:hint="eastAsia"/>
        </w:rPr>
        <w:t>15.2 变更权</w:t>
      </w:r>
      <w:bookmarkEnd w:id="943"/>
      <w:bookmarkEnd w:id="944"/>
      <w:bookmarkEnd w:id="945"/>
      <w:bookmarkEnd w:id="946"/>
      <w:bookmarkEnd w:id="947"/>
    </w:p>
    <w:p w14:paraId="4812F66D">
      <w:pPr>
        <w:spacing w:line="400" w:lineRule="exact"/>
        <w:ind w:firstLine="420" w:firstLineChars="200"/>
        <w:rPr>
          <w:rFonts w:hint="eastAsia"/>
        </w:rPr>
      </w:pPr>
      <w:r>
        <w:rPr>
          <w:rFonts w:hint="eastAsia"/>
        </w:rPr>
        <w:t>在履行合同过程中，经发包人同意，监理人可按第15.3款约定的变更程序向承包人作出变更指示，承包人应遵照执行。没有监理人的变更指示，承包人不得擅自变更。</w:t>
      </w:r>
    </w:p>
    <w:p w14:paraId="54AD916D">
      <w:pPr>
        <w:pStyle w:val="20"/>
        <w:rPr>
          <w:rFonts w:hint="eastAsia"/>
        </w:rPr>
      </w:pPr>
      <w:bookmarkStart w:id="948" w:name="_Toc152045709"/>
      <w:bookmarkStart w:id="949" w:name="_Toc108513782"/>
      <w:bookmarkStart w:id="950" w:name="_Toc152042487"/>
      <w:bookmarkStart w:id="951" w:name="_Toc179632727"/>
      <w:bookmarkStart w:id="952" w:name="_Toc144974678"/>
      <w:r>
        <w:rPr>
          <w:rFonts w:hint="eastAsia"/>
        </w:rPr>
        <w:t>15.3 变更程序</w:t>
      </w:r>
      <w:bookmarkEnd w:id="948"/>
      <w:bookmarkEnd w:id="949"/>
      <w:bookmarkEnd w:id="950"/>
      <w:bookmarkEnd w:id="951"/>
      <w:bookmarkEnd w:id="952"/>
    </w:p>
    <w:p w14:paraId="3F8531A5">
      <w:pPr>
        <w:spacing w:line="400" w:lineRule="exact"/>
        <w:ind w:firstLine="420" w:firstLineChars="200"/>
        <w:rPr>
          <w:rFonts w:hint="eastAsia"/>
        </w:rPr>
      </w:pPr>
      <w:r>
        <w:rPr>
          <w:rFonts w:hint="eastAsia"/>
        </w:rPr>
        <w:t xml:space="preserve">15.3.1 </w:t>
      </w:r>
      <w:r>
        <w:rPr>
          <w:rFonts w:hint="eastAsia" w:ascii="黑体" w:eastAsia="黑体"/>
        </w:rPr>
        <w:t>变更的提出</w:t>
      </w:r>
    </w:p>
    <w:p w14:paraId="1E2383BB">
      <w:pPr>
        <w:spacing w:line="400" w:lineRule="exact"/>
        <w:ind w:firstLine="420" w:firstLineChars="200"/>
        <w:rPr>
          <w:rFonts w:hint="eastAsia"/>
        </w:rPr>
      </w:pPr>
      <w:r>
        <w:rPr>
          <w:rFonts w:hint="eastAsia"/>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67F00294">
      <w:pPr>
        <w:spacing w:line="400" w:lineRule="exact"/>
        <w:ind w:firstLine="420" w:firstLineChars="200"/>
        <w:rPr>
          <w:rFonts w:hint="eastAsia"/>
        </w:rPr>
      </w:pPr>
      <w:r>
        <w:rPr>
          <w:rFonts w:hint="eastAsia"/>
        </w:rPr>
        <w:t>（2）在合同履行过程中，发生第15.1款约定情形的，监理人应按照第15.3.3项约定向承包人发出变更指示。</w:t>
      </w:r>
    </w:p>
    <w:p w14:paraId="0661521D">
      <w:pPr>
        <w:spacing w:line="400" w:lineRule="exact"/>
        <w:ind w:firstLine="420" w:firstLineChars="200"/>
        <w:rPr>
          <w:rFonts w:hint="eastAsia"/>
        </w:rPr>
      </w:pPr>
      <w:r>
        <w:rPr>
          <w:rFonts w:hint="eastAsia"/>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366267C8">
      <w:pPr>
        <w:spacing w:line="400" w:lineRule="exact"/>
        <w:ind w:firstLine="420" w:firstLineChars="200"/>
        <w:rPr>
          <w:rFonts w:hint="eastAsia"/>
        </w:rPr>
      </w:pPr>
      <w:r>
        <w:rPr>
          <w:rFonts w:hint="eastAsia"/>
        </w:rPr>
        <w:t>（4）若承包人收到监理人的变更意向书后认为难以实施此项变更，应立即通知监理人，说明原因并附详细依据。监理人与承包人和发包人协商后确定撤销</w:t>
      </w:r>
      <w:r>
        <w:rPr>
          <w:rFonts w:hint="eastAsia" w:ascii="宋体" w:hAnsi="宋体"/>
        </w:rPr>
        <w:t>、</w:t>
      </w:r>
      <w:r>
        <w:rPr>
          <w:rFonts w:hint="eastAsia"/>
        </w:rPr>
        <w:t>改变或不改变原变更意向书。</w:t>
      </w:r>
    </w:p>
    <w:p w14:paraId="327AE872">
      <w:pPr>
        <w:spacing w:line="400" w:lineRule="exact"/>
        <w:ind w:firstLine="420" w:firstLineChars="200"/>
        <w:rPr>
          <w:rFonts w:hint="eastAsia"/>
        </w:rPr>
      </w:pPr>
      <w:r>
        <w:rPr>
          <w:rFonts w:hint="eastAsia"/>
        </w:rPr>
        <w:t xml:space="preserve">15.3.2 </w:t>
      </w:r>
      <w:r>
        <w:rPr>
          <w:rFonts w:hint="eastAsia" w:ascii="黑体" w:eastAsia="黑体"/>
        </w:rPr>
        <w:t>变更估价</w:t>
      </w:r>
    </w:p>
    <w:p w14:paraId="25422D81">
      <w:pPr>
        <w:spacing w:line="400" w:lineRule="exact"/>
        <w:ind w:firstLine="420" w:firstLineChars="200"/>
        <w:rPr>
          <w:rFonts w:hint="eastAsia"/>
        </w:rPr>
      </w:pPr>
      <w:r>
        <w:rPr>
          <w:rFonts w:hint="eastAsia"/>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55F00830">
      <w:pPr>
        <w:spacing w:line="400" w:lineRule="exact"/>
        <w:ind w:firstLine="420" w:firstLineChars="200"/>
        <w:rPr>
          <w:rFonts w:hint="eastAsia"/>
        </w:rPr>
      </w:pPr>
      <w:r>
        <w:rPr>
          <w:rFonts w:hint="eastAsia"/>
        </w:rPr>
        <w:t>（2）变更工作影响工期的，承包人应提出调整工期的具体细节。监理人认为有必要时，可要求承包人提交要求提前或延长工期的施工进度计划及相应施工措施等详细资料。</w:t>
      </w:r>
    </w:p>
    <w:p w14:paraId="703A2F36">
      <w:pPr>
        <w:spacing w:line="400" w:lineRule="exact"/>
        <w:ind w:firstLine="420" w:firstLineChars="200"/>
        <w:rPr>
          <w:rFonts w:hint="eastAsia"/>
        </w:rPr>
      </w:pPr>
      <w:r>
        <w:rPr>
          <w:rFonts w:hint="eastAsia"/>
        </w:rPr>
        <w:t>（3）除专用合同条款对期限另有约定外，监理人收到承包人变更报价书后的14天内，根据第15.4款约定的估价原则，按照第3.5款商定或确定变更价格。</w:t>
      </w:r>
    </w:p>
    <w:p w14:paraId="607F5118">
      <w:pPr>
        <w:spacing w:line="400" w:lineRule="exact"/>
        <w:ind w:firstLine="420" w:firstLineChars="200"/>
        <w:rPr>
          <w:rFonts w:hint="eastAsia"/>
        </w:rPr>
      </w:pPr>
      <w:r>
        <w:rPr>
          <w:rFonts w:hint="eastAsia"/>
        </w:rPr>
        <w:t xml:space="preserve">15.3.3 </w:t>
      </w:r>
      <w:r>
        <w:rPr>
          <w:rFonts w:hint="eastAsia" w:ascii="黑体" w:eastAsia="黑体"/>
        </w:rPr>
        <w:t>变更指示</w:t>
      </w:r>
    </w:p>
    <w:p w14:paraId="715D4525">
      <w:pPr>
        <w:spacing w:line="400" w:lineRule="exact"/>
        <w:ind w:firstLine="420" w:firstLineChars="200"/>
        <w:rPr>
          <w:rFonts w:hint="eastAsia"/>
        </w:rPr>
      </w:pPr>
      <w:r>
        <w:rPr>
          <w:rFonts w:hint="eastAsia"/>
        </w:rPr>
        <w:t>（1）变更指示只能由监理人发出。</w:t>
      </w:r>
    </w:p>
    <w:p w14:paraId="6739C11C">
      <w:pPr>
        <w:spacing w:line="400" w:lineRule="exact"/>
        <w:ind w:firstLine="420" w:firstLineChars="200"/>
        <w:rPr>
          <w:rFonts w:hint="eastAsia"/>
        </w:rPr>
      </w:pPr>
      <w:r>
        <w:rPr>
          <w:rFonts w:hint="eastAsia"/>
        </w:rPr>
        <w:t>（2）变更指示应说明变更的目的、范围、变更内容以及变更的工程量及其进度和技术要求，并附有关图纸和文件。承包人收到变更指示后，应按变更指示进行变更工作。</w:t>
      </w:r>
    </w:p>
    <w:p w14:paraId="45689320">
      <w:pPr>
        <w:pStyle w:val="20"/>
        <w:rPr>
          <w:rFonts w:hint="eastAsia"/>
        </w:rPr>
      </w:pPr>
      <w:bookmarkStart w:id="953" w:name="_Toc144974679"/>
      <w:bookmarkStart w:id="954" w:name="_Toc152042488"/>
      <w:bookmarkStart w:id="955" w:name="_Toc108513783"/>
      <w:bookmarkStart w:id="956" w:name="_Toc152045710"/>
      <w:bookmarkStart w:id="957" w:name="_Toc179632728"/>
      <w:r>
        <w:rPr>
          <w:rFonts w:hint="eastAsia"/>
        </w:rPr>
        <w:t>15.4 变更的估价原则</w:t>
      </w:r>
      <w:bookmarkEnd w:id="953"/>
      <w:bookmarkEnd w:id="954"/>
      <w:bookmarkEnd w:id="955"/>
      <w:bookmarkEnd w:id="956"/>
      <w:bookmarkEnd w:id="957"/>
    </w:p>
    <w:p w14:paraId="19064BE2">
      <w:pPr>
        <w:spacing w:line="400" w:lineRule="exact"/>
        <w:ind w:firstLine="420" w:firstLineChars="200"/>
        <w:rPr>
          <w:rFonts w:hint="eastAsia"/>
        </w:rPr>
      </w:pPr>
      <w:r>
        <w:rPr>
          <w:rFonts w:hint="eastAsia"/>
        </w:rPr>
        <w:t>除专用合同条款另有约定外，因变更引起的价格调整按照本款约定处理。</w:t>
      </w:r>
    </w:p>
    <w:p w14:paraId="47AC92A9">
      <w:pPr>
        <w:spacing w:line="400" w:lineRule="exact"/>
        <w:ind w:firstLine="420" w:firstLineChars="200"/>
        <w:rPr>
          <w:rFonts w:hint="eastAsia"/>
        </w:rPr>
      </w:pPr>
      <w:r>
        <w:rPr>
          <w:rFonts w:hint="eastAsia"/>
        </w:rPr>
        <w:t>15.4.1 已标价工程量清单中有适用于变更工作的子目的，采用该子目的单价。</w:t>
      </w:r>
    </w:p>
    <w:p w14:paraId="4AA45761">
      <w:pPr>
        <w:spacing w:line="400" w:lineRule="exact"/>
        <w:ind w:firstLine="420" w:firstLineChars="200"/>
        <w:rPr>
          <w:rFonts w:hint="eastAsia"/>
        </w:rPr>
      </w:pPr>
      <w:r>
        <w:rPr>
          <w:rFonts w:hint="eastAsia"/>
        </w:rPr>
        <w:t>15.4.2 已标价工程量清单中无适用于变更工作的子目，但有类似子目的，可在合理范围内参照类似子目的单价，由监理人按第3.5款商定或确定变更工作的单价。</w:t>
      </w:r>
    </w:p>
    <w:p w14:paraId="17FC19B9">
      <w:pPr>
        <w:spacing w:line="400" w:lineRule="exact"/>
        <w:ind w:firstLine="420" w:firstLineChars="200"/>
        <w:rPr>
          <w:rFonts w:hint="eastAsia"/>
        </w:rPr>
      </w:pPr>
      <w:r>
        <w:rPr>
          <w:rFonts w:hint="eastAsia"/>
        </w:rPr>
        <w:t>15.4.3 已标价工程量清单中无适用或类似子目的单价，可按照成本加利润的原则，由监理人按第3.5款商定或确定变更工作的单价。</w:t>
      </w:r>
    </w:p>
    <w:p w14:paraId="1177310F">
      <w:pPr>
        <w:pStyle w:val="20"/>
        <w:rPr>
          <w:rFonts w:hint="eastAsia"/>
        </w:rPr>
      </w:pPr>
      <w:bookmarkStart w:id="958" w:name="_Toc152042489"/>
      <w:bookmarkStart w:id="959" w:name="_Toc108513784"/>
      <w:bookmarkStart w:id="960" w:name="_Toc152045711"/>
      <w:bookmarkStart w:id="961" w:name="_Toc179632729"/>
      <w:bookmarkStart w:id="962" w:name="_Toc144974680"/>
      <w:r>
        <w:rPr>
          <w:rFonts w:hint="eastAsia"/>
        </w:rPr>
        <w:t>15.5 承包人的合理化建议</w:t>
      </w:r>
      <w:bookmarkEnd w:id="958"/>
      <w:bookmarkEnd w:id="959"/>
      <w:bookmarkEnd w:id="960"/>
      <w:bookmarkEnd w:id="961"/>
      <w:bookmarkEnd w:id="962"/>
    </w:p>
    <w:p w14:paraId="00879AAC">
      <w:pPr>
        <w:spacing w:line="400" w:lineRule="exact"/>
        <w:ind w:firstLine="420" w:firstLineChars="200"/>
        <w:rPr>
          <w:rFonts w:hint="eastAsia"/>
        </w:rPr>
      </w:pPr>
      <w:r>
        <w:rPr>
          <w:rFonts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0447FE88">
      <w:pPr>
        <w:spacing w:line="400" w:lineRule="exact"/>
        <w:ind w:firstLine="420" w:firstLineChars="200"/>
        <w:rPr>
          <w:rFonts w:hint="eastAsia"/>
        </w:rPr>
      </w:pPr>
      <w:r>
        <w:rPr>
          <w:rFonts w:hint="eastAsia"/>
        </w:rPr>
        <w:t>15.5.2 承包人提出的合理化建议降低了合同价格、缩短了工期或者提高了工程经济效益的，发包人可按国家有关规定在专用合同条款中约定给予奖励。</w:t>
      </w:r>
    </w:p>
    <w:p w14:paraId="1A5007D1">
      <w:pPr>
        <w:pStyle w:val="20"/>
        <w:rPr>
          <w:rFonts w:hint="eastAsia"/>
        </w:rPr>
      </w:pPr>
      <w:bookmarkStart w:id="963" w:name="_Toc108513785"/>
      <w:bookmarkStart w:id="964" w:name="_Toc152042490"/>
      <w:bookmarkStart w:id="965" w:name="_Toc144974681"/>
      <w:bookmarkStart w:id="966" w:name="_Toc152045712"/>
      <w:bookmarkStart w:id="967" w:name="_Toc179632730"/>
      <w:r>
        <w:rPr>
          <w:rFonts w:hint="eastAsia"/>
        </w:rPr>
        <w:t>15.6 暂列金额</w:t>
      </w:r>
      <w:bookmarkEnd w:id="963"/>
      <w:bookmarkEnd w:id="964"/>
      <w:bookmarkEnd w:id="965"/>
      <w:bookmarkEnd w:id="966"/>
      <w:bookmarkEnd w:id="967"/>
    </w:p>
    <w:p w14:paraId="7998B729">
      <w:pPr>
        <w:spacing w:line="400" w:lineRule="exact"/>
        <w:ind w:firstLine="420" w:firstLineChars="200"/>
        <w:rPr>
          <w:rFonts w:hint="eastAsia"/>
        </w:rPr>
      </w:pPr>
      <w:r>
        <w:rPr>
          <w:rFonts w:hint="eastAsia"/>
        </w:rPr>
        <w:t>暂列金额只能按照监理人的指示使用，并对合同价格进行相应调整。</w:t>
      </w:r>
    </w:p>
    <w:p w14:paraId="6088EA02">
      <w:pPr>
        <w:pStyle w:val="20"/>
        <w:rPr>
          <w:rFonts w:hint="eastAsia"/>
        </w:rPr>
      </w:pPr>
      <w:bookmarkStart w:id="968" w:name="_Toc152045713"/>
      <w:bookmarkStart w:id="969" w:name="_Toc108513786"/>
      <w:bookmarkStart w:id="970" w:name="_Toc144974682"/>
      <w:bookmarkStart w:id="971" w:name="_Toc179632731"/>
      <w:bookmarkStart w:id="972" w:name="_Toc152042491"/>
      <w:r>
        <w:rPr>
          <w:rFonts w:hint="eastAsia"/>
        </w:rPr>
        <w:t>15.7 计日工</w:t>
      </w:r>
      <w:bookmarkEnd w:id="968"/>
      <w:bookmarkEnd w:id="969"/>
      <w:bookmarkEnd w:id="970"/>
      <w:bookmarkEnd w:id="971"/>
      <w:bookmarkEnd w:id="972"/>
    </w:p>
    <w:p w14:paraId="2F95A80D">
      <w:pPr>
        <w:spacing w:line="400" w:lineRule="exact"/>
        <w:ind w:firstLine="420" w:firstLineChars="200"/>
        <w:rPr>
          <w:rFonts w:hint="eastAsia"/>
          <w:shd w:val="pct10" w:color="auto" w:fill="FFFFFF"/>
        </w:rPr>
      </w:pPr>
      <w:r>
        <w:rPr>
          <w:rFonts w:hint="eastAsia"/>
        </w:rPr>
        <w:t>15.7.1 发包人认为有必要时，</w:t>
      </w:r>
      <w:r>
        <w:rPr>
          <w:rFonts w:hint="eastAsia"/>
          <w:szCs w:val="21"/>
        </w:rPr>
        <w:t>由</w:t>
      </w:r>
      <w:r>
        <w:rPr>
          <w:rFonts w:hint="eastAsia"/>
        </w:rPr>
        <w:t>监理人通知承包人以计日工方式实施变更的零星工作。其价款按列入已标价工程量清单中的计日工计价子目及其单价进行计算。</w:t>
      </w:r>
    </w:p>
    <w:p w14:paraId="5981C1F6">
      <w:pPr>
        <w:spacing w:line="400" w:lineRule="exact"/>
        <w:ind w:firstLine="420" w:firstLineChars="200"/>
        <w:rPr>
          <w:rFonts w:hint="eastAsia"/>
        </w:rPr>
      </w:pPr>
      <w:r>
        <w:rPr>
          <w:rFonts w:hint="eastAsia"/>
        </w:rPr>
        <w:t>15.7.2 采用计日工计价的任何一项变更工作，应从暂列金额中支付，承包人应在该项变更的实施过程中，每天提交以下报表和有关凭证报送监理人审批：</w:t>
      </w:r>
    </w:p>
    <w:p w14:paraId="66F9C5AC">
      <w:pPr>
        <w:spacing w:line="400" w:lineRule="exact"/>
        <w:ind w:firstLine="718" w:firstLineChars="342"/>
        <w:rPr>
          <w:rFonts w:hint="eastAsia"/>
        </w:rPr>
      </w:pPr>
      <w:r>
        <w:rPr>
          <w:rFonts w:hint="eastAsia"/>
        </w:rPr>
        <w:t>（1）工作名称、内容和数量；</w:t>
      </w:r>
    </w:p>
    <w:p w14:paraId="3DF0D327">
      <w:pPr>
        <w:spacing w:line="400" w:lineRule="exact"/>
        <w:ind w:firstLine="718" w:firstLineChars="342"/>
        <w:rPr>
          <w:rFonts w:hint="eastAsia"/>
        </w:rPr>
      </w:pPr>
      <w:r>
        <w:rPr>
          <w:rFonts w:hint="eastAsia"/>
        </w:rPr>
        <w:t>（2）投入该工作所有人员的姓名、工种、级别和耗用工时；</w:t>
      </w:r>
    </w:p>
    <w:p w14:paraId="67A0E457">
      <w:pPr>
        <w:spacing w:line="400" w:lineRule="exact"/>
        <w:ind w:firstLine="718" w:firstLineChars="342"/>
        <w:rPr>
          <w:rFonts w:hint="eastAsia"/>
        </w:rPr>
      </w:pPr>
      <w:r>
        <w:rPr>
          <w:rFonts w:hint="eastAsia"/>
        </w:rPr>
        <w:t>（3）投入该工作的材料类别和数量；</w:t>
      </w:r>
    </w:p>
    <w:p w14:paraId="62826F9C">
      <w:pPr>
        <w:spacing w:line="400" w:lineRule="exact"/>
        <w:ind w:firstLine="718" w:firstLineChars="342"/>
        <w:rPr>
          <w:rFonts w:hint="eastAsia"/>
        </w:rPr>
      </w:pPr>
      <w:r>
        <w:rPr>
          <w:rFonts w:hint="eastAsia"/>
        </w:rPr>
        <w:t>（4）投入该工作的施工设备型号、台数和耗用台时；</w:t>
      </w:r>
    </w:p>
    <w:p w14:paraId="28C9ABAE">
      <w:pPr>
        <w:spacing w:line="400" w:lineRule="exact"/>
        <w:ind w:firstLine="718" w:firstLineChars="342"/>
        <w:rPr>
          <w:rFonts w:hint="eastAsia"/>
        </w:rPr>
      </w:pPr>
      <w:r>
        <w:rPr>
          <w:rFonts w:hint="eastAsia"/>
        </w:rPr>
        <w:t>（5）监理人要求提交的其他资料和凭证。</w:t>
      </w:r>
    </w:p>
    <w:p w14:paraId="42DBD738">
      <w:pPr>
        <w:spacing w:line="400" w:lineRule="exact"/>
        <w:ind w:firstLine="420" w:firstLineChars="200"/>
        <w:rPr>
          <w:rFonts w:hint="eastAsia"/>
        </w:rPr>
      </w:pPr>
      <w:r>
        <w:rPr>
          <w:rFonts w:hint="eastAsia"/>
        </w:rPr>
        <w:t>15.7.3 计日工由承包人汇总后，按第17.3.2项的约定列入进度付款申请单，由监理人复核并经发包人同意后列入进度付款。</w:t>
      </w:r>
    </w:p>
    <w:p w14:paraId="4DE92EB0">
      <w:pPr>
        <w:pStyle w:val="20"/>
        <w:rPr>
          <w:rFonts w:hint="eastAsia"/>
        </w:rPr>
      </w:pPr>
      <w:bookmarkStart w:id="973" w:name="_Toc144974683"/>
      <w:bookmarkStart w:id="974" w:name="_Toc108513787"/>
      <w:bookmarkStart w:id="975" w:name="_Toc179632732"/>
      <w:bookmarkStart w:id="976" w:name="_Toc152042492"/>
      <w:bookmarkStart w:id="977" w:name="_Toc152045714"/>
      <w:r>
        <w:rPr>
          <w:rFonts w:hint="eastAsia"/>
        </w:rPr>
        <w:t>15.8 暂估价</w:t>
      </w:r>
      <w:bookmarkEnd w:id="973"/>
      <w:bookmarkEnd w:id="974"/>
      <w:bookmarkEnd w:id="975"/>
      <w:bookmarkEnd w:id="976"/>
      <w:bookmarkEnd w:id="977"/>
    </w:p>
    <w:p w14:paraId="181DAC3D">
      <w:pPr>
        <w:spacing w:line="400" w:lineRule="exact"/>
        <w:rPr>
          <w:rFonts w:hint="eastAsia"/>
        </w:rPr>
      </w:pPr>
      <w:r>
        <w:rPr>
          <w:rFonts w:hint="eastAsia"/>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73EFAA71">
      <w:pPr>
        <w:spacing w:line="400" w:lineRule="exact"/>
        <w:ind w:firstLine="420" w:firstLineChars="200"/>
        <w:rPr>
          <w:rFonts w:hint="eastAsia"/>
        </w:rPr>
      </w:pPr>
      <w:r>
        <w:rPr>
          <w:rFonts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61789F4">
      <w:pPr>
        <w:spacing w:line="400" w:lineRule="exact"/>
        <w:ind w:firstLine="420" w:firstLineChars="200"/>
        <w:rPr>
          <w:rFonts w:hint="eastAsia"/>
        </w:rPr>
      </w:pPr>
      <w:r>
        <w:rPr>
          <w:rFonts w:hint="eastAsia"/>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5FC4E357">
      <w:pPr>
        <w:pStyle w:val="18"/>
        <w:rPr>
          <w:rFonts w:hint="eastAsia"/>
        </w:rPr>
      </w:pPr>
      <w:bookmarkStart w:id="978" w:name="_Toc152045715"/>
      <w:bookmarkStart w:id="979" w:name="_Toc179632733"/>
      <w:bookmarkStart w:id="980" w:name="_Toc108513788"/>
      <w:bookmarkStart w:id="981" w:name="_Toc144974684"/>
      <w:bookmarkStart w:id="982" w:name="_Toc152042493"/>
      <w:r>
        <w:rPr>
          <w:rFonts w:hint="eastAsia"/>
        </w:rPr>
        <w:t>16. 价格调整</w:t>
      </w:r>
      <w:bookmarkEnd w:id="978"/>
      <w:bookmarkEnd w:id="979"/>
      <w:bookmarkEnd w:id="980"/>
      <w:bookmarkEnd w:id="981"/>
      <w:bookmarkEnd w:id="982"/>
    </w:p>
    <w:p w14:paraId="4EC83AF2">
      <w:pPr>
        <w:pStyle w:val="20"/>
        <w:rPr>
          <w:rFonts w:hint="eastAsia"/>
        </w:rPr>
      </w:pPr>
      <w:bookmarkStart w:id="983" w:name="_Toc108513789"/>
      <w:bookmarkStart w:id="984" w:name="_Toc144974685"/>
      <w:bookmarkStart w:id="985" w:name="_Toc152045716"/>
      <w:bookmarkStart w:id="986" w:name="_Toc179632734"/>
      <w:bookmarkStart w:id="987" w:name="_Toc152042494"/>
      <w:r>
        <w:rPr>
          <w:rFonts w:hint="eastAsia"/>
        </w:rPr>
        <w:t>16.1 物价波动引起的价格调整</w:t>
      </w:r>
      <w:bookmarkEnd w:id="983"/>
      <w:bookmarkEnd w:id="984"/>
      <w:bookmarkEnd w:id="985"/>
      <w:bookmarkEnd w:id="986"/>
      <w:bookmarkEnd w:id="987"/>
    </w:p>
    <w:p w14:paraId="42FF4411">
      <w:pPr>
        <w:spacing w:line="400" w:lineRule="exact"/>
        <w:ind w:firstLine="420" w:firstLineChars="200"/>
        <w:rPr>
          <w:rFonts w:hint="eastAsia"/>
        </w:rPr>
      </w:pPr>
      <w:r>
        <w:rPr>
          <w:rFonts w:hint="eastAsia"/>
        </w:rPr>
        <w:t>除专用合同条款另有约定外，因物价波动引起的价格调整按照本款约定处理。</w:t>
      </w:r>
    </w:p>
    <w:p w14:paraId="2F2FB0F3">
      <w:pPr>
        <w:spacing w:line="400" w:lineRule="exact"/>
        <w:ind w:firstLine="420" w:firstLineChars="200"/>
        <w:rPr>
          <w:rFonts w:hint="eastAsia"/>
        </w:rPr>
      </w:pPr>
      <w:r>
        <w:rPr>
          <w:rFonts w:hint="eastAsia"/>
        </w:rPr>
        <w:t xml:space="preserve">16.1.1 </w:t>
      </w:r>
      <w:r>
        <w:rPr>
          <w:rFonts w:hint="eastAsia" w:ascii="黑体" w:eastAsia="黑体"/>
        </w:rPr>
        <w:t>采用价格指数调整价格差额</w:t>
      </w:r>
    </w:p>
    <w:p w14:paraId="5E124A9D">
      <w:pPr>
        <w:spacing w:line="400" w:lineRule="exact"/>
        <w:ind w:firstLine="420" w:firstLineChars="200"/>
        <w:rPr>
          <w:rFonts w:hint="eastAsia"/>
        </w:rPr>
      </w:pPr>
      <w:r>
        <w:rPr>
          <w:rFonts w:hint="eastAsia"/>
        </w:rPr>
        <w:t>16.1.1.1 价格调整公式</w:t>
      </w:r>
    </w:p>
    <w:p w14:paraId="62430B3B">
      <w:pPr>
        <w:spacing w:line="400" w:lineRule="exact"/>
        <w:ind w:firstLine="420" w:firstLineChars="200"/>
        <w:rPr>
          <w:rFonts w:hint="eastAsia"/>
        </w:rPr>
      </w:pPr>
      <w:r>
        <w:rPr>
          <w:rFonts w:hint="eastAsia"/>
        </w:rPr>
        <w:t>因人工、材料和设备等价格波动影响合同价格时，根据投标函附录中的价格指数和权重表约定的数据，按以下公式计算差额并调整合同价格。</w:t>
      </w:r>
    </w:p>
    <w:p w14:paraId="634B61A2">
      <w:pPr>
        <w:autoSpaceDE w:val="0"/>
        <w:autoSpaceDN w:val="0"/>
        <w:adjustRightInd w:val="0"/>
        <w:spacing w:line="1200" w:lineRule="exact"/>
        <w:ind w:right="248" w:firstLine="759" w:firstLineChars="398"/>
        <w:rPr>
          <w:rFonts w:hint="eastAsia"/>
        </w:rPr>
      </w:pPr>
      <w:r>
        <w:rPr>
          <w:rFonts w:hint="eastAsia"/>
          <w:b/>
          <w:bCs/>
          <w:kern w:val="0"/>
          <w:sz w:val="19"/>
          <w:szCs w:val="19"/>
          <w:lang w:val="zh-CN"/>
        </w:rPr>
        <w:t xml:space="preserve">        </w:t>
      </w:r>
      <w:r>
        <w:rPr>
          <w:position w:val="-34"/>
        </w:rPr>
        <w:object>
          <v:shape id="_x0000_i1025" o:spt="75" type="#_x0000_t75" style="height:40pt;width:319.95pt;" o:ole="t" filled="f" o:preferrelative="t" stroked="f" coordsize="21600,21600">
            <v:path/>
            <v:fill on="f" alignshape="1" focussize="0,0"/>
            <v:stroke on="f"/>
            <v:imagedata r:id="rId14" o:title=""/>
            <o:lock v:ext="edit" aspectratio="t"/>
            <w10:wrap type="none"/>
            <w10:anchorlock/>
          </v:shape>
          <o:OLEObject Type="Embed" ProgID="Equation.3" ShapeID="_x0000_i1025" DrawAspect="Content" ObjectID="_1468075725" r:id="rId13">
            <o:LockedField>false</o:LockedField>
          </o:OLEObject>
        </w:object>
      </w:r>
    </w:p>
    <w:p w14:paraId="0C4AF9A9">
      <w:pPr>
        <w:tabs>
          <w:tab w:val="left" w:pos="1260"/>
        </w:tabs>
        <w:spacing w:line="400" w:lineRule="exact"/>
        <w:ind w:firstLine="420" w:firstLineChars="200"/>
        <w:rPr>
          <w:rFonts w:hint="eastAsia"/>
        </w:rPr>
      </w:pPr>
      <w:r>
        <w:rPr>
          <w:rFonts w:hint="eastAsia"/>
        </w:rPr>
        <w:t xml:space="preserve"> </w:t>
      </w:r>
    </w:p>
    <w:p w14:paraId="5357C516">
      <w:pPr>
        <w:tabs>
          <w:tab w:val="left" w:pos="1260"/>
        </w:tabs>
        <w:spacing w:line="400" w:lineRule="exact"/>
        <w:ind w:firstLine="420" w:firstLineChars="200"/>
        <w:rPr>
          <w:rFonts w:hint="eastAsia"/>
        </w:rPr>
      </w:pPr>
      <w:r>
        <w:rPr>
          <w:rFonts w:hint="eastAsia"/>
        </w:rPr>
        <w:t>式中： △P -- 需调整的价格差额；</w:t>
      </w:r>
    </w:p>
    <w:p w14:paraId="4D5AD4D5">
      <w:pPr>
        <w:tabs>
          <w:tab w:val="left" w:pos="1260"/>
        </w:tabs>
        <w:spacing w:line="400" w:lineRule="exact"/>
        <w:rPr>
          <w:rFonts w:hint="eastAsia"/>
        </w:rPr>
      </w:pPr>
      <w:r>
        <w:rPr>
          <w:rFonts w:hint="eastAsia"/>
        </w:rPr>
        <w:tab/>
      </w:r>
      <w:r>
        <w:rPr>
          <w:rFonts w:hint="eastAsia"/>
        </w:rPr>
        <w:t>P</w:t>
      </w:r>
      <w:r>
        <w:rPr>
          <w:rFonts w:hint="eastAsia"/>
          <w:szCs w:val="21"/>
          <w:vertAlign w:val="subscript"/>
        </w:rPr>
        <w:t>0</w:t>
      </w:r>
      <w:r>
        <w:rPr>
          <w:rFonts w:hint="eastAsia"/>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3B2AAFFC">
      <w:pPr>
        <w:tabs>
          <w:tab w:val="left" w:pos="1260"/>
        </w:tabs>
        <w:spacing w:line="400" w:lineRule="exact"/>
        <w:rPr>
          <w:rFonts w:hint="eastAsia"/>
        </w:rPr>
      </w:pPr>
      <w:r>
        <w:rPr>
          <w:rFonts w:hint="eastAsia"/>
        </w:rPr>
        <w:tab/>
      </w:r>
      <w:bookmarkStart w:id="988" w:name="_Toc144974686"/>
      <w:bookmarkStart w:id="989" w:name="_Toc152042495"/>
      <w:r>
        <w:rPr>
          <w:rFonts w:hint="eastAsia"/>
        </w:rPr>
        <w:t>A -- 定值权重(即不调部分的权重)；</w:t>
      </w:r>
      <w:bookmarkEnd w:id="988"/>
      <w:bookmarkEnd w:id="989"/>
    </w:p>
    <w:p w14:paraId="61FFD290">
      <w:pPr>
        <w:tabs>
          <w:tab w:val="left" w:pos="1260"/>
        </w:tabs>
        <w:spacing w:line="400" w:lineRule="exact"/>
        <w:rPr>
          <w:rFonts w:hint="eastAsia"/>
        </w:rPr>
      </w:pPr>
      <w:r>
        <w:rPr>
          <w:rFonts w:hint="eastAsia"/>
        </w:rPr>
        <w:tab/>
      </w:r>
      <w:r>
        <w:rPr>
          <w:rFonts w:hint="eastAsia"/>
        </w:rPr>
        <w:t>B</w:t>
      </w:r>
      <w:r>
        <w:rPr>
          <w:rFonts w:hint="eastAsia"/>
          <w:szCs w:val="21"/>
          <w:vertAlign w:val="subscript"/>
        </w:rPr>
        <w:t>1</w:t>
      </w:r>
      <w:r>
        <w:rPr>
          <w:rFonts w:hint="eastAsia"/>
          <w:sz w:val="15"/>
          <w:szCs w:val="15"/>
        </w:rPr>
        <w:t>;</w:t>
      </w:r>
      <w:r>
        <w:rPr>
          <w:rFonts w:hint="eastAsia"/>
        </w:rPr>
        <w:t xml:space="preserve"> B</w:t>
      </w:r>
      <w:r>
        <w:rPr>
          <w:rFonts w:hint="eastAsia"/>
          <w:szCs w:val="21"/>
          <w:vertAlign w:val="subscript"/>
        </w:rPr>
        <w:t>2</w:t>
      </w:r>
      <w:r>
        <w:rPr>
          <w:rFonts w:hint="eastAsia"/>
        </w:rPr>
        <w:t xml:space="preserve"> ;B</w:t>
      </w:r>
      <w:r>
        <w:rPr>
          <w:rFonts w:hint="eastAsia"/>
          <w:szCs w:val="21"/>
          <w:vertAlign w:val="subscript"/>
        </w:rPr>
        <w:t>3</w:t>
      </w:r>
      <w:r>
        <w:rPr>
          <w:rFonts w:hint="eastAsia" w:ascii="宋体" w:hAnsi="宋体"/>
          <w:sz w:val="15"/>
          <w:szCs w:val="15"/>
        </w:rPr>
        <w:t>·····</w:t>
      </w:r>
      <w:r>
        <w:rPr>
          <w:rFonts w:hint="eastAsia"/>
        </w:rPr>
        <w:t>B</w:t>
      </w:r>
      <w:r>
        <w:rPr>
          <w:rFonts w:hint="eastAsia"/>
          <w:szCs w:val="21"/>
          <w:vertAlign w:val="subscript"/>
        </w:rPr>
        <w:t>n</w:t>
      </w:r>
      <w:r>
        <w:rPr>
          <w:rFonts w:hint="eastAsia"/>
        </w:rPr>
        <w:t xml:space="preserve"> -- 各可调因子的变值权重(即可调部分的权重)为各可调因子在投标函投标总报价中所占的比例；</w:t>
      </w:r>
    </w:p>
    <w:p w14:paraId="3D5944CF">
      <w:pPr>
        <w:tabs>
          <w:tab w:val="left" w:pos="1260"/>
        </w:tabs>
        <w:spacing w:line="400" w:lineRule="exact"/>
        <w:rPr>
          <w:rFonts w:hint="eastAsia"/>
        </w:rPr>
      </w:pPr>
      <w:r>
        <w:rPr>
          <w:rFonts w:hint="eastAsia"/>
        </w:rPr>
        <w:tab/>
      </w:r>
      <w:r>
        <w:rPr>
          <w:rFonts w:hint="eastAsia"/>
        </w:rPr>
        <w:t>F</w:t>
      </w:r>
      <w:r>
        <w:rPr>
          <w:rFonts w:hint="eastAsia"/>
          <w:szCs w:val="21"/>
          <w:vertAlign w:val="subscript"/>
        </w:rPr>
        <w:t>t1</w:t>
      </w:r>
      <w:r>
        <w:rPr>
          <w:rFonts w:hint="eastAsia"/>
        </w:rPr>
        <w:t xml:space="preserve"> ;F</w:t>
      </w:r>
      <w:r>
        <w:rPr>
          <w:rFonts w:hint="eastAsia"/>
          <w:szCs w:val="21"/>
          <w:vertAlign w:val="subscript"/>
        </w:rPr>
        <w:t>t2</w:t>
      </w:r>
      <w:r>
        <w:rPr>
          <w:rFonts w:hint="eastAsia"/>
        </w:rPr>
        <w:t xml:space="preserve"> ;F</w:t>
      </w:r>
      <w:r>
        <w:rPr>
          <w:rFonts w:hint="eastAsia"/>
          <w:szCs w:val="21"/>
          <w:vertAlign w:val="subscript"/>
        </w:rPr>
        <w:t>t3</w:t>
      </w:r>
      <w:r>
        <w:rPr>
          <w:rFonts w:hint="eastAsia" w:ascii="宋体" w:hAnsi="宋体"/>
          <w:sz w:val="15"/>
          <w:szCs w:val="15"/>
        </w:rPr>
        <w:t>·····</w:t>
      </w:r>
      <w:r>
        <w:rPr>
          <w:rFonts w:hint="eastAsia"/>
        </w:rPr>
        <w:t>F</w:t>
      </w:r>
      <w:r>
        <w:rPr>
          <w:rFonts w:hint="eastAsia"/>
          <w:szCs w:val="21"/>
          <w:vertAlign w:val="subscript"/>
        </w:rPr>
        <w:t>tn</w:t>
      </w:r>
      <w:r>
        <w:rPr>
          <w:rFonts w:hint="eastAsia"/>
        </w:rPr>
        <w:t xml:space="preserve"> -- 各可调因子的现行价格指数，指第17.3.3项、第17.5.2项和第17.6.2项约定的付款证书相关周期最后一天的前42天的各可调因子的价格指数；</w:t>
      </w:r>
    </w:p>
    <w:p w14:paraId="1EE2DFC4">
      <w:pPr>
        <w:tabs>
          <w:tab w:val="left" w:pos="1260"/>
        </w:tabs>
        <w:spacing w:line="400" w:lineRule="exact"/>
        <w:rPr>
          <w:rFonts w:hint="eastAsia"/>
        </w:rPr>
      </w:pPr>
      <w:r>
        <w:rPr>
          <w:rFonts w:hint="eastAsia"/>
        </w:rPr>
        <w:tab/>
      </w:r>
      <w:r>
        <w:rPr>
          <w:rFonts w:hint="eastAsia"/>
        </w:rPr>
        <w:t>F</w:t>
      </w:r>
      <w:r>
        <w:rPr>
          <w:rFonts w:hint="eastAsia"/>
          <w:szCs w:val="21"/>
          <w:vertAlign w:val="subscript"/>
        </w:rPr>
        <w:t>o1</w:t>
      </w:r>
      <w:r>
        <w:rPr>
          <w:rFonts w:hint="eastAsia"/>
        </w:rPr>
        <w:t>; F</w:t>
      </w:r>
      <w:r>
        <w:rPr>
          <w:rFonts w:hint="eastAsia"/>
          <w:szCs w:val="21"/>
          <w:vertAlign w:val="subscript"/>
        </w:rPr>
        <w:t>o2</w:t>
      </w:r>
      <w:r>
        <w:rPr>
          <w:rFonts w:hint="eastAsia"/>
          <w:sz w:val="15"/>
          <w:szCs w:val="15"/>
        </w:rPr>
        <w:t>;</w:t>
      </w:r>
      <w:r>
        <w:rPr>
          <w:rFonts w:hint="eastAsia"/>
        </w:rPr>
        <w:t xml:space="preserve"> F</w:t>
      </w:r>
      <w:r>
        <w:rPr>
          <w:rFonts w:hint="eastAsia"/>
          <w:szCs w:val="21"/>
          <w:vertAlign w:val="subscript"/>
        </w:rPr>
        <w:t>o3</w:t>
      </w:r>
      <w:r>
        <w:rPr>
          <w:rFonts w:hint="eastAsia" w:ascii="宋体" w:hAnsi="宋体"/>
          <w:sz w:val="15"/>
          <w:szCs w:val="15"/>
        </w:rPr>
        <w:t>·····</w:t>
      </w:r>
      <w:r>
        <w:rPr>
          <w:rFonts w:hint="eastAsia"/>
        </w:rPr>
        <w:t>F</w:t>
      </w:r>
      <w:r>
        <w:rPr>
          <w:rFonts w:hint="eastAsia"/>
          <w:szCs w:val="21"/>
          <w:vertAlign w:val="subscript"/>
        </w:rPr>
        <w:t>on</w:t>
      </w:r>
      <w:r>
        <w:rPr>
          <w:rFonts w:hint="eastAsia"/>
        </w:rPr>
        <w:t xml:space="preserve"> -- 各可调因子的基本价格指数，指基准日期的各可调因子的价格指数。</w:t>
      </w:r>
    </w:p>
    <w:p w14:paraId="06D0D662">
      <w:pPr>
        <w:spacing w:line="400" w:lineRule="exact"/>
        <w:ind w:firstLine="420" w:firstLineChars="200"/>
        <w:rPr>
          <w:rFonts w:hint="eastAsia"/>
        </w:rPr>
      </w:pPr>
      <w:r>
        <w:rPr>
          <w:rFonts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3B5ABB51">
      <w:pPr>
        <w:spacing w:line="400" w:lineRule="exact"/>
        <w:ind w:firstLine="420" w:firstLineChars="200"/>
        <w:rPr>
          <w:rFonts w:hint="eastAsia"/>
        </w:rPr>
      </w:pPr>
      <w:r>
        <w:rPr>
          <w:rFonts w:hint="eastAsia"/>
        </w:rPr>
        <w:t>16.1.1.2 暂时确定调整差额</w:t>
      </w:r>
    </w:p>
    <w:p w14:paraId="644D008F">
      <w:pPr>
        <w:spacing w:line="400" w:lineRule="exact"/>
        <w:ind w:firstLine="420" w:firstLineChars="200"/>
        <w:rPr>
          <w:rFonts w:hint="eastAsia"/>
        </w:rPr>
      </w:pPr>
      <w:r>
        <w:rPr>
          <w:rFonts w:hint="eastAsia"/>
        </w:rPr>
        <w:t>在计算调整差额时得不到现行价格指数的，可暂用上一次价格指数计算，并在以后的付款中再按实际价格指数进行调整。</w:t>
      </w:r>
    </w:p>
    <w:p w14:paraId="09DC4176">
      <w:pPr>
        <w:spacing w:line="400" w:lineRule="exact"/>
        <w:ind w:firstLine="420" w:firstLineChars="200"/>
        <w:rPr>
          <w:rFonts w:hint="eastAsia"/>
        </w:rPr>
      </w:pPr>
      <w:r>
        <w:rPr>
          <w:rFonts w:hint="eastAsia"/>
        </w:rPr>
        <w:t>16.1.1.3 权重的调整</w:t>
      </w:r>
    </w:p>
    <w:p w14:paraId="01C2E571">
      <w:pPr>
        <w:spacing w:line="400" w:lineRule="exact"/>
        <w:ind w:firstLine="420" w:firstLineChars="200"/>
        <w:rPr>
          <w:rFonts w:hint="eastAsia"/>
        </w:rPr>
      </w:pPr>
      <w:r>
        <w:rPr>
          <w:rFonts w:hint="eastAsia"/>
        </w:rPr>
        <w:t>按第15.1款约定的变更导致原定合同中的权重不合理时，由监理人与承包人和发包人协商后进行调整。</w:t>
      </w:r>
    </w:p>
    <w:p w14:paraId="16547DE1">
      <w:pPr>
        <w:spacing w:line="400" w:lineRule="exact"/>
        <w:ind w:firstLine="420" w:firstLineChars="200"/>
        <w:rPr>
          <w:rFonts w:hint="eastAsia"/>
        </w:rPr>
      </w:pPr>
      <w:r>
        <w:rPr>
          <w:rFonts w:hint="eastAsia"/>
        </w:rPr>
        <w:t>16.1.1.4 承包人工期延误后的价格调整</w:t>
      </w:r>
    </w:p>
    <w:p w14:paraId="6DCF71CA">
      <w:pPr>
        <w:spacing w:line="400" w:lineRule="exact"/>
        <w:ind w:firstLine="420" w:firstLineChars="200"/>
        <w:rPr>
          <w:rFonts w:hint="eastAsia"/>
        </w:rPr>
      </w:pPr>
      <w:r>
        <w:rPr>
          <w:rFonts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21830BC6">
      <w:pPr>
        <w:spacing w:line="400" w:lineRule="exact"/>
        <w:ind w:firstLine="420" w:firstLineChars="200"/>
        <w:rPr>
          <w:rFonts w:hint="eastAsia" w:ascii="黑体" w:eastAsia="黑体"/>
        </w:rPr>
      </w:pPr>
      <w:r>
        <w:rPr>
          <w:rFonts w:hint="eastAsia" w:ascii="黑体" w:eastAsia="黑体"/>
        </w:rPr>
        <w:t>16.1.2 采用造价信息调整价格差额</w:t>
      </w:r>
    </w:p>
    <w:p w14:paraId="72D952EC">
      <w:pPr>
        <w:spacing w:line="400" w:lineRule="exact"/>
        <w:ind w:firstLine="420" w:firstLineChars="200"/>
        <w:rPr>
          <w:rFonts w:hint="eastAsia"/>
        </w:rPr>
      </w:pPr>
      <w:r>
        <w:rPr>
          <w:rFonts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7A308DCB">
      <w:pPr>
        <w:pStyle w:val="20"/>
        <w:rPr>
          <w:rFonts w:hint="eastAsia"/>
        </w:rPr>
      </w:pPr>
      <w:bookmarkStart w:id="990" w:name="_Toc108513790"/>
      <w:bookmarkStart w:id="991" w:name="_Toc144974688"/>
      <w:bookmarkStart w:id="992" w:name="_Toc152042496"/>
      <w:bookmarkStart w:id="993" w:name="_Toc179632735"/>
      <w:bookmarkStart w:id="994" w:name="_Toc152045717"/>
      <w:r>
        <w:rPr>
          <w:rFonts w:hint="eastAsia"/>
        </w:rPr>
        <w:t>16.2 法律变化引起的价格调整</w:t>
      </w:r>
      <w:bookmarkEnd w:id="990"/>
      <w:bookmarkEnd w:id="991"/>
      <w:bookmarkEnd w:id="992"/>
      <w:bookmarkEnd w:id="993"/>
      <w:bookmarkEnd w:id="994"/>
    </w:p>
    <w:p w14:paraId="1D9B18A1">
      <w:pPr>
        <w:spacing w:line="400" w:lineRule="exact"/>
        <w:ind w:firstLine="420" w:firstLineChars="200"/>
        <w:rPr>
          <w:rFonts w:hint="eastAsia"/>
        </w:rPr>
      </w:pPr>
      <w:r>
        <w:rPr>
          <w:rFonts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60E2A89A">
      <w:pPr>
        <w:pStyle w:val="18"/>
        <w:rPr>
          <w:rFonts w:hint="eastAsia"/>
        </w:rPr>
      </w:pPr>
      <w:bookmarkStart w:id="995" w:name="_Toc152045718"/>
      <w:bookmarkStart w:id="996" w:name="_Toc144974689"/>
      <w:bookmarkStart w:id="997" w:name="_Toc179632736"/>
      <w:bookmarkStart w:id="998" w:name="_Toc108513791"/>
      <w:bookmarkStart w:id="999" w:name="_Toc152042497"/>
      <w:r>
        <w:rPr>
          <w:rFonts w:hint="eastAsia"/>
        </w:rPr>
        <w:t>17. 计量与支付</w:t>
      </w:r>
      <w:bookmarkEnd w:id="995"/>
      <w:bookmarkEnd w:id="996"/>
      <w:bookmarkEnd w:id="997"/>
      <w:bookmarkEnd w:id="998"/>
      <w:bookmarkEnd w:id="999"/>
    </w:p>
    <w:p w14:paraId="13FBBF8E">
      <w:pPr>
        <w:pStyle w:val="20"/>
        <w:rPr>
          <w:rFonts w:hint="eastAsia"/>
        </w:rPr>
      </w:pPr>
      <w:bookmarkStart w:id="1000" w:name="_Toc179632737"/>
      <w:bookmarkStart w:id="1001" w:name="_Toc144974690"/>
      <w:bookmarkStart w:id="1002" w:name="_Toc152045719"/>
      <w:bookmarkStart w:id="1003" w:name="_Toc108513792"/>
      <w:bookmarkStart w:id="1004" w:name="_Toc152042498"/>
      <w:r>
        <w:rPr>
          <w:rFonts w:hint="eastAsia"/>
        </w:rPr>
        <w:t>17.1 计量</w:t>
      </w:r>
      <w:bookmarkEnd w:id="1000"/>
      <w:bookmarkEnd w:id="1001"/>
      <w:bookmarkEnd w:id="1002"/>
      <w:bookmarkEnd w:id="1003"/>
      <w:bookmarkEnd w:id="1004"/>
    </w:p>
    <w:p w14:paraId="54EA72D0">
      <w:pPr>
        <w:spacing w:line="400" w:lineRule="exact"/>
        <w:ind w:firstLine="420" w:firstLineChars="200"/>
        <w:rPr>
          <w:rFonts w:hint="eastAsia"/>
        </w:rPr>
      </w:pPr>
      <w:r>
        <w:rPr>
          <w:rFonts w:hint="eastAsia"/>
        </w:rPr>
        <w:t xml:space="preserve">17.1.1 </w:t>
      </w:r>
      <w:r>
        <w:rPr>
          <w:rFonts w:hint="eastAsia" w:ascii="黑体" w:eastAsia="黑体"/>
        </w:rPr>
        <w:t>计量单位</w:t>
      </w:r>
    </w:p>
    <w:p w14:paraId="2F01AC20">
      <w:pPr>
        <w:spacing w:line="400" w:lineRule="exact"/>
        <w:ind w:firstLine="420" w:firstLineChars="200"/>
        <w:rPr>
          <w:rFonts w:hint="eastAsia"/>
        </w:rPr>
      </w:pPr>
      <w:r>
        <w:rPr>
          <w:rFonts w:hint="eastAsia"/>
        </w:rPr>
        <w:t>计量采用国家法定的计量单位。</w:t>
      </w:r>
    </w:p>
    <w:p w14:paraId="5D7F71E7">
      <w:pPr>
        <w:spacing w:line="400" w:lineRule="exact"/>
        <w:ind w:firstLine="420" w:firstLineChars="200"/>
        <w:rPr>
          <w:rFonts w:hint="eastAsia"/>
        </w:rPr>
      </w:pPr>
      <w:r>
        <w:rPr>
          <w:rFonts w:hint="eastAsia"/>
        </w:rPr>
        <w:t xml:space="preserve">17.1.2 </w:t>
      </w:r>
      <w:r>
        <w:rPr>
          <w:rFonts w:hint="eastAsia" w:ascii="黑体" w:eastAsia="黑体"/>
        </w:rPr>
        <w:t>计量方法</w:t>
      </w:r>
    </w:p>
    <w:p w14:paraId="0031847B">
      <w:pPr>
        <w:spacing w:line="400" w:lineRule="exact"/>
        <w:ind w:firstLine="420" w:firstLineChars="200"/>
        <w:rPr>
          <w:rFonts w:hint="eastAsia"/>
        </w:rPr>
      </w:pPr>
      <w:r>
        <w:rPr>
          <w:rFonts w:hint="eastAsia"/>
        </w:rPr>
        <w:t>工程量清单中的工程量计算规则应按有关国家标准、行业标准的规定，并在合同中约定执行。</w:t>
      </w:r>
    </w:p>
    <w:p w14:paraId="34F0CEA6">
      <w:pPr>
        <w:spacing w:line="400" w:lineRule="exact"/>
        <w:ind w:firstLine="420" w:firstLineChars="200"/>
        <w:rPr>
          <w:rFonts w:hint="eastAsia"/>
        </w:rPr>
      </w:pPr>
      <w:r>
        <w:rPr>
          <w:rFonts w:hint="eastAsia"/>
        </w:rPr>
        <w:t xml:space="preserve">17.1.3 </w:t>
      </w:r>
      <w:r>
        <w:rPr>
          <w:rFonts w:hint="eastAsia" w:ascii="黑体" w:eastAsia="黑体"/>
        </w:rPr>
        <w:t>计量周期</w:t>
      </w:r>
    </w:p>
    <w:p w14:paraId="596AA26E">
      <w:pPr>
        <w:spacing w:line="400" w:lineRule="exact"/>
        <w:ind w:firstLine="420" w:firstLineChars="200"/>
        <w:rPr>
          <w:rFonts w:hint="eastAsia"/>
        </w:rPr>
      </w:pPr>
      <w:r>
        <w:rPr>
          <w:rFonts w:hint="eastAsia"/>
        </w:rPr>
        <w:t>除专用合同条款另有约定外，单价子目已完成工程量按月计量，总价子目的计量周期按批准的支付分解报告确定。</w:t>
      </w:r>
    </w:p>
    <w:p w14:paraId="3F5D60FF">
      <w:pPr>
        <w:spacing w:line="400" w:lineRule="exact"/>
        <w:ind w:firstLine="420" w:firstLineChars="200"/>
        <w:rPr>
          <w:rFonts w:hint="eastAsia"/>
        </w:rPr>
      </w:pPr>
      <w:r>
        <w:rPr>
          <w:rFonts w:hint="eastAsia"/>
        </w:rPr>
        <w:t>17.1.4</w:t>
      </w:r>
      <w:r>
        <w:rPr>
          <w:rFonts w:hint="eastAsia" w:ascii="黑体" w:eastAsia="黑体"/>
        </w:rPr>
        <w:t xml:space="preserve"> 单价子目的计量</w:t>
      </w:r>
    </w:p>
    <w:p w14:paraId="6BD1DA90">
      <w:pPr>
        <w:spacing w:line="400" w:lineRule="exact"/>
        <w:ind w:firstLine="718" w:firstLineChars="342"/>
        <w:rPr>
          <w:rFonts w:hint="eastAsia"/>
        </w:rPr>
      </w:pPr>
      <w:r>
        <w:rPr>
          <w:rFonts w:hint="eastAsia"/>
        </w:rPr>
        <w:t>（1）已标价工程量清单中的单价子目工程量为估算工程量。结算工程量是承包人实际完成的，并按合同约定的计量方法进行计量的工程量。</w:t>
      </w:r>
    </w:p>
    <w:p w14:paraId="4AA7947F">
      <w:pPr>
        <w:spacing w:line="400" w:lineRule="exact"/>
        <w:ind w:firstLine="718" w:firstLineChars="342"/>
        <w:rPr>
          <w:rFonts w:hint="eastAsia"/>
        </w:rPr>
      </w:pPr>
      <w:r>
        <w:rPr>
          <w:rFonts w:hint="eastAsia"/>
        </w:rPr>
        <w:t>（2）承包人对已完成的工程进行计量，向监理人提交进度付款申请单、已完成工程量报表和有关计量资料。</w:t>
      </w:r>
    </w:p>
    <w:p w14:paraId="5DF08A37">
      <w:pPr>
        <w:spacing w:line="400" w:lineRule="exact"/>
        <w:ind w:firstLine="718" w:firstLineChars="342"/>
        <w:rPr>
          <w:rFonts w:hint="eastAsia"/>
        </w:rPr>
      </w:pPr>
      <w:r>
        <w:rPr>
          <w:rFonts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A042DED">
      <w:pPr>
        <w:spacing w:line="400" w:lineRule="exact"/>
        <w:ind w:firstLine="718" w:firstLineChars="342"/>
        <w:rPr>
          <w:rFonts w:hint="eastAsia"/>
        </w:rPr>
      </w:pPr>
      <w:r>
        <w:rPr>
          <w:rFonts w:hint="eastAsia"/>
        </w:rPr>
        <w:t>（4）监理人认为有必要时，可通知承包人共同进行联合测量、计量，承包人应遵照执行。</w:t>
      </w:r>
    </w:p>
    <w:p w14:paraId="5F907D36">
      <w:pPr>
        <w:spacing w:line="400" w:lineRule="exact"/>
        <w:ind w:firstLine="718" w:firstLineChars="342"/>
        <w:rPr>
          <w:rFonts w:hint="eastAsia"/>
        </w:rPr>
      </w:pPr>
      <w:r>
        <w:rPr>
          <w:rFonts w:hint="eastAsi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4F1D9DA2">
      <w:pPr>
        <w:spacing w:line="400" w:lineRule="exact"/>
        <w:ind w:firstLine="718" w:firstLineChars="342"/>
        <w:rPr>
          <w:rFonts w:hint="eastAsia"/>
        </w:rPr>
      </w:pPr>
      <w:r>
        <w:rPr>
          <w:rFonts w:hint="eastAsia"/>
        </w:rPr>
        <w:t>（6）监理人应在收到承包人提交的工程量报表后的7天内进行复核，监理人未在约定时间内复核的，承包人提交的工程量报表中的工程量视为承包人实际完成的工程量，据此计算工程价款。</w:t>
      </w:r>
    </w:p>
    <w:p w14:paraId="0CC35673">
      <w:pPr>
        <w:spacing w:line="400" w:lineRule="exact"/>
        <w:ind w:firstLine="420" w:firstLineChars="200"/>
        <w:rPr>
          <w:rFonts w:hint="eastAsia" w:ascii="黑体" w:eastAsia="黑体"/>
        </w:rPr>
      </w:pPr>
      <w:r>
        <w:rPr>
          <w:rFonts w:hint="eastAsia"/>
        </w:rPr>
        <w:t xml:space="preserve">17.1.5 </w:t>
      </w:r>
      <w:r>
        <w:rPr>
          <w:rFonts w:hint="eastAsia" w:ascii="黑体" w:eastAsia="黑体"/>
        </w:rPr>
        <w:t>总价子目的计量</w:t>
      </w:r>
    </w:p>
    <w:p w14:paraId="2410126D">
      <w:pPr>
        <w:spacing w:line="400" w:lineRule="exact"/>
        <w:ind w:firstLine="630" w:firstLineChars="300"/>
        <w:rPr>
          <w:rFonts w:hint="eastAsia" w:ascii="宋体" w:hAnsi="宋体"/>
        </w:rPr>
      </w:pPr>
      <w:r>
        <w:rPr>
          <w:rFonts w:hint="eastAsia" w:ascii="宋体" w:hAnsi="宋体"/>
        </w:rPr>
        <w:t>除专用合同条款另有约定外，总价子目的分解和计量按照下述约定进行。</w:t>
      </w:r>
    </w:p>
    <w:p w14:paraId="51797DDF">
      <w:pPr>
        <w:spacing w:line="400" w:lineRule="exact"/>
        <w:ind w:firstLine="630" w:firstLineChars="300"/>
        <w:rPr>
          <w:rFonts w:hint="eastAsia" w:ascii="宋体" w:hAnsi="宋体"/>
        </w:rPr>
      </w:pPr>
      <w:r>
        <w:rPr>
          <w:rFonts w:hint="eastAsia" w:ascii="宋体" w:hAnsi="宋体"/>
        </w:rPr>
        <w:t>（1）总价子目的计量和支付应以总价为基础，不因第16.1款中的因素而进行调整。承包人实际完成的工程量，是进行工程目标管理和控制进度支付的依据。</w:t>
      </w:r>
    </w:p>
    <w:p w14:paraId="2A282BE3">
      <w:pPr>
        <w:spacing w:line="400" w:lineRule="exact"/>
        <w:ind w:firstLine="630" w:firstLineChars="300"/>
        <w:rPr>
          <w:rFonts w:hint="eastAsia" w:ascii="宋体" w:hAnsi="宋体"/>
        </w:rPr>
      </w:pPr>
      <w:r>
        <w:rPr>
          <w:rFonts w:hint="eastAsia" w:ascii="宋体" w:hAnsi="宋体"/>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163290BC">
      <w:pPr>
        <w:spacing w:line="400" w:lineRule="exact"/>
        <w:ind w:firstLine="630" w:firstLineChars="300"/>
        <w:rPr>
          <w:rFonts w:hint="eastAsia" w:ascii="宋体" w:hAnsi="宋体"/>
        </w:rPr>
      </w:pPr>
      <w:r>
        <w:rPr>
          <w:rFonts w:hint="eastAsia" w:ascii="宋体" w:hAnsi="宋体"/>
        </w:rPr>
        <w:t>（3）监理人对承包人提交的上述资料进行复核，以确定分阶段实际完成的工程量和工程形象目标。对其有异议的，可要求承包人按第8.2款约定进行共同复核和抽样复测。</w:t>
      </w:r>
    </w:p>
    <w:p w14:paraId="75C5B1B2">
      <w:pPr>
        <w:spacing w:line="400" w:lineRule="exact"/>
        <w:ind w:firstLine="630" w:firstLineChars="300"/>
        <w:rPr>
          <w:rFonts w:ascii="宋体" w:hAnsi="宋体"/>
        </w:rPr>
      </w:pPr>
      <w:r>
        <w:rPr>
          <w:rFonts w:hint="eastAsia" w:ascii="宋体" w:hAnsi="宋体"/>
        </w:rPr>
        <w:t xml:space="preserve">（4）除按照第15条约定的变更外，总价子目的工程量是承包人用于结算的最终工程量。 </w:t>
      </w:r>
    </w:p>
    <w:p w14:paraId="07317A35">
      <w:pPr>
        <w:pStyle w:val="20"/>
        <w:rPr>
          <w:rFonts w:hint="eastAsia"/>
        </w:rPr>
      </w:pPr>
      <w:bookmarkStart w:id="1005" w:name="_Toc179632738"/>
      <w:bookmarkStart w:id="1006" w:name="_Toc152042499"/>
      <w:bookmarkStart w:id="1007" w:name="_Toc108513793"/>
      <w:bookmarkStart w:id="1008" w:name="_Toc144974691"/>
      <w:bookmarkStart w:id="1009" w:name="_Toc152045720"/>
      <w:r>
        <w:rPr>
          <w:rFonts w:hint="eastAsia"/>
        </w:rPr>
        <w:t>17.2 预付款</w:t>
      </w:r>
      <w:bookmarkEnd w:id="1005"/>
      <w:bookmarkEnd w:id="1006"/>
      <w:bookmarkEnd w:id="1007"/>
      <w:bookmarkEnd w:id="1008"/>
      <w:bookmarkEnd w:id="1009"/>
    </w:p>
    <w:p w14:paraId="4EAE3853">
      <w:pPr>
        <w:spacing w:line="400" w:lineRule="exact"/>
        <w:ind w:firstLine="420" w:firstLineChars="200"/>
        <w:rPr>
          <w:rFonts w:hint="eastAsia"/>
        </w:rPr>
      </w:pPr>
      <w:r>
        <w:rPr>
          <w:rFonts w:hint="eastAsia"/>
        </w:rPr>
        <w:t xml:space="preserve">17.2.1 </w:t>
      </w:r>
      <w:r>
        <w:rPr>
          <w:rFonts w:hint="eastAsia" w:ascii="黑体" w:eastAsia="黑体"/>
        </w:rPr>
        <w:t>预付款</w:t>
      </w:r>
    </w:p>
    <w:p w14:paraId="0E8ECA6A">
      <w:pPr>
        <w:spacing w:line="400" w:lineRule="exact"/>
        <w:ind w:firstLine="420" w:firstLineChars="200"/>
        <w:rPr>
          <w:rFonts w:hint="eastAsia"/>
        </w:rPr>
      </w:pPr>
      <w:r>
        <w:rPr>
          <w:rFonts w:hint="eastAsia"/>
        </w:rPr>
        <w:t>预付款用于承包人为合同工程施工购置材料、工程设备、施工设备、修建临时设施以及组织施工队伍进场等。预付款的额度和预付办法在专用合同条款中约定。预付款必须专用于合同工程。</w:t>
      </w:r>
    </w:p>
    <w:p w14:paraId="4EB78A3D">
      <w:pPr>
        <w:spacing w:line="400" w:lineRule="exact"/>
        <w:ind w:firstLine="420" w:firstLineChars="200"/>
        <w:rPr>
          <w:rFonts w:hint="eastAsia"/>
        </w:rPr>
      </w:pPr>
      <w:r>
        <w:rPr>
          <w:rFonts w:hint="eastAsia"/>
        </w:rPr>
        <w:t xml:space="preserve">17.2.2 </w:t>
      </w:r>
      <w:r>
        <w:rPr>
          <w:rFonts w:hint="eastAsia" w:ascii="黑体" w:eastAsia="黑体"/>
        </w:rPr>
        <w:t>预付款保函</w:t>
      </w:r>
    </w:p>
    <w:p w14:paraId="327B0CC3">
      <w:pPr>
        <w:spacing w:line="400" w:lineRule="exact"/>
        <w:ind w:firstLine="420" w:firstLineChars="200"/>
        <w:rPr>
          <w:rFonts w:hint="eastAsia"/>
        </w:rPr>
      </w:pPr>
      <w:r>
        <w:rPr>
          <w:rFonts w:hint="eastAsia"/>
        </w:rPr>
        <w:t>除专用合同条款另有约定外，承包人应在收到预付款的同时向发包人提交预付款保函，预付款保函的担保金额应与预付款金额相同。保函的担保金额可根据预付款扣回的金额相应递减。</w:t>
      </w:r>
    </w:p>
    <w:p w14:paraId="067FDC2A">
      <w:pPr>
        <w:spacing w:line="400" w:lineRule="exact"/>
        <w:ind w:firstLine="420" w:firstLineChars="200"/>
        <w:rPr>
          <w:rFonts w:hint="eastAsia"/>
        </w:rPr>
      </w:pPr>
      <w:r>
        <w:rPr>
          <w:rFonts w:hint="eastAsia"/>
        </w:rPr>
        <w:t xml:space="preserve">17.2.3 </w:t>
      </w:r>
      <w:r>
        <w:rPr>
          <w:rFonts w:hint="eastAsia" w:ascii="黑体" w:eastAsia="黑体"/>
        </w:rPr>
        <w:t>预付款的扣回与还清</w:t>
      </w:r>
    </w:p>
    <w:p w14:paraId="259D858D">
      <w:pPr>
        <w:spacing w:line="400" w:lineRule="exact"/>
        <w:ind w:firstLine="420" w:firstLineChars="200"/>
        <w:rPr>
          <w:rFonts w:hint="eastAsia"/>
        </w:rPr>
      </w:pPr>
      <w:r>
        <w:rPr>
          <w:rFonts w:hint="eastAsia"/>
        </w:rPr>
        <w:t>预付款在进度付款中扣回，扣回办法在专用合同条款中约定。在颁发工程接收证书前，由于不可抗力或其他原因解除合同时，预付款尚未扣清的，尚未扣清的预付款余额应作为承包人的到期应付款。</w:t>
      </w:r>
    </w:p>
    <w:p w14:paraId="4B35F1D7">
      <w:pPr>
        <w:pStyle w:val="20"/>
        <w:rPr>
          <w:rFonts w:hint="eastAsia"/>
        </w:rPr>
      </w:pPr>
      <w:bookmarkStart w:id="1010" w:name="_Toc108513794"/>
      <w:bookmarkStart w:id="1011" w:name="_Toc152042500"/>
      <w:bookmarkStart w:id="1012" w:name="_Toc144974692"/>
      <w:bookmarkStart w:id="1013" w:name="_Toc179632739"/>
      <w:bookmarkStart w:id="1014" w:name="_Toc152045721"/>
      <w:r>
        <w:rPr>
          <w:rFonts w:hint="eastAsia"/>
        </w:rPr>
        <w:t>17.3 工程进度付款</w:t>
      </w:r>
      <w:bookmarkEnd w:id="1010"/>
      <w:bookmarkEnd w:id="1011"/>
      <w:bookmarkEnd w:id="1012"/>
      <w:bookmarkEnd w:id="1013"/>
      <w:bookmarkEnd w:id="1014"/>
    </w:p>
    <w:p w14:paraId="6728F474">
      <w:pPr>
        <w:spacing w:line="400" w:lineRule="exact"/>
        <w:ind w:firstLine="420" w:firstLineChars="200"/>
        <w:rPr>
          <w:rFonts w:hint="eastAsia"/>
        </w:rPr>
      </w:pPr>
      <w:r>
        <w:rPr>
          <w:rFonts w:hint="eastAsia"/>
        </w:rPr>
        <w:t xml:space="preserve">17.3.1 </w:t>
      </w:r>
      <w:r>
        <w:rPr>
          <w:rFonts w:hint="eastAsia" w:ascii="黑体" w:eastAsia="黑体"/>
        </w:rPr>
        <w:t>付款周期</w:t>
      </w:r>
    </w:p>
    <w:p w14:paraId="361A1D0C">
      <w:pPr>
        <w:spacing w:line="400" w:lineRule="exact"/>
        <w:ind w:firstLine="420" w:firstLineChars="200"/>
        <w:rPr>
          <w:rFonts w:hint="eastAsia"/>
        </w:rPr>
      </w:pPr>
      <w:r>
        <w:rPr>
          <w:rFonts w:hint="eastAsia"/>
        </w:rPr>
        <w:t>付款周期同计量周期。</w:t>
      </w:r>
    </w:p>
    <w:p w14:paraId="6CAED3D1">
      <w:pPr>
        <w:spacing w:line="400" w:lineRule="exact"/>
        <w:ind w:firstLine="420" w:firstLineChars="200"/>
        <w:rPr>
          <w:rFonts w:hint="eastAsia"/>
        </w:rPr>
      </w:pPr>
      <w:r>
        <w:rPr>
          <w:rFonts w:hint="eastAsia"/>
        </w:rPr>
        <w:t xml:space="preserve">17.3.2 </w:t>
      </w:r>
      <w:r>
        <w:rPr>
          <w:rFonts w:hint="eastAsia" w:ascii="黑体" w:eastAsia="黑体"/>
        </w:rPr>
        <w:t>进度付款申请单</w:t>
      </w:r>
    </w:p>
    <w:p w14:paraId="07F3631F">
      <w:pPr>
        <w:spacing w:line="400" w:lineRule="exact"/>
        <w:ind w:firstLine="420" w:firstLineChars="200"/>
        <w:rPr>
          <w:rFonts w:hint="eastAsia"/>
          <w:dstrike/>
          <w:szCs w:val="21"/>
        </w:rPr>
      </w:pPr>
      <w:r>
        <w:rPr>
          <w:rFonts w:hint="eastAsia"/>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15CCE00F">
      <w:pPr>
        <w:spacing w:line="400" w:lineRule="exact"/>
        <w:ind w:firstLine="420" w:firstLineChars="200"/>
        <w:rPr>
          <w:rFonts w:hint="eastAsia"/>
        </w:rPr>
      </w:pPr>
      <w:r>
        <w:rPr>
          <w:rFonts w:hint="eastAsia"/>
        </w:rPr>
        <w:t>（1）截至本次付款周期末已实施工程的价款；</w:t>
      </w:r>
    </w:p>
    <w:p w14:paraId="66A3147A">
      <w:pPr>
        <w:spacing w:line="400" w:lineRule="exact"/>
        <w:ind w:firstLine="420" w:firstLineChars="200"/>
        <w:rPr>
          <w:rFonts w:hint="eastAsia"/>
        </w:rPr>
      </w:pPr>
      <w:r>
        <w:rPr>
          <w:rFonts w:hint="eastAsia"/>
        </w:rPr>
        <w:t>（2）根据第15条应增加和扣减的变更金额；</w:t>
      </w:r>
    </w:p>
    <w:p w14:paraId="4F851B79">
      <w:pPr>
        <w:spacing w:line="400" w:lineRule="exact"/>
        <w:ind w:firstLine="420" w:firstLineChars="200"/>
        <w:rPr>
          <w:rFonts w:hint="eastAsia"/>
        </w:rPr>
      </w:pPr>
      <w:r>
        <w:rPr>
          <w:rFonts w:hint="eastAsia"/>
        </w:rPr>
        <w:t>（3）根据第23条应增加和扣减的索赔金额；</w:t>
      </w:r>
    </w:p>
    <w:p w14:paraId="412C6136">
      <w:pPr>
        <w:spacing w:line="400" w:lineRule="exact"/>
        <w:ind w:firstLine="420" w:firstLineChars="200"/>
        <w:rPr>
          <w:rFonts w:hint="eastAsia"/>
        </w:rPr>
      </w:pPr>
      <w:r>
        <w:rPr>
          <w:rFonts w:hint="eastAsia"/>
        </w:rPr>
        <w:t>（4）根据第17.2款约定应支付的预付款和扣减的返还预付款；</w:t>
      </w:r>
    </w:p>
    <w:p w14:paraId="4C4639DD">
      <w:pPr>
        <w:spacing w:line="400" w:lineRule="exact"/>
        <w:ind w:firstLine="420" w:firstLineChars="200"/>
        <w:rPr>
          <w:rFonts w:hint="eastAsia"/>
        </w:rPr>
      </w:pPr>
      <w:r>
        <w:rPr>
          <w:rFonts w:hint="eastAsia"/>
        </w:rPr>
        <w:t>（5）根据第17.4.1项约定应扣减的质量保证金；</w:t>
      </w:r>
    </w:p>
    <w:p w14:paraId="0FE014E4">
      <w:pPr>
        <w:spacing w:line="400" w:lineRule="exact"/>
        <w:ind w:firstLine="420" w:firstLineChars="200"/>
        <w:rPr>
          <w:rFonts w:hint="eastAsia"/>
        </w:rPr>
      </w:pPr>
      <w:r>
        <w:rPr>
          <w:rFonts w:hint="eastAsia"/>
        </w:rPr>
        <w:t>（6）根据合同应增加和扣减的其他金额。</w:t>
      </w:r>
    </w:p>
    <w:p w14:paraId="5E809CCB">
      <w:pPr>
        <w:spacing w:line="400" w:lineRule="exact"/>
        <w:ind w:firstLine="420" w:firstLineChars="200"/>
        <w:rPr>
          <w:rFonts w:hint="eastAsia"/>
        </w:rPr>
      </w:pPr>
      <w:r>
        <w:rPr>
          <w:rFonts w:hint="eastAsia"/>
        </w:rPr>
        <w:t xml:space="preserve">17.3.3 </w:t>
      </w:r>
      <w:r>
        <w:rPr>
          <w:rFonts w:hint="eastAsia" w:ascii="黑体" w:eastAsia="黑体"/>
        </w:rPr>
        <w:t>进度付款证书和支付时间</w:t>
      </w:r>
    </w:p>
    <w:p w14:paraId="070F6C8D">
      <w:pPr>
        <w:spacing w:line="400" w:lineRule="exact"/>
        <w:ind w:firstLine="630" w:firstLineChars="300"/>
        <w:rPr>
          <w:rFonts w:hint="eastAsia"/>
        </w:rPr>
      </w:pPr>
      <w:r>
        <w:rPr>
          <w:rFonts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7EF38CDE">
      <w:pPr>
        <w:spacing w:line="400" w:lineRule="exact"/>
        <w:ind w:firstLine="718" w:firstLineChars="342"/>
        <w:rPr>
          <w:rFonts w:hint="eastAsia"/>
        </w:rPr>
      </w:pPr>
      <w:r>
        <w:rPr>
          <w:rFonts w:hint="eastAsia"/>
        </w:rPr>
        <w:t>（2）发包人应在监理人收到进度付款申请单后的28天内，将进度应付款支付给承包人。发包人不按期支付的，按专用合同条款的约定支付逾期付款违约金。</w:t>
      </w:r>
    </w:p>
    <w:p w14:paraId="4DBAD3B5">
      <w:pPr>
        <w:spacing w:line="400" w:lineRule="exact"/>
        <w:ind w:firstLine="718" w:firstLineChars="342"/>
        <w:rPr>
          <w:rFonts w:hint="eastAsia"/>
        </w:rPr>
      </w:pPr>
      <w:r>
        <w:rPr>
          <w:rFonts w:hint="eastAsia"/>
        </w:rPr>
        <w:t>（3）监理人出具进度付款证书，不应视为监理人已同意、批准或接受了承包人完成的该部分工作。</w:t>
      </w:r>
    </w:p>
    <w:p w14:paraId="5949382A">
      <w:pPr>
        <w:spacing w:line="400" w:lineRule="exact"/>
        <w:ind w:firstLine="718" w:firstLineChars="342"/>
        <w:rPr>
          <w:rFonts w:hint="eastAsia"/>
        </w:rPr>
      </w:pPr>
      <w:r>
        <w:rPr>
          <w:rFonts w:hint="eastAsia"/>
        </w:rPr>
        <w:t>（4）进度付款涉及政府投资资金的，按照国库集中支付等国家相关规定和专用合同条款的约定办理。</w:t>
      </w:r>
    </w:p>
    <w:p w14:paraId="5C7ACF1C">
      <w:pPr>
        <w:spacing w:line="400" w:lineRule="exact"/>
        <w:ind w:firstLine="420" w:firstLineChars="200"/>
        <w:rPr>
          <w:rFonts w:hint="eastAsia"/>
        </w:rPr>
      </w:pPr>
      <w:r>
        <w:rPr>
          <w:rFonts w:hint="eastAsia"/>
        </w:rPr>
        <w:t xml:space="preserve">17.3.4 </w:t>
      </w:r>
      <w:r>
        <w:rPr>
          <w:rFonts w:hint="eastAsia" w:ascii="黑体" w:eastAsia="黑体"/>
        </w:rPr>
        <w:t>工程进度付款的修正</w:t>
      </w:r>
    </w:p>
    <w:p w14:paraId="11196AC2">
      <w:pPr>
        <w:spacing w:line="400" w:lineRule="exact"/>
        <w:ind w:firstLine="420" w:firstLineChars="200"/>
        <w:rPr>
          <w:rFonts w:hint="eastAsia"/>
        </w:rPr>
      </w:pPr>
      <w:r>
        <w:rPr>
          <w:rFonts w:hint="eastAsia"/>
        </w:rPr>
        <w:t>在对以往历次已签发的进度付款证书进行汇总和复核中发现错、漏或重复的，监理人有权予以修正，承包人也有权提出修正申请。经双方复核同意的修正，应在本次进度付款中支付或扣除。</w:t>
      </w:r>
    </w:p>
    <w:p w14:paraId="428A9D01">
      <w:pPr>
        <w:pStyle w:val="20"/>
        <w:rPr>
          <w:rFonts w:hint="eastAsia"/>
        </w:rPr>
      </w:pPr>
      <w:bookmarkStart w:id="1015" w:name="_Toc152045722"/>
      <w:bookmarkStart w:id="1016" w:name="_Toc144974693"/>
      <w:bookmarkStart w:id="1017" w:name="_Toc152042501"/>
      <w:bookmarkStart w:id="1018" w:name="_Toc179632740"/>
      <w:bookmarkStart w:id="1019" w:name="_Toc108513795"/>
      <w:r>
        <w:rPr>
          <w:rFonts w:hint="eastAsia"/>
        </w:rPr>
        <w:t xml:space="preserve">17.4 </w:t>
      </w:r>
      <w:bookmarkEnd w:id="1015"/>
      <w:bookmarkEnd w:id="1016"/>
      <w:bookmarkEnd w:id="1017"/>
      <w:r>
        <w:rPr>
          <w:rFonts w:hint="eastAsia"/>
        </w:rPr>
        <w:t>质量保证金</w:t>
      </w:r>
      <w:bookmarkEnd w:id="1018"/>
      <w:bookmarkEnd w:id="1019"/>
    </w:p>
    <w:p w14:paraId="4990874D">
      <w:pPr>
        <w:spacing w:line="400" w:lineRule="exact"/>
        <w:ind w:firstLine="420" w:firstLineChars="200"/>
        <w:rPr>
          <w:rFonts w:hint="eastAsia"/>
        </w:rPr>
      </w:pPr>
      <w:r>
        <w:rPr>
          <w:rFonts w:hint="eastAsia"/>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544508AD">
      <w:pPr>
        <w:spacing w:line="400" w:lineRule="exact"/>
        <w:ind w:firstLine="420" w:firstLineChars="200"/>
        <w:rPr>
          <w:rFonts w:hint="eastAsia"/>
        </w:rPr>
      </w:pPr>
      <w:r>
        <w:rPr>
          <w:rFonts w:hint="eastAsia"/>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26CE8139">
      <w:pPr>
        <w:spacing w:line="400" w:lineRule="exact"/>
        <w:ind w:firstLine="420" w:firstLineChars="200"/>
        <w:rPr>
          <w:rFonts w:hint="eastAsia"/>
        </w:rPr>
      </w:pPr>
      <w:r>
        <w:rPr>
          <w:rFonts w:hint="eastAsia"/>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3A3E0ED1">
      <w:pPr>
        <w:pStyle w:val="20"/>
        <w:rPr>
          <w:rFonts w:hint="eastAsia"/>
        </w:rPr>
      </w:pPr>
      <w:bookmarkStart w:id="1020" w:name="_Toc152042502"/>
      <w:bookmarkStart w:id="1021" w:name="_Toc108513796"/>
      <w:bookmarkStart w:id="1022" w:name="_Toc144974694"/>
      <w:bookmarkStart w:id="1023" w:name="_Toc179632741"/>
      <w:bookmarkStart w:id="1024" w:name="_Toc152045723"/>
      <w:r>
        <w:rPr>
          <w:rFonts w:hint="eastAsia"/>
        </w:rPr>
        <w:t>17.5 竣工结算</w:t>
      </w:r>
      <w:bookmarkEnd w:id="1020"/>
      <w:bookmarkEnd w:id="1021"/>
      <w:bookmarkEnd w:id="1022"/>
      <w:bookmarkEnd w:id="1023"/>
      <w:bookmarkEnd w:id="1024"/>
    </w:p>
    <w:p w14:paraId="16747A4F">
      <w:pPr>
        <w:spacing w:line="400" w:lineRule="exact"/>
        <w:ind w:firstLine="420" w:firstLineChars="200"/>
        <w:rPr>
          <w:rFonts w:hint="eastAsia"/>
        </w:rPr>
      </w:pPr>
      <w:r>
        <w:rPr>
          <w:rFonts w:hint="eastAsia"/>
        </w:rPr>
        <w:t xml:space="preserve">17.5.1 </w:t>
      </w:r>
      <w:r>
        <w:rPr>
          <w:rFonts w:hint="eastAsia" w:ascii="黑体" w:eastAsia="黑体"/>
        </w:rPr>
        <w:t>竣工付款申请单</w:t>
      </w:r>
    </w:p>
    <w:p w14:paraId="4B271E17">
      <w:pPr>
        <w:spacing w:line="400" w:lineRule="exact"/>
        <w:ind w:firstLine="718" w:firstLineChars="342"/>
        <w:rPr>
          <w:rFonts w:hint="eastAsia"/>
        </w:rPr>
      </w:pPr>
      <w:r>
        <w:rPr>
          <w:rFonts w:hint="eastAsia"/>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10A9B3A1">
      <w:pPr>
        <w:spacing w:line="400" w:lineRule="exact"/>
        <w:ind w:firstLine="718" w:firstLineChars="342"/>
        <w:rPr>
          <w:rFonts w:hint="eastAsia"/>
        </w:rPr>
      </w:pPr>
      <w:r>
        <w:rPr>
          <w:rFonts w:hint="eastAsia"/>
        </w:rPr>
        <w:t>（2）监理人对竣工付款申请单有异议的，有权要求承包人进行修正和提供补充资料。经监理人和承包人协商后，由承包人向监理人提交修正后的竣工付款申请单。</w:t>
      </w:r>
    </w:p>
    <w:p w14:paraId="0C2857D5">
      <w:pPr>
        <w:spacing w:line="400" w:lineRule="exact"/>
        <w:ind w:firstLine="420" w:firstLineChars="200"/>
        <w:rPr>
          <w:rFonts w:hint="eastAsia"/>
        </w:rPr>
      </w:pPr>
      <w:r>
        <w:rPr>
          <w:rFonts w:hint="eastAsia"/>
        </w:rPr>
        <w:t xml:space="preserve">17.5.2 </w:t>
      </w:r>
      <w:r>
        <w:rPr>
          <w:rFonts w:hint="eastAsia" w:ascii="黑体" w:eastAsia="黑体"/>
        </w:rPr>
        <w:t>竣工付款证书及支付时间</w:t>
      </w:r>
    </w:p>
    <w:p w14:paraId="5CFD478F">
      <w:pPr>
        <w:spacing w:line="400" w:lineRule="exact"/>
        <w:ind w:firstLine="718" w:firstLineChars="342"/>
        <w:rPr>
          <w:rFonts w:hint="eastAsia"/>
        </w:rPr>
      </w:pPr>
      <w:r>
        <w:rPr>
          <w:rFonts w:hint="eastAsia"/>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76DA977E">
      <w:pPr>
        <w:spacing w:line="400" w:lineRule="exact"/>
        <w:ind w:firstLine="718" w:firstLineChars="342"/>
        <w:rPr>
          <w:rFonts w:hint="eastAsia"/>
        </w:rPr>
      </w:pPr>
      <w:r>
        <w:rPr>
          <w:rFonts w:hint="eastAsia"/>
        </w:rPr>
        <w:t>（2）发包人应在监理人出具竣工付款证书后的14天内，将应支付款支付给承包人。发包人不按期支付的，按第17.3.3（2）目的约定，将逾期付款违约金支付给承包人。</w:t>
      </w:r>
    </w:p>
    <w:p w14:paraId="6D735001">
      <w:pPr>
        <w:spacing w:line="400" w:lineRule="exact"/>
        <w:ind w:firstLine="718" w:firstLineChars="342"/>
        <w:rPr>
          <w:rFonts w:hint="eastAsia"/>
        </w:rPr>
      </w:pPr>
      <w:r>
        <w:rPr>
          <w:rFonts w:hint="eastAsia"/>
        </w:rPr>
        <w:t>（3）承包人对发包人签认的竣工付款证书有异议的，发包人可出具竣工付款申请单中承包人已同意部分的临时付款证书。存在争议的部分，按第24条的约定办理。</w:t>
      </w:r>
    </w:p>
    <w:p w14:paraId="62EEF1E9">
      <w:pPr>
        <w:spacing w:line="400" w:lineRule="exact"/>
        <w:ind w:firstLine="630" w:firstLineChars="300"/>
        <w:rPr>
          <w:rFonts w:hint="eastAsia"/>
        </w:rPr>
      </w:pPr>
      <w:r>
        <w:rPr>
          <w:rFonts w:hint="eastAsia"/>
        </w:rPr>
        <w:t>（4）竣工付款涉及政府投资资金的，按第17.3.3（４）目的约定办理。</w:t>
      </w:r>
    </w:p>
    <w:p w14:paraId="617EACD7">
      <w:pPr>
        <w:pStyle w:val="20"/>
        <w:rPr>
          <w:rFonts w:hint="eastAsia"/>
        </w:rPr>
      </w:pPr>
      <w:bookmarkStart w:id="1025" w:name="_Toc152042503"/>
      <w:bookmarkStart w:id="1026" w:name="_Toc179632742"/>
      <w:bookmarkStart w:id="1027" w:name="_Toc108513797"/>
      <w:bookmarkStart w:id="1028" w:name="_Toc152045724"/>
      <w:bookmarkStart w:id="1029" w:name="_Toc144974695"/>
      <w:r>
        <w:rPr>
          <w:rFonts w:hint="eastAsia"/>
        </w:rPr>
        <w:t>17.6 最终结清</w:t>
      </w:r>
      <w:bookmarkEnd w:id="1025"/>
      <w:bookmarkEnd w:id="1026"/>
      <w:bookmarkEnd w:id="1027"/>
      <w:bookmarkEnd w:id="1028"/>
      <w:bookmarkEnd w:id="1029"/>
    </w:p>
    <w:p w14:paraId="5A537E78">
      <w:pPr>
        <w:spacing w:line="400" w:lineRule="exact"/>
        <w:ind w:firstLine="420" w:firstLineChars="200"/>
        <w:rPr>
          <w:rFonts w:hint="eastAsia"/>
        </w:rPr>
      </w:pPr>
      <w:r>
        <w:rPr>
          <w:rFonts w:hint="eastAsia"/>
        </w:rPr>
        <w:t xml:space="preserve">17.6.1 </w:t>
      </w:r>
      <w:r>
        <w:rPr>
          <w:rFonts w:hint="eastAsia" w:ascii="黑体" w:eastAsia="黑体"/>
        </w:rPr>
        <w:t>最终结清申请单</w:t>
      </w:r>
    </w:p>
    <w:p w14:paraId="0DF1D713">
      <w:pPr>
        <w:spacing w:line="400" w:lineRule="exact"/>
        <w:ind w:firstLine="718" w:firstLineChars="342"/>
        <w:rPr>
          <w:rFonts w:hint="eastAsia"/>
        </w:rPr>
      </w:pPr>
      <w:r>
        <w:rPr>
          <w:rFonts w:hint="eastAsia"/>
        </w:rPr>
        <w:t>（1）缺陷责任期终止证书签发后，承包人可按专用合同条款约定的份数和期限向监理人提交最终结清申请单，并提供相关证明材料。</w:t>
      </w:r>
    </w:p>
    <w:p w14:paraId="51553CA5">
      <w:pPr>
        <w:spacing w:line="400" w:lineRule="exact"/>
        <w:ind w:firstLine="718" w:firstLineChars="342"/>
        <w:rPr>
          <w:rFonts w:hint="eastAsia"/>
        </w:rPr>
      </w:pPr>
      <w:r>
        <w:rPr>
          <w:rFonts w:hint="eastAsia"/>
        </w:rPr>
        <w:t>（2）发包人对最终结清申请单内容有异议的，有权要求承包人进行修正和提供补充资料，由承包人向监理人提交修正后的最终结清申请单。</w:t>
      </w:r>
    </w:p>
    <w:p w14:paraId="14C5E3BC">
      <w:pPr>
        <w:spacing w:line="400" w:lineRule="exact"/>
        <w:ind w:firstLine="420" w:firstLineChars="200"/>
        <w:rPr>
          <w:rFonts w:hint="eastAsia"/>
        </w:rPr>
      </w:pPr>
      <w:r>
        <w:rPr>
          <w:rFonts w:hint="eastAsia"/>
        </w:rPr>
        <w:t xml:space="preserve">17.6.2 </w:t>
      </w:r>
      <w:r>
        <w:rPr>
          <w:rFonts w:hint="eastAsia" w:ascii="黑体" w:eastAsia="黑体"/>
        </w:rPr>
        <w:t>最终结清证书和支付时间</w:t>
      </w:r>
    </w:p>
    <w:p w14:paraId="6717A15A">
      <w:pPr>
        <w:spacing w:line="400" w:lineRule="exact"/>
        <w:ind w:firstLine="718" w:firstLineChars="342"/>
        <w:rPr>
          <w:rFonts w:hint="eastAsia"/>
        </w:rPr>
      </w:pPr>
      <w:r>
        <w:rPr>
          <w:rFonts w:hint="eastAsi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72306733">
      <w:pPr>
        <w:spacing w:line="400" w:lineRule="exact"/>
        <w:ind w:firstLine="718" w:firstLineChars="342"/>
        <w:rPr>
          <w:rFonts w:hint="eastAsia"/>
        </w:rPr>
      </w:pPr>
      <w:r>
        <w:rPr>
          <w:rFonts w:hint="eastAsia"/>
        </w:rPr>
        <w:t>（2）发包人应在监理人出具最终结清证书后的14天内，将应支付款支付给承包人。发包人不按期支付的，按第17.3.3（2）目的约定，将逾期付款违约金支付给承包人。</w:t>
      </w:r>
    </w:p>
    <w:p w14:paraId="32CE03C3">
      <w:pPr>
        <w:spacing w:line="400" w:lineRule="exact"/>
        <w:ind w:firstLine="718" w:firstLineChars="342"/>
        <w:rPr>
          <w:rFonts w:hint="eastAsia"/>
        </w:rPr>
      </w:pPr>
      <w:r>
        <w:rPr>
          <w:rFonts w:hint="eastAsia"/>
        </w:rPr>
        <w:t>（3）承包人对发包人签认的最终结清证书有异议的，按第24条的约定办理。</w:t>
      </w:r>
    </w:p>
    <w:p w14:paraId="5FB8A24C">
      <w:pPr>
        <w:spacing w:line="400" w:lineRule="exact"/>
        <w:ind w:firstLine="718" w:firstLineChars="342"/>
        <w:rPr>
          <w:rFonts w:hint="eastAsia"/>
        </w:rPr>
      </w:pPr>
      <w:r>
        <w:rPr>
          <w:rFonts w:hint="eastAsia"/>
        </w:rPr>
        <w:t>（4）最终结清付款涉及政府投资资金的，按第17.3.3（４）目的约定办理。</w:t>
      </w:r>
    </w:p>
    <w:p w14:paraId="4ABAD385">
      <w:pPr>
        <w:pStyle w:val="18"/>
        <w:rPr>
          <w:rFonts w:hint="eastAsia"/>
        </w:rPr>
      </w:pPr>
      <w:bookmarkStart w:id="1030" w:name="_Toc179632743"/>
      <w:bookmarkStart w:id="1031" w:name="_Toc152045725"/>
      <w:bookmarkStart w:id="1032" w:name="_Toc152042504"/>
      <w:bookmarkStart w:id="1033" w:name="_Toc108513798"/>
      <w:bookmarkStart w:id="1034" w:name="_Toc144974696"/>
      <w:r>
        <w:rPr>
          <w:rFonts w:hint="eastAsia"/>
        </w:rPr>
        <w:t>18. 竣工验收</w:t>
      </w:r>
      <w:bookmarkEnd w:id="1030"/>
      <w:bookmarkEnd w:id="1031"/>
      <w:bookmarkEnd w:id="1032"/>
      <w:bookmarkEnd w:id="1033"/>
      <w:bookmarkEnd w:id="1034"/>
    </w:p>
    <w:p w14:paraId="18954DA9">
      <w:pPr>
        <w:pStyle w:val="20"/>
        <w:rPr>
          <w:rFonts w:hint="eastAsia"/>
        </w:rPr>
      </w:pPr>
      <w:bookmarkStart w:id="1035" w:name="_Toc108513799"/>
      <w:bookmarkStart w:id="1036" w:name="_Toc152042505"/>
      <w:bookmarkStart w:id="1037" w:name="_Toc152045726"/>
      <w:bookmarkStart w:id="1038" w:name="_Toc144974697"/>
      <w:bookmarkStart w:id="1039" w:name="_Toc179632744"/>
      <w:r>
        <w:rPr>
          <w:rFonts w:hint="eastAsia"/>
        </w:rPr>
        <w:t>18.1 竣工验收的含义</w:t>
      </w:r>
      <w:bookmarkEnd w:id="1035"/>
      <w:bookmarkEnd w:id="1036"/>
      <w:bookmarkEnd w:id="1037"/>
      <w:bookmarkEnd w:id="1038"/>
      <w:bookmarkEnd w:id="1039"/>
    </w:p>
    <w:p w14:paraId="5180F353">
      <w:pPr>
        <w:spacing w:line="400" w:lineRule="exact"/>
        <w:ind w:firstLine="420" w:firstLineChars="200"/>
        <w:rPr>
          <w:rFonts w:hint="eastAsia"/>
        </w:rPr>
      </w:pPr>
      <w:r>
        <w:rPr>
          <w:rFonts w:hint="eastAsia"/>
        </w:rPr>
        <w:t>18.1.1 竣工验收指承包人完成了全部合同工作后，发包人按合同要求进行的验收。</w:t>
      </w:r>
    </w:p>
    <w:p w14:paraId="070B275D">
      <w:pPr>
        <w:spacing w:line="400" w:lineRule="exact"/>
        <w:ind w:firstLine="420" w:firstLineChars="200"/>
        <w:rPr>
          <w:rFonts w:hint="eastAsia"/>
        </w:rPr>
      </w:pPr>
      <w:r>
        <w:rPr>
          <w:rFonts w:hint="eastAsia"/>
        </w:rPr>
        <w:t>18.1.2 国家验收是政府有关部门根据法律、规范、规程和政策要求，针对发包人全面组织实施的整个工程正式交付投运前的验收。</w:t>
      </w:r>
    </w:p>
    <w:p w14:paraId="23228AEF">
      <w:pPr>
        <w:spacing w:line="400" w:lineRule="exact"/>
        <w:ind w:firstLine="420" w:firstLineChars="200"/>
        <w:rPr>
          <w:rFonts w:hint="eastAsia"/>
        </w:rPr>
      </w:pPr>
      <w:r>
        <w:rPr>
          <w:rFonts w:hint="eastAsia"/>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03D252A3">
      <w:pPr>
        <w:pStyle w:val="20"/>
        <w:rPr>
          <w:rFonts w:hint="eastAsia"/>
        </w:rPr>
      </w:pPr>
      <w:bookmarkStart w:id="1040" w:name="_Toc108513800"/>
      <w:bookmarkStart w:id="1041" w:name="_Toc152045727"/>
      <w:bookmarkStart w:id="1042" w:name="_Toc152042506"/>
      <w:bookmarkStart w:id="1043" w:name="_Toc144974698"/>
      <w:bookmarkStart w:id="1044" w:name="_Toc179632745"/>
      <w:r>
        <w:rPr>
          <w:rFonts w:hint="eastAsia"/>
        </w:rPr>
        <w:t>18.2 竣工验收申请报告</w:t>
      </w:r>
      <w:bookmarkEnd w:id="1040"/>
      <w:bookmarkEnd w:id="1041"/>
      <w:bookmarkEnd w:id="1042"/>
      <w:bookmarkEnd w:id="1043"/>
      <w:bookmarkEnd w:id="1044"/>
    </w:p>
    <w:p w14:paraId="71B50213">
      <w:pPr>
        <w:spacing w:line="400" w:lineRule="exact"/>
        <w:ind w:firstLine="420" w:firstLineChars="200"/>
        <w:rPr>
          <w:rFonts w:hint="eastAsia"/>
        </w:rPr>
      </w:pPr>
      <w:r>
        <w:rPr>
          <w:rFonts w:hint="eastAsia"/>
        </w:rPr>
        <w:t>当工程具备以下条件时，承包人即可向监理人报送竣工验收申请报告：</w:t>
      </w:r>
    </w:p>
    <w:p w14:paraId="1D7E5F61">
      <w:pPr>
        <w:spacing w:line="400" w:lineRule="exact"/>
        <w:ind w:firstLine="359" w:firstLineChars="171"/>
        <w:rPr>
          <w:rFonts w:hint="eastAsia"/>
        </w:rPr>
      </w:pPr>
      <w:r>
        <w:rPr>
          <w:rFonts w:hint="eastAsia"/>
        </w:rPr>
        <w:t>（1）除监理人同意列入缺陷责任期内完成的尾工（甩项）工程和缺陷修补工作外，合同范围内的全部单位工程以及有关工作，包括合同要求的试验、试运行以及检验和验收均已完成，并符合合同要求；</w:t>
      </w:r>
    </w:p>
    <w:p w14:paraId="0522EA16">
      <w:pPr>
        <w:spacing w:line="400" w:lineRule="exact"/>
        <w:ind w:firstLine="359" w:firstLineChars="171"/>
        <w:rPr>
          <w:rFonts w:hint="eastAsia"/>
        </w:rPr>
      </w:pPr>
      <w:r>
        <w:rPr>
          <w:rFonts w:hint="eastAsia"/>
        </w:rPr>
        <w:t xml:space="preserve">（2）已按合同约定的内容和份数备齐了符合要求的竣工资料； </w:t>
      </w:r>
    </w:p>
    <w:p w14:paraId="29647D2A">
      <w:pPr>
        <w:spacing w:line="400" w:lineRule="exact"/>
        <w:ind w:firstLine="359" w:firstLineChars="171"/>
        <w:rPr>
          <w:rFonts w:hint="eastAsia"/>
        </w:rPr>
      </w:pPr>
      <w:r>
        <w:rPr>
          <w:rFonts w:hint="eastAsia"/>
        </w:rPr>
        <w:t>（3）已按监理人的要求编制了在缺陷责任期内完成的尾工（甩项）工程和缺陷修补工作清单以及相应施工计划；</w:t>
      </w:r>
    </w:p>
    <w:p w14:paraId="0186537D">
      <w:pPr>
        <w:spacing w:line="400" w:lineRule="exact"/>
        <w:ind w:firstLine="359" w:firstLineChars="171"/>
        <w:rPr>
          <w:rFonts w:hint="eastAsia"/>
        </w:rPr>
      </w:pPr>
      <w:r>
        <w:rPr>
          <w:rFonts w:hint="eastAsia"/>
        </w:rPr>
        <w:t>（4）监理人要求在竣工验收前应完成的其他工作；</w:t>
      </w:r>
    </w:p>
    <w:p w14:paraId="256F7EB8">
      <w:pPr>
        <w:spacing w:line="400" w:lineRule="exact"/>
        <w:ind w:firstLine="359" w:firstLineChars="171"/>
        <w:rPr>
          <w:rFonts w:hint="eastAsia"/>
        </w:rPr>
      </w:pPr>
      <w:r>
        <w:rPr>
          <w:rFonts w:hint="eastAsia"/>
        </w:rPr>
        <w:t>（5）监理人要求提交的竣工验收资料清单。</w:t>
      </w:r>
    </w:p>
    <w:p w14:paraId="77E55292">
      <w:pPr>
        <w:pStyle w:val="20"/>
        <w:rPr>
          <w:rFonts w:hint="eastAsia"/>
        </w:rPr>
      </w:pPr>
      <w:bookmarkStart w:id="1045" w:name="_Toc152045728"/>
      <w:bookmarkStart w:id="1046" w:name="_Toc179632746"/>
      <w:bookmarkStart w:id="1047" w:name="_Toc108513801"/>
      <w:bookmarkStart w:id="1048" w:name="_Toc144974699"/>
      <w:bookmarkStart w:id="1049" w:name="_Toc152042507"/>
      <w:r>
        <w:rPr>
          <w:rFonts w:hint="eastAsia"/>
        </w:rPr>
        <w:t>18.3 验收</w:t>
      </w:r>
      <w:bookmarkEnd w:id="1045"/>
      <w:bookmarkEnd w:id="1046"/>
      <w:bookmarkEnd w:id="1047"/>
      <w:bookmarkEnd w:id="1048"/>
      <w:bookmarkEnd w:id="1049"/>
    </w:p>
    <w:p w14:paraId="506AEFDA">
      <w:pPr>
        <w:spacing w:line="400" w:lineRule="exact"/>
        <w:ind w:firstLine="420" w:firstLineChars="200"/>
        <w:rPr>
          <w:rFonts w:hint="eastAsia"/>
        </w:rPr>
      </w:pPr>
      <w:r>
        <w:rPr>
          <w:rFonts w:hint="eastAsia"/>
        </w:rPr>
        <w:t>监理人收到承包人按第18.2款约定提交的竣工验收申请报告后，应审查申请报告的各项内容，并按以下不同情况进行处理。</w:t>
      </w:r>
    </w:p>
    <w:p w14:paraId="45DE28C3">
      <w:pPr>
        <w:spacing w:line="400" w:lineRule="exact"/>
        <w:ind w:firstLine="420" w:firstLineChars="200"/>
        <w:rPr>
          <w:rFonts w:hint="eastAsia"/>
        </w:rPr>
      </w:pPr>
      <w:r>
        <w:rPr>
          <w:rFonts w:hint="eastAsia"/>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3E7FC911">
      <w:pPr>
        <w:spacing w:line="400" w:lineRule="exact"/>
        <w:ind w:firstLine="420" w:firstLineChars="200"/>
        <w:rPr>
          <w:rFonts w:hint="eastAsia"/>
        </w:rPr>
      </w:pPr>
      <w:r>
        <w:rPr>
          <w:rFonts w:hint="eastAsia"/>
        </w:rPr>
        <w:t>18.3.2 监理人审查后认为已具备竣工验收条件的，应在收到竣工验收申请报告后的28天内提请发包人进行工程验收。</w:t>
      </w:r>
    </w:p>
    <w:p w14:paraId="5753BEBF">
      <w:pPr>
        <w:spacing w:line="400" w:lineRule="exact"/>
        <w:ind w:firstLine="420" w:firstLineChars="200"/>
        <w:rPr>
          <w:rFonts w:hint="eastAsia"/>
        </w:rPr>
      </w:pPr>
      <w:r>
        <w:rPr>
          <w:rFonts w:hint="eastAsia"/>
        </w:rPr>
        <w:t>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1FAF6E5A">
      <w:pPr>
        <w:spacing w:line="400" w:lineRule="exact"/>
        <w:ind w:firstLine="420" w:firstLineChars="200"/>
        <w:rPr>
          <w:rFonts w:hint="eastAsia"/>
        </w:rPr>
      </w:pPr>
      <w:r>
        <w:rPr>
          <w:rFonts w:hint="eastAsia"/>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4FDED6FB">
      <w:pPr>
        <w:spacing w:line="400" w:lineRule="exact"/>
        <w:ind w:firstLine="420" w:firstLineChars="200"/>
        <w:rPr>
          <w:rFonts w:hint="eastAsia"/>
        </w:rPr>
      </w:pPr>
      <w:r>
        <w:rPr>
          <w:rFonts w:hint="eastAsia"/>
        </w:rPr>
        <w:t>18.3.5 除专用合同条款另有约定外，经验收合格工程的实际竣工日期，以提交竣工验收申请报告的日期为准，并在工程接收证书中写明。</w:t>
      </w:r>
    </w:p>
    <w:p w14:paraId="3DE28C0A">
      <w:pPr>
        <w:spacing w:line="400" w:lineRule="exact"/>
        <w:ind w:firstLine="420" w:firstLineChars="200"/>
        <w:rPr>
          <w:rFonts w:hint="eastAsia"/>
        </w:rPr>
      </w:pPr>
      <w:r>
        <w:rPr>
          <w:rFonts w:hint="eastAsia"/>
        </w:rPr>
        <w:t>18.3.6 发包人在收到承包人竣工验收申请报告56天后未进行验收的，视为验收合格，实际竣工日期以提交竣工验收申请报告的日期为准，但发包人由于不可抗力不能进行验收的除外。</w:t>
      </w:r>
    </w:p>
    <w:p w14:paraId="48C867A7">
      <w:pPr>
        <w:pStyle w:val="20"/>
        <w:rPr>
          <w:rFonts w:hint="eastAsia"/>
        </w:rPr>
      </w:pPr>
      <w:bookmarkStart w:id="1050" w:name="_Toc144974700"/>
      <w:bookmarkStart w:id="1051" w:name="_Toc152042508"/>
      <w:bookmarkStart w:id="1052" w:name="_Toc179632747"/>
      <w:bookmarkStart w:id="1053" w:name="_Toc108513802"/>
      <w:bookmarkStart w:id="1054" w:name="_Toc152045729"/>
      <w:r>
        <w:rPr>
          <w:rFonts w:hint="eastAsia"/>
        </w:rPr>
        <w:t>18.4 单位工程验收</w:t>
      </w:r>
      <w:bookmarkEnd w:id="1050"/>
      <w:bookmarkEnd w:id="1051"/>
      <w:bookmarkEnd w:id="1052"/>
      <w:bookmarkEnd w:id="1053"/>
      <w:bookmarkEnd w:id="1054"/>
    </w:p>
    <w:p w14:paraId="1D17EEBE">
      <w:pPr>
        <w:spacing w:line="400" w:lineRule="exact"/>
        <w:ind w:firstLine="420" w:firstLineChars="200"/>
        <w:rPr>
          <w:rFonts w:hint="eastAsia"/>
        </w:rPr>
      </w:pPr>
      <w:r>
        <w:rPr>
          <w:rFonts w:hint="eastAsia"/>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2A1A5332">
      <w:pPr>
        <w:spacing w:line="400" w:lineRule="exact"/>
        <w:ind w:firstLine="420" w:firstLineChars="200"/>
        <w:rPr>
          <w:rFonts w:hint="eastAsia"/>
        </w:rPr>
      </w:pPr>
      <w:r>
        <w:rPr>
          <w:rFonts w:hint="eastAsia"/>
        </w:rPr>
        <w:t>18.4.2 发包人在全部工程竣工前，使用已接收的单位工程导致承包人费用增加的，发包人应承担由此增加的费用和（或）工期延误，并支付承包人合理利润。</w:t>
      </w:r>
    </w:p>
    <w:p w14:paraId="3DDBB2FF">
      <w:pPr>
        <w:pStyle w:val="20"/>
        <w:rPr>
          <w:rFonts w:hint="eastAsia"/>
        </w:rPr>
      </w:pPr>
      <w:bookmarkStart w:id="1055" w:name="_Toc179632748"/>
      <w:bookmarkStart w:id="1056" w:name="_Toc144974701"/>
      <w:bookmarkStart w:id="1057" w:name="_Toc152042509"/>
      <w:bookmarkStart w:id="1058" w:name="_Toc152045730"/>
      <w:bookmarkStart w:id="1059" w:name="_Toc108513803"/>
      <w:r>
        <w:rPr>
          <w:rFonts w:hint="eastAsia"/>
        </w:rPr>
        <w:t>18.5 施工期运行</w:t>
      </w:r>
      <w:bookmarkEnd w:id="1055"/>
      <w:bookmarkEnd w:id="1056"/>
      <w:bookmarkEnd w:id="1057"/>
      <w:bookmarkEnd w:id="1058"/>
      <w:bookmarkEnd w:id="1059"/>
    </w:p>
    <w:p w14:paraId="07EE6CA1">
      <w:pPr>
        <w:spacing w:line="400" w:lineRule="exact"/>
        <w:ind w:firstLine="420" w:firstLineChars="200"/>
        <w:rPr>
          <w:rFonts w:hint="eastAsia"/>
        </w:rPr>
      </w:pPr>
      <w:r>
        <w:rPr>
          <w:rFonts w:hint="eastAsia"/>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6ADC0386">
      <w:pPr>
        <w:spacing w:line="400" w:lineRule="exact"/>
        <w:ind w:firstLine="420" w:firstLineChars="200"/>
        <w:rPr>
          <w:rFonts w:hint="eastAsia"/>
        </w:rPr>
      </w:pPr>
      <w:r>
        <w:rPr>
          <w:rFonts w:hint="eastAsia"/>
        </w:rPr>
        <w:t>18.5.2 在施工期运行中发现工程或工程设备损坏或存在缺陷的，由承包人按第19.2款约定进行修复。</w:t>
      </w:r>
    </w:p>
    <w:p w14:paraId="7EBACBC9">
      <w:pPr>
        <w:pStyle w:val="20"/>
        <w:rPr>
          <w:rFonts w:hint="eastAsia"/>
        </w:rPr>
      </w:pPr>
      <w:bookmarkStart w:id="1060" w:name="_Toc152045731"/>
      <w:bookmarkStart w:id="1061" w:name="_Toc144974702"/>
      <w:bookmarkStart w:id="1062" w:name="_Toc108513804"/>
      <w:bookmarkStart w:id="1063" w:name="_Toc152042510"/>
      <w:bookmarkStart w:id="1064" w:name="_Toc179632749"/>
      <w:r>
        <w:rPr>
          <w:rFonts w:hint="eastAsia"/>
        </w:rPr>
        <w:t>18.6 试运行</w:t>
      </w:r>
      <w:bookmarkEnd w:id="1060"/>
      <w:bookmarkEnd w:id="1061"/>
      <w:bookmarkEnd w:id="1062"/>
      <w:bookmarkEnd w:id="1063"/>
      <w:bookmarkEnd w:id="1064"/>
    </w:p>
    <w:p w14:paraId="003268E1">
      <w:pPr>
        <w:spacing w:line="400" w:lineRule="exact"/>
        <w:ind w:firstLine="420" w:firstLineChars="200"/>
        <w:rPr>
          <w:rFonts w:hint="eastAsia"/>
        </w:rPr>
      </w:pPr>
      <w:r>
        <w:rPr>
          <w:rFonts w:hint="eastAsia"/>
        </w:rPr>
        <w:t>18.6.1 除专用合同条款另有约定外，承包人应按专用合同条款约定进行工程及工程设备试运行，负责提供试运行所需的人员、器材和必要的条件，并承担全部试运行费用。</w:t>
      </w:r>
    </w:p>
    <w:p w14:paraId="2EEA9EE5">
      <w:pPr>
        <w:spacing w:line="400" w:lineRule="exact"/>
        <w:ind w:firstLine="420" w:firstLineChars="200"/>
        <w:rPr>
          <w:rFonts w:hint="eastAsia"/>
        </w:rPr>
      </w:pPr>
      <w:r>
        <w:rPr>
          <w:rFonts w:hint="eastAsia"/>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083F1C09">
      <w:pPr>
        <w:pStyle w:val="20"/>
        <w:rPr>
          <w:rFonts w:hint="eastAsia"/>
        </w:rPr>
      </w:pPr>
      <w:bookmarkStart w:id="1065" w:name="_Toc179632750"/>
      <w:bookmarkStart w:id="1066" w:name="_Toc152045732"/>
      <w:bookmarkStart w:id="1067" w:name="_Toc108513805"/>
      <w:bookmarkStart w:id="1068" w:name="_Toc152042511"/>
      <w:bookmarkStart w:id="1069" w:name="_Toc144974703"/>
      <w:r>
        <w:rPr>
          <w:rFonts w:hint="eastAsia"/>
        </w:rPr>
        <w:t>18.7 竣工清场</w:t>
      </w:r>
      <w:bookmarkEnd w:id="1065"/>
      <w:bookmarkEnd w:id="1066"/>
      <w:bookmarkEnd w:id="1067"/>
      <w:bookmarkEnd w:id="1068"/>
      <w:bookmarkEnd w:id="1069"/>
    </w:p>
    <w:p w14:paraId="12370AEB">
      <w:pPr>
        <w:spacing w:line="400" w:lineRule="exact"/>
        <w:ind w:firstLine="420" w:firstLineChars="200"/>
        <w:rPr>
          <w:rFonts w:hint="eastAsia"/>
        </w:rPr>
      </w:pPr>
      <w:r>
        <w:rPr>
          <w:rFonts w:hint="eastAsia"/>
        </w:rPr>
        <w:t>18.7.1 除合同另有约定外，工程接收证书颁发后，承包人应按以下要求对施工场地进行清理，直至监理人检验合格为止。竣工清场费用由承包人承担。</w:t>
      </w:r>
    </w:p>
    <w:p w14:paraId="773D8DA0">
      <w:pPr>
        <w:spacing w:line="400" w:lineRule="exact"/>
        <w:ind w:firstLine="718" w:firstLineChars="342"/>
        <w:rPr>
          <w:rFonts w:hint="eastAsia"/>
        </w:rPr>
      </w:pPr>
      <w:r>
        <w:rPr>
          <w:rFonts w:hint="eastAsia"/>
        </w:rPr>
        <w:t>（1）施工场地内残留的垃圾已全部清除出场；</w:t>
      </w:r>
    </w:p>
    <w:p w14:paraId="2EC2BDCA">
      <w:pPr>
        <w:spacing w:line="400" w:lineRule="exact"/>
        <w:ind w:firstLine="718" w:firstLineChars="342"/>
        <w:rPr>
          <w:rFonts w:hint="eastAsia"/>
        </w:rPr>
      </w:pPr>
      <w:r>
        <w:rPr>
          <w:rFonts w:hint="eastAsia"/>
        </w:rPr>
        <w:t>（2）临时工程已拆除，场地已按合同要求进行清理、平整或复原；</w:t>
      </w:r>
    </w:p>
    <w:p w14:paraId="395235A4">
      <w:pPr>
        <w:spacing w:line="400" w:lineRule="exact"/>
        <w:ind w:firstLine="718" w:firstLineChars="342"/>
        <w:rPr>
          <w:rFonts w:hint="eastAsia"/>
        </w:rPr>
      </w:pPr>
      <w:r>
        <w:rPr>
          <w:rFonts w:hint="eastAsia"/>
        </w:rPr>
        <w:t>（3）按合同约定应撤离的承包人设备和剩余的材料，包括废弃的施工设备和材料，已按计划撤离施工场地；</w:t>
      </w:r>
    </w:p>
    <w:p w14:paraId="6768FDDB">
      <w:pPr>
        <w:spacing w:line="400" w:lineRule="exact"/>
        <w:ind w:firstLine="718" w:firstLineChars="342"/>
        <w:rPr>
          <w:rFonts w:hint="eastAsia"/>
        </w:rPr>
      </w:pPr>
      <w:r>
        <w:rPr>
          <w:rFonts w:hint="eastAsia"/>
        </w:rPr>
        <w:t>（4）工程建筑物周边及其附近道路、河道的施工堆积物，已按监理人指示全部清理；</w:t>
      </w:r>
    </w:p>
    <w:p w14:paraId="01F3973F">
      <w:pPr>
        <w:spacing w:line="400" w:lineRule="exact"/>
        <w:ind w:firstLine="718" w:firstLineChars="342"/>
        <w:rPr>
          <w:rFonts w:hint="eastAsia"/>
        </w:rPr>
      </w:pPr>
      <w:r>
        <w:rPr>
          <w:rFonts w:hint="eastAsia"/>
        </w:rPr>
        <w:t>（5）监理人指示的其他场地清理工作已全部完成。</w:t>
      </w:r>
    </w:p>
    <w:p w14:paraId="17A32D93">
      <w:pPr>
        <w:spacing w:line="400" w:lineRule="exact"/>
        <w:ind w:firstLine="420" w:firstLineChars="200"/>
        <w:rPr>
          <w:rFonts w:hint="eastAsia"/>
        </w:rPr>
      </w:pPr>
      <w:r>
        <w:rPr>
          <w:rFonts w:hint="eastAsia"/>
        </w:rPr>
        <w:t>18.7.2 承包人未按监理人的要求恢复临时占地，或者场地清理未达到合同约定的，发包人有权委托其他人恢复或清理，所发生的金额从拟支付给承包人的款项中扣除。</w:t>
      </w:r>
    </w:p>
    <w:p w14:paraId="51486F5F">
      <w:pPr>
        <w:pStyle w:val="20"/>
        <w:rPr>
          <w:rFonts w:hint="eastAsia"/>
        </w:rPr>
      </w:pPr>
      <w:bookmarkStart w:id="1070" w:name="_Toc144974704"/>
      <w:bookmarkStart w:id="1071" w:name="_Toc108513806"/>
      <w:bookmarkStart w:id="1072" w:name="_Toc179632751"/>
      <w:bookmarkStart w:id="1073" w:name="_Toc152042512"/>
      <w:bookmarkStart w:id="1074" w:name="_Toc152045733"/>
      <w:r>
        <w:rPr>
          <w:rFonts w:hint="eastAsia"/>
        </w:rPr>
        <w:t>18.8 施工队伍的撤离</w:t>
      </w:r>
      <w:bookmarkEnd w:id="1070"/>
      <w:bookmarkEnd w:id="1071"/>
      <w:bookmarkEnd w:id="1072"/>
      <w:bookmarkEnd w:id="1073"/>
      <w:bookmarkEnd w:id="1074"/>
    </w:p>
    <w:p w14:paraId="13DB3580">
      <w:pPr>
        <w:spacing w:line="400" w:lineRule="exact"/>
        <w:ind w:firstLine="420" w:firstLineChars="200"/>
        <w:rPr>
          <w:rFonts w:hint="eastAsia"/>
        </w:rPr>
      </w:pPr>
      <w:r>
        <w:rPr>
          <w:rFonts w:hint="eastAsia"/>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4CF146C1">
      <w:pPr>
        <w:pStyle w:val="18"/>
        <w:rPr>
          <w:rFonts w:hint="eastAsia"/>
        </w:rPr>
      </w:pPr>
      <w:bookmarkStart w:id="1075" w:name="_Toc152042513"/>
      <w:bookmarkStart w:id="1076" w:name="_Toc144974705"/>
      <w:bookmarkStart w:id="1077" w:name="_Toc179632752"/>
      <w:bookmarkStart w:id="1078" w:name="_Toc108513807"/>
      <w:bookmarkStart w:id="1079" w:name="_Toc152045734"/>
      <w:r>
        <w:rPr>
          <w:rFonts w:hint="eastAsia"/>
        </w:rPr>
        <w:t>19. 缺陷责任与保修责任</w:t>
      </w:r>
      <w:bookmarkEnd w:id="1075"/>
      <w:bookmarkEnd w:id="1076"/>
      <w:bookmarkEnd w:id="1077"/>
      <w:bookmarkEnd w:id="1078"/>
      <w:bookmarkEnd w:id="1079"/>
    </w:p>
    <w:p w14:paraId="171B3A7B">
      <w:pPr>
        <w:pStyle w:val="20"/>
        <w:rPr>
          <w:rFonts w:hint="eastAsia"/>
        </w:rPr>
      </w:pPr>
      <w:bookmarkStart w:id="1080" w:name="_Toc108513808"/>
      <w:bookmarkStart w:id="1081" w:name="_Toc152045735"/>
      <w:bookmarkStart w:id="1082" w:name="_Toc179632753"/>
      <w:bookmarkStart w:id="1083" w:name="_Toc152042514"/>
      <w:bookmarkStart w:id="1084" w:name="_Toc144974706"/>
      <w:r>
        <w:rPr>
          <w:rFonts w:hint="eastAsia"/>
        </w:rPr>
        <w:t>19.1 缺陷责任期的起算时间</w:t>
      </w:r>
      <w:bookmarkEnd w:id="1080"/>
      <w:bookmarkEnd w:id="1081"/>
      <w:bookmarkEnd w:id="1082"/>
      <w:bookmarkEnd w:id="1083"/>
      <w:bookmarkEnd w:id="1084"/>
    </w:p>
    <w:p w14:paraId="518457B5">
      <w:pPr>
        <w:spacing w:line="400" w:lineRule="exact"/>
        <w:ind w:firstLine="420" w:firstLineChars="200"/>
        <w:rPr>
          <w:rFonts w:hint="eastAsia"/>
        </w:rPr>
      </w:pPr>
      <w:r>
        <w:rPr>
          <w:rFonts w:hint="eastAsia"/>
        </w:rPr>
        <w:t>缺陷责任期自实际竣工日期起计算。在全部工程竣工验收前，已经发包人提前验收的单位工程，其缺陷责任期的起算日期相应提前。</w:t>
      </w:r>
    </w:p>
    <w:p w14:paraId="0043CCF8">
      <w:pPr>
        <w:pStyle w:val="20"/>
        <w:rPr>
          <w:rFonts w:hint="eastAsia"/>
        </w:rPr>
      </w:pPr>
      <w:bookmarkStart w:id="1085" w:name="_Toc179632754"/>
      <w:bookmarkStart w:id="1086" w:name="_Toc108513809"/>
      <w:bookmarkStart w:id="1087" w:name="_Toc152045736"/>
      <w:bookmarkStart w:id="1088" w:name="_Toc152042515"/>
      <w:bookmarkStart w:id="1089" w:name="_Toc144974707"/>
      <w:r>
        <w:rPr>
          <w:rFonts w:hint="eastAsia"/>
        </w:rPr>
        <w:t>19.2 缺陷责任</w:t>
      </w:r>
      <w:bookmarkEnd w:id="1085"/>
      <w:bookmarkEnd w:id="1086"/>
      <w:bookmarkEnd w:id="1087"/>
      <w:bookmarkEnd w:id="1088"/>
      <w:bookmarkEnd w:id="1089"/>
    </w:p>
    <w:p w14:paraId="0D4DBE71">
      <w:pPr>
        <w:spacing w:line="400" w:lineRule="exact"/>
        <w:ind w:firstLine="420" w:firstLineChars="200"/>
        <w:rPr>
          <w:rFonts w:hint="eastAsia"/>
        </w:rPr>
      </w:pPr>
      <w:r>
        <w:rPr>
          <w:rFonts w:hint="eastAsia"/>
        </w:rPr>
        <w:t>19.2.1 承包人应在缺陷责任期内对已交付使用的工程承担缺陷责任。</w:t>
      </w:r>
    </w:p>
    <w:p w14:paraId="0DBD6367">
      <w:pPr>
        <w:spacing w:line="400" w:lineRule="exact"/>
        <w:ind w:firstLine="420" w:firstLineChars="200"/>
        <w:rPr>
          <w:rFonts w:hint="eastAsia"/>
        </w:rPr>
      </w:pPr>
      <w:r>
        <w:rPr>
          <w:rFonts w:hint="eastAsia"/>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3B73EDF9">
      <w:pPr>
        <w:spacing w:line="400" w:lineRule="exact"/>
        <w:ind w:firstLine="420" w:firstLineChars="200"/>
        <w:rPr>
          <w:rFonts w:hint="eastAsia"/>
        </w:rPr>
      </w:pPr>
      <w:r>
        <w:rPr>
          <w:rFonts w:hint="eastAsia"/>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1B79D470">
      <w:pPr>
        <w:spacing w:line="400" w:lineRule="exact"/>
        <w:ind w:firstLine="420" w:firstLineChars="200"/>
        <w:rPr>
          <w:rFonts w:hint="eastAsia"/>
        </w:rPr>
      </w:pPr>
      <w:r>
        <w:rPr>
          <w:rFonts w:hint="eastAsia"/>
        </w:rPr>
        <w:t>19.2.4 承包人不能在合理时间内修复缺陷的，发包人可自行修复或委托其他人修复，所需费用和利润的承担，按第19.2.3项约定办理。</w:t>
      </w:r>
    </w:p>
    <w:p w14:paraId="47791685">
      <w:pPr>
        <w:pStyle w:val="20"/>
        <w:rPr>
          <w:rFonts w:hint="eastAsia"/>
        </w:rPr>
      </w:pPr>
      <w:bookmarkStart w:id="1090" w:name="_Toc152045737"/>
      <w:bookmarkStart w:id="1091" w:name="_Toc152042516"/>
      <w:bookmarkStart w:id="1092" w:name="_Toc108513810"/>
      <w:bookmarkStart w:id="1093" w:name="_Toc144974708"/>
      <w:bookmarkStart w:id="1094" w:name="_Toc179632755"/>
      <w:r>
        <w:rPr>
          <w:rFonts w:hint="eastAsia"/>
        </w:rPr>
        <w:t>19.3 缺陷责任期的延长</w:t>
      </w:r>
      <w:bookmarkEnd w:id="1090"/>
      <w:bookmarkEnd w:id="1091"/>
      <w:bookmarkEnd w:id="1092"/>
      <w:bookmarkEnd w:id="1093"/>
      <w:bookmarkEnd w:id="1094"/>
    </w:p>
    <w:p w14:paraId="07D63DDA">
      <w:pPr>
        <w:spacing w:line="400" w:lineRule="exact"/>
        <w:ind w:firstLine="420" w:firstLineChars="200"/>
        <w:rPr>
          <w:rFonts w:hint="eastAsia"/>
        </w:rPr>
      </w:pPr>
      <w:r>
        <w:rPr>
          <w:rFonts w:hint="eastAsia"/>
        </w:rPr>
        <w:t>由于承包人原因造成某项缺陷或损坏使某项工程或工程设备不能按原定目标使用而需要再次检查、检验和修复的，发包人有权要求承包人相应延长缺陷责任期，但缺陷责任期最长不超过2年。</w:t>
      </w:r>
    </w:p>
    <w:p w14:paraId="0A4D6541">
      <w:pPr>
        <w:pStyle w:val="20"/>
        <w:rPr>
          <w:rFonts w:hint="eastAsia"/>
        </w:rPr>
      </w:pPr>
      <w:bookmarkStart w:id="1095" w:name="_Toc152045738"/>
      <w:bookmarkStart w:id="1096" w:name="_Toc108513811"/>
      <w:bookmarkStart w:id="1097" w:name="_Toc179632756"/>
      <w:bookmarkStart w:id="1098" w:name="_Toc152042517"/>
      <w:bookmarkStart w:id="1099" w:name="_Toc144974709"/>
      <w:r>
        <w:rPr>
          <w:rFonts w:hint="eastAsia"/>
        </w:rPr>
        <w:t>19.4 进一步试验和试运行</w:t>
      </w:r>
      <w:bookmarkEnd w:id="1095"/>
      <w:bookmarkEnd w:id="1096"/>
      <w:bookmarkEnd w:id="1097"/>
      <w:bookmarkEnd w:id="1098"/>
      <w:bookmarkEnd w:id="1099"/>
    </w:p>
    <w:p w14:paraId="092B330C">
      <w:pPr>
        <w:spacing w:line="400" w:lineRule="exact"/>
        <w:ind w:firstLine="420" w:firstLineChars="200"/>
        <w:rPr>
          <w:rFonts w:hint="eastAsia"/>
        </w:rPr>
      </w:pPr>
      <w:r>
        <w:rPr>
          <w:rFonts w:hint="eastAsia"/>
        </w:rPr>
        <w:t>任何一项缺陷或损坏修复后，经检查证明其影响了工程或工程设备的使用性能，承包人应重新进行合同约定的试验和试运行，试验和试运行的全部费用应由责任方承担。</w:t>
      </w:r>
    </w:p>
    <w:p w14:paraId="5AF5475F">
      <w:pPr>
        <w:pStyle w:val="20"/>
        <w:rPr>
          <w:rFonts w:hint="eastAsia"/>
        </w:rPr>
      </w:pPr>
      <w:bookmarkStart w:id="1100" w:name="_Toc152042518"/>
      <w:bookmarkStart w:id="1101" w:name="_Toc152045739"/>
      <w:bookmarkStart w:id="1102" w:name="_Toc144974710"/>
      <w:bookmarkStart w:id="1103" w:name="_Toc108513812"/>
      <w:bookmarkStart w:id="1104" w:name="_Toc179632757"/>
      <w:r>
        <w:rPr>
          <w:rFonts w:hint="eastAsia"/>
        </w:rPr>
        <w:t>19.5 承包人的进入权</w:t>
      </w:r>
      <w:bookmarkEnd w:id="1100"/>
      <w:bookmarkEnd w:id="1101"/>
      <w:bookmarkEnd w:id="1102"/>
      <w:bookmarkEnd w:id="1103"/>
      <w:bookmarkEnd w:id="1104"/>
    </w:p>
    <w:p w14:paraId="672E98F2">
      <w:pPr>
        <w:spacing w:line="400" w:lineRule="exact"/>
        <w:ind w:firstLine="420" w:firstLineChars="200"/>
        <w:rPr>
          <w:rFonts w:hint="eastAsia"/>
        </w:rPr>
      </w:pPr>
      <w:r>
        <w:rPr>
          <w:rFonts w:hint="eastAsia"/>
        </w:rPr>
        <w:t>缺陷责任期内承包人为缺陷修复工作需要，有权进入工程现场，但应遵守发包人的保安和保密规定。</w:t>
      </w:r>
    </w:p>
    <w:p w14:paraId="3C079F2C">
      <w:pPr>
        <w:pStyle w:val="20"/>
        <w:rPr>
          <w:rFonts w:hint="eastAsia"/>
        </w:rPr>
      </w:pPr>
      <w:bookmarkStart w:id="1105" w:name="_Toc108513813"/>
      <w:bookmarkStart w:id="1106" w:name="_Toc179632758"/>
      <w:bookmarkStart w:id="1107" w:name="_Toc144974711"/>
      <w:bookmarkStart w:id="1108" w:name="_Toc152042519"/>
      <w:bookmarkStart w:id="1109" w:name="_Toc152045740"/>
      <w:r>
        <w:rPr>
          <w:rFonts w:hint="eastAsia"/>
        </w:rPr>
        <w:t>19.6 缺陷责任期终止证书</w:t>
      </w:r>
      <w:bookmarkEnd w:id="1105"/>
      <w:bookmarkEnd w:id="1106"/>
      <w:bookmarkEnd w:id="1107"/>
      <w:bookmarkEnd w:id="1108"/>
      <w:bookmarkEnd w:id="1109"/>
    </w:p>
    <w:p w14:paraId="145E5C9A">
      <w:pPr>
        <w:spacing w:line="400" w:lineRule="exact"/>
        <w:ind w:firstLine="420" w:firstLineChars="200"/>
        <w:rPr>
          <w:rFonts w:hint="eastAsia"/>
        </w:rPr>
      </w:pPr>
      <w:r>
        <w:rPr>
          <w:rFonts w:hint="eastAsia"/>
        </w:rPr>
        <w:t>在第1.1.4.5目约定的缺陷责任期，包括根据第19.3款延长的期限终止后14天内，由监理人向承包人出具经发包人签认的缺陷责任期终止证书，并退还剩余的质量保证金。</w:t>
      </w:r>
    </w:p>
    <w:p w14:paraId="421DA974">
      <w:pPr>
        <w:pStyle w:val="20"/>
        <w:rPr>
          <w:rFonts w:hint="eastAsia"/>
        </w:rPr>
      </w:pPr>
      <w:bookmarkStart w:id="1110" w:name="_Toc144974712"/>
      <w:bookmarkStart w:id="1111" w:name="_Toc108513814"/>
      <w:bookmarkStart w:id="1112" w:name="_Toc152042520"/>
      <w:bookmarkStart w:id="1113" w:name="_Toc152045741"/>
      <w:bookmarkStart w:id="1114" w:name="_Toc179632759"/>
      <w:r>
        <w:rPr>
          <w:rFonts w:hint="eastAsia"/>
        </w:rPr>
        <w:t>19.7 保修责任</w:t>
      </w:r>
      <w:bookmarkEnd w:id="1110"/>
      <w:bookmarkEnd w:id="1111"/>
      <w:bookmarkEnd w:id="1112"/>
      <w:bookmarkEnd w:id="1113"/>
      <w:bookmarkEnd w:id="1114"/>
    </w:p>
    <w:p w14:paraId="47464EFE">
      <w:pPr>
        <w:spacing w:line="400" w:lineRule="exact"/>
        <w:ind w:firstLine="420" w:firstLineChars="200"/>
        <w:rPr>
          <w:rFonts w:hint="eastAsia"/>
        </w:rPr>
      </w:pPr>
      <w:r>
        <w:rPr>
          <w:rFonts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188E959B">
      <w:pPr>
        <w:pStyle w:val="18"/>
        <w:rPr>
          <w:rFonts w:hint="eastAsia"/>
        </w:rPr>
      </w:pPr>
      <w:bookmarkStart w:id="1115" w:name="_Toc179632760"/>
      <w:bookmarkStart w:id="1116" w:name="_Toc108513815"/>
      <w:bookmarkStart w:id="1117" w:name="_Toc152045742"/>
      <w:bookmarkStart w:id="1118" w:name="_Toc144974713"/>
      <w:bookmarkStart w:id="1119" w:name="_Toc152042521"/>
      <w:r>
        <w:rPr>
          <w:rFonts w:hint="eastAsia"/>
        </w:rPr>
        <w:t>20. 保险</w:t>
      </w:r>
      <w:bookmarkEnd w:id="1115"/>
      <w:bookmarkEnd w:id="1116"/>
      <w:bookmarkEnd w:id="1117"/>
      <w:bookmarkEnd w:id="1118"/>
      <w:bookmarkEnd w:id="1119"/>
    </w:p>
    <w:p w14:paraId="51CE22C4">
      <w:pPr>
        <w:pStyle w:val="20"/>
        <w:rPr>
          <w:rFonts w:hint="eastAsia"/>
        </w:rPr>
      </w:pPr>
      <w:bookmarkStart w:id="1120" w:name="_Toc152045743"/>
      <w:bookmarkStart w:id="1121" w:name="_Toc152042522"/>
      <w:bookmarkStart w:id="1122" w:name="_Toc108513816"/>
      <w:bookmarkStart w:id="1123" w:name="_Toc144974714"/>
      <w:bookmarkStart w:id="1124" w:name="_Toc179632761"/>
      <w:r>
        <w:rPr>
          <w:rFonts w:hint="eastAsia"/>
        </w:rPr>
        <w:t>20.1 工程保险</w:t>
      </w:r>
      <w:bookmarkEnd w:id="1120"/>
      <w:bookmarkEnd w:id="1121"/>
      <w:bookmarkEnd w:id="1122"/>
      <w:bookmarkEnd w:id="1123"/>
      <w:bookmarkEnd w:id="1124"/>
    </w:p>
    <w:p w14:paraId="39E4021D">
      <w:pPr>
        <w:spacing w:line="380" w:lineRule="exact"/>
        <w:ind w:firstLine="420" w:firstLineChars="200"/>
        <w:rPr>
          <w:rFonts w:hint="eastAsia"/>
        </w:rPr>
      </w:pPr>
      <w:r>
        <w:rPr>
          <w:rFonts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4ABB8038">
      <w:pPr>
        <w:pStyle w:val="20"/>
        <w:rPr>
          <w:rFonts w:hint="eastAsia"/>
        </w:rPr>
      </w:pPr>
      <w:bookmarkStart w:id="1125" w:name="_Toc108513817"/>
      <w:bookmarkStart w:id="1126" w:name="_Toc179632762"/>
      <w:bookmarkStart w:id="1127" w:name="_Toc144974715"/>
      <w:bookmarkStart w:id="1128" w:name="_Toc152045744"/>
      <w:bookmarkStart w:id="1129" w:name="_Toc152042523"/>
      <w:r>
        <w:rPr>
          <w:rFonts w:hint="eastAsia"/>
        </w:rPr>
        <w:t>20.2 人员工伤事故的保险</w:t>
      </w:r>
      <w:bookmarkEnd w:id="1125"/>
      <w:bookmarkEnd w:id="1126"/>
      <w:bookmarkEnd w:id="1127"/>
      <w:bookmarkEnd w:id="1128"/>
      <w:bookmarkEnd w:id="1129"/>
    </w:p>
    <w:p w14:paraId="51B10740">
      <w:pPr>
        <w:spacing w:line="380" w:lineRule="exact"/>
        <w:ind w:firstLine="420" w:firstLineChars="200"/>
        <w:rPr>
          <w:rFonts w:hint="eastAsia" w:ascii="黑体" w:eastAsia="黑体"/>
        </w:rPr>
      </w:pPr>
      <w:r>
        <w:rPr>
          <w:rFonts w:hint="eastAsia"/>
        </w:rPr>
        <w:t xml:space="preserve">20.2.1 </w:t>
      </w:r>
      <w:r>
        <w:rPr>
          <w:rFonts w:hint="eastAsia" w:ascii="黑体" w:eastAsia="黑体"/>
        </w:rPr>
        <w:t>承包人员工伤事故的保险</w:t>
      </w:r>
    </w:p>
    <w:p w14:paraId="7EEA529D">
      <w:pPr>
        <w:spacing w:line="380" w:lineRule="exact"/>
        <w:ind w:firstLine="420" w:firstLineChars="200"/>
        <w:rPr>
          <w:rFonts w:hint="eastAsia"/>
        </w:rPr>
      </w:pPr>
      <w:r>
        <w:rPr>
          <w:rFonts w:hint="eastAsia"/>
        </w:rPr>
        <w:t>承包人应</w:t>
      </w:r>
      <w:r>
        <w:t>依照</w:t>
      </w:r>
      <w:r>
        <w:rPr>
          <w:rFonts w:hint="eastAsia"/>
        </w:rPr>
        <w:t>有关法律</w:t>
      </w:r>
      <w:r>
        <w:t>规定参加工伤保险，</w:t>
      </w:r>
      <w:r>
        <w:rPr>
          <w:rFonts w:hint="eastAsia"/>
        </w:rPr>
        <w:t>为其履行合同所雇佣的全部人员，</w:t>
      </w:r>
      <w:r>
        <w:t>缴纳工伤保险费</w:t>
      </w:r>
      <w:r>
        <w:rPr>
          <w:rFonts w:hint="eastAsia"/>
        </w:rPr>
        <w:t>，并要求其分包人也进行此项保险。</w:t>
      </w:r>
    </w:p>
    <w:p w14:paraId="6F6ED3C5">
      <w:pPr>
        <w:spacing w:line="380" w:lineRule="exact"/>
        <w:ind w:firstLine="420" w:firstLineChars="200"/>
        <w:rPr>
          <w:rFonts w:hint="eastAsia" w:ascii="黑体" w:eastAsia="黑体"/>
        </w:rPr>
      </w:pPr>
      <w:r>
        <w:rPr>
          <w:rFonts w:hint="eastAsia"/>
        </w:rPr>
        <w:t>20.2.2</w:t>
      </w:r>
      <w:r>
        <w:rPr>
          <w:rFonts w:hint="eastAsia" w:ascii="黑体" w:eastAsia="黑体"/>
        </w:rPr>
        <w:t xml:space="preserve"> 发包人员工伤事故的保险</w:t>
      </w:r>
    </w:p>
    <w:p w14:paraId="6E29168C">
      <w:pPr>
        <w:spacing w:line="380" w:lineRule="exact"/>
        <w:ind w:firstLine="420" w:firstLineChars="200"/>
        <w:rPr>
          <w:rFonts w:hint="eastAsia"/>
        </w:rPr>
      </w:pPr>
      <w:r>
        <w:rPr>
          <w:rFonts w:hint="eastAsia"/>
        </w:rPr>
        <w:t>发包人应</w:t>
      </w:r>
      <w:r>
        <w:t>依照</w:t>
      </w:r>
      <w:r>
        <w:rPr>
          <w:rFonts w:hint="eastAsia"/>
        </w:rPr>
        <w:t>有关法律</w:t>
      </w:r>
      <w:r>
        <w:t>规定参加工伤保险，</w:t>
      </w:r>
      <w:r>
        <w:rPr>
          <w:rFonts w:hint="eastAsia"/>
        </w:rPr>
        <w:t>为其现场机构雇佣的全部人员，</w:t>
      </w:r>
      <w:r>
        <w:t>缴纳工伤保险费</w:t>
      </w:r>
      <w:r>
        <w:rPr>
          <w:rFonts w:hint="eastAsia"/>
        </w:rPr>
        <w:t>，并要求其监理人也进行此项保险。</w:t>
      </w:r>
    </w:p>
    <w:p w14:paraId="351F5E0E">
      <w:pPr>
        <w:pStyle w:val="20"/>
        <w:rPr>
          <w:rFonts w:hint="eastAsia"/>
        </w:rPr>
      </w:pPr>
      <w:bookmarkStart w:id="1130" w:name="_Toc144974716"/>
      <w:bookmarkStart w:id="1131" w:name="_Toc152045745"/>
      <w:bookmarkStart w:id="1132" w:name="_Toc152042524"/>
      <w:bookmarkStart w:id="1133" w:name="_Toc179632763"/>
      <w:bookmarkStart w:id="1134" w:name="_Toc108513818"/>
      <w:r>
        <w:rPr>
          <w:rFonts w:hint="eastAsia"/>
        </w:rPr>
        <w:t>20.3 人身意外伤害险</w:t>
      </w:r>
      <w:bookmarkEnd w:id="1130"/>
      <w:bookmarkEnd w:id="1131"/>
      <w:bookmarkEnd w:id="1132"/>
      <w:bookmarkEnd w:id="1133"/>
      <w:bookmarkEnd w:id="1134"/>
    </w:p>
    <w:p w14:paraId="49758C11">
      <w:pPr>
        <w:spacing w:line="380" w:lineRule="exact"/>
        <w:ind w:firstLine="420" w:firstLineChars="200"/>
        <w:rPr>
          <w:rFonts w:hint="eastAsia"/>
        </w:rPr>
      </w:pPr>
      <w:r>
        <w:rPr>
          <w:rFonts w:hint="eastAsia"/>
        </w:rPr>
        <w:t>20.3.1 发包人应在整个施工期间为其现场机构雇用的全部人员，投保人身意外伤害险，缴纳保险费，并要求其监理人也进行此项保险。</w:t>
      </w:r>
    </w:p>
    <w:p w14:paraId="6EF26DB4">
      <w:pPr>
        <w:spacing w:line="380" w:lineRule="exact"/>
        <w:ind w:firstLine="420" w:firstLineChars="200"/>
        <w:rPr>
          <w:rFonts w:hint="eastAsia"/>
        </w:rPr>
      </w:pPr>
      <w:r>
        <w:rPr>
          <w:rFonts w:hint="eastAsia"/>
        </w:rPr>
        <w:t>20.3.2 承包人应在整个施工期间为其现场机构雇用的全部人员，投保人身意外伤害险，缴纳保险费，并要求其分包人也进行此项保险。</w:t>
      </w:r>
    </w:p>
    <w:p w14:paraId="111EB130">
      <w:pPr>
        <w:pStyle w:val="20"/>
        <w:rPr>
          <w:rFonts w:hint="eastAsia"/>
        </w:rPr>
      </w:pPr>
      <w:bookmarkStart w:id="1135" w:name="_Toc144974717"/>
      <w:bookmarkStart w:id="1136" w:name="_Toc179632764"/>
      <w:bookmarkStart w:id="1137" w:name="_Toc108513819"/>
      <w:bookmarkStart w:id="1138" w:name="_Toc152045746"/>
      <w:bookmarkStart w:id="1139" w:name="_Toc152042525"/>
      <w:r>
        <w:rPr>
          <w:rFonts w:hint="eastAsia"/>
        </w:rPr>
        <w:t>20.4 第三者责任险</w:t>
      </w:r>
      <w:bookmarkEnd w:id="1135"/>
      <w:bookmarkEnd w:id="1136"/>
      <w:bookmarkEnd w:id="1137"/>
      <w:bookmarkEnd w:id="1138"/>
      <w:bookmarkEnd w:id="1139"/>
    </w:p>
    <w:p w14:paraId="2256C3A4">
      <w:pPr>
        <w:spacing w:line="380" w:lineRule="exact"/>
        <w:ind w:firstLine="420" w:firstLineChars="200"/>
        <w:rPr>
          <w:rFonts w:hint="eastAsia"/>
        </w:rPr>
      </w:pPr>
      <w:r>
        <w:rPr>
          <w:rFonts w:hint="eastAsia"/>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0B4B1FB">
      <w:pPr>
        <w:spacing w:line="380" w:lineRule="exact"/>
        <w:ind w:firstLine="420" w:firstLineChars="200"/>
        <w:rPr>
          <w:rFonts w:hint="eastAsia"/>
        </w:rPr>
      </w:pPr>
      <w:r>
        <w:rPr>
          <w:rFonts w:hint="eastAsia"/>
        </w:rPr>
        <w:t>20.4.2 在缺陷责任期终止证书颁发前，承包人应以承包人和发包人的共同名义，投保第20.4.1项约定的第三者责任险，其保险费率、保险金额等有关内容在专用合同条款中约定。</w:t>
      </w:r>
    </w:p>
    <w:p w14:paraId="09D83A39">
      <w:pPr>
        <w:pStyle w:val="20"/>
        <w:rPr>
          <w:rFonts w:hint="eastAsia"/>
        </w:rPr>
      </w:pPr>
      <w:bookmarkStart w:id="1140" w:name="_Toc144974718"/>
      <w:bookmarkStart w:id="1141" w:name="_Toc152045747"/>
      <w:bookmarkStart w:id="1142" w:name="_Toc179632765"/>
      <w:bookmarkStart w:id="1143" w:name="_Toc152042526"/>
      <w:bookmarkStart w:id="1144" w:name="_Toc108513820"/>
      <w:r>
        <w:rPr>
          <w:rFonts w:hint="eastAsia"/>
        </w:rPr>
        <w:t>20.5 其他保险</w:t>
      </w:r>
      <w:bookmarkEnd w:id="1140"/>
      <w:bookmarkEnd w:id="1141"/>
      <w:bookmarkEnd w:id="1142"/>
      <w:bookmarkEnd w:id="1143"/>
      <w:bookmarkEnd w:id="1144"/>
    </w:p>
    <w:p w14:paraId="6C3AC911">
      <w:pPr>
        <w:spacing w:line="380" w:lineRule="exact"/>
        <w:ind w:firstLine="420" w:firstLineChars="200"/>
        <w:rPr>
          <w:rFonts w:hint="eastAsia"/>
        </w:rPr>
      </w:pPr>
      <w:r>
        <w:rPr>
          <w:rFonts w:hint="eastAsia"/>
        </w:rPr>
        <w:t>除专用合同条款另有约定外，承包人应为其施工设备、进场的材料和工程设备等办理保险。</w:t>
      </w:r>
    </w:p>
    <w:p w14:paraId="29725E3B">
      <w:pPr>
        <w:pStyle w:val="20"/>
        <w:rPr>
          <w:rFonts w:hint="eastAsia"/>
        </w:rPr>
      </w:pPr>
      <w:bookmarkStart w:id="1145" w:name="_Toc152045748"/>
      <w:bookmarkStart w:id="1146" w:name="_Toc152042527"/>
      <w:bookmarkStart w:id="1147" w:name="_Toc108513821"/>
      <w:bookmarkStart w:id="1148" w:name="_Toc179632766"/>
      <w:bookmarkStart w:id="1149" w:name="_Toc144974719"/>
      <w:r>
        <w:rPr>
          <w:rFonts w:hint="eastAsia"/>
        </w:rPr>
        <w:t>20.6 对各项保险的一般要求</w:t>
      </w:r>
      <w:bookmarkEnd w:id="1145"/>
      <w:bookmarkEnd w:id="1146"/>
      <w:bookmarkEnd w:id="1147"/>
      <w:bookmarkEnd w:id="1148"/>
      <w:bookmarkEnd w:id="1149"/>
    </w:p>
    <w:p w14:paraId="55E70AB7">
      <w:pPr>
        <w:spacing w:line="380" w:lineRule="exact"/>
        <w:ind w:firstLine="420" w:firstLineChars="200"/>
        <w:rPr>
          <w:rFonts w:hint="eastAsia"/>
        </w:rPr>
      </w:pPr>
      <w:r>
        <w:rPr>
          <w:rFonts w:hint="eastAsia"/>
        </w:rPr>
        <w:t xml:space="preserve">20.6.1 </w:t>
      </w:r>
      <w:r>
        <w:rPr>
          <w:rFonts w:hint="eastAsia" w:ascii="黑体" w:eastAsia="黑体"/>
        </w:rPr>
        <w:t>保险凭证</w:t>
      </w:r>
    </w:p>
    <w:p w14:paraId="39BF8FFA">
      <w:pPr>
        <w:spacing w:line="380" w:lineRule="exact"/>
        <w:ind w:firstLine="420" w:firstLineChars="200"/>
        <w:rPr>
          <w:rFonts w:hint="eastAsia"/>
        </w:rPr>
      </w:pPr>
      <w:r>
        <w:rPr>
          <w:rFonts w:hint="eastAsia"/>
        </w:rPr>
        <w:t>承包人应在专用合同条款约定的期限内向发包人提交各项保险生效的证据和保险单副本，保险单必须与专用合同条款约定的条件保持一致。</w:t>
      </w:r>
    </w:p>
    <w:p w14:paraId="1FE96944">
      <w:pPr>
        <w:spacing w:line="380" w:lineRule="exact"/>
        <w:ind w:firstLine="420" w:firstLineChars="200"/>
        <w:rPr>
          <w:rFonts w:hint="eastAsia"/>
        </w:rPr>
      </w:pPr>
      <w:r>
        <w:rPr>
          <w:rFonts w:hint="eastAsia"/>
        </w:rPr>
        <w:t xml:space="preserve">20.6.2 </w:t>
      </w:r>
      <w:r>
        <w:rPr>
          <w:rFonts w:hint="eastAsia" w:ascii="黑体" w:eastAsia="黑体"/>
        </w:rPr>
        <w:t>保险合同条款的变动</w:t>
      </w:r>
    </w:p>
    <w:p w14:paraId="1D6D99D3">
      <w:pPr>
        <w:spacing w:line="380" w:lineRule="exact"/>
        <w:ind w:firstLine="420" w:firstLineChars="200"/>
        <w:rPr>
          <w:rFonts w:hint="eastAsia"/>
        </w:rPr>
      </w:pPr>
      <w:r>
        <w:rPr>
          <w:rFonts w:hint="eastAsia"/>
        </w:rPr>
        <w:t>承包人需要变动保险合同条款时，应事先征得发包人同意，并通知监理人。保险人作出变动的，承包人应在收到保险人通知后立即通知发包人和监理人。</w:t>
      </w:r>
    </w:p>
    <w:p w14:paraId="162E1917">
      <w:pPr>
        <w:spacing w:line="380" w:lineRule="exact"/>
        <w:ind w:firstLine="420" w:firstLineChars="200"/>
        <w:rPr>
          <w:rFonts w:hint="eastAsia"/>
        </w:rPr>
      </w:pPr>
      <w:r>
        <w:rPr>
          <w:rFonts w:hint="eastAsia"/>
        </w:rPr>
        <w:t xml:space="preserve">20.6.3 </w:t>
      </w:r>
      <w:r>
        <w:rPr>
          <w:rFonts w:hint="eastAsia" w:ascii="黑体" w:eastAsia="黑体"/>
        </w:rPr>
        <w:t>持续保险</w:t>
      </w:r>
    </w:p>
    <w:p w14:paraId="359780E6">
      <w:pPr>
        <w:spacing w:line="380" w:lineRule="exact"/>
        <w:ind w:firstLine="420" w:firstLineChars="200"/>
        <w:rPr>
          <w:rFonts w:hint="eastAsia"/>
        </w:rPr>
      </w:pPr>
      <w:r>
        <w:rPr>
          <w:rFonts w:hint="eastAsia"/>
        </w:rPr>
        <w:t>承包人应与保险人保持联系，使保险人能够随时了解工程实施中的变动，并确保按保险合同条款要求持续保险。</w:t>
      </w:r>
    </w:p>
    <w:p w14:paraId="445DEA32">
      <w:pPr>
        <w:spacing w:line="380" w:lineRule="exact"/>
        <w:ind w:firstLine="420" w:firstLineChars="200"/>
        <w:rPr>
          <w:rFonts w:hint="eastAsia" w:ascii="黑体" w:eastAsia="黑体"/>
        </w:rPr>
      </w:pPr>
      <w:r>
        <w:rPr>
          <w:rFonts w:hint="eastAsia"/>
        </w:rPr>
        <w:t xml:space="preserve">20.6.4 </w:t>
      </w:r>
      <w:r>
        <w:rPr>
          <w:rFonts w:hint="eastAsia" w:ascii="黑体" w:eastAsia="黑体"/>
        </w:rPr>
        <w:t>保险金不足的补偿</w:t>
      </w:r>
    </w:p>
    <w:p w14:paraId="7F589C33">
      <w:pPr>
        <w:spacing w:line="380" w:lineRule="exact"/>
        <w:ind w:firstLine="420" w:firstLineChars="200"/>
        <w:rPr>
          <w:rFonts w:hint="eastAsia"/>
        </w:rPr>
      </w:pPr>
      <w:r>
        <w:rPr>
          <w:rFonts w:hint="eastAsia"/>
        </w:rPr>
        <w:t>保险金不足以补偿损失的，应由承包人和（或）发包人按合同约定负责补偿。</w:t>
      </w:r>
    </w:p>
    <w:p w14:paraId="4A98FB1D">
      <w:pPr>
        <w:spacing w:line="380" w:lineRule="exact"/>
        <w:ind w:firstLine="420" w:firstLineChars="200"/>
        <w:rPr>
          <w:rFonts w:hint="eastAsia" w:ascii="黑体" w:eastAsia="黑体"/>
        </w:rPr>
      </w:pPr>
      <w:r>
        <w:rPr>
          <w:rFonts w:hint="eastAsia"/>
        </w:rPr>
        <w:t xml:space="preserve">20.6.5 </w:t>
      </w:r>
      <w:r>
        <w:rPr>
          <w:rFonts w:hint="eastAsia" w:ascii="黑体" w:eastAsia="黑体"/>
        </w:rPr>
        <w:t>未按约定投保的补救</w:t>
      </w:r>
    </w:p>
    <w:p w14:paraId="129EB7F9">
      <w:pPr>
        <w:spacing w:line="380" w:lineRule="exact"/>
        <w:ind w:firstLine="420" w:firstLineChars="200"/>
        <w:rPr>
          <w:rFonts w:hint="eastAsia" w:ascii="黑体" w:eastAsia="黑体"/>
        </w:rPr>
      </w:pPr>
      <w:r>
        <w:rPr>
          <w:rFonts w:hint="eastAsia"/>
        </w:rPr>
        <w:t>（1）由于负有投保义务的一方当事人未按合同约定办理保险，或未能使保险持续有效的，另一方当事人可代为办理，所需费用由对方当事人承担。</w:t>
      </w:r>
    </w:p>
    <w:p w14:paraId="5A3D055C">
      <w:pPr>
        <w:spacing w:line="380" w:lineRule="exact"/>
        <w:ind w:firstLine="420" w:firstLineChars="200"/>
        <w:rPr>
          <w:rFonts w:hint="eastAsia"/>
        </w:rPr>
      </w:pPr>
      <w:r>
        <w:rPr>
          <w:rFonts w:hint="eastAsia"/>
        </w:rPr>
        <w:t>（2）由于负有投保义务的一方当事人未按合同约定办理某项保险，导致受益人未能得到保险人的赔偿，原应从该项保险得到的保险金应由负有投保义务的一方当事人支付。</w:t>
      </w:r>
    </w:p>
    <w:p w14:paraId="6F589AE3">
      <w:pPr>
        <w:spacing w:line="380" w:lineRule="exact"/>
        <w:ind w:firstLine="420" w:firstLineChars="200"/>
        <w:rPr>
          <w:rFonts w:hint="eastAsia" w:ascii="黑体" w:eastAsia="黑体"/>
        </w:rPr>
      </w:pPr>
      <w:r>
        <w:rPr>
          <w:rFonts w:hint="eastAsia"/>
        </w:rPr>
        <w:t xml:space="preserve">20.6.6 </w:t>
      </w:r>
      <w:r>
        <w:rPr>
          <w:rFonts w:hint="eastAsia" w:ascii="黑体" w:eastAsia="黑体"/>
        </w:rPr>
        <w:t>报告义务</w:t>
      </w:r>
    </w:p>
    <w:p w14:paraId="0BD277AB">
      <w:pPr>
        <w:spacing w:line="400" w:lineRule="exact"/>
        <w:ind w:firstLine="420" w:firstLineChars="200"/>
        <w:rPr>
          <w:rFonts w:hint="eastAsia"/>
        </w:rPr>
      </w:pPr>
      <w:r>
        <w:rPr>
          <w:rFonts w:hint="eastAsia"/>
        </w:rPr>
        <w:t>当保险事故发生时，投保人应按照保险单规定的条件和期限及时向保险人报告。</w:t>
      </w:r>
    </w:p>
    <w:p w14:paraId="116BA6BA">
      <w:pPr>
        <w:pStyle w:val="18"/>
        <w:rPr>
          <w:rFonts w:hint="eastAsia"/>
        </w:rPr>
      </w:pPr>
      <w:bookmarkStart w:id="1150" w:name="_Toc152042528"/>
      <w:bookmarkStart w:id="1151" w:name="_Toc108513822"/>
      <w:bookmarkStart w:id="1152" w:name="_Toc152045749"/>
      <w:bookmarkStart w:id="1153" w:name="_Toc179632767"/>
      <w:bookmarkStart w:id="1154" w:name="_Toc144974720"/>
      <w:r>
        <w:rPr>
          <w:rFonts w:hint="eastAsia"/>
        </w:rPr>
        <w:t>21. 不可抗力</w:t>
      </w:r>
      <w:bookmarkEnd w:id="1150"/>
      <w:bookmarkEnd w:id="1151"/>
      <w:bookmarkEnd w:id="1152"/>
      <w:bookmarkEnd w:id="1153"/>
      <w:bookmarkEnd w:id="1154"/>
    </w:p>
    <w:p w14:paraId="09C5E8D8">
      <w:pPr>
        <w:pStyle w:val="20"/>
        <w:rPr>
          <w:rFonts w:hint="eastAsia"/>
        </w:rPr>
      </w:pPr>
      <w:bookmarkStart w:id="1155" w:name="_Toc179632768"/>
      <w:bookmarkStart w:id="1156" w:name="_Toc152042529"/>
      <w:bookmarkStart w:id="1157" w:name="_Toc144974721"/>
      <w:bookmarkStart w:id="1158" w:name="_Toc108513823"/>
      <w:bookmarkStart w:id="1159" w:name="_Toc152045750"/>
      <w:r>
        <w:rPr>
          <w:rFonts w:hint="eastAsia"/>
        </w:rPr>
        <w:t>21.1 不可抗力的确认</w:t>
      </w:r>
      <w:bookmarkEnd w:id="1155"/>
      <w:bookmarkEnd w:id="1156"/>
      <w:bookmarkEnd w:id="1157"/>
      <w:bookmarkEnd w:id="1158"/>
      <w:bookmarkEnd w:id="1159"/>
    </w:p>
    <w:p w14:paraId="77F8BC17">
      <w:pPr>
        <w:spacing w:line="400" w:lineRule="exact"/>
        <w:ind w:firstLine="420" w:firstLineChars="200"/>
        <w:rPr>
          <w:rFonts w:hint="eastAsia"/>
        </w:rPr>
      </w:pPr>
      <w:r>
        <w:rPr>
          <w:rFonts w:hint="eastAsia"/>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0D4A72AB">
      <w:pPr>
        <w:spacing w:line="400" w:lineRule="exact"/>
        <w:ind w:firstLine="420" w:firstLineChars="200"/>
        <w:rPr>
          <w:rFonts w:hint="eastAsia"/>
        </w:rPr>
      </w:pPr>
      <w:r>
        <w:rPr>
          <w:rFonts w:hint="eastAsia"/>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714B4018">
      <w:pPr>
        <w:pStyle w:val="20"/>
        <w:rPr>
          <w:rFonts w:hint="eastAsia"/>
        </w:rPr>
      </w:pPr>
      <w:bookmarkStart w:id="1160" w:name="_Toc108513824"/>
      <w:bookmarkStart w:id="1161" w:name="_Toc144974722"/>
      <w:bookmarkStart w:id="1162" w:name="_Toc179632769"/>
      <w:bookmarkStart w:id="1163" w:name="_Toc152042530"/>
      <w:bookmarkStart w:id="1164" w:name="_Toc152045751"/>
      <w:r>
        <w:rPr>
          <w:rFonts w:hint="eastAsia"/>
        </w:rPr>
        <w:t>21.2 不可抗力的通知</w:t>
      </w:r>
      <w:bookmarkEnd w:id="1160"/>
      <w:bookmarkEnd w:id="1161"/>
      <w:bookmarkEnd w:id="1162"/>
      <w:bookmarkEnd w:id="1163"/>
      <w:bookmarkEnd w:id="1164"/>
    </w:p>
    <w:p w14:paraId="2E279DBB">
      <w:pPr>
        <w:spacing w:line="400" w:lineRule="exact"/>
        <w:ind w:firstLine="420" w:firstLineChars="200"/>
        <w:rPr>
          <w:rFonts w:hint="eastAsia"/>
        </w:rPr>
      </w:pPr>
      <w:r>
        <w:rPr>
          <w:rFonts w:hint="eastAsia"/>
        </w:rPr>
        <w:t>21.2.1 合同一方当事人遇到不可抗力事件，使其履行合同义务受到阻碍时，应立即通知合同另一方当事人和监理人，书面说明不可抗力和受阻碍的详细情况，并提供必要的证明。</w:t>
      </w:r>
    </w:p>
    <w:p w14:paraId="35F83202">
      <w:pPr>
        <w:spacing w:line="400" w:lineRule="exact"/>
        <w:ind w:firstLine="420" w:firstLineChars="200"/>
        <w:rPr>
          <w:rFonts w:hint="eastAsia"/>
        </w:rPr>
      </w:pPr>
      <w:r>
        <w:rPr>
          <w:rFonts w:hint="eastAsia"/>
        </w:rPr>
        <w:t>21.2.2 如不可抗力持续发生，合同一方当事人应及时向合同另一方当事人和监理人提交中间报告，说明不可抗力和履行合同受阻的情况，并于不可抗力事件结束后28天内提交最终报告及有关资料。</w:t>
      </w:r>
    </w:p>
    <w:p w14:paraId="644458C4">
      <w:pPr>
        <w:pStyle w:val="20"/>
        <w:rPr>
          <w:rFonts w:hint="eastAsia"/>
        </w:rPr>
      </w:pPr>
      <w:bookmarkStart w:id="1165" w:name="_Toc179632770"/>
      <w:bookmarkStart w:id="1166" w:name="_Toc152045752"/>
      <w:bookmarkStart w:id="1167" w:name="_Toc152042531"/>
      <w:bookmarkStart w:id="1168" w:name="_Toc144974723"/>
      <w:bookmarkStart w:id="1169" w:name="_Toc108513825"/>
      <w:r>
        <w:rPr>
          <w:rFonts w:hint="eastAsia"/>
        </w:rPr>
        <w:t>21.3 不可抗力后果及其处理</w:t>
      </w:r>
      <w:bookmarkEnd w:id="1165"/>
      <w:bookmarkEnd w:id="1166"/>
      <w:bookmarkEnd w:id="1167"/>
      <w:bookmarkEnd w:id="1168"/>
      <w:bookmarkEnd w:id="1169"/>
    </w:p>
    <w:p w14:paraId="6B60CDC0">
      <w:pPr>
        <w:spacing w:line="380" w:lineRule="exact"/>
        <w:ind w:firstLine="420" w:firstLineChars="200"/>
        <w:rPr>
          <w:rFonts w:hint="eastAsia"/>
        </w:rPr>
      </w:pPr>
      <w:r>
        <w:rPr>
          <w:rFonts w:hint="eastAsia"/>
        </w:rPr>
        <w:t xml:space="preserve">21.3.1 </w:t>
      </w:r>
      <w:r>
        <w:rPr>
          <w:rFonts w:hint="eastAsia" w:ascii="黑体" w:eastAsia="黑体"/>
        </w:rPr>
        <w:t>不可抗力造成损害的责任</w:t>
      </w:r>
    </w:p>
    <w:p w14:paraId="588F55D6">
      <w:pPr>
        <w:spacing w:line="400" w:lineRule="exact"/>
        <w:ind w:firstLine="420" w:firstLineChars="200"/>
        <w:rPr>
          <w:rFonts w:hint="eastAsia"/>
        </w:rPr>
      </w:pPr>
      <w:r>
        <w:rPr>
          <w:rFonts w:hint="eastAsia"/>
        </w:rPr>
        <w:t>除专用合同条款另有约定外，不可抗力导致的人员伤亡、财产损失、费用增加和（或）工期延误等后果，由合同双方按以下原则承担：</w:t>
      </w:r>
    </w:p>
    <w:p w14:paraId="0E89E0EB">
      <w:pPr>
        <w:spacing w:line="400" w:lineRule="exact"/>
        <w:ind w:firstLine="718" w:firstLineChars="342"/>
        <w:rPr>
          <w:rFonts w:hint="eastAsia"/>
        </w:rPr>
      </w:pPr>
      <w:r>
        <w:rPr>
          <w:rFonts w:hint="eastAsia"/>
        </w:rPr>
        <w:t>（1）永久工程，包括已运至施工场地的材料和工程设备的损害，以及因工程损害造成的第三者人员伤亡和财产损失由发包人承担；</w:t>
      </w:r>
    </w:p>
    <w:p w14:paraId="2E0FCC3E">
      <w:pPr>
        <w:spacing w:line="400" w:lineRule="exact"/>
        <w:ind w:firstLine="718" w:firstLineChars="342"/>
        <w:rPr>
          <w:rFonts w:hint="eastAsia"/>
        </w:rPr>
      </w:pPr>
      <w:r>
        <w:rPr>
          <w:rFonts w:hint="eastAsia"/>
        </w:rPr>
        <w:t>（2）承包人设备的损坏由承包人承担；</w:t>
      </w:r>
    </w:p>
    <w:p w14:paraId="3FC9FD5E">
      <w:pPr>
        <w:spacing w:line="400" w:lineRule="exact"/>
        <w:ind w:firstLine="718" w:firstLineChars="342"/>
        <w:rPr>
          <w:rFonts w:hint="eastAsia"/>
        </w:rPr>
      </w:pPr>
      <w:r>
        <w:rPr>
          <w:rFonts w:hint="eastAsia"/>
        </w:rPr>
        <w:t>（3）发包人和承包人各自承担其人员伤亡和其他财产损失及其相关费用；</w:t>
      </w:r>
    </w:p>
    <w:p w14:paraId="1E326FE0">
      <w:pPr>
        <w:spacing w:line="400" w:lineRule="exact"/>
        <w:ind w:firstLine="718" w:firstLineChars="342"/>
        <w:rPr>
          <w:rFonts w:hint="eastAsia"/>
        </w:rPr>
      </w:pPr>
      <w:r>
        <w:rPr>
          <w:rFonts w:hint="eastAsia"/>
        </w:rPr>
        <w:t>（4）承包人的停工损失由承包人承担，但停工期间应监理人要求照管工程和清理、修复工程的金额由发包人承担；</w:t>
      </w:r>
    </w:p>
    <w:p w14:paraId="68FE98CB">
      <w:pPr>
        <w:spacing w:line="400" w:lineRule="exact"/>
        <w:ind w:firstLine="718" w:firstLineChars="342"/>
        <w:rPr>
          <w:rFonts w:hint="eastAsia"/>
        </w:rPr>
      </w:pPr>
      <w:r>
        <w:rPr>
          <w:rFonts w:hint="eastAsia"/>
        </w:rPr>
        <w:t>（5）不能按期竣工的，应合理延长工期，承包人不需支付逾期竣工违约金。发包人要求赶工的，承包人应采取赶工措施，赶工费用由发包人承担。</w:t>
      </w:r>
    </w:p>
    <w:p w14:paraId="5C2889FD">
      <w:pPr>
        <w:spacing w:line="400" w:lineRule="exact"/>
        <w:ind w:firstLine="420" w:firstLineChars="200"/>
        <w:rPr>
          <w:rFonts w:hint="eastAsia"/>
        </w:rPr>
      </w:pPr>
      <w:r>
        <w:rPr>
          <w:rFonts w:hint="eastAsia"/>
        </w:rPr>
        <w:t xml:space="preserve">21.3.2 </w:t>
      </w:r>
      <w:r>
        <w:rPr>
          <w:rFonts w:hint="eastAsia" w:ascii="黑体" w:eastAsia="黑体"/>
        </w:rPr>
        <w:t>延迟履行期间发生的不可抗力</w:t>
      </w:r>
    </w:p>
    <w:p w14:paraId="2CBCA64F">
      <w:pPr>
        <w:spacing w:line="400" w:lineRule="exact"/>
        <w:ind w:firstLine="420" w:firstLineChars="200"/>
        <w:rPr>
          <w:rFonts w:hint="eastAsia"/>
        </w:rPr>
      </w:pPr>
      <w:r>
        <w:rPr>
          <w:rFonts w:hint="eastAsia"/>
        </w:rPr>
        <w:t>合同一方当事人延迟履行，在延迟履行期间发生不可抗力的，不免除其责任。</w:t>
      </w:r>
    </w:p>
    <w:p w14:paraId="60DB2121">
      <w:pPr>
        <w:spacing w:line="400" w:lineRule="exact"/>
        <w:ind w:firstLine="420" w:firstLineChars="200"/>
        <w:rPr>
          <w:rFonts w:hint="eastAsia"/>
        </w:rPr>
      </w:pPr>
      <w:r>
        <w:rPr>
          <w:rFonts w:hint="eastAsia"/>
        </w:rPr>
        <w:t xml:space="preserve">21.3.3 </w:t>
      </w:r>
      <w:r>
        <w:rPr>
          <w:rFonts w:hint="eastAsia" w:ascii="黑体" w:eastAsia="黑体"/>
        </w:rPr>
        <w:t>避免和减少不可抗力损失</w:t>
      </w:r>
    </w:p>
    <w:p w14:paraId="78034000">
      <w:pPr>
        <w:spacing w:line="400" w:lineRule="exact"/>
        <w:ind w:firstLine="420" w:firstLineChars="200"/>
        <w:rPr>
          <w:rFonts w:hint="eastAsia"/>
        </w:rPr>
      </w:pPr>
      <w:r>
        <w:rPr>
          <w:rFonts w:hint="eastAsia"/>
        </w:rPr>
        <w:t>不可抗力发生后，发包人和承包人均应采取措施尽量避免和减少损失的扩大，任何一方没有采取有效措施导致损失扩大的，应对扩大的损失承担责任。</w:t>
      </w:r>
    </w:p>
    <w:p w14:paraId="287A73F3">
      <w:pPr>
        <w:spacing w:line="400" w:lineRule="exact"/>
        <w:ind w:firstLine="420" w:firstLineChars="200"/>
        <w:rPr>
          <w:rFonts w:hint="eastAsia"/>
        </w:rPr>
      </w:pPr>
      <w:r>
        <w:rPr>
          <w:rFonts w:hint="eastAsia"/>
        </w:rPr>
        <w:t xml:space="preserve">21.3.4 </w:t>
      </w:r>
      <w:r>
        <w:rPr>
          <w:rFonts w:hint="eastAsia" w:ascii="黑体" w:eastAsia="黑体"/>
        </w:rPr>
        <w:t>因不可抗力解除合同</w:t>
      </w:r>
    </w:p>
    <w:p w14:paraId="39F2F2D3">
      <w:pPr>
        <w:spacing w:line="400" w:lineRule="exact"/>
        <w:ind w:firstLine="420" w:firstLineChars="200"/>
        <w:rPr>
          <w:rFonts w:hint="eastAsia"/>
        </w:rPr>
      </w:pPr>
      <w:r>
        <w:rPr>
          <w:rFonts w:hint="eastAsia"/>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4001C691">
      <w:pPr>
        <w:pStyle w:val="18"/>
        <w:rPr>
          <w:rFonts w:hint="eastAsia"/>
        </w:rPr>
      </w:pPr>
      <w:bookmarkStart w:id="1170" w:name="_Toc152042532"/>
      <w:bookmarkStart w:id="1171" w:name="_Toc179632771"/>
      <w:bookmarkStart w:id="1172" w:name="_Toc152045753"/>
      <w:bookmarkStart w:id="1173" w:name="_Toc108513826"/>
      <w:bookmarkStart w:id="1174" w:name="_Toc144974724"/>
      <w:r>
        <w:rPr>
          <w:rFonts w:hint="eastAsia"/>
        </w:rPr>
        <w:t>22. 违约</w:t>
      </w:r>
      <w:bookmarkEnd w:id="1170"/>
      <w:bookmarkEnd w:id="1171"/>
      <w:bookmarkEnd w:id="1172"/>
      <w:bookmarkEnd w:id="1173"/>
      <w:bookmarkEnd w:id="1174"/>
    </w:p>
    <w:p w14:paraId="08D92590">
      <w:pPr>
        <w:pStyle w:val="20"/>
        <w:rPr>
          <w:rFonts w:hint="eastAsia"/>
        </w:rPr>
      </w:pPr>
      <w:bookmarkStart w:id="1175" w:name="_Toc152042533"/>
      <w:bookmarkStart w:id="1176" w:name="_Toc108513827"/>
      <w:bookmarkStart w:id="1177" w:name="_Toc179632772"/>
      <w:bookmarkStart w:id="1178" w:name="_Toc152045754"/>
      <w:bookmarkStart w:id="1179" w:name="_Toc144974725"/>
      <w:r>
        <w:rPr>
          <w:rFonts w:hint="eastAsia"/>
        </w:rPr>
        <w:t>22.1 承包人违约</w:t>
      </w:r>
      <w:bookmarkEnd w:id="1175"/>
      <w:bookmarkEnd w:id="1176"/>
      <w:bookmarkEnd w:id="1177"/>
      <w:bookmarkEnd w:id="1178"/>
      <w:bookmarkEnd w:id="1179"/>
    </w:p>
    <w:p w14:paraId="7A43472C">
      <w:pPr>
        <w:spacing w:line="400" w:lineRule="exact"/>
        <w:ind w:firstLine="420" w:firstLineChars="200"/>
        <w:rPr>
          <w:rFonts w:hint="eastAsia"/>
        </w:rPr>
      </w:pPr>
      <w:r>
        <w:rPr>
          <w:rFonts w:hint="eastAsia"/>
        </w:rPr>
        <w:t>22.1.1</w:t>
      </w:r>
      <w:r>
        <w:rPr>
          <w:rFonts w:hint="eastAsia" w:ascii="黑体" w:eastAsia="黑体"/>
        </w:rPr>
        <w:t xml:space="preserve"> 承包人违约的情形</w:t>
      </w:r>
    </w:p>
    <w:p w14:paraId="13F203C4">
      <w:pPr>
        <w:spacing w:line="400" w:lineRule="exact"/>
        <w:ind w:firstLine="420" w:firstLineChars="200"/>
        <w:rPr>
          <w:rFonts w:hint="eastAsia"/>
        </w:rPr>
      </w:pPr>
      <w:r>
        <w:rPr>
          <w:rFonts w:hint="eastAsia"/>
        </w:rPr>
        <w:t>在履行合同过程中发生的下列情况属承包人违约：</w:t>
      </w:r>
    </w:p>
    <w:p w14:paraId="2E1F4BBC">
      <w:pPr>
        <w:spacing w:line="400" w:lineRule="exact"/>
        <w:ind w:firstLine="718" w:firstLineChars="342"/>
        <w:rPr>
          <w:rFonts w:hint="eastAsia"/>
        </w:rPr>
      </w:pPr>
      <w:r>
        <w:rPr>
          <w:rFonts w:hint="eastAsia"/>
        </w:rPr>
        <w:t>（1）承包人违反第1.8款或第4.3款的约定，私自将合同的全部或部分权利转让给其他人，或私自将合同的全部或部分义务转移给其他人；</w:t>
      </w:r>
    </w:p>
    <w:p w14:paraId="00BF6383">
      <w:pPr>
        <w:spacing w:line="400" w:lineRule="exact"/>
        <w:ind w:firstLine="718" w:firstLineChars="342"/>
        <w:rPr>
          <w:rFonts w:hint="eastAsia"/>
        </w:rPr>
      </w:pPr>
      <w:r>
        <w:rPr>
          <w:rFonts w:hint="eastAsia"/>
        </w:rPr>
        <w:t>（2）承包人违反第5.3款或第6.4款的约定，未经监理人批准，私自将已按合同约定进入施工场地的施工设备、临时设施或材料撤离施工场地；</w:t>
      </w:r>
    </w:p>
    <w:p w14:paraId="538A7E44">
      <w:pPr>
        <w:spacing w:line="400" w:lineRule="exact"/>
        <w:ind w:firstLine="718" w:firstLineChars="342"/>
        <w:rPr>
          <w:rFonts w:hint="eastAsia"/>
        </w:rPr>
      </w:pPr>
      <w:r>
        <w:rPr>
          <w:rFonts w:hint="eastAsia"/>
        </w:rPr>
        <w:t>（3）承包人违反第5.4款的约定使用了不合格材料或工程设备，工程质量达不到标准要求，又拒绝清除不合格工程；</w:t>
      </w:r>
    </w:p>
    <w:p w14:paraId="6AC4CBBC">
      <w:pPr>
        <w:spacing w:line="400" w:lineRule="exact"/>
        <w:ind w:firstLine="718" w:firstLineChars="342"/>
        <w:rPr>
          <w:rFonts w:hint="eastAsia"/>
        </w:rPr>
      </w:pPr>
      <w:r>
        <w:rPr>
          <w:rFonts w:hint="eastAsia"/>
        </w:rPr>
        <w:t>（4）承包人未能按合同进度计划及时完成合同约定的工作，已造成或预期造成工期延误；</w:t>
      </w:r>
    </w:p>
    <w:p w14:paraId="6E0928F5">
      <w:pPr>
        <w:spacing w:line="400" w:lineRule="exact"/>
        <w:ind w:firstLine="718" w:firstLineChars="342"/>
        <w:rPr>
          <w:rFonts w:hint="eastAsia"/>
        </w:rPr>
      </w:pPr>
      <w:r>
        <w:rPr>
          <w:rFonts w:hint="eastAsia"/>
        </w:rPr>
        <w:t>（5）承包人在缺陷责任期内，未能对工程接收证书所列的缺陷清单的内容或缺陷责任期内发生的缺陷进行修复，而又拒绝按监理人指示再进行修补；</w:t>
      </w:r>
    </w:p>
    <w:p w14:paraId="0E109EC6">
      <w:pPr>
        <w:spacing w:line="400" w:lineRule="exact"/>
        <w:ind w:firstLine="718" w:firstLineChars="342"/>
        <w:rPr>
          <w:rFonts w:hint="eastAsia"/>
        </w:rPr>
      </w:pPr>
      <w:r>
        <w:rPr>
          <w:rFonts w:hint="eastAsia"/>
        </w:rPr>
        <w:t>（6）承包人无法继续履行或明确表示不履行或实质上已停止履行合同；</w:t>
      </w:r>
    </w:p>
    <w:p w14:paraId="4E30860F">
      <w:pPr>
        <w:spacing w:line="400" w:lineRule="exact"/>
        <w:ind w:firstLine="718" w:firstLineChars="342"/>
        <w:rPr>
          <w:rFonts w:hint="eastAsia"/>
        </w:rPr>
      </w:pPr>
      <w:r>
        <w:rPr>
          <w:rFonts w:hint="eastAsia"/>
        </w:rPr>
        <w:t>（7）承包人不按合同约定履行义务的其他情况。</w:t>
      </w:r>
    </w:p>
    <w:p w14:paraId="5E8DB083">
      <w:pPr>
        <w:spacing w:line="400" w:lineRule="exact"/>
        <w:ind w:firstLine="420" w:firstLineChars="200"/>
        <w:rPr>
          <w:rFonts w:hint="eastAsia" w:ascii="黑体" w:eastAsia="黑体"/>
        </w:rPr>
      </w:pPr>
      <w:r>
        <w:rPr>
          <w:rFonts w:hint="eastAsia"/>
        </w:rPr>
        <w:t>22.1.2</w:t>
      </w:r>
      <w:r>
        <w:rPr>
          <w:rFonts w:hint="eastAsia" w:ascii="黑体" w:eastAsia="黑体"/>
        </w:rPr>
        <w:t xml:space="preserve"> 对承包人违约的处理</w:t>
      </w:r>
    </w:p>
    <w:p w14:paraId="4DDE8A9C">
      <w:pPr>
        <w:spacing w:line="400" w:lineRule="exact"/>
        <w:ind w:firstLine="718" w:firstLineChars="342"/>
        <w:rPr>
          <w:rFonts w:hint="eastAsia"/>
        </w:rPr>
      </w:pPr>
      <w:r>
        <w:rPr>
          <w:rFonts w:hint="eastAsia"/>
        </w:rPr>
        <w:t>（1）承包人发生第22.1.1（6）目约定的违约情况时，发包人可通知承包人立即解除合同，并按有关法律处理。</w:t>
      </w:r>
    </w:p>
    <w:p w14:paraId="67DA683A">
      <w:pPr>
        <w:spacing w:line="400" w:lineRule="exact"/>
        <w:ind w:firstLine="718" w:firstLineChars="342"/>
        <w:rPr>
          <w:rFonts w:hint="eastAsia"/>
        </w:rPr>
      </w:pPr>
      <w:r>
        <w:rPr>
          <w:rFonts w:hint="eastAsia"/>
        </w:rPr>
        <w:t>（2）承包人发生除第22.1.1（6）目约定以外的其他违约情况时，监理人可向承包人发出整改通知，要求其在指定的期限内改正。承包人应承担其违约所引起的费用增加和（或）工期延误。</w:t>
      </w:r>
    </w:p>
    <w:p w14:paraId="1D4781A2">
      <w:pPr>
        <w:spacing w:line="400" w:lineRule="exact"/>
        <w:ind w:firstLine="718" w:firstLineChars="342"/>
        <w:rPr>
          <w:rFonts w:hint="eastAsia"/>
        </w:rPr>
      </w:pPr>
      <w:r>
        <w:rPr>
          <w:rFonts w:hint="eastAsia"/>
        </w:rPr>
        <w:t>（3）经检查证明承包人已采取了有效措施纠正违约行为，具备复工条件的，可由监理人签发复工通知复工。</w:t>
      </w:r>
    </w:p>
    <w:p w14:paraId="7CF5F977">
      <w:pPr>
        <w:spacing w:line="400" w:lineRule="exact"/>
        <w:ind w:firstLine="420" w:firstLineChars="200"/>
        <w:rPr>
          <w:rFonts w:hint="eastAsia" w:ascii="黑体" w:eastAsia="黑体"/>
        </w:rPr>
      </w:pPr>
      <w:r>
        <w:rPr>
          <w:rFonts w:hint="eastAsia"/>
        </w:rPr>
        <w:t>22.1.3</w:t>
      </w:r>
      <w:r>
        <w:rPr>
          <w:rFonts w:hint="eastAsia" w:ascii="黑体" w:eastAsia="黑体"/>
        </w:rPr>
        <w:t xml:space="preserve"> 承包人违约解除合同</w:t>
      </w:r>
    </w:p>
    <w:p w14:paraId="5C545D6D">
      <w:pPr>
        <w:spacing w:line="400" w:lineRule="exact"/>
        <w:ind w:firstLine="420" w:firstLineChars="200"/>
        <w:rPr>
          <w:rFonts w:hint="eastAsia"/>
        </w:rPr>
      </w:pPr>
      <w:r>
        <w:rPr>
          <w:rFonts w:hint="eastAsi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067BA48">
      <w:pPr>
        <w:spacing w:line="400" w:lineRule="exact"/>
        <w:ind w:firstLine="420" w:firstLineChars="200"/>
        <w:rPr>
          <w:rFonts w:hint="eastAsia" w:ascii="黑体" w:eastAsia="黑体"/>
        </w:rPr>
      </w:pPr>
      <w:r>
        <w:rPr>
          <w:rFonts w:hint="eastAsia"/>
        </w:rPr>
        <w:t>22.1.4</w:t>
      </w:r>
      <w:r>
        <w:rPr>
          <w:rFonts w:hint="eastAsia" w:ascii="黑体" w:eastAsia="黑体"/>
        </w:rPr>
        <w:t xml:space="preserve"> 合同解除后的估价、付款和结清</w:t>
      </w:r>
    </w:p>
    <w:p w14:paraId="0A64B8E2">
      <w:pPr>
        <w:spacing w:line="400" w:lineRule="exact"/>
        <w:ind w:firstLine="718" w:firstLineChars="342"/>
        <w:rPr>
          <w:rFonts w:hint="eastAsia"/>
        </w:rPr>
      </w:pPr>
      <w:r>
        <w:rPr>
          <w:rFonts w:hint="eastAsia"/>
        </w:rPr>
        <w:t xml:space="preserve">（1）合同解除后，监理人按第3.5款商定或确定承包人实际完成工作的价值，以及承包人已提供的材料、施工设备、工程设备和临时工程等的价值。 </w:t>
      </w:r>
    </w:p>
    <w:p w14:paraId="667B83E7">
      <w:pPr>
        <w:spacing w:line="400" w:lineRule="exact"/>
        <w:ind w:firstLine="718" w:firstLineChars="342"/>
        <w:rPr>
          <w:rFonts w:hint="eastAsia"/>
        </w:rPr>
      </w:pPr>
      <w:r>
        <w:rPr>
          <w:rFonts w:hint="eastAsia"/>
        </w:rPr>
        <w:t xml:space="preserve">（2）合同解除后，发包人应暂停对承包人的一切付款，查清各项付款和已扣款金额，包括承包人应支付的违约金。 </w:t>
      </w:r>
    </w:p>
    <w:p w14:paraId="76E1DCE4">
      <w:pPr>
        <w:spacing w:line="400" w:lineRule="exact"/>
        <w:ind w:firstLine="718" w:firstLineChars="342"/>
        <w:rPr>
          <w:rFonts w:hint="eastAsia"/>
        </w:rPr>
      </w:pPr>
      <w:r>
        <w:rPr>
          <w:rFonts w:hint="eastAsia"/>
        </w:rPr>
        <w:t>（3）合同解除后，发包人应按第23.4款的约定向承包人索赔由于解除合同给发包人造成的损失。</w:t>
      </w:r>
    </w:p>
    <w:p w14:paraId="267BB1F9">
      <w:pPr>
        <w:spacing w:line="400" w:lineRule="exact"/>
        <w:ind w:firstLine="718" w:firstLineChars="342"/>
        <w:rPr>
          <w:rFonts w:hint="eastAsia"/>
        </w:rPr>
      </w:pPr>
      <w:r>
        <w:rPr>
          <w:rFonts w:hint="eastAsia"/>
        </w:rPr>
        <w:t>（4）合同双方确认上述往来款项后，出具最终结清付款证书，结清全部合同款项。</w:t>
      </w:r>
    </w:p>
    <w:p w14:paraId="3F71D218">
      <w:pPr>
        <w:spacing w:line="400" w:lineRule="exact"/>
        <w:ind w:firstLine="718" w:firstLineChars="342"/>
        <w:rPr>
          <w:rFonts w:hint="eastAsia"/>
        </w:rPr>
      </w:pPr>
      <w:r>
        <w:rPr>
          <w:rFonts w:hint="eastAsia"/>
        </w:rPr>
        <w:t>（5）发包人和承包人未能就解除合同后的结清达成一致而形成争议的，按第24条的约定办理。</w:t>
      </w:r>
    </w:p>
    <w:p w14:paraId="76A96C90">
      <w:pPr>
        <w:spacing w:line="400" w:lineRule="exact"/>
        <w:ind w:firstLine="420" w:firstLineChars="200"/>
        <w:rPr>
          <w:rFonts w:hint="eastAsia" w:ascii="黑体" w:eastAsia="黑体"/>
        </w:rPr>
      </w:pPr>
      <w:r>
        <w:rPr>
          <w:rFonts w:hint="eastAsia"/>
        </w:rPr>
        <w:t>22.1.5</w:t>
      </w:r>
      <w:r>
        <w:rPr>
          <w:rFonts w:hint="eastAsia" w:ascii="黑体" w:eastAsia="黑体"/>
        </w:rPr>
        <w:t xml:space="preserve"> 协议利益的转让</w:t>
      </w:r>
    </w:p>
    <w:p w14:paraId="4A5785AC">
      <w:pPr>
        <w:spacing w:line="400" w:lineRule="exact"/>
        <w:ind w:firstLine="420" w:firstLineChars="200"/>
        <w:rPr>
          <w:rFonts w:hint="eastAsia"/>
        </w:rPr>
      </w:pPr>
      <w:r>
        <w:rPr>
          <w:rFonts w:hint="eastAsia"/>
        </w:rPr>
        <w:t xml:space="preserve">因承包人违约解除合同的，发包人有权要求承包人将其为实施合同而签订的材料和设备的订货协议或任何服务协议利益转让给发包人，并在解除合同后的14天内，依法办理转让手续。 </w:t>
      </w:r>
    </w:p>
    <w:p w14:paraId="629FEF03">
      <w:pPr>
        <w:spacing w:line="400" w:lineRule="exact"/>
        <w:ind w:firstLine="420" w:firstLineChars="200"/>
        <w:rPr>
          <w:rFonts w:hint="eastAsia" w:ascii="黑体" w:eastAsia="黑体"/>
        </w:rPr>
      </w:pPr>
      <w:r>
        <w:rPr>
          <w:rFonts w:hint="eastAsia"/>
        </w:rPr>
        <w:t>22.1.6</w:t>
      </w:r>
      <w:r>
        <w:rPr>
          <w:rFonts w:hint="eastAsia" w:ascii="黑体" w:eastAsia="黑体"/>
        </w:rPr>
        <w:t xml:space="preserve"> 紧急情况下无能力或不愿进行抢救</w:t>
      </w:r>
    </w:p>
    <w:p w14:paraId="1AC7061E">
      <w:pPr>
        <w:spacing w:line="400" w:lineRule="exact"/>
        <w:ind w:firstLine="420" w:firstLineChars="200"/>
        <w:rPr>
          <w:rFonts w:hint="eastAsia"/>
        </w:rPr>
      </w:pPr>
      <w:r>
        <w:rPr>
          <w:rFonts w:hint="eastAsia"/>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4DD39BD4">
      <w:pPr>
        <w:pStyle w:val="20"/>
        <w:rPr>
          <w:rFonts w:hint="eastAsia"/>
        </w:rPr>
      </w:pPr>
      <w:bookmarkStart w:id="1180" w:name="_Toc144974726"/>
      <w:bookmarkStart w:id="1181" w:name="_Toc152045755"/>
      <w:bookmarkStart w:id="1182" w:name="_Toc179632773"/>
      <w:bookmarkStart w:id="1183" w:name="_Toc152042534"/>
      <w:bookmarkStart w:id="1184" w:name="_Toc108513828"/>
      <w:r>
        <w:rPr>
          <w:rFonts w:hint="eastAsia"/>
        </w:rPr>
        <w:t>22.2 发包人违约</w:t>
      </w:r>
      <w:bookmarkEnd w:id="1180"/>
      <w:bookmarkEnd w:id="1181"/>
      <w:bookmarkEnd w:id="1182"/>
      <w:bookmarkEnd w:id="1183"/>
      <w:bookmarkEnd w:id="1184"/>
    </w:p>
    <w:p w14:paraId="28286BDE">
      <w:pPr>
        <w:spacing w:line="400" w:lineRule="exact"/>
        <w:ind w:firstLine="420" w:firstLineChars="200"/>
        <w:rPr>
          <w:rFonts w:hint="eastAsia" w:ascii="黑体" w:eastAsia="黑体"/>
        </w:rPr>
      </w:pPr>
      <w:r>
        <w:rPr>
          <w:rFonts w:hint="eastAsia"/>
        </w:rPr>
        <w:t xml:space="preserve">22.2.1 </w:t>
      </w:r>
      <w:r>
        <w:rPr>
          <w:rFonts w:hint="eastAsia" w:ascii="黑体" w:eastAsia="黑体"/>
        </w:rPr>
        <w:t>发包人违约的情形</w:t>
      </w:r>
    </w:p>
    <w:p w14:paraId="6035617B">
      <w:pPr>
        <w:spacing w:line="400" w:lineRule="exact"/>
        <w:ind w:firstLine="420" w:firstLineChars="200"/>
        <w:rPr>
          <w:rFonts w:hint="eastAsia"/>
        </w:rPr>
      </w:pPr>
      <w:r>
        <w:rPr>
          <w:rFonts w:hint="eastAsia"/>
        </w:rPr>
        <w:t>在履行合同过程中发生的下列情形，属发包人违约：</w:t>
      </w:r>
    </w:p>
    <w:p w14:paraId="5DD0A792">
      <w:pPr>
        <w:spacing w:line="400" w:lineRule="exact"/>
        <w:ind w:firstLine="718" w:firstLineChars="342"/>
        <w:rPr>
          <w:rFonts w:hint="eastAsia"/>
        </w:rPr>
      </w:pPr>
      <w:r>
        <w:rPr>
          <w:rFonts w:hint="eastAsia"/>
        </w:rPr>
        <w:t>（1）发包人未能按合同约定支付预付款或合同价款，或拖延、拒绝批准付款申请和支付凭证，导致付款延误的；</w:t>
      </w:r>
    </w:p>
    <w:p w14:paraId="3B9BD192">
      <w:pPr>
        <w:spacing w:line="400" w:lineRule="exact"/>
        <w:ind w:firstLine="718" w:firstLineChars="342"/>
        <w:rPr>
          <w:rFonts w:hint="eastAsia"/>
        </w:rPr>
      </w:pPr>
      <w:r>
        <w:rPr>
          <w:rFonts w:hint="eastAsia"/>
        </w:rPr>
        <w:t>（2）发包人原因造成停工的；</w:t>
      </w:r>
    </w:p>
    <w:p w14:paraId="40DE5495">
      <w:pPr>
        <w:spacing w:line="400" w:lineRule="exact"/>
        <w:ind w:firstLine="718" w:firstLineChars="342"/>
        <w:rPr>
          <w:rFonts w:hint="eastAsia"/>
        </w:rPr>
      </w:pPr>
      <w:r>
        <w:rPr>
          <w:rFonts w:hint="eastAsia"/>
        </w:rPr>
        <w:t>（3）监理人无正当理由没有在约定期限内发出复工指示，导致承包人无法复工的；</w:t>
      </w:r>
    </w:p>
    <w:p w14:paraId="5ED28B9C">
      <w:pPr>
        <w:spacing w:line="400" w:lineRule="exact"/>
        <w:ind w:firstLine="718" w:firstLineChars="342"/>
        <w:rPr>
          <w:rFonts w:hint="eastAsia"/>
        </w:rPr>
      </w:pPr>
      <w:r>
        <w:rPr>
          <w:rFonts w:hint="eastAsia"/>
        </w:rPr>
        <w:t>（4）发包人无法继续履行或明确表示不履行或实质上已停止履行合同的；</w:t>
      </w:r>
    </w:p>
    <w:p w14:paraId="073527E2">
      <w:pPr>
        <w:spacing w:line="400" w:lineRule="exact"/>
        <w:ind w:firstLine="718" w:firstLineChars="342"/>
        <w:rPr>
          <w:rFonts w:hint="eastAsia"/>
        </w:rPr>
      </w:pPr>
      <w:r>
        <w:rPr>
          <w:rFonts w:hint="eastAsia"/>
        </w:rPr>
        <w:t>（5）发包人不履行合同约定其他义务的。</w:t>
      </w:r>
    </w:p>
    <w:p w14:paraId="6A134B7A">
      <w:pPr>
        <w:spacing w:line="400" w:lineRule="exact"/>
        <w:ind w:firstLine="420" w:firstLineChars="200"/>
        <w:rPr>
          <w:rFonts w:hint="eastAsia"/>
        </w:rPr>
      </w:pPr>
      <w:r>
        <w:rPr>
          <w:rFonts w:hint="eastAsia"/>
        </w:rPr>
        <w:t>22.2.2</w:t>
      </w:r>
      <w:r>
        <w:rPr>
          <w:rFonts w:hint="eastAsia" w:ascii="黑体" w:eastAsia="黑体"/>
        </w:rPr>
        <w:t xml:space="preserve"> 承包人有权暂停施工</w:t>
      </w:r>
    </w:p>
    <w:p w14:paraId="1C3E67C9">
      <w:pPr>
        <w:spacing w:line="400" w:lineRule="exact"/>
        <w:ind w:firstLine="420" w:firstLineChars="200"/>
        <w:rPr>
          <w:rFonts w:hint="eastAsia"/>
        </w:rPr>
      </w:pPr>
      <w:r>
        <w:rPr>
          <w:rFonts w:hint="eastAsi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106E2288">
      <w:pPr>
        <w:spacing w:line="400" w:lineRule="exact"/>
        <w:ind w:firstLine="420" w:firstLineChars="200"/>
        <w:rPr>
          <w:rFonts w:hint="eastAsia"/>
        </w:rPr>
      </w:pPr>
      <w:r>
        <w:rPr>
          <w:rFonts w:hint="eastAsia"/>
        </w:rPr>
        <w:t>22.2.3</w:t>
      </w:r>
      <w:r>
        <w:rPr>
          <w:rFonts w:hint="eastAsia" w:ascii="黑体" w:eastAsia="黑体"/>
        </w:rPr>
        <w:t xml:space="preserve"> 发包人违约解除合同</w:t>
      </w:r>
      <w:r>
        <w:rPr>
          <w:rFonts w:hint="eastAsia"/>
        </w:rPr>
        <w:t xml:space="preserve"> </w:t>
      </w:r>
    </w:p>
    <w:p w14:paraId="0F3B94FD">
      <w:pPr>
        <w:spacing w:line="400" w:lineRule="exact"/>
        <w:ind w:firstLine="718" w:firstLineChars="342"/>
        <w:rPr>
          <w:rFonts w:hint="eastAsia"/>
        </w:rPr>
      </w:pPr>
      <w:r>
        <w:rPr>
          <w:rFonts w:hint="eastAsia"/>
        </w:rPr>
        <w:t xml:space="preserve">（1）发生第22.2.1（4）目的违约情况时，承包人可书面通知发包人解除合同。   </w:t>
      </w:r>
    </w:p>
    <w:p w14:paraId="66AF1C98">
      <w:pPr>
        <w:spacing w:line="400" w:lineRule="exact"/>
        <w:ind w:firstLine="718" w:firstLineChars="342"/>
        <w:rPr>
          <w:rFonts w:hint="eastAsia"/>
        </w:rPr>
      </w:pPr>
      <w:r>
        <w:rPr>
          <w:rFonts w:hint="eastAsia"/>
        </w:rPr>
        <w:t>（2）承包人按22.2.2项暂停施工28天后，发包人仍不纠正违约行为的，承包人可向发包人发出解除合同通知。但承包人的这一行动不免除发包人承担的违约责任，也不影响承包人根据合同约定享有的索赔权利。</w:t>
      </w:r>
    </w:p>
    <w:p w14:paraId="051F9EBB">
      <w:pPr>
        <w:spacing w:line="400" w:lineRule="exact"/>
        <w:ind w:firstLine="420" w:firstLineChars="200"/>
        <w:rPr>
          <w:rFonts w:hint="eastAsia" w:ascii="黑体" w:eastAsia="黑体"/>
        </w:rPr>
      </w:pPr>
      <w:r>
        <w:rPr>
          <w:rFonts w:hint="eastAsia"/>
        </w:rPr>
        <w:t>22.2.4</w:t>
      </w:r>
      <w:r>
        <w:rPr>
          <w:rFonts w:hint="eastAsia" w:ascii="黑体" w:eastAsia="黑体"/>
        </w:rPr>
        <w:t xml:space="preserve"> 解除合同后的付款</w:t>
      </w:r>
    </w:p>
    <w:p w14:paraId="639B20D9">
      <w:pPr>
        <w:spacing w:line="400" w:lineRule="exact"/>
        <w:ind w:firstLine="420" w:firstLineChars="200"/>
        <w:rPr>
          <w:rFonts w:hint="eastAsia"/>
        </w:rPr>
      </w:pPr>
      <w:r>
        <w:rPr>
          <w:rFonts w:hint="eastAsia"/>
        </w:rPr>
        <w:t>因发包人违约解除合同的，发包人应在解除合同后28天内向承包人支付下列金额，承包人应在此期限内及时向发包人提交要求支付下列金额的有关资料和凭证：</w:t>
      </w:r>
    </w:p>
    <w:p w14:paraId="74A16177">
      <w:pPr>
        <w:spacing w:line="400" w:lineRule="exact"/>
        <w:ind w:firstLine="718" w:firstLineChars="342"/>
        <w:rPr>
          <w:rFonts w:hint="eastAsia"/>
        </w:rPr>
      </w:pPr>
      <w:r>
        <w:rPr>
          <w:rFonts w:hint="eastAsia"/>
        </w:rPr>
        <w:t>（1）合同解除日以前所完成工作的价款；</w:t>
      </w:r>
    </w:p>
    <w:p w14:paraId="7F7B5400">
      <w:pPr>
        <w:spacing w:line="400" w:lineRule="exact"/>
        <w:ind w:firstLine="718" w:firstLineChars="342"/>
        <w:rPr>
          <w:rFonts w:hint="eastAsia"/>
        </w:rPr>
      </w:pPr>
      <w:r>
        <w:rPr>
          <w:rFonts w:hint="eastAsia"/>
        </w:rPr>
        <w:t>（2）承包人为该工程施工订购并已付款的材料、工程设备和其他物品的金额。发包人付还后，该材料、工程设备和其他物品归发包人所有；</w:t>
      </w:r>
    </w:p>
    <w:p w14:paraId="2AF26DDE">
      <w:pPr>
        <w:spacing w:line="400" w:lineRule="exact"/>
        <w:ind w:firstLine="718" w:firstLineChars="342"/>
        <w:rPr>
          <w:rFonts w:hint="eastAsia"/>
        </w:rPr>
      </w:pPr>
      <w:r>
        <w:rPr>
          <w:rFonts w:hint="eastAsia"/>
        </w:rPr>
        <w:t>（3）承包人为完成工程所发生的，而发包人未支付的金额；</w:t>
      </w:r>
    </w:p>
    <w:p w14:paraId="65FAEBDA">
      <w:pPr>
        <w:spacing w:line="400" w:lineRule="exact"/>
        <w:ind w:firstLine="718" w:firstLineChars="342"/>
        <w:rPr>
          <w:rFonts w:hint="eastAsia"/>
        </w:rPr>
      </w:pPr>
      <w:r>
        <w:rPr>
          <w:rFonts w:hint="eastAsia"/>
        </w:rPr>
        <w:t>（4）承包人撤离施工场地以及遣散承包人人员的金额；</w:t>
      </w:r>
    </w:p>
    <w:p w14:paraId="36929AB4">
      <w:pPr>
        <w:spacing w:line="400" w:lineRule="exact"/>
        <w:ind w:firstLine="718" w:firstLineChars="342"/>
        <w:rPr>
          <w:rFonts w:hint="eastAsia"/>
        </w:rPr>
      </w:pPr>
      <w:r>
        <w:rPr>
          <w:rFonts w:hint="eastAsia"/>
        </w:rPr>
        <w:t>（5）由于解除合同应赔偿的承包人损失；</w:t>
      </w:r>
    </w:p>
    <w:p w14:paraId="7F8186A5">
      <w:pPr>
        <w:spacing w:line="400" w:lineRule="exact"/>
        <w:ind w:firstLine="718" w:firstLineChars="342"/>
        <w:rPr>
          <w:rFonts w:hint="eastAsia"/>
        </w:rPr>
      </w:pPr>
      <w:r>
        <w:rPr>
          <w:rFonts w:hint="eastAsia"/>
        </w:rPr>
        <w:t>（6）按合同约定在合同解除日前应支付给承包人的其他金额。</w:t>
      </w:r>
    </w:p>
    <w:p w14:paraId="18BEEF57">
      <w:pPr>
        <w:spacing w:line="400" w:lineRule="exact"/>
        <w:ind w:firstLine="420" w:firstLineChars="200"/>
        <w:rPr>
          <w:rFonts w:hint="eastAsia"/>
        </w:rPr>
      </w:pPr>
      <w:r>
        <w:rPr>
          <w:rFonts w:hint="eastAsia"/>
        </w:rPr>
        <w:t>发包人应按本项约定支付上述金额并退还质量保证金和履约担保，但有权要求承包人支付应偿还给发包人的各项金额。</w:t>
      </w:r>
    </w:p>
    <w:p w14:paraId="45AA7208">
      <w:pPr>
        <w:spacing w:line="400" w:lineRule="exact"/>
        <w:ind w:firstLine="420" w:firstLineChars="200"/>
        <w:rPr>
          <w:rFonts w:hint="eastAsia" w:ascii="黑体" w:eastAsia="黑体"/>
        </w:rPr>
      </w:pPr>
      <w:r>
        <w:rPr>
          <w:rFonts w:hint="eastAsia"/>
        </w:rPr>
        <w:t>22.2.5</w:t>
      </w:r>
      <w:r>
        <w:rPr>
          <w:rFonts w:hint="eastAsia" w:ascii="黑体" w:eastAsia="黑体"/>
        </w:rPr>
        <w:t xml:space="preserve"> 解除合同后的承包人撤离</w:t>
      </w:r>
    </w:p>
    <w:p w14:paraId="66181BF6">
      <w:pPr>
        <w:spacing w:line="400" w:lineRule="exact"/>
        <w:ind w:firstLine="420" w:firstLineChars="200"/>
        <w:rPr>
          <w:rFonts w:hint="eastAsia"/>
        </w:rPr>
      </w:pPr>
      <w:r>
        <w:rPr>
          <w:rFonts w:hint="eastAsia"/>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3AD428BA">
      <w:pPr>
        <w:pStyle w:val="20"/>
        <w:rPr>
          <w:rFonts w:hint="eastAsia"/>
        </w:rPr>
      </w:pPr>
      <w:bookmarkStart w:id="1185" w:name="_Toc152042535"/>
      <w:bookmarkStart w:id="1186" w:name="_Toc152045756"/>
      <w:bookmarkStart w:id="1187" w:name="_Toc108513829"/>
      <w:bookmarkStart w:id="1188" w:name="_Toc179632774"/>
      <w:r>
        <w:rPr>
          <w:rFonts w:hint="eastAsia"/>
        </w:rPr>
        <w:t>22.3 第三人造成的违约</w:t>
      </w:r>
      <w:bookmarkEnd w:id="1185"/>
      <w:bookmarkEnd w:id="1186"/>
      <w:bookmarkEnd w:id="1187"/>
      <w:bookmarkEnd w:id="1188"/>
    </w:p>
    <w:p w14:paraId="4696FE4D">
      <w:pPr>
        <w:spacing w:line="400" w:lineRule="exact"/>
        <w:ind w:firstLine="420" w:firstLineChars="200"/>
        <w:rPr>
          <w:rFonts w:hint="eastAsia"/>
        </w:rPr>
      </w:pPr>
      <w:r>
        <w:rPr>
          <w:rFonts w:hint="eastAsia"/>
        </w:rPr>
        <w:t>在履行合同过程中，一方当事人因第三人的原因造成违约的，应当向对方当事人承担违约责任。一方当事人和第三人之间的纠纷，依照法律规定或者按照约定解决。</w:t>
      </w:r>
    </w:p>
    <w:p w14:paraId="30230205">
      <w:pPr>
        <w:pStyle w:val="18"/>
        <w:rPr>
          <w:rFonts w:hint="eastAsia"/>
        </w:rPr>
      </w:pPr>
      <w:bookmarkStart w:id="1189" w:name="_Toc179632775"/>
      <w:bookmarkStart w:id="1190" w:name="_Toc144974727"/>
      <w:bookmarkStart w:id="1191" w:name="_Toc152045757"/>
      <w:bookmarkStart w:id="1192" w:name="_Toc108513830"/>
      <w:bookmarkStart w:id="1193" w:name="_Toc152042536"/>
      <w:r>
        <w:rPr>
          <w:rFonts w:hint="eastAsia"/>
        </w:rPr>
        <w:t>23. 索赔</w:t>
      </w:r>
      <w:bookmarkEnd w:id="1189"/>
      <w:bookmarkEnd w:id="1190"/>
      <w:bookmarkEnd w:id="1191"/>
      <w:bookmarkEnd w:id="1192"/>
      <w:bookmarkEnd w:id="1193"/>
    </w:p>
    <w:p w14:paraId="5EFC985C">
      <w:pPr>
        <w:pStyle w:val="20"/>
        <w:rPr>
          <w:rFonts w:hint="eastAsia"/>
        </w:rPr>
      </w:pPr>
      <w:bookmarkStart w:id="1194" w:name="_Toc144974728"/>
      <w:bookmarkStart w:id="1195" w:name="_Toc152045758"/>
      <w:bookmarkStart w:id="1196" w:name="_Toc179632776"/>
      <w:bookmarkStart w:id="1197" w:name="_Toc152042537"/>
      <w:bookmarkStart w:id="1198" w:name="_Toc108513831"/>
      <w:r>
        <w:rPr>
          <w:rFonts w:hint="eastAsia"/>
        </w:rPr>
        <w:t>23.1 承包人索赔的提出</w:t>
      </w:r>
      <w:bookmarkEnd w:id="1194"/>
      <w:bookmarkEnd w:id="1195"/>
      <w:bookmarkEnd w:id="1196"/>
      <w:bookmarkEnd w:id="1197"/>
      <w:bookmarkEnd w:id="1198"/>
    </w:p>
    <w:p w14:paraId="5E93DC74">
      <w:pPr>
        <w:spacing w:line="400" w:lineRule="exact"/>
        <w:ind w:firstLine="420" w:firstLineChars="200"/>
        <w:rPr>
          <w:rFonts w:hint="eastAsia"/>
        </w:rPr>
      </w:pPr>
      <w:r>
        <w:rPr>
          <w:rFonts w:hint="eastAsia"/>
        </w:rPr>
        <w:t>根据合同约定，承包人认为有权得到追加付款和（或）延长工期的，应按以下程序向发包人提出索赔：</w:t>
      </w:r>
    </w:p>
    <w:p w14:paraId="591BB436">
      <w:pPr>
        <w:spacing w:line="400" w:lineRule="exact"/>
        <w:ind w:firstLine="359" w:firstLineChars="171"/>
        <w:rPr>
          <w:rFonts w:hint="eastAsia"/>
        </w:rPr>
      </w:pPr>
      <w:r>
        <w:rPr>
          <w:rFonts w:hint="eastAsia"/>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0EFD5DCC">
      <w:pPr>
        <w:spacing w:line="400" w:lineRule="exact"/>
        <w:ind w:firstLine="359" w:firstLineChars="171"/>
        <w:rPr>
          <w:rFonts w:hint="eastAsia"/>
        </w:rPr>
      </w:pPr>
      <w:r>
        <w:rPr>
          <w:rFonts w:hint="eastAsia"/>
        </w:rPr>
        <w:t>（2）承包人应在发出索赔意向通知书后28天内，向监理人正式递交索赔通知书。索赔通知书应详细说明索赔理由以及要求追加的付款金额和（或）延长的工期，并附必要的记录和证明材料；</w:t>
      </w:r>
    </w:p>
    <w:p w14:paraId="1E7EC67F">
      <w:pPr>
        <w:spacing w:line="400" w:lineRule="exact"/>
        <w:ind w:firstLine="359" w:firstLineChars="171"/>
        <w:rPr>
          <w:rFonts w:hint="eastAsia"/>
        </w:rPr>
      </w:pPr>
      <w:r>
        <w:rPr>
          <w:rFonts w:hint="eastAsia"/>
        </w:rPr>
        <w:t>（3）索赔事件具有连续影响的，承包人应按合理时间间隔继续递交延续索赔通知，说明连续影响的实际情况和记录，列出累计的追加付款金额和（或）工期延长天数；</w:t>
      </w:r>
    </w:p>
    <w:p w14:paraId="37C3826C">
      <w:pPr>
        <w:spacing w:line="400" w:lineRule="exact"/>
        <w:ind w:firstLine="359" w:firstLineChars="171"/>
        <w:rPr>
          <w:rFonts w:hint="eastAsia"/>
        </w:rPr>
      </w:pPr>
      <w:r>
        <w:rPr>
          <w:rFonts w:hint="eastAsia"/>
        </w:rPr>
        <w:t>（4）在索赔事件影响结束后的28天内，承包人应向监理人递交最终索赔通知书，说明最终要求索赔的追加付款金额和延长的工期，并附必要的记录和证明材料。</w:t>
      </w:r>
    </w:p>
    <w:p w14:paraId="3BD2BDC7">
      <w:pPr>
        <w:pStyle w:val="20"/>
        <w:rPr>
          <w:rFonts w:hint="eastAsia"/>
        </w:rPr>
      </w:pPr>
      <w:bookmarkStart w:id="1199" w:name="_Toc179632777"/>
      <w:bookmarkStart w:id="1200" w:name="_Toc152045759"/>
      <w:bookmarkStart w:id="1201" w:name="_Toc144974729"/>
      <w:bookmarkStart w:id="1202" w:name="_Toc108513832"/>
      <w:bookmarkStart w:id="1203" w:name="_Toc152042538"/>
      <w:r>
        <w:rPr>
          <w:rFonts w:hint="eastAsia"/>
        </w:rPr>
        <w:t>23.2 承包人索赔处理程序</w:t>
      </w:r>
      <w:bookmarkEnd w:id="1199"/>
      <w:bookmarkEnd w:id="1200"/>
      <w:bookmarkEnd w:id="1201"/>
      <w:bookmarkEnd w:id="1202"/>
      <w:bookmarkEnd w:id="1203"/>
    </w:p>
    <w:p w14:paraId="29455AAD">
      <w:pPr>
        <w:spacing w:line="400" w:lineRule="exact"/>
        <w:ind w:firstLine="359" w:firstLineChars="171"/>
        <w:rPr>
          <w:rFonts w:hint="eastAsia"/>
        </w:rPr>
      </w:pPr>
      <w:r>
        <w:rPr>
          <w:rFonts w:hint="eastAsia"/>
        </w:rPr>
        <w:t>（1）监理人收到承包人提交的索赔通知书后，应及时审查索赔通知书的内容、查验承包人的记录和证明材料，必要时监理人可要求承包人提交全部原始记录副本。</w:t>
      </w:r>
    </w:p>
    <w:p w14:paraId="7F318940">
      <w:pPr>
        <w:spacing w:line="400" w:lineRule="exact"/>
        <w:ind w:firstLine="359" w:firstLineChars="171"/>
        <w:rPr>
          <w:rFonts w:hint="eastAsia"/>
        </w:rPr>
      </w:pPr>
      <w:r>
        <w:rPr>
          <w:rFonts w:hint="eastAsia"/>
        </w:rPr>
        <w:t>（2）监理人应按第3.5款商定或确定追加的付款和（或）延长的工期，并在收到上述索赔通知书或有关索赔的进一步证明材料后的42天内，将索赔处理结果答复承包人。</w:t>
      </w:r>
    </w:p>
    <w:p w14:paraId="774B82CB">
      <w:pPr>
        <w:spacing w:line="400" w:lineRule="exact"/>
        <w:ind w:firstLine="359" w:firstLineChars="171"/>
        <w:rPr>
          <w:rFonts w:hint="eastAsia"/>
        </w:rPr>
      </w:pPr>
      <w:r>
        <w:rPr>
          <w:rFonts w:hint="eastAsia"/>
        </w:rPr>
        <w:t>（3）承包人接受索赔处理结果的，发包人应在作出索赔处理结果答复后28天内完成赔付。承包人不接受索赔处理结果的，按第24条的约定办理。</w:t>
      </w:r>
    </w:p>
    <w:p w14:paraId="3E611EA7">
      <w:pPr>
        <w:pStyle w:val="20"/>
        <w:rPr>
          <w:rFonts w:hint="eastAsia"/>
        </w:rPr>
      </w:pPr>
      <w:bookmarkStart w:id="1204" w:name="_Toc152045760"/>
      <w:bookmarkStart w:id="1205" w:name="_Toc152042539"/>
      <w:bookmarkStart w:id="1206" w:name="_Toc179632778"/>
      <w:bookmarkStart w:id="1207" w:name="_Toc108513833"/>
      <w:bookmarkStart w:id="1208" w:name="_Toc144974730"/>
      <w:r>
        <w:rPr>
          <w:rFonts w:hint="eastAsia"/>
        </w:rPr>
        <w:t>23.3 承包人提出索赔的期限</w:t>
      </w:r>
      <w:bookmarkEnd w:id="1204"/>
      <w:bookmarkEnd w:id="1205"/>
      <w:bookmarkEnd w:id="1206"/>
      <w:bookmarkEnd w:id="1207"/>
      <w:bookmarkEnd w:id="1208"/>
    </w:p>
    <w:p w14:paraId="73E409BE">
      <w:pPr>
        <w:spacing w:line="400" w:lineRule="exact"/>
        <w:ind w:firstLine="420" w:firstLineChars="200"/>
        <w:rPr>
          <w:rFonts w:hint="eastAsia"/>
        </w:rPr>
      </w:pPr>
      <w:r>
        <w:rPr>
          <w:rFonts w:hint="eastAsia"/>
        </w:rPr>
        <w:t>23.3.1 承包人按第17.5款的约定接受了竣工付款证书后，应被认为已无权再提出在合同工程接收证书颁发前所发生的任何索赔。</w:t>
      </w:r>
    </w:p>
    <w:p w14:paraId="712B3C97">
      <w:pPr>
        <w:spacing w:line="400" w:lineRule="exact"/>
        <w:ind w:firstLine="420" w:firstLineChars="200"/>
        <w:rPr>
          <w:rFonts w:hint="eastAsia"/>
          <w:shd w:val="pct10" w:color="auto" w:fill="FFFFFF"/>
        </w:rPr>
      </w:pPr>
      <w:r>
        <w:rPr>
          <w:rFonts w:hint="eastAsia"/>
        </w:rPr>
        <w:t xml:space="preserve">23.3.2 承包人按第17.6款的约定提交的最终结清申请单中，只限于提出工程接收证书颁发后发生的索赔。提出索赔的期限自接受最终结清证书时终止。 </w:t>
      </w:r>
    </w:p>
    <w:p w14:paraId="2CFF48CF">
      <w:pPr>
        <w:pStyle w:val="20"/>
        <w:rPr>
          <w:rFonts w:hint="eastAsia"/>
        </w:rPr>
      </w:pPr>
      <w:bookmarkStart w:id="1209" w:name="_Toc144974731"/>
      <w:bookmarkStart w:id="1210" w:name="_Toc179632779"/>
      <w:bookmarkStart w:id="1211" w:name="_Toc108513834"/>
      <w:bookmarkStart w:id="1212" w:name="_Toc152042540"/>
      <w:bookmarkStart w:id="1213" w:name="_Toc152045761"/>
      <w:r>
        <w:rPr>
          <w:rFonts w:hint="eastAsia"/>
        </w:rPr>
        <w:t>23.4 发包人的索赔</w:t>
      </w:r>
      <w:bookmarkEnd w:id="1209"/>
      <w:bookmarkEnd w:id="1210"/>
      <w:bookmarkEnd w:id="1211"/>
      <w:bookmarkEnd w:id="1212"/>
      <w:bookmarkEnd w:id="1213"/>
    </w:p>
    <w:p w14:paraId="6923DC58">
      <w:pPr>
        <w:spacing w:line="400" w:lineRule="exact"/>
        <w:ind w:firstLine="420" w:firstLineChars="200"/>
        <w:rPr>
          <w:rFonts w:hint="eastAsia"/>
        </w:rPr>
      </w:pPr>
      <w:r>
        <w:rPr>
          <w:rFonts w:hint="eastAsia"/>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79F665AF">
      <w:pPr>
        <w:spacing w:line="400" w:lineRule="exact"/>
        <w:ind w:firstLine="420" w:firstLineChars="200"/>
        <w:rPr>
          <w:rFonts w:hint="eastAsia"/>
        </w:rPr>
      </w:pPr>
      <w:r>
        <w:rPr>
          <w:rFonts w:hint="eastAsia"/>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59BC0282">
      <w:pPr>
        <w:pStyle w:val="18"/>
        <w:rPr>
          <w:rFonts w:hint="eastAsia"/>
        </w:rPr>
      </w:pPr>
      <w:bookmarkStart w:id="1214" w:name="_Toc144974732"/>
      <w:bookmarkStart w:id="1215" w:name="_Toc179632780"/>
      <w:bookmarkStart w:id="1216" w:name="_Toc152045762"/>
      <w:bookmarkStart w:id="1217" w:name="_Toc152042541"/>
      <w:bookmarkStart w:id="1218" w:name="_Toc108513835"/>
      <w:r>
        <w:rPr>
          <w:rFonts w:hint="eastAsia"/>
        </w:rPr>
        <w:t>24. 争议的解决</w:t>
      </w:r>
      <w:bookmarkEnd w:id="1214"/>
      <w:bookmarkEnd w:id="1215"/>
      <w:bookmarkEnd w:id="1216"/>
      <w:bookmarkEnd w:id="1217"/>
      <w:bookmarkEnd w:id="1218"/>
    </w:p>
    <w:p w14:paraId="25CF4BA4">
      <w:pPr>
        <w:pStyle w:val="20"/>
        <w:rPr>
          <w:rFonts w:hint="eastAsia"/>
        </w:rPr>
      </w:pPr>
      <w:bookmarkStart w:id="1219" w:name="_Toc179632781"/>
      <w:bookmarkStart w:id="1220" w:name="_Toc152042542"/>
      <w:bookmarkStart w:id="1221" w:name="_Toc144974733"/>
      <w:bookmarkStart w:id="1222" w:name="_Toc108513836"/>
      <w:bookmarkStart w:id="1223" w:name="_Toc152045763"/>
      <w:r>
        <w:rPr>
          <w:rFonts w:hint="eastAsia"/>
        </w:rPr>
        <w:t>24.1 争议的解决方式</w:t>
      </w:r>
      <w:bookmarkEnd w:id="1219"/>
      <w:bookmarkEnd w:id="1220"/>
      <w:bookmarkEnd w:id="1221"/>
      <w:bookmarkEnd w:id="1222"/>
      <w:bookmarkEnd w:id="1223"/>
    </w:p>
    <w:p w14:paraId="664CED3F">
      <w:pPr>
        <w:spacing w:line="400" w:lineRule="exact"/>
        <w:ind w:firstLine="420" w:firstLineChars="200"/>
        <w:rPr>
          <w:rFonts w:hint="eastAsia"/>
        </w:rPr>
      </w:pPr>
      <w:r>
        <w:rPr>
          <w:rFonts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0748B147">
      <w:pPr>
        <w:spacing w:line="400" w:lineRule="exact"/>
        <w:ind w:firstLine="420" w:firstLineChars="200"/>
        <w:rPr>
          <w:rFonts w:hint="eastAsia"/>
        </w:rPr>
      </w:pPr>
      <w:r>
        <w:rPr>
          <w:rFonts w:hint="eastAsia"/>
        </w:rPr>
        <w:t>（1）向约定的仲裁委员会申请仲裁；</w:t>
      </w:r>
    </w:p>
    <w:p w14:paraId="152D4536">
      <w:pPr>
        <w:spacing w:line="400" w:lineRule="exact"/>
        <w:ind w:firstLine="420" w:firstLineChars="200"/>
        <w:rPr>
          <w:rFonts w:hint="eastAsia"/>
        </w:rPr>
      </w:pPr>
      <w:r>
        <w:rPr>
          <w:rFonts w:hint="eastAsia"/>
        </w:rPr>
        <w:t>（2）向有管辖权的人民法院提起诉讼。</w:t>
      </w:r>
    </w:p>
    <w:p w14:paraId="1AC30F7C">
      <w:pPr>
        <w:pStyle w:val="20"/>
        <w:rPr>
          <w:rFonts w:hint="eastAsia"/>
        </w:rPr>
      </w:pPr>
      <w:bookmarkStart w:id="1224" w:name="_Toc179632782"/>
      <w:bookmarkStart w:id="1225" w:name="_Toc108513837"/>
      <w:bookmarkStart w:id="1226" w:name="_Toc152042543"/>
      <w:bookmarkStart w:id="1227" w:name="_Toc144974734"/>
      <w:bookmarkStart w:id="1228" w:name="_Toc152045764"/>
      <w:r>
        <w:rPr>
          <w:rFonts w:hint="eastAsia"/>
        </w:rPr>
        <w:t>24.2 友好解决</w:t>
      </w:r>
      <w:bookmarkEnd w:id="1224"/>
      <w:bookmarkEnd w:id="1225"/>
      <w:bookmarkEnd w:id="1226"/>
      <w:bookmarkEnd w:id="1227"/>
      <w:bookmarkEnd w:id="1228"/>
    </w:p>
    <w:p w14:paraId="27CF2D70">
      <w:pPr>
        <w:spacing w:line="400" w:lineRule="exact"/>
        <w:ind w:firstLine="420" w:firstLineChars="200"/>
        <w:rPr>
          <w:rFonts w:hint="eastAsia"/>
        </w:rPr>
      </w:pPr>
      <w:r>
        <w:rPr>
          <w:rFonts w:hint="eastAsia"/>
        </w:rPr>
        <w:t>在提请争议评审、仲裁或者诉讼前，以及在争议评审、仲裁或诉讼过程中，发包人和承包人均可共同努力友好协商解决争议。</w:t>
      </w:r>
    </w:p>
    <w:p w14:paraId="2BEA0EAE">
      <w:pPr>
        <w:pStyle w:val="20"/>
        <w:rPr>
          <w:rFonts w:hint="eastAsia"/>
        </w:rPr>
      </w:pPr>
      <w:bookmarkStart w:id="1229" w:name="_Toc152045765"/>
      <w:bookmarkStart w:id="1230" w:name="_Toc179632783"/>
      <w:bookmarkStart w:id="1231" w:name="_Toc152042544"/>
      <w:bookmarkStart w:id="1232" w:name="_Toc108513838"/>
      <w:bookmarkStart w:id="1233" w:name="_Toc144974735"/>
      <w:r>
        <w:rPr>
          <w:rFonts w:hint="eastAsia"/>
        </w:rPr>
        <w:t>24.3 争议评审</w:t>
      </w:r>
      <w:bookmarkEnd w:id="1229"/>
      <w:bookmarkEnd w:id="1230"/>
      <w:bookmarkEnd w:id="1231"/>
      <w:bookmarkEnd w:id="1232"/>
      <w:bookmarkEnd w:id="1233"/>
    </w:p>
    <w:p w14:paraId="0EF679BA">
      <w:pPr>
        <w:spacing w:line="400" w:lineRule="exact"/>
        <w:ind w:firstLine="420" w:firstLineChars="200"/>
        <w:rPr>
          <w:rFonts w:hint="eastAsia"/>
        </w:rPr>
      </w:pPr>
      <w:r>
        <w:rPr>
          <w:rFonts w:hint="eastAsia"/>
        </w:rPr>
        <w:t>24.3.1 采用争议评审的，发包人和承包人应在开工日后的28天内或在争议发生后，协商成立争议评审组。争议评审组由有合同管理和工程实践经验的专家组成。</w:t>
      </w:r>
    </w:p>
    <w:p w14:paraId="04EB5108">
      <w:pPr>
        <w:spacing w:line="400" w:lineRule="exact"/>
        <w:ind w:firstLine="420" w:firstLineChars="200"/>
        <w:rPr>
          <w:rFonts w:hint="eastAsia"/>
        </w:rPr>
      </w:pPr>
      <w:r>
        <w:rPr>
          <w:rFonts w:hint="eastAsia"/>
        </w:rPr>
        <w:t>24.3.2 合同双方的争议，应首先由申请人向争议评审组提交一份详细的评审申请报告，并附必要的文件、图纸和证明材料，申请人还应将上述报告的副本同时提交给被申请人和监理人。</w:t>
      </w:r>
    </w:p>
    <w:p w14:paraId="1ECC998B">
      <w:pPr>
        <w:spacing w:line="400" w:lineRule="exact"/>
        <w:ind w:firstLine="420" w:firstLineChars="200"/>
        <w:rPr>
          <w:rFonts w:hint="eastAsia"/>
        </w:rPr>
      </w:pPr>
      <w:r>
        <w:rPr>
          <w:rFonts w:hint="eastAsia"/>
        </w:rPr>
        <w:t>24.3.3 被申请人在收到申请人评审申请报告副本后的28天内，向争议评审组提交一份答辩报告，并附证明材料。被申请人应将答辩报告的副本同时提交给申请人和监理人。</w:t>
      </w:r>
    </w:p>
    <w:p w14:paraId="01FBD960">
      <w:pPr>
        <w:spacing w:line="400" w:lineRule="exact"/>
        <w:ind w:firstLine="420" w:firstLineChars="200"/>
        <w:rPr>
          <w:rFonts w:hint="eastAsia"/>
        </w:rPr>
      </w:pPr>
      <w:r>
        <w:rPr>
          <w:rFonts w:hint="eastAsia"/>
        </w:rPr>
        <w:t>24.3.4 除专用合同条款另有约定外，争议评审组在收到合同双方报告后的14天内，邀请双方代表和有关人员举行调查会，向双方调查争议细节；必要时争议评审组可要求双方进一步提供补充材料。</w:t>
      </w:r>
    </w:p>
    <w:p w14:paraId="3082B333">
      <w:pPr>
        <w:spacing w:line="400" w:lineRule="exact"/>
        <w:ind w:firstLine="420" w:firstLineChars="200"/>
        <w:rPr>
          <w:rFonts w:hint="eastAsia"/>
        </w:rPr>
      </w:pPr>
      <w:r>
        <w:rPr>
          <w:rFonts w:hint="eastAsia"/>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75289AF6">
      <w:pPr>
        <w:spacing w:line="400" w:lineRule="exact"/>
        <w:ind w:firstLine="420" w:firstLineChars="200"/>
        <w:rPr>
          <w:rFonts w:hint="eastAsia"/>
        </w:rPr>
      </w:pPr>
      <w:r>
        <w:rPr>
          <w:rFonts w:hint="eastAsia"/>
        </w:rPr>
        <w:t>24.3.6 发包人和承包人接受评审意见的，由监理人根据评审意见拟定执行协议，经争议双方签字后作为合同的补充文件，并遵照执行。</w:t>
      </w:r>
    </w:p>
    <w:p w14:paraId="699C0364">
      <w:pPr>
        <w:spacing w:line="400" w:lineRule="exact"/>
        <w:ind w:firstLine="420" w:firstLineChars="200"/>
        <w:rPr>
          <w:rFonts w:hint="eastAsia"/>
        </w:rPr>
      </w:pPr>
      <w:r>
        <w:rPr>
          <w:rFonts w:hint="eastAsia"/>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17A94224">
      <w:pPr>
        <w:rPr>
          <w:rFonts w:hint="eastAsia"/>
        </w:rPr>
      </w:pPr>
      <w:r>
        <w:br w:type="page"/>
      </w:r>
    </w:p>
    <w:p w14:paraId="537A2EEA">
      <w:pPr>
        <w:rPr>
          <w:rFonts w:hint="eastAsia"/>
        </w:rPr>
      </w:pPr>
    </w:p>
    <w:p w14:paraId="6562E6D0">
      <w:pPr>
        <w:rPr>
          <w:rFonts w:hint="eastAsia"/>
        </w:rPr>
      </w:pPr>
    </w:p>
    <w:p w14:paraId="27A809A9">
      <w:pPr>
        <w:rPr>
          <w:rFonts w:hint="eastAsia"/>
        </w:rPr>
      </w:pPr>
    </w:p>
    <w:p w14:paraId="30768AE4">
      <w:pPr>
        <w:rPr>
          <w:rFonts w:hint="eastAsia"/>
        </w:rPr>
      </w:pPr>
    </w:p>
    <w:p w14:paraId="65DDF19B">
      <w:pPr>
        <w:rPr>
          <w:rFonts w:hint="eastAsia" w:ascii="黑体" w:eastAsia="黑体"/>
          <w:sz w:val="30"/>
          <w:szCs w:val="30"/>
        </w:rPr>
      </w:pPr>
    </w:p>
    <w:p w14:paraId="11A9BABD">
      <w:pPr>
        <w:pStyle w:val="18"/>
        <w:jc w:val="center"/>
      </w:pPr>
      <w:bookmarkStart w:id="1234" w:name="_Toc108513839"/>
      <w:r>
        <w:rPr>
          <w:rFonts w:hint="eastAsia"/>
        </w:rPr>
        <w:t>第二节  专用合同条款</w:t>
      </w:r>
      <w:bookmarkEnd w:id="1234"/>
    </w:p>
    <w:p w14:paraId="5F3BFCA1">
      <w:pPr>
        <w:spacing w:line="400" w:lineRule="exact"/>
        <w:jc w:val="center"/>
        <w:rPr>
          <w:rFonts w:hint="eastAsia" w:ascii="黑体" w:eastAsia="黑体"/>
          <w:sz w:val="24"/>
        </w:rPr>
      </w:pPr>
      <w:r>
        <w:rPr>
          <w:rFonts w:ascii="黑体" w:eastAsia="黑体"/>
          <w:sz w:val="24"/>
        </w:rPr>
        <w:br w:type="page"/>
      </w:r>
      <w:r>
        <w:rPr>
          <w:rFonts w:hint="eastAsia" w:ascii="黑体" w:eastAsia="黑体"/>
          <w:sz w:val="28"/>
          <w:szCs w:val="28"/>
        </w:rPr>
        <w:t>专用合同条款</w:t>
      </w:r>
    </w:p>
    <w:p w14:paraId="6B124A00">
      <w:pPr>
        <w:pStyle w:val="18"/>
        <w:rPr>
          <w:rFonts w:hint="eastAsia"/>
        </w:rPr>
      </w:pPr>
      <w:bookmarkStart w:id="1235" w:name="_Toc108513840"/>
      <w:r>
        <w:rPr>
          <w:rFonts w:hint="eastAsia"/>
        </w:rPr>
        <w:t>1.一般约定</w:t>
      </w:r>
      <w:bookmarkEnd w:id="1235"/>
    </w:p>
    <w:p w14:paraId="5F989F99">
      <w:pPr>
        <w:pStyle w:val="20"/>
        <w:rPr>
          <w:rFonts w:hint="eastAsia"/>
        </w:rPr>
      </w:pPr>
      <w:bookmarkStart w:id="1236" w:name="_Toc108513841"/>
      <w:r>
        <w:rPr>
          <w:rFonts w:hint="eastAsia"/>
        </w:rPr>
        <w:t>1.1词语定义</w:t>
      </w:r>
      <w:bookmarkEnd w:id="1236"/>
    </w:p>
    <w:p w14:paraId="2E5F1B76">
      <w:pPr>
        <w:spacing w:before="62" w:beforeLines="20" w:line="320" w:lineRule="exact"/>
        <w:ind w:firstLine="422" w:firstLineChars="200"/>
        <w:rPr>
          <w:rFonts w:hint="eastAsia" w:ascii="宋体" w:hAnsi="宋体"/>
          <w:b/>
          <w:szCs w:val="21"/>
        </w:rPr>
      </w:pPr>
      <w:r>
        <w:rPr>
          <w:rFonts w:hint="eastAsia" w:ascii="宋体" w:hAnsi="宋体"/>
          <w:b/>
          <w:szCs w:val="21"/>
        </w:rPr>
        <w:t>1.1.2合同当事人和人员</w:t>
      </w:r>
    </w:p>
    <w:p w14:paraId="7993DED0">
      <w:pPr>
        <w:spacing w:line="390" w:lineRule="exact"/>
        <w:ind w:firstLine="420" w:firstLineChars="200"/>
        <w:rPr>
          <w:rFonts w:hint="eastAsia" w:ascii="宋体" w:hAnsi="宋体"/>
          <w:szCs w:val="21"/>
        </w:rPr>
      </w:pPr>
      <w:r>
        <w:rPr>
          <w:rFonts w:hint="eastAsia" w:ascii="宋体" w:hAnsi="宋体"/>
          <w:szCs w:val="21"/>
        </w:rPr>
        <w:t>1.1.2.2发包人：</w:t>
      </w:r>
      <w:r>
        <w:rPr>
          <w:rFonts w:hint="eastAsia" w:ascii="宋体" w:hAnsi="宋体"/>
          <w:szCs w:val="21"/>
          <w:u w:val="single"/>
        </w:rPr>
        <w:t xml:space="preserve">                                                           </w:t>
      </w:r>
      <w:r>
        <w:rPr>
          <w:rFonts w:hint="eastAsia" w:ascii="宋体" w:hAnsi="宋体"/>
          <w:szCs w:val="21"/>
        </w:rPr>
        <w:t>。</w:t>
      </w:r>
    </w:p>
    <w:p w14:paraId="5E060DE1">
      <w:pPr>
        <w:spacing w:line="390" w:lineRule="exact"/>
        <w:ind w:firstLine="420" w:firstLineChars="200"/>
        <w:rPr>
          <w:rFonts w:hint="eastAsia" w:ascii="宋体" w:hAnsi="宋体"/>
          <w:szCs w:val="21"/>
        </w:rPr>
      </w:pPr>
      <w:r>
        <w:rPr>
          <w:rFonts w:hint="eastAsia" w:ascii="宋体" w:hAnsi="宋体"/>
          <w:szCs w:val="21"/>
        </w:rPr>
        <w:t>1.1.2.6监理人：</w:t>
      </w:r>
      <w:r>
        <w:rPr>
          <w:rFonts w:hint="eastAsia" w:ascii="宋体" w:hAnsi="宋体"/>
          <w:szCs w:val="21"/>
          <w:u w:val="single"/>
        </w:rPr>
        <w:t xml:space="preserve">                                                           </w:t>
      </w:r>
      <w:r>
        <w:rPr>
          <w:rFonts w:hint="eastAsia" w:ascii="宋体" w:hAnsi="宋体"/>
          <w:szCs w:val="21"/>
        </w:rPr>
        <w:t>。</w:t>
      </w:r>
    </w:p>
    <w:p w14:paraId="6A1D9F5C">
      <w:pPr>
        <w:spacing w:line="390" w:lineRule="exact"/>
        <w:ind w:firstLine="420" w:firstLineChars="200"/>
        <w:rPr>
          <w:rFonts w:hint="eastAsia" w:ascii="宋体" w:hAnsi="宋体"/>
          <w:szCs w:val="21"/>
        </w:rPr>
      </w:pPr>
      <w:r>
        <w:rPr>
          <w:rFonts w:hint="eastAsia" w:ascii="宋体" w:hAnsi="宋体"/>
          <w:szCs w:val="21"/>
        </w:rPr>
        <w:t>1.1.2.8发包人代表：指发包人指定的派驻施工场地(现场)的全权代表。</w:t>
      </w:r>
    </w:p>
    <w:p w14:paraId="70726BE8">
      <w:pPr>
        <w:spacing w:line="390" w:lineRule="exact"/>
        <w:ind w:firstLine="420" w:firstLineChars="200"/>
        <w:rPr>
          <w:rFonts w:hint="eastAsia" w:ascii="宋体" w:hAnsi="宋体"/>
          <w:szCs w:val="21"/>
        </w:rPr>
      </w:pPr>
      <w:r>
        <w:rPr>
          <w:rFonts w:hint="eastAsia" w:ascii="宋体" w:hAnsi="宋体"/>
          <w:szCs w:val="21"/>
        </w:rPr>
        <w:t>姓    名：</w:t>
      </w:r>
      <w:r>
        <w:rPr>
          <w:rFonts w:hint="eastAsia" w:ascii="宋体" w:hAnsi="宋体"/>
          <w:szCs w:val="21"/>
          <w:u w:val="single"/>
        </w:rPr>
        <w:t xml:space="preserve">                                                                 </w:t>
      </w:r>
      <w:r>
        <w:rPr>
          <w:rFonts w:hint="eastAsia" w:ascii="宋体" w:hAnsi="宋体"/>
          <w:szCs w:val="21"/>
        </w:rPr>
        <w:t>。</w:t>
      </w:r>
    </w:p>
    <w:p w14:paraId="19874586">
      <w:pPr>
        <w:spacing w:line="390" w:lineRule="exact"/>
        <w:ind w:firstLine="420" w:firstLineChars="200"/>
        <w:rPr>
          <w:rFonts w:hint="eastAsia" w:ascii="宋体" w:hAnsi="宋体"/>
          <w:szCs w:val="21"/>
        </w:rPr>
      </w:pPr>
      <w:r>
        <w:rPr>
          <w:rFonts w:hint="eastAsia" w:ascii="宋体" w:hAnsi="宋体"/>
          <w:szCs w:val="21"/>
        </w:rPr>
        <w:t>职    称：</w:t>
      </w:r>
      <w:r>
        <w:rPr>
          <w:rFonts w:hint="eastAsia" w:ascii="宋体" w:hAnsi="宋体"/>
          <w:szCs w:val="21"/>
          <w:u w:val="single"/>
        </w:rPr>
        <w:t xml:space="preserve">                                                                 </w:t>
      </w:r>
      <w:r>
        <w:rPr>
          <w:rFonts w:hint="eastAsia" w:ascii="宋体" w:hAnsi="宋体"/>
          <w:szCs w:val="21"/>
        </w:rPr>
        <w:t>。</w:t>
      </w:r>
    </w:p>
    <w:p w14:paraId="3DA272C6">
      <w:pPr>
        <w:spacing w:line="390" w:lineRule="exact"/>
        <w:ind w:firstLine="420" w:firstLineChars="200"/>
        <w:rPr>
          <w:rFonts w:hint="eastAsia" w:ascii="宋体" w:hAnsi="宋体"/>
          <w:szCs w:val="21"/>
        </w:rPr>
      </w:pPr>
      <w:r>
        <w:rPr>
          <w:rFonts w:hint="eastAsia" w:ascii="宋体" w:hAnsi="宋体"/>
          <w:szCs w:val="21"/>
        </w:rPr>
        <w:t>联系电话：</w:t>
      </w:r>
      <w:r>
        <w:rPr>
          <w:rFonts w:hint="eastAsia" w:ascii="宋体" w:hAnsi="宋体"/>
          <w:szCs w:val="21"/>
          <w:u w:val="single"/>
        </w:rPr>
        <w:t xml:space="preserve">                                                                 </w:t>
      </w:r>
      <w:r>
        <w:rPr>
          <w:rFonts w:hint="eastAsia" w:ascii="宋体" w:hAnsi="宋体"/>
          <w:szCs w:val="21"/>
        </w:rPr>
        <w:t>。</w:t>
      </w:r>
    </w:p>
    <w:p w14:paraId="1498F74F">
      <w:pPr>
        <w:spacing w:line="390" w:lineRule="exact"/>
        <w:ind w:firstLine="420" w:firstLineChars="200"/>
        <w:rPr>
          <w:rFonts w:hint="eastAsia" w:ascii="宋体" w:hAnsi="宋体"/>
          <w:szCs w:val="21"/>
        </w:rPr>
      </w:pPr>
      <w:r>
        <w:rPr>
          <w:rFonts w:hint="eastAsia" w:ascii="宋体" w:hAnsi="宋体"/>
          <w:szCs w:val="21"/>
        </w:rPr>
        <w:t>电子信箱：</w:t>
      </w:r>
      <w:r>
        <w:rPr>
          <w:rFonts w:hint="eastAsia" w:ascii="宋体" w:hAnsi="宋体"/>
          <w:szCs w:val="21"/>
          <w:u w:val="single"/>
        </w:rPr>
        <w:t xml:space="preserve">                                                                 </w:t>
      </w:r>
      <w:r>
        <w:rPr>
          <w:rFonts w:hint="eastAsia" w:ascii="宋体" w:hAnsi="宋体"/>
          <w:szCs w:val="21"/>
        </w:rPr>
        <w:t>。</w:t>
      </w:r>
    </w:p>
    <w:p w14:paraId="4DFC5EE3">
      <w:pPr>
        <w:spacing w:line="390" w:lineRule="exact"/>
        <w:ind w:firstLine="420" w:firstLineChars="200"/>
        <w:rPr>
          <w:rFonts w:hint="eastAsia" w:ascii="宋体" w:hAnsi="宋体"/>
          <w:szCs w:val="21"/>
        </w:rPr>
      </w:pPr>
      <w:r>
        <w:rPr>
          <w:rFonts w:hint="eastAsia" w:ascii="宋体" w:hAnsi="宋体"/>
          <w:szCs w:val="21"/>
        </w:rPr>
        <w:t>通信地址：</w:t>
      </w:r>
      <w:r>
        <w:rPr>
          <w:rFonts w:hint="eastAsia" w:ascii="宋体" w:hAnsi="宋体"/>
          <w:szCs w:val="21"/>
          <w:u w:val="single"/>
        </w:rPr>
        <w:t xml:space="preserve">                                                                 </w:t>
      </w:r>
      <w:r>
        <w:rPr>
          <w:rFonts w:hint="eastAsia" w:ascii="宋体" w:hAnsi="宋体"/>
          <w:szCs w:val="21"/>
        </w:rPr>
        <w:t>。</w:t>
      </w:r>
    </w:p>
    <w:p w14:paraId="6619DF97">
      <w:pPr>
        <w:spacing w:line="390" w:lineRule="exact"/>
        <w:ind w:firstLine="420" w:firstLineChars="200"/>
        <w:rPr>
          <w:rFonts w:hint="eastAsia" w:ascii="宋体" w:hAnsi="宋体"/>
          <w:szCs w:val="21"/>
        </w:rPr>
      </w:pPr>
      <w:r>
        <w:rPr>
          <w:rFonts w:hint="eastAsia" w:ascii="宋体" w:hAnsi="宋体"/>
          <w:szCs w:val="21"/>
        </w:rPr>
        <w:t>1.1.2.9 专业分包人：指根据合同条款第15.8.1项的约定，由发包人和承包人以招标方式选择的分包人。</w:t>
      </w:r>
    </w:p>
    <w:p w14:paraId="27041D74">
      <w:pPr>
        <w:spacing w:line="390" w:lineRule="exact"/>
        <w:ind w:firstLine="420" w:firstLineChars="200"/>
        <w:rPr>
          <w:rFonts w:hint="eastAsia" w:ascii="宋体" w:hAnsi="宋体"/>
          <w:szCs w:val="21"/>
        </w:rPr>
      </w:pPr>
      <w:r>
        <w:rPr>
          <w:rFonts w:hint="eastAsia" w:ascii="宋体" w:hAnsi="宋体"/>
          <w:szCs w:val="21"/>
        </w:rPr>
        <w:t>1.1.2.10 专项供应商：指根据合同条款第15.8.1项的约定，由发包人和承包人以招标方式选择的供应商。</w:t>
      </w:r>
    </w:p>
    <w:p w14:paraId="656254B3">
      <w:pPr>
        <w:spacing w:line="390" w:lineRule="exact"/>
        <w:ind w:firstLine="420" w:firstLineChars="200"/>
        <w:rPr>
          <w:rFonts w:hint="eastAsia" w:ascii="宋体" w:hAnsi="宋体"/>
          <w:szCs w:val="21"/>
        </w:rPr>
      </w:pPr>
      <w:r>
        <w:rPr>
          <w:rFonts w:hint="eastAsia" w:ascii="宋体" w:hAnsi="宋体"/>
          <w:szCs w:val="21"/>
        </w:rPr>
        <w:t>1.1.2.11独立承包人：指与发包人直接订立工程承包合同，负责实施与工程有关的其他工作的当事人。</w:t>
      </w:r>
    </w:p>
    <w:p w14:paraId="268B614D">
      <w:pPr>
        <w:spacing w:line="390" w:lineRule="exact"/>
        <w:ind w:firstLine="422" w:firstLineChars="200"/>
        <w:rPr>
          <w:rFonts w:hint="eastAsia" w:ascii="宋体" w:hAnsi="宋体"/>
          <w:b/>
          <w:szCs w:val="21"/>
        </w:rPr>
      </w:pPr>
      <w:r>
        <w:rPr>
          <w:rFonts w:hint="eastAsia" w:ascii="宋体" w:hAnsi="宋体"/>
          <w:b/>
          <w:szCs w:val="21"/>
        </w:rPr>
        <w:t>1.1.3工程和设备</w:t>
      </w:r>
    </w:p>
    <w:p w14:paraId="480731AF">
      <w:pPr>
        <w:spacing w:line="390" w:lineRule="exact"/>
        <w:ind w:firstLine="420" w:firstLineChars="200"/>
        <w:rPr>
          <w:rFonts w:hint="eastAsia" w:ascii="宋体" w:hAnsi="宋体"/>
          <w:szCs w:val="21"/>
        </w:rPr>
      </w:pPr>
      <w:r>
        <w:rPr>
          <w:rFonts w:hint="eastAsia" w:ascii="宋体" w:hAnsi="宋体"/>
          <w:szCs w:val="21"/>
        </w:rPr>
        <w:t>1.1.3.2永久工程：</w:t>
      </w:r>
      <w:r>
        <w:rPr>
          <w:rFonts w:hint="eastAsia" w:ascii="宋体" w:hAnsi="宋体"/>
          <w:szCs w:val="21"/>
          <w:u w:val="single"/>
        </w:rPr>
        <w:t xml:space="preserve">                                                         </w:t>
      </w:r>
      <w:r>
        <w:rPr>
          <w:rFonts w:hint="eastAsia" w:ascii="宋体" w:hAnsi="宋体"/>
          <w:szCs w:val="21"/>
        </w:rPr>
        <w:t>。</w:t>
      </w:r>
    </w:p>
    <w:p w14:paraId="61783E71">
      <w:pPr>
        <w:spacing w:line="390" w:lineRule="exact"/>
        <w:ind w:firstLine="420" w:firstLineChars="200"/>
        <w:rPr>
          <w:rFonts w:hint="eastAsia" w:ascii="宋体" w:hAnsi="宋体"/>
          <w:szCs w:val="21"/>
        </w:rPr>
      </w:pPr>
      <w:r>
        <w:rPr>
          <w:rFonts w:hint="eastAsia" w:ascii="宋体" w:hAnsi="宋体"/>
          <w:szCs w:val="21"/>
        </w:rPr>
        <w:t>1.1.3.3临时工程：</w:t>
      </w:r>
      <w:r>
        <w:rPr>
          <w:rFonts w:hint="eastAsia" w:ascii="宋体" w:hAnsi="宋体"/>
          <w:szCs w:val="21"/>
          <w:u w:val="single"/>
        </w:rPr>
        <w:t xml:space="preserve">                                                         </w:t>
      </w:r>
      <w:r>
        <w:rPr>
          <w:rFonts w:hint="eastAsia" w:ascii="宋体" w:hAnsi="宋体"/>
          <w:szCs w:val="21"/>
        </w:rPr>
        <w:t>。</w:t>
      </w:r>
    </w:p>
    <w:p w14:paraId="480591B0">
      <w:pPr>
        <w:spacing w:line="390" w:lineRule="exact"/>
        <w:ind w:firstLine="420" w:firstLineChars="200"/>
        <w:rPr>
          <w:rFonts w:hint="eastAsia" w:ascii="宋体" w:hAnsi="宋体"/>
          <w:szCs w:val="21"/>
        </w:rPr>
      </w:pPr>
      <w:r>
        <w:rPr>
          <w:rFonts w:hint="eastAsia" w:ascii="宋体" w:hAnsi="宋体"/>
          <w:szCs w:val="21"/>
        </w:rPr>
        <w:t>1.1.3.4单位工程：指具有相对独立的设计文件，能够独立组织施工并能形成独立使用功能的永久工程的组成部分。</w:t>
      </w:r>
    </w:p>
    <w:p w14:paraId="32B3C836">
      <w:pPr>
        <w:spacing w:line="390" w:lineRule="exact"/>
        <w:ind w:firstLine="420" w:firstLineChars="200"/>
        <w:rPr>
          <w:rFonts w:hint="eastAsia" w:ascii="宋体" w:hAnsi="宋体"/>
          <w:szCs w:val="21"/>
        </w:rPr>
      </w:pPr>
      <w:r>
        <w:rPr>
          <w:rFonts w:hint="eastAsia" w:ascii="宋体" w:hAnsi="宋体"/>
          <w:szCs w:val="21"/>
        </w:rPr>
        <w:t>1.1.3.10永久占地：</w:t>
      </w:r>
      <w:r>
        <w:rPr>
          <w:rFonts w:hint="eastAsia" w:ascii="宋体" w:hAnsi="宋体"/>
          <w:szCs w:val="21"/>
          <w:u w:val="single"/>
        </w:rPr>
        <w:t xml:space="preserve">                                                        </w:t>
      </w:r>
      <w:r>
        <w:rPr>
          <w:rFonts w:hint="eastAsia" w:ascii="宋体" w:hAnsi="宋体"/>
          <w:szCs w:val="21"/>
        </w:rPr>
        <w:t>。</w:t>
      </w:r>
    </w:p>
    <w:p w14:paraId="40D57604">
      <w:pPr>
        <w:spacing w:line="390" w:lineRule="exact"/>
        <w:ind w:firstLine="420" w:firstLineChars="200"/>
        <w:rPr>
          <w:rFonts w:hint="eastAsia" w:ascii="宋体" w:hAnsi="宋体"/>
          <w:szCs w:val="21"/>
        </w:rPr>
      </w:pPr>
      <w:r>
        <w:rPr>
          <w:rFonts w:hint="eastAsia" w:ascii="宋体" w:hAnsi="宋体"/>
          <w:szCs w:val="21"/>
        </w:rPr>
        <w:t>1.1.3.11临时占地：</w:t>
      </w:r>
      <w:r>
        <w:rPr>
          <w:rFonts w:hint="eastAsia" w:ascii="宋体" w:hAnsi="宋体"/>
          <w:szCs w:val="21"/>
          <w:u w:val="single"/>
        </w:rPr>
        <w:t xml:space="preserve">                                                        </w:t>
      </w:r>
      <w:r>
        <w:rPr>
          <w:rFonts w:hint="eastAsia" w:ascii="宋体" w:hAnsi="宋体"/>
          <w:szCs w:val="21"/>
        </w:rPr>
        <w:t>。</w:t>
      </w:r>
    </w:p>
    <w:p w14:paraId="15C49FBF">
      <w:pPr>
        <w:spacing w:line="390" w:lineRule="exact"/>
        <w:ind w:firstLine="422" w:firstLineChars="200"/>
        <w:rPr>
          <w:rFonts w:hint="eastAsia" w:ascii="宋体" w:hAnsi="宋体"/>
          <w:b/>
          <w:szCs w:val="21"/>
        </w:rPr>
      </w:pPr>
      <w:r>
        <w:rPr>
          <w:rFonts w:hint="eastAsia" w:ascii="宋体" w:hAnsi="宋体"/>
          <w:b/>
          <w:szCs w:val="21"/>
        </w:rPr>
        <w:t>1.1.4日期</w:t>
      </w:r>
    </w:p>
    <w:p w14:paraId="4C285B60">
      <w:pPr>
        <w:spacing w:line="390" w:lineRule="exact"/>
        <w:ind w:firstLine="420" w:firstLineChars="200"/>
        <w:rPr>
          <w:rFonts w:hint="eastAsia" w:ascii="宋体" w:hAnsi="宋体"/>
          <w:szCs w:val="21"/>
        </w:rPr>
      </w:pPr>
      <w:r>
        <w:rPr>
          <w:rFonts w:hint="eastAsia" w:ascii="宋体" w:hAnsi="宋体"/>
          <w:szCs w:val="21"/>
        </w:rPr>
        <w:t>1.1.4.5缺陷责任期期限：</w:t>
      </w:r>
      <w:r>
        <w:rPr>
          <w:rFonts w:hint="eastAsia" w:ascii="宋体" w:hAnsi="宋体"/>
          <w:szCs w:val="21"/>
          <w:u w:val="single"/>
        </w:rPr>
        <w:t xml:space="preserve">        </w:t>
      </w:r>
      <w:r>
        <w:rPr>
          <w:rFonts w:hint="eastAsia" w:ascii="宋体" w:hAnsi="宋体"/>
          <w:szCs w:val="21"/>
        </w:rPr>
        <w:t>月。</w:t>
      </w:r>
    </w:p>
    <w:p w14:paraId="4AEA84EF">
      <w:pPr>
        <w:spacing w:line="390" w:lineRule="exact"/>
        <w:ind w:firstLine="420" w:firstLineChars="200"/>
        <w:rPr>
          <w:rFonts w:hint="eastAsia" w:ascii="宋体" w:hAnsi="宋体"/>
          <w:szCs w:val="21"/>
        </w:rPr>
      </w:pPr>
      <w:r>
        <w:rPr>
          <w:rFonts w:hint="eastAsia" w:ascii="宋体" w:hAnsi="宋体"/>
          <w:szCs w:val="21"/>
        </w:rPr>
        <w:t>1.1.4.8保修期：是根据现行有关法律规定，在合同条款第19.7款中约定的由承包人负责对合同约定的保修范围内发生的质量问题履行保修义务并对造成的损失承担赔偿责任的期限。</w:t>
      </w:r>
    </w:p>
    <w:p w14:paraId="54A37329">
      <w:pPr>
        <w:spacing w:line="390" w:lineRule="exact"/>
        <w:ind w:firstLine="422" w:firstLineChars="200"/>
        <w:rPr>
          <w:rFonts w:hint="eastAsia" w:ascii="宋体" w:hAnsi="宋体"/>
          <w:b/>
          <w:szCs w:val="21"/>
        </w:rPr>
      </w:pPr>
      <w:r>
        <w:rPr>
          <w:rFonts w:hint="eastAsia" w:ascii="宋体" w:hAnsi="宋体"/>
          <w:b/>
          <w:szCs w:val="21"/>
        </w:rPr>
        <w:t>1.1.6其他</w:t>
      </w:r>
    </w:p>
    <w:p w14:paraId="7E9358FC">
      <w:pPr>
        <w:spacing w:line="390" w:lineRule="exact"/>
        <w:ind w:firstLine="420" w:firstLineChars="200"/>
        <w:rPr>
          <w:rFonts w:hint="eastAsia" w:ascii="宋体" w:hAnsi="宋体"/>
          <w:szCs w:val="21"/>
        </w:rPr>
      </w:pPr>
      <w:r>
        <w:rPr>
          <w:rFonts w:hint="eastAsia" w:ascii="宋体" w:hAnsi="宋体"/>
          <w:szCs w:val="21"/>
        </w:rPr>
        <w:t>1.1.6.2材料：指构成或将构成永久工程组成部分的各类物品(工程设备除外)，包括合同中可能约定的承包人仅负责供应的材料。</w:t>
      </w:r>
    </w:p>
    <w:p w14:paraId="5502F11E">
      <w:pPr>
        <w:spacing w:line="400" w:lineRule="exact"/>
        <w:ind w:firstLine="420" w:firstLineChars="200"/>
        <w:rPr>
          <w:rFonts w:hint="eastAsia" w:ascii="宋体" w:hAnsi="宋体"/>
          <w:szCs w:val="21"/>
        </w:rPr>
      </w:pPr>
      <w:r>
        <w:rPr>
          <w:rFonts w:hint="eastAsia" w:ascii="宋体" w:hAnsi="宋体"/>
          <w:szCs w:val="21"/>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7EBAE043">
      <w:pPr>
        <w:spacing w:line="400" w:lineRule="exact"/>
        <w:ind w:firstLine="420" w:firstLineChars="200"/>
        <w:rPr>
          <w:rFonts w:hint="eastAsia" w:ascii="宋体" w:hAnsi="宋体"/>
          <w:szCs w:val="21"/>
        </w:rPr>
      </w:pPr>
      <w:r>
        <w:rPr>
          <w:rFonts w:hint="eastAsia" w:ascii="宋体" w:hAnsi="宋体"/>
          <w:szCs w:val="21"/>
        </w:rPr>
        <w:t>1.1.6.4除另有特别指明外，专用合同条款中使用的措辞“合同条款”指通用合同条款和(或)专用合同条款。</w:t>
      </w:r>
    </w:p>
    <w:p w14:paraId="60DE9C85">
      <w:pPr>
        <w:pStyle w:val="20"/>
        <w:rPr>
          <w:rFonts w:hint="eastAsia"/>
        </w:rPr>
      </w:pPr>
      <w:bookmarkStart w:id="1237" w:name="_Toc108513842"/>
      <w:r>
        <w:rPr>
          <w:rFonts w:hint="eastAsia"/>
        </w:rPr>
        <w:t>1.4合同文件的优先顺序</w:t>
      </w:r>
      <w:bookmarkEnd w:id="1237"/>
    </w:p>
    <w:p w14:paraId="56BE3FE3">
      <w:pPr>
        <w:spacing w:line="400" w:lineRule="exact"/>
        <w:ind w:firstLine="420" w:firstLineChars="200"/>
        <w:rPr>
          <w:rFonts w:hint="eastAsia" w:ascii="宋体" w:hAnsi="宋体"/>
          <w:szCs w:val="21"/>
        </w:rPr>
      </w:pPr>
      <w:r>
        <w:rPr>
          <w:rFonts w:hint="eastAsia" w:ascii="宋体" w:hAnsi="宋体"/>
          <w:szCs w:val="21"/>
        </w:rPr>
        <w:t>合同文件的优先解释顺序如下：</w:t>
      </w:r>
    </w:p>
    <w:p w14:paraId="3EE6BBDB">
      <w:pPr>
        <w:spacing w:line="400" w:lineRule="exact"/>
        <w:ind w:firstLine="420" w:firstLineChars="200"/>
        <w:rPr>
          <w:rFonts w:hint="eastAsia" w:ascii="宋体" w:hAnsi="宋体"/>
          <w:szCs w:val="21"/>
        </w:rPr>
      </w:pPr>
      <w:r>
        <w:rPr>
          <w:rFonts w:hint="eastAsia" w:ascii="宋体" w:hAnsi="宋体"/>
          <w:szCs w:val="21"/>
        </w:rPr>
        <w:t>(1)合同协议书；</w:t>
      </w:r>
    </w:p>
    <w:p w14:paraId="7B2658BE">
      <w:pPr>
        <w:spacing w:line="400" w:lineRule="exact"/>
        <w:ind w:firstLine="420" w:firstLineChars="200"/>
        <w:rPr>
          <w:rFonts w:hint="eastAsia" w:ascii="宋体" w:hAnsi="宋体"/>
          <w:szCs w:val="21"/>
        </w:rPr>
      </w:pPr>
      <w:r>
        <w:rPr>
          <w:rFonts w:hint="eastAsia" w:ascii="宋体" w:hAnsi="宋体"/>
          <w:szCs w:val="21"/>
        </w:rPr>
        <w:t>(2)中标通知书；</w:t>
      </w:r>
    </w:p>
    <w:p w14:paraId="2A58F177">
      <w:pPr>
        <w:spacing w:line="400" w:lineRule="exact"/>
        <w:ind w:firstLine="420" w:firstLineChars="200"/>
        <w:rPr>
          <w:rFonts w:hint="eastAsia" w:ascii="宋体" w:hAnsi="宋体"/>
          <w:szCs w:val="21"/>
        </w:rPr>
      </w:pPr>
      <w:r>
        <w:rPr>
          <w:rFonts w:hint="eastAsia" w:ascii="宋体" w:hAnsi="宋体"/>
          <w:szCs w:val="21"/>
        </w:rPr>
        <w:t>(3)投标函及投标函附录；</w:t>
      </w:r>
    </w:p>
    <w:p w14:paraId="3497CBF1">
      <w:pPr>
        <w:spacing w:line="400" w:lineRule="exact"/>
        <w:ind w:firstLine="420" w:firstLineChars="200"/>
        <w:rPr>
          <w:rFonts w:hint="eastAsia" w:ascii="宋体" w:hAnsi="宋体"/>
          <w:szCs w:val="21"/>
        </w:rPr>
      </w:pPr>
      <w:r>
        <w:rPr>
          <w:rFonts w:hint="eastAsia" w:ascii="宋体" w:hAnsi="宋体"/>
          <w:szCs w:val="21"/>
        </w:rPr>
        <w:t>(4)专用合同条款；</w:t>
      </w:r>
    </w:p>
    <w:p w14:paraId="79E4061B">
      <w:pPr>
        <w:spacing w:line="400" w:lineRule="exact"/>
        <w:ind w:firstLine="420" w:firstLineChars="200"/>
        <w:rPr>
          <w:rFonts w:hint="eastAsia" w:ascii="宋体" w:hAnsi="宋体"/>
          <w:szCs w:val="21"/>
        </w:rPr>
      </w:pPr>
      <w:r>
        <w:rPr>
          <w:rFonts w:hint="eastAsia" w:ascii="宋体" w:hAnsi="宋体"/>
          <w:szCs w:val="21"/>
        </w:rPr>
        <w:t>(5)通用合同条款；</w:t>
      </w:r>
    </w:p>
    <w:p w14:paraId="173F65AC">
      <w:pPr>
        <w:spacing w:line="400" w:lineRule="exact"/>
        <w:ind w:firstLine="420" w:firstLineChars="200"/>
        <w:rPr>
          <w:rFonts w:hint="eastAsia" w:ascii="宋体" w:hAnsi="宋体"/>
          <w:szCs w:val="21"/>
        </w:rPr>
      </w:pPr>
      <w:r>
        <w:rPr>
          <w:rFonts w:hint="eastAsia" w:ascii="宋体" w:hAnsi="宋体"/>
          <w:szCs w:val="21"/>
        </w:rPr>
        <w:t>(6)</w:t>
      </w:r>
      <w:r>
        <w:rPr>
          <w:rFonts w:hint="eastAsia" w:ascii="宋体" w:hAnsi="宋体"/>
          <w:szCs w:val="21"/>
          <w:u w:val="single"/>
        </w:rPr>
        <w:t xml:space="preserve">                                               </w:t>
      </w:r>
      <w:r>
        <w:rPr>
          <w:rFonts w:hint="eastAsia" w:ascii="宋体" w:hAnsi="宋体"/>
          <w:szCs w:val="21"/>
        </w:rPr>
        <w:t>；</w:t>
      </w:r>
    </w:p>
    <w:p w14:paraId="3826BCAF">
      <w:pPr>
        <w:spacing w:line="400" w:lineRule="exact"/>
        <w:ind w:firstLine="420" w:firstLineChars="200"/>
        <w:rPr>
          <w:rFonts w:hint="eastAsia" w:ascii="宋体" w:hAnsi="宋体"/>
          <w:szCs w:val="21"/>
        </w:rPr>
      </w:pPr>
      <w:r>
        <w:rPr>
          <w:rFonts w:hint="eastAsia" w:ascii="宋体" w:hAnsi="宋体"/>
          <w:szCs w:val="21"/>
        </w:rPr>
        <w:t>(7)</w:t>
      </w:r>
      <w:r>
        <w:rPr>
          <w:rFonts w:hint="eastAsia" w:ascii="宋体" w:hAnsi="宋体"/>
          <w:szCs w:val="21"/>
          <w:u w:val="single"/>
        </w:rPr>
        <w:t xml:space="preserve">                                               </w:t>
      </w:r>
      <w:r>
        <w:rPr>
          <w:rFonts w:hint="eastAsia" w:ascii="宋体" w:hAnsi="宋体"/>
          <w:szCs w:val="21"/>
        </w:rPr>
        <w:t>；</w:t>
      </w:r>
    </w:p>
    <w:p w14:paraId="7B73ECEB">
      <w:pPr>
        <w:spacing w:line="400" w:lineRule="exact"/>
        <w:ind w:firstLine="420" w:firstLineChars="200"/>
        <w:rPr>
          <w:rFonts w:hint="eastAsia" w:ascii="宋体" w:hAnsi="宋体"/>
          <w:szCs w:val="21"/>
        </w:rPr>
      </w:pPr>
      <w:r>
        <w:rPr>
          <w:rFonts w:hint="eastAsia" w:ascii="宋体" w:hAnsi="宋体"/>
          <w:szCs w:val="21"/>
        </w:rPr>
        <w:t>(8)</w:t>
      </w:r>
      <w:r>
        <w:rPr>
          <w:rFonts w:hint="eastAsia" w:ascii="宋体" w:hAnsi="宋体"/>
          <w:szCs w:val="21"/>
          <w:u w:val="single"/>
        </w:rPr>
        <w:t xml:space="preserve">                                               </w:t>
      </w:r>
      <w:r>
        <w:rPr>
          <w:rFonts w:hint="eastAsia" w:ascii="宋体" w:hAnsi="宋体"/>
          <w:szCs w:val="21"/>
        </w:rPr>
        <w:t>；</w:t>
      </w:r>
    </w:p>
    <w:p w14:paraId="6051DED1">
      <w:pPr>
        <w:spacing w:line="400" w:lineRule="exact"/>
        <w:ind w:firstLine="420" w:firstLineChars="200"/>
        <w:rPr>
          <w:rFonts w:hint="eastAsia" w:ascii="宋体" w:hAnsi="宋体"/>
          <w:szCs w:val="21"/>
        </w:rPr>
      </w:pPr>
      <w:r>
        <w:rPr>
          <w:rFonts w:hint="eastAsia" w:ascii="宋体" w:hAnsi="宋体"/>
          <w:szCs w:val="21"/>
        </w:rPr>
        <w:t>(9)</w:t>
      </w:r>
      <w:r>
        <w:rPr>
          <w:rFonts w:hint="eastAsia" w:ascii="宋体" w:hAnsi="宋体"/>
          <w:szCs w:val="21"/>
          <w:u w:val="single"/>
        </w:rPr>
        <w:t xml:space="preserve">                                               </w:t>
      </w:r>
      <w:r>
        <w:rPr>
          <w:rFonts w:hint="eastAsia" w:ascii="宋体" w:hAnsi="宋体"/>
          <w:szCs w:val="21"/>
        </w:rPr>
        <w:t>。</w:t>
      </w:r>
    </w:p>
    <w:p w14:paraId="63A878D5">
      <w:pPr>
        <w:spacing w:line="400" w:lineRule="exact"/>
        <w:ind w:firstLine="420" w:firstLineChars="200"/>
        <w:rPr>
          <w:rFonts w:hint="eastAsia" w:ascii="楷体_GB2312" w:hAnsi="宋体" w:eastAsia="楷体_GB2312"/>
          <w:szCs w:val="21"/>
        </w:rPr>
      </w:pPr>
      <w:r>
        <w:rPr>
          <w:rFonts w:hint="eastAsia" w:ascii="楷体_GB2312" w:hAnsi="宋体" w:eastAsia="楷体_GB2312"/>
          <w:szCs w:val="21"/>
        </w:rPr>
        <w:t>(说明：(6)、(7)、(8)填空内容分别限于技术标准和要求、图纸、已标价工程量清单三者之一。)</w:t>
      </w:r>
    </w:p>
    <w:p w14:paraId="083D3455">
      <w:pPr>
        <w:spacing w:line="400" w:lineRule="exact"/>
        <w:ind w:firstLine="420" w:firstLineChars="200"/>
        <w:rPr>
          <w:rFonts w:hint="eastAsia" w:ascii="宋体" w:hAnsi="宋体"/>
          <w:szCs w:val="21"/>
        </w:rPr>
      </w:pPr>
      <w:r>
        <w:rPr>
          <w:rFonts w:hint="eastAsia" w:ascii="宋体" w:hAnsi="宋体"/>
          <w:szCs w:val="21"/>
        </w:rPr>
        <w:t>合同协议书中约定采用总价合同形式的，已标价工程量清单中的各项工程量对合同双方不具合同约束力。</w:t>
      </w:r>
    </w:p>
    <w:p w14:paraId="3F6D40E2">
      <w:pPr>
        <w:spacing w:line="400" w:lineRule="exact"/>
        <w:ind w:firstLine="420" w:firstLineChars="200"/>
        <w:rPr>
          <w:rFonts w:hint="eastAsia" w:ascii="宋体" w:hAnsi="宋体"/>
          <w:szCs w:val="21"/>
        </w:rPr>
      </w:pPr>
      <w:r>
        <w:rPr>
          <w:rFonts w:hint="eastAsia" w:ascii="宋体" w:hAnsi="宋体"/>
          <w:szCs w:val="21"/>
        </w:rPr>
        <w:t>图纸与技术标准和要求之间有矛盾或者不一致的，以其中要求较严格的标准为准。</w:t>
      </w:r>
    </w:p>
    <w:p w14:paraId="272F5DC0">
      <w:pPr>
        <w:spacing w:line="400" w:lineRule="exact"/>
        <w:ind w:firstLine="420" w:firstLineChars="200"/>
        <w:rPr>
          <w:rFonts w:hint="eastAsia" w:ascii="宋体" w:hAnsi="宋体"/>
          <w:szCs w:val="21"/>
        </w:rPr>
      </w:pPr>
      <w:r>
        <w:rPr>
          <w:rFonts w:hint="eastAsia" w:ascii="宋体" w:hAnsi="宋体"/>
          <w:szCs w:val="21"/>
        </w:rPr>
        <w:t>合同双方在合同履行过程中签订的补充协议亦构成合同文件的组成部分，其解释顺序视其内容与其他合同文件的相互关系而定。</w:t>
      </w:r>
    </w:p>
    <w:p w14:paraId="408EA918">
      <w:pPr>
        <w:pStyle w:val="20"/>
        <w:rPr>
          <w:rFonts w:hint="eastAsia"/>
        </w:rPr>
      </w:pPr>
      <w:bookmarkStart w:id="1238" w:name="_Toc108513843"/>
      <w:r>
        <w:rPr>
          <w:rFonts w:hint="eastAsia"/>
        </w:rPr>
        <w:t>1.5合同协议书</w:t>
      </w:r>
      <w:bookmarkEnd w:id="1238"/>
    </w:p>
    <w:p w14:paraId="09388D74">
      <w:pPr>
        <w:spacing w:before="156" w:beforeLines="50" w:after="156" w:afterLines="50" w:line="400" w:lineRule="exact"/>
        <w:ind w:firstLine="420" w:firstLineChars="200"/>
        <w:rPr>
          <w:rFonts w:hint="eastAsia" w:ascii="宋体" w:hAnsi="宋体"/>
          <w:szCs w:val="21"/>
        </w:rPr>
      </w:pPr>
      <w:r>
        <w:rPr>
          <w:rFonts w:hint="eastAsia" w:ascii="宋体" w:hAnsi="宋体"/>
          <w:szCs w:val="21"/>
        </w:rPr>
        <w:t>合同生效的条件：</w:t>
      </w:r>
      <w:r>
        <w:rPr>
          <w:rFonts w:hint="eastAsia" w:ascii="宋体" w:hAnsi="宋体"/>
          <w:szCs w:val="21"/>
          <w:u w:val="single"/>
        </w:rPr>
        <w:t xml:space="preserve">                                                           </w:t>
      </w:r>
      <w:r>
        <w:rPr>
          <w:rFonts w:hint="eastAsia" w:ascii="宋体" w:hAnsi="宋体"/>
          <w:szCs w:val="21"/>
        </w:rPr>
        <w:t>。</w:t>
      </w:r>
    </w:p>
    <w:p w14:paraId="4487F006">
      <w:pPr>
        <w:pStyle w:val="20"/>
        <w:rPr>
          <w:rFonts w:hint="eastAsia"/>
        </w:rPr>
      </w:pPr>
      <w:bookmarkStart w:id="1239" w:name="_Toc108513844"/>
      <w:r>
        <w:rPr>
          <w:rFonts w:hint="eastAsia"/>
        </w:rPr>
        <w:t>1.6图纸和承包人文件</w:t>
      </w:r>
      <w:bookmarkEnd w:id="1239"/>
    </w:p>
    <w:p w14:paraId="67BBBC4D">
      <w:pPr>
        <w:spacing w:before="156" w:beforeLines="50" w:after="156" w:afterLines="50" w:line="400" w:lineRule="exact"/>
        <w:ind w:firstLine="422" w:firstLineChars="200"/>
        <w:rPr>
          <w:rFonts w:hint="eastAsia" w:ascii="宋体" w:hAnsi="宋体"/>
          <w:b/>
          <w:szCs w:val="21"/>
        </w:rPr>
      </w:pPr>
      <w:r>
        <w:rPr>
          <w:rFonts w:hint="eastAsia" w:ascii="宋体" w:hAnsi="宋体"/>
          <w:b/>
          <w:szCs w:val="21"/>
        </w:rPr>
        <w:t>1.6.1图纸的提供</w:t>
      </w:r>
    </w:p>
    <w:p w14:paraId="5B552185">
      <w:pPr>
        <w:spacing w:line="400" w:lineRule="exact"/>
        <w:ind w:firstLine="420" w:firstLineChars="200"/>
        <w:rPr>
          <w:rFonts w:hint="eastAsia" w:ascii="宋体" w:hAnsi="宋体"/>
          <w:szCs w:val="21"/>
        </w:rPr>
      </w:pPr>
      <w:r>
        <w:rPr>
          <w:rFonts w:hint="eastAsia" w:ascii="宋体" w:hAnsi="宋体"/>
          <w:szCs w:val="21"/>
        </w:rPr>
        <w:t>(1)发包人按照合同条款本项的约定向承包人提供图纸。承包人需要增加图纸套数的，发包人应代为复制，复制费用由承包人承担。</w:t>
      </w:r>
    </w:p>
    <w:p w14:paraId="51F1D284">
      <w:pPr>
        <w:spacing w:line="400" w:lineRule="exact"/>
        <w:ind w:firstLine="420" w:firstLineChars="200"/>
        <w:rPr>
          <w:rFonts w:hint="eastAsia" w:ascii="宋体" w:hAnsi="宋体"/>
          <w:szCs w:val="21"/>
        </w:rPr>
      </w:pPr>
      <w:r>
        <w:rPr>
          <w:rFonts w:hint="eastAsia" w:ascii="宋体" w:hAnsi="宋体"/>
          <w:szCs w:val="21"/>
        </w:rPr>
        <w:t>(2)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14:paraId="7AA3D04D">
      <w:pPr>
        <w:spacing w:line="420" w:lineRule="exact"/>
        <w:ind w:firstLine="420" w:firstLineChars="200"/>
        <w:rPr>
          <w:rFonts w:hint="eastAsia" w:ascii="宋体" w:hAnsi="宋体"/>
          <w:szCs w:val="21"/>
        </w:rPr>
      </w:pPr>
      <w:r>
        <w:rPr>
          <w:rFonts w:hint="eastAsia" w:ascii="宋体" w:hAnsi="宋体"/>
          <w:szCs w:val="21"/>
        </w:rPr>
        <w:t>(3)发包人提供图纸的期限：</w:t>
      </w:r>
      <w:r>
        <w:rPr>
          <w:rFonts w:hint="eastAsia" w:ascii="宋体" w:hAnsi="宋体"/>
          <w:szCs w:val="21"/>
          <w:u w:val="single"/>
        </w:rPr>
        <w:t xml:space="preserve">                                                  </w:t>
      </w:r>
      <w:r>
        <w:rPr>
          <w:rFonts w:hint="eastAsia" w:ascii="宋体" w:hAnsi="宋体"/>
          <w:szCs w:val="21"/>
        </w:rPr>
        <w:t>。</w:t>
      </w:r>
    </w:p>
    <w:p w14:paraId="700F6EAE">
      <w:pPr>
        <w:spacing w:line="420" w:lineRule="exact"/>
        <w:ind w:firstLine="420" w:firstLineChars="200"/>
        <w:rPr>
          <w:rFonts w:hint="eastAsia" w:ascii="宋体" w:hAnsi="宋体"/>
          <w:szCs w:val="21"/>
        </w:rPr>
      </w:pPr>
      <w:r>
        <w:rPr>
          <w:rFonts w:hint="eastAsia" w:ascii="宋体" w:hAnsi="宋体"/>
          <w:szCs w:val="21"/>
        </w:rPr>
        <w:t>(4)发包人提供图纸的数量：</w:t>
      </w:r>
      <w:r>
        <w:rPr>
          <w:rFonts w:hint="eastAsia" w:ascii="宋体" w:hAnsi="宋体"/>
          <w:szCs w:val="21"/>
          <w:u w:val="single"/>
        </w:rPr>
        <w:t xml:space="preserve">                                                  </w:t>
      </w:r>
      <w:r>
        <w:rPr>
          <w:rFonts w:hint="eastAsia" w:ascii="宋体" w:hAnsi="宋体"/>
          <w:szCs w:val="21"/>
        </w:rPr>
        <w:t>。</w:t>
      </w:r>
    </w:p>
    <w:p w14:paraId="4004F64D">
      <w:pPr>
        <w:spacing w:line="420" w:lineRule="exact"/>
        <w:ind w:firstLine="422" w:firstLineChars="200"/>
        <w:rPr>
          <w:rFonts w:hint="eastAsia" w:ascii="宋体" w:hAnsi="宋体"/>
          <w:b/>
          <w:szCs w:val="21"/>
        </w:rPr>
      </w:pPr>
      <w:r>
        <w:rPr>
          <w:rFonts w:hint="eastAsia" w:ascii="宋体" w:hAnsi="宋体"/>
          <w:b/>
          <w:szCs w:val="21"/>
        </w:rPr>
        <w:t>1.6.2承包人提供的文件</w:t>
      </w:r>
    </w:p>
    <w:p w14:paraId="35DEBBB8">
      <w:pPr>
        <w:spacing w:line="410" w:lineRule="exact"/>
        <w:ind w:firstLine="420" w:firstLineChars="200"/>
        <w:rPr>
          <w:rFonts w:hint="eastAsia" w:ascii="宋体" w:hAnsi="宋体"/>
          <w:szCs w:val="21"/>
          <w:u w:val="single"/>
        </w:rPr>
      </w:pPr>
      <w:r>
        <w:rPr>
          <w:rFonts w:hint="eastAsia" w:ascii="宋体" w:hAnsi="宋体"/>
          <w:szCs w:val="21"/>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szCs w:val="21"/>
          <w:u w:val="single"/>
        </w:rPr>
        <w:t xml:space="preserve">                                                        </w:t>
      </w:r>
    </w:p>
    <w:p w14:paraId="4445C9DD">
      <w:pPr>
        <w:spacing w:line="410" w:lineRule="exact"/>
        <w:rPr>
          <w:rFonts w:hint="eastAsia" w:ascii="宋体" w:hAnsi="宋体"/>
          <w:szCs w:val="21"/>
          <w:u w:val="single"/>
        </w:rPr>
      </w:pPr>
      <w:r>
        <w:rPr>
          <w:rFonts w:hint="eastAsia" w:ascii="宋体" w:hAnsi="宋体"/>
          <w:szCs w:val="21"/>
          <w:u w:val="single"/>
        </w:rPr>
        <w:t xml:space="preserve">                                                                                </w:t>
      </w:r>
    </w:p>
    <w:p w14:paraId="7E2EAD18">
      <w:pPr>
        <w:spacing w:line="41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067DF057">
      <w:pPr>
        <w:spacing w:line="410" w:lineRule="exact"/>
        <w:ind w:firstLine="420" w:firstLineChars="200"/>
        <w:rPr>
          <w:rFonts w:hint="eastAsia" w:ascii="宋体" w:hAnsi="宋体"/>
          <w:szCs w:val="21"/>
          <w:u w:val="single"/>
        </w:rPr>
      </w:pPr>
      <w:r>
        <w:rPr>
          <w:rFonts w:hint="eastAsia" w:ascii="宋体" w:hAnsi="宋体"/>
          <w:szCs w:val="21"/>
        </w:rPr>
        <w:t>(2)承包人提供文件的期限：</w:t>
      </w:r>
      <w:r>
        <w:rPr>
          <w:rFonts w:hint="eastAsia" w:ascii="宋体" w:hAnsi="宋体"/>
          <w:szCs w:val="21"/>
          <w:u w:val="single"/>
        </w:rPr>
        <w:t xml:space="preserve">                                                   </w:t>
      </w:r>
    </w:p>
    <w:p w14:paraId="166B62F0">
      <w:pPr>
        <w:spacing w:line="41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9541CBD">
      <w:pPr>
        <w:spacing w:line="410" w:lineRule="exact"/>
        <w:ind w:firstLine="420" w:firstLineChars="200"/>
        <w:rPr>
          <w:rFonts w:hint="eastAsia" w:ascii="宋体" w:hAnsi="宋体"/>
          <w:szCs w:val="21"/>
          <w:u w:val="single"/>
        </w:rPr>
      </w:pPr>
      <w:r>
        <w:rPr>
          <w:rFonts w:hint="eastAsia" w:ascii="宋体" w:hAnsi="宋体"/>
          <w:szCs w:val="21"/>
        </w:rPr>
        <w:t>(3)承包人提供文件的数量：</w:t>
      </w:r>
      <w:r>
        <w:rPr>
          <w:rFonts w:hint="eastAsia" w:ascii="宋体" w:hAnsi="宋体"/>
          <w:szCs w:val="21"/>
          <w:u w:val="single"/>
        </w:rPr>
        <w:t xml:space="preserve">                                                   </w:t>
      </w:r>
    </w:p>
    <w:p w14:paraId="1523816D">
      <w:pPr>
        <w:spacing w:line="41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71639FA0">
      <w:pPr>
        <w:spacing w:line="410" w:lineRule="exact"/>
        <w:ind w:firstLine="420" w:firstLineChars="200"/>
        <w:rPr>
          <w:rFonts w:hint="eastAsia" w:ascii="宋体" w:hAnsi="宋体"/>
          <w:szCs w:val="21"/>
          <w:u w:val="single"/>
        </w:rPr>
      </w:pPr>
      <w:r>
        <w:rPr>
          <w:rFonts w:hint="eastAsia" w:ascii="宋体" w:hAnsi="宋体"/>
          <w:szCs w:val="21"/>
        </w:rPr>
        <w:t>(4)监理人批复承包人提供文件的期限：</w:t>
      </w:r>
      <w:r>
        <w:rPr>
          <w:rFonts w:hint="eastAsia" w:ascii="宋体" w:hAnsi="宋体"/>
          <w:szCs w:val="21"/>
          <w:u w:val="single"/>
        </w:rPr>
        <w:t xml:space="preserve">                                         </w:t>
      </w:r>
    </w:p>
    <w:p w14:paraId="510F7226">
      <w:pPr>
        <w:spacing w:line="41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2EFE9CF5">
      <w:pPr>
        <w:spacing w:line="410" w:lineRule="exact"/>
        <w:ind w:firstLine="420" w:firstLineChars="200"/>
        <w:rPr>
          <w:rFonts w:hint="eastAsia" w:ascii="宋体" w:hAnsi="宋体"/>
          <w:szCs w:val="21"/>
          <w:u w:val="single"/>
        </w:rPr>
      </w:pPr>
      <w:r>
        <w:rPr>
          <w:rFonts w:hint="eastAsia" w:ascii="宋体" w:hAnsi="宋体"/>
          <w:szCs w:val="21"/>
        </w:rPr>
        <w:t>(5)其他约定：</w:t>
      </w:r>
      <w:r>
        <w:rPr>
          <w:rFonts w:hint="eastAsia" w:ascii="宋体" w:hAnsi="宋体"/>
          <w:szCs w:val="21"/>
          <w:u w:val="single"/>
        </w:rPr>
        <w:t xml:space="preserve">                                                              </w:t>
      </w:r>
    </w:p>
    <w:p w14:paraId="061199C5">
      <w:pPr>
        <w:spacing w:line="41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FB5D2B2">
      <w:pPr>
        <w:spacing w:line="420" w:lineRule="exact"/>
        <w:ind w:firstLine="422" w:firstLineChars="200"/>
        <w:rPr>
          <w:rFonts w:hint="eastAsia" w:ascii="宋体" w:hAnsi="宋体"/>
          <w:b/>
          <w:szCs w:val="21"/>
        </w:rPr>
      </w:pPr>
      <w:r>
        <w:rPr>
          <w:rFonts w:hint="eastAsia" w:ascii="宋体" w:hAnsi="宋体"/>
          <w:b/>
          <w:szCs w:val="21"/>
        </w:rPr>
        <w:t>1.6.3图纸的修改</w:t>
      </w:r>
    </w:p>
    <w:p w14:paraId="72574183">
      <w:pPr>
        <w:spacing w:line="390" w:lineRule="exact"/>
        <w:ind w:firstLine="420" w:firstLineChars="200"/>
        <w:rPr>
          <w:rFonts w:hint="eastAsia" w:ascii="宋体" w:hAnsi="宋体"/>
          <w:szCs w:val="21"/>
        </w:rPr>
      </w:pPr>
      <w:r>
        <w:rPr>
          <w:rFonts w:hint="eastAsia" w:ascii="宋体" w:hAnsi="宋体"/>
          <w:szCs w:val="21"/>
        </w:rPr>
        <w:t>监理人应当按照合同条款第1.6.1(2)目约定的有合同约束力的图纸供应计划，签发图纸修改图给承包人。</w:t>
      </w:r>
    </w:p>
    <w:p w14:paraId="6784DF4A">
      <w:pPr>
        <w:pStyle w:val="20"/>
        <w:rPr>
          <w:rFonts w:hint="eastAsia"/>
        </w:rPr>
      </w:pPr>
      <w:bookmarkStart w:id="1240" w:name="_Toc108513845"/>
      <w:r>
        <w:rPr>
          <w:rFonts w:hint="eastAsia"/>
        </w:rPr>
        <w:t>1.7联络</w:t>
      </w:r>
      <w:bookmarkEnd w:id="1240"/>
    </w:p>
    <w:p w14:paraId="43445C3C">
      <w:pPr>
        <w:spacing w:line="390" w:lineRule="exact"/>
        <w:ind w:firstLine="422" w:firstLineChars="200"/>
        <w:rPr>
          <w:rFonts w:hint="eastAsia" w:ascii="宋体" w:hAnsi="宋体"/>
          <w:b/>
          <w:szCs w:val="21"/>
        </w:rPr>
      </w:pPr>
      <w:r>
        <w:rPr>
          <w:rFonts w:hint="eastAsia" w:ascii="宋体" w:hAnsi="宋体"/>
          <w:b/>
          <w:szCs w:val="21"/>
        </w:rPr>
        <w:t>1.7.2联络来往函件的送达和接收</w:t>
      </w:r>
    </w:p>
    <w:p w14:paraId="31247E58">
      <w:pPr>
        <w:spacing w:line="390" w:lineRule="exact"/>
        <w:ind w:firstLine="420" w:firstLineChars="200"/>
        <w:rPr>
          <w:rFonts w:hint="eastAsia" w:ascii="宋体" w:hAnsi="宋体"/>
          <w:szCs w:val="21"/>
        </w:rPr>
      </w:pPr>
      <w:r>
        <w:rPr>
          <w:rFonts w:hint="eastAsia" w:ascii="宋体" w:hAnsi="宋体"/>
          <w:szCs w:val="21"/>
        </w:rPr>
        <w:t>(1)联络来往信函的送达期限：合同约定了发出期限的，送达期限为合同约定的发出期限后的24小时内；合同约定了通知、提供或者报送期限的，通知、提供或者报送期限即为送达期限。</w:t>
      </w:r>
    </w:p>
    <w:p w14:paraId="008990EF">
      <w:pPr>
        <w:spacing w:line="420" w:lineRule="exact"/>
        <w:ind w:firstLine="420" w:firstLineChars="200"/>
        <w:rPr>
          <w:rFonts w:hint="eastAsia" w:ascii="宋体" w:hAnsi="宋体"/>
          <w:szCs w:val="21"/>
        </w:rPr>
      </w:pPr>
      <w:r>
        <w:rPr>
          <w:rFonts w:hint="eastAsia" w:ascii="宋体" w:hAnsi="宋体"/>
          <w:szCs w:val="21"/>
        </w:rPr>
        <w:t>(2)发包人指定的接收地点：</w:t>
      </w:r>
      <w:r>
        <w:rPr>
          <w:rFonts w:hint="eastAsia" w:ascii="宋体" w:hAnsi="宋体"/>
          <w:szCs w:val="21"/>
          <w:u w:val="single"/>
        </w:rPr>
        <w:t xml:space="preserve">                                                  </w:t>
      </w:r>
      <w:r>
        <w:rPr>
          <w:rFonts w:hint="eastAsia" w:ascii="宋体" w:hAnsi="宋体"/>
          <w:szCs w:val="21"/>
        </w:rPr>
        <w:t>。</w:t>
      </w:r>
    </w:p>
    <w:p w14:paraId="419563D8">
      <w:pPr>
        <w:spacing w:line="420" w:lineRule="exact"/>
        <w:ind w:firstLine="420" w:firstLineChars="200"/>
        <w:rPr>
          <w:rFonts w:hint="eastAsia" w:ascii="宋体" w:hAnsi="宋体"/>
          <w:szCs w:val="21"/>
        </w:rPr>
      </w:pPr>
      <w:r>
        <w:rPr>
          <w:rFonts w:hint="eastAsia" w:ascii="宋体" w:hAnsi="宋体"/>
          <w:szCs w:val="21"/>
        </w:rPr>
        <w:t>(3)发包人指定的接收人为：</w:t>
      </w:r>
      <w:r>
        <w:rPr>
          <w:rFonts w:hint="eastAsia" w:ascii="宋体" w:hAnsi="宋体"/>
          <w:szCs w:val="21"/>
          <w:u w:val="single"/>
        </w:rPr>
        <w:t xml:space="preserve">                                                  </w:t>
      </w:r>
      <w:r>
        <w:rPr>
          <w:rFonts w:hint="eastAsia" w:ascii="宋体" w:hAnsi="宋体"/>
          <w:szCs w:val="21"/>
        </w:rPr>
        <w:t>。</w:t>
      </w:r>
    </w:p>
    <w:p w14:paraId="27104B75">
      <w:pPr>
        <w:spacing w:line="410" w:lineRule="exact"/>
        <w:ind w:firstLine="420" w:firstLineChars="200"/>
        <w:rPr>
          <w:rFonts w:hint="eastAsia" w:ascii="宋体" w:hAnsi="宋体"/>
          <w:szCs w:val="21"/>
        </w:rPr>
      </w:pPr>
      <w:r>
        <w:rPr>
          <w:rFonts w:hint="eastAsia" w:ascii="宋体" w:hAnsi="宋体"/>
          <w:szCs w:val="21"/>
        </w:rPr>
        <w:t>(4)监理人指定的接收地点：</w:t>
      </w:r>
      <w:r>
        <w:rPr>
          <w:rFonts w:hint="eastAsia" w:ascii="宋体" w:hAnsi="宋体"/>
          <w:szCs w:val="21"/>
          <w:u w:val="single"/>
        </w:rPr>
        <w:t xml:space="preserve">                                                  </w:t>
      </w:r>
      <w:r>
        <w:rPr>
          <w:rFonts w:hint="eastAsia" w:ascii="宋体" w:hAnsi="宋体"/>
          <w:szCs w:val="21"/>
        </w:rPr>
        <w:t>。</w:t>
      </w:r>
    </w:p>
    <w:p w14:paraId="1B272ED6">
      <w:pPr>
        <w:spacing w:line="410" w:lineRule="exact"/>
        <w:ind w:firstLine="420" w:firstLineChars="200"/>
        <w:rPr>
          <w:rFonts w:hint="eastAsia" w:ascii="宋体" w:hAnsi="宋体"/>
          <w:szCs w:val="21"/>
        </w:rPr>
      </w:pPr>
      <w:r>
        <w:rPr>
          <w:rFonts w:hint="eastAsia" w:ascii="宋体" w:hAnsi="宋体"/>
          <w:szCs w:val="21"/>
        </w:rPr>
        <w:t>(5)监理人指定的接收人为：</w:t>
      </w:r>
      <w:r>
        <w:rPr>
          <w:rFonts w:hint="eastAsia" w:ascii="宋体" w:hAnsi="宋体"/>
          <w:szCs w:val="21"/>
          <w:u w:val="single"/>
        </w:rPr>
        <w:t xml:space="preserve">                                                  </w:t>
      </w:r>
      <w:r>
        <w:rPr>
          <w:rFonts w:hint="eastAsia" w:ascii="宋体" w:hAnsi="宋体"/>
          <w:szCs w:val="21"/>
        </w:rPr>
        <w:t>。</w:t>
      </w:r>
    </w:p>
    <w:p w14:paraId="0B8B3683">
      <w:pPr>
        <w:spacing w:line="410" w:lineRule="exact"/>
        <w:ind w:firstLine="420" w:firstLineChars="200"/>
        <w:rPr>
          <w:rFonts w:hint="eastAsia" w:ascii="宋体" w:hAnsi="宋体"/>
          <w:szCs w:val="21"/>
        </w:rPr>
      </w:pPr>
      <w:r>
        <w:rPr>
          <w:rFonts w:hint="eastAsia" w:ascii="宋体" w:hAnsi="宋体"/>
          <w:szCs w:val="21"/>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2C3885D2">
      <w:pPr>
        <w:spacing w:line="410" w:lineRule="exact"/>
        <w:ind w:firstLine="420" w:firstLineChars="200"/>
        <w:rPr>
          <w:rFonts w:hint="eastAsia" w:ascii="宋体" w:hAnsi="宋体"/>
          <w:szCs w:val="21"/>
        </w:rPr>
      </w:pPr>
      <w:r>
        <w:rPr>
          <w:rFonts w:hint="eastAsia" w:ascii="宋体" w:hAnsi="宋体"/>
          <w:szCs w:val="21"/>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6C9B3579">
      <w:pPr>
        <w:spacing w:line="410" w:lineRule="exact"/>
        <w:ind w:firstLine="420" w:firstLineChars="200"/>
        <w:rPr>
          <w:rFonts w:hint="eastAsia" w:ascii="宋体" w:hAnsi="宋体"/>
          <w:szCs w:val="21"/>
        </w:rPr>
      </w:pPr>
      <w:r>
        <w:rPr>
          <w:rFonts w:hint="eastAsia" w:ascii="宋体" w:hAnsi="宋体"/>
          <w:szCs w:val="21"/>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416EDFC8">
      <w:pPr>
        <w:pStyle w:val="18"/>
        <w:rPr>
          <w:rFonts w:hint="eastAsia"/>
        </w:rPr>
      </w:pPr>
      <w:bookmarkStart w:id="1241" w:name="_Toc108513846"/>
      <w:r>
        <w:rPr>
          <w:rFonts w:hint="eastAsia"/>
        </w:rPr>
        <w:t>2.发包人义务</w:t>
      </w:r>
      <w:bookmarkEnd w:id="1241"/>
    </w:p>
    <w:p w14:paraId="2D315165">
      <w:pPr>
        <w:pStyle w:val="20"/>
        <w:rPr>
          <w:rFonts w:hint="eastAsia"/>
        </w:rPr>
      </w:pPr>
      <w:bookmarkStart w:id="1242" w:name="_Toc108513847"/>
      <w:r>
        <w:rPr>
          <w:rFonts w:hint="eastAsia"/>
        </w:rPr>
        <w:t>2.3提供施工场地</w:t>
      </w:r>
      <w:bookmarkEnd w:id="1242"/>
    </w:p>
    <w:p w14:paraId="6A3C0BC0">
      <w:pPr>
        <w:spacing w:line="410" w:lineRule="exact"/>
        <w:ind w:firstLine="420" w:firstLineChars="200"/>
        <w:rPr>
          <w:rFonts w:hint="eastAsia" w:ascii="宋体" w:hAnsi="宋体"/>
          <w:szCs w:val="21"/>
        </w:rPr>
      </w:pPr>
      <w:r>
        <w:rPr>
          <w:rFonts w:hint="eastAsia" w:ascii="宋体" w:hAnsi="宋体"/>
          <w:szCs w:val="21"/>
        </w:rPr>
        <w:t>施工场地应当在监理人发出的开工通知中载明的开工日期前</w:t>
      </w:r>
      <w:r>
        <w:rPr>
          <w:rFonts w:hint="eastAsia" w:ascii="宋体" w:hAnsi="宋体"/>
          <w:szCs w:val="21"/>
          <w:u w:val="single"/>
        </w:rPr>
        <w:t xml:space="preserve">    </w:t>
      </w:r>
      <w:r>
        <w:rPr>
          <w:rFonts w:hint="eastAsia" w:ascii="宋体" w:hAnsi="宋体"/>
          <w:szCs w:val="21"/>
        </w:rPr>
        <w:t>天具备施工条件并移交给承包人，具体施工条件在第七章“技术标准和要求”第一节“一般要求”中约定。发包人最迟应当在移交施工场地的同时向承包人提供施工场地内地下管线和地下设施等有关资料，并保证资料的真实、准确和完整。</w:t>
      </w:r>
    </w:p>
    <w:p w14:paraId="10C928F7">
      <w:pPr>
        <w:pStyle w:val="20"/>
        <w:rPr>
          <w:rFonts w:hint="eastAsia"/>
        </w:rPr>
      </w:pPr>
      <w:bookmarkStart w:id="1243" w:name="_Toc108513848"/>
      <w:r>
        <w:rPr>
          <w:rFonts w:hint="eastAsia"/>
        </w:rPr>
        <w:t>2.5组织设计交底</w:t>
      </w:r>
      <w:bookmarkEnd w:id="1243"/>
    </w:p>
    <w:p w14:paraId="0F414E6D">
      <w:pPr>
        <w:spacing w:line="410" w:lineRule="exact"/>
        <w:ind w:firstLine="420" w:firstLineChars="200"/>
        <w:rPr>
          <w:rFonts w:hint="eastAsia" w:ascii="宋体" w:hAnsi="宋体"/>
          <w:szCs w:val="21"/>
        </w:rPr>
      </w:pPr>
      <w:r>
        <w:rPr>
          <w:rFonts w:hint="eastAsia" w:ascii="宋体" w:hAnsi="宋体"/>
          <w:szCs w:val="21"/>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2B2225E9">
      <w:pPr>
        <w:pStyle w:val="20"/>
        <w:rPr>
          <w:rFonts w:hint="eastAsia"/>
        </w:rPr>
      </w:pPr>
      <w:bookmarkStart w:id="1244" w:name="_Toc108513849"/>
      <w:r>
        <w:rPr>
          <w:rFonts w:hint="eastAsia"/>
        </w:rPr>
        <w:t>2.8其他义务</w:t>
      </w:r>
      <w:bookmarkEnd w:id="1244"/>
    </w:p>
    <w:p w14:paraId="7A26BED0">
      <w:pPr>
        <w:spacing w:line="410" w:lineRule="exact"/>
        <w:ind w:firstLine="420" w:firstLineChars="200"/>
        <w:rPr>
          <w:rFonts w:hint="eastAsia" w:ascii="宋体" w:hAnsi="宋体"/>
          <w:szCs w:val="21"/>
        </w:rPr>
      </w:pPr>
      <w:r>
        <w:rPr>
          <w:rFonts w:hint="eastAsia" w:ascii="宋体" w:hAnsi="宋体"/>
          <w:szCs w:val="21"/>
        </w:rPr>
        <w:t>(1)向承包人提交对等的支付担保。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14:paraId="5FDEC373">
      <w:pPr>
        <w:spacing w:line="410" w:lineRule="exact"/>
        <w:ind w:firstLine="420" w:firstLineChars="200"/>
        <w:rPr>
          <w:rFonts w:hint="eastAsia" w:ascii="宋体" w:hAnsi="宋体"/>
          <w:szCs w:val="21"/>
        </w:rPr>
      </w:pPr>
      <w:r>
        <w:rPr>
          <w:rFonts w:hint="eastAsia" w:ascii="宋体" w:hAnsi="宋体"/>
          <w:szCs w:val="21"/>
        </w:rPr>
        <w:t>(2)按有关规定及时办理工程质量监督手续。</w:t>
      </w:r>
    </w:p>
    <w:p w14:paraId="6573B876">
      <w:pPr>
        <w:spacing w:line="410" w:lineRule="exact"/>
        <w:ind w:firstLine="420" w:firstLineChars="200"/>
        <w:rPr>
          <w:rFonts w:hint="eastAsia" w:ascii="宋体" w:hAnsi="宋体"/>
          <w:szCs w:val="21"/>
        </w:rPr>
      </w:pPr>
      <w:r>
        <w:rPr>
          <w:rFonts w:hint="eastAsia" w:ascii="宋体" w:hAnsi="宋体"/>
          <w:szCs w:val="21"/>
        </w:rPr>
        <w:t>(3)根据建设行政主管部门和(或)城市建设档案管理机构的规定，收集、整理、立卷、归档工程资料，并按规定时间向建设行政主管部门或者城市建设档案管理机构移交规定的工程档案。</w:t>
      </w:r>
    </w:p>
    <w:p w14:paraId="12C88B14">
      <w:pPr>
        <w:spacing w:line="410" w:lineRule="exact"/>
        <w:ind w:firstLine="420" w:firstLineChars="200"/>
        <w:rPr>
          <w:rFonts w:hint="eastAsia" w:ascii="宋体" w:hAnsi="宋体"/>
          <w:szCs w:val="21"/>
        </w:rPr>
      </w:pPr>
      <w:r>
        <w:rPr>
          <w:rFonts w:hint="eastAsia" w:ascii="宋体" w:hAnsi="宋体"/>
          <w:szCs w:val="21"/>
        </w:rPr>
        <w:t>(4)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228A1798">
      <w:pPr>
        <w:spacing w:line="410" w:lineRule="exact"/>
        <w:ind w:firstLine="420" w:firstLineChars="200"/>
        <w:rPr>
          <w:rFonts w:hint="eastAsia" w:ascii="宋体" w:hAnsi="宋体"/>
          <w:szCs w:val="21"/>
        </w:rPr>
      </w:pPr>
      <w:r>
        <w:rPr>
          <w:rFonts w:hint="eastAsia" w:ascii="宋体" w:hAnsi="宋体"/>
          <w:szCs w:val="21"/>
        </w:rPr>
        <w:t>(5)发包人应当履行合同约定的其他义务以及下述义务：</w:t>
      </w:r>
      <w:r>
        <w:rPr>
          <w:rFonts w:hint="eastAsia" w:ascii="宋体" w:hAnsi="宋体"/>
          <w:szCs w:val="21"/>
          <w:u w:val="single"/>
        </w:rPr>
        <w:t xml:space="preserve">                           </w:t>
      </w:r>
    </w:p>
    <w:p w14:paraId="266012EC">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0E9B4F0">
      <w:pPr>
        <w:pStyle w:val="18"/>
        <w:rPr>
          <w:rFonts w:hint="eastAsia"/>
        </w:rPr>
      </w:pPr>
      <w:bookmarkStart w:id="1245" w:name="_Toc108513850"/>
      <w:r>
        <w:rPr>
          <w:rFonts w:hint="eastAsia"/>
        </w:rPr>
        <w:t>3.监理人</w:t>
      </w:r>
      <w:bookmarkEnd w:id="1245"/>
    </w:p>
    <w:p w14:paraId="569E8D39">
      <w:pPr>
        <w:pStyle w:val="20"/>
        <w:rPr>
          <w:rFonts w:hint="eastAsia"/>
        </w:rPr>
      </w:pPr>
      <w:bookmarkStart w:id="1246" w:name="_Toc108513851"/>
      <w:r>
        <w:rPr>
          <w:rFonts w:hint="eastAsia"/>
        </w:rPr>
        <w:t>3.1监理人的职责和权力</w:t>
      </w:r>
      <w:bookmarkEnd w:id="1246"/>
    </w:p>
    <w:p w14:paraId="673EB05A">
      <w:pPr>
        <w:spacing w:line="410" w:lineRule="exact"/>
        <w:ind w:firstLine="420" w:firstLineChars="200"/>
        <w:rPr>
          <w:rFonts w:hint="eastAsia" w:ascii="宋体" w:hAnsi="宋体"/>
          <w:szCs w:val="21"/>
        </w:rPr>
      </w:pPr>
      <w:r>
        <w:rPr>
          <w:rFonts w:hint="eastAsia" w:ascii="宋体" w:hAnsi="宋体"/>
          <w:szCs w:val="21"/>
        </w:rPr>
        <w:t>3.1.1须经发包人批准行使的权力：</w:t>
      </w:r>
      <w:r>
        <w:rPr>
          <w:rFonts w:hint="eastAsia" w:ascii="宋体" w:hAnsi="宋体"/>
          <w:szCs w:val="21"/>
          <w:u w:val="single"/>
        </w:rPr>
        <w:t xml:space="preserve">                                            </w:t>
      </w:r>
    </w:p>
    <w:p w14:paraId="0AB2A9C9">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68EE7CE1">
      <w:pPr>
        <w:spacing w:line="390" w:lineRule="exact"/>
        <w:rPr>
          <w:rFonts w:hint="eastAsia" w:ascii="宋体" w:hAnsi="宋体"/>
          <w:szCs w:val="21"/>
        </w:rPr>
      </w:pPr>
      <w:r>
        <w:rPr>
          <w:rFonts w:hint="eastAsia" w:ascii="宋体" w:hAnsi="宋体"/>
          <w:szCs w:val="21"/>
        </w:rPr>
        <w:t>不管通用合同条款第3.1.1项如何约定，监理人履行须经发包人批准行使的权力时，应当向承包人出示其行使该权力已经取得发包人批准的文件或者其他合法有效的证明。</w:t>
      </w:r>
    </w:p>
    <w:p w14:paraId="4D7B4527">
      <w:pPr>
        <w:pStyle w:val="20"/>
        <w:rPr>
          <w:rFonts w:hint="eastAsia"/>
        </w:rPr>
      </w:pPr>
      <w:bookmarkStart w:id="1247" w:name="_Toc108513852"/>
      <w:r>
        <w:rPr>
          <w:rFonts w:hint="eastAsia"/>
        </w:rPr>
        <w:t>3.3监理人员</w:t>
      </w:r>
      <w:bookmarkEnd w:id="1247"/>
    </w:p>
    <w:p w14:paraId="4714C5E1">
      <w:pPr>
        <w:spacing w:line="390" w:lineRule="exact"/>
        <w:ind w:firstLine="420" w:firstLineChars="200"/>
        <w:rPr>
          <w:rFonts w:hint="eastAsia" w:ascii="宋体" w:hAnsi="宋体"/>
          <w:szCs w:val="21"/>
        </w:rPr>
      </w:pPr>
      <w:r>
        <w:rPr>
          <w:rFonts w:hint="eastAsia" w:ascii="宋体" w:hAnsi="宋体"/>
          <w:szCs w:val="21"/>
        </w:rPr>
        <w:t>3.3.4总监理工程师不应将第3.5款约定应由总监理工程师作出确定的权力授权或者委托给其他监理人员。</w:t>
      </w:r>
    </w:p>
    <w:p w14:paraId="6D5E3AED">
      <w:pPr>
        <w:pStyle w:val="20"/>
        <w:rPr>
          <w:rFonts w:hint="eastAsia"/>
        </w:rPr>
      </w:pPr>
      <w:bookmarkStart w:id="1248" w:name="_Toc108513853"/>
      <w:r>
        <w:rPr>
          <w:rFonts w:hint="eastAsia"/>
        </w:rPr>
        <w:t>3.4监理人的指示</w:t>
      </w:r>
      <w:bookmarkEnd w:id="1248"/>
    </w:p>
    <w:p w14:paraId="3FB6208E">
      <w:pPr>
        <w:spacing w:line="390" w:lineRule="exact"/>
        <w:ind w:firstLine="420" w:firstLineChars="200"/>
        <w:rPr>
          <w:rFonts w:hint="eastAsia" w:ascii="宋体" w:hAnsi="宋体"/>
          <w:szCs w:val="21"/>
        </w:rPr>
      </w:pPr>
      <w:r>
        <w:rPr>
          <w:rFonts w:hint="eastAsia" w:ascii="宋体" w:hAnsi="宋体"/>
          <w:szCs w:val="21"/>
        </w:rPr>
        <w:t>3.4.4除通用合同条款已有的专门约定外，承包人只能从总监理工程师或按第3.3.1项授权的监理人员处取得指示，发包人应当通过监理人向承包人发出指示。</w:t>
      </w:r>
    </w:p>
    <w:p w14:paraId="1AB19F81">
      <w:pPr>
        <w:pStyle w:val="20"/>
        <w:rPr>
          <w:rFonts w:hint="eastAsia"/>
        </w:rPr>
      </w:pPr>
      <w:bookmarkStart w:id="1249" w:name="_Toc108513854"/>
      <w:r>
        <w:rPr>
          <w:rFonts w:hint="eastAsia"/>
        </w:rPr>
        <w:t>3.6监理人的宽恕</w:t>
      </w:r>
      <w:bookmarkEnd w:id="1249"/>
    </w:p>
    <w:p w14:paraId="07AD6D42">
      <w:pPr>
        <w:spacing w:line="390" w:lineRule="exact"/>
        <w:ind w:firstLine="420" w:firstLineChars="200"/>
        <w:rPr>
          <w:rFonts w:hint="eastAsia" w:ascii="宋体" w:hAnsi="宋体"/>
          <w:szCs w:val="21"/>
        </w:rPr>
      </w:pPr>
      <w:r>
        <w:rPr>
          <w:rFonts w:hint="eastAsia" w:ascii="宋体" w:hAnsi="宋体"/>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1389AB97">
      <w:pPr>
        <w:pStyle w:val="18"/>
        <w:rPr>
          <w:rFonts w:hint="eastAsia"/>
        </w:rPr>
      </w:pPr>
      <w:bookmarkStart w:id="1250" w:name="_Toc108513855"/>
      <w:r>
        <w:rPr>
          <w:rFonts w:hint="eastAsia"/>
        </w:rPr>
        <w:t>4.承包人</w:t>
      </w:r>
      <w:bookmarkEnd w:id="1250"/>
    </w:p>
    <w:p w14:paraId="77B5FC11">
      <w:pPr>
        <w:pStyle w:val="20"/>
        <w:rPr>
          <w:rFonts w:hint="eastAsia"/>
        </w:rPr>
      </w:pPr>
      <w:bookmarkStart w:id="1251" w:name="_Toc108513856"/>
      <w:r>
        <w:rPr>
          <w:rFonts w:hint="eastAsia"/>
        </w:rPr>
        <w:t>4.1承包人的一般义务</w:t>
      </w:r>
      <w:bookmarkEnd w:id="1251"/>
    </w:p>
    <w:p w14:paraId="1AA4BC29">
      <w:pPr>
        <w:spacing w:line="390" w:lineRule="exact"/>
        <w:ind w:firstLine="420" w:firstLineChars="200"/>
        <w:rPr>
          <w:rFonts w:hint="eastAsia" w:ascii="宋体" w:hAnsi="宋体"/>
          <w:szCs w:val="21"/>
        </w:rPr>
      </w:pPr>
      <w:r>
        <w:rPr>
          <w:rFonts w:hint="eastAsia" w:ascii="宋体" w:hAnsi="宋体"/>
          <w:szCs w:val="21"/>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2FED9F99">
      <w:pPr>
        <w:spacing w:line="390" w:lineRule="exact"/>
        <w:ind w:firstLine="422" w:firstLineChars="200"/>
        <w:rPr>
          <w:rFonts w:hint="eastAsia" w:ascii="宋体" w:hAnsi="宋体"/>
          <w:b/>
          <w:szCs w:val="21"/>
        </w:rPr>
      </w:pPr>
      <w:r>
        <w:rPr>
          <w:rFonts w:hint="eastAsia" w:ascii="宋体" w:hAnsi="宋体"/>
          <w:b/>
          <w:szCs w:val="21"/>
        </w:rPr>
        <w:t>4.1.8为他人提供方便</w:t>
      </w:r>
    </w:p>
    <w:p w14:paraId="5D72FC03">
      <w:pPr>
        <w:spacing w:line="390" w:lineRule="exact"/>
        <w:ind w:firstLine="420" w:firstLineChars="200"/>
        <w:rPr>
          <w:rFonts w:hint="eastAsia" w:ascii="宋体" w:hAnsi="宋体"/>
          <w:szCs w:val="21"/>
          <w:u w:val="single"/>
        </w:rPr>
      </w:pPr>
      <w:r>
        <w:rPr>
          <w:rFonts w:hint="eastAsia" w:ascii="宋体" w:hAnsi="宋体"/>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Pr>
          <w:rFonts w:hint="eastAsia" w:ascii="宋体" w:hAnsi="宋体"/>
          <w:szCs w:val="21"/>
          <w:u w:val="single"/>
        </w:rPr>
        <w:t xml:space="preserve">                                     </w:t>
      </w:r>
    </w:p>
    <w:p w14:paraId="59928DFC">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028741AD">
      <w:pPr>
        <w:spacing w:line="390" w:lineRule="exact"/>
        <w:ind w:firstLine="420" w:firstLineChars="200"/>
        <w:rPr>
          <w:rFonts w:hint="eastAsia" w:ascii="宋体" w:hAnsi="宋体"/>
          <w:szCs w:val="21"/>
        </w:rPr>
      </w:pPr>
      <w:r>
        <w:rPr>
          <w:rFonts w:hint="eastAsia" w:ascii="宋体" w:hAnsi="宋体"/>
          <w:szCs w:val="21"/>
        </w:rPr>
        <w:t>(2)承包人还应按监理人指示为独立承包人以外的他人在施工场地或者附近实施与合同工程有关的其他工作提供可能的条件，可能发生费用由监理人按第3.5款商定或者确定。</w:t>
      </w:r>
    </w:p>
    <w:p w14:paraId="41F13052">
      <w:pPr>
        <w:spacing w:line="390" w:lineRule="exact"/>
        <w:ind w:firstLine="422" w:firstLineChars="200"/>
        <w:rPr>
          <w:rFonts w:hint="eastAsia" w:ascii="宋体" w:hAnsi="宋体"/>
          <w:b/>
          <w:szCs w:val="21"/>
        </w:rPr>
      </w:pPr>
      <w:r>
        <w:rPr>
          <w:rFonts w:hint="eastAsia" w:ascii="宋体" w:hAnsi="宋体"/>
          <w:b/>
          <w:szCs w:val="21"/>
        </w:rPr>
        <w:t>4.1.10其他义务</w:t>
      </w:r>
    </w:p>
    <w:p w14:paraId="5C192EE8">
      <w:pPr>
        <w:spacing w:line="390" w:lineRule="exact"/>
        <w:ind w:firstLine="420" w:firstLineChars="200"/>
        <w:rPr>
          <w:rFonts w:hint="eastAsia" w:ascii="宋体" w:hAnsi="宋体"/>
          <w:szCs w:val="21"/>
          <w:u w:val="single"/>
        </w:rPr>
      </w:pPr>
      <w:r>
        <w:rPr>
          <w:rFonts w:hint="eastAsia" w:ascii="宋体" w:hAnsi="宋体"/>
          <w:szCs w:val="21"/>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szCs w:val="21"/>
          <w:u w:val="single"/>
        </w:rPr>
        <w:t xml:space="preserve">        </w:t>
      </w:r>
    </w:p>
    <w:p w14:paraId="53841C91">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66A46044">
      <w:pPr>
        <w:spacing w:line="390" w:lineRule="exact"/>
        <w:ind w:firstLine="420" w:firstLineChars="200"/>
        <w:rPr>
          <w:rFonts w:hint="eastAsia" w:ascii="宋体" w:hAnsi="宋体"/>
          <w:szCs w:val="21"/>
          <w:u w:val="single"/>
        </w:rPr>
      </w:pPr>
      <w:r>
        <w:rPr>
          <w:rFonts w:hint="eastAsia" w:ascii="宋体" w:hAnsi="宋体"/>
          <w:szCs w:val="21"/>
        </w:rPr>
        <w:t>(2)承包人应履行合同约定的其他义务以及下述义务：</w:t>
      </w:r>
      <w:r>
        <w:rPr>
          <w:rFonts w:hint="eastAsia" w:ascii="宋体" w:hAnsi="宋体"/>
          <w:szCs w:val="21"/>
          <w:u w:val="single"/>
        </w:rPr>
        <w:t xml:space="preserve">                            </w:t>
      </w:r>
    </w:p>
    <w:p w14:paraId="20B3B810">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A255E5E">
      <w:pPr>
        <w:pStyle w:val="20"/>
        <w:rPr>
          <w:rFonts w:hint="eastAsia"/>
        </w:rPr>
      </w:pPr>
      <w:bookmarkStart w:id="1252" w:name="_Toc108513857"/>
      <w:r>
        <w:rPr>
          <w:rFonts w:hint="eastAsia"/>
        </w:rPr>
        <w:t>4.2履约担保</w:t>
      </w:r>
      <w:bookmarkEnd w:id="1252"/>
    </w:p>
    <w:p w14:paraId="05C65841">
      <w:pPr>
        <w:spacing w:line="390" w:lineRule="exact"/>
        <w:ind w:firstLine="422" w:firstLineChars="200"/>
        <w:rPr>
          <w:rFonts w:hint="eastAsia" w:ascii="宋体" w:hAnsi="宋体"/>
          <w:b/>
          <w:szCs w:val="21"/>
        </w:rPr>
      </w:pPr>
      <w:r>
        <w:rPr>
          <w:rFonts w:hint="eastAsia" w:ascii="宋体" w:hAnsi="宋体"/>
          <w:b/>
          <w:szCs w:val="21"/>
        </w:rPr>
        <w:t>4.2.1履约担保的格式和金额</w:t>
      </w:r>
    </w:p>
    <w:p w14:paraId="3E2F035D">
      <w:pPr>
        <w:spacing w:line="390" w:lineRule="exact"/>
        <w:ind w:firstLine="420" w:firstLineChars="200"/>
        <w:rPr>
          <w:rFonts w:hint="eastAsia" w:ascii="宋体" w:hAnsi="宋体"/>
          <w:szCs w:val="21"/>
        </w:rPr>
      </w:pPr>
      <w:r>
        <w:rPr>
          <w:rFonts w:hint="eastAsia" w:ascii="宋体" w:hAnsi="宋体"/>
          <w:szCs w:val="21"/>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ascii="宋体" w:hAnsi="宋体"/>
          <w:szCs w:val="21"/>
          <w:u w:val="single"/>
        </w:rPr>
        <w:t xml:space="preserve">                 </w:t>
      </w:r>
      <w:r>
        <w:rPr>
          <w:rFonts w:hint="eastAsia" w:ascii="宋体" w:hAnsi="宋体"/>
          <w:szCs w:val="21"/>
        </w:rPr>
        <w:t>。履约担保是本合同的附件。</w:t>
      </w:r>
    </w:p>
    <w:p w14:paraId="7366BEAA">
      <w:pPr>
        <w:spacing w:line="390" w:lineRule="exact"/>
        <w:ind w:firstLine="422" w:firstLineChars="200"/>
        <w:rPr>
          <w:rFonts w:hint="eastAsia" w:ascii="宋体" w:hAnsi="宋体"/>
          <w:b/>
          <w:szCs w:val="21"/>
        </w:rPr>
      </w:pPr>
      <w:r>
        <w:rPr>
          <w:rFonts w:hint="eastAsia" w:ascii="宋体" w:hAnsi="宋体"/>
          <w:b/>
          <w:szCs w:val="21"/>
        </w:rPr>
        <w:t>4.2.2履约担保的有效期</w:t>
      </w:r>
    </w:p>
    <w:p w14:paraId="7EADA4A9">
      <w:pPr>
        <w:spacing w:line="390" w:lineRule="exact"/>
        <w:ind w:firstLine="420" w:firstLineChars="200"/>
        <w:rPr>
          <w:rFonts w:hint="eastAsia" w:ascii="宋体" w:hAnsi="宋体"/>
          <w:szCs w:val="21"/>
        </w:rPr>
      </w:pPr>
      <w:r>
        <w:rPr>
          <w:rFonts w:hint="eastAsia" w:ascii="宋体" w:hAnsi="宋体"/>
          <w:szCs w:val="21"/>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14:paraId="49A39DE0">
      <w:pPr>
        <w:spacing w:line="390" w:lineRule="exact"/>
        <w:ind w:firstLine="422" w:firstLineChars="200"/>
        <w:rPr>
          <w:rFonts w:hint="eastAsia" w:ascii="宋体" w:hAnsi="宋体"/>
          <w:b/>
          <w:szCs w:val="21"/>
        </w:rPr>
      </w:pPr>
      <w:r>
        <w:rPr>
          <w:rFonts w:hint="eastAsia" w:ascii="宋体" w:hAnsi="宋体"/>
          <w:b/>
          <w:szCs w:val="21"/>
        </w:rPr>
        <w:t>4.2.3履约担保的退还</w:t>
      </w:r>
    </w:p>
    <w:p w14:paraId="4C4FCC88">
      <w:pPr>
        <w:spacing w:line="390" w:lineRule="exact"/>
        <w:ind w:firstLine="420" w:firstLineChars="200"/>
        <w:rPr>
          <w:rFonts w:hint="eastAsia" w:ascii="宋体" w:hAnsi="宋体"/>
          <w:szCs w:val="21"/>
        </w:rPr>
      </w:pPr>
      <w:r>
        <w:rPr>
          <w:rFonts w:hint="eastAsia" w:ascii="宋体" w:hAnsi="宋体"/>
          <w:szCs w:val="21"/>
        </w:rPr>
        <w:t>履约担保应在监理人向承包人颁发(出具)工程接收证书之日后28天内退还给承包人。</w:t>
      </w:r>
    </w:p>
    <w:p w14:paraId="45ECB101">
      <w:pPr>
        <w:spacing w:line="390" w:lineRule="exact"/>
        <w:ind w:firstLine="420" w:firstLineChars="200"/>
        <w:rPr>
          <w:rFonts w:hint="eastAsia" w:ascii="宋体" w:hAnsi="宋体"/>
          <w:szCs w:val="21"/>
        </w:rPr>
      </w:pPr>
      <w:r>
        <w:rPr>
          <w:rFonts w:hint="eastAsia" w:ascii="宋体" w:hAnsi="宋体"/>
          <w:szCs w:val="21"/>
        </w:rPr>
        <w:t>发包人不承担承包人与履约担保有关的任何利息或其它类似的费用或者收益。</w:t>
      </w:r>
    </w:p>
    <w:p w14:paraId="2297511F">
      <w:pPr>
        <w:spacing w:line="390" w:lineRule="exact"/>
        <w:ind w:firstLine="422" w:firstLineChars="200"/>
        <w:rPr>
          <w:rFonts w:hint="eastAsia" w:ascii="宋体" w:hAnsi="宋体"/>
          <w:b/>
          <w:szCs w:val="21"/>
        </w:rPr>
      </w:pPr>
      <w:r>
        <w:rPr>
          <w:rFonts w:hint="eastAsia" w:ascii="宋体" w:hAnsi="宋体"/>
          <w:b/>
          <w:szCs w:val="21"/>
        </w:rPr>
        <w:t>4.2.4通知义务</w:t>
      </w:r>
    </w:p>
    <w:p w14:paraId="29A9D0F8">
      <w:pPr>
        <w:spacing w:line="390" w:lineRule="exact"/>
        <w:ind w:firstLine="420" w:firstLineChars="200"/>
        <w:rPr>
          <w:rFonts w:hint="eastAsia" w:ascii="宋体" w:hAnsi="宋体"/>
          <w:szCs w:val="21"/>
        </w:rPr>
      </w:pPr>
      <w:r>
        <w:rPr>
          <w:rFonts w:hint="eastAsia" w:ascii="宋体" w:hAnsi="宋体"/>
          <w:szCs w:val="21"/>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7C6785D6">
      <w:pPr>
        <w:pStyle w:val="20"/>
        <w:rPr>
          <w:rFonts w:hint="eastAsia"/>
        </w:rPr>
      </w:pPr>
      <w:bookmarkStart w:id="1253" w:name="_Toc108513858"/>
      <w:r>
        <w:rPr>
          <w:rFonts w:hint="eastAsia"/>
        </w:rPr>
        <w:t>4.3分包</w:t>
      </w:r>
      <w:bookmarkEnd w:id="1253"/>
    </w:p>
    <w:p w14:paraId="6940B86A">
      <w:pPr>
        <w:spacing w:line="390" w:lineRule="exact"/>
        <w:ind w:firstLine="420" w:firstLineChars="200"/>
        <w:rPr>
          <w:rFonts w:hint="eastAsia" w:ascii="宋体" w:hAnsi="宋体"/>
          <w:szCs w:val="21"/>
        </w:rPr>
      </w:pPr>
      <w:r>
        <w:rPr>
          <w:rFonts w:hint="eastAsia" w:ascii="宋体" w:hAnsi="宋体"/>
          <w:szCs w:val="21"/>
        </w:rPr>
        <w:t>4.3.2发包人同意承包人分包的非主体、非关键性工作见投标函附录。除通用合同条款第4.3款的约定外，分包还应遵循以下约定：</w:t>
      </w:r>
    </w:p>
    <w:p w14:paraId="55549B05">
      <w:pPr>
        <w:spacing w:line="390" w:lineRule="exact"/>
        <w:ind w:firstLine="420" w:firstLineChars="200"/>
        <w:rPr>
          <w:rFonts w:hint="eastAsia" w:ascii="宋体" w:hAnsi="宋体"/>
          <w:szCs w:val="21"/>
        </w:rPr>
      </w:pPr>
      <w:r>
        <w:rPr>
          <w:rFonts w:hint="eastAsia" w:ascii="宋体" w:hAnsi="宋体"/>
          <w:szCs w:val="21"/>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14:paraId="2DDEC8DD">
      <w:pPr>
        <w:spacing w:line="390" w:lineRule="exact"/>
        <w:ind w:firstLine="420" w:firstLineChars="200"/>
        <w:rPr>
          <w:rFonts w:hint="eastAsia" w:ascii="宋体" w:hAnsi="宋体"/>
          <w:szCs w:val="21"/>
        </w:rPr>
      </w:pPr>
      <w:r>
        <w:rPr>
          <w:rFonts w:hint="eastAsia" w:ascii="宋体" w:hAnsi="宋体"/>
          <w:szCs w:val="21"/>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除项目审批部门有特别核准外，暂估价的专业工程的招标应当采用与施工总承包同样的招标方式。</w:t>
      </w:r>
    </w:p>
    <w:p w14:paraId="11DC00B4">
      <w:pPr>
        <w:spacing w:line="390" w:lineRule="exact"/>
        <w:ind w:firstLine="420" w:firstLineChars="200"/>
        <w:rPr>
          <w:rFonts w:hint="eastAsia" w:ascii="宋体" w:hAnsi="宋体"/>
          <w:szCs w:val="21"/>
        </w:rPr>
      </w:pPr>
      <w:r>
        <w:rPr>
          <w:rFonts w:hint="eastAsia" w:ascii="宋体" w:hAnsi="宋体"/>
          <w:szCs w:val="21"/>
        </w:rPr>
        <w:t>(3)在相关分包合同签订并报送有关建设行政主管部门备案后7天内，承包人应当将一份副本提交给监理人，承包人应保障分包工作不得再次分包。</w:t>
      </w:r>
    </w:p>
    <w:p w14:paraId="2311BEE3">
      <w:pPr>
        <w:spacing w:line="390" w:lineRule="exact"/>
        <w:ind w:firstLine="420" w:firstLineChars="200"/>
        <w:rPr>
          <w:rFonts w:hint="eastAsia" w:ascii="宋体" w:hAnsi="宋体"/>
          <w:szCs w:val="21"/>
        </w:rPr>
      </w:pPr>
      <w:r>
        <w:rPr>
          <w:rFonts w:hint="eastAsia" w:ascii="宋体" w:hAnsi="宋体"/>
          <w:szCs w:val="21"/>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260BC16E">
      <w:pPr>
        <w:spacing w:line="390" w:lineRule="exact"/>
        <w:ind w:firstLine="420" w:firstLineChars="200"/>
        <w:rPr>
          <w:rFonts w:hint="eastAsia" w:ascii="宋体" w:hAnsi="宋体"/>
          <w:szCs w:val="21"/>
        </w:rPr>
      </w:pPr>
      <w:r>
        <w:rPr>
          <w:rFonts w:hint="eastAsia" w:ascii="宋体" w:hAnsi="宋体"/>
          <w:szCs w:val="21"/>
        </w:rPr>
        <w:t>(5)未经发包人和监理人审批同意的分包工程和分包人，发包人有权拒绝验收分包工程和支付相应款项，由此引起的承包人费用增加和(或)延误的工期由承包人承担。</w:t>
      </w:r>
    </w:p>
    <w:p w14:paraId="627B2295">
      <w:pPr>
        <w:pStyle w:val="20"/>
        <w:rPr>
          <w:rFonts w:hint="eastAsia"/>
        </w:rPr>
      </w:pPr>
      <w:bookmarkStart w:id="1254" w:name="_Toc108513859"/>
      <w:r>
        <w:rPr>
          <w:rFonts w:hint="eastAsia"/>
        </w:rPr>
        <w:t>4.5承包人项目经理</w:t>
      </w:r>
      <w:bookmarkEnd w:id="1254"/>
    </w:p>
    <w:p w14:paraId="61C57A2F">
      <w:pPr>
        <w:spacing w:line="390" w:lineRule="exact"/>
        <w:ind w:firstLine="420" w:firstLineChars="200"/>
        <w:rPr>
          <w:rFonts w:hint="eastAsia" w:ascii="宋体" w:hAnsi="宋体"/>
          <w:szCs w:val="21"/>
        </w:rPr>
      </w:pPr>
      <w:r>
        <w:rPr>
          <w:rFonts w:hint="eastAsia" w:ascii="宋体" w:hAnsi="宋体"/>
          <w:szCs w:val="21"/>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21E3834C">
      <w:pPr>
        <w:pStyle w:val="20"/>
        <w:rPr>
          <w:rFonts w:hint="eastAsia"/>
        </w:rPr>
      </w:pPr>
      <w:bookmarkStart w:id="1255" w:name="_Toc108513860"/>
      <w:r>
        <w:rPr>
          <w:rFonts w:hint="eastAsia"/>
        </w:rPr>
        <w:t>4.11不利物质条件</w:t>
      </w:r>
      <w:bookmarkEnd w:id="1255"/>
    </w:p>
    <w:p w14:paraId="6562B6A8">
      <w:pPr>
        <w:spacing w:line="390" w:lineRule="exact"/>
        <w:ind w:firstLine="420" w:firstLineChars="200"/>
        <w:rPr>
          <w:rFonts w:hint="eastAsia" w:ascii="宋体" w:hAnsi="宋体"/>
          <w:szCs w:val="21"/>
          <w:u w:val="single"/>
        </w:rPr>
      </w:pPr>
      <w:r>
        <w:rPr>
          <w:rFonts w:hint="eastAsia" w:ascii="宋体" w:hAnsi="宋体"/>
          <w:szCs w:val="21"/>
        </w:rPr>
        <w:t>4.11.1不利物质条件的范围：</w:t>
      </w:r>
      <w:r>
        <w:rPr>
          <w:rFonts w:hint="eastAsia" w:ascii="宋体" w:hAnsi="宋体"/>
          <w:szCs w:val="21"/>
          <w:u w:val="single"/>
        </w:rPr>
        <w:t xml:space="preserve">                                                  </w:t>
      </w:r>
    </w:p>
    <w:p w14:paraId="2E72B4AE">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229C99E9">
      <w:pPr>
        <w:pStyle w:val="18"/>
        <w:rPr>
          <w:rFonts w:hint="eastAsia"/>
        </w:rPr>
      </w:pPr>
      <w:bookmarkStart w:id="1256" w:name="_Toc108513861"/>
      <w:r>
        <w:rPr>
          <w:rFonts w:hint="eastAsia"/>
        </w:rPr>
        <w:t>5.材料和工程设备</w:t>
      </w:r>
      <w:bookmarkEnd w:id="1256"/>
    </w:p>
    <w:p w14:paraId="508E4EC9">
      <w:pPr>
        <w:pStyle w:val="20"/>
        <w:rPr>
          <w:rFonts w:hint="eastAsia"/>
        </w:rPr>
      </w:pPr>
      <w:bookmarkStart w:id="1257" w:name="_Toc108513862"/>
      <w:r>
        <w:rPr>
          <w:rFonts w:hint="eastAsia"/>
        </w:rPr>
        <w:t>5.1承包人提供的材料和工程设备</w:t>
      </w:r>
      <w:bookmarkEnd w:id="1257"/>
    </w:p>
    <w:p w14:paraId="778597DC">
      <w:pPr>
        <w:spacing w:line="420" w:lineRule="exact"/>
        <w:ind w:firstLine="420" w:firstLineChars="200"/>
        <w:rPr>
          <w:rFonts w:hint="eastAsia" w:ascii="宋体" w:hAnsi="宋体"/>
          <w:szCs w:val="21"/>
        </w:rPr>
      </w:pPr>
      <w:r>
        <w:rPr>
          <w:rFonts w:hint="eastAsia" w:ascii="宋体" w:hAnsi="宋体"/>
          <w:szCs w:val="21"/>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见第五章“工程量清单”的“承包人提供的材料和工程设备一览表”。</w:t>
      </w:r>
    </w:p>
    <w:p w14:paraId="0648C26B">
      <w:pPr>
        <w:spacing w:line="420" w:lineRule="exact"/>
        <w:ind w:firstLine="420" w:firstLineChars="200"/>
        <w:rPr>
          <w:rFonts w:hint="eastAsia" w:ascii="宋体" w:hAnsi="宋体"/>
          <w:szCs w:val="21"/>
        </w:rPr>
      </w:pPr>
      <w:r>
        <w:rPr>
          <w:rFonts w:hint="eastAsia" w:ascii="宋体" w:hAnsi="宋体"/>
          <w:szCs w:val="21"/>
        </w:rPr>
        <w:t>5.1.2承包人将由其提供的材料和工程设备的供货人及品种、规格、数量和供货时间等报送监理人审批的期限：</w:t>
      </w:r>
      <w:r>
        <w:rPr>
          <w:rFonts w:hint="eastAsia" w:ascii="宋体" w:hAnsi="宋体"/>
          <w:szCs w:val="21"/>
          <w:u w:val="single"/>
        </w:rPr>
        <w:t xml:space="preserve">                                                        </w:t>
      </w:r>
      <w:r>
        <w:rPr>
          <w:rFonts w:hint="eastAsia" w:ascii="宋体" w:hAnsi="宋体"/>
          <w:szCs w:val="21"/>
        </w:rPr>
        <w:t>。</w:t>
      </w:r>
    </w:p>
    <w:p w14:paraId="6B6369EC">
      <w:pPr>
        <w:pStyle w:val="20"/>
        <w:rPr>
          <w:rFonts w:hint="eastAsia"/>
        </w:rPr>
      </w:pPr>
      <w:bookmarkStart w:id="1258" w:name="_Toc108513863"/>
      <w:r>
        <w:rPr>
          <w:rFonts w:hint="eastAsia"/>
        </w:rPr>
        <w:t>5.2发包人提供的材料和工程设备</w:t>
      </w:r>
      <w:bookmarkEnd w:id="1258"/>
    </w:p>
    <w:p w14:paraId="694DEB13">
      <w:pPr>
        <w:spacing w:line="420" w:lineRule="exact"/>
        <w:ind w:firstLine="420" w:firstLineChars="200"/>
        <w:rPr>
          <w:rFonts w:hint="eastAsia" w:ascii="宋体" w:hAnsi="宋体"/>
          <w:szCs w:val="21"/>
        </w:rPr>
      </w:pPr>
      <w:r>
        <w:rPr>
          <w:rFonts w:hint="eastAsia" w:ascii="宋体" w:hAnsi="宋体"/>
          <w:szCs w:val="21"/>
        </w:rPr>
        <w:t>5.2.1发包人负责提供的材料和工程设备的名称、规格、数量、价格、交货方式、交货地点和计划交货日期等见第五章“工程量清单”的“发包人提供的材料和工程设备一览表”。</w:t>
      </w:r>
    </w:p>
    <w:p w14:paraId="795A6C63">
      <w:pPr>
        <w:spacing w:line="420" w:lineRule="exact"/>
        <w:ind w:firstLine="420" w:firstLineChars="200"/>
        <w:rPr>
          <w:rFonts w:hint="eastAsia" w:ascii="宋体" w:hAnsi="宋体"/>
          <w:szCs w:val="21"/>
        </w:rPr>
      </w:pPr>
      <w:r>
        <w:rPr>
          <w:rFonts w:hint="eastAsia" w:ascii="宋体" w:hAnsi="宋体"/>
          <w:szCs w:val="21"/>
        </w:rPr>
        <w:t>5.2.3由发包人提供的材料和工程设备验收后，由承包人负责接收、运输和保管。</w:t>
      </w:r>
    </w:p>
    <w:p w14:paraId="3A4512A3">
      <w:pPr>
        <w:pStyle w:val="18"/>
        <w:rPr>
          <w:rFonts w:hint="eastAsia"/>
        </w:rPr>
      </w:pPr>
      <w:bookmarkStart w:id="1259" w:name="_Toc108513864"/>
      <w:r>
        <w:rPr>
          <w:rFonts w:hint="eastAsia"/>
        </w:rPr>
        <w:t>6.施工设备和临时设施</w:t>
      </w:r>
      <w:bookmarkEnd w:id="1259"/>
    </w:p>
    <w:p w14:paraId="6C2D9BDE">
      <w:pPr>
        <w:pStyle w:val="20"/>
        <w:rPr>
          <w:rFonts w:hint="eastAsia" w:ascii="黑体" w:hAnsi="宋体"/>
        </w:rPr>
      </w:pPr>
      <w:bookmarkStart w:id="1260" w:name="_Toc108513865"/>
      <w:r>
        <w:rPr>
          <w:rFonts w:hint="eastAsia"/>
        </w:rPr>
        <w:t>6.1承包人提供的施工设备和临时设施</w:t>
      </w:r>
      <w:bookmarkEnd w:id="1260"/>
    </w:p>
    <w:p w14:paraId="4B59CA14">
      <w:pPr>
        <w:spacing w:line="420" w:lineRule="exact"/>
        <w:ind w:firstLine="420" w:firstLineChars="200"/>
        <w:rPr>
          <w:rFonts w:hint="eastAsia" w:ascii="宋体" w:hAnsi="宋体"/>
          <w:szCs w:val="21"/>
        </w:rPr>
      </w:pPr>
      <w:r>
        <w:rPr>
          <w:rFonts w:hint="eastAsia" w:ascii="宋体" w:hAnsi="宋体"/>
          <w:szCs w:val="21"/>
        </w:rPr>
        <w:t>6.1.2发包人承担修建临时设施的费用的范围：</w:t>
      </w:r>
      <w:r>
        <w:rPr>
          <w:rFonts w:hint="eastAsia" w:ascii="宋体" w:hAnsi="宋体"/>
          <w:szCs w:val="21"/>
          <w:u w:val="single"/>
        </w:rPr>
        <w:t xml:space="preserve">                                  </w:t>
      </w:r>
      <w:r>
        <w:rPr>
          <w:rFonts w:hint="eastAsia" w:ascii="宋体" w:hAnsi="宋体"/>
          <w:szCs w:val="21"/>
        </w:rPr>
        <w:t>。</w:t>
      </w:r>
    </w:p>
    <w:p w14:paraId="6C52E78E">
      <w:pPr>
        <w:spacing w:line="420" w:lineRule="exact"/>
        <w:ind w:firstLine="420" w:firstLineChars="200"/>
        <w:rPr>
          <w:rFonts w:hint="eastAsia" w:ascii="宋体" w:hAnsi="宋体"/>
          <w:szCs w:val="21"/>
          <w:u w:val="single"/>
        </w:rPr>
      </w:pPr>
      <w:r>
        <w:rPr>
          <w:rFonts w:hint="eastAsia" w:ascii="宋体" w:hAnsi="宋体"/>
          <w:szCs w:val="21"/>
        </w:rPr>
        <w:t>需要发包人办理申请手续和承担相关费用的临时占地：</w:t>
      </w:r>
      <w:r>
        <w:rPr>
          <w:rFonts w:hint="eastAsia" w:ascii="宋体" w:hAnsi="宋体"/>
          <w:szCs w:val="21"/>
          <w:u w:val="single"/>
        </w:rPr>
        <w:t xml:space="preserve">                            </w:t>
      </w:r>
    </w:p>
    <w:p w14:paraId="514AD9B7">
      <w:pPr>
        <w:spacing w:line="42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59E032E8">
      <w:pPr>
        <w:pStyle w:val="20"/>
        <w:rPr>
          <w:rFonts w:hint="eastAsia"/>
        </w:rPr>
      </w:pPr>
      <w:bookmarkStart w:id="1261" w:name="_Toc108513866"/>
      <w:r>
        <w:rPr>
          <w:rFonts w:hint="eastAsia"/>
        </w:rPr>
        <w:t>6.2发包人提供的施工设备和临时设施</w:t>
      </w:r>
      <w:bookmarkEnd w:id="1261"/>
    </w:p>
    <w:p w14:paraId="337FA8E5">
      <w:pPr>
        <w:spacing w:line="420" w:lineRule="exact"/>
        <w:ind w:firstLine="420" w:firstLineChars="200"/>
        <w:rPr>
          <w:rFonts w:hint="eastAsia" w:ascii="宋体" w:hAnsi="宋体"/>
          <w:szCs w:val="21"/>
        </w:rPr>
      </w:pPr>
      <w:r>
        <w:rPr>
          <w:rFonts w:hint="eastAsia" w:ascii="宋体" w:hAnsi="宋体"/>
          <w:szCs w:val="21"/>
        </w:rPr>
        <w:t>发包人提供的施工设备和临时设施：</w:t>
      </w:r>
      <w:r>
        <w:rPr>
          <w:rFonts w:hint="eastAsia" w:ascii="宋体" w:hAnsi="宋体"/>
          <w:szCs w:val="21"/>
          <w:u w:val="single"/>
        </w:rPr>
        <w:t xml:space="preserve">                                           </w:t>
      </w:r>
      <w:r>
        <w:rPr>
          <w:rFonts w:hint="eastAsia" w:ascii="宋体" w:hAnsi="宋体"/>
          <w:szCs w:val="21"/>
        </w:rPr>
        <w:t>。</w:t>
      </w:r>
    </w:p>
    <w:p w14:paraId="30DAAC4D">
      <w:pPr>
        <w:spacing w:line="420" w:lineRule="exact"/>
        <w:ind w:firstLine="420" w:firstLineChars="200"/>
        <w:rPr>
          <w:rFonts w:hint="eastAsia" w:ascii="宋体" w:hAnsi="宋体"/>
          <w:szCs w:val="21"/>
        </w:rPr>
      </w:pPr>
      <w:r>
        <w:rPr>
          <w:rFonts w:hint="eastAsia" w:ascii="宋体" w:hAnsi="宋体"/>
          <w:szCs w:val="21"/>
        </w:rPr>
        <w:t>发包人提供的施工设备和临时设施的运行、维护、拆除、清运费用的承担人：</w:t>
      </w:r>
      <w:r>
        <w:rPr>
          <w:rFonts w:hint="eastAsia" w:ascii="宋体" w:hAnsi="宋体"/>
          <w:szCs w:val="21"/>
          <w:u w:val="single"/>
        </w:rPr>
        <w:t xml:space="preserve">       </w:t>
      </w:r>
      <w:r>
        <w:rPr>
          <w:rFonts w:hint="eastAsia" w:ascii="宋体" w:hAnsi="宋体"/>
          <w:szCs w:val="21"/>
        </w:rPr>
        <w:t>。</w:t>
      </w:r>
    </w:p>
    <w:p w14:paraId="280BBB59">
      <w:pPr>
        <w:pStyle w:val="20"/>
        <w:rPr>
          <w:rFonts w:hint="eastAsia"/>
        </w:rPr>
      </w:pPr>
      <w:bookmarkStart w:id="1262" w:name="_Toc108513867"/>
      <w:r>
        <w:rPr>
          <w:rFonts w:hint="eastAsia"/>
        </w:rPr>
        <w:t>6.4施工设备和临时设施专用于合同工程</w:t>
      </w:r>
      <w:bookmarkEnd w:id="1262"/>
    </w:p>
    <w:p w14:paraId="67205C3B">
      <w:pPr>
        <w:spacing w:line="420" w:lineRule="exact"/>
        <w:ind w:firstLine="420" w:firstLineChars="200"/>
        <w:rPr>
          <w:rFonts w:hint="eastAsia" w:ascii="宋体" w:hAnsi="宋体"/>
          <w:szCs w:val="21"/>
        </w:rPr>
      </w:pPr>
      <w:r>
        <w:rPr>
          <w:rFonts w:hint="eastAsia" w:ascii="宋体" w:hAnsi="宋体"/>
          <w:szCs w:val="21"/>
        </w:rPr>
        <w:t>6.4.1除为专用合同条款第4.1.8项约定的其他独立承包人和监理人指示的他人提供条件外，承包人运入施工场地的所有施工设备以及在施工场地建设的临时设施仅限于用于合同工程。</w:t>
      </w:r>
    </w:p>
    <w:p w14:paraId="32906737">
      <w:pPr>
        <w:pStyle w:val="18"/>
        <w:rPr>
          <w:rFonts w:hint="eastAsia"/>
        </w:rPr>
      </w:pPr>
      <w:bookmarkStart w:id="1263" w:name="_Toc108513868"/>
      <w:r>
        <w:rPr>
          <w:rFonts w:hint="eastAsia"/>
        </w:rPr>
        <w:t>7.交通运输</w:t>
      </w:r>
      <w:bookmarkEnd w:id="1263"/>
    </w:p>
    <w:p w14:paraId="053EBDFA">
      <w:pPr>
        <w:pStyle w:val="20"/>
        <w:rPr>
          <w:rFonts w:hint="eastAsia"/>
        </w:rPr>
      </w:pPr>
      <w:bookmarkStart w:id="1264" w:name="_Toc108513869"/>
      <w:r>
        <w:rPr>
          <w:rFonts w:hint="eastAsia"/>
        </w:rPr>
        <w:t>7.1道路通行权和场外设施</w:t>
      </w:r>
      <w:bookmarkEnd w:id="1264"/>
    </w:p>
    <w:p w14:paraId="26222785">
      <w:pPr>
        <w:spacing w:line="420" w:lineRule="exact"/>
        <w:ind w:firstLine="420" w:firstLineChars="200"/>
        <w:rPr>
          <w:rFonts w:hint="eastAsia" w:ascii="宋体" w:hAnsi="宋体"/>
          <w:szCs w:val="21"/>
        </w:rPr>
      </w:pPr>
      <w:r>
        <w:rPr>
          <w:rFonts w:hint="eastAsia" w:ascii="宋体" w:hAnsi="宋体"/>
          <w:szCs w:val="21"/>
        </w:rPr>
        <w:t>取得道路通行权、场外设施修建权的办理人：</w:t>
      </w:r>
      <w:r>
        <w:rPr>
          <w:rFonts w:hint="eastAsia" w:ascii="宋体" w:hAnsi="宋体"/>
          <w:szCs w:val="21"/>
          <w:u w:val="single"/>
        </w:rPr>
        <w:t xml:space="preserve">                     </w:t>
      </w:r>
      <w:r>
        <w:rPr>
          <w:rFonts w:hint="eastAsia" w:ascii="宋体" w:hAnsi="宋体"/>
          <w:szCs w:val="21"/>
        </w:rPr>
        <w:t>，其相关费用由发包人承担。</w:t>
      </w:r>
    </w:p>
    <w:p w14:paraId="54875206">
      <w:pPr>
        <w:pStyle w:val="20"/>
        <w:rPr>
          <w:rFonts w:hint="eastAsia"/>
        </w:rPr>
      </w:pPr>
      <w:bookmarkStart w:id="1265" w:name="_Toc108513870"/>
      <w:r>
        <w:rPr>
          <w:rFonts w:hint="eastAsia"/>
        </w:rPr>
        <w:t>7.2场内施工道路</w:t>
      </w:r>
      <w:bookmarkEnd w:id="1265"/>
    </w:p>
    <w:p w14:paraId="38D0DD1C">
      <w:pPr>
        <w:spacing w:line="420" w:lineRule="exact"/>
        <w:ind w:firstLine="420" w:firstLineChars="200"/>
        <w:rPr>
          <w:rFonts w:hint="eastAsia" w:ascii="宋体" w:hAnsi="宋体"/>
          <w:szCs w:val="21"/>
        </w:rPr>
      </w:pPr>
      <w:r>
        <w:rPr>
          <w:rFonts w:hint="eastAsia" w:ascii="宋体" w:hAnsi="宋体"/>
          <w:szCs w:val="21"/>
        </w:rPr>
        <w:t>7.2.1施工所需的场内临时道路和交通设施的修建、维护、养护和管理人：</w:t>
      </w:r>
      <w:r>
        <w:rPr>
          <w:rFonts w:hint="eastAsia" w:ascii="宋体" w:hAnsi="宋体"/>
          <w:szCs w:val="21"/>
          <w:u w:val="single"/>
        </w:rPr>
        <w:t xml:space="preserve">         </w:t>
      </w:r>
      <w:r>
        <w:rPr>
          <w:rFonts w:hint="eastAsia" w:ascii="宋体" w:hAnsi="宋体"/>
          <w:szCs w:val="21"/>
        </w:rPr>
        <w:t>，相关费用由</w:t>
      </w:r>
      <w:r>
        <w:rPr>
          <w:rFonts w:hint="eastAsia" w:ascii="宋体" w:hAnsi="宋体"/>
          <w:szCs w:val="21"/>
          <w:u w:val="single"/>
        </w:rPr>
        <w:t xml:space="preserve">              </w:t>
      </w:r>
      <w:r>
        <w:rPr>
          <w:rFonts w:hint="eastAsia" w:ascii="宋体" w:hAnsi="宋体"/>
          <w:szCs w:val="21"/>
        </w:rPr>
        <w:t>承担。</w:t>
      </w:r>
    </w:p>
    <w:p w14:paraId="608398BB">
      <w:pPr>
        <w:spacing w:line="440" w:lineRule="exact"/>
        <w:ind w:firstLine="420" w:firstLineChars="200"/>
        <w:rPr>
          <w:rFonts w:hint="eastAsia" w:ascii="宋体" w:hAnsi="宋体"/>
          <w:szCs w:val="21"/>
        </w:rPr>
      </w:pPr>
      <w:r>
        <w:rPr>
          <w:rFonts w:hint="eastAsia" w:ascii="宋体" w:hAnsi="宋体"/>
          <w:szCs w:val="21"/>
        </w:rPr>
        <w:t>7.2.2发包人和监理人有权无偿使用承包人修建的临时道路和交通设施，不需要交纳任何费用。</w:t>
      </w:r>
    </w:p>
    <w:p w14:paraId="4D47A4A1">
      <w:pPr>
        <w:pStyle w:val="20"/>
        <w:rPr>
          <w:rFonts w:hint="eastAsia"/>
        </w:rPr>
      </w:pPr>
      <w:bookmarkStart w:id="1266" w:name="_Toc108513871"/>
      <w:r>
        <w:rPr>
          <w:rFonts w:hint="eastAsia"/>
        </w:rPr>
        <w:t>7.4超大件和超重件的运输</w:t>
      </w:r>
      <w:bookmarkEnd w:id="1266"/>
    </w:p>
    <w:p w14:paraId="5714C3A9">
      <w:pPr>
        <w:spacing w:line="440" w:lineRule="exact"/>
        <w:ind w:firstLine="420" w:firstLineChars="200"/>
        <w:rPr>
          <w:rFonts w:hint="eastAsia" w:ascii="宋体" w:hAnsi="宋体"/>
          <w:szCs w:val="21"/>
        </w:rPr>
      </w:pPr>
      <w:r>
        <w:rPr>
          <w:rFonts w:hint="eastAsia" w:ascii="宋体" w:hAnsi="宋体"/>
          <w:szCs w:val="21"/>
        </w:rPr>
        <w:t>运输超大件或超重件所需的道路和桥梁临时加固改造等费用的承担人：</w:t>
      </w:r>
      <w:r>
        <w:rPr>
          <w:rFonts w:hint="eastAsia" w:ascii="宋体" w:hAnsi="宋体"/>
          <w:szCs w:val="21"/>
          <w:u w:val="single"/>
        </w:rPr>
        <w:t xml:space="preserve">              </w:t>
      </w:r>
      <w:r>
        <w:rPr>
          <w:rFonts w:hint="eastAsia" w:ascii="宋体" w:hAnsi="宋体"/>
          <w:szCs w:val="21"/>
        </w:rPr>
        <w:t>。</w:t>
      </w:r>
    </w:p>
    <w:p w14:paraId="70A0032D">
      <w:pPr>
        <w:pStyle w:val="18"/>
        <w:rPr>
          <w:rFonts w:hint="eastAsia"/>
        </w:rPr>
      </w:pPr>
      <w:bookmarkStart w:id="1267" w:name="_Toc108513872"/>
      <w:r>
        <w:rPr>
          <w:rFonts w:hint="eastAsia"/>
        </w:rPr>
        <w:t>8.测量放线</w:t>
      </w:r>
      <w:bookmarkEnd w:id="1267"/>
    </w:p>
    <w:p w14:paraId="25775C1A">
      <w:pPr>
        <w:pStyle w:val="20"/>
        <w:rPr>
          <w:rFonts w:hint="eastAsia"/>
        </w:rPr>
      </w:pPr>
      <w:bookmarkStart w:id="1268" w:name="_Toc108513873"/>
      <w:r>
        <w:rPr>
          <w:rFonts w:hint="eastAsia"/>
        </w:rPr>
        <w:t>8.1施工控制网</w:t>
      </w:r>
      <w:bookmarkEnd w:id="1268"/>
    </w:p>
    <w:p w14:paraId="7C92C087">
      <w:pPr>
        <w:spacing w:line="440" w:lineRule="exact"/>
        <w:ind w:firstLine="420" w:firstLineChars="200"/>
        <w:rPr>
          <w:rFonts w:hint="eastAsia" w:ascii="宋体" w:hAnsi="宋体"/>
          <w:szCs w:val="21"/>
        </w:rPr>
      </w:pPr>
      <w:r>
        <w:rPr>
          <w:rFonts w:hint="eastAsia" w:ascii="宋体" w:hAnsi="宋体"/>
          <w:szCs w:val="21"/>
        </w:rPr>
        <w:t>8.1.1发包人通过监理人提供测量基准点、基准线和水准点及其书面资料的期限：</w:t>
      </w:r>
      <w:r>
        <w:rPr>
          <w:rFonts w:hint="eastAsia" w:ascii="宋体" w:hAnsi="宋体"/>
          <w:szCs w:val="21"/>
          <w:u w:val="single"/>
        </w:rPr>
        <w:t xml:space="preserve">     </w:t>
      </w:r>
    </w:p>
    <w:p w14:paraId="0528E783">
      <w:pPr>
        <w:spacing w:line="44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0020D011">
      <w:pPr>
        <w:spacing w:line="440" w:lineRule="exact"/>
        <w:ind w:firstLine="420" w:firstLineChars="200"/>
        <w:rPr>
          <w:rFonts w:hint="eastAsia" w:ascii="宋体" w:hAnsi="宋体"/>
          <w:szCs w:val="21"/>
        </w:rPr>
      </w:pPr>
      <w:r>
        <w:rPr>
          <w:rFonts w:hint="eastAsia" w:ascii="宋体" w:hAnsi="宋体"/>
          <w:szCs w:val="21"/>
        </w:rPr>
        <w:t>承包人测设施工控制网的要求：</w:t>
      </w:r>
      <w:r>
        <w:rPr>
          <w:rFonts w:hint="eastAsia" w:ascii="宋体" w:hAnsi="宋体"/>
          <w:szCs w:val="21"/>
          <w:u w:val="single"/>
        </w:rPr>
        <w:t xml:space="preserve">                                                </w:t>
      </w:r>
    </w:p>
    <w:p w14:paraId="32C91AE5">
      <w:pPr>
        <w:spacing w:line="44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3A525B0">
      <w:pPr>
        <w:spacing w:line="440" w:lineRule="exact"/>
        <w:ind w:firstLine="420" w:firstLineChars="200"/>
        <w:rPr>
          <w:rFonts w:hint="eastAsia" w:ascii="宋体" w:hAnsi="宋体"/>
          <w:szCs w:val="21"/>
        </w:rPr>
      </w:pPr>
      <w:r>
        <w:rPr>
          <w:rFonts w:hint="eastAsia" w:ascii="宋体" w:hAnsi="宋体"/>
          <w:szCs w:val="21"/>
        </w:rPr>
        <w:t>承包人将施工控制网资料报送监理人审批的期限：</w:t>
      </w:r>
      <w:r>
        <w:rPr>
          <w:rFonts w:hint="eastAsia" w:ascii="宋体" w:hAnsi="宋体"/>
          <w:szCs w:val="21"/>
          <w:u w:val="single"/>
        </w:rPr>
        <w:t xml:space="preserve">                                </w:t>
      </w:r>
    </w:p>
    <w:p w14:paraId="07789EB9">
      <w:pPr>
        <w:spacing w:line="44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12AEE558">
      <w:pPr>
        <w:pStyle w:val="18"/>
        <w:rPr>
          <w:rFonts w:hint="eastAsia"/>
        </w:rPr>
      </w:pPr>
      <w:bookmarkStart w:id="1269" w:name="_Toc108513874"/>
      <w:r>
        <w:rPr>
          <w:rFonts w:hint="eastAsia"/>
        </w:rPr>
        <w:t>9.施工安全、治安保卫和环境保护</w:t>
      </w:r>
      <w:bookmarkEnd w:id="1269"/>
    </w:p>
    <w:p w14:paraId="3E1CD9EA">
      <w:pPr>
        <w:pStyle w:val="20"/>
        <w:rPr>
          <w:rFonts w:hint="eastAsia"/>
        </w:rPr>
      </w:pPr>
      <w:bookmarkStart w:id="1270" w:name="_Toc108513875"/>
      <w:r>
        <w:rPr>
          <w:rFonts w:hint="eastAsia"/>
        </w:rPr>
        <w:t>9.2承包人的施工安全责任</w:t>
      </w:r>
      <w:bookmarkEnd w:id="1270"/>
    </w:p>
    <w:p w14:paraId="44B5271D">
      <w:pPr>
        <w:spacing w:line="440" w:lineRule="exact"/>
        <w:ind w:firstLine="420" w:firstLineChars="200"/>
        <w:rPr>
          <w:rFonts w:hint="eastAsia" w:ascii="宋体" w:hAnsi="宋体"/>
          <w:szCs w:val="21"/>
        </w:rPr>
      </w:pPr>
      <w:r>
        <w:rPr>
          <w:rFonts w:hint="eastAsia" w:ascii="宋体" w:hAnsi="宋体"/>
          <w:szCs w:val="21"/>
        </w:rPr>
        <w:t>9.2.1承包人向监理人报送施工安全措施计划的期限：</w:t>
      </w:r>
      <w:r>
        <w:rPr>
          <w:rFonts w:hint="eastAsia" w:ascii="宋体" w:hAnsi="宋体"/>
          <w:szCs w:val="21"/>
          <w:u w:val="single"/>
        </w:rPr>
        <w:t xml:space="preserve">                           </w:t>
      </w:r>
      <w:r>
        <w:rPr>
          <w:rFonts w:hint="eastAsia" w:ascii="宋体" w:hAnsi="宋体"/>
          <w:szCs w:val="21"/>
        </w:rPr>
        <w:t>。</w:t>
      </w:r>
    </w:p>
    <w:p w14:paraId="3AD301E8">
      <w:pPr>
        <w:spacing w:line="440" w:lineRule="exact"/>
        <w:ind w:firstLine="420" w:firstLineChars="200"/>
        <w:rPr>
          <w:rFonts w:hint="eastAsia" w:ascii="宋体" w:hAnsi="宋体"/>
          <w:szCs w:val="21"/>
        </w:rPr>
      </w:pPr>
      <w:r>
        <w:rPr>
          <w:rFonts w:hint="eastAsia" w:ascii="宋体" w:hAnsi="宋体"/>
          <w:szCs w:val="21"/>
        </w:rPr>
        <w:t>监理人收到承包人报送的施工安全措施计划后应当在</w:t>
      </w:r>
      <w:r>
        <w:rPr>
          <w:rFonts w:hint="eastAsia" w:ascii="宋体" w:hAnsi="宋体"/>
          <w:szCs w:val="21"/>
          <w:u w:val="single"/>
        </w:rPr>
        <w:t xml:space="preserve">          </w:t>
      </w:r>
      <w:r>
        <w:rPr>
          <w:rFonts w:hint="eastAsia" w:ascii="宋体" w:hAnsi="宋体"/>
          <w:szCs w:val="21"/>
        </w:rPr>
        <w:t>天内给予批复。</w:t>
      </w:r>
    </w:p>
    <w:p w14:paraId="17EB5AAE">
      <w:pPr>
        <w:pStyle w:val="20"/>
        <w:rPr>
          <w:rFonts w:hint="eastAsia"/>
        </w:rPr>
      </w:pPr>
      <w:bookmarkStart w:id="1271" w:name="_Toc108513876"/>
      <w:r>
        <w:rPr>
          <w:rFonts w:hint="eastAsia"/>
        </w:rPr>
        <w:t>9.3治安保卫</w:t>
      </w:r>
      <w:bookmarkEnd w:id="1271"/>
    </w:p>
    <w:p w14:paraId="6EB77E2D">
      <w:pPr>
        <w:spacing w:line="440" w:lineRule="exact"/>
        <w:ind w:firstLine="420" w:firstLineChars="200"/>
        <w:rPr>
          <w:rFonts w:hint="eastAsia" w:ascii="宋体" w:hAnsi="宋体"/>
          <w:szCs w:val="21"/>
        </w:rPr>
      </w:pPr>
      <w:r>
        <w:rPr>
          <w:rFonts w:hint="eastAsia" w:ascii="宋体" w:hAnsi="宋体"/>
          <w:szCs w:val="21"/>
        </w:rPr>
        <w:t>9.3.1承包人应当负责统一管理施工场地的治安保卫事项，履行合同工程的治安保卫职责。</w:t>
      </w:r>
    </w:p>
    <w:p w14:paraId="2FF6BB4F">
      <w:pPr>
        <w:spacing w:line="440" w:lineRule="exact"/>
        <w:ind w:firstLine="420" w:firstLineChars="200"/>
        <w:rPr>
          <w:rFonts w:hint="eastAsia" w:ascii="宋体" w:hAnsi="宋体"/>
          <w:szCs w:val="21"/>
        </w:rPr>
      </w:pPr>
      <w:r>
        <w:rPr>
          <w:rFonts w:hint="eastAsia" w:ascii="宋体" w:hAnsi="宋体"/>
          <w:szCs w:val="21"/>
        </w:rPr>
        <w:t>9.3.3施工场地治安管理计划和突发治安事件紧急预案的编制责任人：</w:t>
      </w:r>
      <w:r>
        <w:rPr>
          <w:rFonts w:hint="eastAsia" w:ascii="宋体" w:hAnsi="宋体"/>
          <w:szCs w:val="21"/>
          <w:u w:val="single"/>
        </w:rPr>
        <w:t xml:space="preserve">               </w:t>
      </w:r>
      <w:r>
        <w:rPr>
          <w:rFonts w:hint="eastAsia" w:ascii="宋体" w:hAnsi="宋体"/>
          <w:szCs w:val="21"/>
        </w:rPr>
        <w:t>。</w:t>
      </w:r>
    </w:p>
    <w:p w14:paraId="31DF83E7">
      <w:pPr>
        <w:pStyle w:val="20"/>
        <w:rPr>
          <w:rFonts w:hint="eastAsia"/>
        </w:rPr>
      </w:pPr>
      <w:bookmarkStart w:id="1272" w:name="_Toc108513877"/>
      <w:r>
        <w:rPr>
          <w:rFonts w:hint="eastAsia"/>
        </w:rPr>
        <w:t>9.4环境保护</w:t>
      </w:r>
      <w:bookmarkEnd w:id="1272"/>
    </w:p>
    <w:p w14:paraId="661C5818">
      <w:pPr>
        <w:spacing w:line="440" w:lineRule="exact"/>
        <w:ind w:firstLine="420" w:firstLineChars="200"/>
        <w:rPr>
          <w:rFonts w:hint="eastAsia" w:ascii="宋体" w:hAnsi="宋体"/>
          <w:szCs w:val="21"/>
        </w:rPr>
      </w:pPr>
      <w:r>
        <w:rPr>
          <w:rFonts w:hint="eastAsia" w:ascii="宋体" w:hAnsi="宋体"/>
          <w:szCs w:val="21"/>
        </w:rPr>
        <w:t>9.4.2施工环保措施计划报送监理人审批的时间：</w:t>
      </w:r>
      <w:r>
        <w:rPr>
          <w:rFonts w:hint="eastAsia" w:ascii="宋体" w:hAnsi="宋体"/>
          <w:szCs w:val="21"/>
          <w:u w:val="single"/>
        </w:rPr>
        <w:t xml:space="preserve">                                 </w:t>
      </w:r>
      <w:r>
        <w:rPr>
          <w:rFonts w:hint="eastAsia" w:ascii="宋体" w:hAnsi="宋体"/>
          <w:szCs w:val="21"/>
        </w:rPr>
        <w:t>。</w:t>
      </w:r>
    </w:p>
    <w:p w14:paraId="00F4EE78">
      <w:pPr>
        <w:spacing w:line="440" w:lineRule="exact"/>
        <w:ind w:firstLine="420" w:firstLineChars="200"/>
        <w:rPr>
          <w:rFonts w:hint="eastAsia" w:ascii="宋体" w:hAnsi="宋体"/>
          <w:szCs w:val="21"/>
        </w:rPr>
      </w:pPr>
      <w:r>
        <w:rPr>
          <w:rFonts w:hint="eastAsia" w:ascii="宋体" w:hAnsi="宋体"/>
          <w:szCs w:val="21"/>
        </w:rPr>
        <w:t>监理人收到承包人报送的施工环保措施计划后应当在</w:t>
      </w:r>
      <w:r>
        <w:rPr>
          <w:rFonts w:hint="eastAsia" w:ascii="宋体" w:hAnsi="宋体"/>
          <w:szCs w:val="21"/>
          <w:u w:val="single"/>
        </w:rPr>
        <w:t xml:space="preserve">           </w:t>
      </w:r>
      <w:r>
        <w:rPr>
          <w:rFonts w:hint="eastAsia" w:ascii="宋体" w:hAnsi="宋体"/>
          <w:szCs w:val="21"/>
        </w:rPr>
        <w:t>天内给予批复。</w:t>
      </w:r>
    </w:p>
    <w:p w14:paraId="311EF37A">
      <w:pPr>
        <w:pStyle w:val="18"/>
        <w:rPr>
          <w:rFonts w:hint="eastAsia"/>
        </w:rPr>
      </w:pPr>
      <w:bookmarkStart w:id="1273" w:name="_Toc108513878"/>
      <w:r>
        <w:rPr>
          <w:rFonts w:hint="eastAsia"/>
        </w:rPr>
        <w:t>10.进度计划</w:t>
      </w:r>
      <w:bookmarkEnd w:id="1273"/>
    </w:p>
    <w:p w14:paraId="0CF19A9E">
      <w:pPr>
        <w:pStyle w:val="20"/>
        <w:rPr>
          <w:rFonts w:hint="eastAsia"/>
        </w:rPr>
      </w:pPr>
      <w:bookmarkStart w:id="1274" w:name="_Toc108513879"/>
      <w:r>
        <w:rPr>
          <w:rFonts w:hint="eastAsia"/>
        </w:rPr>
        <w:t>10.1合同进度计划</w:t>
      </w:r>
      <w:bookmarkEnd w:id="1274"/>
    </w:p>
    <w:p w14:paraId="43190ABD">
      <w:pPr>
        <w:spacing w:line="460" w:lineRule="exact"/>
        <w:ind w:firstLine="420" w:firstLineChars="200"/>
        <w:rPr>
          <w:rFonts w:hint="eastAsia" w:ascii="宋体" w:hAnsi="宋体"/>
          <w:szCs w:val="21"/>
          <w:u w:val="single"/>
        </w:rPr>
      </w:pPr>
      <w:r>
        <w:rPr>
          <w:rFonts w:hint="eastAsia" w:ascii="宋体" w:hAnsi="宋体"/>
          <w:szCs w:val="21"/>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szCs w:val="21"/>
          <w:u w:val="single"/>
        </w:rPr>
        <w:t xml:space="preserve">                                                                  </w:t>
      </w:r>
    </w:p>
    <w:p w14:paraId="4086636B">
      <w:pPr>
        <w:spacing w:line="460" w:lineRule="exact"/>
        <w:rPr>
          <w:rFonts w:hint="eastAsia" w:ascii="宋体" w:hAnsi="宋体"/>
          <w:szCs w:val="21"/>
          <w:u w:val="single"/>
        </w:rPr>
      </w:pPr>
      <w:r>
        <w:rPr>
          <w:rFonts w:hint="eastAsia" w:ascii="宋体" w:hAnsi="宋体"/>
          <w:szCs w:val="21"/>
          <w:u w:val="single"/>
        </w:rPr>
        <w:t xml:space="preserve">                                                                                </w:t>
      </w:r>
    </w:p>
    <w:p w14:paraId="5A5AF3BA">
      <w:pPr>
        <w:spacing w:line="48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，施工进度计划中还应载明要求发包人组织设计人进行阶段性工程设计交底的时间。</w:t>
      </w:r>
    </w:p>
    <w:p w14:paraId="617C9F35">
      <w:pPr>
        <w:spacing w:line="480" w:lineRule="exact"/>
        <w:ind w:firstLine="420" w:firstLineChars="200"/>
        <w:rPr>
          <w:rFonts w:hint="eastAsia" w:ascii="宋体" w:hAnsi="宋体"/>
          <w:szCs w:val="21"/>
        </w:rPr>
      </w:pPr>
      <w:r>
        <w:rPr>
          <w:rFonts w:hint="eastAsia" w:ascii="宋体" w:hAnsi="宋体"/>
          <w:szCs w:val="21"/>
        </w:rPr>
        <w:t>(2)监理人批复或对施工进度计划和施工方案说明提出修改意见的期限：自监理人收到承包人报送的相关进度计划和施工方案说明后14天内。</w:t>
      </w:r>
    </w:p>
    <w:p w14:paraId="70CB9330">
      <w:pPr>
        <w:spacing w:line="480" w:lineRule="exact"/>
        <w:ind w:firstLine="420" w:firstLineChars="200"/>
        <w:rPr>
          <w:rFonts w:hint="eastAsia" w:ascii="宋体" w:hAnsi="宋体"/>
          <w:szCs w:val="21"/>
          <w:u w:val="single"/>
        </w:rPr>
      </w:pPr>
      <w:r>
        <w:rPr>
          <w:rFonts w:hint="eastAsia" w:ascii="宋体" w:hAnsi="宋体"/>
          <w:szCs w:val="21"/>
        </w:rPr>
        <w:t>(3)承包人编制分阶段或分项施工进度计划和施工方案说明的内容：</w:t>
      </w:r>
      <w:r>
        <w:rPr>
          <w:rFonts w:hint="eastAsia" w:ascii="宋体" w:hAnsi="宋体"/>
          <w:szCs w:val="21"/>
          <w:u w:val="single"/>
        </w:rPr>
        <w:t xml:space="preserve">                  </w:t>
      </w:r>
    </w:p>
    <w:p w14:paraId="538161CA">
      <w:pPr>
        <w:spacing w:line="46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14495758">
      <w:pPr>
        <w:spacing w:line="460" w:lineRule="exact"/>
        <w:ind w:firstLine="420" w:firstLineChars="200"/>
        <w:rPr>
          <w:rFonts w:hint="eastAsia" w:ascii="宋体" w:hAnsi="宋体"/>
          <w:szCs w:val="21"/>
        </w:rPr>
      </w:pPr>
      <w:r>
        <w:rPr>
          <w:rFonts w:hint="eastAsia" w:ascii="宋体" w:hAnsi="宋体"/>
          <w:szCs w:val="21"/>
        </w:rPr>
        <w:t>承包人报送分阶段或分项施工进度计划和施工方案说明的期限：</w:t>
      </w:r>
      <w:r>
        <w:rPr>
          <w:rFonts w:hint="eastAsia" w:ascii="宋体" w:hAnsi="宋体"/>
          <w:szCs w:val="21"/>
          <w:u w:val="single"/>
        </w:rPr>
        <w:t xml:space="preserve">                       </w:t>
      </w:r>
    </w:p>
    <w:p w14:paraId="4E5AEB8C">
      <w:pPr>
        <w:spacing w:line="46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23FFD97A">
      <w:pPr>
        <w:spacing w:line="460" w:lineRule="exact"/>
        <w:ind w:firstLine="420" w:firstLineChars="200"/>
        <w:rPr>
          <w:rFonts w:hint="eastAsia" w:ascii="宋体" w:hAnsi="宋体"/>
          <w:szCs w:val="21"/>
          <w:u w:val="single"/>
        </w:rPr>
      </w:pPr>
      <w:r>
        <w:rPr>
          <w:rFonts w:hint="eastAsia" w:ascii="宋体" w:hAnsi="宋体"/>
          <w:szCs w:val="21"/>
        </w:rPr>
        <w:t>(4)群体工程中单位工程分期进行施工的，承包人应按照发包人提供图纸及有关资料的时间，按单位工程编制进度计划和施工方案说明。群体工程中有关进度计划和施工方案说明的要求：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szCs w:val="21"/>
          <w:u w:val="single"/>
        </w:rPr>
        <w:t xml:space="preserve">                                                                          </w:t>
      </w:r>
    </w:p>
    <w:p w14:paraId="10639A93">
      <w:pPr>
        <w:spacing w:line="46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25AE17E0">
      <w:pPr>
        <w:pStyle w:val="20"/>
        <w:rPr>
          <w:rFonts w:hint="eastAsia"/>
        </w:rPr>
      </w:pPr>
      <w:bookmarkStart w:id="1275" w:name="_Toc108513880"/>
      <w:r>
        <w:rPr>
          <w:rFonts w:hint="eastAsia"/>
        </w:rPr>
        <w:t>10.2合同进度计划的修订</w:t>
      </w:r>
      <w:bookmarkEnd w:id="1275"/>
    </w:p>
    <w:p w14:paraId="6F95CF1C">
      <w:pPr>
        <w:spacing w:line="480" w:lineRule="exact"/>
        <w:ind w:firstLine="420" w:firstLineChars="200"/>
        <w:rPr>
          <w:rFonts w:hint="eastAsia" w:ascii="宋体" w:hAnsi="宋体"/>
          <w:szCs w:val="21"/>
        </w:rPr>
      </w:pPr>
      <w:r>
        <w:rPr>
          <w:rFonts w:hint="eastAsia" w:ascii="宋体" w:hAnsi="宋体"/>
          <w:szCs w:val="21"/>
        </w:rPr>
        <w:t>(1)承包人报送修订合同进度计划申请报告和相关资料的期限：</w:t>
      </w:r>
      <w:r>
        <w:rPr>
          <w:rFonts w:hint="eastAsia" w:ascii="宋体" w:hAnsi="宋体"/>
          <w:szCs w:val="21"/>
          <w:u w:val="single"/>
        </w:rPr>
        <w:t xml:space="preserve">                    </w:t>
      </w:r>
      <w:r>
        <w:rPr>
          <w:rFonts w:hint="eastAsia" w:ascii="宋体" w:hAnsi="宋体"/>
          <w:szCs w:val="21"/>
        </w:rPr>
        <w:t>。</w:t>
      </w:r>
    </w:p>
    <w:p w14:paraId="4C6A3090">
      <w:pPr>
        <w:spacing w:line="480" w:lineRule="exact"/>
        <w:ind w:firstLine="420" w:firstLineChars="200"/>
        <w:rPr>
          <w:rFonts w:hint="eastAsia" w:ascii="宋体" w:hAnsi="宋体"/>
          <w:szCs w:val="21"/>
        </w:rPr>
      </w:pPr>
      <w:r>
        <w:rPr>
          <w:rFonts w:hint="eastAsia" w:ascii="宋体" w:hAnsi="宋体"/>
          <w:szCs w:val="21"/>
        </w:rPr>
        <w:t>(2)监理人批复修订合同进度计划申请报告的期限：</w:t>
      </w:r>
      <w:r>
        <w:rPr>
          <w:rFonts w:hint="eastAsia" w:ascii="宋体" w:hAnsi="宋体"/>
          <w:szCs w:val="21"/>
          <w:u w:val="single"/>
        </w:rPr>
        <w:t xml:space="preserve">                              </w:t>
      </w:r>
      <w:r>
        <w:rPr>
          <w:rFonts w:hint="eastAsia" w:ascii="宋体" w:hAnsi="宋体"/>
          <w:szCs w:val="21"/>
        </w:rPr>
        <w:t>。</w:t>
      </w:r>
    </w:p>
    <w:p w14:paraId="4800E3EE">
      <w:pPr>
        <w:spacing w:line="480" w:lineRule="exact"/>
        <w:ind w:firstLine="420" w:firstLineChars="200"/>
        <w:rPr>
          <w:rFonts w:hint="eastAsia" w:ascii="宋体" w:hAnsi="宋体"/>
          <w:szCs w:val="21"/>
        </w:rPr>
      </w:pPr>
      <w:r>
        <w:rPr>
          <w:rFonts w:hint="eastAsia" w:ascii="宋体" w:hAnsi="宋体"/>
          <w:szCs w:val="21"/>
        </w:rPr>
        <w:t>(3)监理人批复修订合同进度计划的期限：</w:t>
      </w:r>
      <w:r>
        <w:rPr>
          <w:rFonts w:hint="eastAsia" w:ascii="宋体" w:hAnsi="宋体"/>
          <w:szCs w:val="21"/>
          <w:u w:val="single"/>
        </w:rPr>
        <w:t xml:space="preserve">                                      </w:t>
      </w:r>
      <w:r>
        <w:rPr>
          <w:rFonts w:hint="eastAsia" w:ascii="宋体" w:hAnsi="宋体"/>
          <w:szCs w:val="21"/>
        </w:rPr>
        <w:t>。</w:t>
      </w:r>
    </w:p>
    <w:p w14:paraId="2B4A5F3E">
      <w:pPr>
        <w:pStyle w:val="18"/>
        <w:rPr>
          <w:rFonts w:hint="eastAsia"/>
        </w:rPr>
      </w:pPr>
      <w:bookmarkStart w:id="1276" w:name="_Toc108513881"/>
      <w:r>
        <w:rPr>
          <w:rFonts w:hint="eastAsia"/>
        </w:rPr>
        <w:t>11.开工和竣工</w:t>
      </w:r>
      <w:bookmarkEnd w:id="1276"/>
    </w:p>
    <w:p w14:paraId="07C362F3">
      <w:pPr>
        <w:pStyle w:val="20"/>
        <w:rPr>
          <w:rFonts w:hint="eastAsia"/>
        </w:rPr>
      </w:pPr>
      <w:bookmarkStart w:id="1277" w:name="_Toc108513882"/>
      <w:r>
        <w:rPr>
          <w:rFonts w:hint="eastAsia"/>
        </w:rPr>
        <w:t>11.3发包人的工期延误</w:t>
      </w:r>
      <w:bookmarkEnd w:id="1277"/>
    </w:p>
    <w:p w14:paraId="182DB6DE">
      <w:pPr>
        <w:spacing w:line="460" w:lineRule="exact"/>
        <w:ind w:firstLine="420" w:firstLineChars="200"/>
        <w:rPr>
          <w:rFonts w:hint="eastAsia" w:ascii="宋体" w:hAnsi="宋体"/>
          <w:szCs w:val="21"/>
          <w:u w:val="single"/>
        </w:rPr>
      </w:pPr>
      <w:r>
        <w:rPr>
          <w:rFonts w:hint="eastAsia" w:ascii="宋体" w:hAnsi="宋体"/>
          <w:szCs w:val="21"/>
        </w:rPr>
        <w:t>(7)因发包人原因不能按照监理人发出的开工通知中载明的开工日期开工。除发包人原因延期开工外，发包人造成工期延误的其他原因还包括：</w:t>
      </w:r>
      <w:r>
        <w:rPr>
          <w:rFonts w:hint="eastAsia" w:ascii="宋体" w:hAnsi="宋体"/>
          <w:szCs w:val="21"/>
          <w:u w:val="single"/>
        </w:rPr>
        <w:t xml:space="preserve">                                 </w:t>
      </w:r>
    </w:p>
    <w:p w14:paraId="57A9C555">
      <w:pPr>
        <w:spacing w:line="46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等延误承包人关键线路工作的情况。</w:t>
      </w:r>
    </w:p>
    <w:p w14:paraId="1883655E">
      <w:pPr>
        <w:pStyle w:val="20"/>
        <w:rPr>
          <w:rFonts w:hint="eastAsia"/>
        </w:rPr>
      </w:pPr>
      <w:bookmarkStart w:id="1278" w:name="_Toc108513883"/>
      <w:r>
        <w:rPr>
          <w:rFonts w:hint="eastAsia"/>
        </w:rPr>
        <w:t>11.4异常恶劣的气候条件</w:t>
      </w:r>
      <w:bookmarkEnd w:id="1278"/>
    </w:p>
    <w:p w14:paraId="6D00A0E7">
      <w:pPr>
        <w:spacing w:line="470" w:lineRule="exact"/>
        <w:ind w:firstLine="420" w:firstLineChars="200"/>
        <w:rPr>
          <w:rFonts w:hint="eastAsia" w:ascii="宋体" w:hAnsi="宋体"/>
          <w:szCs w:val="21"/>
        </w:rPr>
      </w:pPr>
      <w:r>
        <w:rPr>
          <w:rFonts w:hint="eastAsia" w:ascii="宋体" w:hAnsi="宋体"/>
          <w:szCs w:val="21"/>
        </w:rPr>
        <w:t>异常恶劣的气候条件的范围和标准：</w:t>
      </w:r>
      <w:r>
        <w:rPr>
          <w:rFonts w:hint="eastAsia" w:ascii="宋体" w:hAnsi="宋体"/>
          <w:szCs w:val="21"/>
          <w:u w:val="single"/>
        </w:rPr>
        <w:t xml:space="preserve">                                            </w:t>
      </w:r>
    </w:p>
    <w:p w14:paraId="10A9B6BC">
      <w:pPr>
        <w:spacing w:line="470" w:lineRule="exact"/>
        <w:rPr>
          <w:rFonts w:hint="eastAsia" w:ascii="宋体" w:hAnsi="宋体"/>
          <w:szCs w:val="21"/>
          <w:u w:val="single"/>
        </w:rPr>
      </w:pPr>
      <w:r>
        <w:rPr>
          <w:rFonts w:hint="eastAsia" w:ascii="宋体" w:hAnsi="宋体"/>
          <w:szCs w:val="21"/>
          <w:u w:val="single"/>
        </w:rPr>
        <w:t xml:space="preserve">                                                                                </w:t>
      </w:r>
    </w:p>
    <w:p w14:paraId="1B8323F3">
      <w:pPr>
        <w:spacing w:line="47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3A502EF9">
      <w:pPr>
        <w:pStyle w:val="20"/>
        <w:rPr>
          <w:rFonts w:hint="eastAsia"/>
        </w:rPr>
      </w:pPr>
      <w:bookmarkStart w:id="1279" w:name="_Toc108513884"/>
      <w:r>
        <w:rPr>
          <w:rFonts w:hint="eastAsia"/>
        </w:rPr>
        <w:t>11.5承包人的工期延误</w:t>
      </w:r>
      <w:bookmarkEnd w:id="1279"/>
    </w:p>
    <w:p w14:paraId="30965F08">
      <w:pPr>
        <w:spacing w:line="420" w:lineRule="exact"/>
        <w:ind w:firstLine="420" w:firstLineChars="200"/>
        <w:rPr>
          <w:rFonts w:hint="eastAsia" w:ascii="宋体" w:hAnsi="宋体"/>
          <w:szCs w:val="21"/>
        </w:rPr>
      </w:pPr>
      <w:r>
        <w:rPr>
          <w:rFonts w:hint="eastAsia" w:ascii="宋体" w:hAnsi="宋体"/>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14:paraId="5EF55769">
      <w:pPr>
        <w:spacing w:line="500" w:lineRule="exact"/>
        <w:ind w:firstLine="420" w:firstLineChars="200"/>
        <w:rPr>
          <w:rFonts w:hint="eastAsia" w:ascii="宋体" w:hAnsi="宋体"/>
          <w:szCs w:val="21"/>
        </w:rPr>
      </w:pPr>
      <w:r>
        <w:rPr>
          <w:rFonts w:hint="eastAsia" w:ascii="宋体" w:hAnsi="宋体"/>
          <w:szCs w:val="21"/>
        </w:rPr>
        <w:t>逾期竣工违约金的计算标准：</w:t>
      </w:r>
      <w:r>
        <w:rPr>
          <w:rFonts w:hint="eastAsia" w:ascii="宋体" w:hAnsi="宋体"/>
          <w:szCs w:val="21"/>
          <w:u w:val="single"/>
        </w:rPr>
        <w:t xml:space="preserve">                                                </w:t>
      </w:r>
      <w:r>
        <w:rPr>
          <w:rFonts w:hint="eastAsia" w:ascii="宋体" w:hAnsi="宋体"/>
          <w:szCs w:val="21"/>
        </w:rPr>
        <w:t>。</w:t>
      </w:r>
    </w:p>
    <w:p w14:paraId="5D692DB7">
      <w:pPr>
        <w:spacing w:line="500" w:lineRule="exact"/>
        <w:ind w:firstLine="420" w:firstLineChars="200"/>
        <w:rPr>
          <w:rFonts w:hint="eastAsia" w:ascii="宋体" w:hAnsi="宋体"/>
          <w:szCs w:val="21"/>
        </w:rPr>
      </w:pPr>
      <w:r>
        <w:rPr>
          <w:rFonts w:hint="eastAsia" w:ascii="宋体" w:hAnsi="宋体"/>
          <w:szCs w:val="21"/>
        </w:rPr>
        <w:t>逾期竣工违约金的计算方法：</w:t>
      </w:r>
      <w:r>
        <w:rPr>
          <w:rFonts w:hint="eastAsia" w:ascii="宋体" w:hAnsi="宋体"/>
          <w:szCs w:val="21"/>
          <w:u w:val="single"/>
        </w:rPr>
        <w:t xml:space="preserve">                                                </w:t>
      </w:r>
      <w:r>
        <w:rPr>
          <w:rFonts w:hint="eastAsia" w:ascii="宋体" w:hAnsi="宋体"/>
          <w:szCs w:val="21"/>
        </w:rPr>
        <w:t>。</w:t>
      </w:r>
    </w:p>
    <w:p w14:paraId="069241A2">
      <w:pPr>
        <w:spacing w:line="500" w:lineRule="exact"/>
        <w:ind w:firstLine="420" w:firstLineChars="200"/>
        <w:rPr>
          <w:rFonts w:hint="eastAsia" w:ascii="宋体" w:hAnsi="宋体"/>
          <w:szCs w:val="21"/>
        </w:rPr>
      </w:pPr>
      <w:r>
        <w:rPr>
          <w:rFonts w:hint="eastAsia" w:ascii="宋体" w:hAnsi="宋体"/>
          <w:szCs w:val="21"/>
        </w:rPr>
        <w:t>逾期竣工违约金最高限额：</w:t>
      </w:r>
      <w:r>
        <w:rPr>
          <w:rFonts w:hint="eastAsia" w:ascii="宋体" w:hAnsi="宋体"/>
          <w:szCs w:val="21"/>
          <w:u w:val="single"/>
        </w:rPr>
        <w:t xml:space="preserve">                                                  </w:t>
      </w:r>
      <w:r>
        <w:rPr>
          <w:rFonts w:hint="eastAsia" w:ascii="宋体" w:hAnsi="宋体"/>
          <w:szCs w:val="21"/>
        </w:rPr>
        <w:t>。</w:t>
      </w:r>
    </w:p>
    <w:p w14:paraId="58F2C372">
      <w:pPr>
        <w:pStyle w:val="20"/>
        <w:rPr>
          <w:rFonts w:hint="eastAsia"/>
        </w:rPr>
      </w:pPr>
      <w:bookmarkStart w:id="1280" w:name="_Toc108513885"/>
      <w:r>
        <w:rPr>
          <w:rFonts w:hint="eastAsia"/>
        </w:rPr>
        <w:t>11.6工期提前</w:t>
      </w:r>
      <w:bookmarkEnd w:id="1280"/>
    </w:p>
    <w:p w14:paraId="7AE3626C">
      <w:pPr>
        <w:spacing w:line="400" w:lineRule="exact"/>
        <w:ind w:firstLine="420" w:firstLineChars="200"/>
        <w:rPr>
          <w:rFonts w:hint="eastAsia" w:ascii="宋体" w:hAnsi="宋体"/>
          <w:szCs w:val="21"/>
        </w:rPr>
      </w:pPr>
      <w:r>
        <w:rPr>
          <w:rFonts w:hint="eastAsia" w:ascii="宋体" w:hAnsi="宋体"/>
          <w:szCs w:val="21"/>
        </w:rPr>
        <w:t>提前竣工的奖励办法：</w:t>
      </w:r>
      <w:r>
        <w:rPr>
          <w:rFonts w:hint="eastAsia" w:ascii="宋体" w:hAnsi="宋体"/>
          <w:szCs w:val="21"/>
          <w:u w:val="single"/>
        </w:rPr>
        <w:t xml:space="preserve">                                                     </w:t>
      </w:r>
      <w:r>
        <w:rPr>
          <w:rFonts w:hint="eastAsia" w:ascii="宋体" w:hAnsi="宋体"/>
          <w:szCs w:val="21"/>
        </w:rPr>
        <w:t xml:space="preserve"> 。</w:t>
      </w:r>
    </w:p>
    <w:p w14:paraId="654228CB">
      <w:pPr>
        <w:pStyle w:val="18"/>
        <w:rPr>
          <w:rFonts w:hint="eastAsia"/>
        </w:rPr>
      </w:pPr>
      <w:bookmarkStart w:id="1281" w:name="_Toc108513886"/>
      <w:r>
        <w:rPr>
          <w:rFonts w:hint="eastAsia"/>
        </w:rPr>
        <w:t>12.暂停施工</w:t>
      </w:r>
      <w:bookmarkEnd w:id="1281"/>
    </w:p>
    <w:p w14:paraId="0838C1B4">
      <w:pPr>
        <w:pStyle w:val="20"/>
        <w:rPr>
          <w:rFonts w:hint="eastAsia"/>
        </w:rPr>
      </w:pPr>
      <w:bookmarkStart w:id="1282" w:name="_Toc108513887"/>
      <w:r>
        <w:rPr>
          <w:rFonts w:hint="eastAsia"/>
        </w:rPr>
        <w:t>12.1承包人暂停施工的责任</w:t>
      </w:r>
      <w:bookmarkEnd w:id="1282"/>
    </w:p>
    <w:p w14:paraId="1D75F80B">
      <w:pPr>
        <w:spacing w:line="500" w:lineRule="exact"/>
        <w:ind w:firstLine="420" w:firstLineChars="200"/>
        <w:rPr>
          <w:rFonts w:hint="eastAsia" w:ascii="宋体" w:hAnsi="宋体"/>
          <w:szCs w:val="21"/>
          <w:u w:val="single"/>
        </w:rPr>
      </w:pPr>
      <w:r>
        <w:rPr>
          <w:rFonts w:hint="eastAsia" w:ascii="宋体" w:hAnsi="宋体"/>
          <w:szCs w:val="21"/>
        </w:rPr>
        <w:t>(5)承包人承担暂停施工责任的其他情形：</w:t>
      </w:r>
      <w:r>
        <w:rPr>
          <w:rFonts w:hint="eastAsia" w:ascii="宋体" w:hAnsi="宋体"/>
          <w:szCs w:val="21"/>
          <w:u w:val="single"/>
        </w:rPr>
        <w:t xml:space="preserve">                                       </w:t>
      </w:r>
    </w:p>
    <w:p w14:paraId="5CC567FD">
      <w:pPr>
        <w:spacing w:line="500" w:lineRule="exact"/>
        <w:rPr>
          <w:rFonts w:hint="eastAsia" w:ascii="宋体" w:hAnsi="宋体"/>
          <w:szCs w:val="21"/>
        </w:rPr>
      </w:pPr>
      <w:r>
        <w:rPr>
          <w:rFonts w:hint="eastAsia" w:ascii="宋体" w:hAnsi="宋体"/>
          <w:szCs w:val="21"/>
          <w:u w:val="single"/>
        </w:rPr>
        <w:t xml:space="preserve">                                                                                </w:t>
      </w:r>
    </w:p>
    <w:p w14:paraId="3EBB57DC">
      <w:pPr>
        <w:spacing w:after="93" w:afterLines="30" w:line="5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53FF91B6">
      <w:pPr>
        <w:pStyle w:val="20"/>
        <w:rPr>
          <w:rFonts w:hint="eastAsia"/>
        </w:rPr>
      </w:pPr>
      <w:bookmarkStart w:id="1283" w:name="_Toc108513888"/>
      <w:r>
        <w:rPr>
          <w:rFonts w:hint="eastAsia"/>
        </w:rPr>
        <w:t>12.4暂停施工后的复工</w:t>
      </w:r>
      <w:bookmarkEnd w:id="1283"/>
    </w:p>
    <w:p w14:paraId="117A1876">
      <w:pPr>
        <w:spacing w:line="420" w:lineRule="exact"/>
        <w:ind w:firstLine="420" w:firstLineChars="200"/>
        <w:rPr>
          <w:rFonts w:hint="eastAsia" w:ascii="宋体" w:hAnsi="宋体"/>
          <w:szCs w:val="21"/>
        </w:rPr>
      </w:pPr>
      <w:r>
        <w:rPr>
          <w:rFonts w:hint="eastAsia" w:ascii="宋体" w:hAnsi="宋体"/>
          <w:szCs w:val="21"/>
        </w:rPr>
        <w:t>12.4.3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0D47D651">
      <w:pPr>
        <w:spacing w:line="420" w:lineRule="exact"/>
        <w:ind w:firstLine="420" w:firstLineChars="200"/>
        <w:rPr>
          <w:rFonts w:hint="eastAsia" w:ascii="宋体" w:hAnsi="宋体"/>
          <w:szCs w:val="21"/>
        </w:rPr>
      </w:pPr>
      <w:r>
        <w:rPr>
          <w:rFonts w:hint="eastAsia" w:ascii="宋体" w:hAnsi="宋体"/>
          <w:szCs w:val="21"/>
        </w:rPr>
        <w:t>12.4.4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2167C4CD">
      <w:pPr>
        <w:pStyle w:val="18"/>
        <w:rPr>
          <w:rFonts w:hint="eastAsia"/>
        </w:rPr>
      </w:pPr>
      <w:bookmarkStart w:id="1284" w:name="_Toc108513889"/>
      <w:r>
        <w:rPr>
          <w:rFonts w:hint="eastAsia"/>
        </w:rPr>
        <w:t>13.工程质量</w:t>
      </w:r>
      <w:bookmarkEnd w:id="1284"/>
    </w:p>
    <w:p w14:paraId="240D98B8">
      <w:pPr>
        <w:pStyle w:val="20"/>
        <w:rPr>
          <w:rFonts w:hint="eastAsia"/>
        </w:rPr>
      </w:pPr>
      <w:bookmarkStart w:id="1285" w:name="_Toc108513890"/>
      <w:r>
        <w:rPr>
          <w:rFonts w:hint="eastAsia"/>
        </w:rPr>
        <w:t>13.2承包人的质量管理</w:t>
      </w:r>
      <w:bookmarkEnd w:id="1285"/>
    </w:p>
    <w:p w14:paraId="0B780CED">
      <w:pPr>
        <w:spacing w:line="420" w:lineRule="exact"/>
        <w:ind w:firstLine="420" w:firstLineChars="200"/>
        <w:rPr>
          <w:rFonts w:hint="eastAsia" w:ascii="宋体" w:hAnsi="宋体"/>
          <w:szCs w:val="21"/>
        </w:rPr>
      </w:pPr>
      <w:r>
        <w:rPr>
          <w:rFonts w:hint="eastAsia" w:ascii="宋体" w:hAnsi="宋体"/>
          <w:szCs w:val="21"/>
        </w:rPr>
        <w:t>13.2.1承包人向监理人提交工程质量保证措施文件的期限：</w:t>
      </w:r>
      <w:r>
        <w:rPr>
          <w:rFonts w:hint="eastAsia" w:ascii="宋体" w:hAnsi="宋体"/>
          <w:szCs w:val="21"/>
          <w:u w:val="single"/>
        </w:rPr>
        <w:t xml:space="preserve">                     </w:t>
      </w:r>
      <w:r>
        <w:rPr>
          <w:rFonts w:hint="eastAsia" w:ascii="宋体" w:hAnsi="宋体"/>
          <w:szCs w:val="21"/>
        </w:rPr>
        <w:t>。</w:t>
      </w:r>
    </w:p>
    <w:p w14:paraId="5BFF8D66">
      <w:pPr>
        <w:spacing w:line="420" w:lineRule="exact"/>
        <w:ind w:firstLine="420" w:firstLineChars="200"/>
        <w:rPr>
          <w:rFonts w:hint="eastAsia" w:ascii="宋体" w:hAnsi="宋体"/>
          <w:szCs w:val="21"/>
        </w:rPr>
      </w:pPr>
      <w:r>
        <w:rPr>
          <w:rFonts w:hint="eastAsia" w:ascii="宋体" w:hAnsi="宋体"/>
          <w:szCs w:val="21"/>
        </w:rPr>
        <w:t>监理人审批工程质量保证措施文件的期限：</w:t>
      </w:r>
      <w:r>
        <w:rPr>
          <w:rFonts w:hint="eastAsia" w:ascii="宋体" w:hAnsi="宋体"/>
          <w:szCs w:val="21"/>
          <w:u w:val="single"/>
        </w:rPr>
        <w:t xml:space="preserve">                                   </w:t>
      </w:r>
      <w:r>
        <w:rPr>
          <w:rFonts w:hint="eastAsia" w:ascii="宋体" w:hAnsi="宋体"/>
          <w:szCs w:val="21"/>
        </w:rPr>
        <w:t>。</w:t>
      </w:r>
    </w:p>
    <w:p w14:paraId="31A09713">
      <w:pPr>
        <w:pStyle w:val="20"/>
        <w:rPr>
          <w:rFonts w:hint="eastAsia"/>
        </w:rPr>
      </w:pPr>
      <w:bookmarkStart w:id="1286" w:name="_Toc108513891"/>
      <w:r>
        <w:rPr>
          <w:rFonts w:hint="eastAsia"/>
        </w:rPr>
        <w:t>13.3承包人的质量检查</w:t>
      </w:r>
      <w:bookmarkEnd w:id="1286"/>
    </w:p>
    <w:p w14:paraId="0FD65593">
      <w:pPr>
        <w:spacing w:before="93" w:beforeLines="30" w:line="380" w:lineRule="exact"/>
        <w:ind w:firstLine="420" w:firstLineChars="200"/>
        <w:rPr>
          <w:rFonts w:hint="eastAsia" w:ascii="宋体" w:hAnsi="宋体"/>
          <w:szCs w:val="21"/>
        </w:rPr>
      </w:pPr>
      <w:r>
        <w:rPr>
          <w:rFonts w:hint="eastAsia" w:ascii="宋体" w:hAnsi="宋体"/>
          <w:szCs w:val="21"/>
        </w:rPr>
        <w:t>承包人向监理人报送工程质量报表的期限：</w:t>
      </w:r>
      <w:r>
        <w:rPr>
          <w:rFonts w:hint="eastAsia" w:ascii="宋体" w:hAnsi="宋体"/>
          <w:szCs w:val="21"/>
          <w:u w:val="single"/>
        </w:rPr>
        <w:t xml:space="preserve">                                    </w:t>
      </w:r>
      <w:r>
        <w:rPr>
          <w:rFonts w:hint="eastAsia" w:ascii="宋体" w:hAnsi="宋体"/>
          <w:szCs w:val="21"/>
        </w:rPr>
        <w:t>。</w:t>
      </w:r>
    </w:p>
    <w:p w14:paraId="4E990988">
      <w:pPr>
        <w:spacing w:before="156" w:beforeLines="50" w:line="380" w:lineRule="exact"/>
        <w:ind w:firstLine="420" w:firstLineChars="200"/>
        <w:rPr>
          <w:rFonts w:hint="eastAsia" w:ascii="宋体" w:hAnsi="宋体"/>
          <w:szCs w:val="21"/>
        </w:rPr>
      </w:pPr>
      <w:r>
        <w:rPr>
          <w:rFonts w:hint="eastAsia" w:ascii="宋体" w:hAnsi="宋体"/>
          <w:szCs w:val="21"/>
        </w:rPr>
        <w:t>承包人向监理人报送工程质量报表的要求：</w:t>
      </w:r>
      <w:r>
        <w:rPr>
          <w:rFonts w:hint="eastAsia" w:ascii="宋体" w:hAnsi="宋体"/>
          <w:szCs w:val="21"/>
          <w:u w:val="single"/>
        </w:rPr>
        <w:t xml:space="preserve">                                    </w:t>
      </w:r>
      <w:r>
        <w:rPr>
          <w:rFonts w:hint="eastAsia" w:ascii="宋体" w:hAnsi="宋体"/>
          <w:szCs w:val="21"/>
        </w:rPr>
        <w:t>。</w:t>
      </w:r>
    </w:p>
    <w:p w14:paraId="552D4FE4">
      <w:pPr>
        <w:spacing w:before="156" w:beforeLines="50" w:line="380" w:lineRule="exact"/>
        <w:ind w:firstLine="420" w:firstLineChars="200"/>
        <w:rPr>
          <w:rFonts w:hint="eastAsia" w:ascii="宋体" w:hAnsi="宋体"/>
          <w:szCs w:val="21"/>
        </w:rPr>
      </w:pPr>
      <w:r>
        <w:rPr>
          <w:rFonts w:hint="eastAsia" w:ascii="宋体" w:hAnsi="宋体"/>
          <w:szCs w:val="21"/>
        </w:rPr>
        <w:t>监理人审查工程质量报表的期限：</w:t>
      </w:r>
      <w:r>
        <w:rPr>
          <w:rFonts w:hint="eastAsia" w:ascii="宋体" w:hAnsi="宋体"/>
          <w:szCs w:val="21"/>
          <w:u w:val="single"/>
        </w:rPr>
        <w:t xml:space="preserve">                                            </w:t>
      </w:r>
      <w:r>
        <w:rPr>
          <w:rFonts w:hint="eastAsia" w:ascii="宋体" w:hAnsi="宋体"/>
          <w:szCs w:val="21"/>
        </w:rPr>
        <w:t>。</w:t>
      </w:r>
    </w:p>
    <w:p w14:paraId="1AAD2E3D">
      <w:pPr>
        <w:pStyle w:val="20"/>
        <w:rPr>
          <w:rFonts w:hint="eastAsia"/>
        </w:rPr>
      </w:pPr>
      <w:bookmarkStart w:id="1287" w:name="_Toc108513892"/>
      <w:r>
        <w:rPr>
          <w:rFonts w:hint="eastAsia"/>
        </w:rPr>
        <w:t>13.4监理人的质量检查</w:t>
      </w:r>
      <w:bookmarkEnd w:id="1287"/>
    </w:p>
    <w:p w14:paraId="52E2D035">
      <w:pPr>
        <w:spacing w:before="93" w:beforeLines="30" w:line="380" w:lineRule="exact"/>
        <w:ind w:firstLine="420" w:firstLineChars="200"/>
        <w:rPr>
          <w:rFonts w:hint="eastAsia" w:ascii="宋体" w:hAnsi="宋体"/>
          <w:szCs w:val="21"/>
        </w:rPr>
      </w:pPr>
      <w:r>
        <w:rPr>
          <w:rFonts w:hint="eastAsia" w:ascii="宋体" w:hAnsi="宋体"/>
          <w:szCs w:val="21"/>
        </w:rPr>
        <w:t>承包人应当为监理人的检查和检验提供方便，监理人可以进行察看和查阅施工原始记录的其他地方包括：</w:t>
      </w:r>
      <w:r>
        <w:rPr>
          <w:rFonts w:hint="eastAsia" w:ascii="宋体" w:hAnsi="宋体"/>
          <w:szCs w:val="21"/>
          <w:u w:val="single"/>
        </w:rPr>
        <w:t xml:space="preserve">                                                               </w:t>
      </w:r>
      <w:r>
        <w:rPr>
          <w:rFonts w:hint="eastAsia" w:ascii="宋体" w:hAnsi="宋体"/>
          <w:szCs w:val="21"/>
        </w:rPr>
        <w:t>。</w:t>
      </w:r>
    </w:p>
    <w:p w14:paraId="543632A2">
      <w:pPr>
        <w:pStyle w:val="20"/>
        <w:rPr>
          <w:rFonts w:hint="eastAsia"/>
        </w:rPr>
      </w:pPr>
      <w:bookmarkStart w:id="1288" w:name="_Toc108513893"/>
      <w:r>
        <w:rPr>
          <w:rFonts w:hint="eastAsia"/>
        </w:rPr>
        <w:t>13.5工程隐蔽部位覆盖前的检查</w:t>
      </w:r>
      <w:bookmarkEnd w:id="1288"/>
    </w:p>
    <w:p w14:paraId="3A6C4F79">
      <w:pPr>
        <w:spacing w:line="420" w:lineRule="exact"/>
        <w:ind w:firstLine="420" w:firstLineChars="200"/>
        <w:rPr>
          <w:rFonts w:hint="eastAsia" w:ascii="宋体" w:hAnsi="宋体"/>
          <w:szCs w:val="21"/>
        </w:rPr>
      </w:pPr>
      <w:r>
        <w:rPr>
          <w:rFonts w:hint="eastAsia" w:ascii="宋体" w:hAnsi="宋体"/>
          <w:szCs w:val="21"/>
        </w:rPr>
        <w:t>13.5.1监理人对工程隐蔽部位进行检查的期限：</w:t>
      </w:r>
      <w:r>
        <w:rPr>
          <w:rFonts w:hint="eastAsia" w:ascii="宋体" w:hAnsi="宋体"/>
          <w:szCs w:val="21"/>
          <w:u w:val="single"/>
        </w:rPr>
        <w:t xml:space="preserve">                                 </w:t>
      </w:r>
      <w:r>
        <w:rPr>
          <w:rFonts w:hint="eastAsia" w:ascii="宋体" w:hAnsi="宋体"/>
          <w:szCs w:val="21"/>
        </w:rPr>
        <w:t>。</w:t>
      </w:r>
    </w:p>
    <w:p w14:paraId="7160DD65">
      <w:pPr>
        <w:pStyle w:val="20"/>
        <w:rPr>
          <w:rFonts w:hint="eastAsia"/>
        </w:rPr>
      </w:pPr>
      <w:bookmarkStart w:id="1289" w:name="_Toc108513894"/>
      <w:r>
        <w:rPr>
          <w:rFonts w:hint="eastAsia"/>
        </w:rPr>
        <w:t>13.7质量争议</w:t>
      </w:r>
      <w:bookmarkEnd w:id="1289"/>
    </w:p>
    <w:p w14:paraId="1740806C">
      <w:pPr>
        <w:spacing w:before="93" w:beforeLines="30" w:line="380" w:lineRule="exact"/>
        <w:ind w:firstLine="420" w:firstLineChars="200"/>
        <w:rPr>
          <w:rFonts w:hint="eastAsia" w:ascii="宋体" w:hAnsi="宋体"/>
          <w:szCs w:val="21"/>
        </w:rPr>
      </w:pPr>
      <w:r>
        <w:rPr>
          <w:rFonts w:hint="eastAsia" w:ascii="宋体" w:hAnsi="宋体"/>
          <w:szCs w:val="21"/>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66EC569">
      <w:pPr>
        <w:pStyle w:val="18"/>
        <w:rPr>
          <w:rFonts w:hint="eastAsia"/>
        </w:rPr>
      </w:pPr>
      <w:bookmarkStart w:id="1290" w:name="_Toc108513895"/>
      <w:r>
        <w:rPr>
          <w:rFonts w:hint="eastAsia"/>
        </w:rPr>
        <w:t>15.变更</w:t>
      </w:r>
      <w:bookmarkEnd w:id="1290"/>
    </w:p>
    <w:p w14:paraId="6092F037">
      <w:pPr>
        <w:pStyle w:val="20"/>
        <w:rPr>
          <w:rFonts w:hint="eastAsia"/>
        </w:rPr>
      </w:pPr>
      <w:bookmarkStart w:id="1291" w:name="_Toc108513896"/>
      <w:r>
        <w:rPr>
          <w:rFonts w:hint="eastAsia"/>
        </w:rPr>
        <w:t>15.1变更的范围和内容</w:t>
      </w:r>
      <w:bookmarkEnd w:id="1291"/>
    </w:p>
    <w:p w14:paraId="2B12516D">
      <w:pPr>
        <w:spacing w:line="420" w:lineRule="exact"/>
        <w:ind w:firstLine="420" w:firstLineChars="200"/>
        <w:rPr>
          <w:rFonts w:hint="eastAsia" w:ascii="宋体" w:hAnsi="宋体"/>
          <w:szCs w:val="21"/>
          <w:u w:val="single"/>
        </w:rPr>
      </w:pPr>
      <w:r>
        <w:rPr>
          <w:rFonts w:hint="eastAsia" w:ascii="宋体" w:hAnsi="宋体"/>
          <w:szCs w:val="21"/>
        </w:rPr>
        <w:t>应当进行变更的其他情形：</w:t>
      </w:r>
      <w:r>
        <w:rPr>
          <w:rFonts w:hint="eastAsia" w:ascii="宋体" w:hAnsi="宋体"/>
          <w:szCs w:val="21"/>
          <w:u w:val="single"/>
        </w:rPr>
        <w:t xml:space="preserve">                                                     </w:t>
      </w:r>
    </w:p>
    <w:p w14:paraId="6C18C857">
      <w:pPr>
        <w:spacing w:line="420" w:lineRule="exact"/>
        <w:rPr>
          <w:rFonts w:ascii="宋体" w:hAnsi="宋体"/>
          <w:szCs w:val="21"/>
        </w:rPr>
      </w:pPr>
      <w:r>
        <w:rPr>
          <w:rFonts w:hint="eastAsia" w:ascii="宋体" w:hAnsi="宋体"/>
          <w:szCs w:val="21"/>
          <w:u w:val="single"/>
        </w:rPr>
        <w:t xml:space="preserve">                                                                               </w:t>
      </w:r>
      <w:r>
        <w:rPr>
          <w:rFonts w:hint="eastAsia" w:ascii="宋体" w:hAnsi="宋体"/>
          <w:szCs w:val="21"/>
        </w:rPr>
        <w:t>。</w:t>
      </w:r>
    </w:p>
    <w:p w14:paraId="40B75270">
      <w:pPr>
        <w:spacing w:before="93" w:beforeLines="30" w:line="380" w:lineRule="exact"/>
        <w:ind w:firstLine="420" w:firstLineChars="200"/>
        <w:rPr>
          <w:rFonts w:hint="eastAsia" w:ascii="宋体" w:hAnsi="宋体"/>
          <w:szCs w:val="21"/>
        </w:rPr>
      </w:pPr>
      <w:r>
        <w:rPr>
          <w:rFonts w:hint="eastAsia" w:ascii="宋体" w:hAnsi="宋体"/>
          <w:szCs w:val="21"/>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2B697B89">
      <w:pPr>
        <w:pStyle w:val="20"/>
        <w:rPr>
          <w:rFonts w:hint="eastAsia"/>
        </w:rPr>
      </w:pPr>
      <w:bookmarkStart w:id="1292" w:name="_Toc108513897"/>
      <w:r>
        <w:rPr>
          <w:rFonts w:hint="eastAsia"/>
        </w:rPr>
        <w:t>15.3变更程序</w:t>
      </w:r>
      <w:bookmarkEnd w:id="1292"/>
    </w:p>
    <w:p w14:paraId="2C6C92ED">
      <w:pPr>
        <w:spacing w:line="420" w:lineRule="exact"/>
        <w:ind w:firstLine="420" w:firstLineChars="200"/>
        <w:rPr>
          <w:rFonts w:hint="eastAsia" w:ascii="黑体" w:hAnsi="宋体" w:eastAsia="黑体"/>
          <w:szCs w:val="21"/>
        </w:rPr>
      </w:pPr>
      <w:r>
        <w:rPr>
          <w:rFonts w:hint="eastAsia" w:ascii="黑体" w:hAnsi="宋体" w:eastAsia="黑体"/>
          <w:szCs w:val="21"/>
        </w:rPr>
        <w:t>15.3.2变更估价</w:t>
      </w:r>
    </w:p>
    <w:p w14:paraId="1ABCA502">
      <w:pPr>
        <w:spacing w:before="93" w:beforeLines="30" w:line="380" w:lineRule="exact"/>
        <w:ind w:firstLine="420" w:firstLineChars="200"/>
        <w:rPr>
          <w:rFonts w:hint="eastAsia" w:ascii="宋体" w:hAnsi="宋体"/>
          <w:szCs w:val="21"/>
        </w:rPr>
      </w:pPr>
      <w:r>
        <w:rPr>
          <w:rFonts w:hint="eastAsia" w:ascii="宋体" w:hAnsi="宋体"/>
          <w:szCs w:val="21"/>
        </w:rPr>
        <w:t>(1)承包人提交变更报价书的期限：</w:t>
      </w:r>
      <w:r>
        <w:rPr>
          <w:rFonts w:hint="eastAsia" w:ascii="宋体" w:hAnsi="宋体"/>
          <w:szCs w:val="21"/>
          <w:u w:val="single"/>
        </w:rPr>
        <w:t xml:space="preserve">                                            </w:t>
      </w:r>
      <w:r>
        <w:rPr>
          <w:rFonts w:hint="eastAsia" w:ascii="宋体" w:hAnsi="宋体"/>
          <w:szCs w:val="21"/>
        </w:rPr>
        <w:t>。</w:t>
      </w:r>
    </w:p>
    <w:p w14:paraId="78DB8731">
      <w:pPr>
        <w:spacing w:line="420" w:lineRule="exact"/>
        <w:ind w:firstLine="420" w:firstLineChars="200"/>
        <w:rPr>
          <w:rFonts w:hint="eastAsia" w:ascii="宋体" w:hAnsi="宋体"/>
          <w:szCs w:val="21"/>
        </w:rPr>
      </w:pPr>
      <w:r>
        <w:rPr>
          <w:rFonts w:hint="eastAsia" w:ascii="宋体" w:hAnsi="宋体"/>
          <w:szCs w:val="21"/>
        </w:rPr>
        <w:t>(3)监理人商定或确定变更价格的期限：</w:t>
      </w:r>
      <w:r>
        <w:rPr>
          <w:rFonts w:hint="eastAsia" w:ascii="宋体" w:hAnsi="宋体"/>
          <w:szCs w:val="21"/>
          <w:u w:val="single"/>
        </w:rPr>
        <w:t xml:space="preserve">                                        </w:t>
      </w:r>
      <w:r>
        <w:rPr>
          <w:rFonts w:hint="eastAsia" w:ascii="宋体" w:hAnsi="宋体"/>
          <w:szCs w:val="21"/>
        </w:rPr>
        <w:t>。</w:t>
      </w:r>
    </w:p>
    <w:p w14:paraId="29CE3683">
      <w:pPr>
        <w:spacing w:line="346" w:lineRule="exact"/>
        <w:ind w:firstLine="420" w:firstLineChars="200"/>
        <w:rPr>
          <w:rFonts w:hint="eastAsia" w:ascii="宋体" w:hAnsi="宋体"/>
          <w:szCs w:val="21"/>
        </w:rPr>
      </w:pPr>
      <w:r>
        <w:rPr>
          <w:rFonts w:hint="eastAsia" w:ascii="宋体" w:hAnsi="宋体"/>
          <w:szCs w:val="21"/>
        </w:rPr>
        <w:t>(4)收到变更指示后，如承包人未在规定的期限内提交变更报价书的，监理人可自行决定是否调整合同价款以及如果监理人决定调整合同价款时，相应调整的具体金额。</w:t>
      </w:r>
    </w:p>
    <w:p w14:paraId="00B084FF">
      <w:pPr>
        <w:pStyle w:val="20"/>
        <w:rPr>
          <w:rFonts w:hint="eastAsia"/>
        </w:rPr>
      </w:pPr>
      <w:bookmarkStart w:id="1293" w:name="_Toc108513898"/>
      <w:r>
        <w:rPr>
          <w:rFonts w:hint="eastAsia"/>
        </w:rPr>
        <w:t>15.4变更的估价原则</w:t>
      </w:r>
      <w:bookmarkEnd w:id="1293"/>
    </w:p>
    <w:p w14:paraId="3C628E40">
      <w:pPr>
        <w:spacing w:line="346" w:lineRule="exact"/>
        <w:ind w:firstLine="420" w:firstLineChars="200"/>
        <w:rPr>
          <w:rFonts w:hint="eastAsia" w:ascii="宋体" w:hAnsi="宋体"/>
          <w:szCs w:val="21"/>
        </w:rPr>
      </w:pPr>
      <w:r>
        <w:rPr>
          <w:rFonts w:hint="eastAsia" w:ascii="宋体" w:hAnsi="宋体"/>
          <w:szCs w:val="21"/>
        </w:rPr>
        <w:t>15.4.4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0DEC0734">
      <w:pPr>
        <w:spacing w:line="346" w:lineRule="exact"/>
        <w:ind w:firstLine="420" w:firstLineChars="200"/>
        <w:rPr>
          <w:rFonts w:hint="eastAsia" w:ascii="宋体" w:hAnsi="宋体"/>
          <w:szCs w:val="21"/>
        </w:rPr>
      </w:pPr>
      <w:r>
        <w:rPr>
          <w:rFonts w:hint="eastAsia" w:ascii="宋体" w:hAnsi="宋体"/>
          <w:szCs w:val="21"/>
        </w:rPr>
        <w:t>15.4.5合同协议书约定采用单价合同形式时，因非承包人原因引起已标价工程量清单中列明的工程量发生增减，且单个子目工程量变化幅度在</w:t>
      </w:r>
      <w:r>
        <w:rPr>
          <w:rFonts w:hint="eastAsia" w:ascii="宋体" w:hAnsi="宋体"/>
          <w:szCs w:val="21"/>
          <w:u w:val="single"/>
        </w:rPr>
        <w:t xml:space="preserve">       </w:t>
      </w:r>
      <w:r>
        <w:rPr>
          <w:rFonts w:hint="eastAsia" w:ascii="宋体" w:hAnsi="宋体"/>
          <w:szCs w:val="21"/>
        </w:rPr>
        <w:t>％以内(含)时，应执行已标价工程量清单中列明的该子目的单价；单个子目工程量变化幅度在</w:t>
      </w:r>
      <w:r>
        <w:rPr>
          <w:rFonts w:hint="eastAsia" w:ascii="宋体" w:hAnsi="宋体"/>
          <w:szCs w:val="21"/>
          <w:u w:val="single"/>
        </w:rPr>
        <w:t xml:space="preserve">       </w:t>
      </w:r>
      <w:r>
        <w:rPr>
          <w:rFonts w:hint="eastAsia" w:ascii="宋体" w:hAnsi="宋体"/>
          <w:szCs w:val="21"/>
        </w:rPr>
        <w:t>％以外(不含)，且导致分部分项工程费总额变化幅度超过</w:t>
      </w:r>
      <w:r>
        <w:rPr>
          <w:rFonts w:hint="eastAsia" w:ascii="宋体" w:hAnsi="宋体"/>
          <w:szCs w:val="21"/>
          <w:u w:val="single"/>
        </w:rPr>
        <w:t xml:space="preserve">       </w:t>
      </w:r>
      <w:r>
        <w:rPr>
          <w:rFonts w:hint="eastAsia" w:ascii="宋体" w:hAnsi="宋体"/>
          <w:szCs w:val="21"/>
        </w:rPr>
        <w:t>％时，由承包人提出并由监理人按第3.5款商定或确定新的单价，该子目按修正后的新的单价计价。</w:t>
      </w:r>
    </w:p>
    <w:p w14:paraId="7AC33F64">
      <w:pPr>
        <w:spacing w:line="346" w:lineRule="exact"/>
        <w:ind w:firstLine="420" w:firstLineChars="200"/>
        <w:rPr>
          <w:rFonts w:hint="eastAsia" w:ascii="宋体" w:hAnsi="宋体"/>
          <w:szCs w:val="21"/>
          <w:u w:val="single"/>
        </w:rPr>
      </w:pPr>
      <w:r>
        <w:rPr>
          <w:rFonts w:hint="eastAsia" w:ascii="宋体" w:hAnsi="宋体"/>
          <w:szCs w:val="21"/>
        </w:rPr>
        <w:t>15.4.6因变更引起价格调整的其他处理方式：</w:t>
      </w:r>
      <w:r>
        <w:rPr>
          <w:rFonts w:hint="eastAsia" w:ascii="宋体" w:hAnsi="宋体"/>
          <w:szCs w:val="21"/>
          <w:u w:val="single"/>
        </w:rPr>
        <w:t xml:space="preserve">                                     </w:t>
      </w:r>
    </w:p>
    <w:p w14:paraId="6315DA64">
      <w:pPr>
        <w:spacing w:line="346" w:lineRule="exact"/>
        <w:ind w:firstLine="200"/>
        <w:rPr>
          <w:rFonts w:hint="eastAsia" w:ascii="宋体" w:hAnsi="宋体" w:eastAsia="PMingLiU"/>
          <w:szCs w:val="21"/>
        </w:rPr>
      </w:pPr>
      <w:r>
        <w:rPr>
          <w:rFonts w:hint="eastAsia" w:ascii="宋体" w:hAnsi="宋体"/>
          <w:szCs w:val="21"/>
          <w:u w:val="single"/>
        </w:rPr>
        <w:t xml:space="preserve">                                                                            </w:t>
      </w:r>
      <w:r>
        <w:rPr>
          <w:rFonts w:hint="eastAsia" w:ascii="宋体" w:hAnsi="宋体"/>
          <w:szCs w:val="21"/>
        </w:rPr>
        <w:t>。</w:t>
      </w:r>
    </w:p>
    <w:p w14:paraId="4D6D47A4">
      <w:pPr>
        <w:pStyle w:val="20"/>
        <w:rPr>
          <w:rFonts w:hint="eastAsia"/>
        </w:rPr>
      </w:pPr>
      <w:bookmarkStart w:id="1294" w:name="_Toc108513899"/>
      <w:r>
        <w:rPr>
          <w:rFonts w:hint="eastAsia"/>
        </w:rPr>
        <w:t>15.5承包人的合理化建议</w:t>
      </w:r>
      <w:bookmarkEnd w:id="1294"/>
    </w:p>
    <w:p w14:paraId="0B7A23DE">
      <w:pPr>
        <w:spacing w:line="350" w:lineRule="exact"/>
        <w:ind w:firstLine="420" w:firstLineChars="200"/>
        <w:rPr>
          <w:rFonts w:hint="eastAsia" w:ascii="宋体" w:hAnsi="宋体"/>
          <w:szCs w:val="21"/>
          <w:u w:val="single"/>
        </w:rPr>
      </w:pPr>
      <w:r>
        <w:rPr>
          <w:rFonts w:hint="eastAsia" w:ascii="宋体" w:hAnsi="宋体"/>
          <w:szCs w:val="21"/>
        </w:rPr>
        <w:t>15.5.2对承包人提出合理化建议的奖励方法：</w:t>
      </w:r>
      <w:r>
        <w:rPr>
          <w:rFonts w:hint="eastAsia" w:ascii="宋体" w:hAnsi="宋体"/>
          <w:szCs w:val="21"/>
          <w:u w:val="single"/>
        </w:rPr>
        <w:t xml:space="preserve">                                     </w:t>
      </w:r>
    </w:p>
    <w:p w14:paraId="07CFA542">
      <w:pPr>
        <w:spacing w:line="350" w:lineRule="exact"/>
        <w:ind w:firstLine="200"/>
        <w:rPr>
          <w:rFonts w:hint="eastAsia" w:ascii="宋体" w:hAnsi="宋体" w:eastAsia="PMingLiU"/>
          <w:szCs w:val="21"/>
        </w:rPr>
      </w:pPr>
      <w:r>
        <w:rPr>
          <w:rFonts w:hint="eastAsia" w:ascii="宋体" w:hAnsi="宋体"/>
          <w:szCs w:val="21"/>
          <w:u w:val="single"/>
        </w:rPr>
        <w:t xml:space="preserve">                                                                            </w:t>
      </w:r>
      <w:r>
        <w:rPr>
          <w:rFonts w:hint="eastAsia" w:ascii="宋体" w:hAnsi="宋体"/>
          <w:szCs w:val="21"/>
        </w:rPr>
        <w:t>。</w:t>
      </w:r>
    </w:p>
    <w:p w14:paraId="696A43C6">
      <w:pPr>
        <w:pStyle w:val="20"/>
        <w:rPr>
          <w:rFonts w:hint="eastAsia"/>
        </w:rPr>
      </w:pPr>
      <w:bookmarkStart w:id="1295" w:name="_Toc108513900"/>
      <w:r>
        <w:rPr>
          <w:rFonts w:hint="eastAsia"/>
        </w:rPr>
        <w:t>15.8暂估价</w:t>
      </w:r>
      <w:bookmarkEnd w:id="1295"/>
    </w:p>
    <w:p w14:paraId="5E2D369D">
      <w:pPr>
        <w:spacing w:line="370" w:lineRule="exact"/>
        <w:ind w:firstLine="420" w:firstLineChars="200"/>
        <w:rPr>
          <w:rFonts w:hint="eastAsia" w:ascii="宋体" w:hAnsi="宋体"/>
          <w:szCs w:val="21"/>
        </w:rPr>
      </w:pPr>
      <w:r>
        <w:rPr>
          <w:rFonts w:hint="eastAsia" w:ascii="宋体" w:hAnsi="宋体"/>
          <w:szCs w:val="21"/>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14:paraId="599F3952">
      <w:pPr>
        <w:spacing w:line="370" w:lineRule="exact"/>
        <w:ind w:firstLine="420" w:firstLineChars="200"/>
        <w:rPr>
          <w:rFonts w:hint="eastAsia" w:ascii="宋体" w:hAnsi="宋体"/>
          <w:szCs w:val="21"/>
        </w:rPr>
      </w:pPr>
      <w:r>
        <w:rPr>
          <w:rFonts w:hint="eastAsia" w:ascii="宋体" w:hAnsi="宋体"/>
          <w:szCs w:val="21"/>
        </w:rPr>
        <w:t>(1)在任何招标工作启动前，承包人应当提前至少</w:t>
      </w:r>
      <w:r>
        <w:rPr>
          <w:rFonts w:hint="eastAsia" w:ascii="宋体" w:hAnsi="宋体"/>
          <w:szCs w:val="21"/>
          <w:u w:val="single"/>
        </w:rPr>
        <w:t xml:space="preserve">      </w:t>
      </w:r>
      <w:r>
        <w:rPr>
          <w:rFonts w:hint="eastAsia" w:ascii="宋体" w:hAnsi="宋体"/>
          <w:szCs w:val="21"/>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ascii="宋体" w:hAnsi="宋体"/>
          <w:szCs w:val="21"/>
          <w:u w:val="single"/>
        </w:rPr>
        <w:t xml:space="preserve">      </w:t>
      </w:r>
      <w:r>
        <w:rPr>
          <w:rFonts w:hint="eastAsia" w:ascii="宋体" w:hAnsi="宋体"/>
          <w:szCs w:val="21"/>
        </w:rPr>
        <w:t>天内给予批准或者提出修改意见。承包人应当严格按照经过发包人批准的招标工作计划开展招标工作。</w:t>
      </w:r>
    </w:p>
    <w:p w14:paraId="76D9E4B7">
      <w:pPr>
        <w:spacing w:line="370" w:lineRule="exact"/>
        <w:ind w:firstLine="420" w:firstLineChars="200"/>
        <w:rPr>
          <w:rFonts w:hint="eastAsia" w:ascii="宋体" w:hAnsi="宋体"/>
          <w:szCs w:val="21"/>
        </w:rPr>
      </w:pPr>
      <w:r>
        <w:rPr>
          <w:rFonts w:hint="eastAsia" w:ascii="宋体" w:hAnsi="宋体"/>
          <w:szCs w:val="21"/>
        </w:rPr>
        <w:t>(2)承包人应当在发出招标公告(或者资格预审公告或者投标邀请书)、资格预审文件和招标文件前至少</w:t>
      </w:r>
      <w:r>
        <w:rPr>
          <w:rFonts w:hint="eastAsia" w:ascii="宋体" w:hAnsi="宋体"/>
          <w:szCs w:val="21"/>
          <w:u w:val="single"/>
        </w:rPr>
        <w:t xml:space="preserve">      </w:t>
      </w:r>
      <w:r>
        <w:rPr>
          <w:rFonts w:hint="eastAsia" w:ascii="宋体" w:hAnsi="宋体"/>
          <w:szCs w:val="21"/>
        </w:rPr>
        <w:t>天，分别将相关文件通过监理人报请发包人审批，发包人应当在监理人收到承包人报送的相关文件后</w:t>
      </w:r>
      <w:r>
        <w:rPr>
          <w:rFonts w:hint="eastAsia" w:ascii="宋体" w:hAnsi="宋体"/>
          <w:szCs w:val="21"/>
          <w:u w:val="single"/>
        </w:rPr>
        <w:t xml:space="preserve">      </w:t>
      </w:r>
      <w:r>
        <w:rPr>
          <w:rFonts w:hint="eastAsia" w:ascii="宋体" w:hAnsi="宋体"/>
          <w:szCs w:val="21"/>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3BD5A7E0">
      <w:pPr>
        <w:spacing w:line="404" w:lineRule="exact"/>
        <w:ind w:firstLine="420" w:firstLineChars="200"/>
        <w:rPr>
          <w:rFonts w:hint="eastAsia" w:ascii="宋体" w:hAnsi="宋体"/>
          <w:szCs w:val="21"/>
        </w:rPr>
      </w:pPr>
      <w:r>
        <w:rPr>
          <w:rFonts w:hint="eastAsia" w:ascii="宋体" w:hAnsi="宋体"/>
          <w:szCs w:val="21"/>
        </w:rPr>
        <w:t>(3)如果发、承包任何一方委派评标代表，评标委员会应当由七人以上单数构成。除发包人或者承包人自愿放弃委派评标代表的权利外，招标人评标代表应当分别由发包人和承包人等额委派。</w:t>
      </w:r>
    </w:p>
    <w:p w14:paraId="60BF800F">
      <w:pPr>
        <w:spacing w:line="404" w:lineRule="exact"/>
        <w:ind w:firstLine="420" w:firstLineChars="200"/>
        <w:rPr>
          <w:rFonts w:hint="eastAsia" w:ascii="宋体" w:hAnsi="宋体"/>
          <w:szCs w:val="21"/>
        </w:rPr>
      </w:pPr>
      <w:r>
        <w:rPr>
          <w:rFonts w:hint="eastAsia" w:ascii="宋体" w:hAnsi="宋体"/>
          <w:szCs w:val="21"/>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35E4FA10">
      <w:pPr>
        <w:spacing w:line="404" w:lineRule="exact"/>
        <w:ind w:firstLine="420" w:firstLineChars="200"/>
        <w:rPr>
          <w:rFonts w:hint="eastAsia" w:ascii="宋体" w:hAnsi="宋体"/>
          <w:szCs w:val="21"/>
        </w:rPr>
      </w:pPr>
      <w:r>
        <w:rPr>
          <w:rFonts w:hint="eastAsia" w:ascii="宋体" w:hAnsi="宋体"/>
          <w:szCs w:val="21"/>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458D3F91">
      <w:pPr>
        <w:spacing w:line="404" w:lineRule="exact"/>
        <w:ind w:firstLine="420" w:firstLineChars="200"/>
        <w:rPr>
          <w:rFonts w:hint="eastAsia" w:ascii="宋体" w:hAnsi="宋体"/>
          <w:szCs w:val="21"/>
        </w:rPr>
      </w:pPr>
      <w:r>
        <w:rPr>
          <w:rFonts w:hint="eastAsia" w:ascii="宋体" w:hAnsi="宋体"/>
          <w:szCs w:val="21"/>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4E5BA525">
      <w:pPr>
        <w:spacing w:line="404" w:lineRule="exact"/>
        <w:ind w:firstLine="420" w:firstLineChars="200"/>
        <w:rPr>
          <w:rFonts w:hint="eastAsia" w:ascii="宋体" w:hAnsi="宋体"/>
          <w:szCs w:val="21"/>
        </w:rPr>
      </w:pPr>
      <w:r>
        <w:rPr>
          <w:rFonts w:hint="eastAsia" w:ascii="宋体" w:hAnsi="宋体"/>
          <w:szCs w:val="21"/>
        </w:rPr>
        <w:t>(7)承包人与专业分包人或者专项供应商订立合同前</w:t>
      </w:r>
      <w:r>
        <w:rPr>
          <w:rFonts w:hint="eastAsia" w:ascii="宋体" w:hAnsi="宋体"/>
          <w:szCs w:val="21"/>
          <w:u w:val="single"/>
        </w:rPr>
        <w:t xml:space="preserve">    </w:t>
      </w:r>
      <w:r>
        <w:rPr>
          <w:rFonts w:hint="eastAsia" w:ascii="宋体" w:hAnsi="宋体"/>
          <w:szCs w:val="21"/>
        </w:rPr>
        <w:t>天，应当将准备用于正式签订的合同文件通过监理人报发包人审核，发包人应当在监理人收到相关文件后</w:t>
      </w:r>
      <w:r>
        <w:rPr>
          <w:rFonts w:hint="eastAsia" w:ascii="宋体" w:hAnsi="宋体"/>
          <w:szCs w:val="21"/>
          <w:u w:val="single"/>
        </w:rPr>
        <w:t xml:space="preserve">    </w:t>
      </w:r>
      <w:r>
        <w:rPr>
          <w:rFonts w:hint="eastAsia" w:ascii="宋体" w:hAnsi="宋体"/>
          <w:szCs w:val="21"/>
        </w:rPr>
        <w:t>天内给予批准或者提出修改意见，承包人应当按照发包人批准的合同文件签订相关合同，合同订立后</w:t>
      </w:r>
      <w:r>
        <w:rPr>
          <w:rFonts w:hint="eastAsia" w:ascii="宋体" w:hAnsi="宋体"/>
          <w:szCs w:val="21"/>
          <w:u w:val="single"/>
        </w:rPr>
        <w:t xml:space="preserve">    </w:t>
      </w:r>
      <w:r>
        <w:rPr>
          <w:rFonts w:hint="eastAsia" w:ascii="宋体" w:hAnsi="宋体"/>
          <w:szCs w:val="21"/>
        </w:rPr>
        <w:t>天内，承包人应当将其中的两份副本报送监理人，其中一份由监理人报发包人留存。</w:t>
      </w:r>
    </w:p>
    <w:p w14:paraId="7F4846B0">
      <w:pPr>
        <w:spacing w:line="404" w:lineRule="exact"/>
        <w:ind w:firstLine="420" w:firstLineChars="200"/>
        <w:rPr>
          <w:rFonts w:hint="eastAsia" w:ascii="宋体" w:hAnsi="宋体"/>
          <w:szCs w:val="21"/>
        </w:rPr>
      </w:pPr>
      <w:r>
        <w:rPr>
          <w:rFonts w:hint="eastAsia" w:ascii="宋体" w:hAnsi="宋体"/>
          <w:szCs w:val="21"/>
        </w:rPr>
        <w:t>(8)发包人对承包人报送文件进行审批或提出的修改意见应当合理，并符合现行有关法律法规的规定。</w:t>
      </w:r>
    </w:p>
    <w:p w14:paraId="60363200">
      <w:pPr>
        <w:spacing w:line="404" w:lineRule="exact"/>
        <w:ind w:firstLine="420" w:firstLineChars="200"/>
        <w:rPr>
          <w:rFonts w:hint="eastAsia" w:ascii="宋体" w:hAnsi="宋体"/>
          <w:szCs w:val="21"/>
        </w:rPr>
      </w:pPr>
      <w:r>
        <w:rPr>
          <w:rFonts w:hint="eastAsia" w:ascii="宋体" w:hAnsi="宋体"/>
          <w:szCs w:val="21"/>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0A5E899E">
      <w:pPr>
        <w:spacing w:line="404" w:lineRule="exact"/>
        <w:ind w:firstLine="420" w:firstLineChars="200"/>
        <w:rPr>
          <w:rFonts w:hint="eastAsia" w:ascii="宋体" w:hAnsi="宋体"/>
          <w:szCs w:val="21"/>
        </w:rPr>
      </w:pPr>
      <w:r>
        <w:rPr>
          <w:rFonts w:hint="eastAsia" w:ascii="宋体" w:hAnsi="宋体"/>
          <w:szCs w:val="21"/>
        </w:rPr>
        <w:t>15.8.3发包人在工程量清单中给定暂估价的专业工程不属于依法必须招标的范围或者未达到依法必须招标的规模标准的，其最终价格的估价人为：</w:t>
      </w:r>
      <w:r>
        <w:rPr>
          <w:rFonts w:hint="eastAsia" w:ascii="宋体" w:hAnsi="宋体"/>
          <w:szCs w:val="21"/>
          <w:u w:val="single"/>
        </w:rPr>
        <w:t xml:space="preserve">                          </w:t>
      </w:r>
      <w:r>
        <w:rPr>
          <w:rFonts w:hint="eastAsia" w:ascii="宋体" w:hAnsi="宋体"/>
          <w:szCs w:val="21"/>
        </w:rPr>
        <w:t>或者按照下列约定：</w:t>
      </w:r>
      <w:r>
        <w:rPr>
          <w:rFonts w:hint="eastAsia" w:ascii="宋体" w:hAnsi="宋体"/>
          <w:szCs w:val="21"/>
          <w:u w:val="single"/>
        </w:rPr>
        <w:t xml:space="preserve">                                                             </w:t>
      </w:r>
      <w:r>
        <w:rPr>
          <w:rFonts w:hint="eastAsia" w:ascii="宋体" w:hAnsi="宋体"/>
          <w:szCs w:val="21"/>
        </w:rPr>
        <w:t>。</w:t>
      </w:r>
    </w:p>
    <w:p w14:paraId="2D76787E">
      <w:pPr>
        <w:pStyle w:val="18"/>
        <w:rPr>
          <w:rFonts w:hint="eastAsia"/>
        </w:rPr>
      </w:pPr>
      <w:bookmarkStart w:id="1296" w:name="_Toc108513901"/>
      <w:r>
        <w:rPr>
          <w:rFonts w:hint="eastAsia"/>
        </w:rPr>
        <w:t>16.价格调整</w:t>
      </w:r>
      <w:bookmarkEnd w:id="1296"/>
    </w:p>
    <w:p w14:paraId="54130BD5">
      <w:pPr>
        <w:pStyle w:val="20"/>
        <w:rPr>
          <w:rFonts w:hint="eastAsia" w:ascii="黑体" w:hAnsi="宋体"/>
        </w:rPr>
      </w:pPr>
      <w:bookmarkStart w:id="1297" w:name="_Toc108513902"/>
      <w:r>
        <w:rPr>
          <w:rFonts w:hint="eastAsia"/>
        </w:rPr>
        <w:t>16.1物价波动引起的价格调整</w:t>
      </w:r>
      <w:bookmarkEnd w:id="1297"/>
    </w:p>
    <w:p w14:paraId="0AAD92A8">
      <w:pPr>
        <w:spacing w:line="420" w:lineRule="exact"/>
        <w:ind w:firstLine="420" w:firstLineChars="200"/>
        <w:rPr>
          <w:rFonts w:hint="eastAsia" w:ascii="宋体" w:hAnsi="宋体"/>
          <w:szCs w:val="21"/>
        </w:rPr>
      </w:pPr>
      <w:r>
        <w:rPr>
          <w:rFonts w:hint="eastAsia" w:ascii="宋体" w:hAnsi="宋体"/>
          <w:szCs w:val="21"/>
        </w:rPr>
        <w:t>物价波动引起的价格调整方法：</w:t>
      </w:r>
      <w:r>
        <w:rPr>
          <w:rFonts w:hint="eastAsia" w:ascii="宋体" w:hAnsi="宋体"/>
          <w:szCs w:val="21"/>
          <w:u w:val="single"/>
        </w:rPr>
        <w:t xml:space="preserve">                                               </w:t>
      </w:r>
      <w:r>
        <w:rPr>
          <w:rFonts w:hint="eastAsia" w:ascii="宋体" w:hAnsi="宋体"/>
          <w:szCs w:val="21"/>
        </w:rPr>
        <w:t>。</w:t>
      </w:r>
    </w:p>
    <w:p w14:paraId="72DDA24D">
      <w:pPr>
        <w:spacing w:line="420" w:lineRule="exact"/>
        <w:ind w:firstLine="420" w:firstLineChars="200"/>
        <w:rPr>
          <w:rFonts w:hint="eastAsia" w:ascii="宋体" w:hAnsi="宋体"/>
          <w:szCs w:val="21"/>
        </w:rPr>
      </w:pPr>
      <w:r>
        <w:rPr>
          <w:rFonts w:hint="eastAsia" w:ascii="宋体" w:hAnsi="宋体"/>
          <w:szCs w:val="21"/>
        </w:rPr>
        <w:t>其他约定：</w:t>
      </w:r>
      <w:r>
        <w:rPr>
          <w:rFonts w:hint="eastAsia" w:ascii="宋体" w:hAnsi="宋体"/>
          <w:szCs w:val="21"/>
          <w:u w:val="single"/>
        </w:rPr>
        <w:t xml:space="preserve">                                                                 </w:t>
      </w:r>
      <w:r>
        <w:rPr>
          <w:rFonts w:hint="eastAsia" w:ascii="宋体" w:hAnsi="宋体"/>
          <w:szCs w:val="21"/>
        </w:rPr>
        <w:t>。</w:t>
      </w:r>
    </w:p>
    <w:p w14:paraId="708EF7AA">
      <w:pPr>
        <w:pStyle w:val="18"/>
        <w:rPr>
          <w:rFonts w:hint="eastAsia"/>
        </w:rPr>
      </w:pPr>
      <w:bookmarkStart w:id="1298" w:name="_Toc108513903"/>
      <w:r>
        <w:rPr>
          <w:rFonts w:hint="eastAsia"/>
        </w:rPr>
        <w:t>17.计量与支付</w:t>
      </w:r>
      <w:bookmarkEnd w:id="1298"/>
    </w:p>
    <w:p w14:paraId="1FA8CC48">
      <w:pPr>
        <w:pStyle w:val="20"/>
        <w:rPr>
          <w:rFonts w:hint="eastAsia"/>
        </w:rPr>
      </w:pPr>
      <w:bookmarkStart w:id="1299" w:name="_Toc108513904"/>
      <w:r>
        <w:rPr>
          <w:rFonts w:hint="eastAsia"/>
        </w:rPr>
        <w:t>17.1计量</w:t>
      </w:r>
      <w:bookmarkEnd w:id="1299"/>
    </w:p>
    <w:p w14:paraId="040F9B8D">
      <w:pPr>
        <w:spacing w:line="400" w:lineRule="exact"/>
        <w:ind w:firstLine="420" w:firstLineChars="200"/>
        <w:rPr>
          <w:rFonts w:hint="eastAsia" w:ascii="黑体" w:hAnsi="宋体" w:eastAsia="黑体"/>
          <w:szCs w:val="21"/>
        </w:rPr>
      </w:pPr>
      <w:r>
        <w:rPr>
          <w:rFonts w:hint="eastAsia" w:ascii="黑体" w:hAnsi="宋体" w:eastAsia="黑体"/>
          <w:szCs w:val="21"/>
        </w:rPr>
        <w:t>17.1.2计量方法</w:t>
      </w:r>
    </w:p>
    <w:p w14:paraId="17000417">
      <w:pPr>
        <w:spacing w:line="370" w:lineRule="exact"/>
        <w:ind w:firstLine="420" w:firstLineChars="200"/>
        <w:rPr>
          <w:rFonts w:hint="eastAsia" w:ascii="宋体" w:hAnsi="宋体"/>
          <w:szCs w:val="21"/>
        </w:rPr>
      </w:pPr>
      <w:r>
        <w:rPr>
          <w:rFonts w:hint="eastAsia" w:ascii="宋体" w:hAnsi="宋体"/>
          <w:szCs w:val="21"/>
        </w:rPr>
        <w:t>工程量计算规则执行国家标准《建设工程工程量清单计价规范》（GB50500-2013</w:t>
      </w:r>
      <w:r>
        <w:rPr>
          <w:rFonts w:ascii="宋体" w:hAnsi="宋体"/>
          <w:szCs w:val="21"/>
        </w:rPr>
        <w:t>）和配套的</w:t>
      </w:r>
      <w:r>
        <w:rPr>
          <w:rFonts w:hint="eastAsia" w:ascii="宋体" w:hAnsi="宋体"/>
          <w:szCs w:val="21"/>
        </w:rPr>
        <w:t>工</w:t>
      </w:r>
      <w:r>
        <w:rPr>
          <w:rFonts w:ascii="宋体" w:hAnsi="宋体"/>
          <w:szCs w:val="21"/>
        </w:rPr>
        <w:t>程量计算规范（GB50854-2013 ～GB50862-2013）</w:t>
      </w:r>
      <w:r>
        <w:rPr>
          <w:rFonts w:hint="eastAsia" w:ascii="宋体" w:hAnsi="宋体"/>
          <w:szCs w:val="21"/>
        </w:rPr>
        <w:t>或其适用的修订版本。除合同另有约定外，承包人实际完成的工程量按约定的工程量计算规则和有合同约束力的图纸进行计量。</w:t>
      </w:r>
    </w:p>
    <w:p w14:paraId="34AA5D97">
      <w:pPr>
        <w:spacing w:before="62" w:beforeLines="20" w:after="62" w:afterLines="20" w:line="400" w:lineRule="exact"/>
        <w:ind w:firstLine="420" w:firstLineChars="200"/>
        <w:rPr>
          <w:rFonts w:hint="eastAsia" w:ascii="黑体" w:hAnsi="宋体" w:eastAsia="黑体"/>
          <w:szCs w:val="21"/>
        </w:rPr>
      </w:pPr>
      <w:r>
        <w:rPr>
          <w:rFonts w:hint="eastAsia" w:ascii="黑体" w:hAnsi="宋体" w:eastAsia="黑体"/>
          <w:szCs w:val="21"/>
        </w:rPr>
        <w:t>17.1.3计量周期</w:t>
      </w:r>
    </w:p>
    <w:p w14:paraId="32705905">
      <w:pPr>
        <w:spacing w:line="370" w:lineRule="exact"/>
        <w:ind w:firstLine="420" w:firstLineChars="200"/>
        <w:rPr>
          <w:rFonts w:hint="eastAsia" w:ascii="宋体" w:hAnsi="宋体"/>
          <w:szCs w:val="21"/>
        </w:rPr>
      </w:pPr>
      <w:r>
        <w:rPr>
          <w:rFonts w:hint="eastAsia" w:ascii="宋体" w:hAnsi="宋体"/>
          <w:szCs w:val="21"/>
        </w:rPr>
        <w:t>(1)本合同的计量周期为月，每月</w:t>
      </w:r>
      <w:r>
        <w:rPr>
          <w:rFonts w:hint="eastAsia" w:ascii="宋体" w:hAnsi="宋体"/>
          <w:szCs w:val="21"/>
          <w:u w:val="single"/>
        </w:rPr>
        <w:t xml:space="preserve">       </w:t>
      </w:r>
      <w:r>
        <w:rPr>
          <w:rFonts w:hint="eastAsia" w:ascii="宋体" w:hAnsi="宋体"/>
          <w:szCs w:val="21"/>
        </w:rPr>
        <w:t>日为当月计量截止日期(不含当日)和下月计量起始日期(含当日)。</w:t>
      </w:r>
    </w:p>
    <w:p w14:paraId="349ED7EC">
      <w:pPr>
        <w:spacing w:line="370" w:lineRule="exact"/>
        <w:ind w:firstLine="420" w:firstLineChars="200"/>
        <w:rPr>
          <w:rFonts w:hint="eastAsia" w:ascii="宋体" w:hAnsi="宋体"/>
          <w:szCs w:val="21"/>
        </w:rPr>
      </w:pPr>
      <w:r>
        <w:rPr>
          <w:rFonts w:hint="eastAsia" w:ascii="宋体" w:hAnsi="宋体"/>
          <w:szCs w:val="21"/>
        </w:rPr>
        <w:t>(2)本合同</w:t>
      </w:r>
      <w:r>
        <w:rPr>
          <w:rFonts w:hint="eastAsia" w:ascii="宋体" w:hAnsi="宋体"/>
          <w:szCs w:val="21"/>
          <w:u w:val="single"/>
        </w:rPr>
        <w:t xml:space="preserve">           </w:t>
      </w:r>
      <w:r>
        <w:rPr>
          <w:rFonts w:hint="eastAsia" w:ascii="宋体" w:hAnsi="宋体"/>
          <w:szCs w:val="21"/>
        </w:rPr>
        <w:t xml:space="preserve"> (执行</w:t>
      </w:r>
      <w:r>
        <w:rPr>
          <w:rFonts w:hint="eastAsia" w:ascii="楷体_GB2312" w:hAnsi="宋体" w:eastAsia="楷体_GB2312"/>
          <w:szCs w:val="21"/>
        </w:rPr>
        <w:t>(采用单价合同形式时)／</w:t>
      </w:r>
      <w:r>
        <w:rPr>
          <w:rFonts w:hint="eastAsia" w:ascii="宋体" w:hAnsi="宋体"/>
          <w:szCs w:val="21"/>
        </w:rPr>
        <w:t>不执行</w:t>
      </w:r>
      <w:r>
        <w:rPr>
          <w:rFonts w:hint="eastAsia" w:ascii="楷体_GB2312" w:hAnsi="宋体" w:eastAsia="楷体_GB2312"/>
          <w:szCs w:val="21"/>
        </w:rPr>
        <w:t>(采用总价合同形式时)</w:t>
      </w:r>
      <w:r>
        <w:rPr>
          <w:rFonts w:hint="eastAsia" w:ascii="宋体" w:hAnsi="宋体"/>
          <w:szCs w:val="21"/>
        </w:rPr>
        <w:t>)通用合同条款本项约定的单价子目计量。总价子目计量方法按专用合同条款第17.1.5项总价子目的计量——</w:t>
      </w:r>
      <w:r>
        <w:rPr>
          <w:rFonts w:hint="eastAsia" w:ascii="宋体" w:hAnsi="宋体"/>
          <w:szCs w:val="21"/>
          <w:u w:val="single"/>
        </w:rPr>
        <w:t xml:space="preserve">                  </w:t>
      </w:r>
      <w:r>
        <w:rPr>
          <w:rFonts w:hint="eastAsia" w:ascii="宋体" w:hAnsi="宋体"/>
          <w:szCs w:val="21"/>
        </w:rPr>
        <w:t>(支付分解报告／按实际完成工程量计量)。</w:t>
      </w:r>
    </w:p>
    <w:p w14:paraId="67C3D345">
      <w:pPr>
        <w:spacing w:before="62" w:beforeLines="20" w:after="62" w:afterLines="20" w:line="400" w:lineRule="exact"/>
        <w:ind w:firstLine="420" w:firstLineChars="200"/>
        <w:rPr>
          <w:rFonts w:hint="eastAsia" w:ascii="黑体" w:hAnsi="宋体" w:eastAsia="黑体"/>
          <w:szCs w:val="21"/>
        </w:rPr>
      </w:pPr>
      <w:r>
        <w:rPr>
          <w:rFonts w:hint="eastAsia" w:ascii="黑体" w:hAnsi="宋体" w:eastAsia="黑体"/>
          <w:szCs w:val="21"/>
        </w:rPr>
        <w:t>17.1.5总价子目的计量一支付分解报告</w:t>
      </w:r>
    </w:p>
    <w:p w14:paraId="69BAE9AC">
      <w:pPr>
        <w:spacing w:line="370" w:lineRule="exact"/>
        <w:ind w:firstLine="420" w:firstLineChars="200"/>
        <w:rPr>
          <w:rFonts w:hint="eastAsia" w:ascii="宋体" w:hAnsi="宋体"/>
          <w:szCs w:val="21"/>
        </w:rPr>
      </w:pPr>
      <w:r>
        <w:rPr>
          <w:rFonts w:hint="eastAsia" w:ascii="宋体" w:hAnsi="宋体"/>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32AF3815">
      <w:pPr>
        <w:spacing w:line="370" w:lineRule="exact"/>
        <w:ind w:firstLine="420" w:firstLineChars="200"/>
        <w:rPr>
          <w:rFonts w:hint="eastAsia" w:ascii="宋体" w:hAnsi="宋体"/>
          <w:szCs w:val="21"/>
        </w:rPr>
      </w:pPr>
      <w:r>
        <w:rPr>
          <w:rFonts w:hint="eastAsia" w:ascii="宋体" w:hAnsi="宋体"/>
          <w:szCs w:val="21"/>
        </w:rPr>
        <w:t>(1)总价子目的价格调整方法：</w:t>
      </w:r>
      <w:r>
        <w:rPr>
          <w:rFonts w:hint="eastAsia" w:ascii="宋体" w:hAnsi="宋体"/>
          <w:szCs w:val="21"/>
          <w:u w:val="single"/>
        </w:rPr>
        <w:t xml:space="preserve">                                                </w:t>
      </w:r>
      <w:r>
        <w:rPr>
          <w:rFonts w:hint="eastAsia" w:ascii="宋体" w:hAnsi="宋体"/>
          <w:szCs w:val="21"/>
        </w:rPr>
        <w:t>。</w:t>
      </w:r>
    </w:p>
    <w:p w14:paraId="2F305694">
      <w:pPr>
        <w:spacing w:line="370" w:lineRule="exact"/>
        <w:ind w:firstLine="420" w:firstLineChars="200"/>
        <w:rPr>
          <w:rFonts w:hint="eastAsia" w:ascii="宋体" w:hAnsi="宋体"/>
          <w:szCs w:val="21"/>
        </w:rPr>
      </w:pPr>
      <w:r>
        <w:rPr>
          <w:rFonts w:hint="eastAsia" w:ascii="宋体" w:hAnsi="宋体"/>
          <w:szCs w:val="21"/>
        </w:rPr>
        <w:t>(2)列入每月进度付款申请单中各总价子目的价值为有合同约束力的支付分解表中对应月份的总价子目总价值。</w:t>
      </w:r>
    </w:p>
    <w:p w14:paraId="5ADD4789">
      <w:pPr>
        <w:spacing w:line="370" w:lineRule="exact"/>
        <w:ind w:firstLine="420" w:firstLineChars="200"/>
        <w:rPr>
          <w:rFonts w:hint="eastAsia" w:ascii="宋体" w:hAnsi="宋体"/>
          <w:szCs w:val="21"/>
        </w:rPr>
      </w:pPr>
      <w:r>
        <w:rPr>
          <w:rFonts w:hint="eastAsia" w:ascii="宋体" w:hAnsi="宋体"/>
          <w:szCs w:val="21"/>
        </w:rPr>
        <w:t>(3)监理人根据有合同约束力的支付分解表复核列入每月进度付款申请单中的总价子目的总价值。</w:t>
      </w:r>
    </w:p>
    <w:p w14:paraId="1644FDE6">
      <w:pPr>
        <w:spacing w:line="370" w:lineRule="exact"/>
        <w:ind w:firstLine="420" w:firstLineChars="200"/>
        <w:rPr>
          <w:rFonts w:hint="eastAsia" w:ascii="宋体" w:hAnsi="宋体"/>
          <w:szCs w:val="21"/>
        </w:rPr>
      </w:pPr>
      <w:r>
        <w:rPr>
          <w:rFonts w:hint="eastAsia" w:ascii="宋体" w:hAnsi="宋体"/>
          <w:szCs w:val="21"/>
        </w:rPr>
        <w:t>(4)除按照第15条约定的变更外，在竣工结算时总价子目的工程量不应当重新计量，签约合同价所基于的工程量即是用于竣工结算的最终工程量。</w:t>
      </w:r>
    </w:p>
    <w:p w14:paraId="03362440">
      <w:pPr>
        <w:spacing w:before="62" w:beforeLines="20" w:after="62" w:afterLines="20" w:line="400" w:lineRule="exact"/>
        <w:ind w:firstLine="420" w:firstLineChars="200"/>
        <w:rPr>
          <w:rFonts w:hint="eastAsia" w:ascii="黑体" w:hAnsi="宋体" w:eastAsia="黑体"/>
          <w:szCs w:val="21"/>
        </w:rPr>
      </w:pPr>
      <w:r>
        <w:rPr>
          <w:rFonts w:hint="eastAsia" w:ascii="黑体" w:hAnsi="宋体" w:eastAsia="黑体"/>
          <w:szCs w:val="21"/>
        </w:rPr>
        <w:t>17.1.5总价子目的计量一按实际完成工程量计量</w:t>
      </w:r>
    </w:p>
    <w:p w14:paraId="37CF674A">
      <w:pPr>
        <w:spacing w:line="360" w:lineRule="exact"/>
        <w:ind w:firstLine="420" w:firstLineChars="200"/>
        <w:rPr>
          <w:rFonts w:hint="eastAsia" w:ascii="宋体" w:hAnsi="宋体"/>
          <w:szCs w:val="21"/>
        </w:rPr>
      </w:pPr>
      <w:r>
        <w:rPr>
          <w:rFonts w:hint="eastAsia" w:ascii="宋体" w:hAnsi="宋体"/>
          <w:szCs w:val="21"/>
        </w:rPr>
        <w:t>(1)总价子目的价格调整方法：</w:t>
      </w:r>
      <w:r>
        <w:rPr>
          <w:rFonts w:hint="eastAsia" w:ascii="宋体" w:hAnsi="宋体"/>
          <w:szCs w:val="21"/>
          <w:u w:val="single"/>
        </w:rPr>
        <w:t xml:space="preserve">                                                </w:t>
      </w:r>
      <w:r>
        <w:rPr>
          <w:rFonts w:hint="eastAsia" w:ascii="宋体" w:hAnsi="宋体"/>
          <w:szCs w:val="21"/>
        </w:rPr>
        <w:t>。</w:t>
      </w:r>
    </w:p>
    <w:p w14:paraId="6A6A53FB">
      <w:pPr>
        <w:spacing w:line="360" w:lineRule="exact"/>
        <w:rPr>
          <w:rFonts w:hint="eastAsia" w:ascii="宋体" w:hAnsi="宋体"/>
          <w:szCs w:val="21"/>
        </w:rPr>
      </w:pPr>
      <w:r>
        <w:rPr>
          <w:rFonts w:hint="eastAsia" w:ascii="宋体" w:hAnsi="宋体"/>
          <w:szCs w:val="21"/>
        </w:rPr>
        <w:t>总价子目的计量和支付应以总价为基础，对承包人实际完成的工程量进行计量，是进行工程目标管理和控制进度款支付的依据。</w:t>
      </w:r>
    </w:p>
    <w:p w14:paraId="531508A3">
      <w:pPr>
        <w:spacing w:line="360" w:lineRule="exact"/>
        <w:ind w:firstLine="420" w:firstLineChars="200"/>
        <w:rPr>
          <w:rFonts w:hint="eastAsia" w:ascii="宋体" w:hAnsi="宋体"/>
          <w:szCs w:val="21"/>
        </w:rPr>
      </w:pPr>
      <w:r>
        <w:rPr>
          <w:rFonts w:hint="eastAsia" w:ascii="宋体" w:hAnsi="宋体"/>
          <w:szCs w:val="21"/>
        </w:rPr>
        <w:t>(2)承包人在专用合同条款第17.1.3(1)目约定的每月计量截止日期后，对已完成的分部分项工程的子目(包括在工程量清单中给出具体工程量的措施项目的相关子目)，按照专用合同条款第17.1.2项约定的计量方法进行计量，对已完成的工程量清单中没有给出具体工程量的措施项目的相关子目，按其总价构成、费用性质和实际发生比例进行计量，向监理人提交进度付款申请单、已完成工程量报表和有关计量资料。</w:t>
      </w:r>
    </w:p>
    <w:p w14:paraId="6836B55E">
      <w:pPr>
        <w:spacing w:line="360" w:lineRule="exact"/>
        <w:ind w:firstLine="420" w:firstLineChars="200"/>
        <w:rPr>
          <w:rFonts w:hint="eastAsia" w:ascii="宋体" w:hAnsi="宋体"/>
          <w:szCs w:val="21"/>
        </w:rPr>
      </w:pPr>
      <w:r>
        <w:rPr>
          <w:rFonts w:hint="eastAsia" w:ascii="宋体" w:hAnsi="宋体"/>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3B9A9EB2">
      <w:pPr>
        <w:spacing w:line="360" w:lineRule="exact"/>
        <w:ind w:firstLine="420" w:firstLineChars="200"/>
        <w:rPr>
          <w:rFonts w:hint="eastAsia" w:ascii="宋体" w:hAnsi="宋体"/>
          <w:szCs w:val="21"/>
        </w:rPr>
      </w:pPr>
      <w:r>
        <w:rPr>
          <w:rFonts w:hint="eastAsia" w:ascii="宋体" w:hAnsi="宋体"/>
          <w:szCs w:val="21"/>
        </w:rPr>
        <w:t>(4)监理人应在收到承包人提交的工程量报表后的7天内进行复核，监理人未在约定时间内复核的，承包人提交的工程量报表中的工程量视为承包人实际完成的工程量，据此计算工程价款。</w:t>
      </w:r>
    </w:p>
    <w:p w14:paraId="3BE12A91">
      <w:pPr>
        <w:spacing w:line="360" w:lineRule="exact"/>
        <w:ind w:firstLine="420" w:firstLineChars="200"/>
        <w:rPr>
          <w:rFonts w:hint="eastAsia" w:ascii="宋体" w:hAnsi="宋体"/>
          <w:szCs w:val="21"/>
        </w:rPr>
      </w:pPr>
      <w:r>
        <w:rPr>
          <w:rFonts w:hint="eastAsia" w:ascii="宋体" w:hAnsi="宋体"/>
          <w:szCs w:val="21"/>
        </w:rPr>
        <w:t>(5)除按照第15条约定的变更外，在竣工结算时总价子目的工程量不应当重新计量，签约合同价所基于的工程量即是用于竣工结算的最终工程量。</w:t>
      </w:r>
    </w:p>
    <w:p w14:paraId="7293EF13">
      <w:pPr>
        <w:pStyle w:val="20"/>
        <w:rPr>
          <w:rFonts w:hint="eastAsia"/>
        </w:rPr>
      </w:pPr>
      <w:bookmarkStart w:id="1300" w:name="_Toc108513905"/>
      <w:r>
        <w:rPr>
          <w:rFonts w:hint="eastAsia"/>
        </w:rPr>
        <w:t>17.2预付款</w:t>
      </w:r>
      <w:bookmarkEnd w:id="1300"/>
    </w:p>
    <w:p w14:paraId="1EEC86B5">
      <w:pPr>
        <w:spacing w:before="93" w:beforeLines="30" w:after="93" w:afterLines="30" w:line="360" w:lineRule="exact"/>
        <w:ind w:firstLine="420" w:firstLineChars="200"/>
        <w:rPr>
          <w:rFonts w:hint="eastAsia" w:ascii="黑体" w:hAnsi="宋体" w:eastAsia="黑体"/>
          <w:szCs w:val="21"/>
        </w:rPr>
      </w:pPr>
      <w:r>
        <w:rPr>
          <w:rFonts w:hint="eastAsia" w:ascii="黑体" w:hAnsi="宋体" w:eastAsia="黑体"/>
          <w:szCs w:val="21"/>
        </w:rPr>
        <w:t>17.2.1预付款</w:t>
      </w:r>
    </w:p>
    <w:p w14:paraId="6982CEF6">
      <w:pPr>
        <w:spacing w:before="93" w:beforeLines="30" w:after="93" w:afterLines="30" w:line="360" w:lineRule="exact"/>
        <w:ind w:firstLine="420" w:firstLineChars="200"/>
        <w:rPr>
          <w:rFonts w:hint="eastAsia" w:ascii="黑体" w:hAnsi="宋体" w:eastAsia="黑体"/>
          <w:szCs w:val="21"/>
        </w:rPr>
      </w:pPr>
      <w:r>
        <w:rPr>
          <w:rFonts w:hint="eastAsia" w:ascii="黑体" w:hAnsi="宋体" w:eastAsia="黑体"/>
          <w:szCs w:val="21"/>
        </w:rPr>
        <w:t>(1)预付款额度</w:t>
      </w:r>
    </w:p>
    <w:p w14:paraId="7303B0C9">
      <w:pPr>
        <w:spacing w:line="360" w:lineRule="exact"/>
        <w:ind w:firstLine="420" w:firstLineChars="200"/>
        <w:rPr>
          <w:rFonts w:hint="eastAsia" w:ascii="宋体" w:hAnsi="宋体"/>
          <w:szCs w:val="21"/>
        </w:rPr>
      </w:pPr>
      <w:r>
        <w:rPr>
          <w:rFonts w:hint="eastAsia" w:ascii="宋体" w:hAnsi="宋体"/>
          <w:szCs w:val="21"/>
        </w:rPr>
        <w:t>分部分项工程部分的预付款额度：</w:t>
      </w:r>
      <w:r>
        <w:rPr>
          <w:rFonts w:hint="eastAsia" w:ascii="宋体" w:hAnsi="宋体"/>
          <w:szCs w:val="21"/>
          <w:u w:val="single"/>
        </w:rPr>
        <w:t xml:space="preserve">                                             </w:t>
      </w:r>
      <w:r>
        <w:rPr>
          <w:rFonts w:hint="eastAsia" w:ascii="宋体" w:hAnsi="宋体"/>
          <w:szCs w:val="21"/>
        </w:rPr>
        <w:t>。</w:t>
      </w:r>
    </w:p>
    <w:p w14:paraId="52ED3D83">
      <w:pPr>
        <w:spacing w:line="420" w:lineRule="exact"/>
        <w:ind w:firstLine="420" w:firstLineChars="200"/>
        <w:rPr>
          <w:rFonts w:hint="eastAsia" w:ascii="宋体" w:hAnsi="宋体"/>
          <w:szCs w:val="21"/>
        </w:rPr>
      </w:pPr>
      <w:r>
        <w:rPr>
          <w:rFonts w:hint="eastAsia" w:ascii="宋体" w:hAnsi="宋体"/>
          <w:szCs w:val="21"/>
        </w:rPr>
        <w:t>措施项目部分预付款额度：</w:t>
      </w:r>
      <w:r>
        <w:rPr>
          <w:rFonts w:hint="eastAsia" w:ascii="宋体" w:hAnsi="宋体"/>
          <w:szCs w:val="21"/>
          <w:u w:val="single"/>
        </w:rPr>
        <w:t xml:space="preserve">                                                   </w:t>
      </w:r>
      <w:r>
        <w:rPr>
          <w:rFonts w:hint="eastAsia" w:ascii="宋体" w:hAnsi="宋体"/>
          <w:szCs w:val="21"/>
        </w:rPr>
        <w:t>。</w:t>
      </w:r>
    </w:p>
    <w:p w14:paraId="75606ABB">
      <w:pPr>
        <w:spacing w:line="420" w:lineRule="exact"/>
        <w:ind w:firstLine="420" w:firstLineChars="200"/>
        <w:rPr>
          <w:rFonts w:hint="eastAsia" w:ascii="宋体" w:hAnsi="宋体"/>
          <w:szCs w:val="21"/>
        </w:rPr>
      </w:pPr>
      <w:r>
        <w:rPr>
          <w:rFonts w:hint="eastAsia" w:ascii="宋体" w:hAnsi="宋体"/>
          <w:szCs w:val="21"/>
        </w:rPr>
        <w:t>其中：安全文明施工费用预付额度：</w:t>
      </w:r>
      <w:r>
        <w:rPr>
          <w:rFonts w:hint="eastAsia" w:ascii="宋体" w:hAnsi="宋体"/>
          <w:szCs w:val="21"/>
          <w:u w:val="single"/>
        </w:rPr>
        <w:t xml:space="preserve">                                            </w:t>
      </w:r>
      <w:r>
        <w:rPr>
          <w:rFonts w:hint="eastAsia" w:ascii="宋体" w:hAnsi="宋体"/>
          <w:szCs w:val="21"/>
        </w:rPr>
        <w:t>。</w:t>
      </w:r>
    </w:p>
    <w:p w14:paraId="28A29299">
      <w:pPr>
        <w:spacing w:before="93" w:beforeLines="30" w:after="93" w:afterLines="30" w:line="360" w:lineRule="exact"/>
        <w:ind w:firstLine="420" w:firstLineChars="200"/>
        <w:rPr>
          <w:rFonts w:hint="eastAsia" w:ascii="黑体" w:hAnsi="宋体" w:eastAsia="黑体"/>
          <w:szCs w:val="21"/>
        </w:rPr>
      </w:pPr>
      <w:r>
        <w:rPr>
          <w:rFonts w:hint="eastAsia" w:ascii="黑体" w:hAnsi="宋体" w:eastAsia="黑体"/>
          <w:szCs w:val="21"/>
        </w:rPr>
        <w:t>(2)预付办法</w:t>
      </w:r>
    </w:p>
    <w:p w14:paraId="66E3A6E5">
      <w:pPr>
        <w:spacing w:line="420" w:lineRule="exact"/>
        <w:ind w:firstLine="420" w:firstLineChars="200"/>
        <w:rPr>
          <w:rFonts w:hint="eastAsia" w:ascii="宋体" w:hAnsi="宋体"/>
          <w:szCs w:val="21"/>
        </w:rPr>
      </w:pPr>
      <w:r>
        <w:rPr>
          <w:rFonts w:hint="eastAsia" w:ascii="宋体" w:hAnsi="宋体"/>
          <w:szCs w:val="21"/>
        </w:rPr>
        <w:t>预付款预付办法：</w:t>
      </w:r>
      <w:r>
        <w:rPr>
          <w:rFonts w:hint="eastAsia" w:ascii="宋体" w:hAnsi="宋体"/>
          <w:szCs w:val="21"/>
          <w:u w:val="single"/>
        </w:rPr>
        <w:t xml:space="preserve">                                                           </w:t>
      </w:r>
      <w:r>
        <w:rPr>
          <w:rFonts w:hint="eastAsia" w:ascii="宋体" w:hAnsi="宋体"/>
          <w:szCs w:val="21"/>
        </w:rPr>
        <w:t>。</w:t>
      </w:r>
    </w:p>
    <w:p w14:paraId="765F0F6A">
      <w:pPr>
        <w:spacing w:line="420" w:lineRule="exact"/>
        <w:ind w:firstLine="420" w:firstLineChars="200"/>
        <w:rPr>
          <w:rFonts w:hint="eastAsia" w:ascii="宋体" w:hAnsi="宋体"/>
          <w:szCs w:val="21"/>
        </w:rPr>
      </w:pPr>
      <w:r>
        <w:rPr>
          <w:rFonts w:hint="eastAsia" w:ascii="宋体" w:hAnsi="宋体"/>
          <w:szCs w:val="21"/>
        </w:rPr>
        <w:t>预付款的支付时间：</w:t>
      </w:r>
      <w:r>
        <w:rPr>
          <w:rFonts w:hint="eastAsia" w:ascii="宋体" w:hAnsi="宋体"/>
          <w:szCs w:val="21"/>
          <w:u w:val="single"/>
        </w:rPr>
        <w:t xml:space="preserve">                                                         </w:t>
      </w:r>
      <w:r>
        <w:rPr>
          <w:rFonts w:hint="eastAsia" w:ascii="宋体" w:hAnsi="宋体"/>
          <w:szCs w:val="21"/>
        </w:rPr>
        <w:t>。</w:t>
      </w:r>
    </w:p>
    <w:p w14:paraId="745C6937">
      <w:pPr>
        <w:spacing w:line="420" w:lineRule="exact"/>
        <w:ind w:firstLine="420" w:firstLineChars="200"/>
        <w:rPr>
          <w:rFonts w:hint="eastAsia" w:ascii="宋体" w:hAnsi="宋体"/>
          <w:szCs w:val="21"/>
        </w:rPr>
      </w:pPr>
      <w:r>
        <w:rPr>
          <w:rFonts w:hint="eastAsia" w:ascii="宋体" w:hAnsi="宋体"/>
          <w:szCs w:val="21"/>
        </w:rPr>
        <w:t>安全文明施工费用的预付不受上述预付办法和支付时间约定的制约，发包人应当在不迟于通用合同条款第11.1.1项约定的开工日期前的7天内将安全文明施工费用的预付款一次性拨付给承包人。</w:t>
      </w:r>
    </w:p>
    <w:p w14:paraId="4ECE350D">
      <w:pPr>
        <w:spacing w:line="420" w:lineRule="exact"/>
        <w:ind w:firstLine="420" w:firstLineChars="200"/>
        <w:rPr>
          <w:rFonts w:hint="eastAsia" w:ascii="宋体" w:hAnsi="宋体"/>
          <w:szCs w:val="21"/>
        </w:rPr>
      </w:pPr>
      <w:r>
        <w:rPr>
          <w:rFonts w:hint="eastAsia" w:ascii="宋体" w:hAnsi="宋体"/>
          <w:szCs w:val="21"/>
        </w:rPr>
        <w:t>发包人逾期支付合同约定的预付款，除承担通用合同条款第22.2款约定的违约责任外，还应向承包人支付按专用合同条款第17.3.3(2)目约定的标准和方法计算的逾期付款违约金。</w:t>
      </w:r>
    </w:p>
    <w:p w14:paraId="12615E42">
      <w:pPr>
        <w:spacing w:before="93" w:beforeLines="30" w:after="93" w:afterLines="30" w:line="360" w:lineRule="exact"/>
        <w:ind w:firstLine="420" w:firstLineChars="200"/>
        <w:rPr>
          <w:rFonts w:hint="eastAsia" w:ascii="黑体" w:hAnsi="宋体" w:eastAsia="黑体"/>
          <w:szCs w:val="21"/>
        </w:rPr>
      </w:pPr>
      <w:r>
        <w:rPr>
          <w:rFonts w:hint="eastAsia" w:ascii="黑体" w:hAnsi="宋体" w:eastAsia="黑体"/>
          <w:szCs w:val="21"/>
        </w:rPr>
        <w:t>17.2.2预付款保函</w:t>
      </w:r>
    </w:p>
    <w:p w14:paraId="79CE42A8">
      <w:pPr>
        <w:spacing w:line="420" w:lineRule="exact"/>
        <w:ind w:firstLine="420" w:firstLineChars="200"/>
        <w:rPr>
          <w:rFonts w:hint="eastAsia" w:ascii="宋体" w:hAnsi="宋体"/>
          <w:szCs w:val="21"/>
          <w:u w:val="single"/>
        </w:rPr>
      </w:pPr>
      <w:r>
        <w:rPr>
          <w:rFonts w:hint="eastAsia" w:ascii="宋体" w:hAnsi="宋体"/>
          <w:szCs w:val="21"/>
        </w:rPr>
        <w:t>预付款保函的金额与预付款金额相同。预付款保函的提交时间：</w:t>
      </w:r>
      <w:r>
        <w:rPr>
          <w:rFonts w:hint="eastAsia" w:ascii="宋体" w:hAnsi="宋体"/>
          <w:szCs w:val="21"/>
          <w:u w:val="single"/>
        </w:rPr>
        <w:t xml:space="preserve">                     </w:t>
      </w:r>
    </w:p>
    <w:p w14:paraId="492C021F">
      <w:pPr>
        <w:spacing w:line="420" w:lineRule="exact"/>
        <w:rPr>
          <w:rFonts w:hint="eastAsia" w:ascii="宋体" w:hAnsi="宋体"/>
          <w:b/>
          <w:szCs w:val="21"/>
        </w:rPr>
      </w:pPr>
      <w:r>
        <w:rPr>
          <w:rFonts w:hint="eastAsia" w:ascii="宋体" w:hAnsi="宋体"/>
          <w:szCs w:val="21"/>
          <w:u w:val="single"/>
        </w:rPr>
        <w:t xml:space="preserve">                                                                              </w:t>
      </w:r>
      <w:r>
        <w:rPr>
          <w:rFonts w:hint="eastAsia" w:ascii="宋体" w:hAnsi="宋体"/>
          <w:szCs w:val="21"/>
        </w:rPr>
        <w:t>。</w:t>
      </w:r>
    </w:p>
    <w:p w14:paraId="5817CBCB">
      <w:pPr>
        <w:spacing w:line="420" w:lineRule="exact"/>
        <w:ind w:firstLine="420" w:firstLineChars="200"/>
        <w:rPr>
          <w:rFonts w:hint="eastAsia" w:ascii="宋体" w:hAnsi="宋体"/>
          <w:szCs w:val="21"/>
        </w:rPr>
      </w:pPr>
      <w:r>
        <w:rPr>
          <w:rFonts w:hint="eastAsia" w:ascii="宋体" w:hAnsi="宋体"/>
          <w:szCs w:val="21"/>
        </w:rPr>
        <w:t>预付款保函的担保金额应当根据预付款扣回的金额递减，保函条款中可以设立担保金额递减的条款。发包人在签认每一期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该经过递减的担保金额为预付款保函担保金额。</w:t>
      </w:r>
    </w:p>
    <w:p w14:paraId="28BCA95E">
      <w:pPr>
        <w:spacing w:before="93" w:beforeLines="30" w:after="93" w:afterLines="30" w:line="360" w:lineRule="exact"/>
        <w:ind w:firstLine="420" w:firstLineChars="200"/>
        <w:rPr>
          <w:rFonts w:hint="eastAsia" w:ascii="黑体" w:hAnsi="宋体" w:eastAsia="黑体"/>
          <w:szCs w:val="21"/>
        </w:rPr>
      </w:pPr>
      <w:r>
        <w:rPr>
          <w:rFonts w:hint="eastAsia" w:ascii="黑体" w:hAnsi="宋体" w:eastAsia="黑体"/>
          <w:szCs w:val="21"/>
        </w:rPr>
        <w:t>17.2.3预付款的扣回与还清</w:t>
      </w:r>
    </w:p>
    <w:p w14:paraId="35F7419E">
      <w:pPr>
        <w:spacing w:line="420" w:lineRule="exact"/>
        <w:ind w:firstLine="420" w:firstLineChars="200"/>
        <w:rPr>
          <w:rFonts w:hint="eastAsia" w:ascii="宋体" w:hAnsi="宋体"/>
          <w:szCs w:val="21"/>
        </w:rPr>
      </w:pPr>
      <w:r>
        <w:rPr>
          <w:rFonts w:hint="eastAsia" w:ascii="宋体" w:hAnsi="宋体"/>
          <w:szCs w:val="21"/>
        </w:rPr>
        <w:t>预付款的扣回办法：</w:t>
      </w:r>
      <w:r>
        <w:rPr>
          <w:rFonts w:hint="eastAsia" w:ascii="宋体" w:hAnsi="宋体"/>
          <w:szCs w:val="21"/>
          <w:u w:val="single"/>
        </w:rPr>
        <w:t xml:space="preserve">                                                         </w:t>
      </w:r>
      <w:r>
        <w:rPr>
          <w:rFonts w:hint="eastAsia" w:ascii="宋体" w:hAnsi="宋体"/>
          <w:szCs w:val="21"/>
        </w:rPr>
        <w:t>。</w:t>
      </w:r>
    </w:p>
    <w:p w14:paraId="67724911">
      <w:pPr>
        <w:spacing w:before="93" w:beforeLines="30" w:after="93" w:afterLines="30" w:line="360" w:lineRule="exact"/>
        <w:ind w:firstLine="420" w:firstLineChars="200"/>
        <w:rPr>
          <w:rFonts w:hint="eastAsia" w:ascii="黑体" w:hAnsi="宋体" w:eastAsia="黑体"/>
          <w:szCs w:val="21"/>
        </w:rPr>
      </w:pPr>
      <w:r>
        <w:rPr>
          <w:rFonts w:hint="eastAsia" w:ascii="黑体" w:hAnsi="宋体" w:eastAsia="黑体"/>
          <w:szCs w:val="21"/>
        </w:rPr>
        <w:t>17.2.4预付款保函的格式</w:t>
      </w:r>
    </w:p>
    <w:p w14:paraId="76F71261">
      <w:pPr>
        <w:spacing w:line="390" w:lineRule="exact"/>
        <w:ind w:firstLine="420" w:firstLineChars="200"/>
        <w:rPr>
          <w:rFonts w:hint="eastAsia" w:ascii="宋体" w:hAnsi="宋体"/>
          <w:szCs w:val="21"/>
        </w:rPr>
      </w:pPr>
      <w:r>
        <w:rPr>
          <w:rFonts w:hint="eastAsia" w:ascii="宋体" w:hAnsi="宋体"/>
          <w:szCs w:val="21"/>
        </w:rPr>
        <w:t>承包人应当按照专用合同条款第17.2.2项约定的金额和时间以及发包人在本工程招标文件中规定的或者其他经过发包人事先认可的格式向发包人递交一份无条件兑付的和不可撤销的预付款保函。</w:t>
      </w:r>
    </w:p>
    <w:p w14:paraId="7E79DEA8">
      <w:pPr>
        <w:spacing w:line="420" w:lineRule="exact"/>
        <w:ind w:firstLine="420" w:firstLineChars="200"/>
        <w:rPr>
          <w:rFonts w:hint="eastAsia" w:ascii="黑体" w:hAnsi="宋体" w:eastAsia="黑体"/>
          <w:szCs w:val="21"/>
        </w:rPr>
      </w:pPr>
      <w:r>
        <w:rPr>
          <w:rFonts w:hint="eastAsia" w:ascii="黑体" w:hAnsi="宋体" w:eastAsia="黑体"/>
          <w:szCs w:val="21"/>
        </w:rPr>
        <w:t>17.2.5预付款保函的有效期</w:t>
      </w:r>
    </w:p>
    <w:p w14:paraId="4052D445">
      <w:pPr>
        <w:spacing w:line="390" w:lineRule="exact"/>
        <w:ind w:firstLine="420" w:firstLineChars="200"/>
        <w:rPr>
          <w:rFonts w:hint="eastAsia" w:ascii="宋体" w:hAnsi="宋体"/>
          <w:szCs w:val="21"/>
        </w:rPr>
      </w:pPr>
      <w:r>
        <w:rPr>
          <w:rFonts w:hint="eastAsia" w:ascii="宋体" w:hAnsi="宋体"/>
          <w:szCs w:val="21"/>
        </w:rPr>
        <w:t>预付款保函的有效期应当自预付款支付给承包人之日起至发包人签认的进度付款证书说明预付款已完全扣清之日止。</w:t>
      </w:r>
    </w:p>
    <w:p w14:paraId="608554A9">
      <w:pPr>
        <w:spacing w:line="420" w:lineRule="exact"/>
        <w:ind w:firstLine="420" w:firstLineChars="200"/>
        <w:rPr>
          <w:rFonts w:hint="eastAsia" w:ascii="黑体" w:hAnsi="宋体" w:eastAsia="黑体"/>
          <w:szCs w:val="21"/>
        </w:rPr>
      </w:pPr>
      <w:r>
        <w:rPr>
          <w:rFonts w:hint="eastAsia" w:ascii="黑体" w:hAnsi="宋体" w:eastAsia="黑体"/>
          <w:szCs w:val="21"/>
        </w:rPr>
        <w:t>17.2.6发包人的通知义务</w:t>
      </w:r>
    </w:p>
    <w:p w14:paraId="6FC483D8">
      <w:pPr>
        <w:spacing w:line="390" w:lineRule="exact"/>
        <w:ind w:firstLine="420" w:firstLineChars="200"/>
        <w:rPr>
          <w:rFonts w:hint="eastAsia" w:ascii="宋体" w:hAnsi="宋体"/>
          <w:szCs w:val="21"/>
        </w:rPr>
      </w:pPr>
      <w:r>
        <w:rPr>
          <w:rFonts w:hint="eastAsia" w:ascii="宋体" w:hAnsi="宋体"/>
          <w:szCs w:val="21"/>
        </w:rPr>
        <w:t>不管保函条款中如何约定，发包人根据担保提出索赔或兑现要求之前，均应通知承包人并说明导致此类索赔或兑现的原因，但此类通知不应理解为是在任何意义上寻求承包人的同意。</w:t>
      </w:r>
    </w:p>
    <w:p w14:paraId="41E0E5C5">
      <w:pPr>
        <w:spacing w:line="420" w:lineRule="exact"/>
        <w:ind w:firstLine="420" w:firstLineChars="200"/>
        <w:rPr>
          <w:rFonts w:hint="eastAsia" w:ascii="黑体" w:hAnsi="宋体" w:eastAsia="黑体"/>
          <w:szCs w:val="21"/>
        </w:rPr>
      </w:pPr>
      <w:r>
        <w:rPr>
          <w:rFonts w:hint="eastAsia" w:ascii="黑体" w:hAnsi="宋体" w:eastAsia="黑体"/>
          <w:szCs w:val="21"/>
        </w:rPr>
        <w:t>17.2.7预付款保函的退还</w:t>
      </w:r>
    </w:p>
    <w:p w14:paraId="07D04C41">
      <w:pPr>
        <w:spacing w:line="390" w:lineRule="exact"/>
        <w:ind w:firstLine="420" w:firstLineChars="200"/>
        <w:rPr>
          <w:rFonts w:hint="eastAsia" w:ascii="宋体" w:hAnsi="宋体"/>
          <w:szCs w:val="21"/>
        </w:rPr>
      </w:pPr>
      <w:r>
        <w:rPr>
          <w:rFonts w:hint="eastAsia" w:ascii="宋体" w:hAnsi="宋体"/>
          <w:szCs w:val="21"/>
        </w:rPr>
        <w:t>预付款保函应在发包人签认的进度付款证书说明预付款已完全扣清之日后14天内退还给承包人。发包人不承担承包人与预付款保函有关的任何利息或其它类似的费用或者收益。</w:t>
      </w:r>
    </w:p>
    <w:p w14:paraId="747792D2">
      <w:pPr>
        <w:pStyle w:val="20"/>
        <w:rPr>
          <w:rFonts w:hint="eastAsia"/>
        </w:rPr>
      </w:pPr>
      <w:bookmarkStart w:id="1301" w:name="_Toc108513906"/>
      <w:r>
        <w:rPr>
          <w:rFonts w:hint="eastAsia"/>
        </w:rPr>
        <w:t>17.3工程进度付款</w:t>
      </w:r>
      <w:bookmarkEnd w:id="1301"/>
    </w:p>
    <w:p w14:paraId="2D89D9CE">
      <w:pPr>
        <w:spacing w:line="420" w:lineRule="exact"/>
        <w:ind w:firstLine="420" w:firstLineChars="200"/>
        <w:rPr>
          <w:rFonts w:hint="eastAsia" w:ascii="黑体" w:hAnsi="宋体" w:eastAsia="黑体"/>
          <w:szCs w:val="21"/>
        </w:rPr>
      </w:pPr>
      <w:r>
        <w:rPr>
          <w:rFonts w:hint="eastAsia" w:ascii="黑体" w:hAnsi="宋体" w:eastAsia="黑体"/>
          <w:szCs w:val="21"/>
        </w:rPr>
        <w:t>17.3.2进度付款申请单</w:t>
      </w:r>
    </w:p>
    <w:p w14:paraId="35CC87F1">
      <w:pPr>
        <w:spacing w:line="400" w:lineRule="exact"/>
        <w:ind w:firstLine="420" w:firstLineChars="200"/>
        <w:rPr>
          <w:rFonts w:hint="eastAsia" w:ascii="宋体" w:hAnsi="宋体"/>
          <w:szCs w:val="21"/>
        </w:rPr>
      </w:pPr>
      <w:r>
        <w:rPr>
          <w:rFonts w:hint="eastAsia" w:ascii="宋体" w:hAnsi="宋体"/>
          <w:szCs w:val="21"/>
        </w:rPr>
        <w:t>进度付款申请单的份数：</w:t>
      </w:r>
      <w:r>
        <w:rPr>
          <w:rFonts w:hint="eastAsia" w:ascii="宋体" w:hAnsi="宋体"/>
          <w:szCs w:val="21"/>
          <w:u w:val="single"/>
        </w:rPr>
        <w:t xml:space="preserve">                                                     </w:t>
      </w:r>
      <w:r>
        <w:rPr>
          <w:rFonts w:hint="eastAsia" w:ascii="宋体" w:hAnsi="宋体"/>
          <w:szCs w:val="21"/>
        </w:rPr>
        <w:t>。</w:t>
      </w:r>
    </w:p>
    <w:p w14:paraId="1B9C9B57">
      <w:pPr>
        <w:spacing w:line="400" w:lineRule="exact"/>
        <w:ind w:firstLine="420" w:firstLineChars="200"/>
        <w:rPr>
          <w:rFonts w:hint="eastAsia" w:ascii="宋体" w:hAnsi="宋体"/>
          <w:szCs w:val="21"/>
        </w:rPr>
      </w:pPr>
      <w:r>
        <w:rPr>
          <w:rFonts w:hint="eastAsia" w:ascii="宋体" w:hAnsi="宋体"/>
          <w:szCs w:val="21"/>
        </w:rPr>
        <w:t>进度付款申请单的内容：</w:t>
      </w:r>
      <w:r>
        <w:rPr>
          <w:rFonts w:hint="eastAsia" w:ascii="宋体" w:hAnsi="宋体"/>
          <w:szCs w:val="21"/>
          <w:u w:val="single"/>
        </w:rPr>
        <w:t xml:space="preserve">                                                     </w:t>
      </w:r>
      <w:r>
        <w:rPr>
          <w:rFonts w:hint="eastAsia" w:ascii="宋体" w:hAnsi="宋体"/>
          <w:szCs w:val="21"/>
        </w:rPr>
        <w:t>。</w:t>
      </w:r>
    </w:p>
    <w:p w14:paraId="419BEA6B">
      <w:pPr>
        <w:spacing w:line="420" w:lineRule="exact"/>
        <w:ind w:firstLine="420" w:firstLineChars="200"/>
        <w:rPr>
          <w:rFonts w:hint="eastAsia" w:ascii="黑体" w:hAnsi="宋体" w:eastAsia="黑体"/>
          <w:szCs w:val="21"/>
        </w:rPr>
      </w:pPr>
      <w:r>
        <w:rPr>
          <w:rFonts w:hint="eastAsia" w:ascii="黑体" w:hAnsi="宋体" w:eastAsia="黑体"/>
          <w:szCs w:val="21"/>
        </w:rPr>
        <w:t>17.3.3进度付款证书和支付时间</w:t>
      </w:r>
    </w:p>
    <w:p w14:paraId="1D65D101">
      <w:pPr>
        <w:spacing w:line="390" w:lineRule="exact"/>
        <w:ind w:firstLine="420" w:firstLineChars="200"/>
        <w:rPr>
          <w:rFonts w:hint="eastAsia" w:ascii="宋体" w:hAnsi="宋体"/>
          <w:szCs w:val="21"/>
        </w:rPr>
      </w:pPr>
      <w:r>
        <w:rPr>
          <w:rFonts w:hint="eastAsia" w:ascii="宋体" w:hAnsi="宋体"/>
          <w:szCs w:val="21"/>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14:paraId="37B0C863">
      <w:pPr>
        <w:spacing w:line="390" w:lineRule="exact"/>
        <w:ind w:firstLine="420" w:firstLineChars="200"/>
        <w:rPr>
          <w:rFonts w:hint="eastAsia" w:ascii="宋体" w:hAnsi="宋体"/>
          <w:szCs w:val="21"/>
        </w:rPr>
      </w:pPr>
      <w:r>
        <w:rPr>
          <w:rFonts w:hint="eastAsia" w:ascii="宋体" w:hAnsi="宋体"/>
          <w:szCs w:val="21"/>
        </w:rPr>
        <w:t>逾期付款违约金的计算标准为：</w:t>
      </w:r>
      <w:r>
        <w:rPr>
          <w:rFonts w:hint="eastAsia" w:ascii="宋体" w:hAnsi="宋体"/>
          <w:szCs w:val="21"/>
          <w:u w:val="single"/>
        </w:rPr>
        <w:t xml:space="preserve">                                                </w:t>
      </w:r>
      <w:r>
        <w:rPr>
          <w:rFonts w:hint="eastAsia" w:ascii="宋体" w:hAnsi="宋体"/>
          <w:szCs w:val="21"/>
        </w:rPr>
        <w:t>。</w:t>
      </w:r>
    </w:p>
    <w:p w14:paraId="38C88103">
      <w:pPr>
        <w:spacing w:line="390" w:lineRule="exact"/>
        <w:ind w:firstLine="420" w:firstLineChars="200"/>
        <w:rPr>
          <w:rFonts w:hint="eastAsia" w:ascii="宋体" w:hAnsi="宋体"/>
          <w:szCs w:val="21"/>
          <w:u w:val="single"/>
        </w:rPr>
      </w:pPr>
      <w:r>
        <w:rPr>
          <w:rFonts w:hint="eastAsia" w:ascii="宋体" w:hAnsi="宋体"/>
          <w:szCs w:val="21"/>
        </w:rPr>
        <w:t>逾期付款违约金的计算方法为：</w:t>
      </w:r>
      <w:r>
        <w:rPr>
          <w:rFonts w:hint="eastAsia" w:ascii="宋体" w:hAnsi="宋体"/>
          <w:szCs w:val="21"/>
          <w:u w:val="single"/>
        </w:rPr>
        <w:t xml:space="preserve">                                                 </w:t>
      </w:r>
    </w:p>
    <w:p w14:paraId="2438F36B">
      <w:pPr>
        <w:spacing w:line="390" w:lineRule="exact"/>
        <w:ind w:firstLine="420" w:firstLineChars="200"/>
        <w:rPr>
          <w:rFonts w:hint="eastAsia" w:ascii="宋体" w:hAnsi="宋体"/>
          <w:szCs w:val="21"/>
          <w:u w:val="single"/>
        </w:rPr>
      </w:pPr>
      <w:r>
        <w:rPr>
          <w:rFonts w:hint="eastAsia" w:ascii="宋体" w:hAnsi="宋体"/>
          <w:szCs w:val="21"/>
          <w:u w:val="single"/>
        </w:rPr>
        <w:t xml:space="preserve">                                                                          </w:t>
      </w:r>
      <w:r>
        <w:rPr>
          <w:rFonts w:hint="eastAsia" w:ascii="宋体" w:hAnsi="宋体"/>
          <w:szCs w:val="21"/>
        </w:rPr>
        <w:t>。</w:t>
      </w:r>
    </w:p>
    <w:p w14:paraId="5826A687">
      <w:pPr>
        <w:spacing w:line="390" w:lineRule="exact"/>
        <w:ind w:firstLine="420" w:firstLineChars="200"/>
        <w:rPr>
          <w:rFonts w:hint="eastAsia" w:ascii="宋体" w:hAnsi="宋体"/>
          <w:szCs w:val="21"/>
        </w:rPr>
      </w:pPr>
      <w:r>
        <w:rPr>
          <w:rFonts w:hint="eastAsia" w:ascii="宋体" w:hAnsi="宋体"/>
          <w:szCs w:val="21"/>
        </w:rPr>
        <w:t>(4)进度付款涉及政府性资金的支付方法：</w:t>
      </w:r>
      <w:r>
        <w:rPr>
          <w:rFonts w:hint="eastAsia" w:ascii="宋体" w:hAnsi="宋体"/>
          <w:szCs w:val="21"/>
          <w:u w:val="single"/>
        </w:rPr>
        <w:t xml:space="preserve">                                      </w:t>
      </w:r>
      <w:r>
        <w:rPr>
          <w:rFonts w:hint="eastAsia" w:ascii="宋体" w:hAnsi="宋体"/>
          <w:szCs w:val="21"/>
        </w:rPr>
        <w:t>。</w:t>
      </w:r>
    </w:p>
    <w:p w14:paraId="1FC263A6">
      <w:pPr>
        <w:spacing w:line="420" w:lineRule="exact"/>
        <w:ind w:firstLine="420" w:firstLineChars="200"/>
        <w:rPr>
          <w:rFonts w:hint="eastAsia" w:ascii="黑体" w:hAnsi="宋体" w:eastAsia="黑体"/>
          <w:szCs w:val="21"/>
        </w:rPr>
      </w:pPr>
      <w:r>
        <w:rPr>
          <w:rFonts w:hint="eastAsia" w:ascii="黑体" w:hAnsi="宋体" w:eastAsia="黑体"/>
          <w:szCs w:val="21"/>
        </w:rPr>
        <w:t>17.3.5临时付款证书</w:t>
      </w:r>
    </w:p>
    <w:p w14:paraId="3EDE81A0">
      <w:pPr>
        <w:spacing w:line="390" w:lineRule="exact"/>
        <w:ind w:firstLine="420" w:firstLineChars="200"/>
        <w:rPr>
          <w:rFonts w:hint="eastAsia" w:ascii="宋体" w:hAnsi="宋体"/>
          <w:szCs w:val="21"/>
        </w:rPr>
      </w:pPr>
      <w:r>
        <w:rPr>
          <w:rFonts w:hint="eastAsia" w:ascii="宋体" w:hAnsi="宋体"/>
          <w:szCs w:val="21"/>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14:paraId="4E20307D">
      <w:pPr>
        <w:spacing w:line="390" w:lineRule="exact"/>
        <w:ind w:firstLine="420" w:firstLineChars="200"/>
        <w:rPr>
          <w:rFonts w:hint="eastAsia" w:ascii="宋体" w:hAnsi="宋体"/>
          <w:szCs w:val="21"/>
        </w:rPr>
      </w:pPr>
      <w:r>
        <w:rPr>
          <w:rFonts w:hint="eastAsia" w:ascii="宋体" w:hAnsi="宋体"/>
          <w:szCs w:val="21"/>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14:paraId="6BF25187">
      <w:pPr>
        <w:spacing w:line="390" w:lineRule="exact"/>
        <w:ind w:firstLine="420" w:firstLineChars="200"/>
        <w:rPr>
          <w:rFonts w:hint="eastAsia" w:ascii="宋体" w:hAnsi="宋体"/>
          <w:szCs w:val="21"/>
        </w:rPr>
      </w:pPr>
      <w:r>
        <w:rPr>
          <w:rFonts w:hint="eastAsia" w:ascii="宋体" w:hAnsi="宋体"/>
          <w:szCs w:val="21"/>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14:paraId="2341A08A">
      <w:pPr>
        <w:pStyle w:val="20"/>
        <w:rPr>
          <w:rFonts w:hint="eastAsia"/>
        </w:rPr>
      </w:pPr>
      <w:bookmarkStart w:id="1302" w:name="_Toc108513907"/>
      <w:r>
        <w:rPr>
          <w:rFonts w:hint="eastAsia"/>
        </w:rPr>
        <w:t>17.4质量保证金</w:t>
      </w:r>
      <w:bookmarkEnd w:id="1302"/>
    </w:p>
    <w:p w14:paraId="0006AE6A">
      <w:pPr>
        <w:spacing w:line="390" w:lineRule="exact"/>
        <w:ind w:firstLine="420" w:firstLineChars="200"/>
        <w:rPr>
          <w:rFonts w:hint="eastAsia" w:ascii="宋体" w:hAnsi="宋体"/>
          <w:szCs w:val="21"/>
        </w:rPr>
      </w:pPr>
      <w:r>
        <w:rPr>
          <w:rFonts w:hint="eastAsia" w:ascii="宋体" w:hAnsi="宋体"/>
          <w:szCs w:val="21"/>
        </w:rPr>
        <w:t>17.4.1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百分之一点五(1.5％)扣留，直至质量保证金累计扣留金额达到签约合同价的百分之一点五(1.5％)为止。</w:t>
      </w:r>
    </w:p>
    <w:p w14:paraId="4A2FF7CE">
      <w:pPr>
        <w:pStyle w:val="20"/>
        <w:rPr>
          <w:rFonts w:hint="eastAsia"/>
        </w:rPr>
      </w:pPr>
      <w:bookmarkStart w:id="1303" w:name="_Toc108513908"/>
      <w:r>
        <w:rPr>
          <w:rFonts w:hint="eastAsia"/>
        </w:rPr>
        <w:t>17.5竣工结算</w:t>
      </w:r>
      <w:bookmarkEnd w:id="1303"/>
    </w:p>
    <w:p w14:paraId="66D96439">
      <w:pPr>
        <w:spacing w:line="390" w:lineRule="exact"/>
        <w:ind w:firstLine="420" w:firstLineChars="200"/>
        <w:rPr>
          <w:rFonts w:hint="eastAsia" w:ascii="黑体" w:hAnsi="宋体" w:eastAsia="黑体"/>
          <w:szCs w:val="21"/>
        </w:rPr>
      </w:pPr>
      <w:r>
        <w:rPr>
          <w:rFonts w:hint="eastAsia" w:ascii="黑体" w:hAnsi="宋体" w:eastAsia="黑体"/>
          <w:szCs w:val="21"/>
        </w:rPr>
        <w:t>17.5.1竣工付款申请单</w:t>
      </w:r>
    </w:p>
    <w:p w14:paraId="03A26D85">
      <w:pPr>
        <w:spacing w:line="390" w:lineRule="exact"/>
        <w:ind w:firstLine="420" w:firstLineChars="200"/>
        <w:rPr>
          <w:rFonts w:hint="eastAsia" w:ascii="宋体" w:hAnsi="宋体"/>
          <w:szCs w:val="21"/>
        </w:rPr>
      </w:pPr>
      <w:r>
        <w:rPr>
          <w:rFonts w:hint="eastAsia" w:ascii="宋体" w:hAnsi="宋体"/>
          <w:szCs w:val="21"/>
        </w:rPr>
        <w:t>承包人提交竣工付款申请单的份数：</w:t>
      </w:r>
      <w:r>
        <w:rPr>
          <w:rFonts w:hint="eastAsia" w:ascii="宋体" w:hAnsi="宋体"/>
          <w:szCs w:val="21"/>
          <w:u w:val="single"/>
        </w:rPr>
        <w:t xml:space="preserve">                                           </w:t>
      </w:r>
      <w:r>
        <w:rPr>
          <w:rFonts w:hint="eastAsia" w:ascii="宋体" w:hAnsi="宋体"/>
          <w:szCs w:val="21"/>
        </w:rPr>
        <w:t>。</w:t>
      </w:r>
    </w:p>
    <w:p w14:paraId="7411FB29">
      <w:pPr>
        <w:spacing w:line="390" w:lineRule="exact"/>
        <w:ind w:firstLine="420" w:firstLineChars="200"/>
        <w:rPr>
          <w:rFonts w:hint="eastAsia" w:ascii="宋体" w:hAnsi="宋体"/>
          <w:szCs w:val="21"/>
        </w:rPr>
      </w:pPr>
      <w:r>
        <w:rPr>
          <w:rFonts w:hint="eastAsia" w:ascii="宋体" w:hAnsi="宋体"/>
          <w:szCs w:val="21"/>
        </w:rPr>
        <w:t>承包人提交竣工付款申请单的期限：</w:t>
      </w:r>
      <w:r>
        <w:rPr>
          <w:rFonts w:hint="eastAsia" w:ascii="宋体" w:hAnsi="宋体"/>
          <w:szCs w:val="21"/>
          <w:u w:val="single"/>
        </w:rPr>
        <w:t xml:space="preserve">                                           </w:t>
      </w:r>
      <w:r>
        <w:rPr>
          <w:rFonts w:hint="eastAsia" w:ascii="宋体" w:hAnsi="宋体"/>
          <w:szCs w:val="21"/>
        </w:rPr>
        <w:t>。</w:t>
      </w:r>
    </w:p>
    <w:p w14:paraId="2176E02E">
      <w:pPr>
        <w:spacing w:line="390" w:lineRule="exact"/>
        <w:ind w:firstLine="420" w:firstLineChars="200"/>
        <w:rPr>
          <w:rFonts w:hint="eastAsia" w:ascii="宋体" w:hAnsi="宋体"/>
          <w:szCs w:val="21"/>
        </w:rPr>
      </w:pPr>
      <w:r>
        <w:rPr>
          <w:rFonts w:hint="eastAsia" w:ascii="宋体" w:hAnsi="宋体"/>
          <w:szCs w:val="21"/>
        </w:rPr>
        <w:t>竣工付款申请单的内容：</w:t>
      </w:r>
      <w:r>
        <w:rPr>
          <w:rFonts w:hint="eastAsia" w:ascii="宋体" w:hAnsi="宋体"/>
          <w:szCs w:val="21"/>
          <w:u w:val="single"/>
        </w:rPr>
        <w:t xml:space="preserve">                                                     </w:t>
      </w:r>
      <w:r>
        <w:rPr>
          <w:rFonts w:hint="eastAsia" w:ascii="宋体" w:hAnsi="宋体"/>
          <w:szCs w:val="21"/>
        </w:rPr>
        <w:t>。</w:t>
      </w:r>
    </w:p>
    <w:p w14:paraId="1EC6166D">
      <w:pPr>
        <w:spacing w:line="390" w:lineRule="exact"/>
        <w:ind w:firstLine="420" w:firstLineChars="200"/>
        <w:rPr>
          <w:rFonts w:hint="eastAsia" w:ascii="宋体" w:hAnsi="宋体"/>
          <w:szCs w:val="21"/>
        </w:rPr>
      </w:pPr>
      <w:r>
        <w:rPr>
          <w:rFonts w:hint="eastAsia" w:ascii="宋体" w:hAnsi="宋体"/>
          <w:szCs w:val="21"/>
        </w:rPr>
        <w:t>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26E1A150">
      <w:pPr>
        <w:spacing w:line="390" w:lineRule="exact"/>
        <w:ind w:firstLine="420" w:firstLineChars="200"/>
        <w:rPr>
          <w:rFonts w:hint="eastAsia" w:ascii="宋体" w:hAnsi="宋体"/>
          <w:szCs w:val="21"/>
        </w:rPr>
      </w:pPr>
      <w:r>
        <w:rPr>
          <w:rFonts w:hint="eastAsia" w:ascii="宋体" w:hAnsi="宋体"/>
          <w:szCs w:val="21"/>
        </w:rPr>
        <w:t>不管通用合同条款17.5.2项如何约定，发包人和承包人应当在监理人颁发(出具)工程接收证书后56天内办清竣工结算和竣工付款。</w:t>
      </w:r>
    </w:p>
    <w:p w14:paraId="7CE7620F">
      <w:pPr>
        <w:pStyle w:val="20"/>
        <w:rPr>
          <w:rFonts w:hint="eastAsia"/>
        </w:rPr>
      </w:pPr>
      <w:bookmarkStart w:id="1304" w:name="_Toc108513909"/>
      <w:r>
        <w:rPr>
          <w:rFonts w:hint="eastAsia"/>
        </w:rPr>
        <w:t>17.6最终结清</w:t>
      </w:r>
      <w:bookmarkEnd w:id="1304"/>
    </w:p>
    <w:p w14:paraId="24309CC3">
      <w:pPr>
        <w:spacing w:line="420" w:lineRule="exact"/>
        <w:ind w:firstLine="420" w:firstLineChars="200"/>
        <w:rPr>
          <w:rFonts w:hint="eastAsia" w:ascii="黑体" w:hAnsi="宋体" w:eastAsia="黑体"/>
          <w:szCs w:val="21"/>
        </w:rPr>
      </w:pPr>
      <w:r>
        <w:rPr>
          <w:rFonts w:hint="eastAsia" w:ascii="黑体" w:hAnsi="宋体" w:eastAsia="黑体"/>
          <w:szCs w:val="21"/>
        </w:rPr>
        <w:t>17.6.1最终结清申请单</w:t>
      </w:r>
    </w:p>
    <w:p w14:paraId="02847307">
      <w:pPr>
        <w:spacing w:line="390" w:lineRule="exact"/>
        <w:ind w:firstLine="420" w:firstLineChars="200"/>
        <w:rPr>
          <w:rFonts w:hint="eastAsia" w:ascii="宋体" w:hAnsi="宋体"/>
          <w:szCs w:val="21"/>
        </w:rPr>
      </w:pPr>
      <w:r>
        <w:rPr>
          <w:rFonts w:hint="eastAsia" w:ascii="宋体" w:hAnsi="宋体"/>
          <w:szCs w:val="21"/>
        </w:rPr>
        <w:t>承包人提交最终结清申请单的份数：</w:t>
      </w:r>
      <w:r>
        <w:rPr>
          <w:rFonts w:hint="eastAsia" w:ascii="宋体" w:hAnsi="宋体"/>
          <w:szCs w:val="21"/>
          <w:u w:val="single"/>
        </w:rPr>
        <w:t xml:space="preserve">                                           </w:t>
      </w:r>
      <w:r>
        <w:rPr>
          <w:rFonts w:hint="eastAsia" w:ascii="宋体" w:hAnsi="宋体"/>
          <w:szCs w:val="21"/>
        </w:rPr>
        <w:t>。</w:t>
      </w:r>
    </w:p>
    <w:p w14:paraId="242FFA95">
      <w:pPr>
        <w:spacing w:line="390" w:lineRule="exact"/>
        <w:ind w:firstLine="420" w:firstLineChars="200"/>
        <w:rPr>
          <w:rFonts w:hint="eastAsia" w:ascii="宋体" w:hAnsi="宋体"/>
          <w:szCs w:val="21"/>
        </w:rPr>
      </w:pPr>
      <w:r>
        <w:rPr>
          <w:rFonts w:hint="eastAsia" w:ascii="宋体" w:hAnsi="宋体"/>
          <w:szCs w:val="21"/>
        </w:rPr>
        <w:t>承包人提交最终结清申请单的期限：</w:t>
      </w:r>
      <w:r>
        <w:rPr>
          <w:rFonts w:hint="eastAsia" w:ascii="宋体" w:hAnsi="宋体"/>
          <w:szCs w:val="21"/>
          <w:u w:val="single"/>
        </w:rPr>
        <w:t xml:space="preserve">                                           </w:t>
      </w:r>
      <w:r>
        <w:rPr>
          <w:rFonts w:hint="eastAsia" w:ascii="宋体" w:hAnsi="宋体"/>
          <w:szCs w:val="21"/>
        </w:rPr>
        <w:t>。</w:t>
      </w:r>
    </w:p>
    <w:p w14:paraId="651D8D5D">
      <w:pPr>
        <w:pStyle w:val="18"/>
        <w:rPr>
          <w:rFonts w:hint="eastAsia"/>
        </w:rPr>
      </w:pPr>
      <w:bookmarkStart w:id="1305" w:name="_Toc108513910"/>
      <w:r>
        <w:rPr>
          <w:rFonts w:hint="eastAsia"/>
        </w:rPr>
        <w:t>18.竣工验收</w:t>
      </w:r>
      <w:bookmarkEnd w:id="1305"/>
    </w:p>
    <w:p w14:paraId="436928DD">
      <w:pPr>
        <w:pStyle w:val="20"/>
        <w:rPr>
          <w:rFonts w:hint="eastAsia"/>
        </w:rPr>
      </w:pPr>
      <w:bookmarkStart w:id="1306" w:name="_Toc108513911"/>
      <w:r>
        <w:rPr>
          <w:rFonts w:hint="eastAsia"/>
        </w:rPr>
        <w:t>18.2竣工验收申请报告</w:t>
      </w:r>
      <w:bookmarkEnd w:id="1306"/>
    </w:p>
    <w:p w14:paraId="23572CC3">
      <w:pPr>
        <w:spacing w:line="390" w:lineRule="exact"/>
        <w:ind w:firstLine="420" w:firstLineChars="200"/>
        <w:rPr>
          <w:rFonts w:hint="eastAsia" w:ascii="宋体" w:hAnsi="宋体"/>
          <w:szCs w:val="21"/>
          <w:u w:val="single"/>
        </w:rPr>
      </w:pPr>
      <w:r>
        <w:rPr>
          <w:rFonts w:hint="eastAsia" w:ascii="宋体" w:hAnsi="宋体"/>
          <w:szCs w:val="21"/>
        </w:rPr>
        <w:t>(2)承包人负责整理和提交的竣工验收资料应当符合工程所在地建设行政主管部门和(或)城市建设档案管理机构有关施工资料的要求，具体内容包括：</w:t>
      </w:r>
      <w:r>
        <w:rPr>
          <w:rFonts w:hint="eastAsia" w:ascii="宋体" w:hAnsi="宋体"/>
          <w:szCs w:val="21"/>
          <w:u w:val="single"/>
        </w:rPr>
        <w:t xml:space="preserve">                           </w:t>
      </w:r>
    </w:p>
    <w:p w14:paraId="1EB45F65">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5241EEEC">
      <w:pPr>
        <w:spacing w:line="390" w:lineRule="exact"/>
        <w:ind w:firstLine="420" w:firstLineChars="200"/>
        <w:rPr>
          <w:rFonts w:hint="eastAsia" w:ascii="宋体" w:hAnsi="宋体"/>
          <w:szCs w:val="21"/>
        </w:rPr>
      </w:pPr>
      <w:r>
        <w:rPr>
          <w:rFonts w:hint="eastAsia" w:ascii="宋体" w:hAnsi="宋体"/>
          <w:szCs w:val="21"/>
        </w:rPr>
        <w:t>竣工验收资料的份数：</w:t>
      </w:r>
      <w:r>
        <w:rPr>
          <w:rFonts w:hint="eastAsia" w:ascii="宋体" w:hAnsi="宋体"/>
          <w:szCs w:val="21"/>
          <w:u w:val="single"/>
        </w:rPr>
        <w:t xml:space="preserve">                                                       </w:t>
      </w:r>
      <w:r>
        <w:rPr>
          <w:rFonts w:hint="eastAsia" w:ascii="宋体" w:hAnsi="宋体"/>
          <w:szCs w:val="21"/>
        </w:rPr>
        <w:t>。</w:t>
      </w:r>
    </w:p>
    <w:p w14:paraId="42C66E0C">
      <w:pPr>
        <w:spacing w:line="390" w:lineRule="exact"/>
        <w:ind w:firstLine="420" w:firstLineChars="200"/>
        <w:rPr>
          <w:rFonts w:hint="eastAsia" w:ascii="宋体" w:hAnsi="宋体"/>
          <w:szCs w:val="21"/>
        </w:rPr>
      </w:pPr>
      <w:r>
        <w:rPr>
          <w:rFonts w:hint="eastAsia" w:ascii="宋体" w:hAnsi="宋体"/>
          <w:szCs w:val="21"/>
        </w:rPr>
        <w:t>竣工验收资料的费用支付方式：</w:t>
      </w:r>
      <w:r>
        <w:rPr>
          <w:rFonts w:hint="eastAsia" w:ascii="宋体" w:hAnsi="宋体"/>
          <w:szCs w:val="21"/>
          <w:u w:val="single"/>
        </w:rPr>
        <w:t xml:space="preserve">                                               </w:t>
      </w:r>
      <w:r>
        <w:rPr>
          <w:rFonts w:hint="eastAsia" w:ascii="宋体" w:hAnsi="宋体"/>
          <w:szCs w:val="21"/>
        </w:rPr>
        <w:t>。</w:t>
      </w:r>
    </w:p>
    <w:p w14:paraId="5FF2DA87">
      <w:pPr>
        <w:pStyle w:val="20"/>
        <w:rPr>
          <w:rFonts w:hint="eastAsia"/>
        </w:rPr>
      </w:pPr>
      <w:bookmarkStart w:id="1307" w:name="_Toc108513912"/>
      <w:r>
        <w:rPr>
          <w:rFonts w:hint="eastAsia"/>
        </w:rPr>
        <w:t>18.3验收</w:t>
      </w:r>
      <w:bookmarkEnd w:id="1307"/>
    </w:p>
    <w:p w14:paraId="4EF71239">
      <w:pPr>
        <w:spacing w:line="390" w:lineRule="exact"/>
        <w:ind w:firstLine="420" w:firstLineChars="200"/>
        <w:rPr>
          <w:rFonts w:hint="eastAsia" w:ascii="宋体" w:hAnsi="宋体"/>
          <w:szCs w:val="21"/>
        </w:rPr>
      </w:pPr>
      <w:r>
        <w:rPr>
          <w:rFonts w:hint="eastAsia" w:ascii="宋体" w:hAnsi="宋体"/>
          <w:szCs w:val="21"/>
        </w:rPr>
        <w:t>18.3.5经验收合格的工程，实际竣工日期为承包人按照第18.2款提交竣工验收申请报告或按照本款重新提交竣工验收申请报告的日期(以两者中时间在后者为准)。</w:t>
      </w:r>
    </w:p>
    <w:p w14:paraId="264E5C6F">
      <w:pPr>
        <w:pStyle w:val="20"/>
        <w:rPr>
          <w:rFonts w:hint="eastAsia"/>
        </w:rPr>
      </w:pPr>
      <w:bookmarkStart w:id="1308" w:name="_Toc108513913"/>
      <w:r>
        <w:rPr>
          <w:rFonts w:hint="eastAsia"/>
        </w:rPr>
        <w:t>18.5施工期运行</w:t>
      </w:r>
      <w:bookmarkEnd w:id="1308"/>
    </w:p>
    <w:p w14:paraId="0C3934C1">
      <w:pPr>
        <w:spacing w:line="390" w:lineRule="exact"/>
        <w:ind w:firstLine="420" w:firstLineChars="200"/>
        <w:rPr>
          <w:rFonts w:hint="eastAsia" w:ascii="宋体" w:hAnsi="宋体"/>
          <w:szCs w:val="21"/>
        </w:rPr>
      </w:pPr>
      <w:r>
        <w:rPr>
          <w:rFonts w:hint="eastAsia" w:ascii="宋体" w:hAnsi="宋体"/>
          <w:szCs w:val="21"/>
        </w:rPr>
        <w:t>18.5.1需要施工期运行的单位工程或设备安装工程：</w:t>
      </w:r>
      <w:r>
        <w:rPr>
          <w:rFonts w:hint="eastAsia" w:ascii="宋体" w:hAnsi="宋体"/>
          <w:szCs w:val="21"/>
          <w:u w:val="single"/>
        </w:rPr>
        <w:t xml:space="preserve">                              </w:t>
      </w:r>
      <w:r>
        <w:rPr>
          <w:rFonts w:hint="eastAsia" w:ascii="宋体" w:hAnsi="宋体"/>
          <w:szCs w:val="21"/>
        </w:rPr>
        <w:t>。</w:t>
      </w:r>
    </w:p>
    <w:p w14:paraId="5F028E07">
      <w:pPr>
        <w:pStyle w:val="20"/>
        <w:rPr>
          <w:rFonts w:hint="eastAsia"/>
        </w:rPr>
      </w:pPr>
      <w:bookmarkStart w:id="1309" w:name="_Toc108513914"/>
      <w:r>
        <w:rPr>
          <w:rFonts w:hint="eastAsia"/>
        </w:rPr>
        <w:t>18.6试运行</w:t>
      </w:r>
      <w:bookmarkEnd w:id="1309"/>
    </w:p>
    <w:p w14:paraId="3C3F8ECC">
      <w:pPr>
        <w:spacing w:line="390" w:lineRule="exact"/>
        <w:ind w:firstLine="420" w:firstLineChars="200"/>
        <w:rPr>
          <w:rFonts w:hint="eastAsia" w:ascii="宋体" w:hAnsi="宋体"/>
          <w:szCs w:val="21"/>
        </w:rPr>
      </w:pPr>
      <w:r>
        <w:rPr>
          <w:rFonts w:hint="eastAsia" w:ascii="宋体" w:hAnsi="宋体"/>
          <w:szCs w:val="21"/>
        </w:rPr>
        <w:t>18.6.1工程及工程设备试运行的组织与费用承担</w:t>
      </w:r>
    </w:p>
    <w:p w14:paraId="552FEF40">
      <w:pPr>
        <w:spacing w:line="390" w:lineRule="exact"/>
        <w:ind w:firstLine="420" w:firstLineChars="200"/>
        <w:rPr>
          <w:rFonts w:hint="eastAsia" w:ascii="宋体" w:hAnsi="宋体"/>
          <w:szCs w:val="21"/>
        </w:rPr>
      </w:pPr>
      <w:r>
        <w:rPr>
          <w:rFonts w:hint="eastAsia" w:ascii="宋体" w:hAnsi="宋体"/>
          <w:szCs w:val="21"/>
        </w:rPr>
        <w:t>（1）工程设备安装具备单机无负荷试运行条件，由承包人组织试运行，费用由承包人承担。</w:t>
      </w:r>
    </w:p>
    <w:p w14:paraId="43686537">
      <w:pPr>
        <w:spacing w:line="390" w:lineRule="exact"/>
        <w:ind w:firstLine="420" w:firstLineChars="200"/>
        <w:rPr>
          <w:rFonts w:hint="eastAsia" w:ascii="宋体" w:hAnsi="宋体"/>
          <w:szCs w:val="21"/>
        </w:rPr>
      </w:pPr>
      <w:r>
        <w:rPr>
          <w:rFonts w:hint="eastAsia" w:ascii="宋体" w:hAnsi="宋体"/>
          <w:szCs w:val="21"/>
        </w:rPr>
        <w:t>（2）工程设备安装具备无负荷联动试运行条件，由发包人组织试运行，费用由发包人承担。</w:t>
      </w:r>
    </w:p>
    <w:p w14:paraId="4C40C670">
      <w:pPr>
        <w:spacing w:line="390" w:lineRule="exact"/>
        <w:ind w:firstLine="420" w:firstLineChars="200"/>
        <w:rPr>
          <w:rFonts w:hint="eastAsia" w:ascii="宋体" w:hAnsi="宋体"/>
          <w:szCs w:val="21"/>
        </w:rPr>
      </w:pPr>
      <w:r>
        <w:rPr>
          <w:rFonts w:hint="eastAsia" w:ascii="宋体" w:hAnsi="宋体"/>
          <w:szCs w:val="21"/>
        </w:rPr>
        <w:t>（3）投料试运行应在工程竣工验收后由发包人负责，如发包人要求在工程竣工验收前进行或需要承包人配合时，应征得承包人同意，另行签订补充协议。</w:t>
      </w:r>
    </w:p>
    <w:p w14:paraId="475E6C00">
      <w:pPr>
        <w:pStyle w:val="20"/>
        <w:rPr>
          <w:rFonts w:hint="eastAsia"/>
        </w:rPr>
      </w:pPr>
      <w:bookmarkStart w:id="1310" w:name="_Toc108513915"/>
      <w:r>
        <w:rPr>
          <w:rFonts w:hint="eastAsia"/>
        </w:rPr>
        <w:t>18.7竣工清场</w:t>
      </w:r>
      <w:bookmarkEnd w:id="1310"/>
    </w:p>
    <w:p w14:paraId="4E72D89C">
      <w:pPr>
        <w:spacing w:line="390" w:lineRule="exact"/>
        <w:ind w:firstLine="420" w:firstLineChars="200"/>
        <w:rPr>
          <w:rFonts w:hint="eastAsia" w:ascii="宋体" w:hAnsi="宋体"/>
          <w:szCs w:val="21"/>
        </w:rPr>
      </w:pPr>
      <w:r>
        <w:rPr>
          <w:rFonts w:hint="eastAsia" w:ascii="宋体" w:hAnsi="宋体"/>
          <w:szCs w:val="21"/>
        </w:rPr>
        <w:t>18.7.1监理人颁发(出具)工程接收证书后，承包人负责按照通用合同条款本项约定的要求对施工场地进行清理并承担相关费用，直至监理人检验合格为止。</w:t>
      </w:r>
    </w:p>
    <w:p w14:paraId="659763A1">
      <w:pPr>
        <w:pStyle w:val="20"/>
        <w:rPr>
          <w:rFonts w:hint="eastAsia"/>
        </w:rPr>
      </w:pPr>
      <w:bookmarkStart w:id="1311" w:name="_Toc108513916"/>
      <w:r>
        <w:rPr>
          <w:rFonts w:hint="eastAsia"/>
        </w:rPr>
        <w:t>18.8施工队伍的撤离</w:t>
      </w:r>
      <w:bookmarkEnd w:id="1311"/>
    </w:p>
    <w:p w14:paraId="46977563">
      <w:pPr>
        <w:spacing w:line="390" w:lineRule="exact"/>
        <w:ind w:firstLine="420" w:firstLineChars="200"/>
        <w:rPr>
          <w:rFonts w:hint="eastAsia" w:ascii="宋体" w:hAnsi="宋体"/>
          <w:szCs w:val="21"/>
        </w:rPr>
      </w:pPr>
      <w:r>
        <w:rPr>
          <w:rFonts w:hint="eastAsia" w:ascii="宋体" w:hAnsi="宋体"/>
          <w:szCs w:val="21"/>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14:paraId="63873ED1">
      <w:pPr>
        <w:spacing w:line="390" w:lineRule="exact"/>
        <w:ind w:firstLine="420" w:firstLineChars="200"/>
        <w:rPr>
          <w:rFonts w:hint="eastAsia" w:ascii="宋体" w:hAnsi="宋体"/>
          <w:szCs w:val="21"/>
          <w:u w:val="single"/>
        </w:rPr>
      </w:pPr>
      <w:r>
        <w:rPr>
          <w:rFonts w:hint="eastAsia" w:ascii="宋体" w:hAnsi="宋体"/>
          <w:szCs w:val="21"/>
        </w:rPr>
        <w:t>缺陷责任期满时，承包人可以继续在施工场地保留的人员和施工设备以及最终撤离的期限：</w:t>
      </w:r>
      <w:r>
        <w:rPr>
          <w:rFonts w:hint="eastAsia" w:ascii="宋体" w:hAnsi="宋体"/>
          <w:szCs w:val="21"/>
          <w:u w:val="single"/>
        </w:rPr>
        <w:t xml:space="preserve">                                                                             </w:t>
      </w:r>
    </w:p>
    <w:p w14:paraId="0FC48EFD">
      <w:pPr>
        <w:spacing w:line="3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0FE91C95">
      <w:pPr>
        <w:pStyle w:val="20"/>
        <w:rPr>
          <w:rFonts w:hint="eastAsia"/>
        </w:rPr>
      </w:pPr>
      <w:bookmarkStart w:id="1312" w:name="_Toc108513917"/>
      <w:r>
        <w:rPr>
          <w:rFonts w:hint="eastAsia"/>
        </w:rPr>
        <w:t>18.9中间验收</w:t>
      </w:r>
      <w:bookmarkEnd w:id="1312"/>
    </w:p>
    <w:p w14:paraId="45D3D7BB">
      <w:pPr>
        <w:spacing w:line="390" w:lineRule="exact"/>
        <w:ind w:firstLine="420" w:firstLineChars="200"/>
        <w:rPr>
          <w:rFonts w:hint="eastAsia" w:ascii="宋体" w:hAnsi="宋体"/>
          <w:szCs w:val="21"/>
        </w:rPr>
      </w:pPr>
      <w:r>
        <w:rPr>
          <w:rFonts w:hint="eastAsia" w:ascii="宋体" w:hAnsi="宋体"/>
          <w:szCs w:val="21"/>
        </w:rPr>
        <w:t>本工程需要进行中间验收的部位如下：</w:t>
      </w:r>
    </w:p>
    <w:p w14:paraId="702FFD3F">
      <w:pPr>
        <w:spacing w:line="390" w:lineRule="exact"/>
        <w:rPr>
          <w:rFonts w:hint="eastAsia" w:ascii="宋体" w:hAnsi="宋体"/>
          <w:szCs w:val="21"/>
          <w:u w:val="single"/>
        </w:rPr>
      </w:pPr>
      <w:r>
        <w:rPr>
          <w:rFonts w:hint="eastAsia" w:ascii="宋体" w:hAnsi="宋体"/>
          <w:szCs w:val="21"/>
          <w:u w:val="single"/>
        </w:rPr>
        <w:t xml:space="preserve">                                                                                </w:t>
      </w:r>
    </w:p>
    <w:p w14:paraId="7095A369">
      <w:pPr>
        <w:spacing w:line="390" w:lineRule="exact"/>
        <w:ind w:firstLine="200"/>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FB60A2B">
      <w:pPr>
        <w:spacing w:line="390" w:lineRule="exact"/>
        <w:ind w:firstLine="420" w:firstLineChars="200"/>
        <w:rPr>
          <w:rFonts w:hint="eastAsia" w:ascii="宋体" w:hAnsi="宋体"/>
          <w:szCs w:val="21"/>
        </w:rPr>
      </w:pPr>
      <w:r>
        <w:rPr>
          <w:rFonts w:hint="eastAsia" w:ascii="宋体" w:hAnsi="宋体"/>
          <w:szCs w:val="21"/>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szCs w:val="21"/>
          <w:u w:val="single"/>
        </w:rPr>
        <w:t xml:space="preserve">         </w:t>
      </w:r>
      <w:r>
        <w:rPr>
          <w:rFonts w:hint="eastAsia" w:ascii="宋体" w:hAnsi="宋体"/>
          <w:szCs w:val="21"/>
        </w:rPr>
        <w:t>期限内进行修改后重新验收。</w:t>
      </w:r>
    </w:p>
    <w:p w14:paraId="17E42208">
      <w:pPr>
        <w:spacing w:line="390" w:lineRule="exact"/>
        <w:ind w:firstLine="420" w:firstLineChars="200"/>
        <w:rPr>
          <w:rFonts w:hint="eastAsia" w:ascii="宋体" w:hAnsi="宋体"/>
          <w:szCs w:val="21"/>
        </w:rPr>
      </w:pPr>
      <w:r>
        <w:rPr>
          <w:rFonts w:hint="eastAsia" w:ascii="宋体" w:hAnsi="宋体"/>
          <w:szCs w:val="21"/>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7C80295F">
      <w:pPr>
        <w:spacing w:line="390" w:lineRule="exact"/>
        <w:ind w:firstLine="420" w:firstLineChars="200"/>
        <w:rPr>
          <w:rFonts w:hint="eastAsia" w:ascii="宋体" w:hAnsi="宋体"/>
          <w:szCs w:val="21"/>
        </w:rPr>
      </w:pPr>
      <w:r>
        <w:rPr>
          <w:rFonts w:hint="eastAsia" w:ascii="宋体" w:hAnsi="宋体"/>
          <w:szCs w:val="21"/>
        </w:rPr>
        <w:t>经监理人验收后工程质量符合约定的验收标准，但验收24小时后监理人仍不在验收记录上签字的，视为监理人已经认可验收记录，承包人可继续施工。</w:t>
      </w:r>
    </w:p>
    <w:p w14:paraId="55D44D93">
      <w:pPr>
        <w:pStyle w:val="18"/>
        <w:rPr>
          <w:rFonts w:hint="eastAsia"/>
        </w:rPr>
      </w:pPr>
      <w:bookmarkStart w:id="1313" w:name="_Toc108513918"/>
      <w:r>
        <w:rPr>
          <w:rFonts w:hint="eastAsia"/>
        </w:rPr>
        <w:t>19.缺陷责任与保修责任</w:t>
      </w:r>
      <w:bookmarkEnd w:id="1313"/>
    </w:p>
    <w:p w14:paraId="1EEBAA5A">
      <w:pPr>
        <w:pStyle w:val="20"/>
        <w:rPr>
          <w:rFonts w:hint="eastAsia"/>
        </w:rPr>
      </w:pPr>
      <w:bookmarkStart w:id="1314" w:name="_Toc108513919"/>
      <w:r>
        <w:rPr>
          <w:rFonts w:hint="eastAsia"/>
        </w:rPr>
        <w:t>19.7保修责任</w:t>
      </w:r>
      <w:bookmarkEnd w:id="1314"/>
    </w:p>
    <w:p w14:paraId="4231E87D">
      <w:pPr>
        <w:spacing w:line="390" w:lineRule="exact"/>
        <w:ind w:firstLine="420" w:firstLineChars="200"/>
        <w:rPr>
          <w:rFonts w:hint="eastAsia" w:ascii="宋体" w:hAnsi="宋体"/>
          <w:szCs w:val="21"/>
        </w:rPr>
      </w:pPr>
      <w:r>
        <w:rPr>
          <w:rFonts w:hint="eastAsia" w:ascii="宋体" w:hAnsi="宋体"/>
          <w:szCs w:val="21"/>
        </w:rPr>
        <w:t>(1)工程质量保修范围：</w:t>
      </w:r>
      <w:r>
        <w:rPr>
          <w:rFonts w:hint="eastAsia" w:ascii="宋体" w:hAnsi="宋体"/>
          <w:szCs w:val="21"/>
          <w:u w:val="single"/>
        </w:rPr>
        <w:t xml:space="preserve">                                                      </w:t>
      </w:r>
      <w:r>
        <w:rPr>
          <w:rFonts w:hint="eastAsia" w:ascii="宋体" w:hAnsi="宋体"/>
          <w:szCs w:val="21"/>
        </w:rPr>
        <w:t>。</w:t>
      </w:r>
    </w:p>
    <w:p w14:paraId="62E9B803">
      <w:pPr>
        <w:spacing w:line="390" w:lineRule="exact"/>
        <w:ind w:firstLine="420" w:firstLineChars="200"/>
        <w:rPr>
          <w:rFonts w:hint="eastAsia" w:ascii="宋体" w:hAnsi="宋体"/>
          <w:szCs w:val="21"/>
        </w:rPr>
      </w:pPr>
      <w:r>
        <w:rPr>
          <w:rFonts w:hint="eastAsia" w:ascii="宋体" w:hAnsi="宋体"/>
          <w:szCs w:val="21"/>
        </w:rPr>
        <w:t>(2)工程质量保修期限：</w:t>
      </w:r>
      <w:r>
        <w:rPr>
          <w:rFonts w:hint="eastAsia" w:ascii="宋体" w:hAnsi="宋体"/>
          <w:szCs w:val="21"/>
          <w:u w:val="single"/>
        </w:rPr>
        <w:t xml:space="preserve">                                                      </w:t>
      </w:r>
      <w:r>
        <w:rPr>
          <w:rFonts w:hint="eastAsia" w:ascii="宋体" w:hAnsi="宋体"/>
          <w:szCs w:val="21"/>
        </w:rPr>
        <w:t>。</w:t>
      </w:r>
    </w:p>
    <w:p w14:paraId="3799D59F">
      <w:pPr>
        <w:spacing w:line="390" w:lineRule="exact"/>
        <w:ind w:firstLine="420" w:firstLineChars="200"/>
        <w:rPr>
          <w:rFonts w:hint="eastAsia" w:ascii="宋体" w:hAnsi="宋体"/>
          <w:szCs w:val="21"/>
        </w:rPr>
      </w:pPr>
      <w:r>
        <w:rPr>
          <w:rFonts w:hint="eastAsia" w:ascii="宋体" w:hAnsi="宋体"/>
          <w:szCs w:val="21"/>
        </w:rPr>
        <w:t>(3)工程质量保修责任：</w:t>
      </w:r>
      <w:r>
        <w:rPr>
          <w:rFonts w:hint="eastAsia" w:ascii="宋体" w:hAnsi="宋体"/>
          <w:szCs w:val="21"/>
          <w:u w:val="single"/>
        </w:rPr>
        <w:t xml:space="preserve">                                                      </w:t>
      </w:r>
      <w:r>
        <w:rPr>
          <w:rFonts w:hint="eastAsia" w:ascii="宋体" w:hAnsi="宋体"/>
          <w:szCs w:val="21"/>
        </w:rPr>
        <w:t>。</w:t>
      </w:r>
    </w:p>
    <w:p w14:paraId="50D0DB52">
      <w:pPr>
        <w:spacing w:line="390" w:lineRule="exact"/>
        <w:ind w:firstLine="420" w:firstLineChars="200"/>
        <w:rPr>
          <w:rFonts w:hint="eastAsia" w:ascii="宋体" w:hAnsi="宋体"/>
          <w:szCs w:val="21"/>
        </w:rPr>
      </w:pPr>
      <w:r>
        <w:rPr>
          <w:rFonts w:hint="eastAsia" w:ascii="宋体" w:hAnsi="宋体"/>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325CD699">
      <w:pPr>
        <w:pStyle w:val="18"/>
        <w:rPr>
          <w:rFonts w:hint="eastAsia"/>
        </w:rPr>
      </w:pPr>
      <w:bookmarkStart w:id="1315" w:name="_Toc108513920"/>
      <w:r>
        <w:rPr>
          <w:rFonts w:hint="eastAsia"/>
        </w:rPr>
        <w:t>20.保险</w:t>
      </w:r>
      <w:bookmarkEnd w:id="1315"/>
    </w:p>
    <w:p w14:paraId="3C29D618">
      <w:pPr>
        <w:pStyle w:val="20"/>
        <w:rPr>
          <w:rFonts w:hint="eastAsia"/>
        </w:rPr>
      </w:pPr>
      <w:bookmarkStart w:id="1316" w:name="_Toc108513921"/>
      <w:r>
        <w:rPr>
          <w:rFonts w:hint="eastAsia"/>
        </w:rPr>
        <w:t>20.1工程保险</w:t>
      </w:r>
      <w:bookmarkEnd w:id="1316"/>
    </w:p>
    <w:p w14:paraId="4B90B081">
      <w:pPr>
        <w:spacing w:line="390" w:lineRule="exact"/>
        <w:ind w:firstLine="420" w:firstLineChars="200"/>
        <w:rPr>
          <w:rFonts w:hint="eastAsia" w:ascii="宋体" w:hAnsi="宋体"/>
          <w:szCs w:val="21"/>
        </w:rPr>
      </w:pPr>
      <w:r>
        <w:rPr>
          <w:rFonts w:hint="eastAsia" w:ascii="宋体" w:hAnsi="宋体"/>
          <w:szCs w:val="21"/>
        </w:rPr>
        <w:t>本工程</w:t>
      </w:r>
      <w:r>
        <w:rPr>
          <w:rFonts w:hint="eastAsia" w:ascii="宋体" w:hAnsi="宋体"/>
          <w:szCs w:val="21"/>
          <w:u w:val="single"/>
        </w:rPr>
        <w:t xml:space="preserve">                          </w:t>
      </w:r>
      <w:r>
        <w:rPr>
          <w:rFonts w:hint="eastAsia" w:ascii="宋体" w:hAnsi="宋体"/>
          <w:szCs w:val="21"/>
        </w:rPr>
        <w:t>(投保／不投保)工程保险。投保工程保险时，险种为：</w:t>
      </w:r>
      <w:r>
        <w:rPr>
          <w:rFonts w:hint="eastAsia" w:ascii="宋体" w:hAnsi="宋体"/>
          <w:szCs w:val="21"/>
          <w:u w:val="single"/>
        </w:rPr>
        <w:t xml:space="preserve">                 </w:t>
      </w:r>
      <w:r>
        <w:rPr>
          <w:rFonts w:hint="eastAsia" w:ascii="宋体" w:hAnsi="宋体"/>
          <w:szCs w:val="21"/>
        </w:rPr>
        <w:t>，并符合以下约定。</w:t>
      </w:r>
    </w:p>
    <w:p w14:paraId="37D1FF70">
      <w:pPr>
        <w:spacing w:line="390" w:lineRule="exact"/>
        <w:ind w:firstLine="420" w:firstLineChars="200"/>
        <w:rPr>
          <w:rFonts w:hint="eastAsia" w:ascii="宋体" w:hAnsi="宋体"/>
          <w:szCs w:val="21"/>
        </w:rPr>
      </w:pPr>
      <w:r>
        <w:rPr>
          <w:rFonts w:hint="eastAsia" w:ascii="宋体" w:hAnsi="宋体"/>
          <w:szCs w:val="21"/>
        </w:rPr>
        <w:t>(1)投保人：</w:t>
      </w:r>
      <w:r>
        <w:rPr>
          <w:rFonts w:hint="eastAsia" w:ascii="宋体" w:hAnsi="宋体"/>
          <w:szCs w:val="21"/>
          <w:u w:val="single"/>
        </w:rPr>
        <w:t xml:space="preserve">                                                                </w:t>
      </w:r>
      <w:r>
        <w:rPr>
          <w:rFonts w:hint="eastAsia" w:ascii="宋体" w:hAnsi="宋体"/>
          <w:szCs w:val="21"/>
        </w:rPr>
        <w:t>。</w:t>
      </w:r>
    </w:p>
    <w:p w14:paraId="015E0E29">
      <w:pPr>
        <w:spacing w:line="390" w:lineRule="exact"/>
        <w:ind w:firstLine="420" w:firstLineChars="200"/>
        <w:rPr>
          <w:rFonts w:hint="eastAsia" w:ascii="宋体" w:hAnsi="宋体"/>
          <w:szCs w:val="21"/>
        </w:rPr>
      </w:pPr>
      <w:r>
        <w:rPr>
          <w:rFonts w:hint="eastAsia" w:ascii="宋体" w:hAnsi="宋体"/>
          <w:szCs w:val="21"/>
        </w:rPr>
        <w:t>(2)投保内容：</w:t>
      </w:r>
      <w:r>
        <w:rPr>
          <w:rFonts w:hint="eastAsia" w:ascii="宋体" w:hAnsi="宋体"/>
          <w:szCs w:val="21"/>
          <w:u w:val="single"/>
        </w:rPr>
        <w:t xml:space="preserve">                                                              </w:t>
      </w:r>
      <w:r>
        <w:rPr>
          <w:rFonts w:hint="eastAsia" w:ascii="宋体" w:hAnsi="宋体"/>
          <w:szCs w:val="21"/>
        </w:rPr>
        <w:t>。</w:t>
      </w:r>
    </w:p>
    <w:p w14:paraId="786D4596">
      <w:pPr>
        <w:spacing w:line="390" w:lineRule="exact"/>
        <w:ind w:firstLine="420" w:firstLineChars="200"/>
        <w:rPr>
          <w:rFonts w:hint="eastAsia" w:ascii="宋体" w:hAnsi="宋体"/>
          <w:szCs w:val="21"/>
        </w:rPr>
      </w:pPr>
      <w:r>
        <w:rPr>
          <w:rFonts w:hint="eastAsia" w:ascii="宋体" w:hAnsi="宋体"/>
          <w:szCs w:val="21"/>
        </w:rPr>
        <w:t>(3)保险费率：由投保人与合同双方同意的保险人商定。</w:t>
      </w:r>
    </w:p>
    <w:p w14:paraId="1399DF18">
      <w:pPr>
        <w:spacing w:line="390" w:lineRule="exact"/>
        <w:ind w:firstLine="420" w:firstLineChars="200"/>
        <w:rPr>
          <w:rFonts w:hint="eastAsia" w:ascii="宋体" w:hAnsi="宋体"/>
          <w:szCs w:val="21"/>
        </w:rPr>
      </w:pPr>
      <w:r>
        <w:rPr>
          <w:rFonts w:hint="eastAsia" w:ascii="宋体" w:hAnsi="宋体"/>
          <w:szCs w:val="21"/>
        </w:rPr>
        <w:t>(4)保险金额：</w:t>
      </w:r>
      <w:r>
        <w:rPr>
          <w:rFonts w:hint="eastAsia" w:ascii="宋体" w:hAnsi="宋体"/>
          <w:szCs w:val="21"/>
          <w:u w:val="single"/>
        </w:rPr>
        <w:t xml:space="preserve">                                                              </w:t>
      </w:r>
      <w:r>
        <w:rPr>
          <w:rFonts w:hint="eastAsia" w:ascii="宋体" w:hAnsi="宋体"/>
          <w:szCs w:val="21"/>
        </w:rPr>
        <w:t>。</w:t>
      </w:r>
    </w:p>
    <w:p w14:paraId="4573013C">
      <w:pPr>
        <w:spacing w:line="390" w:lineRule="exact"/>
        <w:ind w:firstLine="420" w:firstLineChars="200"/>
        <w:rPr>
          <w:rFonts w:hint="eastAsia" w:ascii="宋体" w:hAnsi="宋体"/>
          <w:szCs w:val="21"/>
        </w:rPr>
      </w:pPr>
      <w:r>
        <w:rPr>
          <w:rFonts w:hint="eastAsia" w:ascii="宋体" w:hAnsi="宋体"/>
          <w:szCs w:val="21"/>
        </w:rPr>
        <w:t>(5)保险期限：</w:t>
      </w:r>
      <w:r>
        <w:rPr>
          <w:rFonts w:hint="eastAsia" w:ascii="宋体" w:hAnsi="宋体"/>
          <w:szCs w:val="21"/>
          <w:u w:val="single"/>
        </w:rPr>
        <w:t xml:space="preserve">                                                              </w:t>
      </w:r>
      <w:r>
        <w:rPr>
          <w:rFonts w:hint="eastAsia" w:ascii="宋体" w:hAnsi="宋体"/>
          <w:szCs w:val="21"/>
        </w:rPr>
        <w:t>。</w:t>
      </w:r>
    </w:p>
    <w:p w14:paraId="03D6C0BA">
      <w:pPr>
        <w:pStyle w:val="20"/>
        <w:rPr>
          <w:rFonts w:hint="eastAsia"/>
        </w:rPr>
      </w:pPr>
      <w:bookmarkStart w:id="1317" w:name="_Toc108513922"/>
      <w:r>
        <w:rPr>
          <w:rFonts w:hint="eastAsia"/>
        </w:rPr>
        <w:t>20.4第三者责任险</w:t>
      </w:r>
      <w:bookmarkEnd w:id="1317"/>
    </w:p>
    <w:p w14:paraId="388C8CC2">
      <w:pPr>
        <w:spacing w:line="390" w:lineRule="exact"/>
        <w:ind w:firstLine="420" w:firstLineChars="200"/>
        <w:rPr>
          <w:rFonts w:hint="eastAsia" w:ascii="宋体" w:hAnsi="宋体"/>
          <w:szCs w:val="21"/>
        </w:rPr>
      </w:pPr>
      <w:r>
        <w:rPr>
          <w:rFonts w:hint="eastAsia" w:ascii="宋体" w:hAnsi="宋体"/>
          <w:szCs w:val="21"/>
        </w:rPr>
        <w:t>20.4.2保险金额：</w:t>
      </w:r>
      <w:r>
        <w:rPr>
          <w:rFonts w:hint="eastAsia" w:ascii="宋体" w:hAnsi="宋体"/>
          <w:szCs w:val="21"/>
          <w:u w:val="single"/>
        </w:rPr>
        <w:t xml:space="preserve">                                                         </w:t>
      </w:r>
      <w:r>
        <w:rPr>
          <w:rFonts w:hint="eastAsia" w:ascii="宋体" w:hAnsi="宋体"/>
          <w:szCs w:val="21"/>
        </w:rPr>
        <w:t>，保险费率由承包人与发包人同意的保险人商定，相关保险费由</w:t>
      </w:r>
      <w:r>
        <w:rPr>
          <w:rFonts w:hint="eastAsia" w:ascii="宋体" w:hAnsi="宋体"/>
          <w:szCs w:val="21"/>
          <w:u w:val="single"/>
        </w:rPr>
        <w:t xml:space="preserve">       </w:t>
      </w:r>
      <w:r>
        <w:rPr>
          <w:rFonts w:hint="eastAsia" w:ascii="宋体" w:hAnsi="宋体"/>
          <w:szCs w:val="21"/>
        </w:rPr>
        <w:t>承担。</w:t>
      </w:r>
    </w:p>
    <w:p w14:paraId="0B30901F">
      <w:pPr>
        <w:pStyle w:val="20"/>
        <w:rPr>
          <w:rFonts w:hint="eastAsia"/>
        </w:rPr>
      </w:pPr>
      <w:bookmarkStart w:id="1318" w:name="_Toc108513923"/>
      <w:r>
        <w:rPr>
          <w:rFonts w:hint="eastAsia"/>
        </w:rPr>
        <w:t>20.5其他保险</w:t>
      </w:r>
      <w:bookmarkEnd w:id="1318"/>
    </w:p>
    <w:p w14:paraId="481FC178">
      <w:pPr>
        <w:spacing w:line="390" w:lineRule="exact"/>
        <w:ind w:firstLine="420" w:firstLineChars="200"/>
        <w:rPr>
          <w:rFonts w:hint="eastAsia" w:ascii="宋体" w:hAnsi="宋体"/>
          <w:szCs w:val="21"/>
          <w:u w:val="single"/>
        </w:rPr>
      </w:pPr>
      <w:r>
        <w:rPr>
          <w:rFonts w:hint="eastAsia" w:ascii="宋体" w:hAnsi="宋体"/>
          <w:szCs w:val="21"/>
        </w:rPr>
        <w:t>承包人应为其施工设备、进场材料和工程设备等办理的保险：</w:t>
      </w:r>
      <w:r>
        <w:rPr>
          <w:rFonts w:hint="eastAsia" w:ascii="宋体" w:hAnsi="宋体"/>
          <w:szCs w:val="21"/>
          <w:u w:val="single"/>
        </w:rPr>
        <w:t xml:space="preserve">                      </w:t>
      </w:r>
    </w:p>
    <w:p w14:paraId="7B0EFD8C">
      <w:pPr>
        <w:spacing w:line="390" w:lineRule="exact"/>
        <w:ind w:firstLine="420" w:firstLineChars="200"/>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1680E1D8">
      <w:pPr>
        <w:pStyle w:val="20"/>
        <w:rPr>
          <w:rFonts w:hint="eastAsia"/>
        </w:rPr>
      </w:pPr>
      <w:bookmarkStart w:id="1319" w:name="_Toc108513924"/>
      <w:r>
        <w:rPr>
          <w:rFonts w:hint="eastAsia"/>
        </w:rPr>
        <w:t>20.6对各项保险的一般要求</w:t>
      </w:r>
      <w:bookmarkEnd w:id="1319"/>
    </w:p>
    <w:p w14:paraId="55E51C66">
      <w:pPr>
        <w:spacing w:before="93" w:beforeLines="30" w:after="93" w:afterLines="30" w:line="390" w:lineRule="exact"/>
        <w:rPr>
          <w:rFonts w:hint="eastAsia" w:ascii="黑体" w:hAnsi="宋体" w:eastAsia="黑体"/>
          <w:szCs w:val="21"/>
        </w:rPr>
      </w:pPr>
      <w:r>
        <w:rPr>
          <w:rFonts w:hint="eastAsia" w:ascii="黑体" w:hAnsi="宋体" w:eastAsia="黑体"/>
          <w:szCs w:val="21"/>
        </w:rPr>
        <w:t>20.6.1保险凭证</w:t>
      </w:r>
    </w:p>
    <w:p w14:paraId="6D2D0364">
      <w:pPr>
        <w:spacing w:line="400" w:lineRule="exact"/>
        <w:ind w:firstLine="420" w:firstLineChars="200"/>
        <w:rPr>
          <w:rFonts w:hint="eastAsia" w:ascii="宋体" w:hAnsi="宋体"/>
          <w:szCs w:val="21"/>
        </w:rPr>
      </w:pPr>
      <w:r>
        <w:rPr>
          <w:rFonts w:hint="eastAsia" w:ascii="宋体" w:hAnsi="宋体"/>
          <w:szCs w:val="21"/>
        </w:rPr>
        <w:t>承包人向发包人提交各项保险生效的证据和保险单副本的期限：</w:t>
      </w:r>
      <w:r>
        <w:rPr>
          <w:rFonts w:hint="eastAsia" w:ascii="宋体" w:hAnsi="宋体"/>
          <w:szCs w:val="21"/>
          <w:u w:val="single"/>
        </w:rPr>
        <w:t xml:space="preserve">                   </w:t>
      </w:r>
    </w:p>
    <w:p w14:paraId="175029B0">
      <w:pPr>
        <w:spacing w:line="4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739DCC05">
      <w:pPr>
        <w:spacing w:before="93" w:beforeLines="30" w:after="93" w:afterLines="30" w:line="390" w:lineRule="exact"/>
        <w:rPr>
          <w:rFonts w:hint="eastAsia" w:ascii="黑体" w:hAnsi="宋体" w:eastAsia="黑体"/>
          <w:szCs w:val="21"/>
        </w:rPr>
      </w:pPr>
      <w:r>
        <w:rPr>
          <w:rFonts w:hint="eastAsia" w:ascii="黑体" w:hAnsi="宋体" w:eastAsia="黑体"/>
          <w:szCs w:val="21"/>
        </w:rPr>
        <w:t>20.6.4保险金不足的补偿</w:t>
      </w:r>
    </w:p>
    <w:p w14:paraId="0EA14774">
      <w:pPr>
        <w:spacing w:line="400" w:lineRule="exact"/>
        <w:ind w:firstLine="420" w:firstLineChars="200"/>
        <w:rPr>
          <w:rFonts w:hint="eastAsia" w:ascii="宋体" w:hAnsi="宋体"/>
          <w:szCs w:val="21"/>
        </w:rPr>
      </w:pPr>
      <w:r>
        <w:rPr>
          <w:rFonts w:hint="eastAsia" w:ascii="宋体" w:hAnsi="宋体"/>
          <w:szCs w:val="21"/>
        </w:rPr>
        <w:t>保险金不足以补偿损失时，承包人和发包人负责补偿的责任分摊：</w:t>
      </w:r>
      <w:r>
        <w:rPr>
          <w:rFonts w:hint="eastAsia" w:ascii="宋体" w:hAnsi="宋体"/>
          <w:szCs w:val="21"/>
          <w:u w:val="single"/>
        </w:rPr>
        <w:t xml:space="preserve">                   </w:t>
      </w:r>
    </w:p>
    <w:p w14:paraId="1A829E20">
      <w:pPr>
        <w:spacing w:line="4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7F337F7A">
      <w:pPr>
        <w:pStyle w:val="18"/>
        <w:rPr>
          <w:rFonts w:hint="eastAsia"/>
        </w:rPr>
      </w:pPr>
      <w:bookmarkStart w:id="1320" w:name="_Toc108513925"/>
      <w:r>
        <w:rPr>
          <w:rFonts w:hint="eastAsia"/>
        </w:rPr>
        <w:t>21.不可抗力</w:t>
      </w:r>
      <w:bookmarkEnd w:id="1320"/>
    </w:p>
    <w:p w14:paraId="09FA067B">
      <w:pPr>
        <w:pStyle w:val="20"/>
        <w:rPr>
          <w:rFonts w:hint="eastAsia"/>
        </w:rPr>
      </w:pPr>
      <w:bookmarkStart w:id="1321" w:name="_Toc108513926"/>
      <w:r>
        <w:rPr>
          <w:rFonts w:hint="eastAsia"/>
        </w:rPr>
        <w:t>21.1不可抗力的确认</w:t>
      </w:r>
      <w:bookmarkEnd w:id="1321"/>
    </w:p>
    <w:p w14:paraId="4D7077CA">
      <w:pPr>
        <w:spacing w:line="400" w:lineRule="exact"/>
        <w:ind w:firstLine="420" w:firstLineChars="200"/>
        <w:rPr>
          <w:rFonts w:hint="eastAsia" w:ascii="宋体" w:hAnsi="宋体"/>
          <w:szCs w:val="21"/>
        </w:rPr>
      </w:pPr>
      <w:r>
        <w:rPr>
          <w:rFonts w:hint="eastAsia" w:ascii="宋体" w:hAnsi="宋体"/>
          <w:szCs w:val="21"/>
        </w:rPr>
        <w:t>21.1.1通用合同条款第21.1.1项约定的不可抗力以外的其他情形：</w:t>
      </w:r>
      <w:r>
        <w:rPr>
          <w:rFonts w:hint="eastAsia" w:ascii="宋体" w:hAnsi="宋体"/>
          <w:szCs w:val="21"/>
          <w:u w:val="single"/>
        </w:rPr>
        <w:t xml:space="preserve">                  </w:t>
      </w:r>
    </w:p>
    <w:p w14:paraId="50B838B1">
      <w:pPr>
        <w:spacing w:line="4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00301B3E">
      <w:pPr>
        <w:spacing w:line="400" w:lineRule="exact"/>
        <w:ind w:firstLine="420" w:firstLineChars="200"/>
        <w:rPr>
          <w:rFonts w:hint="eastAsia" w:ascii="宋体" w:hAnsi="宋体"/>
          <w:szCs w:val="21"/>
        </w:rPr>
      </w:pPr>
      <w:r>
        <w:rPr>
          <w:rFonts w:hint="eastAsia" w:ascii="宋体" w:hAnsi="宋体"/>
          <w:szCs w:val="21"/>
        </w:rPr>
        <w:t>不可抗力的等级范围约定：</w:t>
      </w:r>
      <w:r>
        <w:rPr>
          <w:rFonts w:hint="eastAsia" w:ascii="宋体" w:hAnsi="宋体"/>
          <w:szCs w:val="21"/>
          <w:u w:val="single"/>
        </w:rPr>
        <w:t xml:space="preserve">                                                    </w:t>
      </w:r>
    </w:p>
    <w:p w14:paraId="375DAE48">
      <w:pPr>
        <w:spacing w:line="4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3A63F4E4">
      <w:pPr>
        <w:pStyle w:val="20"/>
        <w:rPr>
          <w:rFonts w:hint="eastAsia"/>
        </w:rPr>
      </w:pPr>
      <w:bookmarkStart w:id="1322" w:name="_Toc108513927"/>
      <w:r>
        <w:rPr>
          <w:rFonts w:hint="eastAsia"/>
        </w:rPr>
        <w:t>21.3不可抗力后果及其处理</w:t>
      </w:r>
      <w:bookmarkEnd w:id="1322"/>
    </w:p>
    <w:p w14:paraId="25E9676A">
      <w:pPr>
        <w:spacing w:before="93" w:beforeLines="30" w:after="93" w:afterLines="30" w:line="390" w:lineRule="exact"/>
        <w:rPr>
          <w:rFonts w:hint="eastAsia" w:ascii="黑体" w:hAnsi="宋体" w:eastAsia="黑体"/>
          <w:szCs w:val="21"/>
        </w:rPr>
      </w:pPr>
      <w:r>
        <w:rPr>
          <w:rFonts w:hint="eastAsia" w:ascii="黑体" w:hAnsi="宋体" w:eastAsia="黑体"/>
          <w:szCs w:val="21"/>
        </w:rPr>
        <w:t>21.3.1不可抗力造成损害的责任</w:t>
      </w:r>
    </w:p>
    <w:p w14:paraId="332F506B">
      <w:pPr>
        <w:spacing w:line="400" w:lineRule="exact"/>
        <w:ind w:firstLine="420" w:firstLineChars="200"/>
        <w:rPr>
          <w:rFonts w:hint="eastAsia" w:ascii="宋体" w:hAnsi="宋体"/>
          <w:szCs w:val="21"/>
        </w:rPr>
      </w:pPr>
      <w:r>
        <w:rPr>
          <w:rFonts w:hint="eastAsia" w:ascii="宋体" w:hAnsi="宋体"/>
          <w:szCs w:val="21"/>
        </w:rPr>
        <w:t>不可抗力导致的人员伤亡、财产损失、费用增加和(或)工期延误等后果，由合同双方按通用合同条款第21.3.1项约定的原则承担。</w:t>
      </w:r>
    </w:p>
    <w:p w14:paraId="62FF8F76">
      <w:pPr>
        <w:pStyle w:val="18"/>
        <w:rPr>
          <w:rFonts w:hint="eastAsia"/>
        </w:rPr>
      </w:pPr>
      <w:bookmarkStart w:id="1323" w:name="_Toc108513928"/>
      <w:r>
        <w:rPr>
          <w:rFonts w:hint="eastAsia"/>
        </w:rPr>
        <w:t>24.争议的解决</w:t>
      </w:r>
      <w:bookmarkEnd w:id="1323"/>
    </w:p>
    <w:p w14:paraId="3C2E5B76">
      <w:pPr>
        <w:pStyle w:val="20"/>
        <w:rPr>
          <w:rFonts w:hint="eastAsia"/>
        </w:rPr>
      </w:pPr>
      <w:bookmarkStart w:id="1324" w:name="_Toc108513929"/>
      <w:r>
        <w:rPr>
          <w:rFonts w:hint="eastAsia"/>
        </w:rPr>
        <w:t>24.1争议的解决方式</w:t>
      </w:r>
      <w:bookmarkEnd w:id="1324"/>
    </w:p>
    <w:p w14:paraId="660DD8CF">
      <w:pPr>
        <w:spacing w:line="400" w:lineRule="exact"/>
        <w:ind w:firstLine="420" w:firstLineChars="200"/>
        <w:rPr>
          <w:rFonts w:hint="eastAsia" w:ascii="宋体" w:hAnsi="宋体"/>
          <w:szCs w:val="21"/>
        </w:rPr>
      </w:pPr>
      <w:r>
        <w:rPr>
          <w:rFonts w:hint="eastAsia" w:ascii="宋体" w:hAnsi="宋体"/>
          <w:szCs w:val="21"/>
        </w:rPr>
        <w:t>因本合同引起的或与本合同有关的任何争议，合同双方友好协商不成、不愿提请争议组评审或者不愿接受争议评审组意见的，选择下列第</w:t>
      </w:r>
      <w:r>
        <w:rPr>
          <w:rFonts w:hint="eastAsia" w:ascii="宋体" w:hAnsi="宋体"/>
          <w:szCs w:val="21"/>
          <w:u w:val="single"/>
        </w:rPr>
        <w:t xml:space="preserve">       </w:t>
      </w:r>
      <w:r>
        <w:rPr>
          <w:rFonts w:hint="eastAsia" w:ascii="宋体" w:hAnsi="宋体"/>
          <w:szCs w:val="21"/>
        </w:rPr>
        <w:t>种方式解决：</w:t>
      </w:r>
    </w:p>
    <w:p w14:paraId="2E17D1E8">
      <w:pPr>
        <w:spacing w:line="400" w:lineRule="exact"/>
        <w:ind w:firstLine="420" w:firstLineChars="200"/>
        <w:rPr>
          <w:rFonts w:hint="eastAsia" w:ascii="宋体" w:hAnsi="宋体"/>
          <w:szCs w:val="21"/>
        </w:rPr>
      </w:pPr>
      <w:r>
        <w:rPr>
          <w:rFonts w:hint="eastAsia" w:ascii="宋体" w:hAnsi="宋体"/>
          <w:szCs w:val="21"/>
          <w:u w:val="single"/>
        </w:rPr>
        <w:t>（壹）</w:t>
      </w:r>
      <w:r>
        <w:rPr>
          <w:rFonts w:hint="eastAsia" w:ascii="宋体" w:hAnsi="宋体"/>
          <w:szCs w:val="21"/>
        </w:rPr>
        <w:t>提请</w:t>
      </w:r>
      <w:r>
        <w:rPr>
          <w:rFonts w:hint="eastAsia" w:ascii="宋体" w:hAnsi="宋体"/>
          <w:szCs w:val="21"/>
          <w:u w:val="single"/>
        </w:rPr>
        <w:t xml:space="preserve">            </w:t>
      </w:r>
      <w:r>
        <w:rPr>
          <w:rFonts w:hint="eastAsia" w:ascii="宋体" w:hAnsi="宋体"/>
          <w:szCs w:val="21"/>
        </w:rPr>
        <w:t>仲裁委员会按照该会仲裁规则进行仲裁，仲裁裁决是终局的，对合同双方均有约束力。</w:t>
      </w:r>
    </w:p>
    <w:p w14:paraId="36F8823D">
      <w:pPr>
        <w:spacing w:line="400" w:lineRule="exact"/>
        <w:ind w:firstLine="420" w:firstLineChars="200"/>
        <w:rPr>
          <w:rFonts w:hint="eastAsia" w:ascii="宋体" w:hAnsi="宋体"/>
          <w:szCs w:val="21"/>
        </w:rPr>
      </w:pPr>
      <w:r>
        <w:rPr>
          <w:rFonts w:hint="eastAsia" w:ascii="宋体" w:hAnsi="宋体"/>
          <w:szCs w:val="21"/>
          <w:u w:val="single"/>
        </w:rPr>
        <w:t>（贰）</w:t>
      </w:r>
      <w:r>
        <w:rPr>
          <w:rFonts w:hint="eastAsia" w:ascii="宋体" w:hAnsi="宋体"/>
          <w:szCs w:val="21"/>
        </w:rPr>
        <w:t>向有管辖权的人民法院提起诉讼。</w:t>
      </w:r>
    </w:p>
    <w:p w14:paraId="06FE4B24">
      <w:pPr>
        <w:pStyle w:val="20"/>
        <w:rPr>
          <w:rFonts w:hint="eastAsia"/>
        </w:rPr>
      </w:pPr>
      <w:bookmarkStart w:id="1325" w:name="_Toc108513930"/>
      <w:r>
        <w:rPr>
          <w:rFonts w:hint="eastAsia"/>
        </w:rPr>
        <w:t>24.3争议评审</w:t>
      </w:r>
      <w:bookmarkEnd w:id="1325"/>
    </w:p>
    <w:p w14:paraId="60966B06">
      <w:pPr>
        <w:spacing w:line="400" w:lineRule="exact"/>
        <w:ind w:firstLine="420" w:firstLineChars="200"/>
        <w:rPr>
          <w:rFonts w:hint="eastAsia" w:ascii="宋体" w:hAnsi="宋体"/>
          <w:szCs w:val="21"/>
        </w:rPr>
      </w:pPr>
      <w:r>
        <w:rPr>
          <w:rFonts w:hint="eastAsia" w:ascii="宋体" w:hAnsi="宋体"/>
          <w:szCs w:val="21"/>
        </w:rPr>
        <w:t>24.3.4争议评审组邀请合同双方代表人和有关人员举行调查会的期限：</w:t>
      </w:r>
      <w:r>
        <w:rPr>
          <w:rFonts w:hint="eastAsia" w:ascii="宋体" w:hAnsi="宋体"/>
          <w:szCs w:val="21"/>
          <w:u w:val="single"/>
        </w:rPr>
        <w:t xml:space="preserve">       </w:t>
      </w:r>
      <w:r>
        <w:rPr>
          <w:rFonts w:hint="eastAsia" w:ascii="宋体" w:hAnsi="宋体"/>
          <w:szCs w:val="21"/>
        </w:rPr>
        <w:t>。</w:t>
      </w:r>
    </w:p>
    <w:p w14:paraId="274BAF09">
      <w:pPr>
        <w:spacing w:line="400" w:lineRule="exact"/>
        <w:ind w:firstLine="420" w:firstLineChars="200"/>
        <w:rPr>
          <w:rFonts w:ascii="宋体" w:hAnsi="宋体"/>
          <w:szCs w:val="21"/>
        </w:rPr>
      </w:pPr>
      <w:r>
        <w:rPr>
          <w:rFonts w:hint="eastAsia" w:ascii="宋体" w:hAnsi="宋体"/>
          <w:szCs w:val="21"/>
        </w:rPr>
        <w:t>24.3.5争议评审组在调查会后作出争议评审意见的期限：</w:t>
      </w:r>
      <w:r>
        <w:rPr>
          <w:rFonts w:hint="eastAsia" w:ascii="宋体" w:hAnsi="宋体"/>
          <w:szCs w:val="21"/>
          <w:u w:val="single"/>
        </w:rPr>
        <w:t xml:space="preserve">                   </w:t>
      </w:r>
      <w:r>
        <w:rPr>
          <w:rFonts w:hint="eastAsia" w:ascii="宋体" w:hAnsi="宋体"/>
          <w:szCs w:val="21"/>
        </w:rPr>
        <w:t>。</w:t>
      </w:r>
    </w:p>
    <w:p w14:paraId="05AAAFFA">
      <w:pPr>
        <w:jc w:val="center"/>
        <w:rPr>
          <w:rFonts w:hint="eastAsia" w:ascii="宋体" w:hAnsi="宋体"/>
          <w:szCs w:val="21"/>
        </w:rPr>
      </w:pPr>
      <w:r>
        <w:rPr>
          <w:rFonts w:ascii="宋体" w:hAnsi="宋体"/>
          <w:szCs w:val="21"/>
        </w:rPr>
        <w:br w:type="page"/>
      </w:r>
    </w:p>
    <w:p w14:paraId="5C22F644">
      <w:pPr>
        <w:jc w:val="center"/>
        <w:rPr>
          <w:rFonts w:hint="eastAsia" w:ascii="宋体" w:hAnsi="宋体"/>
          <w:szCs w:val="21"/>
        </w:rPr>
      </w:pPr>
    </w:p>
    <w:p w14:paraId="194CE9CC">
      <w:pPr>
        <w:jc w:val="center"/>
        <w:rPr>
          <w:rFonts w:hint="eastAsia" w:ascii="宋体" w:hAnsi="宋体"/>
          <w:szCs w:val="21"/>
        </w:rPr>
      </w:pPr>
    </w:p>
    <w:p w14:paraId="2F187539">
      <w:pPr>
        <w:jc w:val="center"/>
        <w:rPr>
          <w:rFonts w:hint="eastAsia" w:ascii="宋体" w:hAnsi="宋体"/>
          <w:szCs w:val="21"/>
        </w:rPr>
      </w:pPr>
    </w:p>
    <w:p w14:paraId="21588F83">
      <w:pPr>
        <w:jc w:val="center"/>
        <w:rPr>
          <w:rFonts w:hint="eastAsia" w:ascii="宋体" w:hAnsi="宋体"/>
          <w:szCs w:val="21"/>
        </w:rPr>
      </w:pPr>
    </w:p>
    <w:p w14:paraId="64F60C95">
      <w:pPr>
        <w:jc w:val="center"/>
        <w:rPr>
          <w:rFonts w:hint="eastAsia" w:ascii="宋体" w:hAnsi="宋体"/>
          <w:szCs w:val="21"/>
        </w:rPr>
      </w:pPr>
    </w:p>
    <w:p w14:paraId="27FC0F80">
      <w:pPr>
        <w:jc w:val="center"/>
        <w:rPr>
          <w:rFonts w:hint="eastAsia" w:ascii="黑体" w:eastAsia="黑体"/>
          <w:sz w:val="30"/>
          <w:szCs w:val="30"/>
        </w:rPr>
      </w:pPr>
    </w:p>
    <w:p w14:paraId="4D85E973">
      <w:pPr>
        <w:pStyle w:val="18"/>
        <w:jc w:val="center"/>
      </w:pPr>
      <w:bookmarkStart w:id="1326" w:name="_Toc108513931"/>
      <w:r>
        <w:rPr>
          <w:rFonts w:hint="eastAsia"/>
        </w:rPr>
        <w:t>第三节  合同附件格式</w:t>
      </w:r>
      <w:bookmarkEnd w:id="1326"/>
    </w:p>
    <w:p w14:paraId="7011386E">
      <w:pPr>
        <w:spacing w:line="400" w:lineRule="exact"/>
        <w:rPr>
          <w:rFonts w:hint="eastAsia"/>
          <w:sz w:val="24"/>
        </w:rPr>
      </w:pPr>
      <w:r>
        <w:rPr>
          <w:sz w:val="24"/>
        </w:rPr>
        <w:br w:type="page"/>
      </w:r>
    </w:p>
    <w:p w14:paraId="0AF435BC">
      <w:pPr>
        <w:pStyle w:val="20"/>
        <w:rPr>
          <w:rFonts w:hint="eastAsia"/>
        </w:rPr>
      </w:pPr>
      <w:bookmarkStart w:id="1327" w:name="_Toc108513932"/>
      <w:r>
        <w:rPr>
          <w:rFonts w:hint="eastAsia"/>
        </w:rPr>
        <w:t>附件一：合同协议书</w:t>
      </w:r>
      <w:bookmarkEnd w:id="1327"/>
    </w:p>
    <w:p w14:paraId="5DD9A3ED">
      <w:pPr>
        <w:spacing w:line="400" w:lineRule="exact"/>
        <w:ind w:firstLine="560" w:firstLineChars="200"/>
        <w:jc w:val="center"/>
        <w:rPr>
          <w:rFonts w:hint="eastAsia" w:ascii="黑体" w:eastAsia="黑体"/>
          <w:sz w:val="28"/>
          <w:szCs w:val="28"/>
        </w:rPr>
      </w:pPr>
    </w:p>
    <w:p w14:paraId="53B0B61F">
      <w:pPr>
        <w:spacing w:line="400" w:lineRule="exact"/>
        <w:ind w:firstLine="560" w:firstLineChars="200"/>
        <w:jc w:val="center"/>
        <w:rPr>
          <w:rFonts w:hint="eastAsia" w:ascii="黑体" w:eastAsia="黑体"/>
          <w:sz w:val="28"/>
          <w:szCs w:val="28"/>
        </w:rPr>
      </w:pPr>
      <w:r>
        <w:rPr>
          <w:rFonts w:hint="eastAsia" w:ascii="黑体" w:eastAsia="黑体"/>
          <w:sz w:val="28"/>
          <w:szCs w:val="28"/>
        </w:rPr>
        <w:t>合同协议书</w:t>
      </w:r>
    </w:p>
    <w:p w14:paraId="1F4724C9">
      <w:pPr>
        <w:spacing w:line="400" w:lineRule="exact"/>
        <w:ind w:firstLine="560" w:firstLineChars="200"/>
        <w:jc w:val="center"/>
        <w:rPr>
          <w:rFonts w:hint="eastAsia" w:ascii="黑体" w:eastAsia="黑体"/>
          <w:sz w:val="28"/>
          <w:szCs w:val="28"/>
        </w:rPr>
      </w:pPr>
    </w:p>
    <w:p w14:paraId="0D276F8C">
      <w:pPr>
        <w:wordWrap w:val="0"/>
        <w:spacing w:line="400" w:lineRule="exact"/>
        <w:ind w:firstLine="420" w:firstLineChars="200"/>
        <w:jc w:val="right"/>
        <w:rPr>
          <w:rFonts w:hint="eastAsia"/>
        </w:rPr>
      </w:pPr>
      <w:r>
        <w:rPr>
          <w:rFonts w:hint="eastAsia"/>
        </w:rPr>
        <w:t>编号：</w:t>
      </w:r>
      <w:r>
        <w:rPr>
          <w:rFonts w:hint="eastAsia"/>
          <w:u w:val="single"/>
        </w:rPr>
        <w:t xml:space="preserve">               </w:t>
      </w:r>
    </w:p>
    <w:p w14:paraId="265E2977">
      <w:pPr>
        <w:spacing w:line="380" w:lineRule="exact"/>
        <w:rPr>
          <w:rFonts w:hint="eastAsia" w:ascii="宋体" w:hAnsi="宋体"/>
          <w:u w:val="single"/>
        </w:rPr>
      </w:pPr>
      <w:r>
        <w:rPr>
          <w:rFonts w:hint="eastAsia" w:ascii="宋体" w:hAnsi="宋体"/>
        </w:rPr>
        <w:t>发包人（全称）：</w:t>
      </w:r>
      <w:r>
        <w:rPr>
          <w:rFonts w:hint="eastAsia" w:ascii="宋体" w:hAnsi="宋体"/>
          <w:u w:val="single"/>
        </w:rPr>
        <w:t xml:space="preserve">                                                                 </w:t>
      </w:r>
    </w:p>
    <w:p w14:paraId="1F8829C4">
      <w:pPr>
        <w:spacing w:line="380" w:lineRule="exact"/>
        <w:rPr>
          <w:rFonts w:hint="eastAsia" w:ascii="宋体" w:hAnsi="宋体"/>
          <w:spacing w:val="10"/>
          <w:szCs w:val="21"/>
        </w:rPr>
      </w:pPr>
      <w:r>
        <w:rPr>
          <w:rFonts w:hint="eastAsia" w:ascii="宋体" w:hAnsi="宋体"/>
          <w:spacing w:val="30"/>
          <w:szCs w:val="21"/>
        </w:rPr>
        <w:t>法定代表人</w:t>
      </w:r>
      <w:r>
        <w:rPr>
          <w:rFonts w:hint="eastAsia" w:ascii="宋体" w:hAnsi="宋体"/>
          <w:spacing w:val="10"/>
          <w:szCs w:val="21"/>
        </w:rPr>
        <w:t>：</w:t>
      </w:r>
      <w:r>
        <w:rPr>
          <w:rFonts w:hint="eastAsia" w:ascii="宋体" w:hAnsi="宋体"/>
          <w:szCs w:val="21"/>
          <w:u w:val="single"/>
        </w:rPr>
        <w:t xml:space="preserve">                                                                 </w:t>
      </w:r>
    </w:p>
    <w:p w14:paraId="7E7EB095">
      <w:pPr>
        <w:spacing w:line="380" w:lineRule="exact"/>
        <w:rPr>
          <w:rFonts w:hint="eastAsia" w:ascii="宋体" w:hAnsi="宋体"/>
        </w:rPr>
      </w:pPr>
      <w:r>
        <w:rPr>
          <w:rFonts w:hint="eastAsia" w:ascii="宋体" w:hAnsi="宋体"/>
          <w:spacing w:val="10"/>
          <w:szCs w:val="21"/>
        </w:rPr>
        <w:t>法定注册地址：</w:t>
      </w:r>
      <w:r>
        <w:rPr>
          <w:rFonts w:hint="eastAsia" w:ascii="宋体" w:hAnsi="宋体"/>
          <w:szCs w:val="21"/>
          <w:u w:val="single"/>
        </w:rPr>
        <w:t xml:space="preserve">                                                                 </w:t>
      </w:r>
    </w:p>
    <w:p w14:paraId="4FD131FC">
      <w:pPr>
        <w:spacing w:line="400" w:lineRule="exact"/>
        <w:rPr>
          <w:rFonts w:hint="eastAsia" w:ascii="宋体" w:hAnsi="宋体"/>
        </w:rPr>
      </w:pPr>
    </w:p>
    <w:p w14:paraId="653ED426">
      <w:pPr>
        <w:spacing w:line="380" w:lineRule="exact"/>
        <w:rPr>
          <w:rFonts w:hint="eastAsia" w:ascii="宋体" w:hAnsi="宋体"/>
        </w:rPr>
      </w:pPr>
      <w:r>
        <w:rPr>
          <w:rFonts w:hint="eastAsia" w:ascii="宋体" w:hAnsi="宋体"/>
        </w:rPr>
        <w:t>承包人(全称）</w:t>
      </w:r>
      <w:r>
        <w:rPr>
          <w:rFonts w:hint="eastAsia" w:ascii="宋体" w:hAnsi="宋体"/>
          <w:u w:val="single"/>
        </w:rPr>
        <w:t xml:space="preserve">                                                                   </w:t>
      </w:r>
    </w:p>
    <w:p w14:paraId="19B5D27B">
      <w:pPr>
        <w:spacing w:line="380" w:lineRule="exact"/>
        <w:rPr>
          <w:rFonts w:hint="eastAsia" w:ascii="宋体" w:hAnsi="宋体"/>
          <w:szCs w:val="21"/>
        </w:rPr>
      </w:pPr>
      <w:r>
        <w:rPr>
          <w:rFonts w:hint="eastAsia" w:ascii="宋体" w:hAnsi="宋体"/>
          <w:spacing w:val="30"/>
          <w:szCs w:val="21"/>
        </w:rPr>
        <w:t>法定代表人：</w:t>
      </w:r>
      <w:r>
        <w:rPr>
          <w:rFonts w:hint="eastAsia" w:ascii="宋体" w:hAnsi="宋体"/>
          <w:szCs w:val="21"/>
          <w:u w:val="single"/>
        </w:rPr>
        <w:t xml:space="preserve">                                                                 </w:t>
      </w:r>
    </w:p>
    <w:p w14:paraId="181C49BF">
      <w:pPr>
        <w:spacing w:after="156" w:afterLines="50" w:line="380" w:lineRule="exact"/>
        <w:rPr>
          <w:rFonts w:hint="eastAsia"/>
          <w:b/>
        </w:rPr>
      </w:pPr>
      <w:r>
        <w:rPr>
          <w:rFonts w:hint="eastAsia" w:ascii="宋体" w:hAnsi="宋体"/>
          <w:spacing w:val="10"/>
          <w:szCs w:val="21"/>
        </w:rPr>
        <w:t>法定注册地址：</w:t>
      </w:r>
      <w:r>
        <w:rPr>
          <w:rFonts w:hint="eastAsia" w:ascii="宋体" w:hAnsi="宋体"/>
          <w:szCs w:val="21"/>
          <w:u w:val="single"/>
        </w:rPr>
        <w:t xml:space="preserve">                                                                 </w:t>
      </w:r>
    </w:p>
    <w:p w14:paraId="0002E603">
      <w:pPr>
        <w:spacing w:line="290" w:lineRule="exact"/>
        <w:ind w:firstLine="420" w:firstLineChars="200"/>
        <w:rPr>
          <w:rFonts w:hint="eastAsia"/>
        </w:rPr>
      </w:pPr>
      <w:r>
        <w:rPr>
          <w:rFonts w:hint="eastAsia"/>
        </w:rPr>
        <w:t>发包人为建设</w:t>
      </w:r>
      <w:r>
        <w:rPr>
          <w:rFonts w:hint="eastAsia"/>
          <w:u w:val="single"/>
        </w:rPr>
        <w:t xml:space="preserve">                                 </w:t>
      </w:r>
      <w:r>
        <w:rPr>
          <w:rFonts w:hint="eastAsia"/>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033F3F0F">
      <w:pPr>
        <w:spacing w:line="290" w:lineRule="exact"/>
        <w:ind w:firstLine="420" w:firstLineChars="200"/>
        <w:rPr>
          <w:rFonts w:hint="eastAsia" w:ascii="黑体" w:eastAsia="黑体"/>
        </w:rPr>
      </w:pPr>
      <w:r>
        <w:rPr>
          <w:rFonts w:hint="eastAsia" w:ascii="黑体" w:eastAsia="黑体"/>
        </w:rPr>
        <w:t>一、工程概况</w:t>
      </w:r>
    </w:p>
    <w:p w14:paraId="3884D407">
      <w:pPr>
        <w:spacing w:line="290" w:lineRule="exact"/>
        <w:ind w:firstLine="420" w:firstLineChars="200"/>
        <w:rPr>
          <w:rFonts w:hint="eastAsia"/>
        </w:rPr>
      </w:pPr>
      <w:r>
        <w:rPr>
          <w:rFonts w:hint="eastAsia"/>
        </w:rPr>
        <w:t>工程名称：</w:t>
      </w:r>
      <w:r>
        <w:rPr>
          <w:rFonts w:hint="eastAsia"/>
          <w:u w:val="single"/>
        </w:rPr>
        <w:t xml:space="preserve">                </w:t>
      </w:r>
      <w:r>
        <w:rPr>
          <w:rFonts w:hint="eastAsia"/>
        </w:rPr>
        <w:t xml:space="preserve"> (项目名称)</w:t>
      </w:r>
      <w:r>
        <w:rPr>
          <w:rFonts w:hint="eastAsia"/>
          <w:u w:val="single"/>
        </w:rPr>
        <w:t xml:space="preserve">            </w:t>
      </w:r>
      <w:r>
        <w:rPr>
          <w:rFonts w:hint="eastAsia"/>
        </w:rPr>
        <w:t>（标段名称）</w:t>
      </w:r>
    </w:p>
    <w:p w14:paraId="09180D21">
      <w:pPr>
        <w:spacing w:line="290" w:lineRule="exact"/>
        <w:ind w:firstLine="420" w:firstLineChars="200"/>
        <w:rPr>
          <w:rFonts w:hint="eastAsia"/>
        </w:rPr>
      </w:pPr>
      <w:r>
        <w:rPr>
          <w:rFonts w:hint="eastAsia"/>
        </w:rPr>
        <w:t>工程地点：</w:t>
      </w:r>
      <w:r>
        <w:rPr>
          <w:rFonts w:hint="eastAsia"/>
          <w:u w:val="single"/>
        </w:rPr>
        <w:t xml:space="preserve">                                                 </w:t>
      </w:r>
    </w:p>
    <w:p w14:paraId="02C8CE74">
      <w:pPr>
        <w:spacing w:line="290" w:lineRule="exact"/>
        <w:ind w:firstLine="420" w:firstLineChars="200"/>
        <w:rPr>
          <w:rFonts w:hint="eastAsia"/>
        </w:rPr>
      </w:pPr>
      <w:r>
        <w:rPr>
          <w:rFonts w:hint="eastAsia"/>
        </w:rPr>
        <w:t>工程内容：</w:t>
      </w:r>
      <w:r>
        <w:rPr>
          <w:rFonts w:hint="eastAsia"/>
          <w:u w:val="single"/>
        </w:rPr>
        <w:t xml:space="preserve">                                                 </w:t>
      </w:r>
    </w:p>
    <w:p w14:paraId="6B863363">
      <w:pPr>
        <w:spacing w:line="290" w:lineRule="exact"/>
        <w:ind w:firstLine="420" w:firstLineChars="200"/>
        <w:rPr>
          <w:rFonts w:hint="eastAsia"/>
        </w:rPr>
      </w:pPr>
      <w:r>
        <w:rPr>
          <w:rFonts w:hint="eastAsia"/>
        </w:rPr>
        <w:t>群体工程应附“承包人承揽工程项目一览表”(附件1)</w:t>
      </w:r>
    </w:p>
    <w:p w14:paraId="36C96CCA">
      <w:pPr>
        <w:spacing w:line="290" w:lineRule="exact"/>
        <w:ind w:firstLine="420" w:firstLineChars="200"/>
        <w:rPr>
          <w:rFonts w:hint="eastAsia"/>
        </w:rPr>
      </w:pPr>
      <w:r>
        <w:rPr>
          <w:rFonts w:hint="eastAsia"/>
        </w:rPr>
        <w:t>工程立项批准文号：</w:t>
      </w:r>
      <w:r>
        <w:rPr>
          <w:rFonts w:hint="eastAsia"/>
          <w:u w:val="single"/>
        </w:rPr>
        <w:t xml:space="preserve">                                         </w:t>
      </w:r>
    </w:p>
    <w:p w14:paraId="0703C6F2">
      <w:pPr>
        <w:spacing w:line="290" w:lineRule="exact"/>
        <w:ind w:firstLine="420" w:firstLineChars="200"/>
        <w:rPr>
          <w:rFonts w:hint="eastAsia"/>
          <w:u w:val="single"/>
        </w:rPr>
      </w:pPr>
      <w:r>
        <w:rPr>
          <w:rFonts w:hint="eastAsia"/>
        </w:rPr>
        <w:t>资金来源：</w:t>
      </w:r>
      <w:r>
        <w:rPr>
          <w:rFonts w:hint="eastAsia"/>
          <w:u w:val="single"/>
        </w:rPr>
        <w:t xml:space="preserve">                                                 </w:t>
      </w:r>
    </w:p>
    <w:p w14:paraId="14AB87EF">
      <w:pPr>
        <w:spacing w:line="290" w:lineRule="exact"/>
        <w:ind w:firstLine="420" w:firstLineChars="200"/>
        <w:rPr>
          <w:rFonts w:hint="eastAsia" w:ascii="黑体" w:eastAsia="黑体"/>
        </w:rPr>
      </w:pPr>
      <w:r>
        <w:rPr>
          <w:rFonts w:hint="eastAsia" w:ascii="黑体" w:eastAsia="黑体"/>
        </w:rPr>
        <w:t>二、工程承包范围</w:t>
      </w:r>
    </w:p>
    <w:p w14:paraId="499B6761">
      <w:pPr>
        <w:spacing w:line="290" w:lineRule="exact"/>
        <w:ind w:left="420"/>
        <w:rPr>
          <w:rFonts w:hint="eastAsia"/>
        </w:rPr>
      </w:pPr>
      <w:r>
        <w:rPr>
          <w:rFonts w:hint="eastAsia"/>
        </w:rPr>
        <w:t>承包范围：</w:t>
      </w:r>
      <w:r>
        <w:rPr>
          <w:rFonts w:hint="eastAsia"/>
          <w:u w:val="single"/>
        </w:rPr>
        <w:t xml:space="preserve">                                                 </w:t>
      </w:r>
    </w:p>
    <w:p w14:paraId="66A10835">
      <w:pPr>
        <w:spacing w:line="290" w:lineRule="exact"/>
        <w:ind w:left="420"/>
        <w:rPr>
          <w:rFonts w:hint="eastAsia"/>
        </w:rPr>
      </w:pPr>
      <w:r>
        <w:rPr>
          <w:rFonts w:hint="eastAsia"/>
        </w:rPr>
        <w:t>详细承包范围见第七章“技术标准和要求”。</w:t>
      </w:r>
    </w:p>
    <w:p w14:paraId="4055FD3D">
      <w:pPr>
        <w:spacing w:line="290" w:lineRule="exact"/>
        <w:ind w:left="420"/>
        <w:rPr>
          <w:rFonts w:hint="eastAsia" w:ascii="黑体" w:eastAsia="黑体"/>
        </w:rPr>
      </w:pPr>
      <w:r>
        <w:rPr>
          <w:rFonts w:hint="eastAsia" w:ascii="黑体" w:eastAsia="黑体"/>
        </w:rPr>
        <w:t>三、合同工期</w:t>
      </w:r>
    </w:p>
    <w:p w14:paraId="1FFCE01F">
      <w:pPr>
        <w:spacing w:line="290" w:lineRule="exact"/>
        <w:ind w:firstLine="420" w:firstLineChars="200"/>
        <w:rPr>
          <w:rFonts w:hint="eastAsia"/>
        </w:rPr>
      </w:pPr>
      <w:r>
        <w:rPr>
          <w:rFonts w:hint="eastAsia"/>
        </w:rPr>
        <w:t>计划开工日期：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59F8843A">
      <w:pPr>
        <w:spacing w:line="290" w:lineRule="exact"/>
        <w:ind w:firstLine="420" w:firstLineChars="200"/>
        <w:rPr>
          <w:rFonts w:hint="eastAsia"/>
        </w:rPr>
      </w:pPr>
      <w:r>
        <w:rPr>
          <w:rFonts w:hint="eastAsia"/>
        </w:rPr>
        <w:t>计划竣工日期：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7E9137CA">
      <w:pPr>
        <w:spacing w:line="290" w:lineRule="exact"/>
        <w:ind w:firstLine="420" w:firstLineChars="200"/>
        <w:rPr>
          <w:rFonts w:hint="eastAsia"/>
        </w:rPr>
      </w:pPr>
      <w:r>
        <w:rPr>
          <w:rFonts w:hint="eastAsia"/>
        </w:rPr>
        <w:t>工期总日历天数</w:t>
      </w:r>
      <w:r>
        <w:rPr>
          <w:rFonts w:hint="eastAsia"/>
          <w:u w:val="single"/>
        </w:rPr>
        <w:t xml:space="preserve">                           </w:t>
      </w:r>
      <w:r>
        <w:rPr>
          <w:rFonts w:hint="eastAsia"/>
        </w:rPr>
        <w:t>天，自监理人发出的开工通知中载明的开工日期起算。</w:t>
      </w:r>
    </w:p>
    <w:p w14:paraId="64984976">
      <w:pPr>
        <w:spacing w:line="290" w:lineRule="exact"/>
        <w:ind w:firstLine="420" w:firstLineChars="200"/>
        <w:rPr>
          <w:rFonts w:hint="eastAsia" w:ascii="黑体" w:eastAsia="黑体"/>
        </w:rPr>
      </w:pPr>
      <w:r>
        <w:rPr>
          <w:rFonts w:hint="eastAsia" w:ascii="黑体" w:eastAsia="黑体"/>
        </w:rPr>
        <w:t>四、质量标准</w:t>
      </w:r>
    </w:p>
    <w:p w14:paraId="2658B0FD">
      <w:pPr>
        <w:spacing w:line="290" w:lineRule="exact"/>
        <w:ind w:firstLine="420" w:firstLineChars="200"/>
        <w:rPr>
          <w:rFonts w:hint="eastAsia"/>
        </w:rPr>
      </w:pPr>
      <w:r>
        <w:rPr>
          <w:rFonts w:hint="eastAsia"/>
        </w:rPr>
        <w:t>工程质量标准：</w:t>
      </w:r>
      <w:r>
        <w:rPr>
          <w:rFonts w:hint="eastAsia"/>
          <w:u w:val="single"/>
        </w:rPr>
        <w:t xml:space="preserve">                                               </w:t>
      </w:r>
    </w:p>
    <w:p w14:paraId="351F24C1">
      <w:pPr>
        <w:spacing w:line="290" w:lineRule="exact"/>
        <w:ind w:firstLine="420" w:firstLineChars="200"/>
        <w:rPr>
          <w:rFonts w:hint="eastAsia" w:ascii="黑体" w:eastAsia="黑体"/>
        </w:rPr>
      </w:pPr>
      <w:r>
        <w:rPr>
          <w:rFonts w:hint="eastAsia" w:ascii="黑体" w:eastAsia="黑体"/>
        </w:rPr>
        <w:t>五、合同形式</w:t>
      </w:r>
    </w:p>
    <w:p w14:paraId="4116F719">
      <w:pPr>
        <w:spacing w:line="290" w:lineRule="exact"/>
        <w:ind w:firstLine="420" w:firstLineChars="200"/>
        <w:rPr>
          <w:rFonts w:hint="eastAsia"/>
        </w:rPr>
      </w:pPr>
      <w:r>
        <w:rPr>
          <w:rFonts w:hint="eastAsia"/>
        </w:rPr>
        <w:t>本合同采用</w:t>
      </w:r>
      <w:r>
        <w:rPr>
          <w:rFonts w:hint="eastAsia"/>
          <w:u w:val="single"/>
        </w:rPr>
        <w:t xml:space="preserve">                                                    </w:t>
      </w:r>
      <w:r>
        <w:rPr>
          <w:rFonts w:hint="eastAsia"/>
        </w:rPr>
        <w:t>合同形式。</w:t>
      </w:r>
    </w:p>
    <w:p w14:paraId="161DDB25">
      <w:pPr>
        <w:spacing w:line="290" w:lineRule="exact"/>
        <w:ind w:firstLine="420" w:firstLineChars="200"/>
        <w:rPr>
          <w:rFonts w:hint="eastAsia" w:ascii="黑体" w:eastAsia="黑体"/>
        </w:rPr>
      </w:pPr>
      <w:r>
        <w:rPr>
          <w:rFonts w:hint="eastAsia" w:ascii="黑体" w:eastAsia="黑体"/>
        </w:rPr>
        <w:t>六、签约合同价</w:t>
      </w:r>
    </w:p>
    <w:p w14:paraId="270299E7">
      <w:pPr>
        <w:spacing w:line="290" w:lineRule="exact"/>
        <w:ind w:firstLine="420" w:firstLineChars="200"/>
        <w:rPr>
          <w:rFonts w:hint="eastAsia"/>
        </w:rPr>
      </w:pPr>
      <w:r>
        <w:rPr>
          <w:rFonts w:hint="eastAsia"/>
        </w:rPr>
        <w:t>金额(大写）：</w:t>
      </w:r>
      <w:r>
        <w:rPr>
          <w:rFonts w:hint="eastAsia"/>
          <w:u w:val="single"/>
        </w:rPr>
        <w:t xml:space="preserve">                                                     </w:t>
      </w:r>
      <w:r>
        <w:rPr>
          <w:rFonts w:hint="eastAsia"/>
        </w:rPr>
        <w:t>元(人民币)</w:t>
      </w:r>
    </w:p>
    <w:p w14:paraId="6A7F15DC">
      <w:pPr>
        <w:spacing w:line="290" w:lineRule="exact"/>
        <w:ind w:firstLine="642" w:firstLineChars="306"/>
        <w:rPr>
          <w:rFonts w:hint="eastAsia"/>
        </w:rPr>
      </w:pPr>
      <w:r>
        <w:rPr>
          <w:rFonts w:hint="eastAsia"/>
        </w:rPr>
        <w:t>(小写)￥：</w:t>
      </w:r>
      <w:r>
        <w:rPr>
          <w:rFonts w:hint="eastAsia"/>
          <w:u w:val="single"/>
        </w:rPr>
        <w:t xml:space="preserve">                                                              </w:t>
      </w:r>
      <w:r>
        <w:rPr>
          <w:rFonts w:hint="eastAsia"/>
        </w:rPr>
        <w:t>元</w:t>
      </w:r>
    </w:p>
    <w:p w14:paraId="3EA6BEA8">
      <w:pPr>
        <w:spacing w:line="290" w:lineRule="exact"/>
        <w:ind w:firstLine="420" w:firstLineChars="200"/>
        <w:rPr>
          <w:rFonts w:hint="eastAsia"/>
        </w:rPr>
      </w:pPr>
      <w:r>
        <w:rPr>
          <w:rFonts w:hint="eastAsia"/>
        </w:rPr>
        <w:t>其中：安全文明施工费：</w:t>
      </w:r>
      <w:r>
        <w:rPr>
          <w:rFonts w:hint="eastAsia"/>
          <w:u w:val="single"/>
        </w:rPr>
        <w:t xml:space="preserve">                                         </w:t>
      </w:r>
      <w:r>
        <w:rPr>
          <w:rFonts w:hint="eastAsia"/>
        </w:rPr>
        <w:t>元</w:t>
      </w:r>
    </w:p>
    <w:p w14:paraId="188830A1">
      <w:pPr>
        <w:spacing w:line="290" w:lineRule="exact"/>
        <w:ind w:firstLine="1050" w:firstLineChars="500"/>
        <w:rPr>
          <w:rFonts w:hint="eastAsia"/>
        </w:rPr>
      </w:pPr>
      <w:r>
        <w:rPr>
          <w:rFonts w:hint="eastAsia"/>
        </w:rPr>
        <w:t>暂列金额：</w:t>
      </w:r>
      <w:r>
        <w:rPr>
          <w:rFonts w:hint="eastAsia"/>
          <w:u w:val="single"/>
        </w:rPr>
        <w:t xml:space="preserve">                  </w:t>
      </w:r>
      <w:r>
        <w:rPr>
          <w:rFonts w:hint="eastAsia"/>
        </w:rPr>
        <w:t>元（其中计日工金额</w:t>
      </w:r>
      <w:r>
        <w:rPr>
          <w:rFonts w:hint="eastAsia"/>
          <w:u w:val="single"/>
        </w:rPr>
        <w:t xml:space="preserve">          </w:t>
      </w:r>
      <w:r>
        <w:rPr>
          <w:rFonts w:hint="eastAsia"/>
        </w:rPr>
        <w:t>元）</w:t>
      </w:r>
    </w:p>
    <w:p w14:paraId="57388252">
      <w:pPr>
        <w:spacing w:line="290" w:lineRule="exact"/>
        <w:ind w:firstLine="1050" w:firstLineChars="500"/>
        <w:rPr>
          <w:rFonts w:hint="eastAsia"/>
        </w:rPr>
      </w:pPr>
      <w:r>
        <w:rPr>
          <w:rFonts w:hint="eastAsia"/>
        </w:rPr>
        <w:t>材料和工程设备暂估价：</w:t>
      </w:r>
      <w:r>
        <w:rPr>
          <w:rFonts w:hint="eastAsia"/>
          <w:u w:val="single"/>
        </w:rPr>
        <w:t xml:space="preserve">                                   </w:t>
      </w:r>
      <w:r>
        <w:rPr>
          <w:rFonts w:hint="eastAsia"/>
        </w:rPr>
        <w:t>元</w:t>
      </w:r>
    </w:p>
    <w:p w14:paraId="07D77EE4">
      <w:pPr>
        <w:spacing w:line="290" w:lineRule="exact"/>
        <w:ind w:firstLine="1050" w:firstLineChars="500"/>
        <w:rPr>
          <w:rFonts w:hint="eastAsia"/>
        </w:rPr>
      </w:pPr>
      <w:r>
        <w:rPr>
          <w:rFonts w:hint="eastAsia"/>
        </w:rPr>
        <w:t>专业工程暂估价：</w:t>
      </w:r>
      <w:r>
        <w:rPr>
          <w:rFonts w:hint="eastAsia"/>
          <w:u w:val="single"/>
        </w:rPr>
        <w:t xml:space="preserve">                                         </w:t>
      </w:r>
      <w:r>
        <w:rPr>
          <w:rFonts w:hint="eastAsia"/>
        </w:rPr>
        <w:t>元</w:t>
      </w:r>
    </w:p>
    <w:p w14:paraId="5BD90A55">
      <w:pPr>
        <w:spacing w:line="290" w:lineRule="exact"/>
        <w:ind w:firstLine="420" w:firstLineChars="200"/>
        <w:rPr>
          <w:rFonts w:hint="eastAsia" w:ascii="黑体" w:eastAsia="黑体"/>
        </w:rPr>
      </w:pPr>
      <w:r>
        <w:rPr>
          <w:rFonts w:hint="eastAsia" w:ascii="黑体" w:eastAsia="黑体"/>
        </w:rPr>
        <w:t>七、承包人项目经理：</w:t>
      </w:r>
    </w:p>
    <w:p w14:paraId="6BC36F6C">
      <w:pPr>
        <w:spacing w:line="290" w:lineRule="exact"/>
        <w:ind w:firstLine="420" w:firstLineChars="200"/>
        <w:rPr>
          <w:rFonts w:hint="eastAsia"/>
        </w:rPr>
      </w:pPr>
      <w:r>
        <w:rPr>
          <w:rFonts w:hint="eastAsia"/>
        </w:rPr>
        <w:t>姓名：</w:t>
      </w:r>
      <w:r>
        <w:rPr>
          <w:rFonts w:hint="eastAsia"/>
          <w:u w:val="single"/>
        </w:rPr>
        <w:t xml:space="preserve">                          </w:t>
      </w:r>
      <w:r>
        <w:rPr>
          <w:rFonts w:hint="eastAsia"/>
        </w:rPr>
        <w:t>；     职称：</w:t>
      </w:r>
      <w:r>
        <w:rPr>
          <w:rFonts w:hint="eastAsia"/>
          <w:u w:val="single"/>
        </w:rPr>
        <w:t xml:space="preserve">                            </w:t>
      </w:r>
      <w:r>
        <w:rPr>
          <w:rFonts w:hint="eastAsia"/>
        </w:rPr>
        <w:t>；</w:t>
      </w:r>
    </w:p>
    <w:p w14:paraId="3C78A8BF">
      <w:pPr>
        <w:spacing w:line="290" w:lineRule="exact"/>
        <w:ind w:firstLine="420" w:firstLineChars="200"/>
        <w:rPr>
          <w:rFonts w:hint="eastAsia"/>
        </w:rPr>
      </w:pPr>
      <w:r>
        <w:rPr>
          <w:rFonts w:hint="eastAsia"/>
        </w:rPr>
        <w:t>身份证号：</w:t>
      </w:r>
      <w:r>
        <w:rPr>
          <w:rFonts w:hint="eastAsia"/>
          <w:u w:val="single"/>
        </w:rPr>
        <w:t xml:space="preserve">                      </w:t>
      </w:r>
      <w:r>
        <w:rPr>
          <w:rFonts w:hint="eastAsia"/>
        </w:rPr>
        <w:t>；     建造师执业资格证书号：</w:t>
      </w:r>
      <w:r>
        <w:rPr>
          <w:rFonts w:hint="eastAsia"/>
          <w:u w:val="single"/>
        </w:rPr>
        <w:t xml:space="preserve">            </w:t>
      </w:r>
      <w:r>
        <w:rPr>
          <w:rFonts w:hint="eastAsia"/>
        </w:rPr>
        <w:t>；</w:t>
      </w:r>
    </w:p>
    <w:p w14:paraId="1BA10393">
      <w:pPr>
        <w:spacing w:line="400" w:lineRule="exact"/>
        <w:ind w:firstLine="420" w:firstLineChars="200"/>
        <w:rPr>
          <w:rFonts w:hint="eastAsia" w:ascii="宋体" w:hAnsi="宋体"/>
          <w:szCs w:val="21"/>
        </w:rPr>
      </w:pPr>
      <w:r>
        <w:rPr>
          <w:rFonts w:hint="eastAsia" w:ascii="宋体" w:hAnsi="宋体"/>
          <w:szCs w:val="21"/>
        </w:rPr>
        <w:t>建造师注册证书号：</w:t>
      </w:r>
      <w:r>
        <w:rPr>
          <w:rFonts w:hint="eastAsia"/>
          <w:u w:val="single"/>
        </w:rPr>
        <w:t xml:space="preserve">                                                         </w:t>
      </w:r>
      <w:r>
        <w:rPr>
          <w:rFonts w:hint="eastAsia" w:ascii="宋体" w:hAnsi="宋体"/>
          <w:szCs w:val="21"/>
        </w:rPr>
        <w:t>。</w:t>
      </w:r>
    </w:p>
    <w:p w14:paraId="7C6C1929">
      <w:pPr>
        <w:spacing w:line="400" w:lineRule="exact"/>
        <w:ind w:firstLine="420" w:firstLineChars="200"/>
        <w:rPr>
          <w:rFonts w:hint="eastAsia" w:ascii="宋体" w:hAnsi="宋体"/>
          <w:szCs w:val="21"/>
        </w:rPr>
      </w:pPr>
      <w:r>
        <w:rPr>
          <w:rFonts w:hint="eastAsia" w:ascii="宋体" w:hAnsi="宋体"/>
          <w:szCs w:val="21"/>
        </w:rPr>
        <w:t>建造师执业印章号：</w:t>
      </w:r>
      <w:r>
        <w:rPr>
          <w:rFonts w:hint="eastAsia"/>
          <w:u w:val="single"/>
        </w:rPr>
        <w:t xml:space="preserve">                                                         </w:t>
      </w:r>
      <w:r>
        <w:rPr>
          <w:rFonts w:hint="eastAsia" w:ascii="宋体" w:hAnsi="宋体"/>
          <w:szCs w:val="21"/>
        </w:rPr>
        <w:t>。</w:t>
      </w:r>
    </w:p>
    <w:p w14:paraId="074CBC51">
      <w:pPr>
        <w:spacing w:line="400" w:lineRule="exact"/>
        <w:ind w:firstLine="420" w:firstLineChars="200"/>
        <w:rPr>
          <w:rFonts w:hint="eastAsia" w:ascii="宋体" w:hAnsi="宋体"/>
          <w:szCs w:val="21"/>
        </w:rPr>
      </w:pPr>
      <w:r>
        <w:rPr>
          <w:rFonts w:hint="eastAsia" w:ascii="宋体" w:hAnsi="宋体"/>
          <w:szCs w:val="21"/>
        </w:rPr>
        <w:t>安全生产考核合格证书号：</w:t>
      </w:r>
      <w:r>
        <w:rPr>
          <w:rFonts w:hint="eastAsia"/>
          <w:u w:val="single"/>
        </w:rPr>
        <w:t xml:space="preserve">                                                   </w:t>
      </w:r>
      <w:r>
        <w:rPr>
          <w:rFonts w:hint="eastAsia" w:ascii="宋体" w:hAnsi="宋体"/>
          <w:szCs w:val="21"/>
        </w:rPr>
        <w:t>。</w:t>
      </w:r>
    </w:p>
    <w:p w14:paraId="57622DE8">
      <w:pPr>
        <w:spacing w:line="400" w:lineRule="exact"/>
        <w:ind w:firstLine="420" w:firstLineChars="200"/>
        <w:rPr>
          <w:rFonts w:hint="eastAsia" w:ascii="黑体" w:hAnsi="宋体" w:eastAsia="黑体"/>
          <w:szCs w:val="21"/>
        </w:rPr>
      </w:pPr>
      <w:r>
        <w:rPr>
          <w:rFonts w:hint="eastAsia" w:ascii="黑体" w:hAnsi="宋体" w:eastAsia="黑体"/>
          <w:szCs w:val="21"/>
        </w:rPr>
        <w:t>八、合同文件的组成</w:t>
      </w:r>
    </w:p>
    <w:p w14:paraId="3F1052A5">
      <w:pPr>
        <w:spacing w:line="400" w:lineRule="exact"/>
        <w:ind w:firstLine="420" w:firstLineChars="200"/>
        <w:rPr>
          <w:rFonts w:hint="eastAsia" w:ascii="宋体" w:hAnsi="宋体"/>
          <w:szCs w:val="21"/>
        </w:rPr>
      </w:pPr>
      <w:r>
        <w:rPr>
          <w:rFonts w:hint="eastAsia" w:ascii="宋体" w:hAnsi="宋体"/>
          <w:szCs w:val="21"/>
        </w:rPr>
        <w:t>下列文件共同构成合同文件：</w:t>
      </w:r>
    </w:p>
    <w:p w14:paraId="2011A29A">
      <w:pPr>
        <w:spacing w:line="400" w:lineRule="exact"/>
        <w:ind w:firstLine="420" w:firstLineChars="200"/>
        <w:rPr>
          <w:rFonts w:hint="eastAsia" w:ascii="宋体" w:hAnsi="宋体"/>
          <w:szCs w:val="21"/>
        </w:rPr>
      </w:pPr>
      <w:r>
        <w:rPr>
          <w:rFonts w:hint="eastAsia" w:ascii="宋体" w:hAnsi="宋体"/>
          <w:szCs w:val="21"/>
        </w:rPr>
        <w:t>1、本协议书；</w:t>
      </w:r>
    </w:p>
    <w:p w14:paraId="7742939C">
      <w:pPr>
        <w:spacing w:line="400" w:lineRule="exact"/>
        <w:ind w:firstLine="420" w:firstLineChars="200"/>
        <w:rPr>
          <w:rFonts w:hint="eastAsia" w:ascii="宋体" w:hAnsi="宋体"/>
          <w:szCs w:val="21"/>
        </w:rPr>
      </w:pPr>
      <w:r>
        <w:rPr>
          <w:rFonts w:hint="eastAsia" w:ascii="宋体" w:hAnsi="宋体"/>
          <w:szCs w:val="21"/>
        </w:rPr>
        <w:t>2、中标通知书；</w:t>
      </w:r>
    </w:p>
    <w:p w14:paraId="2D841FF3">
      <w:pPr>
        <w:spacing w:line="400" w:lineRule="exact"/>
        <w:ind w:firstLine="420" w:firstLineChars="200"/>
        <w:rPr>
          <w:rFonts w:hint="eastAsia" w:ascii="宋体" w:hAnsi="宋体"/>
          <w:szCs w:val="21"/>
        </w:rPr>
      </w:pPr>
      <w:r>
        <w:rPr>
          <w:rFonts w:hint="eastAsia" w:ascii="宋体" w:hAnsi="宋体"/>
          <w:szCs w:val="21"/>
        </w:rPr>
        <w:t>3、投标函及投标函附录；</w:t>
      </w:r>
    </w:p>
    <w:p w14:paraId="52985B0B">
      <w:pPr>
        <w:spacing w:line="400" w:lineRule="exact"/>
        <w:ind w:firstLine="420" w:firstLineChars="200"/>
        <w:rPr>
          <w:rFonts w:hint="eastAsia" w:ascii="宋体" w:hAnsi="宋体"/>
          <w:szCs w:val="21"/>
        </w:rPr>
      </w:pPr>
      <w:r>
        <w:rPr>
          <w:rFonts w:hint="eastAsia" w:ascii="宋体" w:hAnsi="宋体"/>
          <w:szCs w:val="21"/>
        </w:rPr>
        <w:t>4、专用合同条款；</w:t>
      </w:r>
    </w:p>
    <w:p w14:paraId="13EDEF7D">
      <w:pPr>
        <w:spacing w:line="400" w:lineRule="exact"/>
        <w:ind w:firstLine="420" w:firstLineChars="200"/>
        <w:rPr>
          <w:rFonts w:hint="eastAsia" w:ascii="宋体" w:hAnsi="宋体"/>
          <w:szCs w:val="21"/>
        </w:rPr>
      </w:pPr>
      <w:r>
        <w:rPr>
          <w:rFonts w:hint="eastAsia" w:ascii="宋体" w:hAnsi="宋体"/>
          <w:szCs w:val="21"/>
        </w:rPr>
        <w:t>5、通用合同条款；</w:t>
      </w:r>
    </w:p>
    <w:p w14:paraId="1403EB45">
      <w:pPr>
        <w:spacing w:line="400" w:lineRule="exact"/>
        <w:ind w:firstLine="420" w:firstLineChars="200"/>
        <w:rPr>
          <w:rFonts w:hint="eastAsia" w:ascii="宋体" w:hAnsi="宋体"/>
          <w:szCs w:val="21"/>
        </w:rPr>
      </w:pPr>
      <w:r>
        <w:rPr>
          <w:rFonts w:hint="eastAsia" w:ascii="宋体" w:hAnsi="宋体"/>
          <w:szCs w:val="21"/>
        </w:rPr>
        <w:t>6、技术标准和要求；</w:t>
      </w:r>
    </w:p>
    <w:p w14:paraId="7BD4FBD0">
      <w:pPr>
        <w:spacing w:line="400" w:lineRule="exact"/>
        <w:ind w:firstLine="420" w:firstLineChars="200"/>
        <w:rPr>
          <w:rFonts w:hint="eastAsia" w:ascii="宋体" w:hAnsi="宋体"/>
          <w:szCs w:val="21"/>
        </w:rPr>
      </w:pPr>
      <w:r>
        <w:rPr>
          <w:rFonts w:hint="eastAsia" w:ascii="宋体" w:hAnsi="宋体"/>
          <w:szCs w:val="21"/>
        </w:rPr>
        <w:t>7、图纸；</w:t>
      </w:r>
    </w:p>
    <w:p w14:paraId="7FBED508">
      <w:pPr>
        <w:spacing w:line="400" w:lineRule="exact"/>
        <w:ind w:firstLine="420" w:firstLineChars="200"/>
        <w:rPr>
          <w:rFonts w:hint="eastAsia" w:ascii="宋体" w:hAnsi="宋体"/>
          <w:szCs w:val="21"/>
        </w:rPr>
      </w:pPr>
      <w:r>
        <w:rPr>
          <w:rFonts w:hint="eastAsia" w:ascii="宋体" w:hAnsi="宋体"/>
          <w:szCs w:val="21"/>
        </w:rPr>
        <w:t>8、已标价工程量清单；</w:t>
      </w:r>
    </w:p>
    <w:p w14:paraId="3B5DD76B">
      <w:pPr>
        <w:spacing w:after="156" w:afterLines="50" w:line="400" w:lineRule="exact"/>
        <w:ind w:firstLine="420" w:firstLineChars="200"/>
        <w:rPr>
          <w:rFonts w:hint="eastAsia" w:ascii="宋体" w:hAnsi="宋体"/>
          <w:szCs w:val="21"/>
        </w:rPr>
      </w:pPr>
      <w:r>
        <w:rPr>
          <w:rFonts w:hint="eastAsia" w:ascii="宋体" w:hAnsi="宋体"/>
          <w:szCs w:val="21"/>
        </w:rPr>
        <w:t>9、其他合同文件。</w:t>
      </w:r>
    </w:p>
    <w:p w14:paraId="61354A16">
      <w:pPr>
        <w:spacing w:line="400" w:lineRule="exact"/>
        <w:ind w:firstLine="420" w:firstLineChars="200"/>
        <w:rPr>
          <w:rFonts w:hint="eastAsia" w:ascii="宋体" w:hAnsi="宋体"/>
          <w:szCs w:val="21"/>
        </w:rPr>
      </w:pPr>
      <w:r>
        <w:rPr>
          <w:rFonts w:hint="eastAsia" w:ascii="宋体" w:hAnsi="宋体"/>
          <w:szCs w:val="21"/>
        </w:rPr>
        <w:t>上述文件互相补充和解释，如有不明确或不一致之处，以合同约定次序在先者为准。</w:t>
      </w:r>
    </w:p>
    <w:p w14:paraId="75591F91">
      <w:pPr>
        <w:spacing w:line="340" w:lineRule="exact"/>
        <w:ind w:firstLine="420" w:firstLineChars="200"/>
        <w:rPr>
          <w:rFonts w:hint="eastAsia" w:ascii="宋体" w:hAnsi="宋体"/>
          <w:szCs w:val="21"/>
        </w:rPr>
      </w:pPr>
      <w:r>
        <w:rPr>
          <w:rFonts w:hint="eastAsia" w:ascii="宋体" w:hAnsi="宋体"/>
          <w:szCs w:val="21"/>
        </w:rPr>
        <w:t>九、本协议书中有关词语定义与合同条款中的定义相同。</w:t>
      </w:r>
    </w:p>
    <w:p w14:paraId="673AB32D">
      <w:pPr>
        <w:spacing w:line="340" w:lineRule="exact"/>
        <w:ind w:firstLine="420" w:firstLineChars="200"/>
        <w:rPr>
          <w:rFonts w:hint="eastAsia" w:ascii="宋体" w:hAnsi="宋体"/>
          <w:szCs w:val="21"/>
        </w:rPr>
      </w:pPr>
      <w:r>
        <w:rPr>
          <w:rFonts w:hint="eastAsia" w:ascii="宋体" w:hAnsi="宋体"/>
          <w:szCs w:val="21"/>
        </w:rPr>
        <w:t>十、承包人承诺按照合同约定进行施工、竣工、交付并在缺陷责任期内对工程缺陷承担维修责任。</w:t>
      </w:r>
    </w:p>
    <w:p w14:paraId="31AE2804">
      <w:pPr>
        <w:spacing w:line="340" w:lineRule="exact"/>
        <w:ind w:firstLine="420" w:firstLineChars="200"/>
        <w:rPr>
          <w:rFonts w:hint="eastAsia" w:ascii="宋体" w:hAnsi="宋体"/>
          <w:szCs w:val="21"/>
        </w:rPr>
      </w:pPr>
      <w:r>
        <w:rPr>
          <w:rFonts w:hint="eastAsia" w:ascii="宋体" w:hAnsi="宋体"/>
          <w:szCs w:val="21"/>
        </w:rPr>
        <w:t>十一、发包人承诺按照合同约定的条件、期限和方式向承包人支付合同价款。</w:t>
      </w:r>
    </w:p>
    <w:p w14:paraId="013B3C7A">
      <w:pPr>
        <w:spacing w:line="340" w:lineRule="exact"/>
        <w:ind w:firstLine="420" w:firstLineChars="200"/>
        <w:rPr>
          <w:rFonts w:hint="eastAsia" w:ascii="宋体" w:hAnsi="宋体"/>
          <w:szCs w:val="21"/>
        </w:rPr>
      </w:pPr>
      <w:r>
        <w:rPr>
          <w:rFonts w:hint="eastAsia" w:ascii="宋体" w:hAnsi="宋体"/>
          <w:szCs w:val="21"/>
        </w:rPr>
        <w:t>十二、本协议书连同其他合同文件正本一式两份，合同双方各执一份；副本一式</w:t>
      </w:r>
      <w:r>
        <w:rPr>
          <w:rFonts w:hint="eastAsia" w:ascii="宋体" w:hAnsi="宋体"/>
          <w:szCs w:val="21"/>
          <w:u w:val="single"/>
        </w:rPr>
        <w:t xml:space="preserve">       </w:t>
      </w:r>
    </w:p>
    <w:p w14:paraId="49C30ABC">
      <w:pPr>
        <w:spacing w:line="340" w:lineRule="exact"/>
        <w:rPr>
          <w:rFonts w:hint="eastAsia" w:ascii="宋体" w:hAnsi="宋体"/>
          <w:szCs w:val="21"/>
        </w:rPr>
      </w:pPr>
      <w:r>
        <w:rPr>
          <w:rFonts w:hint="eastAsia" w:ascii="宋体" w:hAnsi="宋体"/>
          <w:szCs w:val="21"/>
        </w:rPr>
        <w:t>份，其中一份在合同报送建设行政主管部门备案时留存。</w:t>
      </w:r>
    </w:p>
    <w:p w14:paraId="12D5E655">
      <w:pPr>
        <w:spacing w:line="340" w:lineRule="exact"/>
        <w:ind w:firstLine="420" w:firstLineChars="200"/>
        <w:rPr>
          <w:rFonts w:hint="eastAsia" w:ascii="宋体" w:hAnsi="宋体"/>
          <w:szCs w:val="21"/>
        </w:rPr>
      </w:pPr>
      <w:r>
        <w:rPr>
          <w:rFonts w:hint="eastAsia" w:ascii="宋体" w:hAnsi="宋体"/>
          <w:szCs w:val="21"/>
        </w:rPr>
        <w:t>十三、合同未尽事宜，双方另行签订补充协议，但不得背离本协议第八条所约定的合同文件的实质性内容。补充协议是合同文件的组成部分。</w:t>
      </w:r>
    </w:p>
    <w:p w14:paraId="476CCC51">
      <w:pPr>
        <w:spacing w:line="340" w:lineRule="exact"/>
        <w:ind w:firstLine="420" w:firstLineChars="200"/>
        <w:rPr>
          <w:rFonts w:hint="eastAsia" w:ascii="宋体" w:hAnsi="宋体"/>
          <w:szCs w:val="21"/>
        </w:rPr>
      </w:pPr>
    </w:p>
    <w:p w14:paraId="3D63D8F4">
      <w:pPr>
        <w:spacing w:line="400" w:lineRule="exact"/>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 xml:space="preserve">(盖单位章)  </w:t>
      </w:r>
      <w:r>
        <w:rPr>
          <w:rFonts w:hint="eastAsia" w:ascii="宋体" w:hAnsi="宋体"/>
          <w:sz w:val="15"/>
          <w:szCs w:val="15"/>
        </w:rPr>
        <w:t xml:space="preserve">    </w:t>
      </w:r>
      <w:r>
        <w:rPr>
          <w:rFonts w:hint="eastAsia" w:ascii="宋体" w:hAnsi="宋体"/>
          <w:szCs w:val="21"/>
        </w:rPr>
        <w:t xml:space="preserve">  承包人：</w:t>
      </w:r>
      <w:r>
        <w:rPr>
          <w:rFonts w:hint="eastAsia" w:ascii="宋体" w:hAnsi="宋体"/>
          <w:szCs w:val="21"/>
          <w:u w:val="single"/>
        </w:rPr>
        <w:t xml:space="preserve">                     </w:t>
      </w:r>
      <w:r>
        <w:rPr>
          <w:rFonts w:hint="eastAsia" w:ascii="宋体" w:hAnsi="宋体"/>
          <w:szCs w:val="21"/>
        </w:rPr>
        <w:t xml:space="preserve"> (盖单位章)</w:t>
      </w:r>
    </w:p>
    <w:p w14:paraId="0EDBDC36">
      <w:pPr>
        <w:spacing w:line="400" w:lineRule="exact"/>
        <w:rPr>
          <w:rFonts w:hint="eastAsia" w:ascii="宋体" w:hAnsi="宋体"/>
          <w:szCs w:val="21"/>
        </w:rPr>
      </w:pPr>
      <w:r>
        <w:rPr>
          <w:rFonts w:hint="eastAsia" w:ascii="宋体" w:hAnsi="宋体"/>
          <w:szCs w:val="21"/>
        </w:rPr>
        <w:t xml:space="preserve">法定代表人或其                       </w:t>
      </w:r>
      <w:r>
        <w:rPr>
          <w:rFonts w:hint="eastAsia" w:ascii="宋体" w:hAnsi="宋体"/>
          <w:sz w:val="15"/>
          <w:szCs w:val="15"/>
        </w:rPr>
        <w:t xml:space="preserve"> </w:t>
      </w:r>
      <w:r>
        <w:rPr>
          <w:rFonts w:hint="eastAsia" w:ascii="宋体" w:hAnsi="宋体"/>
          <w:szCs w:val="21"/>
        </w:rPr>
        <w:t xml:space="preserve">   法定代表人或其</w:t>
      </w:r>
    </w:p>
    <w:p w14:paraId="2A1FF869">
      <w:pPr>
        <w:spacing w:line="400" w:lineRule="exact"/>
        <w:rPr>
          <w:rFonts w:hint="eastAsia"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 xml:space="preserve">(签字)  </w:t>
      </w:r>
      <w:r>
        <w:rPr>
          <w:rFonts w:hint="eastAsia" w:ascii="宋体" w:hAnsi="宋体"/>
          <w:sz w:val="28"/>
          <w:szCs w:val="28"/>
        </w:rPr>
        <w:t xml:space="preserve"> </w:t>
      </w:r>
      <w:r>
        <w:rPr>
          <w:rFonts w:hint="eastAsia" w:ascii="宋体" w:hAnsi="宋体"/>
          <w:szCs w:val="21"/>
        </w:rPr>
        <w:t xml:space="preserve">   委托代理人：</w:t>
      </w:r>
      <w:r>
        <w:rPr>
          <w:rFonts w:hint="eastAsia" w:ascii="宋体" w:hAnsi="宋体"/>
          <w:szCs w:val="21"/>
          <w:u w:val="single"/>
        </w:rPr>
        <w:t xml:space="preserve">                      </w:t>
      </w:r>
      <w:r>
        <w:rPr>
          <w:rFonts w:hint="eastAsia" w:ascii="宋体" w:hAnsi="宋体"/>
          <w:szCs w:val="21"/>
        </w:rPr>
        <w:t xml:space="preserve"> (签字)</w:t>
      </w:r>
    </w:p>
    <w:p w14:paraId="1B5AA4D1">
      <w:pPr>
        <w:spacing w:line="400" w:lineRule="exact"/>
        <w:rPr>
          <w:rFonts w:hint="eastAsia" w:ascii="宋体" w:hAnsi="宋体"/>
          <w:szCs w:val="21"/>
        </w:rPr>
      </w:pPr>
    </w:p>
    <w:p w14:paraId="47A37708">
      <w:pPr>
        <w:spacing w:line="4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8737DEF">
      <w:pPr>
        <w:spacing w:line="400" w:lineRule="exact"/>
        <w:rPr>
          <w:rFonts w:ascii="黑体" w:hAnsi="宋体" w:eastAsia="黑体"/>
          <w:szCs w:val="21"/>
          <w:u w:val="single"/>
        </w:rPr>
      </w:pPr>
      <w:r>
        <w:rPr>
          <w:rFonts w:hint="eastAsia" w:ascii="宋体" w:hAnsi="宋体"/>
          <w:szCs w:val="21"/>
        </w:rPr>
        <w:t>签约地点：</w:t>
      </w:r>
      <w:r>
        <w:rPr>
          <w:rFonts w:hint="eastAsia" w:ascii="宋体" w:hAnsi="宋体"/>
          <w:szCs w:val="21"/>
          <w:u w:val="single"/>
        </w:rPr>
        <w:t xml:space="preserve">                                                                 </w:t>
      </w:r>
    </w:p>
    <w:p w14:paraId="42B29A5E">
      <w:pPr>
        <w:spacing w:line="380" w:lineRule="exact"/>
        <w:rPr>
          <w:rFonts w:hint="eastAsia" w:ascii="宋体" w:hAnsi="宋体"/>
          <w:szCs w:val="21"/>
        </w:rPr>
      </w:pPr>
    </w:p>
    <w:p w14:paraId="4D1937CC">
      <w:pPr>
        <w:spacing w:line="380" w:lineRule="exact"/>
        <w:rPr>
          <w:rFonts w:hint="eastAsia" w:ascii="宋体" w:hAnsi="宋体"/>
          <w:szCs w:val="21"/>
        </w:rPr>
      </w:pPr>
    </w:p>
    <w:p w14:paraId="0D9E4EFD">
      <w:pPr>
        <w:pStyle w:val="20"/>
        <w:rPr>
          <w:rFonts w:hint="eastAsia"/>
        </w:rPr>
      </w:pPr>
      <w:bookmarkStart w:id="1328" w:name="_Toc108513933"/>
      <w:r>
        <w:rPr>
          <w:rFonts w:hint="eastAsia"/>
        </w:rPr>
        <w:t>附件二：预付款担保格式</w:t>
      </w:r>
      <w:bookmarkEnd w:id="1328"/>
    </w:p>
    <w:p w14:paraId="0E271C63">
      <w:pPr>
        <w:spacing w:line="400" w:lineRule="exact"/>
        <w:ind w:firstLine="560" w:firstLineChars="200"/>
        <w:jc w:val="center"/>
        <w:rPr>
          <w:rFonts w:hint="eastAsia" w:ascii="黑体" w:eastAsia="黑体"/>
          <w:sz w:val="28"/>
          <w:szCs w:val="28"/>
        </w:rPr>
      </w:pPr>
    </w:p>
    <w:p w14:paraId="3993A3FA">
      <w:pPr>
        <w:spacing w:line="400" w:lineRule="exact"/>
        <w:ind w:firstLine="560" w:firstLineChars="200"/>
        <w:jc w:val="center"/>
        <w:rPr>
          <w:rFonts w:hint="eastAsia" w:ascii="黑体" w:eastAsia="黑体"/>
          <w:sz w:val="28"/>
          <w:szCs w:val="28"/>
        </w:rPr>
      </w:pPr>
      <w:r>
        <w:rPr>
          <w:rFonts w:hint="eastAsia" w:ascii="黑体" w:eastAsia="黑体"/>
          <w:sz w:val="28"/>
          <w:szCs w:val="28"/>
        </w:rPr>
        <w:t>预付款担保</w:t>
      </w:r>
    </w:p>
    <w:p w14:paraId="4AC91990">
      <w:pPr>
        <w:spacing w:line="400" w:lineRule="exact"/>
        <w:ind w:firstLine="560" w:firstLineChars="200"/>
        <w:jc w:val="center"/>
        <w:rPr>
          <w:rFonts w:hint="eastAsia" w:ascii="黑体" w:eastAsia="黑体"/>
          <w:sz w:val="28"/>
          <w:szCs w:val="28"/>
        </w:rPr>
      </w:pPr>
    </w:p>
    <w:p w14:paraId="146F36F0">
      <w:pPr>
        <w:wordWrap w:val="0"/>
        <w:spacing w:line="400" w:lineRule="exact"/>
        <w:jc w:val="right"/>
        <w:rPr>
          <w:rFonts w:hint="eastAsia" w:ascii="宋体" w:hAnsi="宋体"/>
          <w:szCs w:val="21"/>
          <w:u w:val="single"/>
        </w:rPr>
      </w:pPr>
      <w:r>
        <w:rPr>
          <w:rFonts w:hint="eastAsia" w:ascii="宋体" w:hAnsi="宋体"/>
          <w:szCs w:val="21"/>
        </w:rPr>
        <w:t>保函编号：</w:t>
      </w:r>
      <w:r>
        <w:rPr>
          <w:rFonts w:hint="eastAsia" w:ascii="宋体" w:hAnsi="宋体"/>
          <w:szCs w:val="21"/>
          <w:u w:val="single"/>
        </w:rPr>
        <w:t xml:space="preserve">          </w:t>
      </w:r>
    </w:p>
    <w:p w14:paraId="096D1A33">
      <w:pPr>
        <w:spacing w:line="400" w:lineRule="exact"/>
        <w:jc w:val="left"/>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 (发包人名称)：</w:t>
      </w:r>
    </w:p>
    <w:p w14:paraId="5899C5A0">
      <w:pPr>
        <w:spacing w:line="400" w:lineRule="exact"/>
        <w:ind w:firstLine="420" w:firstLineChars="200"/>
        <w:jc w:val="left"/>
        <w:rPr>
          <w:rFonts w:hint="eastAsia" w:ascii="宋体" w:hAnsi="宋体"/>
          <w:szCs w:val="21"/>
        </w:rPr>
      </w:pPr>
      <w:r>
        <w:rPr>
          <w:rFonts w:hint="eastAsia" w:ascii="宋体" w:hAnsi="宋体"/>
          <w:szCs w:val="21"/>
        </w:rPr>
        <w:t>鉴于你方作为发包人已经与</w:t>
      </w:r>
      <w:r>
        <w:rPr>
          <w:rFonts w:hint="eastAsia" w:ascii="宋体" w:hAnsi="宋体"/>
          <w:szCs w:val="21"/>
          <w:u w:val="single"/>
        </w:rPr>
        <w:t xml:space="preserve">                      </w:t>
      </w:r>
      <w:r>
        <w:rPr>
          <w:rFonts w:hint="eastAsia" w:ascii="宋体" w:hAnsi="宋体"/>
          <w:szCs w:val="21"/>
        </w:rPr>
        <w:t>(承包人名称)(以下称“承包人”)于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日签订了</w:t>
      </w:r>
      <w:r>
        <w:rPr>
          <w:rFonts w:hint="eastAsia" w:ascii="宋体" w:hAnsi="宋体"/>
          <w:szCs w:val="21"/>
          <w:u w:val="single"/>
        </w:rPr>
        <w:t xml:space="preserve">              </w:t>
      </w:r>
      <w:r>
        <w:rPr>
          <w:rFonts w:hint="eastAsia" w:ascii="宋体" w:hAnsi="宋体"/>
          <w:szCs w:val="21"/>
        </w:rPr>
        <w:t>(工程名称)施工承包合同(以下称“主合同”)。</w:t>
      </w:r>
    </w:p>
    <w:p w14:paraId="748C493E">
      <w:pPr>
        <w:spacing w:line="400" w:lineRule="exact"/>
        <w:ind w:firstLine="420" w:firstLineChars="200"/>
        <w:jc w:val="left"/>
        <w:rPr>
          <w:rFonts w:hint="eastAsia" w:ascii="宋体" w:hAnsi="宋体"/>
          <w:szCs w:val="21"/>
        </w:rPr>
      </w:pPr>
      <w:r>
        <w:rPr>
          <w:rFonts w:hint="eastAsia" w:ascii="宋体" w:hAnsi="宋体"/>
          <w:szCs w:val="21"/>
        </w:rPr>
        <w:t>鉴于该主合同规定，你方将支付承包人一笔金额为</w:t>
      </w:r>
      <w:r>
        <w:rPr>
          <w:rFonts w:hint="eastAsia" w:ascii="宋体" w:hAnsi="宋体"/>
          <w:szCs w:val="21"/>
          <w:u w:val="single"/>
        </w:rPr>
        <w:t xml:space="preserve">       </w:t>
      </w: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rPr>
        <w:t>)的预付款(以下称“预付款”)，而承包人须向你方提供与预付款等额的不可撤消和无条件兑现的预付款保函。</w:t>
      </w:r>
    </w:p>
    <w:p w14:paraId="176B1871">
      <w:pPr>
        <w:spacing w:line="400" w:lineRule="exact"/>
        <w:ind w:firstLine="420" w:firstLineChars="200"/>
        <w:jc w:val="left"/>
        <w:rPr>
          <w:rFonts w:hint="eastAsia" w:ascii="宋体" w:hAnsi="宋体"/>
          <w:szCs w:val="21"/>
        </w:rPr>
      </w:pPr>
      <w:r>
        <w:rPr>
          <w:rFonts w:hint="eastAsia" w:ascii="宋体" w:hAnsi="宋体"/>
          <w:szCs w:val="21"/>
        </w:rPr>
        <w:t>我方受承包人委托，为承包人履行主合同规定的义务作出如下不可撤销的保证：</w:t>
      </w:r>
    </w:p>
    <w:p w14:paraId="0A3F7704">
      <w:pPr>
        <w:spacing w:line="400" w:lineRule="exact"/>
        <w:ind w:firstLine="420" w:firstLineChars="200"/>
        <w:jc w:val="left"/>
        <w:rPr>
          <w:rFonts w:hint="eastAsia" w:ascii="宋体" w:hAnsi="宋体"/>
          <w:szCs w:val="21"/>
        </w:rPr>
      </w:pPr>
      <w:r>
        <w:rPr>
          <w:rFonts w:hint="eastAsia" w:ascii="宋体" w:hAnsi="宋体"/>
          <w:szCs w:val="21"/>
        </w:rPr>
        <w:t>我方将在收到你方提出要求收回上述预付款金额的部分或全部的索偿通知时，无须你方提出任何证明或证据，立即无条件地向你方支付不超过</w:t>
      </w:r>
      <w:r>
        <w:rPr>
          <w:rFonts w:hint="eastAsia" w:ascii="宋体" w:hAnsi="宋体"/>
          <w:szCs w:val="21"/>
          <w:u w:val="single"/>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rPr>
        <w:t>)或根据本保函约定递减后的其他金额的任何你方要求的金额，并放弃向你方追索的权力。</w:t>
      </w:r>
    </w:p>
    <w:p w14:paraId="738A5945">
      <w:pPr>
        <w:spacing w:line="400" w:lineRule="exact"/>
        <w:ind w:firstLine="420" w:firstLineChars="200"/>
        <w:jc w:val="left"/>
        <w:rPr>
          <w:rFonts w:hint="eastAsia" w:ascii="宋体" w:hAnsi="宋体"/>
          <w:szCs w:val="21"/>
        </w:rPr>
      </w:pPr>
      <w:r>
        <w:rPr>
          <w:rFonts w:hint="eastAsia" w:ascii="宋体" w:hAnsi="宋体"/>
          <w:szCs w:val="21"/>
        </w:rPr>
        <w:t>我方特此确认并同意：我方受本保函制约的责任是连续的，主合同的任何修改、变更、</w:t>
      </w:r>
    </w:p>
    <w:p w14:paraId="7B569A58">
      <w:pPr>
        <w:spacing w:line="400" w:lineRule="exact"/>
        <w:rPr>
          <w:rFonts w:hint="eastAsia" w:ascii="宋体" w:hAnsi="宋体"/>
          <w:szCs w:val="21"/>
        </w:rPr>
      </w:pPr>
      <w:r>
        <w:rPr>
          <w:rFonts w:hint="eastAsia" w:ascii="宋体" w:hAnsi="宋体"/>
          <w:szCs w:val="21"/>
        </w:rPr>
        <w:t>中止、终止或失效都不能削弱或影响我方受本保函制约的责任。</w:t>
      </w:r>
    </w:p>
    <w:p w14:paraId="500751DD">
      <w:pPr>
        <w:spacing w:line="400" w:lineRule="exact"/>
        <w:ind w:firstLine="420" w:firstLineChars="200"/>
        <w:rPr>
          <w:rFonts w:hint="eastAsia" w:ascii="宋体" w:hAnsi="宋体"/>
          <w:szCs w:val="21"/>
        </w:rPr>
      </w:pPr>
      <w:r>
        <w:rPr>
          <w:rFonts w:hint="eastAsia" w:ascii="宋体" w:hAnsi="宋体"/>
          <w:szCs w:val="21"/>
        </w:rPr>
        <w:t>在收到你方的书面通知后，本保函的担保金额将根据你方依主合同签认的进度付款证书</w:t>
      </w:r>
    </w:p>
    <w:p w14:paraId="4CC568AC">
      <w:pPr>
        <w:spacing w:line="400" w:lineRule="exact"/>
        <w:rPr>
          <w:rFonts w:hint="eastAsia" w:ascii="宋体" w:hAnsi="宋体"/>
          <w:szCs w:val="21"/>
        </w:rPr>
      </w:pPr>
      <w:r>
        <w:rPr>
          <w:rFonts w:hint="eastAsia" w:ascii="宋体" w:hAnsi="宋体"/>
          <w:szCs w:val="21"/>
        </w:rPr>
        <w:t>中累计扣回的预付款金额作等额调减。</w:t>
      </w:r>
    </w:p>
    <w:p w14:paraId="29C3E459">
      <w:pPr>
        <w:spacing w:line="400" w:lineRule="exact"/>
        <w:ind w:firstLine="420" w:firstLineChars="200"/>
        <w:rPr>
          <w:rFonts w:hint="eastAsia" w:ascii="宋体" w:hAnsi="宋体"/>
          <w:szCs w:val="21"/>
        </w:rPr>
      </w:pPr>
      <w:r>
        <w:rPr>
          <w:rFonts w:hint="eastAsia" w:ascii="宋体" w:hAnsi="宋体"/>
          <w:szCs w:val="21"/>
        </w:rPr>
        <w:t>本保函自预付款支付给承包人起生效，至你方签发的进度付款证书说明已抵扣完毕止。</w:t>
      </w:r>
    </w:p>
    <w:p w14:paraId="598A75AA">
      <w:pPr>
        <w:spacing w:line="400" w:lineRule="exact"/>
        <w:ind w:firstLine="420" w:firstLineChars="200"/>
        <w:rPr>
          <w:rFonts w:hint="eastAsia" w:ascii="宋体" w:hAnsi="宋体"/>
          <w:szCs w:val="21"/>
        </w:rPr>
      </w:pPr>
      <w:r>
        <w:rPr>
          <w:rFonts w:hint="eastAsia" w:ascii="宋体" w:hAnsi="宋体"/>
          <w:szCs w:val="21"/>
        </w:rPr>
        <w:t>除非你方提前终止或解除本保函。本保函失效后请将本保函退回我方注销。</w:t>
      </w:r>
    </w:p>
    <w:p w14:paraId="0A65C813">
      <w:pPr>
        <w:spacing w:line="400" w:lineRule="exact"/>
        <w:ind w:firstLine="420" w:firstLineChars="200"/>
        <w:rPr>
          <w:rFonts w:hint="eastAsia" w:ascii="宋体" w:hAnsi="宋体"/>
          <w:szCs w:val="21"/>
        </w:rPr>
      </w:pPr>
      <w:r>
        <w:rPr>
          <w:rFonts w:hint="eastAsia" w:ascii="宋体" w:hAnsi="宋体"/>
          <w:szCs w:val="21"/>
        </w:rPr>
        <w:t>本保函项下所有权利和义务均受中华人民共和国法律管辖和制约。</w:t>
      </w:r>
    </w:p>
    <w:p w14:paraId="5CFAC7EB">
      <w:pPr>
        <w:spacing w:line="400" w:lineRule="exact"/>
        <w:ind w:firstLine="420" w:firstLineChars="200"/>
        <w:rPr>
          <w:rFonts w:hint="eastAsia" w:ascii="宋体" w:hAnsi="宋体"/>
          <w:szCs w:val="21"/>
        </w:rPr>
      </w:pPr>
    </w:p>
    <w:p w14:paraId="06ADC472">
      <w:pPr>
        <w:spacing w:line="400" w:lineRule="exact"/>
        <w:ind w:firstLine="3780" w:firstLineChars="1800"/>
        <w:rPr>
          <w:rFonts w:hint="eastAsia" w:ascii="宋体" w:hAnsi="宋体"/>
          <w:szCs w:val="21"/>
        </w:rPr>
      </w:pPr>
      <w:r>
        <w:rPr>
          <w:rFonts w:hint="eastAsia" w:ascii="宋体" w:hAnsi="宋体"/>
          <w:szCs w:val="21"/>
        </w:rPr>
        <w:t>担保人：</w:t>
      </w:r>
      <w:r>
        <w:rPr>
          <w:rFonts w:hint="eastAsia" w:ascii="宋体" w:hAnsi="宋体"/>
          <w:szCs w:val="21"/>
          <w:u w:val="single"/>
        </w:rPr>
        <w:t xml:space="preserve">                         </w:t>
      </w:r>
      <w:r>
        <w:rPr>
          <w:rFonts w:hint="eastAsia" w:ascii="宋体" w:hAnsi="宋体"/>
          <w:szCs w:val="21"/>
        </w:rPr>
        <w:t>(盖单位章)</w:t>
      </w:r>
    </w:p>
    <w:p w14:paraId="661174FB">
      <w:pPr>
        <w:spacing w:line="400" w:lineRule="exact"/>
        <w:ind w:firstLine="3780" w:firstLineChars="180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 xml:space="preserve"> (签字)</w:t>
      </w:r>
    </w:p>
    <w:p w14:paraId="622273FA">
      <w:pPr>
        <w:spacing w:line="400" w:lineRule="exact"/>
        <w:ind w:firstLine="3780" w:firstLineChars="1800"/>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2157B35A">
      <w:pPr>
        <w:spacing w:line="400" w:lineRule="exact"/>
        <w:ind w:firstLine="3780" w:firstLineChars="1800"/>
        <w:rPr>
          <w:rFonts w:hint="eastAsia" w:ascii="宋体" w:hAnsi="宋体"/>
          <w:szCs w:val="21"/>
        </w:rPr>
      </w:pPr>
      <w:r>
        <w:rPr>
          <w:rFonts w:hint="eastAsia" w:ascii="宋体" w:hAnsi="宋体"/>
          <w:szCs w:val="21"/>
        </w:rPr>
        <w:t>邮政编码：</w:t>
      </w:r>
      <w:r>
        <w:rPr>
          <w:rFonts w:hint="eastAsia" w:ascii="宋体" w:hAnsi="宋体"/>
          <w:szCs w:val="21"/>
          <w:u w:val="single"/>
        </w:rPr>
        <w:t xml:space="preserve">                               </w:t>
      </w:r>
    </w:p>
    <w:p w14:paraId="326C4258">
      <w:pPr>
        <w:spacing w:line="400" w:lineRule="exact"/>
        <w:ind w:firstLine="3780" w:firstLineChars="1800"/>
        <w:rPr>
          <w:rFonts w:hint="eastAsia" w:ascii="宋体" w:hAnsi="宋体"/>
          <w:szCs w:val="21"/>
        </w:rPr>
      </w:pPr>
      <w:r>
        <w:rPr>
          <w:rFonts w:hint="eastAsia" w:ascii="宋体" w:hAnsi="宋体"/>
          <w:szCs w:val="21"/>
        </w:rPr>
        <w:t>电    话：</w:t>
      </w:r>
      <w:r>
        <w:rPr>
          <w:rFonts w:hint="eastAsia" w:ascii="宋体" w:hAnsi="宋体"/>
          <w:szCs w:val="21"/>
          <w:u w:val="single"/>
        </w:rPr>
        <w:t xml:space="preserve">                               </w:t>
      </w:r>
    </w:p>
    <w:p w14:paraId="5A823977">
      <w:pPr>
        <w:spacing w:line="400" w:lineRule="exact"/>
        <w:ind w:firstLine="3780" w:firstLineChars="1800"/>
        <w:rPr>
          <w:rFonts w:hint="eastAsia" w:ascii="宋体" w:hAnsi="宋体"/>
          <w:szCs w:val="21"/>
        </w:rPr>
      </w:pPr>
      <w:r>
        <w:rPr>
          <w:rFonts w:hint="eastAsia" w:ascii="宋体" w:hAnsi="宋体"/>
          <w:szCs w:val="21"/>
        </w:rPr>
        <w:t>传    真：</w:t>
      </w:r>
      <w:r>
        <w:rPr>
          <w:rFonts w:hint="eastAsia" w:ascii="宋体" w:hAnsi="宋体"/>
          <w:szCs w:val="21"/>
          <w:u w:val="single"/>
        </w:rPr>
        <w:t xml:space="preserve">                               </w:t>
      </w:r>
    </w:p>
    <w:p w14:paraId="550BC675">
      <w:pPr>
        <w:wordWrap w:val="0"/>
        <w:spacing w:after="156" w:afterLines="50" w:line="400" w:lineRule="exact"/>
        <w:ind w:right="108" w:firstLine="3780" w:firstLineChars="1800"/>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3196FC5E">
      <w:pPr>
        <w:spacing w:line="340" w:lineRule="exact"/>
        <w:ind w:left="630" w:hanging="630" w:hangingChars="300"/>
        <w:rPr>
          <w:rFonts w:hint="eastAsia" w:ascii="宋体" w:hAnsi="宋体"/>
          <w:szCs w:val="21"/>
        </w:rPr>
      </w:pPr>
      <w:r>
        <w:rPr>
          <w:rFonts w:hint="eastAsia" w:ascii="宋体" w:hAnsi="宋体"/>
          <w:szCs w:val="21"/>
        </w:rPr>
        <w:t>备注：本预付款担保格式可采用经发包人认可的其他格式，但相关内容不得违背合同文件约定的实质性内容。</w:t>
      </w:r>
    </w:p>
    <w:p w14:paraId="0DB4D393">
      <w:pPr>
        <w:spacing w:line="340" w:lineRule="exact"/>
        <w:ind w:left="630" w:hanging="630" w:hangingChars="300"/>
        <w:rPr>
          <w:rFonts w:hint="eastAsia" w:ascii="宋体" w:hAnsi="宋体"/>
          <w:szCs w:val="21"/>
        </w:rPr>
      </w:pPr>
    </w:p>
    <w:p w14:paraId="3471FB28">
      <w:pPr>
        <w:spacing w:line="340" w:lineRule="exact"/>
        <w:rPr>
          <w:rFonts w:hint="eastAsia" w:ascii="宋体" w:hAnsi="宋体"/>
          <w:szCs w:val="21"/>
        </w:rPr>
      </w:pPr>
    </w:p>
    <w:p w14:paraId="3E1D95E9">
      <w:pPr>
        <w:pStyle w:val="20"/>
        <w:rPr>
          <w:rFonts w:hint="eastAsia" w:ascii="黑体" w:hAnsi="宋体"/>
        </w:rPr>
      </w:pPr>
      <w:bookmarkStart w:id="1329" w:name="_Toc108513934"/>
      <w:r>
        <w:rPr>
          <w:rFonts w:hint="eastAsia"/>
        </w:rPr>
        <w:t>附件三：履约担保格式</w:t>
      </w:r>
      <w:bookmarkEnd w:id="1329"/>
    </w:p>
    <w:p w14:paraId="23708E39">
      <w:pPr>
        <w:spacing w:line="400" w:lineRule="exact"/>
        <w:ind w:firstLine="560" w:firstLineChars="200"/>
        <w:jc w:val="center"/>
        <w:rPr>
          <w:rFonts w:hint="eastAsia" w:ascii="黑体" w:eastAsia="黑体"/>
          <w:sz w:val="28"/>
          <w:szCs w:val="28"/>
        </w:rPr>
      </w:pPr>
    </w:p>
    <w:p w14:paraId="0424635F">
      <w:pPr>
        <w:spacing w:line="400" w:lineRule="exact"/>
        <w:ind w:firstLine="560" w:firstLineChars="200"/>
        <w:jc w:val="center"/>
        <w:rPr>
          <w:rFonts w:hint="eastAsia" w:ascii="黑体" w:eastAsia="黑体"/>
          <w:sz w:val="28"/>
          <w:szCs w:val="28"/>
        </w:rPr>
      </w:pPr>
      <w:r>
        <w:rPr>
          <w:rFonts w:hint="eastAsia" w:ascii="黑体" w:eastAsia="黑体"/>
          <w:sz w:val="28"/>
          <w:szCs w:val="28"/>
        </w:rPr>
        <w:t>承包人履约保函</w:t>
      </w:r>
    </w:p>
    <w:p w14:paraId="6FCFA8F1">
      <w:pPr>
        <w:spacing w:line="400" w:lineRule="exact"/>
        <w:ind w:firstLine="560" w:firstLineChars="200"/>
        <w:jc w:val="center"/>
        <w:rPr>
          <w:rFonts w:hint="eastAsia" w:ascii="黑体" w:eastAsia="黑体"/>
          <w:sz w:val="28"/>
          <w:szCs w:val="28"/>
        </w:rPr>
      </w:pPr>
    </w:p>
    <w:p w14:paraId="53AA86F4">
      <w:pPr>
        <w:spacing w:line="28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(发包人名称)：</w:t>
      </w:r>
    </w:p>
    <w:p w14:paraId="117566EE">
      <w:pPr>
        <w:spacing w:line="280" w:lineRule="exact"/>
        <w:ind w:firstLine="420" w:firstLineChars="200"/>
        <w:rPr>
          <w:rFonts w:hint="eastAsia" w:ascii="宋体" w:hAnsi="宋体"/>
          <w:szCs w:val="21"/>
        </w:rPr>
      </w:pPr>
      <w:r>
        <w:rPr>
          <w:rFonts w:hint="eastAsia" w:ascii="宋体" w:hAnsi="宋体"/>
          <w:szCs w:val="21"/>
        </w:rPr>
        <w:t>鉴于你方作为发包人已经与</w:t>
      </w:r>
      <w:r>
        <w:rPr>
          <w:rFonts w:hint="eastAsia" w:ascii="宋体" w:hAnsi="宋体"/>
          <w:szCs w:val="21"/>
          <w:u w:val="single"/>
        </w:rPr>
        <w:t xml:space="preserve">                    </w:t>
      </w:r>
      <w:r>
        <w:rPr>
          <w:rFonts w:hint="eastAsia" w:ascii="宋体" w:hAnsi="宋体"/>
          <w:szCs w:val="21"/>
        </w:rPr>
        <w:t xml:space="preserve"> (承包人名称)(以下称“承包人”)于</w:t>
      </w:r>
    </w:p>
    <w:p w14:paraId="2CB08C2B">
      <w:pPr>
        <w:spacing w:line="28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日签订了</w:t>
      </w:r>
      <w:r>
        <w:rPr>
          <w:rFonts w:hint="eastAsia" w:ascii="宋体" w:hAnsi="宋体"/>
          <w:szCs w:val="21"/>
          <w:u w:val="single"/>
        </w:rPr>
        <w:t xml:space="preserve">                 </w:t>
      </w:r>
      <w:r>
        <w:rPr>
          <w:rFonts w:hint="eastAsia" w:ascii="宋体" w:hAnsi="宋体"/>
          <w:szCs w:val="21"/>
        </w:rPr>
        <w:t xml:space="preserve"> (工程名称)施工承包合同(以下称“主合同”)，应承包人申请，我方愿就承包人履行主合同约定的义务以保证的方式向你方提供如下担保：</w:t>
      </w:r>
    </w:p>
    <w:p w14:paraId="4DEEFB62">
      <w:pPr>
        <w:spacing w:line="280" w:lineRule="exact"/>
        <w:ind w:firstLine="420" w:firstLineChars="200"/>
        <w:rPr>
          <w:rFonts w:hint="eastAsia" w:ascii="黑体" w:hAnsi="宋体" w:eastAsia="黑体"/>
          <w:szCs w:val="21"/>
        </w:rPr>
      </w:pPr>
      <w:r>
        <w:rPr>
          <w:rFonts w:hint="eastAsia" w:ascii="黑体" w:hAnsi="宋体" w:eastAsia="黑体"/>
          <w:szCs w:val="21"/>
        </w:rPr>
        <w:t>一、保证的范围及保证金额</w:t>
      </w:r>
    </w:p>
    <w:p w14:paraId="348EF563">
      <w:pPr>
        <w:spacing w:line="280" w:lineRule="exact"/>
        <w:ind w:firstLine="420" w:firstLineChars="200"/>
        <w:rPr>
          <w:rFonts w:hint="eastAsia" w:ascii="宋体" w:hAnsi="宋体"/>
          <w:szCs w:val="21"/>
        </w:rPr>
      </w:pPr>
      <w:r>
        <w:rPr>
          <w:rFonts w:hint="eastAsia" w:ascii="宋体" w:hAnsi="宋体"/>
          <w:szCs w:val="21"/>
        </w:rPr>
        <w:t>我方的保证范围是承包人未按照主合同的约定履行义务，给你方造成的实际损失。</w:t>
      </w:r>
    </w:p>
    <w:p w14:paraId="464A06A7">
      <w:pPr>
        <w:spacing w:line="280" w:lineRule="exact"/>
        <w:ind w:firstLine="420" w:firstLineChars="200"/>
        <w:rPr>
          <w:rFonts w:hint="eastAsia" w:ascii="宋体" w:hAnsi="宋体"/>
          <w:szCs w:val="21"/>
        </w:rPr>
      </w:pPr>
      <w:r>
        <w:rPr>
          <w:rFonts w:hint="eastAsia" w:ascii="宋体" w:hAnsi="宋体"/>
          <w:szCs w:val="21"/>
        </w:rPr>
        <w:t>我方保证的金额是主合同约定的合同总价款</w:t>
      </w:r>
      <w:r>
        <w:rPr>
          <w:rFonts w:hint="eastAsia" w:ascii="宋体" w:hAnsi="宋体"/>
          <w:szCs w:val="21"/>
          <w:u w:val="single"/>
        </w:rPr>
        <w:t xml:space="preserve">      </w:t>
      </w:r>
      <w:r>
        <w:rPr>
          <w:rFonts w:hint="eastAsia" w:ascii="宋体" w:hAnsi="宋体"/>
          <w:szCs w:val="21"/>
        </w:rPr>
        <w:t>%，数额最高不超过人民币</w:t>
      </w:r>
      <w:r>
        <w:rPr>
          <w:rFonts w:hint="eastAsia" w:ascii="宋体" w:hAnsi="宋体"/>
          <w:szCs w:val="21"/>
          <w:u w:val="single"/>
        </w:rPr>
        <w:t xml:space="preserve">     </w:t>
      </w:r>
      <w:r>
        <w:rPr>
          <w:rFonts w:hint="eastAsia" w:ascii="宋体" w:hAnsi="宋体"/>
          <w:szCs w:val="21"/>
        </w:rPr>
        <w:t>元(大写)。</w:t>
      </w:r>
    </w:p>
    <w:p w14:paraId="57B4C999">
      <w:pPr>
        <w:spacing w:line="280" w:lineRule="exact"/>
        <w:ind w:firstLine="420" w:firstLineChars="200"/>
        <w:rPr>
          <w:rFonts w:hint="eastAsia" w:ascii="黑体" w:hAnsi="宋体" w:eastAsia="黑体"/>
          <w:szCs w:val="21"/>
        </w:rPr>
      </w:pPr>
      <w:r>
        <w:rPr>
          <w:rFonts w:hint="eastAsia" w:ascii="黑体" w:hAnsi="宋体" w:eastAsia="黑体"/>
          <w:szCs w:val="21"/>
        </w:rPr>
        <w:t>二、保证的方式及保证期间</w:t>
      </w:r>
    </w:p>
    <w:p w14:paraId="20000732">
      <w:pPr>
        <w:spacing w:line="280" w:lineRule="exact"/>
        <w:ind w:firstLine="420" w:firstLineChars="200"/>
        <w:rPr>
          <w:rFonts w:hint="eastAsia" w:ascii="宋体" w:hAnsi="宋体"/>
          <w:szCs w:val="21"/>
        </w:rPr>
      </w:pPr>
      <w:r>
        <w:rPr>
          <w:rFonts w:hint="eastAsia" w:ascii="宋体" w:hAnsi="宋体"/>
          <w:szCs w:val="21"/>
        </w:rPr>
        <w:t>我方保证的方式为：连带责任保证。</w:t>
      </w:r>
    </w:p>
    <w:p w14:paraId="398092C9">
      <w:pPr>
        <w:spacing w:line="280" w:lineRule="exact"/>
        <w:ind w:firstLine="420" w:firstLineChars="200"/>
        <w:rPr>
          <w:rFonts w:hint="eastAsia" w:ascii="宋体" w:hAnsi="宋体"/>
          <w:szCs w:val="21"/>
        </w:rPr>
      </w:pPr>
      <w:r>
        <w:rPr>
          <w:rFonts w:hint="eastAsia" w:ascii="宋体" w:hAnsi="宋体"/>
          <w:szCs w:val="21"/>
        </w:rPr>
        <w:t>我方保证的期间为：自本合同生效之日起至主合同约定的工程竣工日期后</w:t>
      </w:r>
      <w:r>
        <w:rPr>
          <w:rFonts w:hint="eastAsia" w:ascii="宋体" w:hAnsi="宋体"/>
          <w:szCs w:val="21"/>
          <w:u w:val="single"/>
        </w:rPr>
        <w:t xml:space="preserve">      </w:t>
      </w:r>
      <w:r>
        <w:rPr>
          <w:rFonts w:hint="eastAsia" w:ascii="宋体" w:hAnsi="宋体"/>
          <w:szCs w:val="21"/>
        </w:rPr>
        <w:t>日内。</w:t>
      </w:r>
    </w:p>
    <w:p w14:paraId="05131880">
      <w:pPr>
        <w:spacing w:line="280" w:lineRule="exact"/>
        <w:ind w:firstLine="420" w:firstLineChars="200"/>
        <w:rPr>
          <w:rFonts w:hint="eastAsia" w:ascii="宋体" w:hAnsi="宋体"/>
          <w:szCs w:val="21"/>
        </w:rPr>
      </w:pPr>
      <w:r>
        <w:rPr>
          <w:rFonts w:hint="eastAsia" w:ascii="宋体" w:hAnsi="宋体"/>
          <w:szCs w:val="21"/>
        </w:rPr>
        <w:t>你方与承包人协议变更工程竣工日期的，经我方书面同意后，保证期间按照变更后的竣工日期做相应调整。</w:t>
      </w:r>
    </w:p>
    <w:p w14:paraId="361F8814">
      <w:pPr>
        <w:spacing w:line="280" w:lineRule="exact"/>
        <w:ind w:firstLine="420" w:firstLineChars="200"/>
        <w:rPr>
          <w:rFonts w:hint="eastAsia" w:ascii="黑体" w:hAnsi="宋体" w:eastAsia="黑体"/>
          <w:szCs w:val="21"/>
        </w:rPr>
      </w:pPr>
      <w:r>
        <w:rPr>
          <w:rFonts w:hint="eastAsia" w:ascii="黑体" w:hAnsi="宋体" w:eastAsia="黑体"/>
          <w:szCs w:val="21"/>
        </w:rPr>
        <w:t>三、承担保证责任的形式</w:t>
      </w:r>
    </w:p>
    <w:p w14:paraId="7B6F2E44">
      <w:pPr>
        <w:spacing w:line="280" w:lineRule="exact"/>
        <w:ind w:firstLine="420" w:firstLineChars="200"/>
        <w:rPr>
          <w:rFonts w:hint="eastAsia" w:ascii="宋体" w:hAnsi="宋体"/>
          <w:szCs w:val="21"/>
        </w:rPr>
      </w:pPr>
      <w:r>
        <w:rPr>
          <w:rFonts w:hint="eastAsia" w:ascii="宋体" w:hAnsi="宋体"/>
          <w:szCs w:val="21"/>
        </w:rPr>
        <w:t>我方按照你方的要求以下列方式之一承担保证责任：</w:t>
      </w:r>
    </w:p>
    <w:p w14:paraId="21518756">
      <w:pPr>
        <w:spacing w:line="280" w:lineRule="exact"/>
        <w:ind w:firstLine="420" w:firstLineChars="200"/>
        <w:rPr>
          <w:rFonts w:hint="eastAsia" w:ascii="宋体" w:hAnsi="宋体"/>
          <w:szCs w:val="21"/>
        </w:rPr>
      </w:pPr>
      <w:r>
        <w:rPr>
          <w:rFonts w:hint="eastAsia" w:ascii="宋体" w:hAnsi="宋体"/>
          <w:szCs w:val="21"/>
        </w:rPr>
        <w:t>(1)由我方提供资金及技术援助，使承包人继续履行主合同义务，支付金额不超过本保函第一条规定的保证金额。</w:t>
      </w:r>
    </w:p>
    <w:p w14:paraId="029F94F6">
      <w:pPr>
        <w:spacing w:line="280" w:lineRule="exact"/>
        <w:ind w:firstLine="420" w:firstLineChars="200"/>
        <w:rPr>
          <w:rFonts w:hint="eastAsia" w:ascii="宋体" w:hAnsi="宋体"/>
          <w:szCs w:val="21"/>
        </w:rPr>
      </w:pPr>
      <w:r>
        <w:rPr>
          <w:rFonts w:hint="eastAsia" w:ascii="宋体" w:hAnsi="宋体"/>
          <w:szCs w:val="21"/>
        </w:rPr>
        <w:t>(2)由我方在本保函第一条规定的保证金额内赔偿你方的损失。</w:t>
      </w:r>
    </w:p>
    <w:p w14:paraId="01040ADD">
      <w:pPr>
        <w:spacing w:line="280" w:lineRule="exact"/>
        <w:ind w:firstLine="420" w:firstLineChars="200"/>
        <w:rPr>
          <w:rFonts w:hint="eastAsia" w:ascii="黑体" w:hAnsi="宋体" w:eastAsia="黑体"/>
          <w:szCs w:val="21"/>
        </w:rPr>
      </w:pPr>
      <w:r>
        <w:rPr>
          <w:rFonts w:hint="eastAsia" w:ascii="黑体" w:hAnsi="宋体" w:eastAsia="黑体"/>
          <w:szCs w:val="21"/>
        </w:rPr>
        <w:t>四、代偿的安排</w:t>
      </w:r>
    </w:p>
    <w:p w14:paraId="4BC931FF">
      <w:pPr>
        <w:spacing w:line="280" w:lineRule="exact"/>
        <w:ind w:firstLine="420" w:firstLineChars="200"/>
        <w:rPr>
          <w:rFonts w:hint="eastAsia" w:ascii="宋体" w:hAnsi="宋体"/>
          <w:szCs w:val="21"/>
        </w:rPr>
      </w:pPr>
      <w:r>
        <w:rPr>
          <w:rFonts w:hint="eastAsia" w:ascii="宋体" w:hAnsi="宋体"/>
          <w:szCs w:val="21"/>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14:paraId="4527C56E">
      <w:pPr>
        <w:spacing w:line="280" w:lineRule="exact"/>
        <w:ind w:firstLine="420" w:firstLineChars="200"/>
        <w:rPr>
          <w:rFonts w:hint="eastAsia" w:ascii="宋体" w:hAnsi="宋体"/>
          <w:szCs w:val="21"/>
        </w:rPr>
      </w:pPr>
      <w:r>
        <w:rPr>
          <w:rFonts w:hint="eastAsia" w:ascii="宋体" w:hAnsi="宋体"/>
          <w:szCs w:val="21"/>
        </w:rPr>
        <w:t>你方以工程质量不符合主合同约定标准为由，向我方提出违约索赔的，还需同时提供符合相应条件要求的工程质量检测部门出具的质量说明材料。</w:t>
      </w:r>
    </w:p>
    <w:p w14:paraId="45C9C1C1">
      <w:pPr>
        <w:spacing w:line="280" w:lineRule="exact"/>
        <w:ind w:firstLine="420" w:firstLineChars="200"/>
        <w:rPr>
          <w:rFonts w:hint="eastAsia" w:ascii="宋体" w:hAnsi="宋体"/>
          <w:szCs w:val="21"/>
        </w:rPr>
      </w:pPr>
      <w:r>
        <w:rPr>
          <w:rFonts w:hint="eastAsia" w:ascii="宋体" w:hAnsi="宋体"/>
          <w:szCs w:val="21"/>
        </w:rPr>
        <w:t>我方收到你方的书面索赔通知及相应证明材料后，在</w:t>
      </w:r>
      <w:r>
        <w:rPr>
          <w:rFonts w:hint="eastAsia" w:ascii="宋体" w:hAnsi="宋体"/>
          <w:szCs w:val="21"/>
          <w:u w:val="single"/>
        </w:rPr>
        <w:t xml:space="preserve">     </w:t>
      </w:r>
      <w:r>
        <w:rPr>
          <w:rFonts w:hint="eastAsia" w:ascii="宋体" w:hAnsi="宋体"/>
          <w:szCs w:val="21"/>
        </w:rPr>
        <w:t>工作日内进行核定后按照本保函的承诺承担保证责任。</w:t>
      </w:r>
    </w:p>
    <w:p w14:paraId="644A2562">
      <w:pPr>
        <w:spacing w:line="280" w:lineRule="exact"/>
        <w:ind w:firstLine="420" w:firstLineChars="200"/>
        <w:rPr>
          <w:rFonts w:hint="eastAsia" w:ascii="黑体" w:hAnsi="宋体" w:eastAsia="黑体"/>
          <w:szCs w:val="21"/>
        </w:rPr>
      </w:pPr>
      <w:r>
        <w:rPr>
          <w:rFonts w:hint="eastAsia" w:ascii="黑体" w:hAnsi="宋体" w:eastAsia="黑体"/>
          <w:szCs w:val="21"/>
        </w:rPr>
        <w:t>五、保证责任的解除</w:t>
      </w:r>
    </w:p>
    <w:p w14:paraId="6C83244B">
      <w:pPr>
        <w:spacing w:line="280" w:lineRule="exact"/>
        <w:ind w:firstLine="420" w:firstLineChars="200"/>
        <w:rPr>
          <w:rFonts w:hint="eastAsia" w:ascii="宋体" w:hAnsi="宋体"/>
          <w:szCs w:val="21"/>
        </w:rPr>
      </w:pPr>
      <w:r>
        <w:rPr>
          <w:rFonts w:hint="eastAsia" w:ascii="宋体" w:hAnsi="宋体"/>
          <w:szCs w:val="21"/>
        </w:rPr>
        <w:t>1、在本保函承诺的保证期间内，你方未书面向我方主张保证责任的，自保证期间届满次日起，我方保证责任解除。</w:t>
      </w:r>
    </w:p>
    <w:p w14:paraId="55890BF8">
      <w:pPr>
        <w:spacing w:line="280" w:lineRule="exact"/>
        <w:ind w:firstLine="420" w:firstLineChars="200"/>
        <w:rPr>
          <w:rFonts w:hint="eastAsia" w:ascii="宋体" w:hAnsi="宋体"/>
          <w:szCs w:val="21"/>
        </w:rPr>
      </w:pPr>
      <w:r>
        <w:rPr>
          <w:rFonts w:hint="eastAsia" w:ascii="宋体" w:hAnsi="宋体"/>
          <w:szCs w:val="21"/>
        </w:rPr>
        <w:t>2、承包人按主合同约定履行了义务的，自本保函承诺的保证期间届满次日起，我方保证责任解除。</w:t>
      </w:r>
    </w:p>
    <w:p w14:paraId="01F5F604">
      <w:pPr>
        <w:spacing w:line="280" w:lineRule="exact"/>
        <w:ind w:firstLine="420" w:firstLineChars="200"/>
        <w:rPr>
          <w:rFonts w:hint="eastAsia" w:ascii="宋体" w:hAnsi="宋体"/>
          <w:szCs w:val="21"/>
        </w:rPr>
      </w:pPr>
      <w:r>
        <w:rPr>
          <w:rFonts w:hint="eastAsia" w:ascii="宋体" w:hAnsi="宋体"/>
          <w:szCs w:val="21"/>
        </w:rPr>
        <w:t>3、我方按照本保函向你方履行保证责任所支付的金额达到本保函保证金额时，自我方向你方支付(支付款项从我方帐户划出)之日起，保证责任即解除。</w:t>
      </w:r>
    </w:p>
    <w:p w14:paraId="783C3EB2">
      <w:pPr>
        <w:spacing w:line="280" w:lineRule="exact"/>
        <w:ind w:firstLine="420" w:firstLineChars="200"/>
        <w:rPr>
          <w:rFonts w:hint="eastAsia" w:ascii="宋体" w:hAnsi="宋体"/>
          <w:szCs w:val="21"/>
        </w:rPr>
      </w:pPr>
      <w:r>
        <w:rPr>
          <w:rFonts w:hint="eastAsia" w:ascii="宋体" w:hAnsi="宋体"/>
          <w:szCs w:val="21"/>
        </w:rPr>
        <w:t>4、按照法律法规的规定或出现应解除我方保证责任的其它情形的，我方在本保函项下的保证责任亦解除。</w:t>
      </w:r>
    </w:p>
    <w:p w14:paraId="7989965D">
      <w:pPr>
        <w:spacing w:line="280" w:lineRule="exact"/>
        <w:ind w:firstLine="420" w:firstLineChars="200"/>
        <w:rPr>
          <w:rFonts w:hint="eastAsia" w:ascii="宋体" w:hAnsi="宋体"/>
          <w:szCs w:val="21"/>
        </w:rPr>
      </w:pPr>
      <w:r>
        <w:rPr>
          <w:rFonts w:hint="eastAsia" w:ascii="宋体" w:hAnsi="宋体"/>
          <w:szCs w:val="21"/>
        </w:rPr>
        <w:t>我方解除保证责任后，你方应自我方保证责任解除之日起</w:t>
      </w:r>
      <w:r>
        <w:rPr>
          <w:rFonts w:hint="eastAsia" w:ascii="宋体" w:hAnsi="宋体"/>
          <w:szCs w:val="21"/>
          <w:u w:val="single"/>
        </w:rPr>
        <w:t xml:space="preserve">     </w:t>
      </w:r>
      <w:r>
        <w:rPr>
          <w:rFonts w:hint="eastAsia" w:ascii="宋体" w:hAnsi="宋体"/>
          <w:szCs w:val="21"/>
        </w:rPr>
        <w:t>个工作日内，将本保函原件返还我方。</w:t>
      </w:r>
    </w:p>
    <w:p w14:paraId="1580CCBE">
      <w:pPr>
        <w:spacing w:line="280" w:lineRule="exact"/>
        <w:ind w:firstLine="420" w:firstLineChars="200"/>
        <w:rPr>
          <w:rFonts w:hint="eastAsia" w:ascii="黑体" w:hAnsi="宋体" w:eastAsia="黑体"/>
          <w:szCs w:val="21"/>
        </w:rPr>
      </w:pPr>
      <w:r>
        <w:rPr>
          <w:rFonts w:hint="eastAsia" w:ascii="黑体" w:hAnsi="宋体" w:eastAsia="黑体"/>
          <w:szCs w:val="21"/>
        </w:rPr>
        <w:t>六、免责条款</w:t>
      </w:r>
    </w:p>
    <w:p w14:paraId="095F35DE">
      <w:pPr>
        <w:spacing w:line="280" w:lineRule="exact"/>
        <w:ind w:firstLine="420" w:firstLineChars="200"/>
        <w:rPr>
          <w:rFonts w:hint="eastAsia" w:ascii="宋体" w:hAnsi="宋体"/>
          <w:szCs w:val="21"/>
        </w:rPr>
      </w:pPr>
      <w:r>
        <w:rPr>
          <w:rFonts w:hint="eastAsia" w:ascii="宋体" w:hAnsi="宋体"/>
          <w:szCs w:val="21"/>
        </w:rPr>
        <w:t>1、因你方违约致使承包人不能履行义务的，我方不承担保证责任。</w:t>
      </w:r>
    </w:p>
    <w:p w14:paraId="421825FB">
      <w:pPr>
        <w:spacing w:line="280" w:lineRule="exact"/>
        <w:ind w:firstLine="420" w:firstLineChars="200"/>
        <w:rPr>
          <w:rFonts w:hint="eastAsia" w:ascii="宋体" w:hAnsi="宋体"/>
          <w:szCs w:val="21"/>
        </w:rPr>
      </w:pPr>
      <w:r>
        <w:rPr>
          <w:rFonts w:hint="eastAsia" w:ascii="宋体" w:hAnsi="宋体"/>
          <w:szCs w:val="21"/>
        </w:rPr>
        <w:t>2、依照法律法规的规定或你方与承包人的另行约定，免除承包人部分或全部义务的，我方亦免除其相应的保证责任。</w:t>
      </w:r>
    </w:p>
    <w:p w14:paraId="5F328756">
      <w:pPr>
        <w:spacing w:line="280" w:lineRule="exact"/>
        <w:ind w:firstLine="420" w:firstLineChars="200"/>
        <w:rPr>
          <w:rFonts w:hint="eastAsia" w:ascii="宋体" w:hAnsi="宋体"/>
          <w:szCs w:val="21"/>
        </w:rPr>
      </w:pPr>
      <w:r>
        <w:rPr>
          <w:rFonts w:hint="eastAsia" w:ascii="宋体" w:hAnsi="宋体"/>
          <w:szCs w:val="21"/>
        </w:rPr>
        <w:t>3、你方与承包人协议变更主合同(符合主合同合同条款第15条约定的变更除外)，如加重承包人责任致使我方保证责任加重的，需征得我方书面同意，否则我方不再承担因此而加重部分的保证责任。</w:t>
      </w:r>
    </w:p>
    <w:p w14:paraId="18EEDA88">
      <w:pPr>
        <w:spacing w:line="280" w:lineRule="exact"/>
        <w:ind w:firstLine="420" w:firstLineChars="200"/>
        <w:rPr>
          <w:rFonts w:hint="eastAsia" w:ascii="宋体" w:hAnsi="宋体"/>
          <w:szCs w:val="21"/>
        </w:rPr>
      </w:pPr>
      <w:r>
        <w:rPr>
          <w:rFonts w:hint="eastAsia" w:ascii="宋体" w:hAnsi="宋体"/>
          <w:szCs w:val="21"/>
        </w:rPr>
        <w:t>4、因不可抗力造成承包人不能履行义务的，我方不承担保证责任。</w:t>
      </w:r>
    </w:p>
    <w:p w14:paraId="65310A25">
      <w:pPr>
        <w:spacing w:line="280" w:lineRule="exact"/>
        <w:ind w:firstLine="420" w:firstLineChars="200"/>
        <w:rPr>
          <w:rFonts w:hint="eastAsia" w:ascii="黑体" w:hAnsi="宋体" w:eastAsia="黑体"/>
          <w:szCs w:val="21"/>
        </w:rPr>
      </w:pPr>
      <w:r>
        <w:rPr>
          <w:rFonts w:hint="eastAsia" w:ascii="黑体" w:hAnsi="宋体" w:eastAsia="黑体"/>
          <w:szCs w:val="21"/>
        </w:rPr>
        <w:t>七、争议的解决</w:t>
      </w:r>
    </w:p>
    <w:p w14:paraId="63DC32A5">
      <w:pPr>
        <w:spacing w:line="280" w:lineRule="exact"/>
        <w:ind w:firstLine="420" w:firstLineChars="200"/>
        <w:rPr>
          <w:rFonts w:hint="eastAsia" w:ascii="宋体" w:hAnsi="宋体"/>
          <w:szCs w:val="21"/>
        </w:rPr>
      </w:pPr>
      <w:r>
        <w:rPr>
          <w:rFonts w:hint="eastAsia" w:ascii="宋体" w:hAnsi="宋体"/>
          <w:szCs w:val="21"/>
        </w:rPr>
        <w:t>因本保函发生的纠纷，由贵我双方协商解决，协商不成的，任何一方均可提请</w:t>
      </w:r>
      <w:r>
        <w:rPr>
          <w:rFonts w:hint="eastAsia" w:ascii="宋体" w:hAnsi="宋体"/>
          <w:szCs w:val="21"/>
          <w:u w:val="single"/>
        </w:rPr>
        <w:t xml:space="preserve">       </w:t>
      </w:r>
      <w:r>
        <w:rPr>
          <w:rFonts w:hint="eastAsia" w:ascii="宋体" w:hAnsi="宋体"/>
          <w:szCs w:val="21"/>
        </w:rPr>
        <w:t>仲裁委员会仲裁。</w:t>
      </w:r>
    </w:p>
    <w:p w14:paraId="17C17CAC">
      <w:pPr>
        <w:spacing w:line="280" w:lineRule="exact"/>
        <w:ind w:firstLine="420" w:firstLineChars="200"/>
        <w:rPr>
          <w:rFonts w:hint="eastAsia" w:ascii="黑体" w:hAnsi="宋体" w:eastAsia="黑体"/>
          <w:szCs w:val="21"/>
        </w:rPr>
      </w:pPr>
      <w:r>
        <w:rPr>
          <w:rFonts w:hint="eastAsia" w:ascii="黑体" w:hAnsi="宋体" w:eastAsia="黑体"/>
          <w:szCs w:val="21"/>
        </w:rPr>
        <w:t>八、保函的生效</w:t>
      </w:r>
    </w:p>
    <w:p w14:paraId="66861367">
      <w:pPr>
        <w:spacing w:line="280" w:lineRule="exact"/>
        <w:ind w:firstLine="420" w:firstLineChars="200"/>
        <w:rPr>
          <w:rFonts w:hint="eastAsia" w:ascii="宋体" w:hAnsi="宋体"/>
          <w:szCs w:val="21"/>
        </w:rPr>
      </w:pPr>
      <w:r>
        <w:rPr>
          <w:rFonts w:hint="eastAsia" w:ascii="宋体" w:hAnsi="宋体"/>
          <w:szCs w:val="21"/>
        </w:rPr>
        <w:t>本保函自我方法定代表人(或其授权代理人)签字或加盖公章并交付你方之日起生效。</w:t>
      </w:r>
    </w:p>
    <w:p w14:paraId="1181B4A1">
      <w:pPr>
        <w:spacing w:line="280" w:lineRule="exact"/>
        <w:ind w:firstLine="420" w:firstLineChars="200"/>
        <w:rPr>
          <w:rFonts w:hint="eastAsia" w:ascii="宋体" w:hAnsi="宋体"/>
          <w:szCs w:val="21"/>
        </w:rPr>
      </w:pPr>
      <w:r>
        <w:rPr>
          <w:rFonts w:hint="eastAsia" w:ascii="宋体" w:hAnsi="宋体"/>
          <w:szCs w:val="21"/>
        </w:rPr>
        <w:t>本条所称交付是指：</w:t>
      </w:r>
      <w:r>
        <w:rPr>
          <w:rFonts w:hint="eastAsia" w:ascii="宋体" w:hAnsi="宋体"/>
          <w:szCs w:val="21"/>
          <w:u w:val="single"/>
        </w:rPr>
        <w:t xml:space="preserve">                                                        </w:t>
      </w:r>
      <w:r>
        <w:rPr>
          <w:rFonts w:hint="eastAsia" w:ascii="宋体" w:hAnsi="宋体"/>
          <w:szCs w:val="21"/>
        </w:rPr>
        <w:t>。</w:t>
      </w:r>
    </w:p>
    <w:p w14:paraId="2628224C">
      <w:pPr>
        <w:spacing w:line="280" w:lineRule="exact"/>
        <w:ind w:firstLine="420" w:firstLineChars="200"/>
        <w:rPr>
          <w:rFonts w:hint="eastAsia" w:ascii="宋体" w:hAnsi="宋体"/>
          <w:szCs w:val="21"/>
        </w:rPr>
      </w:pPr>
    </w:p>
    <w:p w14:paraId="28070F92">
      <w:pPr>
        <w:spacing w:line="340" w:lineRule="exact"/>
        <w:ind w:firstLine="2879" w:firstLineChars="1371"/>
        <w:rPr>
          <w:rFonts w:hint="eastAsia" w:ascii="宋体" w:hAnsi="宋体"/>
          <w:szCs w:val="21"/>
        </w:rPr>
      </w:pPr>
      <w:r>
        <w:rPr>
          <w:rFonts w:hint="eastAsia" w:ascii="宋体" w:hAnsi="宋体"/>
          <w:szCs w:val="21"/>
        </w:rPr>
        <w:t>担保人：</w:t>
      </w:r>
      <w:r>
        <w:rPr>
          <w:rFonts w:hint="eastAsia" w:ascii="宋体" w:hAnsi="宋体"/>
          <w:szCs w:val="21"/>
          <w:u w:val="single"/>
        </w:rPr>
        <w:t xml:space="preserve">                                 </w:t>
      </w:r>
      <w:r>
        <w:rPr>
          <w:rFonts w:hint="eastAsia" w:ascii="宋体" w:hAnsi="宋体"/>
          <w:szCs w:val="21"/>
        </w:rPr>
        <w:t xml:space="preserve"> (盖单位章)</w:t>
      </w:r>
    </w:p>
    <w:p w14:paraId="713BFEA9">
      <w:pPr>
        <w:spacing w:line="340" w:lineRule="exact"/>
        <w:ind w:firstLine="2879" w:firstLineChars="1371"/>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6F4B77A3">
      <w:pPr>
        <w:spacing w:line="340" w:lineRule="exact"/>
        <w:ind w:firstLine="2879" w:firstLineChars="1371"/>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7AAB474C">
      <w:pPr>
        <w:spacing w:line="340" w:lineRule="exact"/>
        <w:ind w:firstLine="2879" w:firstLineChars="1371"/>
        <w:rPr>
          <w:rFonts w:hint="eastAsia" w:ascii="宋体" w:hAnsi="宋体"/>
          <w:szCs w:val="21"/>
          <w:u w:val="single"/>
        </w:rPr>
      </w:pPr>
      <w:r>
        <w:rPr>
          <w:rFonts w:hint="eastAsia" w:ascii="宋体" w:hAnsi="宋体"/>
          <w:szCs w:val="21"/>
        </w:rPr>
        <w:t>邮政编码：</w:t>
      </w:r>
      <w:r>
        <w:rPr>
          <w:rFonts w:hint="eastAsia" w:ascii="宋体" w:hAnsi="宋体"/>
          <w:szCs w:val="21"/>
          <w:u w:val="single"/>
        </w:rPr>
        <w:t xml:space="preserve">                                      </w:t>
      </w:r>
    </w:p>
    <w:p w14:paraId="57AD57C5">
      <w:pPr>
        <w:spacing w:line="340" w:lineRule="exact"/>
        <w:ind w:firstLine="2879" w:firstLineChars="1371"/>
        <w:rPr>
          <w:rFonts w:hint="eastAsia" w:ascii="宋体" w:hAnsi="宋体"/>
          <w:szCs w:val="21"/>
        </w:rPr>
      </w:pPr>
      <w:r>
        <w:rPr>
          <w:rFonts w:hint="eastAsia" w:ascii="宋体" w:hAnsi="宋体"/>
          <w:szCs w:val="21"/>
        </w:rPr>
        <w:t>电    话：</w:t>
      </w:r>
      <w:r>
        <w:rPr>
          <w:rFonts w:hint="eastAsia" w:ascii="宋体" w:hAnsi="宋体"/>
          <w:szCs w:val="21"/>
          <w:u w:val="single"/>
        </w:rPr>
        <w:t xml:space="preserve">                                      </w:t>
      </w:r>
    </w:p>
    <w:p w14:paraId="7AE15943">
      <w:pPr>
        <w:spacing w:line="340" w:lineRule="exact"/>
        <w:ind w:firstLine="2879" w:firstLineChars="1371"/>
        <w:rPr>
          <w:rFonts w:hint="eastAsia" w:ascii="宋体" w:hAnsi="宋体"/>
          <w:szCs w:val="21"/>
        </w:rPr>
      </w:pPr>
      <w:r>
        <w:rPr>
          <w:rFonts w:hint="eastAsia" w:ascii="宋体" w:hAnsi="宋体"/>
          <w:szCs w:val="21"/>
        </w:rPr>
        <w:t>传    真：</w:t>
      </w:r>
      <w:r>
        <w:rPr>
          <w:rFonts w:hint="eastAsia" w:ascii="宋体" w:hAnsi="宋体"/>
          <w:szCs w:val="21"/>
          <w:u w:val="single"/>
        </w:rPr>
        <w:t xml:space="preserve">                                      </w:t>
      </w:r>
    </w:p>
    <w:p w14:paraId="2C9DD4AF">
      <w:pPr>
        <w:wordWrap w:val="0"/>
        <w:spacing w:line="340" w:lineRule="exact"/>
        <w:ind w:firstLine="2879" w:firstLineChars="1371"/>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7ECCBF41">
      <w:pPr>
        <w:spacing w:line="280" w:lineRule="exact"/>
        <w:ind w:firstLine="420" w:firstLineChars="200"/>
        <w:jc w:val="left"/>
        <w:rPr>
          <w:rFonts w:hint="eastAsia" w:ascii="宋体" w:hAnsi="宋体"/>
          <w:szCs w:val="21"/>
        </w:rPr>
      </w:pPr>
    </w:p>
    <w:p w14:paraId="08D6FDF0">
      <w:pPr>
        <w:spacing w:line="280" w:lineRule="exact"/>
        <w:ind w:left="630" w:hanging="630" w:hangingChars="300"/>
        <w:rPr>
          <w:rFonts w:ascii="宋体" w:hAnsi="宋体"/>
          <w:szCs w:val="21"/>
        </w:rPr>
      </w:pPr>
      <w:r>
        <w:rPr>
          <w:rFonts w:hint="eastAsia" w:ascii="宋体" w:hAnsi="宋体"/>
          <w:szCs w:val="21"/>
        </w:rPr>
        <w:t>备注：本履约担保格式可以采用经发包人同意的其他格式，但相关内容不得违背合同约定的实质性内容。</w:t>
      </w:r>
    </w:p>
    <w:p w14:paraId="52741BCB">
      <w:pPr>
        <w:spacing w:after="156" w:afterLines="50" w:line="400" w:lineRule="exact"/>
        <w:rPr>
          <w:rFonts w:hint="eastAsia" w:ascii="黑体" w:hAnsi="宋体" w:eastAsia="黑体"/>
          <w:sz w:val="24"/>
        </w:rPr>
      </w:pPr>
    </w:p>
    <w:p w14:paraId="7D308D29">
      <w:pPr>
        <w:spacing w:after="156" w:afterLines="50" w:line="400" w:lineRule="exact"/>
        <w:rPr>
          <w:rFonts w:hint="eastAsia" w:ascii="黑体" w:hAnsi="宋体" w:eastAsia="黑体"/>
          <w:sz w:val="24"/>
        </w:rPr>
      </w:pPr>
    </w:p>
    <w:p w14:paraId="7C92A7AA">
      <w:pPr>
        <w:spacing w:after="156" w:afterLines="50" w:line="400" w:lineRule="exact"/>
        <w:rPr>
          <w:rFonts w:hint="eastAsia" w:ascii="黑体" w:hAnsi="宋体" w:eastAsia="黑体"/>
          <w:sz w:val="24"/>
        </w:rPr>
      </w:pPr>
    </w:p>
    <w:p w14:paraId="7BCFC94A">
      <w:pPr>
        <w:spacing w:after="156" w:afterLines="50" w:line="400" w:lineRule="exact"/>
        <w:rPr>
          <w:rFonts w:hint="eastAsia" w:ascii="黑体" w:hAnsi="宋体" w:eastAsia="黑体"/>
          <w:sz w:val="24"/>
        </w:rPr>
      </w:pPr>
    </w:p>
    <w:p w14:paraId="4984ED3C">
      <w:pPr>
        <w:spacing w:after="156" w:afterLines="50" w:line="400" w:lineRule="exact"/>
        <w:rPr>
          <w:rFonts w:hint="eastAsia" w:ascii="黑体" w:hAnsi="宋体" w:eastAsia="黑体"/>
          <w:sz w:val="24"/>
        </w:rPr>
      </w:pPr>
    </w:p>
    <w:p w14:paraId="7575F1D2">
      <w:pPr>
        <w:spacing w:after="156" w:afterLines="50" w:line="400" w:lineRule="exact"/>
        <w:rPr>
          <w:rFonts w:hint="eastAsia" w:ascii="黑体" w:hAnsi="宋体" w:eastAsia="黑体"/>
          <w:sz w:val="24"/>
        </w:rPr>
      </w:pPr>
    </w:p>
    <w:p w14:paraId="538005AF">
      <w:pPr>
        <w:spacing w:after="156" w:afterLines="50" w:line="400" w:lineRule="exact"/>
        <w:rPr>
          <w:rFonts w:hint="eastAsia" w:ascii="黑体" w:hAnsi="宋体" w:eastAsia="黑体"/>
          <w:sz w:val="24"/>
        </w:rPr>
      </w:pPr>
    </w:p>
    <w:p w14:paraId="55BDE44A">
      <w:pPr>
        <w:spacing w:after="156" w:afterLines="50" w:line="400" w:lineRule="exact"/>
        <w:rPr>
          <w:rFonts w:hint="eastAsia" w:ascii="黑体" w:hAnsi="宋体" w:eastAsia="黑体"/>
          <w:sz w:val="24"/>
        </w:rPr>
      </w:pPr>
    </w:p>
    <w:p w14:paraId="7E3B4306">
      <w:pPr>
        <w:spacing w:after="156" w:afterLines="50" w:line="400" w:lineRule="exact"/>
        <w:rPr>
          <w:rFonts w:hint="eastAsia" w:ascii="黑体" w:hAnsi="宋体" w:eastAsia="黑体"/>
          <w:sz w:val="24"/>
        </w:rPr>
      </w:pPr>
    </w:p>
    <w:p w14:paraId="0EDAB3B4">
      <w:pPr>
        <w:spacing w:after="156" w:afterLines="50" w:line="400" w:lineRule="exact"/>
        <w:rPr>
          <w:rFonts w:hint="eastAsia" w:ascii="黑体" w:hAnsi="宋体" w:eastAsia="黑体"/>
          <w:sz w:val="24"/>
        </w:rPr>
      </w:pPr>
    </w:p>
    <w:p w14:paraId="68786C5B">
      <w:pPr>
        <w:spacing w:after="156" w:afterLines="50" w:line="400" w:lineRule="exact"/>
        <w:rPr>
          <w:rFonts w:hint="eastAsia" w:ascii="黑体" w:hAnsi="宋体" w:eastAsia="黑体"/>
          <w:sz w:val="24"/>
        </w:rPr>
      </w:pPr>
    </w:p>
    <w:p w14:paraId="5C479458">
      <w:pPr>
        <w:spacing w:after="156" w:afterLines="50" w:line="400" w:lineRule="exact"/>
        <w:rPr>
          <w:rFonts w:hint="eastAsia" w:ascii="黑体" w:hAnsi="宋体" w:eastAsia="黑体"/>
          <w:sz w:val="24"/>
        </w:rPr>
      </w:pPr>
    </w:p>
    <w:p w14:paraId="661D2515">
      <w:pPr>
        <w:spacing w:after="156" w:afterLines="50" w:line="400" w:lineRule="exact"/>
        <w:rPr>
          <w:rFonts w:hint="eastAsia" w:ascii="黑体" w:hAnsi="宋体" w:eastAsia="黑体"/>
          <w:sz w:val="24"/>
        </w:rPr>
      </w:pPr>
    </w:p>
    <w:p w14:paraId="49FCAF3D">
      <w:pPr>
        <w:spacing w:after="156" w:afterLines="50" w:line="400" w:lineRule="exact"/>
        <w:rPr>
          <w:rFonts w:hint="eastAsia" w:ascii="黑体" w:hAnsi="宋体" w:eastAsia="黑体"/>
          <w:sz w:val="24"/>
        </w:rPr>
      </w:pPr>
    </w:p>
    <w:p w14:paraId="19312B4A">
      <w:pPr>
        <w:spacing w:after="156" w:afterLines="50" w:line="400" w:lineRule="exact"/>
        <w:rPr>
          <w:rFonts w:hint="eastAsia" w:ascii="黑体" w:hAnsi="宋体" w:eastAsia="黑体"/>
          <w:sz w:val="24"/>
        </w:rPr>
      </w:pPr>
    </w:p>
    <w:p w14:paraId="1A9FA0F4">
      <w:pPr>
        <w:pStyle w:val="20"/>
        <w:rPr>
          <w:rFonts w:hint="eastAsia"/>
        </w:rPr>
      </w:pPr>
      <w:bookmarkStart w:id="1330" w:name="_Toc108513935"/>
      <w:r>
        <w:rPr>
          <w:rFonts w:hint="eastAsia"/>
        </w:rPr>
        <w:t>附件四：支付担保格式</w:t>
      </w:r>
      <w:bookmarkEnd w:id="1330"/>
    </w:p>
    <w:p w14:paraId="44E3D042">
      <w:pPr>
        <w:spacing w:line="400" w:lineRule="exact"/>
        <w:ind w:firstLine="560" w:firstLineChars="200"/>
        <w:jc w:val="center"/>
        <w:rPr>
          <w:rFonts w:hint="eastAsia" w:ascii="黑体" w:eastAsia="黑体"/>
          <w:sz w:val="28"/>
          <w:szCs w:val="28"/>
        </w:rPr>
      </w:pPr>
    </w:p>
    <w:p w14:paraId="1AB1A58B">
      <w:pPr>
        <w:spacing w:line="400" w:lineRule="exact"/>
        <w:ind w:firstLine="560" w:firstLineChars="200"/>
        <w:jc w:val="center"/>
        <w:rPr>
          <w:rFonts w:hint="eastAsia" w:ascii="黑体" w:eastAsia="黑体"/>
          <w:sz w:val="28"/>
          <w:szCs w:val="28"/>
        </w:rPr>
      </w:pPr>
      <w:r>
        <w:rPr>
          <w:rFonts w:hint="eastAsia" w:ascii="黑体" w:eastAsia="黑体"/>
          <w:sz w:val="28"/>
          <w:szCs w:val="28"/>
        </w:rPr>
        <w:t>发包人支付保函</w:t>
      </w:r>
    </w:p>
    <w:p w14:paraId="563F5F60">
      <w:pPr>
        <w:spacing w:line="400" w:lineRule="exact"/>
        <w:ind w:firstLine="560" w:firstLineChars="200"/>
        <w:jc w:val="center"/>
        <w:rPr>
          <w:rFonts w:hint="eastAsia" w:ascii="黑体" w:eastAsia="黑体"/>
          <w:sz w:val="28"/>
          <w:szCs w:val="28"/>
        </w:rPr>
      </w:pPr>
    </w:p>
    <w:p w14:paraId="04BB0661">
      <w:pPr>
        <w:spacing w:line="30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(承包人)：</w:t>
      </w:r>
    </w:p>
    <w:p w14:paraId="57FE6A67">
      <w:pPr>
        <w:spacing w:line="300" w:lineRule="exact"/>
        <w:ind w:firstLine="420" w:firstLineChars="200"/>
        <w:rPr>
          <w:rFonts w:hint="eastAsia" w:ascii="宋体" w:hAnsi="宋体"/>
          <w:szCs w:val="21"/>
        </w:rPr>
      </w:pPr>
      <w:r>
        <w:rPr>
          <w:rFonts w:hint="eastAsia" w:ascii="宋体" w:hAnsi="宋体"/>
          <w:szCs w:val="21"/>
        </w:rPr>
        <w:t>鉴于你方作为承包人已经与</w:t>
      </w:r>
      <w:r>
        <w:rPr>
          <w:rFonts w:hint="eastAsia" w:ascii="宋体" w:hAnsi="宋体"/>
          <w:szCs w:val="21"/>
          <w:u w:val="single"/>
        </w:rPr>
        <w:t xml:space="preserve">            包       </w:t>
      </w:r>
      <w:r>
        <w:rPr>
          <w:rFonts w:hint="eastAsia" w:ascii="宋体" w:hAnsi="宋体"/>
          <w:szCs w:val="21"/>
        </w:rPr>
        <w:t xml:space="preserve"> (发包人名称)(以下称“发包人”)于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日签订了</w:t>
      </w:r>
      <w:r>
        <w:rPr>
          <w:rFonts w:hint="eastAsia" w:ascii="宋体" w:hAnsi="宋体"/>
          <w:szCs w:val="21"/>
          <w:u w:val="single"/>
        </w:rPr>
        <w:t xml:space="preserve">      </w:t>
      </w:r>
      <w:r>
        <w:rPr>
          <w:rFonts w:hint="eastAsia" w:ascii="宋体" w:hAnsi="宋体"/>
          <w:szCs w:val="21"/>
        </w:rPr>
        <w:t xml:space="preserve"> (工程名称)施工承包合同(以下称“主合同”)，应发包人的申请，我方愿就发包人履行主合同约定的工程款支付义务以保证的方式向你方提供如下担保：</w:t>
      </w:r>
    </w:p>
    <w:p w14:paraId="23514577">
      <w:pPr>
        <w:spacing w:line="300" w:lineRule="exact"/>
        <w:ind w:left="420"/>
        <w:rPr>
          <w:rFonts w:hint="eastAsia" w:ascii="黑体" w:hAnsi="宋体" w:eastAsia="黑体"/>
          <w:szCs w:val="21"/>
        </w:rPr>
      </w:pPr>
      <w:r>
        <w:rPr>
          <w:rFonts w:hint="eastAsia" w:ascii="黑体" w:hAnsi="宋体" w:eastAsia="黑体"/>
          <w:szCs w:val="21"/>
        </w:rPr>
        <w:t>一、保证的范围及保证金额</w:t>
      </w:r>
    </w:p>
    <w:p w14:paraId="1A540848">
      <w:pPr>
        <w:spacing w:line="300" w:lineRule="exact"/>
        <w:ind w:left="420"/>
        <w:rPr>
          <w:rFonts w:hint="eastAsia" w:ascii="宋体" w:hAnsi="宋体"/>
          <w:szCs w:val="21"/>
        </w:rPr>
      </w:pPr>
      <w:r>
        <w:rPr>
          <w:rFonts w:hint="eastAsia" w:ascii="宋体" w:hAnsi="宋体"/>
          <w:szCs w:val="21"/>
        </w:rPr>
        <w:t>我方的保证范围是主合同约定的工程款。</w:t>
      </w:r>
    </w:p>
    <w:p w14:paraId="224B0792">
      <w:pPr>
        <w:spacing w:line="300" w:lineRule="exact"/>
        <w:ind w:left="420"/>
        <w:rPr>
          <w:rFonts w:hint="eastAsia" w:ascii="宋体" w:hAnsi="宋体"/>
          <w:szCs w:val="21"/>
        </w:rPr>
      </w:pPr>
      <w:r>
        <w:rPr>
          <w:rFonts w:hint="eastAsia" w:ascii="宋体" w:hAnsi="宋体"/>
          <w:szCs w:val="21"/>
        </w:rPr>
        <w:t>本保函所称主合同约定的工程款是指主合同约定的除工程质量保证金以外的合同价款。</w:t>
      </w:r>
    </w:p>
    <w:p w14:paraId="50F665BE">
      <w:pPr>
        <w:spacing w:line="300" w:lineRule="exact"/>
        <w:ind w:firstLine="420" w:firstLineChars="200"/>
        <w:rPr>
          <w:rFonts w:hint="eastAsia" w:ascii="宋体" w:hAnsi="宋体"/>
          <w:szCs w:val="21"/>
        </w:rPr>
      </w:pPr>
      <w:r>
        <w:rPr>
          <w:rFonts w:hint="eastAsia" w:ascii="宋体" w:hAnsi="宋体"/>
          <w:szCs w:val="21"/>
        </w:rPr>
        <w:t>我方保证的金额是主合同约定的工程款的</w:t>
      </w:r>
      <w:r>
        <w:rPr>
          <w:rFonts w:hint="eastAsia" w:ascii="宋体" w:hAnsi="宋体"/>
          <w:szCs w:val="21"/>
          <w:u w:val="single"/>
        </w:rPr>
        <w:t xml:space="preserve">          </w:t>
      </w:r>
      <w:r>
        <w:rPr>
          <w:rFonts w:hint="eastAsia" w:ascii="宋体" w:hAnsi="宋体"/>
          <w:szCs w:val="21"/>
        </w:rPr>
        <w:t>％，数额最高不超过人民币元(大写：</w:t>
      </w:r>
      <w:r>
        <w:rPr>
          <w:rFonts w:hint="eastAsia" w:ascii="宋体" w:hAnsi="宋体"/>
          <w:szCs w:val="21"/>
          <w:u w:val="single"/>
        </w:rPr>
        <w:t xml:space="preserve">                     </w:t>
      </w:r>
      <w:r>
        <w:rPr>
          <w:rFonts w:hint="eastAsia" w:ascii="宋体" w:hAnsi="宋体"/>
          <w:szCs w:val="21"/>
        </w:rPr>
        <w:t>)。</w:t>
      </w:r>
    </w:p>
    <w:p w14:paraId="6A4A77EB">
      <w:pPr>
        <w:spacing w:line="300" w:lineRule="exact"/>
        <w:ind w:left="420"/>
        <w:rPr>
          <w:rFonts w:hint="eastAsia" w:ascii="黑体" w:hAnsi="宋体" w:eastAsia="黑体"/>
          <w:szCs w:val="21"/>
        </w:rPr>
      </w:pPr>
      <w:r>
        <w:rPr>
          <w:rFonts w:hint="eastAsia" w:ascii="黑体" w:hAnsi="宋体" w:eastAsia="黑体"/>
          <w:szCs w:val="21"/>
        </w:rPr>
        <w:t>二、保证的方式及保证期间</w:t>
      </w:r>
    </w:p>
    <w:p w14:paraId="115B9093">
      <w:pPr>
        <w:spacing w:line="300" w:lineRule="exact"/>
        <w:ind w:firstLine="420" w:firstLineChars="200"/>
        <w:rPr>
          <w:rFonts w:hint="eastAsia" w:ascii="宋体" w:hAnsi="宋体"/>
          <w:szCs w:val="21"/>
        </w:rPr>
      </w:pPr>
      <w:r>
        <w:rPr>
          <w:rFonts w:hint="eastAsia" w:ascii="宋体" w:hAnsi="宋体"/>
          <w:szCs w:val="21"/>
        </w:rPr>
        <w:t>我方保证的方式为：连带责任保证。</w:t>
      </w:r>
    </w:p>
    <w:p w14:paraId="44B8B63A">
      <w:pPr>
        <w:spacing w:line="300" w:lineRule="exact"/>
        <w:ind w:firstLine="420" w:firstLineChars="200"/>
        <w:rPr>
          <w:rFonts w:hint="eastAsia" w:ascii="宋体" w:hAnsi="宋体"/>
          <w:szCs w:val="21"/>
        </w:rPr>
      </w:pPr>
      <w:r>
        <w:rPr>
          <w:rFonts w:hint="eastAsia" w:ascii="宋体" w:hAnsi="宋体"/>
          <w:szCs w:val="21"/>
        </w:rPr>
        <w:t>我方保证的期间为：自本合同生效之日起至主合同约定的工程款支付之日后</w:t>
      </w:r>
      <w:r>
        <w:rPr>
          <w:rFonts w:hint="eastAsia" w:ascii="宋体" w:hAnsi="宋体"/>
          <w:szCs w:val="21"/>
          <w:u w:val="single"/>
        </w:rPr>
        <w:t xml:space="preserve">        </w:t>
      </w:r>
      <w:r>
        <w:rPr>
          <w:rFonts w:hint="eastAsia" w:ascii="宋体" w:hAnsi="宋体"/>
          <w:szCs w:val="21"/>
        </w:rPr>
        <w:t>日内。</w:t>
      </w:r>
    </w:p>
    <w:p w14:paraId="592BB181">
      <w:pPr>
        <w:spacing w:line="300" w:lineRule="exact"/>
        <w:ind w:firstLine="420" w:firstLineChars="200"/>
        <w:rPr>
          <w:rFonts w:hint="eastAsia" w:ascii="宋体" w:hAnsi="宋体"/>
          <w:szCs w:val="21"/>
        </w:rPr>
      </w:pPr>
      <w:r>
        <w:rPr>
          <w:rFonts w:hint="eastAsia" w:ascii="宋体" w:hAnsi="宋体"/>
          <w:szCs w:val="21"/>
        </w:rPr>
        <w:t>你方与发包人协议变更工程款支付日期的，经我方书面同意后，保证期间按照变更后的支付日期做相应调整。</w:t>
      </w:r>
    </w:p>
    <w:p w14:paraId="2097462A">
      <w:pPr>
        <w:spacing w:line="300" w:lineRule="exact"/>
        <w:ind w:firstLine="420" w:firstLineChars="200"/>
        <w:rPr>
          <w:rFonts w:hint="eastAsia" w:ascii="黑体" w:hAnsi="宋体" w:eastAsia="黑体"/>
          <w:szCs w:val="21"/>
        </w:rPr>
      </w:pPr>
      <w:r>
        <w:rPr>
          <w:rFonts w:hint="eastAsia" w:ascii="黑体" w:hAnsi="宋体" w:eastAsia="黑体"/>
          <w:szCs w:val="21"/>
        </w:rPr>
        <w:t>三、承担保证责任的形式</w:t>
      </w:r>
    </w:p>
    <w:p w14:paraId="519A0BBC">
      <w:pPr>
        <w:spacing w:line="300" w:lineRule="exact"/>
        <w:ind w:firstLine="420" w:firstLineChars="200"/>
        <w:rPr>
          <w:rFonts w:hint="eastAsia" w:ascii="宋体" w:hAnsi="宋体"/>
          <w:szCs w:val="21"/>
        </w:rPr>
      </w:pPr>
      <w:r>
        <w:rPr>
          <w:rFonts w:hint="eastAsia" w:ascii="宋体" w:hAnsi="宋体"/>
          <w:szCs w:val="21"/>
        </w:rPr>
        <w:t>我方承担保证责任的形式是代为支付。发包人未按主合同约定向你方支付工程款的，由我方在保证金额内代为支付。</w:t>
      </w:r>
    </w:p>
    <w:p w14:paraId="3B42155C">
      <w:pPr>
        <w:spacing w:line="300" w:lineRule="exact"/>
        <w:ind w:firstLine="420" w:firstLineChars="200"/>
        <w:rPr>
          <w:rFonts w:hint="eastAsia" w:ascii="黑体" w:hAnsi="宋体" w:eastAsia="黑体"/>
          <w:szCs w:val="21"/>
        </w:rPr>
      </w:pPr>
      <w:r>
        <w:rPr>
          <w:rFonts w:hint="eastAsia" w:ascii="黑体" w:hAnsi="宋体" w:eastAsia="黑体"/>
          <w:szCs w:val="21"/>
        </w:rPr>
        <w:t>四、代偿的安排</w:t>
      </w:r>
    </w:p>
    <w:p w14:paraId="03E4E3A7">
      <w:pPr>
        <w:spacing w:line="300" w:lineRule="exact"/>
        <w:ind w:firstLine="420" w:firstLineChars="200"/>
        <w:rPr>
          <w:rFonts w:hint="eastAsia" w:ascii="宋体" w:hAnsi="宋体"/>
          <w:szCs w:val="21"/>
        </w:rPr>
      </w:pPr>
      <w:r>
        <w:rPr>
          <w:rFonts w:hint="eastAsia" w:ascii="宋体" w:hAnsi="宋体"/>
          <w:szCs w:val="21"/>
        </w:rPr>
        <w:t>你方要求我方承担保证责任的，应向我方发出书面索赔通知及发包人未支付主合同约定工程款的证明材料。索赔通知应写明要求索赔的金额，支付款项应到达的帐号。</w:t>
      </w:r>
    </w:p>
    <w:p w14:paraId="0BF8D6D2">
      <w:pPr>
        <w:spacing w:line="300" w:lineRule="exact"/>
        <w:ind w:firstLine="420" w:firstLineChars="200"/>
        <w:rPr>
          <w:rFonts w:hint="eastAsia" w:ascii="宋体" w:hAnsi="宋体"/>
          <w:szCs w:val="21"/>
        </w:rPr>
      </w:pPr>
      <w:r>
        <w:rPr>
          <w:rFonts w:hint="eastAsia" w:ascii="宋体" w:hAnsi="宋体"/>
          <w:szCs w:val="21"/>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14:paraId="028BB5D5">
      <w:pPr>
        <w:spacing w:line="300" w:lineRule="exact"/>
        <w:ind w:firstLine="420" w:firstLineChars="200"/>
        <w:rPr>
          <w:rFonts w:hint="eastAsia" w:ascii="宋体" w:hAnsi="宋体"/>
          <w:szCs w:val="21"/>
        </w:rPr>
      </w:pPr>
      <w:r>
        <w:rPr>
          <w:rFonts w:hint="eastAsia" w:ascii="宋体" w:hAnsi="宋体"/>
          <w:szCs w:val="21"/>
        </w:rPr>
        <w:t>我方收到你方的书面索赔通知及相应证明材料后，在</w:t>
      </w:r>
      <w:r>
        <w:rPr>
          <w:rFonts w:hint="eastAsia" w:ascii="宋体" w:hAnsi="宋体"/>
          <w:szCs w:val="21"/>
          <w:u w:val="single"/>
        </w:rPr>
        <w:t xml:space="preserve">    </w:t>
      </w:r>
      <w:r>
        <w:rPr>
          <w:rFonts w:hint="eastAsia" w:ascii="宋体" w:hAnsi="宋体"/>
          <w:szCs w:val="21"/>
        </w:rPr>
        <w:t>个工作日内进行核定后按照本保函的承诺承担保证责任。</w:t>
      </w:r>
    </w:p>
    <w:p w14:paraId="08956929">
      <w:pPr>
        <w:spacing w:line="300" w:lineRule="exact"/>
        <w:ind w:firstLine="420" w:firstLineChars="200"/>
        <w:rPr>
          <w:rFonts w:hint="eastAsia" w:ascii="黑体" w:hAnsi="宋体" w:eastAsia="黑体"/>
          <w:szCs w:val="21"/>
        </w:rPr>
      </w:pPr>
      <w:r>
        <w:rPr>
          <w:rFonts w:hint="eastAsia" w:ascii="黑体" w:hAnsi="宋体" w:eastAsia="黑体"/>
          <w:szCs w:val="21"/>
        </w:rPr>
        <w:t>五、保证责任的解除</w:t>
      </w:r>
    </w:p>
    <w:p w14:paraId="06EEF2BA">
      <w:pPr>
        <w:spacing w:line="300" w:lineRule="exact"/>
        <w:ind w:firstLine="420" w:firstLineChars="200"/>
        <w:rPr>
          <w:rFonts w:hint="eastAsia" w:ascii="宋体" w:hAnsi="宋体"/>
          <w:szCs w:val="21"/>
        </w:rPr>
      </w:pPr>
      <w:r>
        <w:rPr>
          <w:rFonts w:hint="eastAsia" w:ascii="宋体" w:hAnsi="宋体"/>
          <w:szCs w:val="21"/>
        </w:rPr>
        <w:t>1、在本保函承诺的保证期间内，你方未书面向我方主张保证责任的，自保证期间届满次日起，我方保证责任解除。</w:t>
      </w:r>
    </w:p>
    <w:p w14:paraId="518B440B">
      <w:pPr>
        <w:spacing w:line="300" w:lineRule="exact"/>
        <w:ind w:firstLine="420" w:firstLineChars="200"/>
        <w:rPr>
          <w:rFonts w:hint="eastAsia" w:ascii="宋体" w:hAnsi="宋体"/>
          <w:szCs w:val="21"/>
        </w:rPr>
      </w:pPr>
      <w:r>
        <w:rPr>
          <w:rFonts w:hint="eastAsia" w:ascii="宋体" w:hAnsi="宋体"/>
          <w:szCs w:val="21"/>
        </w:rPr>
        <w:t>2、发包人按主合同约定履行了工程款的全部支付义务的，自本保函承诺的保证期间届满次日起，我方保证责任解除。</w:t>
      </w:r>
    </w:p>
    <w:p w14:paraId="25D80F04">
      <w:pPr>
        <w:spacing w:line="300" w:lineRule="exact"/>
        <w:ind w:firstLine="420" w:firstLineChars="200"/>
        <w:rPr>
          <w:rFonts w:hint="eastAsia" w:ascii="宋体" w:hAnsi="宋体"/>
          <w:szCs w:val="21"/>
        </w:rPr>
      </w:pPr>
      <w:r>
        <w:rPr>
          <w:rFonts w:hint="eastAsia" w:ascii="宋体" w:hAnsi="宋体"/>
          <w:szCs w:val="21"/>
        </w:rPr>
        <w:t>3、我方按照本保函向你方履行保证责任所支付金额达到本保函保证金额时，自我方向你方支付(支付款项从我方帐户划出)之日起，保证责任即解除。</w:t>
      </w:r>
    </w:p>
    <w:p w14:paraId="0CFA6CE2">
      <w:pPr>
        <w:spacing w:line="300" w:lineRule="exact"/>
        <w:ind w:firstLine="420" w:firstLineChars="200"/>
        <w:rPr>
          <w:rFonts w:hint="eastAsia" w:ascii="宋体" w:hAnsi="宋体"/>
          <w:szCs w:val="21"/>
        </w:rPr>
      </w:pPr>
      <w:r>
        <w:rPr>
          <w:rFonts w:hint="eastAsia" w:ascii="宋体" w:hAnsi="宋体"/>
          <w:szCs w:val="21"/>
        </w:rPr>
        <w:t>4、按照法律法规的规定或出现应解除我方保证责任的其它情形的，我方在本保函项下的保证责任亦解除。</w:t>
      </w:r>
    </w:p>
    <w:p w14:paraId="005260F1">
      <w:pPr>
        <w:spacing w:line="300" w:lineRule="exact"/>
        <w:ind w:firstLine="420" w:firstLineChars="200"/>
        <w:rPr>
          <w:rFonts w:hint="eastAsia" w:ascii="宋体" w:hAnsi="宋体"/>
          <w:szCs w:val="21"/>
        </w:rPr>
      </w:pPr>
      <w:r>
        <w:rPr>
          <w:rFonts w:hint="eastAsia" w:ascii="宋体" w:hAnsi="宋体"/>
          <w:szCs w:val="21"/>
        </w:rPr>
        <w:t>我方解除保证责任后，你方应自我方保证责任解除之日起</w:t>
      </w:r>
      <w:r>
        <w:rPr>
          <w:rFonts w:hint="eastAsia" w:ascii="宋体" w:hAnsi="宋体"/>
          <w:szCs w:val="21"/>
          <w:u w:val="single"/>
        </w:rPr>
        <w:t xml:space="preserve">    </w:t>
      </w:r>
      <w:r>
        <w:rPr>
          <w:rFonts w:hint="eastAsia" w:ascii="宋体" w:hAnsi="宋体"/>
          <w:szCs w:val="21"/>
        </w:rPr>
        <w:t>个工作日内，将本保函原件返还我方。</w:t>
      </w:r>
    </w:p>
    <w:p w14:paraId="372EB853">
      <w:pPr>
        <w:spacing w:line="300" w:lineRule="exact"/>
        <w:ind w:firstLine="420" w:firstLineChars="200"/>
        <w:rPr>
          <w:rFonts w:hint="eastAsia" w:ascii="黑体" w:hAnsi="宋体" w:eastAsia="黑体"/>
          <w:szCs w:val="21"/>
        </w:rPr>
      </w:pPr>
      <w:r>
        <w:rPr>
          <w:rFonts w:hint="eastAsia" w:ascii="黑体" w:hAnsi="宋体" w:eastAsia="黑体"/>
          <w:szCs w:val="21"/>
        </w:rPr>
        <w:t>六、免责条款</w:t>
      </w:r>
    </w:p>
    <w:p w14:paraId="324EFF3A">
      <w:pPr>
        <w:spacing w:line="300" w:lineRule="exact"/>
        <w:ind w:firstLine="420" w:firstLineChars="200"/>
        <w:rPr>
          <w:rFonts w:hint="eastAsia" w:ascii="宋体" w:hAnsi="宋体"/>
          <w:szCs w:val="21"/>
        </w:rPr>
      </w:pPr>
      <w:r>
        <w:rPr>
          <w:rFonts w:hint="eastAsia" w:ascii="宋体" w:hAnsi="宋体"/>
          <w:szCs w:val="21"/>
        </w:rPr>
        <w:t>1、因你方违约致使发包人不能履行义务的，我方不承担保证责任。</w:t>
      </w:r>
    </w:p>
    <w:p w14:paraId="1990E161">
      <w:pPr>
        <w:spacing w:line="300" w:lineRule="exact"/>
        <w:ind w:firstLine="420" w:firstLineChars="200"/>
        <w:rPr>
          <w:rFonts w:hint="eastAsia" w:ascii="宋体" w:hAnsi="宋体"/>
          <w:szCs w:val="21"/>
        </w:rPr>
      </w:pPr>
      <w:r>
        <w:rPr>
          <w:rFonts w:hint="eastAsia" w:ascii="宋体" w:hAnsi="宋体"/>
          <w:szCs w:val="21"/>
        </w:rPr>
        <w:t>2、依照法律法规的规定或你方与发包人的另行约定，免除发包人部分或全部义务的，我方亦免除其相应的保证责任。</w:t>
      </w:r>
    </w:p>
    <w:p w14:paraId="7F31AF52">
      <w:pPr>
        <w:spacing w:line="300" w:lineRule="exact"/>
        <w:ind w:firstLine="420" w:firstLineChars="200"/>
        <w:rPr>
          <w:rFonts w:hint="eastAsia" w:ascii="宋体" w:hAnsi="宋体"/>
          <w:szCs w:val="21"/>
        </w:rPr>
      </w:pPr>
      <w:r>
        <w:rPr>
          <w:rFonts w:hint="eastAsia" w:ascii="宋体" w:hAnsi="宋体"/>
          <w:szCs w:val="21"/>
        </w:rPr>
        <w:t>3、你方与发包人协议变更主合同的(符合主合同合同条款第15条约定的变更除外)，如加重发包人责任致使我方保证责任加重的，需征得我方书面同意，否则我方不再承担因此而加重部分的保证责任。</w:t>
      </w:r>
    </w:p>
    <w:p w14:paraId="75FBAE33">
      <w:pPr>
        <w:spacing w:line="300" w:lineRule="exact"/>
        <w:ind w:firstLine="420" w:firstLineChars="200"/>
        <w:rPr>
          <w:rFonts w:hint="eastAsia" w:ascii="宋体" w:hAnsi="宋体"/>
          <w:szCs w:val="21"/>
        </w:rPr>
      </w:pPr>
      <w:r>
        <w:rPr>
          <w:rFonts w:hint="eastAsia" w:ascii="宋体" w:hAnsi="宋体"/>
          <w:szCs w:val="21"/>
        </w:rPr>
        <w:t>4、因不可抗力造成发包人不能履行义务的，我方不承担保证责任。</w:t>
      </w:r>
    </w:p>
    <w:p w14:paraId="1625AD7F">
      <w:pPr>
        <w:spacing w:line="300" w:lineRule="exact"/>
        <w:ind w:firstLine="420" w:firstLineChars="200"/>
        <w:rPr>
          <w:rFonts w:hint="eastAsia" w:ascii="黑体" w:hAnsi="宋体" w:eastAsia="黑体"/>
          <w:szCs w:val="21"/>
        </w:rPr>
      </w:pPr>
      <w:r>
        <w:rPr>
          <w:rFonts w:hint="eastAsia" w:ascii="黑体" w:hAnsi="宋体" w:eastAsia="黑体"/>
          <w:szCs w:val="21"/>
        </w:rPr>
        <w:t>七、争议的解决</w:t>
      </w:r>
    </w:p>
    <w:p w14:paraId="408D3017">
      <w:pPr>
        <w:spacing w:line="300" w:lineRule="exact"/>
        <w:ind w:firstLine="420" w:firstLineChars="200"/>
        <w:rPr>
          <w:rFonts w:hint="eastAsia" w:ascii="宋体" w:hAnsi="宋体"/>
          <w:szCs w:val="21"/>
        </w:rPr>
      </w:pPr>
      <w:r>
        <w:rPr>
          <w:rFonts w:hint="eastAsia" w:ascii="宋体" w:hAnsi="宋体"/>
          <w:szCs w:val="21"/>
        </w:rPr>
        <w:t>因本保函发生的纠纷，由贵我双方协商解决，协商不成的，任何一方均可提请</w:t>
      </w:r>
      <w:r>
        <w:rPr>
          <w:rFonts w:hint="eastAsia" w:ascii="宋体" w:hAnsi="宋体"/>
          <w:szCs w:val="21"/>
          <w:u w:val="single"/>
        </w:rPr>
        <w:t xml:space="preserve">       </w:t>
      </w:r>
      <w:r>
        <w:rPr>
          <w:rFonts w:hint="eastAsia" w:ascii="宋体" w:hAnsi="宋体"/>
          <w:szCs w:val="21"/>
        </w:rPr>
        <w:t>仲裁委员会仲裁。</w:t>
      </w:r>
    </w:p>
    <w:p w14:paraId="0FA5CA52">
      <w:pPr>
        <w:spacing w:line="300" w:lineRule="exact"/>
        <w:ind w:firstLine="420" w:firstLineChars="200"/>
        <w:rPr>
          <w:rFonts w:hint="eastAsia" w:ascii="黑体" w:hAnsi="宋体" w:eastAsia="黑体"/>
          <w:szCs w:val="21"/>
        </w:rPr>
      </w:pPr>
      <w:r>
        <w:rPr>
          <w:rFonts w:hint="eastAsia" w:ascii="黑体" w:hAnsi="宋体" w:eastAsia="黑体"/>
          <w:szCs w:val="21"/>
        </w:rPr>
        <w:t>八、保函的生效</w:t>
      </w:r>
    </w:p>
    <w:p w14:paraId="44DA8724">
      <w:pPr>
        <w:spacing w:line="300" w:lineRule="exact"/>
        <w:ind w:firstLine="420" w:firstLineChars="200"/>
        <w:rPr>
          <w:rFonts w:hint="eastAsia" w:ascii="宋体" w:hAnsi="宋体"/>
          <w:szCs w:val="21"/>
        </w:rPr>
      </w:pPr>
      <w:r>
        <w:rPr>
          <w:rFonts w:hint="eastAsia" w:ascii="宋体" w:hAnsi="宋体"/>
          <w:szCs w:val="21"/>
        </w:rPr>
        <w:t>本保函自我方法定代表人(或其授权代理人)签字或加盖公章并交付你方之日起生效。</w:t>
      </w:r>
    </w:p>
    <w:p w14:paraId="0229E92B">
      <w:pPr>
        <w:spacing w:after="156" w:afterLines="50" w:line="300" w:lineRule="exact"/>
        <w:ind w:firstLine="420" w:firstLineChars="200"/>
        <w:rPr>
          <w:rFonts w:hint="eastAsia" w:ascii="宋体" w:hAnsi="宋体"/>
          <w:szCs w:val="21"/>
        </w:rPr>
      </w:pPr>
      <w:r>
        <w:rPr>
          <w:rFonts w:hint="eastAsia" w:ascii="宋体" w:hAnsi="宋体"/>
          <w:szCs w:val="21"/>
        </w:rPr>
        <w:t>本条所称交付是指：</w:t>
      </w:r>
      <w:r>
        <w:rPr>
          <w:rFonts w:hint="eastAsia" w:ascii="宋体" w:hAnsi="宋体"/>
          <w:szCs w:val="21"/>
          <w:u w:val="single"/>
        </w:rPr>
        <w:t xml:space="preserve">                                                     </w:t>
      </w:r>
      <w:r>
        <w:rPr>
          <w:rFonts w:hint="eastAsia" w:ascii="宋体" w:hAnsi="宋体"/>
          <w:szCs w:val="21"/>
        </w:rPr>
        <w:t>。</w:t>
      </w:r>
    </w:p>
    <w:p w14:paraId="57DA5E1D">
      <w:pPr>
        <w:spacing w:line="340" w:lineRule="exact"/>
        <w:ind w:firstLine="2879" w:firstLineChars="1371"/>
        <w:rPr>
          <w:rFonts w:hint="eastAsia" w:ascii="宋体" w:hAnsi="宋体"/>
          <w:szCs w:val="21"/>
        </w:rPr>
      </w:pPr>
      <w:r>
        <w:rPr>
          <w:rFonts w:hint="eastAsia" w:ascii="宋体" w:hAnsi="宋体"/>
          <w:szCs w:val="21"/>
        </w:rPr>
        <w:t>担保人：</w:t>
      </w:r>
      <w:r>
        <w:rPr>
          <w:rFonts w:hint="eastAsia" w:ascii="宋体" w:hAnsi="宋体"/>
          <w:szCs w:val="21"/>
          <w:u w:val="single"/>
        </w:rPr>
        <w:t xml:space="preserve">                                 </w:t>
      </w:r>
      <w:r>
        <w:rPr>
          <w:rFonts w:hint="eastAsia" w:ascii="宋体" w:hAnsi="宋体"/>
          <w:szCs w:val="21"/>
        </w:rPr>
        <w:t xml:space="preserve"> (盖单位章)</w:t>
      </w:r>
    </w:p>
    <w:p w14:paraId="22184A98">
      <w:pPr>
        <w:spacing w:line="340" w:lineRule="exact"/>
        <w:ind w:firstLine="2879" w:firstLineChars="1371"/>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08341999">
      <w:pPr>
        <w:spacing w:line="340" w:lineRule="exact"/>
        <w:ind w:firstLine="2879" w:firstLineChars="1371"/>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706931B1">
      <w:pPr>
        <w:spacing w:line="340" w:lineRule="exact"/>
        <w:ind w:firstLine="2879" w:firstLineChars="1371"/>
        <w:rPr>
          <w:rFonts w:hint="eastAsia" w:ascii="宋体" w:hAnsi="宋体"/>
          <w:szCs w:val="21"/>
          <w:u w:val="single"/>
        </w:rPr>
      </w:pPr>
      <w:r>
        <w:rPr>
          <w:rFonts w:hint="eastAsia" w:ascii="宋体" w:hAnsi="宋体"/>
          <w:szCs w:val="21"/>
        </w:rPr>
        <w:t>邮政编码：</w:t>
      </w:r>
      <w:r>
        <w:rPr>
          <w:rFonts w:hint="eastAsia" w:ascii="宋体" w:hAnsi="宋体"/>
          <w:szCs w:val="21"/>
          <w:u w:val="single"/>
        </w:rPr>
        <w:t xml:space="preserve">                                      </w:t>
      </w:r>
    </w:p>
    <w:p w14:paraId="2C7656CA">
      <w:pPr>
        <w:spacing w:line="340" w:lineRule="exact"/>
        <w:ind w:firstLine="2879" w:firstLineChars="1371"/>
        <w:rPr>
          <w:rFonts w:hint="eastAsia" w:ascii="宋体" w:hAnsi="宋体"/>
          <w:szCs w:val="21"/>
        </w:rPr>
      </w:pPr>
      <w:r>
        <w:rPr>
          <w:rFonts w:hint="eastAsia" w:ascii="宋体" w:hAnsi="宋体"/>
          <w:szCs w:val="21"/>
        </w:rPr>
        <w:t>电    话：</w:t>
      </w:r>
      <w:r>
        <w:rPr>
          <w:rFonts w:hint="eastAsia" w:ascii="宋体" w:hAnsi="宋体"/>
          <w:szCs w:val="21"/>
          <w:u w:val="single"/>
        </w:rPr>
        <w:t xml:space="preserve">                                      </w:t>
      </w:r>
    </w:p>
    <w:p w14:paraId="7DC9837C">
      <w:pPr>
        <w:spacing w:line="340" w:lineRule="exact"/>
        <w:ind w:firstLine="2879" w:firstLineChars="1371"/>
        <w:rPr>
          <w:rFonts w:hint="eastAsia" w:ascii="宋体" w:hAnsi="宋体"/>
          <w:szCs w:val="21"/>
        </w:rPr>
      </w:pPr>
      <w:r>
        <w:rPr>
          <w:rFonts w:hint="eastAsia" w:ascii="宋体" w:hAnsi="宋体"/>
          <w:szCs w:val="21"/>
        </w:rPr>
        <w:t>传    真：</w:t>
      </w:r>
      <w:r>
        <w:rPr>
          <w:rFonts w:hint="eastAsia" w:ascii="宋体" w:hAnsi="宋体"/>
          <w:szCs w:val="21"/>
          <w:u w:val="single"/>
        </w:rPr>
        <w:t xml:space="preserve">                                      </w:t>
      </w:r>
    </w:p>
    <w:p w14:paraId="4A95FBDF">
      <w:pPr>
        <w:wordWrap w:val="0"/>
        <w:spacing w:line="340" w:lineRule="exact"/>
        <w:ind w:firstLine="2879" w:firstLineChars="1371"/>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3E002EC8">
      <w:pPr>
        <w:spacing w:line="340" w:lineRule="exact"/>
        <w:ind w:firstLine="2879" w:firstLineChars="1371"/>
        <w:jc w:val="right"/>
        <w:rPr>
          <w:rFonts w:hint="eastAsia" w:ascii="宋体" w:hAnsi="宋体"/>
          <w:szCs w:val="21"/>
        </w:rPr>
      </w:pPr>
    </w:p>
    <w:p w14:paraId="28DF2D4E">
      <w:pPr>
        <w:spacing w:line="320" w:lineRule="exact"/>
        <w:rPr>
          <w:rFonts w:hint="eastAsia" w:ascii="宋体" w:hAnsi="宋体"/>
          <w:szCs w:val="21"/>
        </w:rPr>
      </w:pPr>
      <w:r>
        <w:rPr>
          <w:rFonts w:hint="eastAsia" w:ascii="宋体" w:hAnsi="宋体"/>
          <w:szCs w:val="21"/>
        </w:rPr>
        <w:t>备注：本支付担保格式可采用经承包人同意的其他格式，但相关约定应当与履约担保对等。</w:t>
      </w:r>
    </w:p>
    <w:p w14:paraId="67C6007C">
      <w:pPr>
        <w:spacing w:line="320" w:lineRule="exact"/>
        <w:rPr>
          <w:rFonts w:hint="eastAsia" w:ascii="宋体" w:hAnsi="宋体"/>
          <w:szCs w:val="21"/>
        </w:rPr>
      </w:pPr>
    </w:p>
    <w:p w14:paraId="405EF8E3">
      <w:pPr>
        <w:spacing w:line="320" w:lineRule="exact"/>
        <w:rPr>
          <w:rFonts w:hint="eastAsia" w:ascii="宋体" w:hAnsi="宋体"/>
          <w:szCs w:val="21"/>
        </w:rPr>
      </w:pPr>
    </w:p>
    <w:p w14:paraId="003044EC">
      <w:pPr>
        <w:spacing w:line="320" w:lineRule="exact"/>
        <w:rPr>
          <w:rFonts w:hint="eastAsia" w:ascii="宋体" w:hAnsi="宋体"/>
          <w:szCs w:val="21"/>
        </w:rPr>
      </w:pPr>
    </w:p>
    <w:p w14:paraId="20EB0B51">
      <w:pPr>
        <w:spacing w:line="320" w:lineRule="exact"/>
        <w:rPr>
          <w:rFonts w:hint="eastAsia" w:ascii="宋体" w:hAnsi="宋体"/>
          <w:szCs w:val="21"/>
        </w:rPr>
      </w:pPr>
    </w:p>
    <w:p w14:paraId="61B30821">
      <w:pPr>
        <w:spacing w:line="320" w:lineRule="exact"/>
        <w:rPr>
          <w:rFonts w:hint="eastAsia" w:ascii="宋体" w:hAnsi="宋体"/>
          <w:szCs w:val="21"/>
        </w:rPr>
      </w:pPr>
    </w:p>
    <w:p w14:paraId="75576502">
      <w:pPr>
        <w:spacing w:line="320" w:lineRule="exact"/>
        <w:rPr>
          <w:rFonts w:hint="eastAsia" w:ascii="宋体" w:hAnsi="宋体"/>
          <w:szCs w:val="21"/>
        </w:rPr>
      </w:pPr>
    </w:p>
    <w:p w14:paraId="646DD6E8">
      <w:pPr>
        <w:spacing w:line="320" w:lineRule="exact"/>
        <w:rPr>
          <w:rFonts w:hint="eastAsia" w:ascii="宋体" w:hAnsi="宋体"/>
          <w:szCs w:val="21"/>
        </w:rPr>
      </w:pPr>
    </w:p>
    <w:p w14:paraId="13028CC5">
      <w:pPr>
        <w:spacing w:line="320" w:lineRule="exact"/>
        <w:rPr>
          <w:rFonts w:hint="eastAsia" w:ascii="宋体" w:hAnsi="宋体"/>
          <w:szCs w:val="21"/>
        </w:rPr>
      </w:pPr>
    </w:p>
    <w:p w14:paraId="18F1D426">
      <w:pPr>
        <w:spacing w:line="320" w:lineRule="exact"/>
        <w:rPr>
          <w:rFonts w:hint="eastAsia" w:ascii="宋体" w:hAnsi="宋体"/>
          <w:szCs w:val="21"/>
        </w:rPr>
      </w:pPr>
    </w:p>
    <w:p w14:paraId="763C4829">
      <w:pPr>
        <w:spacing w:line="320" w:lineRule="exact"/>
        <w:rPr>
          <w:rFonts w:hint="eastAsia" w:ascii="宋体" w:hAnsi="宋体"/>
          <w:szCs w:val="21"/>
        </w:rPr>
      </w:pPr>
    </w:p>
    <w:p w14:paraId="2A05BA45">
      <w:pPr>
        <w:spacing w:line="320" w:lineRule="exact"/>
        <w:rPr>
          <w:rFonts w:hint="eastAsia" w:ascii="宋体" w:hAnsi="宋体"/>
          <w:szCs w:val="21"/>
        </w:rPr>
      </w:pPr>
    </w:p>
    <w:p w14:paraId="39521DF1">
      <w:pPr>
        <w:spacing w:line="320" w:lineRule="exact"/>
        <w:rPr>
          <w:rFonts w:hint="eastAsia" w:ascii="宋体" w:hAnsi="宋体"/>
          <w:szCs w:val="21"/>
        </w:rPr>
      </w:pPr>
    </w:p>
    <w:p w14:paraId="513C080F">
      <w:pPr>
        <w:spacing w:line="320" w:lineRule="exact"/>
        <w:rPr>
          <w:rFonts w:hint="eastAsia" w:ascii="宋体" w:hAnsi="宋体"/>
          <w:szCs w:val="21"/>
        </w:rPr>
      </w:pPr>
    </w:p>
    <w:p w14:paraId="5F03B2D9">
      <w:pPr>
        <w:spacing w:line="320" w:lineRule="exact"/>
        <w:rPr>
          <w:rFonts w:hint="eastAsia" w:ascii="宋体" w:hAnsi="宋体"/>
          <w:szCs w:val="21"/>
        </w:rPr>
      </w:pPr>
    </w:p>
    <w:p w14:paraId="23700163">
      <w:pPr>
        <w:spacing w:line="320" w:lineRule="exact"/>
        <w:rPr>
          <w:rFonts w:hint="eastAsia" w:ascii="宋体" w:hAnsi="宋体"/>
          <w:szCs w:val="21"/>
        </w:rPr>
      </w:pPr>
    </w:p>
    <w:p w14:paraId="11303B60">
      <w:pPr>
        <w:spacing w:line="320" w:lineRule="exact"/>
        <w:rPr>
          <w:rFonts w:hint="eastAsia" w:ascii="宋体" w:hAnsi="宋体"/>
          <w:szCs w:val="21"/>
        </w:rPr>
      </w:pPr>
    </w:p>
    <w:p w14:paraId="398A2734">
      <w:pPr>
        <w:spacing w:line="320" w:lineRule="exact"/>
        <w:rPr>
          <w:rFonts w:hint="eastAsia" w:ascii="宋体" w:hAnsi="宋体"/>
          <w:szCs w:val="21"/>
        </w:rPr>
      </w:pPr>
    </w:p>
    <w:p w14:paraId="7C5BDBAD">
      <w:pPr>
        <w:spacing w:line="320" w:lineRule="exact"/>
        <w:rPr>
          <w:rFonts w:hint="eastAsia" w:ascii="宋体" w:hAnsi="宋体"/>
          <w:szCs w:val="21"/>
        </w:rPr>
      </w:pPr>
    </w:p>
    <w:p w14:paraId="2A771CB1">
      <w:pPr>
        <w:spacing w:line="320" w:lineRule="exact"/>
        <w:rPr>
          <w:rFonts w:hint="eastAsia" w:ascii="宋体" w:hAnsi="宋体"/>
          <w:szCs w:val="21"/>
        </w:rPr>
      </w:pPr>
    </w:p>
    <w:p w14:paraId="17C7BF96">
      <w:pPr>
        <w:spacing w:line="320" w:lineRule="exact"/>
        <w:rPr>
          <w:rFonts w:hint="eastAsia" w:ascii="宋体" w:hAnsi="宋体"/>
          <w:szCs w:val="21"/>
        </w:rPr>
      </w:pPr>
    </w:p>
    <w:p w14:paraId="79BB34BB">
      <w:pPr>
        <w:spacing w:line="320" w:lineRule="exact"/>
        <w:rPr>
          <w:rFonts w:hint="eastAsia" w:ascii="宋体" w:hAnsi="宋体"/>
          <w:szCs w:val="21"/>
        </w:rPr>
      </w:pPr>
    </w:p>
    <w:p w14:paraId="61E1E644">
      <w:pPr>
        <w:spacing w:line="320" w:lineRule="exact"/>
        <w:rPr>
          <w:rFonts w:hint="eastAsia" w:ascii="宋体" w:hAnsi="宋体"/>
          <w:szCs w:val="21"/>
        </w:rPr>
      </w:pPr>
    </w:p>
    <w:p w14:paraId="33C518E6">
      <w:pPr>
        <w:spacing w:line="320" w:lineRule="exact"/>
        <w:rPr>
          <w:rFonts w:hint="eastAsia" w:ascii="宋体" w:hAnsi="宋体"/>
          <w:szCs w:val="21"/>
        </w:rPr>
      </w:pPr>
    </w:p>
    <w:p w14:paraId="2685A9C1">
      <w:pPr>
        <w:spacing w:line="320" w:lineRule="exact"/>
        <w:rPr>
          <w:rFonts w:hint="eastAsia" w:ascii="宋体" w:hAnsi="宋体"/>
          <w:szCs w:val="21"/>
        </w:rPr>
      </w:pPr>
    </w:p>
    <w:p w14:paraId="0CE174B3">
      <w:pPr>
        <w:pStyle w:val="20"/>
        <w:rPr>
          <w:rFonts w:hint="eastAsia" w:ascii="黑体"/>
        </w:rPr>
      </w:pPr>
      <w:bookmarkStart w:id="1331" w:name="_Toc108513936"/>
      <w:r>
        <w:rPr>
          <w:rFonts w:hint="eastAsia"/>
        </w:rPr>
        <w:t>附件五：质量保修书格式</w:t>
      </w:r>
      <w:bookmarkEnd w:id="1331"/>
    </w:p>
    <w:p w14:paraId="6321BB9C">
      <w:pPr>
        <w:spacing w:line="320" w:lineRule="exact"/>
        <w:jc w:val="center"/>
        <w:rPr>
          <w:rFonts w:hint="eastAsia" w:ascii="黑体" w:hAnsi="宋体" w:eastAsia="黑体"/>
          <w:sz w:val="24"/>
        </w:rPr>
      </w:pPr>
    </w:p>
    <w:p w14:paraId="479233B2">
      <w:pPr>
        <w:spacing w:line="400" w:lineRule="exact"/>
        <w:ind w:firstLine="560" w:firstLineChars="200"/>
        <w:jc w:val="center"/>
        <w:rPr>
          <w:rFonts w:hint="eastAsia" w:ascii="黑体" w:eastAsia="黑体"/>
          <w:sz w:val="28"/>
          <w:szCs w:val="28"/>
        </w:rPr>
      </w:pPr>
      <w:r>
        <w:rPr>
          <w:rFonts w:hint="eastAsia" w:ascii="黑体" w:eastAsia="黑体"/>
          <w:sz w:val="28"/>
          <w:szCs w:val="28"/>
        </w:rPr>
        <w:t>房屋建筑工程质量保修书</w:t>
      </w:r>
    </w:p>
    <w:p w14:paraId="156BCFDE">
      <w:pPr>
        <w:spacing w:line="320" w:lineRule="exact"/>
        <w:jc w:val="center"/>
        <w:rPr>
          <w:rFonts w:hint="eastAsia" w:ascii="黑体" w:hAnsi="宋体" w:eastAsia="黑体"/>
          <w:sz w:val="24"/>
        </w:rPr>
      </w:pPr>
    </w:p>
    <w:p w14:paraId="70160273">
      <w:pPr>
        <w:spacing w:line="290" w:lineRule="exact"/>
        <w:ind w:firstLine="420" w:firstLineChars="200"/>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p>
    <w:p w14:paraId="37824184">
      <w:pPr>
        <w:spacing w:line="290" w:lineRule="exact"/>
        <w:ind w:firstLine="420" w:firstLineChars="200"/>
        <w:rPr>
          <w:rFonts w:hint="eastAsia" w:ascii="宋体" w:hAnsi="宋体"/>
          <w:szCs w:val="21"/>
        </w:rPr>
      </w:pPr>
      <w:r>
        <w:rPr>
          <w:rFonts w:hint="eastAsia" w:ascii="宋体" w:hAnsi="宋体"/>
          <w:szCs w:val="21"/>
        </w:rPr>
        <w:t>承包人：</w:t>
      </w:r>
      <w:r>
        <w:rPr>
          <w:rFonts w:hint="eastAsia" w:ascii="宋体" w:hAnsi="宋体"/>
          <w:szCs w:val="21"/>
          <w:u w:val="single"/>
        </w:rPr>
        <w:t xml:space="preserve">                                               </w:t>
      </w:r>
    </w:p>
    <w:p w14:paraId="09327638">
      <w:pPr>
        <w:spacing w:line="290" w:lineRule="exact"/>
        <w:ind w:firstLine="420" w:firstLineChars="200"/>
        <w:rPr>
          <w:rFonts w:hint="eastAsia" w:ascii="宋体" w:hAnsi="宋体"/>
          <w:szCs w:val="21"/>
        </w:rPr>
      </w:pPr>
      <w:r>
        <w:rPr>
          <w:rFonts w:hint="eastAsia" w:ascii="宋体" w:hAnsi="宋体"/>
          <w:szCs w:val="21"/>
        </w:rPr>
        <w:t>发包人、承包人根据《中华人民共和国建筑法》、《建设工程质量管理条例》和《房屋建筑工程质量保修办法》，经协商一致，对</w:t>
      </w:r>
      <w:r>
        <w:rPr>
          <w:rFonts w:hint="eastAsia" w:ascii="宋体" w:hAnsi="宋体"/>
          <w:szCs w:val="21"/>
          <w:u w:val="single"/>
        </w:rPr>
        <w:t xml:space="preserve">                              </w:t>
      </w:r>
      <w:r>
        <w:rPr>
          <w:rFonts w:hint="eastAsia" w:ascii="宋体" w:hAnsi="宋体"/>
          <w:szCs w:val="21"/>
        </w:rPr>
        <w:t>(工程名称)签订保修书。</w:t>
      </w:r>
    </w:p>
    <w:p w14:paraId="6BF54D28">
      <w:pPr>
        <w:spacing w:line="290" w:lineRule="exact"/>
        <w:ind w:firstLine="420" w:firstLineChars="200"/>
        <w:rPr>
          <w:rFonts w:hint="eastAsia" w:ascii="黑体" w:hAnsi="宋体" w:eastAsia="黑体"/>
          <w:szCs w:val="21"/>
        </w:rPr>
      </w:pPr>
      <w:r>
        <w:rPr>
          <w:rFonts w:hint="eastAsia" w:ascii="黑体" w:hAnsi="宋体" w:eastAsia="黑体"/>
          <w:szCs w:val="21"/>
        </w:rPr>
        <w:t>一、工程保修范围和内容</w:t>
      </w:r>
    </w:p>
    <w:p w14:paraId="25F4ECF2">
      <w:pPr>
        <w:spacing w:line="290" w:lineRule="exact"/>
        <w:ind w:firstLine="420" w:firstLineChars="200"/>
        <w:rPr>
          <w:rFonts w:hint="eastAsia" w:ascii="宋体" w:hAnsi="宋体"/>
          <w:szCs w:val="21"/>
        </w:rPr>
      </w:pPr>
      <w:r>
        <w:rPr>
          <w:rFonts w:hint="eastAsia" w:ascii="宋体" w:hAnsi="宋体"/>
          <w:szCs w:val="21"/>
        </w:rPr>
        <w:t>承包人在保修期内，按照有关法律、法规、规章的管理规定和双方约定，承担本工程保修责任。</w:t>
      </w:r>
    </w:p>
    <w:p w14:paraId="7336AB1C">
      <w:pPr>
        <w:spacing w:line="290" w:lineRule="exact"/>
        <w:ind w:firstLine="420" w:firstLineChars="200"/>
        <w:rPr>
          <w:rFonts w:hint="eastAsia" w:ascii="宋体" w:hAnsi="宋体"/>
          <w:szCs w:val="21"/>
        </w:rPr>
      </w:pPr>
      <w:r>
        <w:rPr>
          <w:rFonts w:hint="eastAsia" w:ascii="宋体" w:hAnsi="宋体"/>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96ED8CC">
      <w:pPr>
        <w:spacing w:line="290" w:lineRule="exact"/>
        <w:rPr>
          <w:rFonts w:hint="eastAsia" w:ascii="宋体" w:hAnsi="宋体"/>
          <w:szCs w:val="21"/>
          <w:u w:val="single"/>
        </w:rPr>
      </w:pPr>
      <w:r>
        <w:rPr>
          <w:rFonts w:hint="eastAsia" w:ascii="宋体" w:hAnsi="宋体"/>
          <w:szCs w:val="21"/>
          <w:u w:val="single"/>
        </w:rPr>
        <w:t xml:space="preserve">                                                                               </w:t>
      </w:r>
    </w:p>
    <w:p w14:paraId="05AFC120">
      <w:pPr>
        <w:spacing w:line="290" w:lineRule="exact"/>
        <w:rPr>
          <w:rFonts w:hint="eastAsia" w:ascii="宋体" w:hAnsi="宋体"/>
          <w:szCs w:val="21"/>
          <w:u w:val="single"/>
        </w:rPr>
      </w:pPr>
      <w:r>
        <w:rPr>
          <w:rFonts w:hint="eastAsia" w:ascii="宋体" w:hAnsi="宋体"/>
          <w:szCs w:val="21"/>
          <w:u w:val="single"/>
        </w:rPr>
        <w:t xml:space="preserve">                                                                               </w:t>
      </w:r>
    </w:p>
    <w:p w14:paraId="7E200BB5">
      <w:pPr>
        <w:spacing w:line="290" w:lineRule="exact"/>
        <w:rPr>
          <w:rFonts w:hint="eastAsia" w:ascii="宋体" w:hAnsi="宋体"/>
          <w:szCs w:val="21"/>
          <w:u w:val="single"/>
        </w:rPr>
      </w:pPr>
      <w:r>
        <w:rPr>
          <w:rFonts w:hint="eastAsia" w:ascii="宋体" w:hAnsi="宋体"/>
          <w:szCs w:val="21"/>
          <w:u w:val="single"/>
        </w:rPr>
        <w:t xml:space="preserve">                                                                               </w:t>
      </w:r>
    </w:p>
    <w:p w14:paraId="38114FA9">
      <w:pPr>
        <w:spacing w:line="2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1C2AEE66">
      <w:pPr>
        <w:spacing w:line="290" w:lineRule="exact"/>
        <w:ind w:firstLine="420" w:firstLineChars="200"/>
        <w:rPr>
          <w:rFonts w:hint="eastAsia" w:ascii="黑体" w:hAnsi="宋体" w:eastAsia="黑体"/>
          <w:szCs w:val="21"/>
        </w:rPr>
      </w:pPr>
      <w:r>
        <w:rPr>
          <w:rFonts w:hint="eastAsia" w:ascii="黑体" w:hAnsi="宋体" w:eastAsia="黑体"/>
          <w:szCs w:val="21"/>
        </w:rPr>
        <w:t>二、保修期</w:t>
      </w:r>
    </w:p>
    <w:p w14:paraId="38B8B3B3">
      <w:pPr>
        <w:spacing w:line="290" w:lineRule="exact"/>
        <w:ind w:firstLine="420" w:firstLineChars="200"/>
        <w:rPr>
          <w:rFonts w:hint="eastAsia" w:ascii="宋体" w:hAnsi="宋体"/>
          <w:szCs w:val="21"/>
        </w:rPr>
      </w:pPr>
      <w:r>
        <w:rPr>
          <w:rFonts w:hint="eastAsia" w:ascii="宋体" w:hAnsi="宋体"/>
          <w:szCs w:val="21"/>
        </w:rPr>
        <w:t>双方根据《建设工程质量管理条例》及有关规定，约定本工程的保修期如下：</w:t>
      </w:r>
    </w:p>
    <w:p w14:paraId="3F86AE5B">
      <w:pPr>
        <w:spacing w:line="290" w:lineRule="exact"/>
        <w:ind w:firstLine="898" w:firstLineChars="428"/>
        <w:rPr>
          <w:rFonts w:hint="eastAsia" w:ascii="宋体" w:hAnsi="宋体"/>
          <w:szCs w:val="21"/>
        </w:rPr>
      </w:pPr>
      <w:r>
        <w:rPr>
          <w:rFonts w:hint="eastAsia" w:ascii="宋体" w:hAnsi="宋体"/>
          <w:szCs w:val="21"/>
        </w:rPr>
        <w:t>1、地基基础工程和主体结构工程为设计文件规定的该工程合理使用年限；</w:t>
      </w:r>
    </w:p>
    <w:p w14:paraId="0F302C04">
      <w:pPr>
        <w:spacing w:line="290" w:lineRule="exact"/>
        <w:ind w:firstLine="898" w:firstLineChars="428"/>
        <w:rPr>
          <w:rFonts w:hint="eastAsia" w:ascii="宋体" w:hAnsi="宋体"/>
          <w:szCs w:val="21"/>
        </w:rPr>
      </w:pPr>
      <w:r>
        <w:rPr>
          <w:rFonts w:hint="eastAsia" w:ascii="宋体" w:hAnsi="宋体"/>
          <w:szCs w:val="21"/>
        </w:rPr>
        <w:t>2、屋面防水工程、有防水要求的卫生间、房间和外墙面的防渗漏为</w:t>
      </w:r>
      <w:r>
        <w:rPr>
          <w:rFonts w:hint="eastAsia" w:ascii="宋体" w:hAnsi="宋体"/>
          <w:szCs w:val="21"/>
          <w:u w:val="single"/>
        </w:rPr>
        <w:t xml:space="preserve">        </w:t>
      </w:r>
      <w:r>
        <w:rPr>
          <w:rFonts w:hint="eastAsia" w:ascii="宋体" w:hAnsi="宋体"/>
          <w:szCs w:val="21"/>
        </w:rPr>
        <w:t>年；</w:t>
      </w:r>
    </w:p>
    <w:p w14:paraId="080765E4">
      <w:pPr>
        <w:spacing w:line="290" w:lineRule="exact"/>
        <w:ind w:firstLine="898" w:firstLineChars="428"/>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w:t>
      </w:r>
      <w:r>
        <w:rPr>
          <w:rFonts w:hint="eastAsia" w:ascii="宋体" w:hAnsi="宋体"/>
          <w:szCs w:val="21"/>
        </w:rPr>
        <w:t>年；</w:t>
      </w:r>
    </w:p>
    <w:p w14:paraId="57870CE4">
      <w:pPr>
        <w:spacing w:line="290" w:lineRule="exact"/>
        <w:ind w:firstLine="898" w:firstLineChars="428"/>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w:t>
      </w:r>
      <w:r>
        <w:rPr>
          <w:rFonts w:hint="eastAsia" w:ascii="宋体" w:hAnsi="宋体"/>
          <w:szCs w:val="21"/>
        </w:rPr>
        <w:t>年；</w:t>
      </w:r>
    </w:p>
    <w:p w14:paraId="558AB0F6">
      <w:pPr>
        <w:spacing w:line="290" w:lineRule="exact"/>
        <w:ind w:firstLine="898" w:firstLineChars="428"/>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w:t>
      </w:r>
      <w:r>
        <w:rPr>
          <w:rFonts w:hint="eastAsia" w:ascii="宋体" w:hAnsi="宋体"/>
          <w:szCs w:val="21"/>
        </w:rPr>
        <w:t>个采暖期、供冷期；</w:t>
      </w:r>
    </w:p>
    <w:p w14:paraId="5167FB1C">
      <w:pPr>
        <w:spacing w:line="290" w:lineRule="exact"/>
        <w:ind w:firstLine="898" w:firstLineChars="428"/>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w:t>
      </w:r>
      <w:r>
        <w:rPr>
          <w:rFonts w:hint="eastAsia" w:ascii="宋体" w:hAnsi="宋体"/>
          <w:szCs w:val="21"/>
        </w:rPr>
        <w:t>年；</w:t>
      </w:r>
    </w:p>
    <w:p w14:paraId="1C35C6C1">
      <w:pPr>
        <w:spacing w:line="290" w:lineRule="exact"/>
        <w:ind w:firstLine="898" w:firstLineChars="428"/>
        <w:rPr>
          <w:rFonts w:hint="eastAsia" w:ascii="宋体" w:hAnsi="宋体"/>
          <w:szCs w:val="21"/>
        </w:rPr>
      </w:pPr>
      <w:r>
        <w:rPr>
          <w:rFonts w:hint="eastAsia" w:ascii="宋体" w:hAnsi="宋体"/>
          <w:szCs w:val="21"/>
        </w:rPr>
        <w:t>7、其他项目保修期限约定如下：</w:t>
      </w:r>
    </w:p>
    <w:p w14:paraId="6312930D">
      <w:pPr>
        <w:spacing w:line="290" w:lineRule="exact"/>
        <w:rPr>
          <w:rFonts w:hint="eastAsia" w:ascii="宋体" w:hAnsi="宋体"/>
          <w:szCs w:val="21"/>
          <w:u w:val="single"/>
        </w:rPr>
      </w:pPr>
      <w:r>
        <w:rPr>
          <w:rFonts w:hint="eastAsia" w:ascii="宋体" w:hAnsi="宋体"/>
          <w:szCs w:val="21"/>
          <w:u w:val="single"/>
        </w:rPr>
        <w:t xml:space="preserve">                                                                               </w:t>
      </w:r>
    </w:p>
    <w:p w14:paraId="3B614B70">
      <w:pPr>
        <w:spacing w:line="290" w:lineRule="exact"/>
        <w:rPr>
          <w:rFonts w:hint="eastAsia" w:ascii="宋体" w:hAnsi="宋体"/>
          <w:szCs w:val="21"/>
          <w:u w:val="single"/>
        </w:rPr>
      </w:pPr>
      <w:r>
        <w:rPr>
          <w:rFonts w:hint="eastAsia" w:ascii="宋体" w:hAnsi="宋体"/>
          <w:szCs w:val="21"/>
          <w:u w:val="single"/>
        </w:rPr>
        <w:t xml:space="preserve">                                                                               </w:t>
      </w:r>
    </w:p>
    <w:p w14:paraId="64AC87BE">
      <w:pPr>
        <w:spacing w:line="290" w:lineRule="exact"/>
        <w:rPr>
          <w:rFonts w:hint="eastAsia" w:ascii="宋体" w:hAnsi="宋体"/>
          <w:szCs w:val="21"/>
          <w:u w:val="single"/>
        </w:rPr>
      </w:pPr>
      <w:r>
        <w:rPr>
          <w:rFonts w:hint="eastAsia" w:ascii="宋体" w:hAnsi="宋体"/>
          <w:szCs w:val="21"/>
          <w:u w:val="single"/>
        </w:rPr>
        <w:t xml:space="preserve">                                                                               </w:t>
      </w:r>
    </w:p>
    <w:p w14:paraId="1293B577">
      <w:pPr>
        <w:spacing w:line="2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0A035FC6">
      <w:pPr>
        <w:spacing w:line="290" w:lineRule="exact"/>
        <w:ind w:firstLine="420" w:firstLineChars="200"/>
        <w:rPr>
          <w:rFonts w:hint="eastAsia" w:ascii="黑体" w:hAnsi="宋体" w:eastAsia="黑体"/>
          <w:szCs w:val="21"/>
        </w:rPr>
      </w:pPr>
      <w:r>
        <w:rPr>
          <w:rFonts w:hint="eastAsia" w:ascii="黑体" w:hAnsi="宋体" w:eastAsia="黑体"/>
          <w:szCs w:val="21"/>
        </w:rPr>
        <w:t>三、保修责任</w:t>
      </w:r>
    </w:p>
    <w:p w14:paraId="4DDE3C00">
      <w:pPr>
        <w:spacing w:line="290" w:lineRule="exact"/>
        <w:ind w:firstLine="420" w:firstLineChars="200"/>
        <w:rPr>
          <w:rFonts w:hint="eastAsia" w:ascii="宋体" w:hAnsi="宋体"/>
          <w:szCs w:val="21"/>
        </w:rPr>
      </w:pPr>
      <w:r>
        <w:rPr>
          <w:rFonts w:hint="eastAsia" w:ascii="宋体" w:hAnsi="宋体"/>
          <w:szCs w:val="21"/>
        </w:rPr>
        <w:t>1、属于责任范围、内容的项目，承包人应当在接到保修通知之日起7天内派人保修。承包人不在约定期限内派人保修的，发包人可以委托他人修理。</w:t>
      </w:r>
    </w:p>
    <w:p w14:paraId="653BFE3A">
      <w:pPr>
        <w:spacing w:line="290" w:lineRule="exact"/>
        <w:ind w:firstLine="420" w:firstLineChars="200"/>
        <w:rPr>
          <w:rFonts w:hint="eastAsia" w:ascii="宋体" w:hAnsi="宋体"/>
          <w:szCs w:val="21"/>
        </w:rPr>
      </w:pPr>
      <w:r>
        <w:rPr>
          <w:rFonts w:hint="eastAsia" w:ascii="宋体" w:hAnsi="宋体"/>
          <w:szCs w:val="21"/>
        </w:rPr>
        <w:t>2、发生紧急抢修事故的，承包人在接到事故通知后，应当立即到达事故现场抢修。</w:t>
      </w:r>
    </w:p>
    <w:p w14:paraId="187D3B3D">
      <w:pPr>
        <w:spacing w:line="290" w:lineRule="exact"/>
        <w:ind w:firstLine="420" w:firstLineChars="200"/>
        <w:rPr>
          <w:rFonts w:hint="eastAsia" w:ascii="宋体" w:hAnsi="宋体"/>
          <w:szCs w:val="21"/>
        </w:rPr>
      </w:pPr>
      <w:r>
        <w:rPr>
          <w:rFonts w:hint="eastAsia" w:ascii="宋体" w:hAnsi="宋体"/>
          <w:szCs w:val="21"/>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7FF78D11">
      <w:pPr>
        <w:spacing w:line="290" w:lineRule="exact"/>
        <w:ind w:firstLine="420" w:firstLineChars="200"/>
        <w:rPr>
          <w:rFonts w:hint="eastAsia" w:ascii="宋体" w:hAnsi="宋体"/>
          <w:szCs w:val="21"/>
        </w:rPr>
      </w:pPr>
      <w:r>
        <w:rPr>
          <w:rFonts w:hint="eastAsia" w:ascii="宋体" w:hAnsi="宋体"/>
          <w:szCs w:val="21"/>
        </w:rPr>
        <w:t>4、质量保修完成后，由发包人组织验收。</w:t>
      </w:r>
    </w:p>
    <w:p w14:paraId="09C69639">
      <w:pPr>
        <w:spacing w:line="290" w:lineRule="exact"/>
        <w:ind w:firstLine="420" w:firstLineChars="200"/>
        <w:rPr>
          <w:rFonts w:hint="eastAsia" w:ascii="黑体" w:hAnsi="宋体" w:eastAsia="黑体"/>
          <w:szCs w:val="21"/>
        </w:rPr>
      </w:pPr>
      <w:r>
        <w:rPr>
          <w:rFonts w:hint="eastAsia" w:ascii="黑体" w:hAnsi="宋体" w:eastAsia="黑体"/>
          <w:szCs w:val="21"/>
        </w:rPr>
        <w:t>四、保修费用</w:t>
      </w:r>
    </w:p>
    <w:p w14:paraId="29C36BFA">
      <w:pPr>
        <w:spacing w:line="290" w:lineRule="exact"/>
        <w:ind w:firstLine="420" w:firstLineChars="200"/>
        <w:rPr>
          <w:rFonts w:hint="eastAsia" w:ascii="宋体" w:hAnsi="宋体"/>
          <w:szCs w:val="21"/>
        </w:rPr>
      </w:pPr>
      <w:r>
        <w:rPr>
          <w:rFonts w:hint="eastAsia" w:ascii="宋体" w:hAnsi="宋体"/>
          <w:szCs w:val="21"/>
        </w:rPr>
        <w:t>保修费用由造成质量缺陷的责任方承担。</w:t>
      </w:r>
    </w:p>
    <w:p w14:paraId="3363E6AA">
      <w:pPr>
        <w:spacing w:line="290" w:lineRule="exact"/>
        <w:ind w:firstLine="420" w:firstLineChars="200"/>
        <w:rPr>
          <w:rFonts w:hint="eastAsia" w:ascii="黑体" w:hAnsi="宋体" w:eastAsia="黑体"/>
          <w:szCs w:val="21"/>
        </w:rPr>
      </w:pPr>
      <w:r>
        <w:rPr>
          <w:rFonts w:hint="eastAsia" w:ascii="黑体" w:hAnsi="宋体" w:eastAsia="黑体"/>
          <w:szCs w:val="21"/>
        </w:rPr>
        <w:t>五、其他</w:t>
      </w:r>
    </w:p>
    <w:p w14:paraId="3223BE0B">
      <w:pPr>
        <w:spacing w:line="290" w:lineRule="exact"/>
        <w:ind w:firstLine="420" w:firstLineChars="200"/>
        <w:rPr>
          <w:rFonts w:hint="eastAsia" w:ascii="宋体" w:hAnsi="宋体"/>
          <w:szCs w:val="21"/>
        </w:rPr>
      </w:pPr>
      <w:r>
        <w:rPr>
          <w:rFonts w:hint="eastAsia" w:ascii="宋体" w:hAnsi="宋体"/>
          <w:szCs w:val="21"/>
        </w:rPr>
        <w:t>双方约定的其他工程保修责任事项：</w:t>
      </w:r>
    </w:p>
    <w:p w14:paraId="671D6A24">
      <w:pPr>
        <w:spacing w:line="290" w:lineRule="exact"/>
        <w:rPr>
          <w:rFonts w:hint="eastAsia" w:ascii="宋体" w:hAnsi="宋体"/>
          <w:szCs w:val="21"/>
          <w:u w:val="single"/>
        </w:rPr>
      </w:pPr>
      <w:r>
        <w:rPr>
          <w:rFonts w:hint="eastAsia" w:ascii="宋体" w:hAnsi="宋体"/>
          <w:szCs w:val="21"/>
          <w:u w:val="single"/>
        </w:rPr>
        <w:t xml:space="preserve">                                                                               </w:t>
      </w:r>
    </w:p>
    <w:p w14:paraId="6E0B04BB">
      <w:pPr>
        <w:spacing w:line="290" w:lineRule="exact"/>
        <w:rPr>
          <w:rFonts w:hint="eastAsia" w:ascii="宋体" w:hAnsi="宋体"/>
          <w:szCs w:val="21"/>
          <w:u w:val="single"/>
        </w:rPr>
      </w:pPr>
      <w:r>
        <w:rPr>
          <w:rFonts w:hint="eastAsia" w:ascii="宋体" w:hAnsi="宋体"/>
          <w:szCs w:val="21"/>
          <w:u w:val="single"/>
        </w:rPr>
        <w:t xml:space="preserve">                                                                               </w:t>
      </w:r>
    </w:p>
    <w:p w14:paraId="1D35BE77">
      <w:pPr>
        <w:spacing w:line="290" w:lineRule="exact"/>
        <w:rPr>
          <w:rFonts w:hint="eastAsia" w:ascii="宋体" w:hAnsi="宋体"/>
          <w:szCs w:val="21"/>
          <w:u w:val="single"/>
        </w:rPr>
      </w:pPr>
      <w:r>
        <w:rPr>
          <w:rFonts w:hint="eastAsia" w:ascii="宋体" w:hAnsi="宋体"/>
          <w:szCs w:val="21"/>
          <w:u w:val="single"/>
        </w:rPr>
        <w:t xml:space="preserve">                                                                               </w:t>
      </w:r>
    </w:p>
    <w:p w14:paraId="037C34DF">
      <w:pPr>
        <w:spacing w:line="29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1811D66B">
      <w:pPr>
        <w:spacing w:line="320" w:lineRule="exact"/>
        <w:ind w:firstLine="420" w:firstLineChars="200"/>
        <w:rPr>
          <w:rFonts w:hint="eastAsia" w:ascii="宋体" w:hAnsi="宋体"/>
          <w:szCs w:val="21"/>
        </w:rPr>
      </w:pPr>
      <w:r>
        <w:rPr>
          <w:rFonts w:hint="eastAsia" w:ascii="宋体" w:hAnsi="宋体"/>
          <w:szCs w:val="21"/>
        </w:rPr>
        <w:t>本工程保修书，由施工合同发包人、承包人双方在竣工验收前共同签署，作为施工合同附件，其有效期限至保修期满。</w:t>
      </w:r>
    </w:p>
    <w:p w14:paraId="1E80143E">
      <w:pPr>
        <w:spacing w:line="320" w:lineRule="exact"/>
        <w:ind w:firstLine="420" w:firstLineChars="200"/>
        <w:rPr>
          <w:rFonts w:hint="eastAsia" w:ascii="宋体" w:hAnsi="宋体"/>
          <w:szCs w:val="21"/>
        </w:rPr>
      </w:pPr>
    </w:p>
    <w:p w14:paraId="37C2F43F">
      <w:pPr>
        <w:spacing w:line="320" w:lineRule="exact"/>
        <w:ind w:firstLine="420" w:firstLineChars="200"/>
        <w:rPr>
          <w:rFonts w:hint="eastAsia" w:ascii="宋体" w:hAnsi="宋体"/>
          <w:szCs w:val="21"/>
        </w:rPr>
      </w:pPr>
    </w:p>
    <w:p w14:paraId="755C1D31">
      <w:pPr>
        <w:spacing w:line="320" w:lineRule="exact"/>
        <w:ind w:firstLine="420" w:firstLineChars="200"/>
        <w:rPr>
          <w:rFonts w:hint="eastAsia" w:ascii="宋体" w:hAnsi="宋体"/>
          <w:szCs w:val="21"/>
        </w:rPr>
      </w:pPr>
    </w:p>
    <w:p w14:paraId="12AFB555">
      <w:pPr>
        <w:spacing w:line="320" w:lineRule="exact"/>
        <w:ind w:firstLine="420" w:firstLineChars="200"/>
        <w:rPr>
          <w:rFonts w:hint="eastAsia" w:ascii="宋体" w:hAnsi="宋体"/>
          <w:szCs w:val="21"/>
        </w:rPr>
      </w:pPr>
    </w:p>
    <w:p w14:paraId="4733D25A">
      <w:pPr>
        <w:spacing w:line="320" w:lineRule="exact"/>
        <w:ind w:firstLine="420" w:firstLineChars="200"/>
        <w:rPr>
          <w:rFonts w:hint="eastAsia" w:ascii="宋体" w:hAnsi="宋体"/>
          <w:szCs w:val="21"/>
        </w:rPr>
      </w:pPr>
    </w:p>
    <w:p w14:paraId="40DE6C35">
      <w:pPr>
        <w:spacing w:line="320" w:lineRule="exact"/>
        <w:ind w:firstLine="420" w:firstLineChars="200"/>
        <w:rPr>
          <w:rFonts w:hint="eastAsia" w:ascii="宋体" w:hAnsi="宋体"/>
          <w:szCs w:val="21"/>
        </w:rPr>
      </w:pPr>
    </w:p>
    <w:p w14:paraId="4086958C">
      <w:pPr>
        <w:spacing w:line="320" w:lineRule="exact"/>
        <w:ind w:firstLine="420" w:firstLineChars="200"/>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(公章)    承包人：</w:t>
      </w:r>
      <w:r>
        <w:rPr>
          <w:rFonts w:hint="eastAsia" w:ascii="宋体" w:hAnsi="宋体"/>
          <w:szCs w:val="21"/>
          <w:u w:val="single"/>
        </w:rPr>
        <w:t xml:space="preserve">                     </w:t>
      </w:r>
      <w:r>
        <w:rPr>
          <w:rFonts w:hint="eastAsia" w:ascii="宋体" w:hAnsi="宋体"/>
          <w:szCs w:val="21"/>
        </w:rPr>
        <w:t xml:space="preserve"> (公章)</w:t>
      </w:r>
    </w:p>
    <w:p w14:paraId="717A580B">
      <w:pPr>
        <w:spacing w:line="320" w:lineRule="exact"/>
        <w:ind w:firstLine="420" w:firstLineChars="200"/>
        <w:rPr>
          <w:rFonts w:hint="eastAsia" w:ascii="宋体" w:hAnsi="宋体"/>
          <w:szCs w:val="21"/>
        </w:rPr>
      </w:pPr>
      <w:r>
        <w:rPr>
          <w:rFonts w:hint="eastAsia" w:ascii="宋体" w:hAnsi="宋体"/>
          <w:szCs w:val="21"/>
        </w:rPr>
        <w:t>法定地址：</w:t>
      </w:r>
      <w:r>
        <w:rPr>
          <w:rFonts w:hint="eastAsia" w:ascii="宋体" w:hAnsi="宋体"/>
          <w:szCs w:val="21"/>
          <w:u w:val="single"/>
        </w:rPr>
        <w:t xml:space="preserve">                   </w:t>
      </w:r>
      <w:r>
        <w:rPr>
          <w:rFonts w:hint="eastAsia" w:ascii="宋体" w:hAnsi="宋体"/>
          <w:szCs w:val="21"/>
        </w:rPr>
        <w:t xml:space="preserve">          法定地址：</w:t>
      </w:r>
      <w:r>
        <w:rPr>
          <w:rFonts w:hint="eastAsia" w:ascii="宋体" w:hAnsi="宋体"/>
          <w:szCs w:val="21"/>
          <w:u w:val="single"/>
        </w:rPr>
        <w:t xml:space="preserve">                   </w:t>
      </w:r>
    </w:p>
    <w:p w14:paraId="28057D02">
      <w:pPr>
        <w:spacing w:line="320" w:lineRule="exact"/>
        <w:ind w:firstLine="420" w:firstLineChars="200"/>
        <w:rPr>
          <w:rFonts w:hint="eastAsia" w:ascii="宋体" w:hAnsi="宋体"/>
          <w:szCs w:val="21"/>
        </w:rPr>
      </w:pPr>
      <w:r>
        <w:rPr>
          <w:rFonts w:hint="eastAsia" w:ascii="宋体" w:hAnsi="宋体"/>
          <w:szCs w:val="21"/>
        </w:rPr>
        <w:t>法定代表人或其                         法定代表人或其</w:t>
      </w:r>
    </w:p>
    <w:p w14:paraId="443361CB">
      <w:pPr>
        <w:spacing w:line="320" w:lineRule="exact"/>
        <w:ind w:firstLine="420" w:firstLineChars="200"/>
        <w:rPr>
          <w:rFonts w:hint="eastAsia"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    委托代理人：</w:t>
      </w:r>
      <w:r>
        <w:rPr>
          <w:rFonts w:hint="eastAsia" w:ascii="宋体" w:hAnsi="宋体"/>
          <w:szCs w:val="21"/>
          <w:u w:val="single"/>
        </w:rPr>
        <w:t xml:space="preserve">                 </w:t>
      </w:r>
      <w:r>
        <w:rPr>
          <w:rFonts w:hint="eastAsia" w:ascii="宋体" w:hAnsi="宋体"/>
          <w:szCs w:val="21"/>
        </w:rPr>
        <w:t xml:space="preserve"> (签字)</w:t>
      </w:r>
    </w:p>
    <w:p w14:paraId="23C8B222">
      <w:pPr>
        <w:spacing w:line="320" w:lineRule="exact"/>
        <w:ind w:firstLine="420" w:firstLineChars="200"/>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p>
    <w:p w14:paraId="5F781FC5">
      <w:pPr>
        <w:spacing w:line="320" w:lineRule="exact"/>
        <w:ind w:firstLine="420" w:firstLineChars="200"/>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p>
    <w:p w14:paraId="2AFB0701">
      <w:pPr>
        <w:spacing w:line="320" w:lineRule="exact"/>
        <w:ind w:firstLine="420" w:firstLineChars="200"/>
        <w:rPr>
          <w:rFonts w:hint="eastAsia" w:ascii="宋体" w:hAnsi="宋体"/>
          <w:szCs w:val="21"/>
        </w:rPr>
      </w:pPr>
      <w:r>
        <w:rPr>
          <w:rFonts w:hint="eastAsia" w:ascii="宋体" w:hAnsi="宋体"/>
          <w:szCs w:val="21"/>
        </w:rPr>
        <w:t>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p>
    <w:p w14:paraId="62E2AB6E">
      <w:pPr>
        <w:spacing w:line="320" w:lineRule="exact"/>
        <w:ind w:firstLine="420" w:firstLineChars="200"/>
        <w:rPr>
          <w:rFonts w:hint="eastAsia" w:ascii="宋体" w:hAnsi="宋体"/>
          <w:szCs w:val="21"/>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p>
    <w:p w14:paraId="01AD3D7B">
      <w:pPr>
        <w:spacing w:line="320" w:lineRule="exact"/>
        <w:ind w:firstLine="420" w:firstLineChars="200"/>
        <w:rPr>
          <w:rFonts w:hint="eastAsia" w:ascii="宋体" w:hAnsi="宋体"/>
          <w:szCs w:val="21"/>
        </w:rPr>
      </w:pPr>
      <w:r>
        <w:rPr>
          <w:rFonts w:hint="eastAsia" w:ascii="宋体" w:hAnsi="宋体"/>
          <w:szCs w:val="21"/>
        </w:rPr>
        <w:t>帐号：</w:t>
      </w:r>
      <w:r>
        <w:rPr>
          <w:rFonts w:hint="eastAsia" w:ascii="宋体" w:hAnsi="宋体"/>
          <w:szCs w:val="21"/>
          <w:u w:val="single"/>
        </w:rPr>
        <w:t xml:space="preserve">                       </w:t>
      </w:r>
      <w:r>
        <w:rPr>
          <w:rFonts w:hint="eastAsia" w:ascii="宋体" w:hAnsi="宋体"/>
          <w:szCs w:val="21"/>
        </w:rPr>
        <w:t xml:space="preserve">          帐号：</w:t>
      </w:r>
      <w:r>
        <w:rPr>
          <w:rFonts w:hint="eastAsia" w:ascii="宋体" w:hAnsi="宋体"/>
          <w:szCs w:val="21"/>
          <w:u w:val="single"/>
        </w:rPr>
        <w:t xml:space="preserve">                       </w:t>
      </w:r>
    </w:p>
    <w:p w14:paraId="52DC23F8">
      <w:pPr>
        <w:spacing w:line="320" w:lineRule="exact"/>
        <w:ind w:firstLine="420" w:firstLineChars="200"/>
        <w:rPr>
          <w:rFonts w:hint="eastAsia" w:ascii="宋体" w:hAnsi="宋体"/>
          <w:szCs w:val="21"/>
          <w:u w:val="single"/>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szCs w:val="21"/>
          <w:u w:val="single"/>
        </w:rPr>
        <w:t xml:space="preserve">                   </w:t>
      </w:r>
    </w:p>
    <w:p w14:paraId="4A453751">
      <w:pPr>
        <w:spacing w:line="320" w:lineRule="exact"/>
        <w:ind w:firstLine="420" w:firstLineChars="200"/>
        <w:rPr>
          <w:rFonts w:hint="eastAsia" w:ascii="宋体" w:hAnsi="宋体"/>
          <w:szCs w:val="21"/>
          <w:u w:val="single"/>
        </w:rPr>
      </w:pPr>
    </w:p>
    <w:p w14:paraId="2C51AE06">
      <w:pPr>
        <w:spacing w:line="320" w:lineRule="exact"/>
        <w:ind w:firstLine="420" w:firstLineChars="200"/>
        <w:rPr>
          <w:rFonts w:hint="eastAsia" w:ascii="宋体" w:hAnsi="宋体"/>
          <w:szCs w:val="21"/>
          <w:u w:val="single"/>
        </w:rPr>
      </w:pPr>
    </w:p>
    <w:p w14:paraId="51BEC133">
      <w:pPr>
        <w:spacing w:line="320" w:lineRule="exact"/>
        <w:ind w:firstLine="420" w:firstLineChars="200"/>
        <w:rPr>
          <w:rFonts w:hint="eastAsia" w:ascii="宋体" w:hAnsi="宋体"/>
          <w:szCs w:val="21"/>
          <w:u w:val="single"/>
        </w:rPr>
      </w:pPr>
    </w:p>
    <w:p w14:paraId="77638E8A">
      <w:pPr>
        <w:spacing w:line="320" w:lineRule="exact"/>
        <w:ind w:firstLine="420" w:firstLineChars="200"/>
        <w:rPr>
          <w:rFonts w:hint="eastAsia" w:ascii="宋体" w:hAnsi="宋体"/>
          <w:szCs w:val="21"/>
          <w:u w:val="single"/>
        </w:rPr>
      </w:pPr>
    </w:p>
    <w:p w14:paraId="5FF815C7">
      <w:pPr>
        <w:spacing w:line="320" w:lineRule="exact"/>
        <w:ind w:firstLine="420" w:firstLineChars="200"/>
        <w:rPr>
          <w:rFonts w:hint="eastAsia" w:ascii="宋体" w:hAnsi="宋体"/>
          <w:szCs w:val="21"/>
          <w:u w:val="single"/>
        </w:rPr>
      </w:pPr>
    </w:p>
    <w:p w14:paraId="4E679EF0">
      <w:pPr>
        <w:spacing w:line="320" w:lineRule="exact"/>
        <w:ind w:firstLine="420" w:firstLineChars="200"/>
        <w:rPr>
          <w:rFonts w:hint="eastAsia" w:ascii="宋体" w:hAnsi="宋体"/>
          <w:szCs w:val="21"/>
          <w:u w:val="single"/>
        </w:rPr>
      </w:pPr>
    </w:p>
    <w:p w14:paraId="2E492BD3">
      <w:pPr>
        <w:spacing w:line="320" w:lineRule="exact"/>
        <w:ind w:firstLine="420" w:firstLineChars="200"/>
        <w:rPr>
          <w:rFonts w:hint="eastAsia" w:ascii="宋体" w:hAnsi="宋体"/>
          <w:szCs w:val="21"/>
          <w:u w:val="single"/>
        </w:rPr>
      </w:pPr>
    </w:p>
    <w:p w14:paraId="08B23528">
      <w:pPr>
        <w:spacing w:line="320" w:lineRule="exact"/>
        <w:ind w:firstLine="420" w:firstLineChars="200"/>
        <w:rPr>
          <w:rFonts w:hint="eastAsia" w:ascii="宋体" w:hAnsi="宋体"/>
          <w:szCs w:val="21"/>
          <w:u w:val="single"/>
        </w:rPr>
      </w:pPr>
    </w:p>
    <w:p w14:paraId="1E9685F7">
      <w:pPr>
        <w:spacing w:line="320" w:lineRule="exact"/>
        <w:ind w:firstLine="420" w:firstLineChars="200"/>
        <w:rPr>
          <w:rFonts w:hint="eastAsia" w:ascii="宋体" w:hAnsi="宋体"/>
          <w:szCs w:val="21"/>
          <w:u w:val="single"/>
        </w:rPr>
      </w:pPr>
    </w:p>
    <w:p w14:paraId="67BDAD24">
      <w:pPr>
        <w:spacing w:line="320" w:lineRule="exact"/>
        <w:ind w:firstLine="420" w:firstLineChars="200"/>
        <w:rPr>
          <w:rFonts w:hint="eastAsia" w:ascii="宋体" w:hAnsi="宋体"/>
          <w:szCs w:val="21"/>
          <w:u w:val="single"/>
        </w:rPr>
      </w:pPr>
    </w:p>
    <w:p w14:paraId="4706368D">
      <w:pPr>
        <w:spacing w:line="320" w:lineRule="exact"/>
        <w:ind w:firstLine="420" w:firstLineChars="200"/>
        <w:rPr>
          <w:rFonts w:hint="eastAsia" w:ascii="宋体" w:hAnsi="宋体"/>
          <w:szCs w:val="21"/>
          <w:u w:val="single"/>
        </w:rPr>
      </w:pPr>
    </w:p>
    <w:p w14:paraId="716805DF">
      <w:pPr>
        <w:spacing w:line="320" w:lineRule="exact"/>
        <w:ind w:firstLine="420" w:firstLineChars="200"/>
        <w:rPr>
          <w:rFonts w:hint="eastAsia" w:ascii="宋体" w:hAnsi="宋体"/>
          <w:szCs w:val="21"/>
          <w:u w:val="single"/>
        </w:rPr>
      </w:pPr>
    </w:p>
    <w:p w14:paraId="180ECB8A">
      <w:pPr>
        <w:spacing w:line="320" w:lineRule="exact"/>
        <w:ind w:firstLine="420" w:firstLineChars="200"/>
        <w:rPr>
          <w:rFonts w:hint="eastAsia" w:ascii="宋体" w:hAnsi="宋体"/>
          <w:szCs w:val="21"/>
          <w:u w:val="single"/>
        </w:rPr>
      </w:pPr>
    </w:p>
    <w:p w14:paraId="6223E301">
      <w:pPr>
        <w:spacing w:line="320" w:lineRule="exact"/>
        <w:ind w:firstLine="420" w:firstLineChars="200"/>
        <w:rPr>
          <w:rFonts w:hint="eastAsia" w:ascii="宋体" w:hAnsi="宋体"/>
          <w:szCs w:val="21"/>
          <w:u w:val="single"/>
        </w:rPr>
      </w:pPr>
    </w:p>
    <w:p w14:paraId="17BC85BC">
      <w:pPr>
        <w:spacing w:line="320" w:lineRule="exact"/>
        <w:ind w:firstLine="420" w:firstLineChars="200"/>
        <w:rPr>
          <w:rFonts w:hint="eastAsia" w:ascii="宋体" w:hAnsi="宋体"/>
          <w:szCs w:val="21"/>
          <w:u w:val="single"/>
        </w:rPr>
      </w:pPr>
    </w:p>
    <w:p w14:paraId="41E22B97">
      <w:pPr>
        <w:spacing w:line="320" w:lineRule="exact"/>
        <w:ind w:firstLine="420" w:firstLineChars="200"/>
        <w:rPr>
          <w:rFonts w:hint="eastAsia" w:ascii="宋体" w:hAnsi="宋体"/>
          <w:szCs w:val="21"/>
          <w:u w:val="single"/>
        </w:rPr>
      </w:pPr>
    </w:p>
    <w:p w14:paraId="0405431E">
      <w:pPr>
        <w:spacing w:line="320" w:lineRule="exact"/>
        <w:ind w:firstLine="420" w:firstLineChars="200"/>
        <w:rPr>
          <w:rFonts w:hint="eastAsia" w:ascii="宋体" w:hAnsi="宋体"/>
          <w:szCs w:val="21"/>
          <w:u w:val="single"/>
        </w:rPr>
      </w:pPr>
    </w:p>
    <w:p w14:paraId="2EA62CC2">
      <w:pPr>
        <w:spacing w:line="320" w:lineRule="exact"/>
        <w:ind w:firstLine="420" w:firstLineChars="200"/>
        <w:rPr>
          <w:rFonts w:hint="eastAsia" w:ascii="宋体" w:hAnsi="宋体"/>
          <w:szCs w:val="21"/>
          <w:u w:val="single"/>
        </w:rPr>
      </w:pPr>
    </w:p>
    <w:p w14:paraId="32D5EE58">
      <w:pPr>
        <w:spacing w:line="320" w:lineRule="exact"/>
        <w:ind w:firstLine="420" w:firstLineChars="200"/>
        <w:rPr>
          <w:rFonts w:hint="eastAsia" w:ascii="宋体" w:hAnsi="宋体"/>
          <w:szCs w:val="21"/>
          <w:u w:val="single"/>
        </w:rPr>
      </w:pPr>
    </w:p>
    <w:p w14:paraId="07B4C8F4">
      <w:pPr>
        <w:spacing w:line="320" w:lineRule="exact"/>
        <w:ind w:firstLine="420" w:firstLineChars="200"/>
        <w:rPr>
          <w:rFonts w:hint="eastAsia" w:ascii="宋体" w:hAnsi="宋体"/>
          <w:szCs w:val="21"/>
          <w:u w:val="single"/>
        </w:rPr>
      </w:pPr>
    </w:p>
    <w:p w14:paraId="409B8356">
      <w:pPr>
        <w:spacing w:line="320" w:lineRule="exact"/>
        <w:ind w:firstLine="420" w:firstLineChars="200"/>
        <w:rPr>
          <w:rFonts w:hint="eastAsia" w:ascii="宋体" w:hAnsi="宋体"/>
          <w:szCs w:val="21"/>
          <w:u w:val="single"/>
        </w:rPr>
      </w:pPr>
    </w:p>
    <w:p w14:paraId="48267B92">
      <w:pPr>
        <w:spacing w:line="320" w:lineRule="exact"/>
        <w:ind w:firstLine="420" w:firstLineChars="200"/>
        <w:rPr>
          <w:rFonts w:hint="eastAsia" w:ascii="宋体" w:hAnsi="宋体"/>
          <w:szCs w:val="21"/>
          <w:u w:val="single"/>
        </w:rPr>
      </w:pPr>
    </w:p>
    <w:p w14:paraId="1775BFC7">
      <w:pPr>
        <w:spacing w:line="320" w:lineRule="exact"/>
        <w:ind w:firstLine="420" w:firstLineChars="200"/>
        <w:rPr>
          <w:rFonts w:hint="eastAsia" w:ascii="宋体" w:hAnsi="宋体"/>
          <w:szCs w:val="21"/>
          <w:u w:val="single"/>
        </w:rPr>
      </w:pPr>
    </w:p>
    <w:p w14:paraId="16A85A71">
      <w:pPr>
        <w:spacing w:line="320" w:lineRule="exact"/>
        <w:rPr>
          <w:rFonts w:hint="eastAsia" w:ascii="宋体" w:hAnsi="宋体"/>
          <w:szCs w:val="21"/>
          <w:u w:val="single"/>
        </w:rPr>
      </w:pPr>
    </w:p>
    <w:p w14:paraId="76D6D2FB">
      <w:pPr>
        <w:pStyle w:val="20"/>
        <w:rPr>
          <w:rFonts w:hint="eastAsia"/>
        </w:rPr>
      </w:pPr>
      <w:bookmarkStart w:id="1332" w:name="_Toc108513937"/>
      <w:r>
        <w:rPr>
          <w:rFonts w:hint="eastAsia"/>
        </w:rPr>
        <w:t>附件六：廉政责任书格式</w:t>
      </w:r>
      <w:bookmarkEnd w:id="1332"/>
    </w:p>
    <w:p w14:paraId="06B23867">
      <w:pPr>
        <w:spacing w:line="320" w:lineRule="exact"/>
        <w:ind w:firstLine="480" w:firstLineChars="200"/>
        <w:jc w:val="center"/>
        <w:rPr>
          <w:rFonts w:hint="eastAsia" w:ascii="黑体" w:hAnsi="宋体" w:eastAsia="黑体"/>
          <w:sz w:val="24"/>
        </w:rPr>
      </w:pPr>
    </w:p>
    <w:p w14:paraId="627771F8">
      <w:pPr>
        <w:spacing w:line="400" w:lineRule="exact"/>
        <w:ind w:firstLine="560" w:firstLineChars="200"/>
        <w:jc w:val="center"/>
        <w:rPr>
          <w:rFonts w:hint="eastAsia" w:ascii="黑体" w:hAnsi="宋体" w:eastAsia="黑体"/>
          <w:sz w:val="24"/>
        </w:rPr>
      </w:pPr>
      <w:r>
        <w:rPr>
          <w:rFonts w:hint="eastAsia" w:ascii="黑体" w:eastAsia="黑体"/>
          <w:sz w:val="28"/>
          <w:szCs w:val="28"/>
        </w:rPr>
        <w:t>建设工程廉政责任书</w:t>
      </w:r>
    </w:p>
    <w:p w14:paraId="46076A59">
      <w:pPr>
        <w:spacing w:line="320" w:lineRule="exact"/>
        <w:ind w:firstLine="480" w:firstLineChars="200"/>
        <w:jc w:val="center"/>
        <w:rPr>
          <w:rFonts w:hint="eastAsia" w:ascii="黑体" w:hAnsi="宋体" w:eastAsia="黑体"/>
          <w:sz w:val="24"/>
        </w:rPr>
      </w:pPr>
    </w:p>
    <w:p w14:paraId="5EAB8707">
      <w:pPr>
        <w:spacing w:line="300" w:lineRule="exact"/>
        <w:ind w:firstLine="420" w:firstLineChars="200"/>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p>
    <w:p w14:paraId="57922800">
      <w:pPr>
        <w:spacing w:line="300" w:lineRule="exact"/>
        <w:ind w:firstLine="420" w:firstLineChars="200"/>
        <w:rPr>
          <w:rFonts w:hint="eastAsia" w:ascii="宋体" w:hAnsi="宋体"/>
          <w:szCs w:val="21"/>
        </w:rPr>
      </w:pPr>
      <w:r>
        <w:rPr>
          <w:rFonts w:hint="eastAsia" w:ascii="宋体" w:hAnsi="宋体"/>
          <w:szCs w:val="21"/>
        </w:rPr>
        <w:t>承包人：</w:t>
      </w:r>
      <w:r>
        <w:rPr>
          <w:rFonts w:hint="eastAsia" w:ascii="宋体" w:hAnsi="宋体"/>
          <w:szCs w:val="21"/>
          <w:u w:val="single"/>
        </w:rPr>
        <w:t xml:space="preserve">                                               </w:t>
      </w:r>
    </w:p>
    <w:p w14:paraId="059C1624">
      <w:pPr>
        <w:spacing w:line="300" w:lineRule="exact"/>
        <w:ind w:firstLine="420" w:firstLineChars="200"/>
        <w:rPr>
          <w:rFonts w:hint="eastAsia" w:ascii="宋体" w:hAnsi="宋体"/>
          <w:szCs w:val="21"/>
        </w:rPr>
      </w:pPr>
      <w:r>
        <w:rPr>
          <w:rFonts w:hint="eastAsia" w:ascii="宋体" w:hAnsi="宋体"/>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01EA6B38">
      <w:pPr>
        <w:spacing w:line="300" w:lineRule="exact"/>
        <w:ind w:firstLine="420" w:firstLineChars="200"/>
        <w:rPr>
          <w:rFonts w:hint="eastAsia" w:ascii="黑体" w:hAnsi="宋体" w:eastAsia="黑体"/>
          <w:szCs w:val="21"/>
        </w:rPr>
      </w:pPr>
      <w:r>
        <w:rPr>
          <w:rFonts w:hint="eastAsia" w:ascii="黑体" w:hAnsi="宋体" w:eastAsia="黑体"/>
          <w:szCs w:val="21"/>
        </w:rPr>
        <w:t>一、双方的责任</w:t>
      </w:r>
    </w:p>
    <w:p w14:paraId="273F2A80">
      <w:pPr>
        <w:spacing w:line="300" w:lineRule="exact"/>
        <w:ind w:firstLine="420" w:firstLineChars="200"/>
        <w:rPr>
          <w:rFonts w:hint="eastAsia" w:ascii="宋体" w:hAnsi="宋体"/>
          <w:szCs w:val="21"/>
        </w:rPr>
      </w:pPr>
      <w:r>
        <w:rPr>
          <w:rFonts w:hint="eastAsia" w:ascii="宋体" w:hAnsi="宋体"/>
          <w:szCs w:val="21"/>
        </w:rPr>
        <w:t>1.1应严格遵守国家关于建设工程的有关法律、法规，相关政策，以及廉政建设的各项规定。</w:t>
      </w:r>
    </w:p>
    <w:p w14:paraId="3CF2D5BF">
      <w:pPr>
        <w:spacing w:line="300" w:lineRule="exact"/>
        <w:ind w:firstLine="420" w:firstLineChars="200"/>
        <w:rPr>
          <w:rFonts w:hint="eastAsia" w:ascii="宋体" w:hAnsi="宋体"/>
          <w:szCs w:val="21"/>
        </w:rPr>
      </w:pPr>
      <w:r>
        <w:rPr>
          <w:rFonts w:hint="eastAsia" w:ascii="宋体" w:hAnsi="宋体"/>
          <w:szCs w:val="21"/>
        </w:rPr>
        <w:t>1.2严格执行建设工程合同文件，自觉按合同办事。</w:t>
      </w:r>
    </w:p>
    <w:p w14:paraId="25E71498">
      <w:pPr>
        <w:spacing w:line="300" w:lineRule="exact"/>
        <w:ind w:firstLine="420" w:firstLineChars="200"/>
        <w:rPr>
          <w:rFonts w:hint="eastAsia" w:ascii="宋体" w:hAnsi="宋体"/>
          <w:szCs w:val="21"/>
        </w:rPr>
      </w:pPr>
      <w:r>
        <w:rPr>
          <w:rFonts w:hint="eastAsia" w:ascii="宋体" w:hAnsi="宋体"/>
          <w:szCs w:val="21"/>
        </w:rPr>
        <w:t>1.3各项活动必须坚持公开、公平、公正、诚信、透明的原则(除法律法规另有规定者外)，不得为获取不正当的利益，损害国家、集体和对方利益，不得违反建设工程管理的规章制度。</w:t>
      </w:r>
    </w:p>
    <w:p w14:paraId="5F9E13D9">
      <w:pPr>
        <w:spacing w:line="300" w:lineRule="exact"/>
        <w:ind w:firstLine="420" w:firstLineChars="200"/>
        <w:rPr>
          <w:rFonts w:hint="eastAsia" w:ascii="宋体" w:hAnsi="宋体"/>
          <w:szCs w:val="21"/>
        </w:rPr>
      </w:pPr>
      <w:r>
        <w:rPr>
          <w:rFonts w:hint="eastAsia" w:ascii="宋体" w:hAnsi="宋体"/>
          <w:szCs w:val="21"/>
        </w:rPr>
        <w:t>1.4发现对方在业务活动中有违规、违纪、违法行为的，应及时提醒对方，情节严重的，应向其上级主管部门或纪检监察、司法等有关机关举报。</w:t>
      </w:r>
    </w:p>
    <w:p w14:paraId="2DC81F49">
      <w:pPr>
        <w:spacing w:line="300" w:lineRule="exact"/>
        <w:ind w:firstLine="420" w:firstLineChars="200"/>
        <w:rPr>
          <w:rFonts w:hint="eastAsia" w:ascii="黑体" w:hAnsi="宋体" w:eastAsia="黑体"/>
          <w:szCs w:val="21"/>
        </w:rPr>
      </w:pPr>
      <w:r>
        <w:rPr>
          <w:rFonts w:hint="eastAsia" w:ascii="黑体" w:hAnsi="宋体" w:eastAsia="黑体"/>
          <w:szCs w:val="21"/>
        </w:rPr>
        <w:t>二、发包人责任</w:t>
      </w:r>
    </w:p>
    <w:p w14:paraId="1798BECB">
      <w:pPr>
        <w:spacing w:line="300" w:lineRule="exact"/>
        <w:ind w:firstLine="420" w:firstLineChars="200"/>
        <w:rPr>
          <w:rFonts w:hint="eastAsia" w:ascii="宋体" w:hAnsi="宋体"/>
          <w:szCs w:val="21"/>
        </w:rPr>
      </w:pPr>
      <w:r>
        <w:rPr>
          <w:rFonts w:hint="eastAsia" w:ascii="宋体" w:hAnsi="宋体"/>
          <w:szCs w:val="21"/>
        </w:rPr>
        <w:t>发包人的领导和从事该建设工程项目的工作人员，在工程建设的事前、事中、事后应遵守以下规定：</w:t>
      </w:r>
    </w:p>
    <w:p w14:paraId="7C6C0B87">
      <w:pPr>
        <w:spacing w:line="300" w:lineRule="exact"/>
        <w:ind w:firstLine="420" w:firstLineChars="200"/>
        <w:rPr>
          <w:rFonts w:hint="eastAsia" w:ascii="宋体" w:hAnsi="宋体"/>
          <w:szCs w:val="21"/>
        </w:rPr>
      </w:pPr>
      <w:r>
        <w:rPr>
          <w:rFonts w:hint="eastAsia" w:ascii="宋体" w:hAnsi="宋体"/>
          <w:szCs w:val="21"/>
        </w:rPr>
        <w:t>2.1不得向承包人和相关单位索要或接受回扣、礼金、有价证券、贵重物品和好处费、感谢费等。</w:t>
      </w:r>
    </w:p>
    <w:p w14:paraId="4515BA96">
      <w:pPr>
        <w:spacing w:line="300" w:lineRule="exact"/>
        <w:ind w:firstLine="420" w:firstLineChars="200"/>
        <w:rPr>
          <w:rFonts w:hint="eastAsia" w:ascii="宋体" w:hAnsi="宋体"/>
          <w:szCs w:val="21"/>
        </w:rPr>
      </w:pPr>
      <w:r>
        <w:rPr>
          <w:rFonts w:hint="eastAsia" w:ascii="宋体" w:hAnsi="宋体"/>
          <w:szCs w:val="21"/>
        </w:rPr>
        <w:t>2.2不得在承包人和相关单位报销任何应由发包人或个人支付的费用。</w:t>
      </w:r>
    </w:p>
    <w:p w14:paraId="2339E480">
      <w:pPr>
        <w:spacing w:line="300" w:lineRule="exact"/>
        <w:ind w:firstLine="420" w:firstLineChars="200"/>
        <w:rPr>
          <w:rFonts w:hint="eastAsia" w:ascii="宋体" w:hAnsi="宋体"/>
          <w:szCs w:val="21"/>
        </w:rPr>
      </w:pPr>
      <w:r>
        <w:rPr>
          <w:rFonts w:hint="eastAsia" w:ascii="宋体" w:hAnsi="宋体"/>
          <w:szCs w:val="21"/>
        </w:rPr>
        <w:t>2.3不得要求、暗示或接受承包人和相关单位为个人装修住房、婚丧嫁娶、配偶子女的工作安排以及出国(境)、旅游等提供方便。</w:t>
      </w:r>
    </w:p>
    <w:p w14:paraId="647A4BA6">
      <w:pPr>
        <w:spacing w:line="300" w:lineRule="exact"/>
        <w:ind w:firstLine="420" w:firstLineChars="200"/>
        <w:rPr>
          <w:rFonts w:hint="eastAsia" w:ascii="宋体" w:hAnsi="宋体"/>
          <w:szCs w:val="21"/>
        </w:rPr>
      </w:pPr>
      <w:r>
        <w:rPr>
          <w:rFonts w:hint="eastAsia" w:ascii="宋体" w:hAnsi="宋体"/>
          <w:szCs w:val="21"/>
        </w:rPr>
        <w:t>2.4不得参加有可能影响公正执行公务的承包人和相关单位的宴请、健身、娱乐等活动。</w:t>
      </w:r>
    </w:p>
    <w:p w14:paraId="696E1D9F">
      <w:pPr>
        <w:spacing w:line="300" w:lineRule="exact"/>
        <w:ind w:firstLine="420" w:firstLineChars="200"/>
        <w:rPr>
          <w:rFonts w:hint="eastAsia" w:ascii="宋体" w:hAnsi="宋体"/>
          <w:szCs w:val="21"/>
        </w:rPr>
      </w:pPr>
      <w:r>
        <w:rPr>
          <w:rFonts w:hint="eastAsia" w:ascii="宋体" w:hAnsi="宋体"/>
          <w:szCs w:val="21"/>
        </w:rPr>
        <w:t>2.5不得向承包人和相关单位介绍或为配偶、子女、亲属参与同发包人工程建设管理合同有关的业务活动；不得以任何理由要求承包人和相关单位使用某种产品、材料和设备。</w:t>
      </w:r>
    </w:p>
    <w:p w14:paraId="3D8053A1">
      <w:pPr>
        <w:spacing w:line="300" w:lineRule="exact"/>
        <w:ind w:firstLine="420" w:firstLineChars="200"/>
        <w:rPr>
          <w:rFonts w:hint="eastAsia" w:ascii="黑体" w:hAnsi="宋体" w:eastAsia="黑体"/>
          <w:szCs w:val="21"/>
        </w:rPr>
      </w:pPr>
      <w:r>
        <w:rPr>
          <w:rFonts w:hint="eastAsia" w:ascii="黑体" w:hAnsi="宋体" w:eastAsia="黑体"/>
          <w:szCs w:val="21"/>
        </w:rPr>
        <w:t>三、承包人责任</w:t>
      </w:r>
    </w:p>
    <w:p w14:paraId="2079892F">
      <w:pPr>
        <w:spacing w:line="300" w:lineRule="exact"/>
        <w:ind w:firstLine="420" w:firstLineChars="200"/>
        <w:rPr>
          <w:rFonts w:hint="eastAsia" w:ascii="宋体" w:hAnsi="宋体"/>
          <w:szCs w:val="21"/>
        </w:rPr>
      </w:pPr>
      <w:r>
        <w:rPr>
          <w:rFonts w:hint="eastAsia" w:ascii="宋体" w:hAnsi="宋体"/>
          <w:szCs w:val="21"/>
        </w:rPr>
        <w:t>应与发包人保持正常的业务交往，按照有关法律法规和程序开展业务工作，严格执行工程建设的有关方针、政策，执行工程建设强制性标准，并遵守以下规定：</w:t>
      </w:r>
    </w:p>
    <w:p w14:paraId="23F7517C">
      <w:pPr>
        <w:spacing w:line="300" w:lineRule="exact"/>
        <w:ind w:firstLine="420" w:firstLineChars="200"/>
        <w:rPr>
          <w:rFonts w:hint="eastAsia" w:ascii="宋体" w:hAnsi="宋体"/>
          <w:szCs w:val="21"/>
        </w:rPr>
      </w:pPr>
      <w:r>
        <w:rPr>
          <w:rFonts w:hint="eastAsia" w:ascii="宋体" w:hAnsi="宋体"/>
          <w:szCs w:val="21"/>
        </w:rPr>
        <w:t>3.1不得以任何理由向发包人及其工作人员索要、接受或赠送礼金、有价证券、贵重物品及回扣、好处费、感谢费等。</w:t>
      </w:r>
    </w:p>
    <w:p w14:paraId="119A2382">
      <w:pPr>
        <w:spacing w:line="300" w:lineRule="exact"/>
        <w:ind w:firstLine="420" w:firstLineChars="200"/>
        <w:rPr>
          <w:rFonts w:hint="eastAsia" w:ascii="宋体" w:hAnsi="宋体"/>
          <w:szCs w:val="21"/>
        </w:rPr>
      </w:pPr>
      <w:r>
        <w:rPr>
          <w:rFonts w:hint="eastAsia" w:ascii="宋体" w:hAnsi="宋体"/>
          <w:szCs w:val="21"/>
        </w:rPr>
        <w:t>3.2不得以任何理由为发包人和相关单位报销应由对方或个人支付的费用。</w:t>
      </w:r>
    </w:p>
    <w:p w14:paraId="693CA17E">
      <w:pPr>
        <w:spacing w:line="300" w:lineRule="exact"/>
        <w:ind w:firstLine="420" w:firstLineChars="200"/>
        <w:rPr>
          <w:rFonts w:hint="eastAsia" w:ascii="宋体" w:hAnsi="宋体"/>
          <w:szCs w:val="21"/>
        </w:rPr>
      </w:pPr>
      <w:r>
        <w:rPr>
          <w:rFonts w:hint="eastAsia" w:ascii="宋体" w:hAnsi="宋体"/>
          <w:szCs w:val="21"/>
        </w:rPr>
        <w:t>3.3不得接受或暗示为发包人、相关单位或个人装修住房、婚丧嫁娶、配偶子女的工作安排以及出国(境)、旅游等提供方便。</w:t>
      </w:r>
    </w:p>
    <w:p w14:paraId="6E8FF521">
      <w:pPr>
        <w:spacing w:line="300" w:lineRule="exact"/>
        <w:ind w:firstLine="420" w:firstLineChars="200"/>
        <w:rPr>
          <w:rFonts w:hint="eastAsia" w:ascii="宋体" w:hAnsi="宋体"/>
          <w:szCs w:val="21"/>
        </w:rPr>
      </w:pPr>
      <w:r>
        <w:rPr>
          <w:rFonts w:hint="eastAsia" w:ascii="宋体" w:hAnsi="宋体"/>
          <w:szCs w:val="21"/>
        </w:rPr>
        <w:t>3.4不得以任何理由为发包人、相关单位或个人组织有可能影响公正执行公务的宴请、健身、娱乐等活动。</w:t>
      </w:r>
    </w:p>
    <w:p w14:paraId="5DAEC0C8">
      <w:pPr>
        <w:spacing w:line="300" w:lineRule="exact"/>
        <w:ind w:firstLine="420" w:firstLineChars="200"/>
        <w:rPr>
          <w:rFonts w:hint="eastAsia" w:ascii="黑体" w:hAnsi="宋体" w:eastAsia="黑体"/>
          <w:szCs w:val="21"/>
        </w:rPr>
      </w:pPr>
      <w:r>
        <w:rPr>
          <w:rFonts w:hint="eastAsia" w:ascii="黑体" w:hAnsi="宋体" w:eastAsia="黑体"/>
          <w:szCs w:val="21"/>
        </w:rPr>
        <w:t>四、违约责任</w:t>
      </w:r>
    </w:p>
    <w:p w14:paraId="4B548B37">
      <w:pPr>
        <w:spacing w:line="300" w:lineRule="exact"/>
        <w:ind w:firstLine="420" w:firstLineChars="200"/>
        <w:rPr>
          <w:rFonts w:hint="eastAsia" w:ascii="宋体" w:hAnsi="宋体"/>
          <w:szCs w:val="21"/>
        </w:rPr>
      </w:pPr>
      <w:r>
        <w:rPr>
          <w:rFonts w:hint="eastAsia" w:ascii="宋体" w:hAnsi="宋体"/>
          <w:szCs w:val="21"/>
        </w:rPr>
        <w:t>4.1发包人工作人员有违反本责任书第一、二条责任行为的，依据有关法律、法规给予处理；涉嫌犯罪的，移交司法机关追究刑事责任；给承包人单位造成经济损失的，应予以赔偿。</w:t>
      </w:r>
    </w:p>
    <w:p w14:paraId="7FC65D8F">
      <w:pPr>
        <w:spacing w:line="300" w:lineRule="exact"/>
        <w:ind w:firstLine="420" w:firstLineChars="200"/>
        <w:rPr>
          <w:rFonts w:hint="eastAsia" w:ascii="宋体" w:hAnsi="宋体"/>
          <w:szCs w:val="21"/>
        </w:rPr>
      </w:pPr>
      <w:r>
        <w:rPr>
          <w:rFonts w:hint="eastAsia" w:ascii="宋体" w:hAnsi="宋体"/>
          <w:szCs w:val="21"/>
        </w:rPr>
        <w:t>4.2承包人工作人员有违反本责任书第一、三条责任行为的，依据有关法律法规处理；涉嫌犯罪的，移交司法机关追究刑事责任；给发包人单位造成经济损失的，应予以赔偿。</w:t>
      </w:r>
    </w:p>
    <w:p w14:paraId="4BBBAE27">
      <w:pPr>
        <w:spacing w:line="300" w:lineRule="exact"/>
        <w:ind w:firstLine="420" w:firstLineChars="200"/>
        <w:rPr>
          <w:rFonts w:hint="eastAsia" w:ascii="宋体" w:hAnsi="宋体"/>
          <w:szCs w:val="21"/>
        </w:rPr>
      </w:pPr>
      <w:r>
        <w:rPr>
          <w:rFonts w:hint="eastAsia" w:ascii="宋体" w:hAnsi="宋体"/>
          <w:szCs w:val="21"/>
        </w:rPr>
        <w:t>4.3本责任书作为建设工程合同的组成部分，与建设工程合同具有同等法律效力。经双方签署后立即生效。</w:t>
      </w:r>
    </w:p>
    <w:p w14:paraId="273252D7">
      <w:pPr>
        <w:spacing w:line="300" w:lineRule="exact"/>
        <w:ind w:firstLine="420" w:firstLineChars="200"/>
        <w:rPr>
          <w:rFonts w:hint="eastAsia" w:ascii="黑体" w:hAnsi="宋体" w:eastAsia="黑体"/>
          <w:szCs w:val="21"/>
        </w:rPr>
      </w:pPr>
      <w:r>
        <w:rPr>
          <w:rFonts w:hint="eastAsia" w:ascii="黑体" w:hAnsi="宋体" w:eastAsia="黑体"/>
          <w:szCs w:val="21"/>
        </w:rPr>
        <w:t>五、责任书有效期</w:t>
      </w:r>
    </w:p>
    <w:p w14:paraId="18E720D5">
      <w:pPr>
        <w:spacing w:line="300" w:lineRule="exact"/>
        <w:ind w:firstLine="420" w:firstLineChars="200"/>
        <w:rPr>
          <w:rFonts w:hint="eastAsia" w:ascii="宋体" w:hAnsi="宋体"/>
          <w:szCs w:val="21"/>
        </w:rPr>
      </w:pPr>
      <w:r>
        <w:rPr>
          <w:rFonts w:hint="eastAsia" w:ascii="宋体" w:hAnsi="宋体"/>
          <w:szCs w:val="21"/>
        </w:rPr>
        <w:t>本责任书的有效期为双方签署之日起至该工程项目竣工验收合格时止。</w:t>
      </w:r>
    </w:p>
    <w:p w14:paraId="26DE9CEC">
      <w:pPr>
        <w:spacing w:line="300" w:lineRule="exact"/>
        <w:ind w:firstLine="420" w:firstLineChars="200"/>
        <w:rPr>
          <w:rFonts w:hint="eastAsia" w:ascii="黑体" w:hAnsi="宋体" w:eastAsia="黑体"/>
          <w:szCs w:val="21"/>
        </w:rPr>
      </w:pPr>
      <w:r>
        <w:rPr>
          <w:rFonts w:hint="eastAsia" w:ascii="黑体" w:hAnsi="宋体" w:eastAsia="黑体"/>
          <w:szCs w:val="21"/>
        </w:rPr>
        <w:t>六、责任书份数</w:t>
      </w:r>
    </w:p>
    <w:p w14:paraId="6C6C21E2">
      <w:pPr>
        <w:spacing w:line="300" w:lineRule="exact"/>
        <w:ind w:firstLine="420" w:firstLineChars="200"/>
        <w:rPr>
          <w:rFonts w:hint="eastAsia" w:ascii="宋体" w:hAnsi="宋体"/>
          <w:szCs w:val="21"/>
        </w:rPr>
      </w:pPr>
      <w:r>
        <w:rPr>
          <w:rFonts w:hint="eastAsia" w:ascii="宋体" w:hAnsi="宋体"/>
          <w:szCs w:val="21"/>
        </w:rPr>
        <w:t>本责任书一式二份，发包人承包人各执一份，具有同等效力。</w:t>
      </w:r>
    </w:p>
    <w:p w14:paraId="366F3143">
      <w:pPr>
        <w:spacing w:line="320" w:lineRule="exact"/>
        <w:ind w:firstLine="420" w:firstLineChars="200"/>
        <w:rPr>
          <w:rFonts w:hint="eastAsia" w:ascii="宋体" w:hAnsi="宋体"/>
          <w:szCs w:val="21"/>
        </w:rPr>
      </w:pPr>
    </w:p>
    <w:p w14:paraId="3C71FB29">
      <w:pPr>
        <w:spacing w:line="320" w:lineRule="exact"/>
        <w:ind w:firstLine="420" w:firstLineChars="200"/>
        <w:rPr>
          <w:rFonts w:hint="eastAsia" w:ascii="宋体" w:hAnsi="宋体"/>
          <w:szCs w:val="21"/>
        </w:rPr>
      </w:pPr>
    </w:p>
    <w:p w14:paraId="597054B2">
      <w:pPr>
        <w:spacing w:line="320" w:lineRule="exact"/>
        <w:ind w:firstLine="420" w:firstLineChars="200"/>
        <w:rPr>
          <w:rFonts w:hint="eastAsia" w:ascii="宋体" w:hAnsi="宋体"/>
          <w:szCs w:val="21"/>
        </w:rPr>
      </w:pPr>
    </w:p>
    <w:p w14:paraId="51F71766">
      <w:pPr>
        <w:spacing w:line="320" w:lineRule="exact"/>
        <w:ind w:firstLine="420" w:firstLineChars="200"/>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(公章)    承包人：</w:t>
      </w:r>
      <w:r>
        <w:rPr>
          <w:rFonts w:hint="eastAsia" w:ascii="宋体" w:hAnsi="宋体"/>
          <w:szCs w:val="21"/>
          <w:u w:val="single"/>
        </w:rPr>
        <w:t xml:space="preserve">                     </w:t>
      </w:r>
      <w:r>
        <w:rPr>
          <w:rFonts w:hint="eastAsia" w:ascii="宋体" w:hAnsi="宋体"/>
          <w:szCs w:val="21"/>
        </w:rPr>
        <w:t xml:space="preserve"> (公章)</w:t>
      </w:r>
    </w:p>
    <w:p w14:paraId="6F96E86C">
      <w:pPr>
        <w:spacing w:line="320" w:lineRule="exact"/>
        <w:ind w:firstLine="420" w:firstLineChars="200"/>
        <w:rPr>
          <w:rFonts w:hint="eastAsia" w:ascii="宋体" w:hAnsi="宋体"/>
          <w:szCs w:val="21"/>
        </w:rPr>
      </w:pPr>
      <w:r>
        <w:rPr>
          <w:rFonts w:hint="eastAsia" w:ascii="宋体" w:hAnsi="宋体"/>
          <w:szCs w:val="21"/>
        </w:rPr>
        <w:t>法定地址：</w:t>
      </w:r>
      <w:r>
        <w:rPr>
          <w:rFonts w:hint="eastAsia" w:ascii="宋体" w:hAnsi="宋体"/>
          <w:szCs w:val="21"/>
          <w:u w:val="single"/>
        </w:rPr>
        <w:t xml:space="preserve">                   </w:t>
      </w:r>
      <w:r>
        <w:rPr>
          <w:rFonts w:hint="eastAsia" w:ascii="宋体" w:hAnsi="宋体"/>
          <w:szCs w:val="21"/>
        </w:rPr>
        <w:t xml:space="preserve">          法定地址：</w:t>
      </w:r>
      <w:r>
        <w:rPr>
          <w:rFonts w:hint="eastAsia" w:ascii="宋体" w:hAnsi="宋体"/>
          <w:szCs w:val="21"/>
          <w:u w:val="single"/>
        </w:rPr>
        <w:t xml:space="preserve">                   </w:t>
      </w:r>
    </w:p>
    <w:p w14:paraId="311FE06F">
      <w:pPr>
        <w:spacing w:line="320" w:lineRule="exact"/>
        <w:ind w:firstLine="420" w:firstLineChars="200"/>
        <w:rPr>
          <w:rFonts w:hint="eastAsia" w:ascii="宋体" w:hAnsi="宋体"/>
          <w:szCs w:val="21"/>
        </w:rPr>
      </w:pPr>
      <w:r>
        <w:rPr>
          <w:rFonts w:hint="eastAsia" w:ascii="宋体" w:hAnsi="宋体"/>
          <w:szCs w:val="21"/>
        </w:rPr>
        <w:t>法定代表人或其                         法定代表人或其</w:t>
      </w:r>
    </w:p>
    <w:p w14:paraId="61E8EEE0">
      <w:pPr>
        <w:spacing w:line="320" w:lineRule="exact"/>
        <w:ind w:firstLine="420" w:firstLineChars="200"/>
        <w:rPr>
          <w:rFonts w:hint="eastAsia"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    委托代理人：</w:t>
      </w:r>
      <w:r>
        <w:rPr>
          <w:rFonts w:hint="eastAsia" w:ascii="宋体" w:hAnsi="宋体"/>
          <w:szCs w:val="21"/>
          <w:u w:val="single"/>
        </w:rPr>
        <w:t xml:space="preserve">                 </w:t>
      </w:r>
      <w:r>
        <w:rPr>
          <w:rFonts w:hint="eastAsia" w:ascii="宋体" w:hAnsi="宋体"/>
          <w:szCs w:val="21"/>
        </w:rPr>
        <w:t xml:space="preserve"> (签字)</w:t>
      </w:r>
    </w:p>
    <w:p w14:paraId="4A6D3675">
      <w:pPr>
        <w:spacing w:line="320" w:lineRule="exact"/>
        <w:ind w:firstLine="420" w:firstLineChars="200"/>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p>
    <w:p w14:paraId="596C5133">
      <w:pPr>
        <w:spacing w:line="320" w:lineRule="exact"/>
        <w:ind w:firstLine="420" w:firstLineChars="200"/>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p>
    <w:p w14:paraId="350FA514">
      <w:pPr>
        <w:spacing w:line="320" w:lineRule="exact"/>
        <w:ind w:firstLine="420" w:firstLineChars="200"/>
        <w:rPr>
          <w:rFonts w:hint="eastAsia" w:ascii="宋体" w:hAnsi="宋体"/>
          <w:szCs w:val="21"/>
        </w:rPr>
      </w:pPr>
      <w:r>
        <w:rPr>
          <w:rFonts w:hint="eastAsia" w:ascii="宋体" w:hAnsi="宋体"/>
          <w:szCs w:val="21"/>
        </w:rPr>
        <w:t>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p>
    <w:p w14:paraId="238DF1FE">
      <w:pPr>
        <w:spacing w:line="320" w:lineRule="exact"/>
        <w:ind w:firstLine="420" w:firstLineChars="200"/>
        <w:rPr>
          <w:rFonts w:hint="eastAsia" w:ascii="宋体" w:hAnsi="宋体"/>
          <w:szCs w:val="21"/>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p>
    <w:p w14:paraId="3BC15E59">
      <w:pPr>
        <w:spacing w:line="320" w:lineRule="exact"/>
        <w:ind w:firstLine="420" w:firstLineChars="200"/>
        <w:rPr>
          <w:rFonts w:hint="eastAsia" w:ascii="宋体" w:hAnsi="宋体"/>
          <w:szCs w:val="21"/>
        </w:rPr>
      </w:pPr>
      <w:r>
        <w:rPr>
          <w:rFonts w:hint="eastAsia" w:ascii="宋体" w:hAnsi="宋体"/>
          <w:szCs w:val="21"/>
        </w:rPr>
        <w:t>帐号：</w:t>
      </w:r>
      <w:r>
        <w:rPr>
          <w:rFonts w:hint="eastAsia" w:ascii="宋体" w:hAnsi="宋体"/>
          <w:szCs w:val="21"/>
          <w:u w:val="single"/>
        </w:rPr>
        <w:t xml:space="preserve">                       </w:t>
      </w:r>
      <w:r>
        <w:rPr>
          <w:rFonts w:hint="eastAsia" w:ascii="宋体" w:hAnsi="宋体"/>
          <w:szCs w:val="21"/>
        </w:rPr>
        <w:t xml:space="preserve">          帐号：</w:t>
      </w:r>
      <w:r>
        <w:rPr>
          <w:rFonts w:hint="eastAsia" w:ascii="宋体" w:hAnsi="宋体"/>
          <w:szCs w:val="21"/>
          <w:u w:val="single"/>
        </w:rPr>
        <w:t xml:space="preserve">                       </w:t>
      </w:r>
    </w:p>
    <w:p w14:paraId="674CC7BB">
      <w:pPr>
        <w:spacing w:line="320" w:lineRule="exact"/>
        <w:ind w:firstLine="420" w:firstLineChars="200"/>
        <w:rPr>
          <w:rFonts w:hint="eastAsia" w:ascii="宋体" w:hAnsi="宋体"/>
          <w:szCs w:val="21"/>
          <w:u w:val="single"/>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szCs w:val="21"/>
          <w:u w:val="single"/>
        </w:rPr>
        <w:t xml:space="preserve">                   </w:t>
      </w:r>
    </w:p>
    <w:p w14:paraId="56A964D9">
      <w:pPr>
        <w:spacing w:line="320" w:lineRule="exact"/>
        <w:ind w:firstLine="420" w:firstLineChars="200"/>
        <w:rPr>
          <w:rFonts w:hint="eastAsia" w:ascii="宋体" w:hAnsi="宋体"/>
          <w:szCs w:val="21"/>
          <w:u w:val="single"/>
        </w:rPr>
      </w:pPr>
    </w:p>
    <w:p w14:paraId="0250AD62">
      <w:pPr>
        <w:spacing w:line="320" w:lineRule="exact"/>
        <w:ind w:firstLine="420" w:firstLineChars="200"/>
        <w:rPr>
          <w:rFonts w:hint="eastAsia" w:ascii="宋体" w:hAnsi="宋体"/>
          <w:szCs w:val="21"/>
          <w:u w:val="single"/>
        </w:rPr>
      </w:pPr>
    </w:p>
    <w:p w14:paraId="1BD41AB3">
      <w:pPr>
        <w:spacing w:line="320" w:lineRule="exact"/>
        <w:ind w:firstLine="420" w:firstLineChars="200"/>
        <w:rPr>
          <w:rFonts w:hint="eastAsia" w:ascii="宋体" w:hAnsi="宋体"/>
          <w:szCs w:val="21"/>
          <w:u w:val="single"/>
        </w:rPr>
      </w:pPr>
    </w:p>
    <w:p w14:paraId="508A8424">
      <w:pPr>
        <w:spacing w:line="320" w:lineRule="exact"/>
        <w:ind w:firstLine="420" w:firstLineChars="200"/>
        <w:rPr>
          <w:rFonts w:hint="eastAsia" w:ascii="宋体" w:hAnsi="宋体"/>
          <w:szCs w:val="21"/>
          <w:u w:val="single"/>
        </w:rPr>
      </w:pPr>
    </w:p>
    <w:p w14:paraId="2166B25B">
      <w:pPr>
        <w:spacing w:line="320" w:lineRule="exact"/>
        <w:ind w:firstLine="420" w:firstLineChars="200"/>
        <w:rPr>
          <w:rFonts w:hint="eastAsia" w:ascii="宋体" w:hAnsi="宋体"/>
          <w:szCs w:val="21"/>
          <w:u w:val="single"/>
        </w:rPr>
      </w:pPr>
    </w:p>
    <w:p w14:paraId="0B292670">
      <w:pPr>
        <w:spacing w:line="320" w:lineRule="exact"/>
        <w:ind w:firstLine="420" w:firstLineChars="200"/>
        <w:rPr>
          <w:rFonts w:hint="eastAsia" w:ascii="宋体" w:hAnsi="宋体"/>
          <w:szCs w:val="21"/>
          <w:u w:val="single"/>
        </w:rPr>
      </w:pPr>
    </w:p>
    <w:p w14:paraId="1F80E90C">
      <w:pPr>
        <w:spacing w:line="320" w:lineRule="exact"/>
        <w:ind w:firstLine="420" w:firstLineChars="200"/>
        <w:rPr>
          <w:rFonts w:hint="eastAsia" w:ascii="宋体" w:hAnsi="宋体"/>
          <w:szCs w:val="21"/>
          <w:u w:val="single"/>
        </w:rPr>
      </w:pPr>
    </w:p>
    <w:p w14:paraId="31E2F16F">
      <w:pPr>
        <w:spacing w:line="320" w:lineRule="exact"/>
        <w:ind w:firstLine="420" w:firstLineChars="200"/>
        <w:rPr>
          <w:rFonts w:hint="eastAsia" w:ascii="宋体" w:hAnsi="宋体"/>
          <w:szCs w:val="21"/>
          <w:u w:val="single"/>
        </w:rPr>
      </w:pPr>
    </w:p>
    <w:p w14:paraId="645FC438">
      <w:pPr>
        <w:spacing w:line="320" w:lineRule="exact"/>
        <w:ind w:firstLine="420" w:firstLineChars="200"/>
        <w:rPr>
          <w:rFonts w:hint="eastAsia" w:ascii="宋体" w:hAnsi="宋体"/>
          <w:szCs w:val="21"/>
          <w:u w:val="single"/>
        </w:rPr>
      </w:pPr>
    </w:p>
    <w:p w14:paraId="67470134">
      <w:pPr>
        <w:spacing w:line="320" w:lineRule="exact"/>
        <w:ind w:firstLine="420" w:firstLineChars="200"/>
        <w:rPr>
          <w:rFonts w:hint="eastAsia" w:ascii="宋体" w:hAnsi="宋体"/>
          <w:szCs w:val="21"/>
          <w:u w:val="single"/>
        </w:rPr>
      </w:pPr>
    </w:p>
    <w:p w14:paraId="4B34F1D9">
      <w:pPr>
        <w:spacing w:line="320" w:lineRule="exact"/>
        <w:ind w:firstLine="420" w:firstLineChars="200"/>
        <w:rPr>
          <w:rFonts w:hint="eastAsia" w:ascii="宋体" w:hAnsi="宋体"/>
          <w:szCs w:val="21"/>
          <w:u w:val="single"/>
        </w:rPr>
      </w:pPr>
    </w:p>
    <w:p w14:paraId="32979F93">
      <w:pPr>
        <w:spacing w:line="320" w:lineRule="exact"/>
        <w:ind w:firstLine="420" w:firstLineChars="200"/>
        <w:rPr>
          <w:rFonts w:hint="eastAsia" w:ascii="宋体" w:hAnsi="宋体"/>
          <w:szCs w:val="21"/>
          <w:u w:val="single"/>
        </w:rPr>
      </w:pPr>
    </w:p>
    <w:p w14:paraId="3FD624EB">
      <w:pPr>
        <w:spacing w:line="320" w:lineRule="exact"/>
        <w:ind w:firstLine="420" w:firstLineChars="200"/>
        <w:rPr>
          <w:rFonts w:hint="eastAsia" w:ascii="宋体" w:hAnsi="宋体"/>
          <w:szCs w:val="21"/>
          <w:u w:val="single"/>
        </w:rPr>
      </w:pPr>
    </w:p>
    <w:p w14:paraId="0F49CA89">
      <w:pPr>
        <w:spacing w:line="320" w:lineRule="exact"/>
        <w:ind w:firstLine="420" w:firstLineChars="200"/>
        <w:rPr>
          <w:rFonts w:hint="eastAsia" w:ascii="宋体" w:hAnsi="宋体"/>
          <w:szCs w:val="21"/>
          <w:u w:val="single"/>
        </w:rPr>
      </w:pPr>
    </w:p>
    <w:p w14:paraId="3FAD61B4">
      <w:pPr>
        <w:spacing w:line="320" w:lineRule="exact"/>
        <w:ind w:firstLine="420" w:firstLineChars="200"/>
        <w:rPr>
          <w:rFonts w:hint="eastAsia" w:ascii="宋体" w:hAnsi="宋体"/>
          <w:szCs w:val="21"/>
          <w:u w:val="single"/>
        </w:rPr>
      </w:pPr>
    </w:p>
    <w:p w14:paraId="65C34038">
      <w:pPr>
        <w:spacing w:line="320" w:lineRule="exact"/>
        <w:ind w:firstLine="420" w:firstLineChars="200"/>
        <w:rPr>
          <w:rFonts w:hint="eastAsia" w:ascii="宋体" w:hAnsi="宋体"/>
          <w:szCs w:val="21"/>
          <w:u w:val="single"/>
        </w:rPr>
      </w:pPr>
    </w:p>
    <w:p w14:paraId="58E5F03A">
      <w:pPr>
        <w:spacing w:line="320" w:lineRule="exact"/>
        <w:ind w:firstLine="420" w:firstLineChars="200"/>
        <w:rPr>
          <w:rFonts w:hint="eastAsia" w:ascii="宋体" w:hAnsi="宋体"/>
          <w:szCs w:val="21"/>
          <w:u w:val="single"/>
        </w:rPr>
      </w:pPr>
    </w:p>
    <w:p w14:paraId="0AB7D557">
      <w:pPr>
        <w:spacing w:line="320" w:lineRule="exact"/>
        <w:ind w:firstLine="420" w:firstLineChars="200"/>
        <w:rPr>
          <w:rFonts w:hint="eastAsia" w:ascii="宋体" w:hAnsi="宋体"/>
          <w:szCs w:val="21"/>
          <w:u w:val="single"/>
        </w:rPr>
      </w:pPr>
    </w:p>
    <w:p w14:paraId="76F284AD">
      <w:pPr>
        <w:spacing w:line="320" w:lineRule="exact"/>
        <w:ind w:firstLine="420" w:firstLineChars="200"/>
        <w:rPr>
          <w:rFonts w:hint="eastAsia" w:ascii="宋体" w:hAnsi="宋体"/>
          <w:szCs w:val="21"/>
          <w:u w:val="single"/>
        </w:rPr>
      </w:pPr>
    </w:p>
    <w:p w14:paraId="0A7BF76A">
      <w:pPr>
        <w:spacing w:line="320" w:lineRule="exact"/>
        <w:ind w:firstLine="420" w:firstLineChars="200"/>
        <w:rPr>
          <w:rFonts w:hint="eastAsia" w:ascii="宋体" w:hAnsi="宋体"/>
          <w:szCs w:val="21"/>
          <w:u w:val="single"/>
        </w:rPr>
      </w:pPr>
    </w:p>
    <w:p w14:paraId="2819F329">
      <w:pPr>
        <w:spacing w:line="320" w:lineRule="exact"/>
        <w:ind w:firstLine="420" w:firstLineChars="200"/>
        <w:rPr>
          <w:rFonts w:hint="eastAsia" w:ascii="宋体" w:hAnsi="宋体"/>
          <w:szCs w:val="21"/>
          <w:u w:val="single"/>
        </w:rPr>
      </w:pPr>
    </w:p>
    <w:p w14:paraId="4D98F80C">
      <w:pPr>
        <w:spacing w:line="320" w:lineRule="exact"/>
        <w:ind w:firstLine="420" w:firstLineChars="200"/>
        <w:rPr>
          <w:rFonts w:hint="eastAsia" w:ascii="宋体" w:hAnsi="宋体"/>
          <w:szCs w:val="21"/>
          <w:u w:val="single"/>
        </w:rPr>
      </w:pPr>
    </w:p>
    <w:p w14:paraId="7F97D133">
      <w:pPr>
        <w:spacing w:line="320" w:lineRule="exact"/>
        <w:ind w:firstLine="420" w:firstLineChars="200"/>
        <w:rPr>
          <w:rFonts w:hint="eastAsia" w:ascii="宋体" w:hAnsi="宋体"/>
          <w:szCs w:val="21"/>
          <w:u w:val="single"/>
        </w:rPr>
      </w:pPr>
    </w:p>
    <w:p w14:paraId="3D481B5B">
      <w:pPr>
        <w:spacing w:line="320" w:lineRule="exact"/>
        <w:ind w:firstLine="420" w:firstLineChars="200"/>
        <w:rPr>
          <w:rFonts w:hint="eastAsia" w:ascii="宋体" w:hAnsi="宋体"/>
          <w:szCs w:val="21"/>
          <w:u w:val="single"/>
        </w:rPr>
      </w:pPr>
    </w:p>
    <w:p w14:paraId="733CE585">
      <w:pPr>
        <w:spacing w:line="320" w:lineRule="exact"/>
        <w:ind w:firstLine="420" w:firstLineChars="200"/>
        <w:rPr>
          <w:rFonts w:hint="eastAsia" w:ascii="宋体" w:hAnsi="宋体"/>
          <w:szCs w:val="21"/>
          <w:u w:val="single"/>
        </w:rPr>
      </w:pPr>
    </w:p>
    <w:p w14:paraId="555C5B1E">
      <w:pPr>
        <w:spacing w:line="420" w:lineRule="exact"/>
        <w:jc w:val="center"/>
        <w:rPr>
          <w:rFonts w:hint="eastAsia"/>
          <w:b/>
          <w:sz w:val="20"/>
          <w:szCs w:val="20"/>
        </w:rPr>
      </w:pPr>
    </w:p>
    <w:p w14:paraId="2E464105">
      <w:pPr>
        <w:spacing w:line="420" w:lineRule="exact"/>
        <w:jc w:val="center"/>
        <w:rPr>
          <w:rFonts w:hint="eastAsia"/>
          <w:b/>
          <w:sz w:val="20"/>
          <w:szCs w:val="20"/>
        </w:rPr>
      </w:pPr>
    </w:p>
    <w:p w14:paraId="74D8488B">
      <w:pPr>
        <w:spacing w:line="420" w:lineRule="exact"/>
        <w:jc w:val="center"/>
        <w:rPr>
          <w:rFonts w:hint="eastAsia"/>
          <w:b/>
          <w:sz w:val="20"/>
          <w:szCs w:val="20"/>
        </w:rPr>
      </w:pPr>
    </w:p>
    <w:p w14:paraId="1268AF22">
      <w:pPr>
        <w:spacing w:line="420" w:lineRule="exact"/>
        <w:jc w:val="center"/>
        <w:rPr>
          <w:rFonts w:hint="eastAsia"/>
          <w:b/>
          <w:sz w:val="20"/>
          <w:szCs w:val="20"/>
        </w:rPr>
      </w:pPr>
    </w:p>
    <w:p w14:paraId="76448655">
      <w:pPr>
        <w:spacing w:line="420" w:lineRule="exact"/>
        <w:jc w:val="center"/>
        <w:rPr>
          <w:rFonts w:hint="eastAsia"/>
          <w:b/>
          <w:sz w:val="20"/>
          <w:szCs w:val="20"/>
        </w:rPr>
      </w:pPr>
    </w:p>
    <w:p w14:paraId="324F2E4C">
      <w:pPr>
        <w:spacing w:line="420" w:lineRule="exact"/>
        <w:jc w:val="center"/>
        <w:rPr>
          <w:rFonts w:hint="eastAsia"/>
          <w:b/>
          <w:sz w:val="20"/>
          <w:szCs w:val="20"/>
        </w:rPr>
      </w:pPr>
    </w:p>
    <w:p w14:paraId="5359ACE7">
      <w:pPr>
        <w:spacing w:line="420" w:lineRule="exact"/>
        <w:jc w:val="center"/>
        <w:rPr>
          <w:rFonts w:hint="eastAsia"/>
          <w:b/>
          <w:sz w:val="20"/>
          <w:szCs w:val="20"/>
        </w:rPr>
      </w:pPr>
    </w:p>
    <w:p w14:paraId="37704707">
      <w:pPr>
        <w:spacing w:line="420" w:lineRule="exact"/>
        <w:jc w:val="center"/>
        <w:rPr>
          <w:rFonts w:hint="eastAsia" w:ascii="楷体_GB2312" w:eastAsia="楷体_GB2312"/>
        </w:rPr>
      </w:pPr>
    </w:p>
    <w:p w14:paraId="07135D12">
      <w:pPr>
        <w:pStyle w:val="2"/>
        <w:spacing w:before="120" w:after="120" w:line="400" w:lineRule="exact"/>
        <w:jc w:val="center"/>
        <w:rPr>
          <w:rFonts w:hint="eastAsia" w:ascii="黑体" w:hAnsi="黑体" w:eastAsia="黑体"/>
          <w:b w:val="0"/>
          <w:bCs w:val="0"/>
          <w:sz w:val="32"/>
        </w:rPr>
      </w:pPr>
      <w:bookmarkStart w:id="1333" w:name="_Toc108513938"/>
      <w:r>
        <w:rPr>
          <w:rFonts w:hint="eastAsia" w:ascii="黑体" w:hAnsi="黑体" w:eastAsia="黑体"/>
          <w:b w:val="0"/>
          <w:bCs w:val="0"/>
          <w:sz w:val="32"/>
        </w:rPr>
        <w:t>第四章  合同条款及格式</w:t>
      </w:r>
      <w:bookmarkEnd w:id="1333"/>
    </w:p>
    <w:p w14:paraId="4ECD3B02">
      <w:pPr>
        <w:jc w:val="center"/>
        <w:rPr>
          <w:rFonts w:hint="eastAsia" w:ascii="黑体" w:eastAsia="黑体"/>
          <w:sz w:val="30"/>
          <w:szCs w:val="30"/>
        </w:rPr>
      </w:pPr>
    </w:p>
    <w:p w14:paraId="4B0DFC77">
      <w:pPr>
        <w:jc w:val="center"/>
        <w:rPr>
          <w:rFonts w:hint="eastAsia" w:ascii="黑体" w:eastAsia="黑体"/>
          <w:sz w:val="30"/>
          <w:szCs w:val="30"/>
        </w:rPr>
      </w:pPr>
    </w:p>
    <w:p w14:paraId="7007C0BC">
      <w:pPr>
        <w:jc w:val="center"/>
        <w:rPr>
          <w:rFonts w:hint="eastAsia" w:ascii="黑体" w:eastAsia="黑体"/>
          <w:sz w:val="30"/>
          <w:szCs w:val="30"/>
        </w:rPr>
      </w:pPr>
    </w:p>
    <w:p w14:paraId="68C65687">
      <w:pPr>
        <w:jc w:val="center"/>
        <w:rPr>
          <w:rFonts w:hint="eastAsia" w:ascii="黑体" w:eastAsia="黑体"/>
          <w:sz w:val="30"/>
          <w:szCs w:val="30"/>
        </w:rPr>
      </w:pPr>
    </w:p>
    <w:p w14:paraId="416430BB">
      <w:pPr>
        <w:jc w:val="center"/>
        <w:rPr>
          <w:rFonts w:hint="eastAsia" w:ascii="黑体" w:eastAsia="黑体"/>
          <w:sz w:val="30"/>
          <w:szCs w:val="30"/>
        </w:rPr>
      </w:pPr>
    </w:p>
    <w:p w14:paraId="55C6B517">
      <w:pPr>
        <w:jc w:val="center"/>
        <w:rPr>
          <w:rFonts w:hint="eastAsia" w:ascii="黑体" w:eastAsia="黑体"/>
          <w:sz w:val="30"/>
          <w:szCs w:val="30"/>
        </w:rPr>
      </w:pPr>
    </w:p>
    <w:p w14:paraId="633FDB94">
      <w:pPr>
        <w:jc w:val="center"/>
        <w:rPr>
          <w:rFonts w:hint="eastAsia" w:ascii="黑体" w:eastAsia="黑体"/>
          <w:sz w:val="30"/>
          <w:szCs w:val="30"/>
        </w:rPr>
      </w:pPr>
    </w:p>
    <w:p w14:paraId="2AB993E1">
      <w:pPr>
        <w:jc w:val="center"/>
        <w:rPr>
          <w:rFonts w:hint="eastAsia" w:ascii="黑体" w:eastAsia="黑体"/>
          <w:sz w:val="30"/>
          <w:szCs w:val="30"/>
        </w:rPr>
      </w:pPr>
    </w:p>
    <w:p w14:paraId="10B04D15">
      <w:pPr>
        <w:jc w:val="center"/>
        <w:rPr>
          <w:rFonts w:hint="eastAsia" w:ascii="黑体" w:eastAsia="黑体"/>
          <w:sz w:val="30"/>
          <w:szCs w:val="30"/>
        </w:rPr>
      </w:pPr>
    </w:p>
    <w:p w14:paraId="0F800D19">
      <w:pPr>
        <w:jc w:val="center"/>
        <w:rPr>
          <w:rFonts w:hint="eastAsia" w:ascii="黑体" w:eastAsia="黑体"/>
          <w:sz w:val="30"/>
          <w:szCs w:val="30"/>
        </w:rPr>
      </w:pPr>
    </w:p>
    <w:p w14:paraId="0CF99527">
      <w:pPr>
        <w:jc w:val="center"/>
        <w:rPr>
          <w:rFonts w:hint="eastAsia" w:ascii="黑体" w:eastAsia="黑体"/>
          <w:sz w:val="30"/>
          <w:szCs w:val="30"/>
        </w:rPr>
      </w:pPr>
    </w:p>
    <w:p w14:paraId="4B7A6F1B">
      <w:pPr>
        <w:jc w:val="center"/>
        <w:rPr>
          <w:rFonts w:hint="eastAsia" w:ascii="黑体" w:eastAsia="黑体"/>
          <w:sz w:val="30"/>
          <w:szCs w:val="30"/>
        </w:rPr>
      </w:pPr>
    </w:p>
    <w:p w14:paraId="3A2B23E3">
      <w:pPr>
        <w:jc w:val="center"/>
        <w:rPr>
          <w:rFonts w:hint="eastAsia" w:ascii="黑体" w:eastAsia="黑体"/>
          <w:sz w:val="30"/>
          <w:szCs w:val="30"/>
        </w:rPr>
      </w:pPr>
    </w:p>
    <w:p w14:paraId="27A38B24">
      <w:pPr>
        <w:spacing w:line="320" w:lineRule="exact"/>
        <w:ind w:left="1050" w:hanging="1050" w:hangingChars="500"/>
        <w:rPr>
          <w:rFonts w:hint="eastAsia"/>
        </w:rPr>
      </w:pPr>
      <w:r>
        <w:rPr>
          <w:rFonts w:hint="eastAsia"/>
        </w:rPr>
        <w:t>备注： 1. 本合同条款及格式采用2017年9月22日</w:t>
      </w:r>
      <w:r>
        <w:t>住房城乡建设部</w:t>
      </w:r>
      <w:r>
        <w:rPr>
          <w:rFonts w:hint="eastAsia"/>
        </w:rPr>
        <w:t>、</w:t>
      </w:r>
      <w:r>
        <w:t>工商总局</w:t>
      </w:r>
      <w:r>
        <w:rPr>
          <w:rFonts w:hint="eastAsia"/>
        </w:rPr>
        <w:t>以</w:t>
      </w:r>
      <w:r>
        <w:t>建市〔2017〕214号</w:t>
      </w:r>
      <w:r>
        <w:rPr>
          <w:rFonts w:hint="eastAsia"/>
        </w:rPr>
        <w:t>文发布的《建设工程施工合同（示范文本）》（GF-2017-0201）。</w:t>
      </w:r>
    </w:p>
    <w:p w14:paraId="1D7B4B66">
      <w:pPr>
        <w:spacing w:line="320" w:lineRule="exact"/>
        <w:ind w:left="945" w:leftChars="350" w:hanging="210" w:hangingChars="100"/>
        <w:rPr>
          <w:rFonts w:hint="eastAsia"/>
        </w:rPr>
      </w:pPr>
      <w:r>
        <w:rPr>
          <w:rFonts w:hint="eastAsia"/>
        </w:rPr>
        <w:t>2. 根据《省人民政府办公厅关于印发持续深化一流营商环境建设若干措施的通知》（鄂政办发〔2022〕2</w:t>
      </w:r>
      <w:r>
        <w:t xml:space="preserve"> </w:t>
      </w:r>
      <w:r>
        <w:rPr>
          <w:rFonts w:hint="eastAsia"/>
        </w:rPr>
        <w:t>号）的要求，预留工程质量保证金的，工程质量保证金预留比例不得高于</w:t>
      </w:r>
      <w:r>
        <w:t>工程价款结算总额的</w:t>
      </w:r>
      <w:r>
        <w:rPr>
          <w:rFonts w:hint="eastAsia"/>
        </w:rPr>
        <w:t>1.5</w:t>
      </w:r>
      <w:r>
        <w:t>%</w:t>
      </w:r>
      <w:r>
        <w:rPr>
          <w:rFonts w:hint="eastAsia"/>
        </w:rPr>
        <w:t>。</w:t>
      </w:r>
    </w:p>
    <w:p w14:paraId="6D595D00">
      <w:pPr>
        <w:spacing w:line="400" w:lineRule="exact"/>
        <w:rPr>
          <w:rFonts w:hint="eastAsia"/>
        </w:rPr>
      </w:pPr>
    </w:p>
    <w:p w14:paraId="2A4DF4BC">
      <w:pPr>
        <w:spacing w:line="320" w:lineRule="exact"/>
        <w:ind w:left="735" w:hanging="735" w:hangingChars="350"/>
        <w:rPr>
          <w:rFonts w:hint="eastAsia"/>
        </w:rPr>
      </w:pPr>
    </w:p>
    <w:p w14:paraId="5476F113">
      <w:pPr>
        <w:spacing w:line="320" w:lineRule="exact"/>
        <w:ind w:left="735" w:hanging="735" w:hangingChars="350"/>
        <w:rPr>
          <w:rFonts w:hint="eastAsia"/>
        </w:rPr>
      </w:pPr>
    </w:p>
    <w:p w14:paraId="4A1F4A55">
      <w:pPr>
        <w:spacing w:line="320" w:lineRule="exact"/>
        <w:ind w:left="735" w:hanging="735" w:hangingChars="350"/>
        <w:rPr>
          <w:rFonts w:hint="eastAsia"/>
        </w:rPr>
      </w:pPr>
    </w:p>
    <w:p w14:paraId="39E60043">
      <w:pPr>
        <w:spacing w:line="320" w:lineRule="exact"/>
        <w:ind w:left="735" w:hanging="735" w:hangingChars="350"/>
        <w:rPr>
          <w:rFonts w:hint="eastAsia"/>
        </w:rPr>
      </w:pPr>
    </w:p>
    <w:p w14:paraId="2B4278D1">
      <w:pPr>
        <w:spacing w:line="320" w:lineRule="exact"/>
        <w:ind w:left="735" w:hanging="735" w:hangingChars="350"/>
        <w:rPr>
          <w:rFonts w:hint="eastAsia"/>
        </w:rPr>
      </w:pPr>
    </w:p>
    <w:p w14:paraId="122129F9">
      <w:pPr>
        <w:spacing w:line="320" w:lineRule="exact"/>
        <w:ind w:left="735" w:hanging="735" w:hangingChars="350"/>
        <w:rPr>
          <w:rFonts w:hint="eastAsia"/>
        </w:rPr>
      </w:pPr>
    </w:p>
    <w:p w14:paraId="50DFE8B5">
      <w:pPr>
        <w:spacing w:line="320" w:lineRule="exact"/>
        <w:ind w:left="735" w:hanging="735" w:hangingChars="350"/>
        <w:rPr>
          <w:rFonts w:hint="eastAsia"/>
        </w:rPr>
      </w:pPr>
    </w:p>
    <w:p w14:paraId="082C02BF">
      <w:pPr>
        <w:spacing w:line="320" w:lineRule="exact"/>
        <w:ind w:left="735" w:hanging="735" w:hangingChars="350"/>
        <w:rPr>
          <w:rFonts w:hint="eastAsia"/>
        </w:rPr>
      </w:pPr>
    </w:p>
    <w:p w14:paraId="68FE8445">
      <w:pPr>
        <w:spacing w:line="320" w:lineRule="exact"/>
        <w:ind w:left="735" w:hanging="735" w:hangingChars="350"/>
        <w:rPr>
          <w:rFonts w:hint="eastAsia"/>
        </w:rPr>
      </w:pPr>
    </w:p>
    <w:p w14:paraId="6A19FE03">
      <w:pPr>
        <w:spacing w:line="320" w:lineRule="exact"/>
        <w:ind w:left="735" w:hanging="735" w:hangingChars="350"/>
        <w:rPr>
          <w:rFonts w:hint="eastAsia"/>
        </w:rPr>
      </w:pPr>
    </w:p>
    <w:p w14:paraId="4497B5D8">
      <w:pPr>
        <w:pStyle w:val="18"/>
        <w:jc w:val="center"/>
        <w:rPr>
          <w:rFonts w:hint="eastAsia"/>
        </w:rPr>
      </w:pPr>
      <w:bookmarkStart w:id="1334" w:name="_Toc108513939"/>
      <w:r>
        <w:t>第一部分 合同协议书</w:t>
      </w:r>
      <w:bookmarkEnd w:id="1334"/>
    </w:p>
    <w:p w14:paraId="709CB9B5">
      <w:pPr>
        <w:spacing w:line="380" w:lineRule="exact"/>
        <w:rPr>
          <w:rFonts w:hint="eastAsia"/>
        </w:rPr>
      </w:pPr>
    </w:p>
    <w:p w14:paraId="0DFEFFDA">
      <w:pPr>
        <w:spacing w:line="400" w:lineRule="exact"/>
        <w:ind w:firstLine="560" w:firstLineChars="200"/>
        <w:jc w:val="center"/>
        <w:rPr>
          <w:rFonts w:hint="eastAsia" w:ascii="黑体" w:eastAsia="黑体"/>
          <w:sz w:val="28"/>
          <w:szCs w:val="28"/>
        </w:rPr>
      </w:pPr>
    </w:p>
    <w:p w14:paraId="3021C621">
      <w:pPr>
        <w:spacing w:line="400" w:lineRule="exact"/>
        <w:ind w:firstLine="560" w:firstLineChars="200"/>
        <w:jc w:val="center"/>
        <w:rPr>
          <w:rFonts w:hint="eastAsia" w:ascii="黑体" w:eastAsia="黑体"/>
          <w:sz w:val="28"/>
          <w:szCs w:val="28"/>
        </w:rPr>
      </w:pPr>
    </w:p>
    <w:p w14:paraId="06FD86E2">
      <w:pPr>
        <w:spacing w:line="400" w:lineRule="exact"/>
        <w:ind w:firstLine="560" w:firstLineChars="200"/>
        <w:jc w:val="center"/>
        <w:rPr>
          <w:rFonts w:hint="eastAsia" w:ascii="黑体" w:eastAsia="黑体"/>
          <w:sz w:val="28"/>
          <w:szCs w:val="28"/>
        </w:rPr>
      </w:pPr>
    </w:p>
    <w:p w14:paraId="715B475E">
      <w:pPr>
        <w:spacing w:line="400" w:lineRule="exact"/>
        <w:ind w:firstLine="560" w:firstLineChars="200"/>
        <w:jc w:val="center"/>
        <w:rPr>
          <w:rFonts w:hint="eastAsia" w:ascii="黑体" w:eastAsia="黑体"/>
          <w:sz w:val="28"/>
          <w:szCs w:val="28"/>
        </w:rPr>
      </w:pPr>
    </w:p>
    <w:p w14:paraId="1907AA6C">
      <w:pPr>
        <w:spacing w:line="400" w:lineRule="exact"/>
        <w:ind w:firstLine="560" w:firstLineChars="200"/>
        <w:jc w:val="center"/>
        <w:rPr>
          <w:rFonts w:hint="eastAsia" w:ascii="黑体" w:eastAsia="黑体"/>
          <w:sz w:val="28"/>
          <w:szCs w:val="28"/>
        </w:rPr>
      </w:pPr>
    </w:p>
    <w:p w14:paraId="5C3B30BD">
      <w:pPr>
        <w:spacing w:line="400" w:lineRule="exact"/>
        <w:ind w:firstLine="560" w:firstLineChars="200"/>
        <w:jc w:val="center"/>
        <w:rPr>
          <w:rFonts w:hint="eastAsia" w:ascii="黑体" w:eastAsia="黑体"/>
          <w:sz w:val="28"/>
          <w:szCs w:val="28"/>
        </w:rPr>
      </w:pPr>
    </w:p>
    <w:p w14:paraId="656E9D33">
      <w:pPr>
        <w:spacing w:line="400" w:lineRule="exact"/>
        <w:ind w:firstLine="560" w:firstLineChars="200"/>
        <w:jc w:val="center"/>
        <w:rPr>
          <w:rFonts w:hint="eastAsia" w:ascii="黑体" w:eastAsia="黑体"/>
          <w:sz w:val="28"/>
          <w:szCs w:val="28"/>
        </w:rPr>
      </w:pPr>
    </w:p>
    <w:p w14:paraId="4D43EF04">
      <w:pPr>
        <w:spacing w:line="400" w:lineRule="exact"/>
        <w:ind w:firstLine="560" w:firstLineChars="200"/>
        <w:jc w:val="center"/>
        <w:rPr>
          <w:rFonts w:hint="eastAsia" w:ascii="黑体" w:eastAsia="黑体"/>
          <w:sz w:val="28"/>
          <w:szCs w:val="28"/>
        </w:rPr>
      </w:pPr>
    </w:p>
    <w:p w14:paraId="4DC89722">
      <w:pPr>
        <w:spacing w:line="400" w:lineRule="exact"/>
        <w:ind w:firstLine="560" w:firstLineChars="200"/>
        <w:jc w:val="center"/>
        <w:rPr>
          <w:rFonts w:hint="eastAsia" w:ascii="黑体" w:eastAsia="黑体"/>
          <w:sz w:val="28"/>
          <w:szCs w:val="28"/>
        </w:rPr>
      </w:pPr>
    </w:p>
    <w:p w14:paraId="2688EEF4">
      <w:pPr>
        <w:spacing w:line="400" w:lineRule="exact"/>
        <w:ind w:firstLine="560" w:firstLineChars="200"/>
        <w:jc w:val="center"/>
        <w:rPr>
          <w:rFonts w:hint="eastAsia" w:ascii="黑体" w:eastAsia="黑体"/>
          <w:sz w:val="28"/>
          <w:szCs w:val="28"/>
        </w:rPr>
      </w:pPr>
    </w:p>
    <w:p w14:paraId="4FF62541">
      <w:pPr>
        <w:spacing w:line="400" w:lineRule="exact"/>
        <w:ind w:firstLine="560" w:firstLineChars="200"/>
        <w:jc w:val="center"/>
        <w:rPr>
          <w:rFonts w:hint="eastAsia" w:ascii="黑体" w:eastAsia="黑体"/>
          <w:sz w:val="28"/>
          <w:szCs w:val="28"/>
        </w:rPr>
      </w:pPr>
    </w:p>
    <w:p w14:paraId="1883715A">
      <w:pPr>
        <w:spacing w:line="400" w:lineRule="exact"/>
        <w:ind w:firstLine="560" w:firstLineChars="200"/>
        <w:jc w:val="center"/>
        <w:rPr>
          <w:rFonts w:hint="eastAsia" w:ascii="黑体" w:eastAsia="黑体"/>
          <w:sz w:val="28"/>
          <w:szCs w:val="28"/>
        </w:rPr>
      </w:pPr>
    </w:p>
    <w:p w14:paraId="53727615">
      <w:pPr>
        <w:spacing w:line="400" w:lineRule="exact"/>
        <w:ind w:firstLine="560" w:firstLineChars="200"/>
        <w:jc w:val="center"/>
        <w:rPr>
          <w:rFonts w:hint="eastAsia" w:ascii="黑体" w:eastAsia="黑体"/>
          <w:sz w:val="28"/>
          <w:szCs w:val="28"/>
        </w:rPr>
      </w:pPr>
    </w:p>
    <w:p w14:paraId="2A0F451A">
      <w:pPr>
        <w:spacing w:line="400" w:lineRule="exact"/>
        <w:ind w:firstLine="560" w:firstLineChars="200"/>
        <w:jc w:val="center"/>
        <w:rPr>
          <w:rFonts w:hint="eastAsia" w:ascii="黑体" w:eastAsia="黑体"/>
          <w:sz w:val="28"/>
          <w:szCs w:val="28"/>
        </w:rPr>
      </w:pPr>
    </w:p>
    <w:p w14:paraId="542BFAE8">
      <w:pPr>
        <w:spacing w:line="400" w:lineRule="exact"/>
        <w:ind w:firstLine="560" w:firstLineChars="200"/>
        <w:jc w:val="center"/>
        <w:rPr>
          <w:rFonts w:hint="eastAsia" w:ascii="黑体" w:eastAsia="黑体"/>
          <w:sz w:val="28"/>
          <w:szCs w:val="28"/>
        </w:rPr>
      </w:pPr>
    </w:p>
    <w:p w14:paraId="20AA4695">
      <w:pPr>
        <w:spacing w:line="400" w:lineRule="exact"/>
        <w:ind w:firstLine="560" w:firstLineChars="200"/>
        <w:jc w:val="center"/>
        <w:rPr>
          <w:rFonts w:hint="eastAsia" w:ascii="黑体" w:eastAsia="黑体"/>
          <w:sz w:val="28"/>
          <w:szCs w:val="28"/>
        </w:rPr>
      </w:pPr>
    </w:p>
    <w:p w14:paraId="56A37B4E">
      <w:pPr>
        <w:spacing w:line="400" w:lineRule="exact"/>
        <w:ind w:firstLine="560" w:firstLineChars="200"/>
        <w:jc w:val="center"/>
        <w:rPr>
          <w:rFonts w:hint="eastAsia" w:ascii="黑体" w:eastAsia="黑体"/>
          <w:sz w:val="28"/>
          <w:szCs w:val="28"/>
        </w:rPr>
      </w:pPr>
    </w:p>
    <w:p w14:paraId="4C0A696E">
      <w:pPr>
        <w:spacing w:line="400" w:lineRule="exact"/>
        <w:ind w:firstLine="560" w:firstLineChars="200"/>
        <w:jc w:val="center"/>
        <w:rPr>
          <w:rFonts w:hint="eastAsia" w:ascii="黑体" w:eastAsia="黑体"/>
          <w:sz w:val="28"/>
          <w:szCs w:val="28"/>
        </w:rPr>
      </w:pPr>
    </w:p>
    <w:p w14:paraId="4851789B">
      <w:pPr>
        <w:spacing w:line="400" w:lineRule="exact"/>
        <w:ind w:firstLine="560" w:firstLineChars="200"/>
        <w:jc w:val="center"/>
        <w:rPr>
          <w:rFonts w:hint="eastAsia" w:ascii="黑体" w:eastAsia="黑体"/>
          <w:sz w:val="28"/>
          <w:szCs w:val="28"/>
        </w:rPr>
      </w:pPr>
    </w:p>
    <w:p w14:paraId="589ECA04">
      <w:pPr>
        <w:spacing w:line="400" w:lineRule="exact"/>
        <w:ind w:firstLine="560" w:firstLineChars="200"/>
        <w:jc w:val="center"/>
        <w:rPr>
          <w:rFonts w:hint="eastAsia" w:ascii="黑体" w:eastAsia="黑体"/>
          <w:sz w:val="28"/>
          <w:szCs w:val="28"/>
        </w:rPr>
      </w:pPr>
    </w:p>
    <w:p w14:paraId="79369B28">
      <w:pPr>
        <w:spacing w:line="400" w:lineRule="exact"/>
        <w:ind w:firstLine="560" w:firstLineChars="200"/>
        <w:jc w:val="center"/>
        <w:rPr>
          <w:rFonts w:hint="eastAsia" w:ascii="黑体" w:eastAsia="黑体"/>
          <w:sz w:val="28"/>
          <w:szCs w:val="28"/>
        </w:rPr>
      </w:pPr>
    </w:p>
    <w:p w14:paraId="00FA1BC6">
      <w:pPr>
        <w:spacing w:line="400" w:lineRule="exact"/>
        <w:ind w:firstLine="560" w:firstLineChars="200"/>
        <w:jc w:val="center"/>
        <w:rPr>
          <w:rFonts w:hint="eastAsia" w:ascii="黑体" w:eastAsia="黑体"/>
          <w:sz w:val="28"/>
          <w:szCs w:val="28"/>
        </w:rPr>
      </w:pPr>
    </w:p>
    <w:p w14:paraId="70CD7267">
      <w:pPr>
        <w:spacing w:line="400" w:lineRule="exact"/>
        <w:ind w:firstLine="560" w:firstLineChars="200"/>
        <w:jc w:val="center"/>
        <w:rPr>
          <w:rFonts w:hint="eastAsia" w:ascii="黑体" w:eastAsia="黑体"/>
          <w:sz w:val="28"/>
          <w:szCs w:val="28"/>
        </w:rPr>
      </w:pPr>
    </w:p>
    <w:p w14:paraId="0867DB4E">
      <w:pPr>
        <w:spacing w:line="400" w:lineRule="exact"/>
        <w:ind w:firstLine="560" w:firstLineChars="200"/>
        <w:jc w:val="center"/>
        <w:rPr>
          <w:rFonts w:hint="eastAsia" w:ascii="黑体" w:eastAsia="黑体"/>
          <w:sz w:val="28"/>
          <w:szCs w:val="28"/>
        </w:rPr>
      </w:pPr>
    </w:p>
    <w:p w14:paraId="038AE3F0">
      <w:pPr>
        <w:spacing w:line="400" w:lineRule="exact"/>
        <w:ind w:firstLine="560" w:firstLineChars="200"/>
        <w:jc w:val="center"/>
        <w:rPr>
          <w:rFonts w:hint="eastAsia" w:ascii="黑体" w:eastAsia="黑体"/>
          <w:sz w:val="28"/>
          <w:szCs w:val="28"/>
        </w:rPr>
      </w:pPr>
    </w:p>
    <w:p w14:paraId="34614149">
      <w:pPr>
        <w:spacing w:line="400" w:lineRule="exact"/>
        <w:ind w:firstLine="560" w:firstLineChars="200"/>
        <w:jc w:val="center"/>
        <w:rPr>
          <w:rFonts w:hint="eastAsia" w:ascii="黑体" w:eastAsia="黑体"/>
          <w:sz w:val="28"/>
          <w:szCs w:val="28"/>
        </w:rPr>
      </w:pPr>
    </w:p>
    <w:p w14:paraId="33B35A0D">
      <w:pPr>
        <w:spacing w:line="400" w:lineRule="exact"/>
        <w:ind w:firstLine="560" w:firstLineChars="200"/>
        <w:jc w:val="center"/>
        <w:rPr>
          <w:rFonts w:hint="eastAsia" w:ascii="黑体" w:eastAsia="黑体"/>
          <w:sz w:val="28"/>
          <w:szCs w:val="28"/>
        </w:rPr>
      </w:pPr>
      <w:r>
        <w:rPr>
          <w:rFonts w:ascii="黑体" w:eastAsia="黑体"/>
          <w:sz w:val="28"/>
          <w:szCs w:val="28"/>
        </w:rPr>
        <w:t>合同协议书</w:t>
      </w:r>
    </w:p>
    <w:p w14:paraId="03D2B928">
      <w:pPr>
        <w:spacing w:line="380" w:lineRule="exact"/>
        <w:rPr>
          <w:rFonts w:hint="eastAsia" w:eastAsia="黑体"/>
          <w:sz w:val="28"/>
          <w:szCs w:val="20"/>
        </w:rPr>
      </w:pPr>
    </w:p>
    <w:p w14:paraId="193A6B03">
      <w:pPr>
        <w:spacing w:line="380" w:lineRule="exact"/>
      </w:pPr>
      <w:r>
        <w:t>发包人（全称）：</w:t>
      </w:r>
      <w:r>
        <w:rPr>
          <w:u w:val="single"/>
        </w:rPr>
        <w:t xml:space="preserve">                                    </w:t>
      </w:r>
    </w:p>
    <w:p w14:paraId="5AC41C3D">
      <w:pPr>
        <w:spacing w:line="380" w:lineRule="exact"/>
      </w:pPr>
      <w:r>
        <w:t>承包人（全称）：</w:t>
      </w:r>
      <w:r>
        <w:rPr>
          <w:u w:val="single"/>
        </w:rPr>
        <w:t xml:space="preserve">                                    </w:t>
      </w:r>
    </w:p>
    <w:p w14:paraId="50F57AE0">
      <w:pPr>
        <w:spacing w:line="380" w:lineRule="exact"/>
      </w:pPr>
      <w:r>
        <w:t>根据《中华人民共和国合同法》、《中华人民共和国建筑法》及有关法律规定，遵循平等、自愿、公平和诚实信用的原则，双方就</w:t>
      </w:r>
      <w:r>
        <w:rPr>
          <w:rFonts w:hint="eastAsia"/>
          <w:u w:val="single"/>
        </w:rPr>
        <w:t xml:space="preserve">                     </w:t>
      </w:r>
      <w:r>
        <w:t>工程施工及有关事项协商一致</w:t>
      </w:r>
      <w:r>
        <w:rPr>
          <w:rFonts w:hint="eastAsia"/>
        </w:rPr>
        <w:t>，</w:t>
      </w:r>
      <w:r>
        <w:t>共同达成如下协议：</w:t>
      </w:r>
    </w:p>
    <w:p w14:paraId="6CBC777D">
      <w:pPr>
        <w:spacing w:line="480" w:lineRule="auto"/>
        <w:rPr>
          <w:b/>
        </w:rPr>
      </w:pPr>
      <w:bookmarkStart w:id="1335" w:name="_Toc351203481"/>
      <w:r>
        <w:rPr>
          <w:rFonts w:ascii="黑体" w:eastAsia="黑体"/>
          <w:b/>
        </w:rPr>
        <w:t>一、工程概况</w:t>
      </w:r>
      <w:bookmarkEnd w:id="1335"/>
    </w:p>
    <w:p w14:paraId="5A95C72E">
      <w:pPr>
        <w:spacing w:line="380" w:lineRule="exact"/>
        <w:ind w:firstLine="420" w:firstLineChars="200"/>
      </w:pPr>
      <w:r>
        <w:t>1.工程名称：</w:t>
      </w:r>
      <w:r>
        <w:rPr>
          <w:u w:val="single"/>
        </w:rPr>
        <w:t xml:space="preserve">                              </w:t>
      </w:r>
      <w:r>
        <w:t>。</w:t>
      </w:r>
    </w:p>
    <w:p w14:paraId="089430A8">
      <w:pPr>
        <w:spacing w:line="380" w:lineRule="exact"/>
        <w:ind w:firstLine="420" w:firstLineChars="200"/>
      </w:pPr>
      <w:r>
        <w:t>2.工程地点：</w:t>
      </w:r>
      <w:r>
        <w:rPr>
          <w:u w:val="single"/>
        </w:rPr>
        <w:t xml:space="preserve">                              </w:t>
      </w:r>
      <w:r>
        <w:t>。</w:t>
      </w:r>
    </w:p>
    <w:p w14:paraId="6529E73D">
      <w:pPr>
        <w:spacing w:line="380" w:lineRule="exact"/>
        <w:ind w:firstLine="420" w:firstLineChars="200"/>
      </w:pPr>
      <w:r>
        <w:t>3.工程立项批准文号：</w:t>
      </w:r>
      <w:r>
        <w:rPr>
          <w:u w:val="single"/>
        </w:rPr>
        <w:t xml:space="preserve">                      </w:t>
      </w:r>
      <w:r>
        <w:t>。</w:t>
      </w:r>
    </w:p>
    <w:p w14:paraId="68429861">
      <w:pPr>
        <w:spacing w:line="380" w:lineRule="exact"/>
        <w:ind w:firstLine="420" w:firstLineChars="200"/>
        <w:rPr>
          <w:rFonts w:hint="eastAsia"/>
        </w:rPr>
      </w:pPr>
      <w:r>
        <w:t>4.资金来源：</w:t>
      </w:r>
      <w:r>
        <w:rPr>
          <w:u w:val="single"/>
        </w:rPr>
        <w:t xml:space="preserve">                              </w:t>
      </w:r>
      <w:r>
        <w:t>。</w:t>
      </w:r>
    </w:p>
    <w:p w14:paraId="3DA6BBFC">
      <w:pPr>
        <w:spacing w:line="380" w:lineRule="exact"/>
        <w:ind w:firstLine="420" w:firstLineChars="200"/>
        <w:rPr>
          <w:rFonts w:hint="eastAsia"/>
        </w:rPr>
      </w:pPr>
      <w:r>
        <w:rPr>
          <w:rFonts w:hint="eastAsia"/>
        </w:rPr>
        <w:t>5.工程内容：</w:t>
      </w:r>
      <w:r>
        <w:rPr>
          <w:u w:val="single"/>
        </w:rPr>
        <w:t xml:space="preserve">                             </w:t>
      </w:r>
      <w:r>
        <w:t xml:space="preserve"> 。</w:t>
      </w:r>
    </w:p>
    <w:p w14:paraId="41FAF1C4">
      <w:pPr>
        <w:spacing w:line="380" w:lineRule="exact"/>
        <w:ind w:firstLine="420" w:firstLineChars="200"/>
      </w:pPr>
      <w:r>
        <w:rPr>
          <w:rFonts w:hint="eastAsia"/>
        </w:rPr>
        <w:t>群体工程应附《</w:t>
      </w:r>
      <w:r>
        <w:t>承包人承揽工程项目一览表</w:t>
      </w:r>
      <w:r>
        <w:rPr>
          <w:rFonts w:hint="eastAsia"/>
        </w:rPr>
        <w:t>》（附件1）。</w:t>
      </w:r>
    </w:p>
    <w:p w14:paraId="76BA25B9">
      <w:pPr>
        <w:spacing w:line="380" w:lineRule="exact"/>
        <w:ind w:firstLine="420" w:firstLineChars="200"/>
      </w:pPr>
      <w:r>
        <w:rPr>
          <w:rFonts w:hint="eastAsia"/>
        </w:rPr>
        <w:t>6</w:t>
      </w:r>
      <w:r>
        <w:t>.工程承包范围：</w:t>
      </w:r>
    </w:p>
    <w:p w14:paraId="1213C4F3">
      <w:pPr>
        <w:spacing w:line="380" w:lineRule="exact"/>
        <w:rPr>
          <w:rFonts w:hint="eastAsia"/>
        </w:rPr>
      </w:pPr>
      <w:r>
        <w:t xml:space="preserve">    </w:t>
      </w:r>
      <w:r>
        <w:rPr>
          <w:rFonts w:hint="eastAsia"/>
          <w:u w:val="single"/>
        </w:rPr>
        <w:t xml:space="preserve">      </w:t>
      </w:r>
      <w:r>
        <w:rPr>
          <w:u w:val="single"/>
        </w:rPr>
        <w:t xml:space="preserve">                                   </w:t>
      </w:r>
      <w:r>
        <w:rPr>
          <w:rFonts w:hint="eastAsia"/>
          <w:u w:val="single"/>
        </w:rPr>
        <w:t xml:space="preserve">                           </w:t>
      </w:r>
    </w:p>
    <w:p w14:paraId="2F605199">
      <w:pPr>
        <w:spacing w:line="380" w:lineRule="exact"/>
        <w:ind w:firstLine="420" w:firstLineChars="200"/>
      </w:pPr>
      <w:r>
        <w:rPr>
          <w:rFonts w:hint="eastAsia"/>
          <w:u w:val="single"/>
        </w:rPr>
        <w:t xml:space="preserve">                 </w:t>
      </w:r>
      <w:r>
        <w:rPr>
          <w:u w:val="single"/>
        </w:rPr>
        <w:t xml:space="preserve">                                   </w:t>
      </w:r>
      <w:r>
        <w:rPr>
          <w:rFonts w:hint="eastAsia"/>
          <w:u w:val="single"/>
        </w:rPr>
        <w:t xml:space="preserve">                </w:t>
      </w:r>
      <w:r>
        <w:t>。</w:t>
      </w:r>
    </w:p>
    <w:p w14:paraId="1B36FFA0">
      <w:pPr>
        <w:spacing w:line="480" w:lineRule="auto"/>
        <w:rPr>
          <w:b/>
        </w:rPr>
      </w:pPr>
      <w:bookmarkStart w:id="1336" w:name="_Toc351203482"/>
      <w:r>
        <w:rPr>
          <w:rFonts w:ascii="黑体" w:eastAsia="黑体"/>
          <w:b/>
        </w:rPr>
        <w:t>二、合同工期</w:t>
      </w:r>
      <w:bookmarkEnd w:id="1336"/>
    </w:p>
    <w:p w14:paraId="4ADFFA61">
      <w:pPr>
        <w:spacing w:line="380" w:lineRule="exact"/>
        <w:ind w:firstLine="420" w:firstLineChars="200"/>
      </w:pPr>
      <w:r>
        <w:t>计划开工日期：</w:t>
      </w:r>
      <w:r>
        <w:rPr>
          <w:u w:val="single"/>
        </w:rPr>
        <w:t xml:space="preserve">        </w:t>
      </w:r>
      <w:r>
        <w:t>年</w:t>
      </w:r>
      <w:r>
        <w:rPr>
          <w:u w:val="single"/>
        </w:rPr>
        <w:t xml:space="preserve">     </w:t>
      </w:r>
      <w:r>
        <w:t>月</w:t>
      </w:r>
      <w:r>
        <w:rPr>
          <w:u w:val="single"/>
        </w:rPr>
        <w:t xml:space="preserve">    </w:t>
      </w:r>
      <w:r>
        <w:t>日。</w:t>
      </w:r>
    </w:p>
    <w:p w14:paraId="7B4C174E">
      <w:pPr>
        <w:spacing w:line="380" w:lineRule="exact"/>
        <w:ind w:firstLine="420" w:firstLineChars="200"/>
      </w:pPr>
      <w:r>
        <w:t>计划竣工日期：</w:t>
      </w:r>
      <w:r>
        <w:rPr>
          <w:u w:val="single"/>
        </w:rPr>
        <w:t xml:space="preserve">        </w:t>
      </w:r>
      <w:r>
        <w:t>年</w:t>
      </w:r>
      <w:r>
        <w:rPr>
          <w:u w:val="single"/>
        </w:rPr>
        <w:t xml:space="preserve">     </w:t>
      </w:r>
      <w:r>
        <w:t>月</w:t>
      </w:r>
      <w:r>
        <w:rPr>
          <w:u w:val="single"/>
        </w:rPr>
        <w:t xml:space="preserve">    </w:t>
      </w:r>
      <w:r>
        <w:t>日。</w:t>
      </w:r>
    </w:p>
    <w:p w14:paraId="5BACFD8D">
      <w:pPr>
        <w:spacing w:line="380" w:lineRule="exact"/>
        <w:ind w:firstLine="420" w:firstLineChars="200"/>
      </w:pPr>
      <w:r>
        <w:t>工期总日历天数：</w:t>
      </w:r>
      <w:r>
        <w:rPr>
          <w:u w:val="single"/>
        </w:rPr>
        <w:t xml:space="preserve">        </w:t>
      </w:r>
      <w:r>
        <w:t>天。工期总日历天数与根据前述计划开竣工日期计算的工期天数不一致的，以工期总日历天数为准。</w:t>
      </w:r>
    </w:p>
    <w:p w14:paraId="18230F2A">
      <w:pPr>
        <w:spacing w:line="480" w:lineRule="auto"/>
        <w:rPr>
          <w:b/>
        </w:rPr>
      </w:pPr>
      <w:r>
        <w:t xml:space="preserve"> </w:t>
      </w:r>
      <w:bookmarkStart w:id="1337" w:name="_Toc351203483"/>
      <w:r>
        <w:rPr>
          <w:rFonts w:ascii="黑体" w:eastAsia="黑体"/>
          <w:b/>
        </w:rPr>
        <w:t>三、质量标准</w:t>
      </w:r>
      <w:bookmarkEnd w:id="1337"/>
    </w:p>
    <w:p w14:paraId="05A104C7">
      <w:pPr>
        <w:spacing w:line="380" w:lineRule="exact"/>
        <w:ind w:firstLine="420" w:firstLineChars="200"/>
      </w:pPr>
      <w:r>
        <w:t>工程质量符合</w:t>
      </w:r>
      <w:r>
        <w:rPr>
          <w:u w:val="single"/>
        </w:rPr>
        <w:t xml:space="preserve">                             </w:t>
      </w:r>
      <w:r>
        <w:t>标准。</w:t>
      </w:r>
    </w:p>
    <w:p w14:paraId="2D372FF2">
      <w:pPr>
        <w:spacing w:line="480" w:lineRule="auto"/>
      </w:pPr>
      <w:bookmarkStart w:id="1338" w:name="_Toc351203484"/>
      <w:r>
        <w:t xml:space="preserve"> </w:t>
      </w:r>
      <w:r>
        <w:rPr>
          <w:rFonts w:ascii="黑体" w:eastAsia="黑体"/>
          <w:b/>
        </w:rPr>
        <w:t>四、签约合同价与合同价格形式</w:t>
      </w:r>
      <w:bookmarkEnd w:id="1338"/>
      <w:r>
        <w:rPr>
          <w:rFonts w:ascii="黑体" w:eastAsia="黑体"/>
          <w:b/>
        </w:rPr>
        <w:tab/>
      </w:r>
    </w:p>
    <w:p w14:paraId="64A122EF">
      <w:pPr>
        <w:spacing w:line="380" w:lineRule="exact"/>
        <w:ind w:firstLine="420" w:firstLineChars="200"/>
      </w:pPr>
      <w:r>
        <w:t>1.签约合同价为：</w:t>
      </w:r>
    </w:p>
    <w:p w14:paraId="5D43FBA2">
      <w:pPr>
        <w:spacing w:line="380" w:lineRule="exact"/>
        <w:ind w:firstLine="630" w:firstLineChars="300"/>
      </w:pPr>
      <w:r>
        <w:t>人民币（大写）</w:t>
      </w:r>
      <w:r>
        <w:rPr>
          <w:u w:val="single"/>
        </w:rPr>
        <w:t xml:space="preserve">    </w:t>
      </w:r>
      <w:r>
        <w:rPr>
          <w:rFonts w:hint="eastAsia"/>
          <w:u w:val="single"/>
        </w:rPr>
        <w:t xml:space="preserve">                  </w:t>
      </w:r>
      <w:r>
        <w:rPr>
          <w:u w:val="single"/>
        </w:rPr>
        <w:t xml:space="preserve"> </w:t>
      </w:r>
      <w:r>
        <w:t xml:space="preserve"> (¥ </w:t>
      </w:r>
      <w:r>
        <w:rPr>
          <w:u w:val="single"/>
        </w:rPr>
        <w:t xml:space="preserve">   </w:t>
      </w:r>
      <w:r>
        <w:rPr>
          <w:rFonts w:hint="eastAsia"/>
          <w:u w:val="single"/>
        </w:rPr>
        <w:t xml:space="preserve">      </w:t>
      </w:r>
      <w:r>
        <w:rPr>
          <w:u w:val="single"/>
        </w:rPr>
        <w:t xml:space="preserve">  </w:t>
      </w:r>
      <w:r>
        <w:t>元)；</w:t>
      </w:r>
    </w:p>
    <w:p w14:paraId="26102347">
      <w:pPr>
        <w:spacing w:line="380" w:lineRule="exact"/>
        <w:ind w:firstLine="630" w:firstLineChars="300"/>
      </w:pPr>
      <w:r>
        <w:t>其中：</w:t>
      </w:r>
    </w:p>
    <w:p w14:paraId="0DA8198F">
      <w:pPr>
        <w:spacing w:line="380" w:lineRule="exact"/>
        <w:ind w:firstLine="420" w:firstLineChars="200"/>
      </w:pPr>
      <w:r>
        <w:t>（1）安全文明施工费：</w:t>
      </w:r>
    </w:p>
    <w:p w14:paraId="325729A3">
      <w:pPr>
        <w:spacing w:line="380" w:lineRule="exact"/>
        <w:ind w:firstLine="945" w:firstLineChars="450"/>
      </w:pPr>
      <w:r>
        <w:t>人民币（大写）</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 (¥ </w:t>
      </w:r>
      <w:r>
        <w:rPr>
          <w:u w:val="single"/>
        </w:rPr>
        <w:t xml:space="preserve">   </w:t>
      </w:r>
      <w:r>
        <w:rPr>
          <w:rFonts w:hint="eastAsia"/>
          <w:u w:val="single"/>
        </w:rPr>
        <w:t xml:space="preserve">        </w:t>
      </w:r>
      <w:r>
        <w:t>元)；</w:t>
      </w:r>
    </w:p>
    <w:p w14:paraId="14ED4E4F">
      <w:pPr>
        <w:spacing w:line="380" w:lineRule="exact"/>
        <w:ind w:firstLine="420" w:firstLineChars="200"/>
      </w:pPr>
      <w:r>
        <w:t>（2）材料和工程设备暂估价金额：</w:t>
      </w:r>
    </w:p>
    <w:p w14:paraId="2747DBF7">
      <w:pPr>
        <w:spacing w:line="380" w:lineRule="exact"/>
        <w:ind w:firstLine="945" w:firstLineChars="450"/>
      </w:pPr>
      <w:r>
        <w:t>人民币（大写）</w:t>
      </w:r>
      <w:r>
        <w:rPr>
          <w:u w:val="single"/>
        </w:rPr>
        <w:t xml:space="preserve">    </w:t>
      </w:r>
      <w:r>
        <w:rPr>
          <w:rFonts w:hint="eastAsia"/>
          <w:u w:val="single"/>
        </w:rPr>
        <w:t xml:space="preserve">              </w:t>
      </w:r>
      <w:r>
        <w:rPr>
          <w:u w:val="single"/>
        </w:rPr>
        <w:t xml:space="preserve">  </w:t>
      </w:r>
      <w:r>
        <w:t xml:space="preserve"> (¥</w:t>
      </w:r>
      <w:r>
        <w:rPr>
          <w:u w:val="single"/>
        </w:rPr>
        <w:t xml:space="preserve">    </w:t>
      </w:r>
      <w:r>
        <w:rPr>
          <w:rFonts w:hint="eastAsia"/>
          <w:u w:val="single"/>
        </w:rPr>
        <w:t xml:space="preserve">       </w:t>
      </w:r>
      <w:r>
        <w:rPr>
          <w:u w:val="single"/>
        </w:rPr>
        <w:t xml:space="preserve"> </w:t>
      </w:r>
      <w:r>
        <w:t>元)；</w:t>
      </w:r>
    </w:p>
    <w:p w14:paraId="3C9CC825">
      <w:pPr>
        <w:spacing w:line="380" w:lineRule="exact"/>
        <w:ind w:firstLine="420" w:firstLineChars="200"/>
      </w:pPr>
      <w:r>
        <w:t>（3）专业工程暂估价金额：</w:t>
      </w:r>
    </w:p>
    <w:p w14:paraId="3C148892">
      <w:pPr>
        <w:spacing w:line="380" w:lineRule="exact"/>
        <w:ind w:firstLine="945" w:firstLineChars="450"/>
      </w:pPr>
      <w:r>
        <w:t>人民币（大写）</w:t>
      </w:r>
      <w:r>
        <w:rPr>
          <w:u w:val="single"/>
        </w:rPr>
        <w:t xml:space="preserve">    </w:t>
      </w:r>
      <w:r>
        <w:rPr>
          <w:rFonts w:hint="eastAsia"/>
          <w:u w:val="single"/>
        </w:rPr>
        <w:t xml:space="preserve">              </w:t>
      </w:r>
      <w:r>
        <w:rPr>
          <w:u w:val="single"/>
        </w:rPr>
        <w:t xml:space="preserve">  </w:t>
      </w:r>
      <w:r>
        <w:t xml:space="preserve"> (¥</w:t>
      </w:r>
      <w:r>
        <w:rPr>
          <w:u w:val="single"/>
        </w:rPr>
        <w:t xml:space="preserve">    </w:t>
      </w:r>
      <w:r>
        <w:rPr>
          <w:rFonts w:hint="eastAsia"/>
          <w:u w:val="single"/>
        </w:rPr>
        <w:t xml:space="preserve">       </w:t>
      </w:r>
      <w:r>
        <w:rPr>
          <w:u w:val="single"/>
        </w:rPr>
        <w:t xml:space="preserve"> </w:t>
      </w:r>
      <w:r>
        <w:t>元)；</w:t>
      </w:r>
    </w:p>
    <w:p w14:paraId="75608479">
      <w:pPr>
        <w:spacing w:line="380" w:lineRule="exact"/>
        <w:ind w:firstLine="420" w:firstLineChars="200"/>
      </w:pPr>
      <w:r>
        <w:t>（4）暂列金额：</w:t>
      </w:r>
    </w:p>
    <w:p w14:paraId="7AC2682D">
      <w:pPr>
        <w:spacing w:line="380" w:lineRule="exact"/>
        <w:ind w:firstLine="945" w:firstLineChars="450"/>
      </w:pPr>
      <w:r>
        <w:t>人民币（大写）</w:t>
      </w:r>
      <w:r>
        <w:rPr>
          <w:u w:val="single"/>
        </w:rPr>
        <w:t xml:space="preserve">    </w:t>
      </w:r>
      <w:r>
        <w:rPr>
          <w:rFonts w:hint="eastAsia"/>
          <w:u w:val="single"/>
        </w:rPr>
        <w:t xml:space="preserve">              </w:t>
      </w:r>
      <w:r>
        <w:rPr>
          <w:u w:val="single"/>
        </w:rPr>
        <w:t xml:space="preserve">  </w:t>
      </w:r>
      <w:r>
        <w:t xml:space="preserve"> (¥ </w:t>
      </w:r>
      <w:r>
        <w:rPr>
          <w:u w:val="single"/>
        </w:rPr>
        <w:t xml:space="preserve">   </w:t>
      </w:r>
      <w:r>
        <w:rPr>
          <w:rFonts w:hint="eastAsia"/>
          <w:u w:val="single"/>
        </w:rPr>
        <w:t xml:space="preserve">      </w:t>
      </w:r>
      <w:r>
        <w:rPr>
          <w:u w:val="single"/>
        </w:rPr>
        <w:t xml:space="preserve">  </w:t>
      </w:r>
      <w:r>
        <w:t>元)。</w:t>
      </w:r>
    </w:p>
    <w:p w14:paraId="5B982212">
      <w:pPr>
        <w:spacing w:line="380" w:lineRule="exact"/>
        <w:ind w:firstLine="420" w:firstLineChars="200"/>
      </w:pPr>
      <w:r>
        <w:t>2.合同价格形式：</w:t>
      </w:r>
      <w:r>
        <w:rPr>
          <w:u w:val="single"/>
        </w:rPr>
        <w:t xml:space="preserve">                             </w:t>
      </w:r>
      <w:r>
        <w:t>。</w:t>
      </w:r>
    </w:p>
    <w:p w14:paraId="1FB638E0">
      <w:pPr>
        <w:spacing w:line="480" w:lineRule="auto"/>
        <w:rPr>
          <w:rFonts w:ascii="黑体" w:eastAsia="黑体"/>
          <w:b/>
        </w:rPr>
      </w:pPr>
      <w:bookmarkStart w:id="1339" w:name="_Toc351203485"/>
      <w:r>
        <w:rPr>
          <w:rFonts w:ascii="黑体" w:eastAsia="黑体"/>
          <w:b/>
        </w:rPr>
        <w:t>五、</w:t>
      </w:r>
      <w:bookmarkEnd w:id="1339"/>
      <w:r>
        <w:rPr>
          <w:rFonts w:ascii="黑体" w:eastAsia="黑体"/>
          <w:b/>
        </w:rPr>
        <w:t>项目经理</w:t>
      </w:r>
    </w:p>
    <w:p w14:paraId="5924B4BA">
      <w:pPr>
        <w:spacing w:line="380" w:lineRule="exact"/>
        <w:ind w:firstLine="420" w:firstLineChars="200"/>
        <w:rPr>
          <w:rFonts w:hint="eastAsia"/>
        </w:rPr>
      </w:pPr>
      <w:r>
        <w:t>承包人项目经理：</w:t>
      </w:r>
      <w:r>
        <w:rPr>
          <w:u w:val="single"/>
        </w:rPr>
        <w:t xml:space="preserve">                             </w:t>
      </w:r>
      <w:r>
        <w:t>。</w:t>
      </w:r>
    </w:p>
    <w:p w14:paraId="7CE6BED0">
      <w:pPr>
        <w:spacing w:line="480" w:lineRule="auto"/>
        <w:rPr>
          <w:rFonts w:ascii="黑体" w:eastAsia="黑体"/>
          <w:b/>
        </w:rPr>
      </w:pPr>
      <w:bookmarkStart w:id="1340" w:name="_Toc351203486"/>
      <w:r>
        <w:rPr>
          <w:rFonts w:ascii="黑体" w:eastAsia="黑体"/>
          <w:b/>
        </w:rPr>
        <w:t>六、合同文件构成</w:t>
      </w:r>
      <w:bookmarkEnd w:id="1340"/>
    </w:p>
    <w:p w14:paraId="6BB2B2FF">
      <w:pPr>
        <w:spacing w:line="380" w:lineRule="exact"/>
        <w:ind w:firstLine="420" w:firstLineChars="200"/>
      </w:pPr>
      <w:r>
        <w:t>本协议书与下列文件一起构成合同文件：</w:t>
      </w:r>
    </w:p>
    <w:p w14:paraId="1222CBD0">
      <w:pPr>
        <w:spacing w:line="380" w:lineRule="exact"/>
        <w:ind w:firstLine="420" w:firstLineChars="200"/>
      </w:pPr>
      <w:r>
        <w:t>（1）中标通知书（如果有）；</w:t>
      </w:r>
    </w:p>
    <w:p w14:paraId="68429D2E">
      <w:pPr>
        <w:spacing w:line="380" w:lineRule="exact"/>
        <w:ind w:firstLine="420" w:firstLineChars="200"/>
      </w:pPr>
      <w:r>
        <w:t xml:space="preserve">（2）投标函及其附录（如果有）； </w:t>
      </w:r>
    </w:p>
    <w:p w14:paraId="120ECFC1">
      <w:pPr>
        <w:spacing w:line="380" w:lineRule="exact"/>
        <w:ind w:firstLine="420" w:firstLineChars="200"/>
      </w:pPr>
      <w:r>
        <w:t>（3）专用合同条款及其附件；</w:t>
      </w:r>
    </w:p>
    <w:p w14:paraId="0B4ECFB0">
      <w:pPr>
        <w:spacing w:line="380" w:lineRule="exact"/>
        <w:ind w:firstLine="420" w:firstLineChars="200"/>
      </w:pPr>
      <w:r>
        <w:t>（4）通用合同条款；</w:t>
      </w:r>
    </w:p>
    <w:p w14:paraId="07596C97">
      <w:pPr>
        <w:spacing w:line="380" w:lineRule="exact"/>
        <w:ind w:firstLine="420" w:firstLineChars="200"/>
      </w:pPr>
      <w:r>
        <w:t>（5）技术标准和要求；</w:t>
      </w:r>
    </w:p>
    <w:p w14:paraId="27153AC8">
      <w:pPr>
        <w:spacing w:line="380" w:lineRule="exact"/>
        <w:ind w:firstLine="420" w:firstLineChars="200"/>
      </w:pPr>
      <w:r>
        <w:t>（6）图纸；</w:t>
      </w:r>
    </w:p>
    <w:p w14:paraId="035A9200">
      <w:pPr>
        <w:spacing w:line="380" w:lineRule="exact"/>
        <w:ind w:firstLine="420" w:firstLineChars="200"/>
      </w:pPr>
      <w:r>
        <w:t>（7）已标价工程量清单或预算书；</w:t>
      </w:r>
    </w:p>
    <w:p w14:paraId="070C87E9">
      <w:pPr>
        <w:spacing w:line="380" w:lineRule="exact"/>
        <w:ind w:firstLine="420" w:firstLineChars="200"/>
      </w:pPr>
      <w:r>
        <w:t>（8）其他合同文件。</w:t>
      </w:r>
    </w:p>
    <w:p w14:paraId="3D5194E9">
      <w:pPr>
        <w:spacing w:line="380" w:lineRule="exact"/>
        <w:ind w:firstLine="420" w:firstLineChars="200"/>
      </w:pPr>
      <w:r>
        <w:t>在合同订立及履行过程中形成的与合同有关的文件均构成合同文件组成部分。</w:t>
      </w:r>
    </w:p>
    <w:p w14:paraId="4C5ED2AD">
      <w:pPr>
        <w:spacing w:line="380" w:lineRule="exact"/>
        <w:ind w:firstLine="420" w:firstLineChars="200"/>
      </w:pPr>
      <w:r>
        <w:t>上述各项合同文件包括合同当事人就该项合同文件所作出的补充和修改，属于同一类内容的文件，应以最新签署的为准。</w:t>
      </w:r>
      <w:r>
        <w:rPr>
          <w:rFonts w:hint="eastAsia"/>
        </w:rPr>
        <w:t>专用合同条款及其附件须经合同当事人签字或盖章。</w:t>
      </w:r>
    </w:p>
    <w:p w14:paraId="0587B856">
      <w:pPr>
        <w:spacing w:line="480" w:lineRule="auto"/>
        <w:rPr>
          <w:rFonts w:ascii="黑体" w:eastAsia="黑体"/>
          <w:b/>
        </w:rPr>
      </w:pPr>
      <w:bookmarkStart w:id="1341" w:name="_Toc351203487"/>
      <w:r>
        <w:rPr>
          <w:rFonts w:ascii="黑体" w:eastAsia="黑体"/>
          <w:b/>
        </w:rPr>
        <w:t>七、承诺</w:t>
      </w:r>
      <w:bookmarkEnd w:id="1341"/>
    </w:p>
    <w:p w14:paraId="3300A457">
      <w:pPr>
        <w:spacing w:line="380" w:lineRule="exact"/>
        <w:ind w:firstLine="420" w:firstLineChars="200"/>
      </w:pPr>
      <w:r>
        <w:t>1.发包人承诺按照法律规定履行项目审批手续、筹集工程建设资金并按照合同约定的期限和方式支付合同价款。</w:t>
      </w:r>
    </w:p>
    <w:p w14:paraId="671A4539">
      <w:pPr>
        <w:spacing w:line="380" w:lineRule="exact"/>
        <w:ind w:firstLine="420" w:firstLineChars="200"/>
      </w:pPr>
      <w:r>
        <w:t>2.承包人承诺按照法律规定及合同约定组织完成工程施工，确保工程质量和安全，不进行转包及违法分包，并在缺陷责任期及保修期内承担相应的工程维修责任。</w:t>
      </w:r>
    </w:p>
    <w:p w14:paraId="60B98736">
      <w:pPr>
        <w:spacing w:line="380" w:lineRule="exact"/>
        <w:ind w:firstLine="420" w:firstLineChars="200"/>
      </w:pPr>
      <w:r>
        <w:t>3.发包人和承包人通过招投标形式签订合同的，双方理解并</w:t>
      </w:r>
      <w:r>
        <w:rPr>
          <w:rFonts w:hint="eastAsia"/>
        </w:rPr>
        <w:t>承诺</w:t>
      </w:r>
      <w:r>
        <w:t>不再就同一工程另行签订与合同实质性内容相背离的协议。</w:t>
      </w:r>
    </w:p>
    <w:p w14:paraId="19D28659">
      <w:pPr>
        <w:spacing w:line="480" w:lineRule="auto"/>
      </w:pPr>
      <w:bookmarkStart w:id="1342" w:name="_Toc351203488"/>
      <w:r>
        <w:rPr>
          <w:rFonts w:ascii="黑体" w:eastAsia="黑体"/>
          <w:b/>
        </w:rPr>
        <w:t>八、词语含义</w:t>
      </w:r>
      <w:bookmarkEnd w:id="1342"/>
    </w:p>
    <w:p w14:paraId="39F5698A">
      <w:pPr>
        <w:spacing w:line="380" w:lineRule="exact"/>
        <w:ind w:firstLine="420" w:firstLineChars="200"/>
      </w:pPr>
      <w:r>
        <w:t>本协议书中词语含义与第二部分通用合同条款中赋予的含义相同。</w:t>
      </w:r>
    </w:p>
    <w:p w14:paraId="591B381A">
      <w:pPr>
        <w:spacing w:line="480" w:lineRule="auto"/>
      </w:pPr>
      <w:bookmarkStart w:id="1343" w:name="_Toc351203489"/>
      <w:r>
        <w:rPr>
          <w:rFonts w:ascii="黑体" w:eastAsia="黑体"/>
          <w:b/>
        </w:rPr>
        <w:t>九、签订时间</w:t>
      </w:r>
      <w:bookmarkEnd w:id="1343"/>
    </w:p>
    <w:p w14:paraId="0F5DBB76">
      <w:pPr>
        <w:spacing w:line="380" w:lineRule="exact"/>
        <w:ind w:firstLine="420" w:firstLineChars="200"/>
      </w:pPr>
      <w:r>
        <w:t>本合同于</w:t>
      </w: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日签订。</w:t>
      </w:r>
    </w:p>
    <w:p w14:paraId="0ADA481B">
      <w:pPr>
        <w:spacing w:line="480" w:lineRule="auto"/>
      </w:pPr>
      <w:bookmarkStart w:id="1344" w:name="_Toc351203490"/>
      <w:r>
        <w:rPr>
          <w:rFonts w:ascii="黑体" w:eastAsia="黑体"/>
          <w:b/>
        </w:rPr>
        <w:t>十、签订地点</w:t>
      </w:r>
      <w:bookmarkEnd w:id="1344"/>
    </w:p>
    <w:p w14:paraId="553928EA">
      <w:pPr>
        <w:spacing w:line="380" w:lineRule="exact"/>
        <w:ind w:firstLine="420" w:firstLineChars="200"/>
      </w:pPr>
      <w:r>
        <w:t>本合同在</w:t>
      </w:r>
      <w:r>
        <w:rPr>
          <w:u w:val="single"/>
        </w:rPr>
        <w:t xml:space="preserve">                                    </w:t>
      </w:r>
      <w:r>
        <w:t>签订。</w:t>
      </w:r>
    </w:p>
    <w:p w14:paraId="6EEEA383">
      <w:pPr>
        <w:spacing w:line="480" w:lineRule="auto"/>
      </w:pPr>
      <w:bookmarkStart w:id="1345" w:name="_Toc351203491"/>
      <w:r>
        <w:rPr>
          <w:rFonts w:ascii="黑体" w:eastAsia="黑体"/>
          <w:b/>
        </w:rPr>
        <w:t>十一、补充协议</w:t>
      </w:r>
      <w:bookmarkEnd w:id="1345"/>
    </w:p>
    <w:p w14:paraId="214295DB">
      <w:pPr>
        <w:spacing w:line="380" w:lineRule="exact"/>
        <w:ind w:firstLine="420" w:firstLineChars="200"/>
      </w:pPr>
      <w:r>
        <w:t>合同未尽事宜，合同当事人另行签订补充协议</w:t>
      </w:r>
      <w:r>
        <w:rPr>
          <w:rFonts w:hint="eastAsia"/>
        </w:rPr>
        <w:t>，</w:t>
      </w:r>
      <w:r>
        <w:t>补充协议是合同的组成部分。</w:t>
      </w:r>
    </w:p>
    <w:p w14:paraId="30195925">
      <w:pPr>
        <w:spacing w:line="480" w:lineRule="auto"/>
      </w:pPr>
      <w:bookmarkStart w:id="1346" w:name="_Toc351203492"/>
      <w:r>
        <w:rPr>
          <w:rFonts w:ascii="黑体" w:eastAsia="黑体"/>
          <w:b/>
        </w:rPr>
        <w:t>十二、合同生效</w:t>
      </w:r>
      <w:bookmarkEnd w:id="1346"/>
    </w:p>
    <w:p w14:paraId="5C612A55">
      <w:pPr>
        <w:spacing w:line="380" w:lineRule="exact"/>
        <w:ind w:firstLine="420" w:firstLineChars="200"/>
      </w:pPr>
      <w:r>
        <w:t>本合同自</w:t>
      </w:r>
      <w:r>
        <w:rPr>
          <w:u w:val="single"/>
        </w:rPr>
        <w:t xml:space="preserve">                                   </w:t>
      </w:r>
      <w:r>
        <w:t>生效。</w:t>
      </w:r>
    </w:p>
    <w:p w14:paraId="2D1694C8">
      <w:pPr>
        <w:spacing w:line="480" w:lineRule="auto"/>
      </w:pPr>
      <w:bookmarkStart w:id="1347" w:name="_Toc351203493"/>
      <w:r>
        <w:rPr>
          <w:rFonts w:ascii="黑体" w:eastAsia="黑体"/>
          <w:b/>
        </w:rPr>
        <w:t>十三、合同份数</w:t>
      </w:r>
      <w:bookmarkEnd w:id="1347"/>
    </w:p>
    <w:p w14:paraId="4A4689C0">
      <w:pPr>
        <w:spacing w:line="380" w:lineRule="exact"/>
        <w:ind w:firstLine="420" w:firstLineChars="200"/>
      </w:pPr>
      <w:r>
        <w:t>本合同一式</w:t>
      </w:r>
      <w:r>
        <w:rPr>
          <w:u w:val="single"/>
        </w:rPr>
        <w:t xml:space="preserve">  </w:t>
      </w:r>
      <w:r>
        <w:rPr>
          <w:rFonts w:hint="eastAsia"/>
          <w:u w:val="single"/>
        </w:rPr>
        <w:t xml:space="preserve"> </w:t>
      </w:r>
      <w:r>
        <w:rPr>
          <w:u w:val="single"/>
        </w:rPr>
        <w:t xml:space="preserve"> </w:t>
      </w:r>
      <w:r>
        <w:t>份，均具有同等法律效力，发包人执</w:t>
      </w:r>
      <w:r>
        <w:rPr>
          <w:u w:val="single"/>
        </w:rPr>
        <w:t xml:space="preserve">  </w:t>
      </w:r>
      <w:r>
        <w:rPr>
          <w:rFonts w:hint="eastAsia"/>
          <w:u w:val="single"/>
        </w:rPr>
        <w:t xml:space="preserve"> </w:t>
      </w:r>
      <w:r>
        <w:rPr>
          <w:u w:val="single"/>
        </w:rPr>
        <w:t xml:space="preserve"> </w:t>
      </w:r>
      <w:r>
        <w:t>份，承包人执</w:t>
      </w:r>
      <w:r>
        <w:rPr>
          <w:u w:val="single"/>
        </w:rPr>
        <w:t xml:space="preserve">  </w:t>
      </w:r>
      <w:r>
        <w:rPr>
          <w:rFonts w:hint="eastAsia"/>
          <w:u w:val="single"/>
        </w:rPr>
        <w:t xml:space="preserve"> </w:t>
      </w:r>
      <w:r>
        <w:rPr>
          <w:u w:val="single"/>
        </w:rPr>
        <w:t xml:space="preserve"> </w:t>
      </w:r>
      <w:r>
        <w:t>份。</w:t>
      </w:r>
    </w:p>
    <w:p w14:paraId="65101C1E">
      <w:pPr>
        <w:spacing w:line="380" w:lineRule="exact"/>
        <w:rPr>
          <w:rFonts w:hint="eastAsia"/>
        </w:rPr>
      </w:pPr>
    </w:p>
    <w:p w14:paraId="741D9A2B">
      <w:pPr>
        <w:spacing w:line="380" w:lineRule="exact"/>
        <w:rPr>
          <w:rFonts w:hint="eastAsia"/>
        </w:rPr>
      </w:pPr>
    </w:p>
    <w:p w14:paraId="3E52848F">
      <w:pPr>
        <w:spacing w:line="380" w:lineRule="exact"/>
        <w:rPr>
          <w:rFonts w:hint="eastAsia"/>
        </w:rPr>
      </w:pPr>
    </w:p>
    <w:p w14:paraId="215796D7">
      <w:pPr>
        <w:spacing w:line="380" w:lineRule="exact"/>
        <w:rPr>
          <w:rFonts w:hint="eastAsia"/>
        </w:rPr>
      </w:pPr>
    </w:p>
    <w:p w14:paraId="79008F48">
      <w:pPr>
        <w:spacing w:line="380" w:lineRule="exact"/>
        <w:rPr>
          <w:rFonts w:hint="eastAsia"/>
        </w:rPr>
      </w:pPr>
    </w:p>
    <w:p w14:paraId="7EE0EE08">
      <w:pPr>
        <w:spacing w:line="380" w:lineRule="exact"/>
        <w:rPr>
          <w:rFonts w:hint="eastAsia"/>
        </w:rPr>
      </w:pPr>
    </w:p>
    <w:p w14:paraId="17124004">
      <w:pPr>
        <w:spacing w:line="380" w:lineRule="exact"/>
        <w:rPr>
          <w:rFonts w:hint="eastAsia"/>
        </w:rPr>
      </w:pPr>
    </w:p>
    <w:p w14:paraId="035CCDBC">
      <w:pPr>
        <w:spacing w:line="380" w:lineRule="exact"/>
        <w:rPr>
          <w:rFonts w:hint="eastAsia"/>
        </w:rPr>
      </w:pPr>
    </w:p>
    <w:p w14:paraId="07804131">
      <w:pPr>
        <w:spacing w:line="380" w:lineRule="exact"/>
        <w:ind w:firstLine="420" w:firstLineChars="200"/>
        <w:rPr>
          <w:rFonts w:hint="eastAsia"/>
        </w:rPr>
      </w:pPr>
      <w:r>
        <w:t>发包人</w:t>
      </w:r>
      <w:r>
        <w:rPr>
          <w:rFonts w:hint="eastAsia"/>
        </w:rPr>
        <w:t xml:space="preserve">：  </w:t>
      </w:r>
      <w:r>
        <w:t>(公章)</w:t>
      </w:r>
      <w:r>
        <w:rPr>
          <w:rFonts w:hint="eastAsia"/>
        </w:rPr>
        <w:t xml:space="preserve">                         </w:t>
      </w:r>
      <w:r>
        <w:t>承包人</w:t>
      </w:r>
      <w:r>
        <w:rPr>
          <w:rFonts w:hint="eastAsia"/>
        </w:rPr>
        <w:t xml:space="preserve">：  </w:t>
      </w:r>
      <w:r>
        <w:t>(公章)</w:t>
      </w:r>
    </w:p>
    <w:p w14:paraId="31FC8FD2">
      <w:pPr>
        <w:spacing w:line="380" w:lineRule="exact"/>
        <w:rPr>
          <w:rFonts w:hint="eastAsia"/>
        </w:rPr>
      </w:pPr>
      <w:r>
        <w:rPr>
          <w:rFonts w:hint="eastAsia"/>
        </w:rPr>
        <w:t xml:space="preserve">                                 </w:t>
      </w:r>
    </w:p>
    <w:p w14:paraId="3C1D49DC">
      <w:pPr>
        <w:spacing w:line="380" w:lineRule="exact"/>
        <w:ind w:firstLine="420" w:firstLineChars="200"/>
        <w:rPr>
          <w:rFonts w:hint="eastAsia"/>
        </w:rPr>
      </w:pPr>
      <w:r>
        <w:rPr>
          <w:rFonts w:hint="eastAsia"/>
        </w:rPr>
        <w:t>法定代表人或其委托代理人：              法定代表人或其委托代理人：</w:t>
      </w:r>
    </w:p>
    <w:p w14:paraId="440DAA29">
      <w:pPr>
        <w:spacing w:line="380" w:lineRule="exact"/>
        <w:ind w:firstLine="420" w:firstLineChars="200"/>
        <w:rPr>
          <w:rFonts w:hint="eastAsia"/>
        </w:rPr>
      </w:pPr>
      <w:r>
        <w:rPr>
          <w:rFonts w:hint="eastAsia"/>
        </w:rPr>
        <w:t>（签字）                                （签字）</w:t>
      </w:r>
    </w:p>
    <w:p w14:paraId="5AF77E18">
      <w:pPr>
        <w:spacing w:line="380" w:lineRule="exact"/>
        <w:rPr>
          <w:rFonts w:hint="eastAsia"/>
        </w:rPr>
      </w:pPr>
    </w:p>
    <w:p w14:paraId="52B73AFE">
      <w:pPr>
        <w:spacing w:line="380" w:lineRule="exact"/>
        <w:ind w:firstLine="420" w:firstLineChars="200"/>
      </w:pPr>
      <w:r>
        <w:rPr>
          <w:rFonts w:hint="eastAsia"/>
        </w:rPr>
        <w:t>组织机构代码：</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 xml:space="preserve">            </w:t>
      </w:r>
      <w:r>
        <w:rPr>
          <w:rFonts w:hint="eastAsia"/>
        </w:rPr>
        <w:t>组织机构代码：</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14:paraId="7EBADA37">
      <w:pPr>
        <w:spacing w:line="380" w:lineRule="exact"/>
        <w:ind w:firstLine="420" w:firstLineChars="200"/>
      </w:pPr>
      <w:r>
        <w:t>地  址：</w:t>
      </w:r>
      <w:r>
        <w:rPr>
          <w:u w:val="single"/>
        </w:rPr>
        <w:t xml:space="preserve">                  </w:t>
      </w:r>
      <w:r>
        <w:rPr>
          <w:rFonts w:hint="eastAsia"/>
          <w:u w:val="single"/>
        </w:rPr>
        <w:t xml:space="preserve">  </w:t>
      </w:r>
      <w:r>
        <w:rPr>
          <w:rFonts w:hint="eastAsia"/>
        </w:rPr>
        <w:t xml:space="preserve">           </w:t>
      </w:r>
      <w:r>
        <w:t xml:space="preserve"> 地  址：</w:t>
      </w:r>
      <w:r>
        <w:rPr>
          <w:u w:val="single"/>
        </w:rPr>
        <w:t xml:space="preserve">                </w:t>
      </w:r>
      <w:r>
        <w:rPr>
          <w:rFonts w:hint="eastAsia"/>
          <w:u w:val="single"/>
        </w:rPr>
        <w:t xml:space="preserve"> </w:t>
      </w:r>
      <w:r>
        <w:rPr>
          <w:u w:val="single"/>
        </w:rPr>
        <w:t xml:space="preserve">    </w:t>
      </w:r>
    </w:p>
    <w:p w14:paraId="6B367FBB">
      <w:pPr>
        <w:spacing w:line="380" w:lineRule="exact"/>
        <w:ind w:firstLine="420" w:firstLineChars="200"/>
      </w:pPr>
      <w:r>
        <w:t>邮政编码：</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 xml:space="preserve">  邮政编码：</w:t>
      </w:r>
      <w:r>
        <w:rPr>
          <w:u w:val="single"/>
        </w:rPr>
        <w:t xml:space="preserve">                   </w:t>
      </w:r>
    </w:p>
    <w:p w14:paraId="573B3391">
      <w:pPr>
        <w:spacing w:line="380" w:lineRule="exact"/>
        <w:ind w:firstLine="420" w:firstLineChars="200"/>
      </w:pPr>
      <w:r>
        <w:t>法定代表人：</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 xml:space="preserve"> 法定代表人：</w:t>
      </w:r>
      <w:r>
        <w:rPr>
          <w:u w:val="single"/>
        </w:rPr>
        <w:t xml:space="preserve">          </w:t>
      </w:r>
      <w:r>
        <w:rPr>
          <w:rFonts w:hint="eastAsia"/>
          <w:u w:val="single"/>
        </w:rPr>
        <w:t xml:space="preserve">      </w:t>
      </w:r>
      <w:r>
        <w:rPr>
          <w:u w:val="single"/>
        </w:rPr>
        <w:t xml:space="preserve"> </w:t>
      </w:r>
    </w:p>
    <w:p w14:paraId="1AC89ACB">
      <w:pPr>
        <w:spacing w:line="380" w:lineRule="exact"/>
        <w:ind w:firstLine="420" w:firstLineChars="200"/>
      </w:pPr>
      <w:r>
        <w:t>委托代理人：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 xml:space="preserve"> </w:t>
      </w:r>
      <w:r>
        <w:rPr>
          <w:rFonts w:hint="eastAsia"/>
        </w:rPr>
        <w:t xml:space="preserve"> </w:t>
      </w:r>
      <w:r>
        <w:t>委托代理人：</w:t>
      </w:r>
      <w:r>
        <w:rPr>
          <w:u w:val="single"/>
        </w:rPr>
        <w:t xml:space="preserve">      </w:t>
      </w:r>
      <w:r>
        <w:rPr>
          <w:rFonts w:hint="eastAsia"/>
          <w:u w:val="single"/>
        </w:rPr>
        <w:t xml:space="preserve">       </w:t>
      </w:r>
      <w:r>
        <w:rPr>
          <w:u w:val="single"/>
        </w:rPr>
        <w:t xml:space="preserve">    </w:t>
      </w:r>
    </w:p>
    <w:p w14:paraId="57AE2CB0">
      <w:pPr>
        <w:spacing w:line="380" w:lineRule="exact"/>
        <w:ind w:firstLine="420" w:firstLineChars="200"/>
      </w:pPr>
      <w:r>
        <w:t>电  话：</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 xml:space="preserve"> 电  话：</w:t>
      </w:r>
      <w:r>
        <w:rPr>
          <w:u w:val="single"/>
        </w:rPr>
        <w:t xml:space="preserve">                </w:t>
      </w:r>
      <w:r>
        <w:rPr>
          <w:rFonts w:hint="eastAsia"/>
          <w:u w:val="single"/>
        </w:rPr>
        <w:t xml:space="preserve">  </w:t>
      </w:r>
      <w:r>
        <w:rPr>
          <w:u w:val="single"/>
        </w:rPr>
        <w:t xml:space="preserve">   </w:t>
      </w:r>
    </w:p>
    <w:p w14:paraId="3895114C">
      <w:pPr>
        <w:spacing w:line="380" w:lineRule="exact"/>
        <w:ind w:firstLine="420" w:firstLineChars="200"/>
      </w:pPr>
      <w:r>
        <w:t>传  真：</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t xml:space="preserve">          </w:t>
      </w:r>
      <w:r>
        <w:t xml:space="preserve"> </w:t>
      </w:r>
      <w:r>
        <w:rPr>
          <w:rFonts w:hint="eastAsia"/>
        </w:rPr>
        <w:t xml:space="preserve"> </w:t>
      </w:r>
      <w:r>
        <w:t>传  真：</w:t>
      </w:r>
      <w:r>
        <w:rPr>
          <w:u w:val="single"/>
        </w:rPr>
        <w:t xml:space="preserve">                     </w:t>
      </w:r>
    </w:p>
    <w:p w14:paraId="631B7117">
      <w:pPr>
        <w:spacing w:line="380" w:lineRule="exact"/>
        <w:ind w:firstLine="420" w:firstLineChars="200"/>
      </w:pPr>
      <w:r>
        <w:t>电子信箱：</w:t>
      </w:r>
      <w:r>
        <w:rPr>
          <w:u w:val="single"/>
        </w:rPr>
        <w:t xml:space="preserve">                 </w:t>
      </w:r>
      <w:r>
        <w:rPr>
          <w:rFonts w:hint="eastAsia"/>
          <w:u w:val="single"/>
        </w:rPr>
        <w:t xml:space="preserve"> </w:t>
      </w:r>
      <w:r>
        <w:rPr>
          <w:rFonts w:hint="eastAsia"/>
        </w:rPr>
        <w:t xml:space="preserve">          </w:t>
      </w:r>
      <w:r>
        <w:t xml:space="preserve">  电子信箱：</w:t>
      </w:r>
      <w:r>
        <w:rPr>
          <w:u w:val="single"/>
        </w:rPr>
        <w:t xml:space="preserve">                   </w:t>
      </w:r>
    </w:p>
    <w:p w14:paraId="185ACBC3">
      <w:pPr>
        <w:spacing w:line="380" w:lineRule="exact"/>
        <w:ind w:firstLine="420" w:firstLineChars="200"/>
      </w:pPr>
      <w:r>
        <w:t>开户银行：</w:t>
      </w:r>
      <w:r>
        <w:rPr>
          <w:u w:val="single"/>
        </w:rPr>
        <w:t xml:space="preserve">                 </w:t>
      </w:r>
      <w:r>
        <w:rPr>
          <w:rFonts w:hint="eastAsia"/>
          <w:u w:val="single"/>
        </w:rPr>
        <w:t xml:space="preserve"> </w:t>
      </w:r>
      <w:r>
        <w:rPr>
          <w:rFonts w:hint="eastAsia"/>
        </w:rPr>
        <w:t xml:space="preserve">           </w:t>
      </w:r>
      <w:r>
        <w:t xml:space="preserve"> 开户银行：</w:t>
      </w:r>
      <w:r>
        <w:rPr>
          <w:u w:val="single"/>
        </w:rPr>
        <w:t xml:space="preserve">                   </w:t>
      </w:r>
    </w:p>
    <w:p w14:paraId="5FAB181B">
      <w:pPr>
        <w:spacing w:line="380" w:lineRule="exact"/>
        <w:ind w:firstLine="420" w:firstLineChars="200"/>
        <w:rPr>
          <w:rFonts w:hint="eastAsia"/>
          <w:u w:val="single"/>
        </w:rPr>
      </w:pPr>
      <w:r>
        <w:t>账  号：</w:t>
      </w:r>
      <w:r>
        <w:rPr>
          <w:u w:val="single"/>
        </w:rPr>
        <w:t xml:space="preserve">                 </w:t>
      </w:r>
      <w:r>
        <w:rPr>
          <w:rFonts w:hint="eastAsia"/>
          <w:u w:val="single"/>
        </w:rPr>
        <w:t xml:space="preserve">   </w:t>
      </w:r>
      <w:r>
        <w:rPr>
          <w:rFonts w:hint="eastAsia"/>
        </w:rPr>
        <w:t xml:space="preserve">          </w:t>
      </w:r>
      <w:r>
        <w:t xml:space="preserve"> </w:t>
      </w:r>
      <w:r>
        <w:rPr>
          <w:rFonts w:hint="eastAsia"/>
        </w:rPr>
        <w:t xml:space="preserve"> </w:t>
      </w:r>
      <w:r>
        <w:t>账</w:t>
      </w:r>
      <w:r>
        <w:rPr>
          <w:rFonts w:hint="eastAsia"/>
        </w:rPr>
        <w:t xml:space="preserve"> </w:t>
      </w:r>
      <w:r>
        <w:t xml:space="preserve"> 号：</w:t>
      </w:r>
      <w:r>
        <w:rPr>
          <w:u w:val="single"/>
        </w:rPr>
        <w:t xml:space="preserve">                </w:t>
      </w:r>
      <w:r>
        <w:rPr>
          <w:rFonts w:hint="eastAsia"/>
          <w:u w:val="single"/>
        </w:rPr>
        <w:t xml:space="preserve">  </w:t>
      </w:r>
      <w:r>
        <w:rPr>
          <w:u w:val="single"/>
        </w:rPr>
        <w:t xml:space="preserve">  </w:t>
      </w:r>
      <w:r>
        <w:rPr>
          <w:rFonts w:hint="eastAsia"/>
          <w:u w:val="single"/>
        </w:rPr>
        <w:t xml:space="preserve"> </w:t>
      </w:r>
    </w:p>
    <w:p w14:paraId="76F0DD1C">
      <w:pPr>
        <w:spacing w:line="380" w:lineRule="exact"/>
        <w:ind w:firstLine="420" w:firstLineChars="200"/>
        <w:rPr>
          <w:rFonts w:hint="eastAsia"/>
          <w:u w:val="single"/>
        </w:rPr>
      </w:pPr>
    </w:p>
    <w:p w14:paraId="022D719C">
      <w:pPr>
        <w:spacing w:line="380" w:lineRule="exact"/>
        <w:ind w:firstLine="420" w:firstLineChars="200"/>
        <w:rPr>
          <w:rFonts w:hint="eastAsia"/>
          <w:u w:val="single"/>
        </w:rPr>
      </w:pPr>
    </w:p>
    <w:p w14:paraId="2C73899C">
      <w:pPr>
        <w:spacing w:line="380" w:lineRule="exact"/>
        <w:ind w:firstLine="420" w:firstLineChars="200"/>
        <w:rPr>
          <w:rFonts w:hint="eastAsia"/>
          <w:u w:val="single"/>
        </w:rPr>
      </w:pPr>
    </w:p>
    <w:p w14:paraId="413D014A">
      <w:pPr>
        <w:spacing w:line="380" w:lineRule="exact"/>
        <w:ind w:firstLine="420" w:firstLineChars="200"/>
        <w:rPr>
          <w:rFonts w:hint="eastAsia"/>
          <w:u w:val="single"/>
        </w:rPr>
      </w:pPr>
    </w:p>
    <w:p w14:paraId="0E25FA31">
      <w:pPr>
        <w:spacing w:line="380" w:lineRule="exact"/>
        <w:ind w:firstLine="420" w:firstLineChars="200"/>
        <w:rPr>
          <w:rFonts w:hint="eastAsia"/>
          <w:u w:val="single"/>
        </w:rPr>
      </w:pPr>
    </w:p>
    <w:p w14:paraId="4F163306">
      <w:pPr>
        <w:spacing w:line="380" w:lineRule="exact"/>
        <w:ind w:firstLine="420" w:firstLineChars="200"/>
        <w:rPr>
          <w:rFonts w:hint="eastAsia"/>
        </w:rPr>
      </w:pPr>
    </w:p>
    <w:p w14:paraId="1859715B">
      <w:pPr>
        <w:spacing w:line="380" w:lineRule="exact"/>
        <w:ind w:firstLine="420" w:firstLineChars="200"/>
        <w:rPr>
          <w:rFonts w:hint="eastAsia"/>
        </w:rPr>
      </w:pPr>
    </w:p>
    <w:p w14:paraId="337653FE">
      <w:pPr>
        <w:spacing w:line="380" w:lineRule="exact"/>
        <w:ind w:firstLine="420" w:firstLineChars="200"/>
        <w:rPr>
          <w:rFonts w:hint="eastAsia"/>
        </w:rPr>
      </w:pPr>
    </w:p>
    <w:p w14:paraId="2023953F">
      <w:pPr>
        <w:spacing w:line="380" w:lineRule="exact"/>
        <w:ind w:firstLine="420" w:firstLineChars="200"/>
        <w:rPr>
          <w:rFonts w:hint="eastAsia"/>
        </w:rPr>
      </w:pPr>
    </w:p>
    <w:p w14:paraId="5F8B77E4">
      <w:pPr>
        <w:spacing w:line="380" w:lineRule="exact"/>
        <w:ind w:firstLine="420" w:firstLineChars="200"/>
        <w:rPr>
          <w:rFonts w:hint="eastAsia"/>
        </w:rPr>
      </w:pPr>
    </w:p>
    <w:p w14:paraId="77ED6FB7">
      <w:pPr>
        <w:spacing w:line="380" w:lineRule="exact"/>
        <w:ind w:firstLine="420" w:firstLineChars="200"/>
        <w:rPr>
          <w:rFonts w:hint="eastAsia"/>
        </w:rPr>
      </w:pPr>
    </w:p>
    <w:p w14:paraId="3C951830">
      <w:pPr>
        <w:spacing w:line="380" w:lineRule="exact"/>
        <w:ind w:firstLine="420" w:firstLineChars="200"/>
        <w:rPr>
          <w:rFonts w:hint="eastAsia"/>
        </w:rPr>
      </w:pPr>
    </w:p>
    <w:p w14:paraId="70150307">
      <w:pPr>
        <w:spacing w:line="380" w:lineRule="exact"/>
        <w:ind w:firstLine="420" w:firstLineChars="200"/>
        <w:rPr>
          <w:rFonts w:hint="eastAsia"/>
        </w:rPr>
      </w:pPr>
    </w:p>
    <w:p w14:paraId="54EDC3CC">
      <w:pPr>
        <w:spacing w:line="380" w:lineRule="exact"/>
        <w:ind w:firstLine="420" w:firstLineChars="200"/>
        <w:rPr>
          <w:rFonts w:hint="eastAsia"/>
        </w:rPr>
      </w:pPr>
    </w:p>
    <w:p w14:paraId="2EBC4A1A">
      <w:pPr>
        <w:pStyle w:val="18"/>
        <w:jc w:val="center"/>
        <w:rPr>
          <w:rFonts w:hint="eastAsia"/>
        </w:rPr>
      </w:pPr>
      <w:bookmarkStart w:id="1348" w:name="_Toc351203494"/>
      <w:bookmarkStart w:id="1349" w:name="_Toc108513940"/>
      <w:r>
        <w:t>第二部分 通用合同条款</w:t>
      </w:r>
      <w:bookmarkEnd w:id="1348"/>
      <w:bookmarkEnd w:id="1349"/>
      <w:bookmarkStart w:id="1350" w:name="_Toc337558727"/>
    </w:p>
    <w:p w14:paraId="2FB97E15">
      <w:pPr>
        <w:autoSpaceDE w:val="0"/>
        <w:autoSpaceDN w:val="0"/>
        <w:adjustRightInd w:val="0"/>
        <w:spacing w:line="360" w:lineRule="auto"/>
        <w:jc w:val="left"/>
        <w:rPr>
          <w:rFonts w:hint="eastAsia" w:eastAsia="仿宋_GB2312"/>
          <w:kern w:val="0"/>
          <w:sz w:val="30"/>
          <w:szCs w:val="32"/>
        </w:rPr>
      </w:pPr>
    </w:p>
    <w:p w14:paraId="56DBC802">
      <w:pPr>
        <w:autoSpaceDE w:val="0"/>
        <w:autoSpaceDN w:val="0"/>
        <w:adjustRightInd w:val="0"/>
        <w:spacing w:line="360" w:lineRule="auto"/>
        <w:jc w:val="left"/>
        <w:rPr>
          <w:rFonts w:hint="eastAsia" w:eastAsia="仿宋_GB2312"/>
          <w:kern w:val="0"/>
          <w:sz w:val="30"/>
          <w:szCs w:val="32"/>
        </w:rPr>
      </w:pPr>
    </w:p>
    <w:p w14:paraId="01F38734">
      <w:pPr>
        <w:autoSpaceDE w:val="0"/>
        <w:autoSpaceDN w:val="0"/>
        <w:adjustRightInd w:val="0"/>
        <w:spacing w:line="360" w:lineRule="auto"/>
        <w:jc w:val="left"/>
        <w:rPr>
          <w:rFonts w:hint="eastAsia" w:eastAsia="仿宋_GB2312"/>
          <w:kern w:val="0"/>
          <w:sz w:val="30"/>
          <w:szCs w:val="32"/>
        </w:rPr>
      </w:pPr>
    </w:p>
    <w:p w14:paraId="4F4270D8">
      <w:pPr>
        <w:autoSpaceDE w:val="0"/>
        <w:autoSpaceDN w:val="0"/>
        <w:adjustRightInd w:val="0"/>
        <w:spacing w:line="360" w:lineRule="auto"/>
        <w:jc w:val="left"/>
        <w:rPr>
          <w:rFonts w:hint="eastAsia" w:eastAsia="仿宋_GB2312"/>
          <w:kern w:val="0"/>
          <w:sz w:val="30"/>
          <w:szCs w:val="32"/>
        </w:rPr>
      </w:pPr>
    </w:p>
    <w:p w14:paraId="7C4BD2C6">
      <w:pPr>
        <w:autoSpaceDE w:val="0"/>
        <w:autoSpaceDN w:val="0"/>
        <w:adjustRightInd w:val="0"/>
        <w:spacing w:line="360" w:lineRule="auto"/>
        <w:jc w:val="left"/>
        <w:rPr>
          <w:rFonts w:hint="eastAsia" w:eastAsia="仿宋_GB2312"/>
          <w:kern w:val="0"/>
          <w:sz w:val="30"/>
          <w:szCs w:val="32"/>
        </w:rPr>
      </w:pPr>
    </w:p>
    <w:p w14:paraId="792AA011">
      <w:pPr>
        <w:autoSpaceDE w:val="0"/>
        <w:autoSpaceDN w:val="0"/>
        <w:adjustRightInd w:val="0"/>
        <w:spacing w:line="360" w:lineRule="auto"/>
        <w:jc w:val="left"/>
        <w:rPr>
          <w:rFonts w:hint="eastAsia" w:eastAsia="仿宋_GB2312"/>
          <w:kern w:val="0"/>
          <w:sz w:val="30"/>
          <w:szCs w:val="32"/>
        </w:rPr>
      </w:pPr>
    </w:p>
    <w:p w14:paraId="4AD8BF7C">
      <w:pPr>
        <w:autoSpaceDE w:val="0"/>
        <w:autoSpaceDN w:val="0"/>
        <w:adjustRightInd w:val="0"/>
        <w:spacing w:line="360" w:lineRule="auto"/>
        <w:jc w:val="left"/>
        <w:rPr>
          <w:rFonts w:hint="eastAsia" w:eastAsia="仿宋_GB2312"/>
          <w:kern w:val="0"/>
          <w:sz w:val="30"/>
          <w:szCs w:val="32"/>
        </w:rPr>
      </w:pPr>
    </w:p>
    <w:p w14:paraId="5C122FAB">
      <w:pPr>
        <w:autoSpaceDE w:val="0"/>
        <w:autoSpaceDN w:val="0"/>
        <w:adjustRightInd w:val="0"/>
        <w:spacing w:line="360" w:lineRule="auto"/>
        <w:jc w:val="left"/>
        <w:rPr>
          <w:rFonts w:hint="eastAsia" w:eastAsia="仿宋_GB2312"/>
          <w:kern w:val="0"/>
          <w:sz w:val="30"/>
          <w:szCs w:val="32"/>
        </w:rPr>
      </w:pPr>
    </w:p>
    <w:p w14:paraId="79E4D3A0">
      <w:pPr>
        <w:autoSpaceDE w:val="0"/>
        <w:autoSpaceDN w:val="0"/>
        <w:adjustRightInd w:val="0"/>
        <w:spacing w:line="360" w:lineRule="auto"/>
        <w:jc w:val="left"/>
        <w:rPr>
          <w:rFonts w:hint="eastAsia" w:eastAsia="仿宋_GB2312"/>
          <w:kern w:val="0"/>
          <w:sz w:val="30"/>
          <w:szCs w:val="32"/>
        </w:rPr>
      </w:pPr>
    </w:p>
    <w:p w14:paraId="11E829B3">
      <w:pPr>
        <w:autoSpaceDE w:val="0"/>
        <w:autoSpaceDN w:val="0"/>
        <w:adjustRightInd w:val="0"/>
        <w:spacing w:line="360" w:lineRule="auto"/>
        <w:jc w:val="left"/>
        <w:rPr>
          <w:rFonts w:hint="eastAsia" w:eastAsia="仿宋_GB2312"/>
          <w:kern w:val="0"/>
          <w:sz w:val="30"/>
          <w:szCs w:val="32"/>
        </w:rPr>
      </w:pPr>
    </w:p>
    <w:p w14:paraId="1F71D844">
      <w:pPr>
        <w:autoSpaceDE w:val="0"/>
        <w:autoSpaceDN w:val="0"/>
        <w:adjustRightInd w:val="0"/>
        <w:spacing w:line="360" w:lineRule="auto"/>
        <w:jc w:val="left"/>
        <w:rPr>
          <w:rFonts w:hint="eastAsia" w:eastAsia="仿宋_GB2312"/>
          <w:kern w:val="0"/>
          <w:sz w:val="30"/>
          <w:szCs w:val="32"/>
        </w:rPr>
      </w:pPr>
    </w:p>
    <w:p w14:paraId="466ACD9E">
      <w:pPr>
        <w:autoSpaceDE w:val="0"/>
        <w:autoSpaceDN w:val="0"/>
        <w:adjustRightInd w:val="0"/>
        <w:spacing w:line="360" w:lineRule="auto"/>
        <w:jc w:val="left"/>
        <w:rPr>
          <w:rFonts w:hint="eastAsia" w:eastAsia="仿宋_GB2312"/>
          <w:kern w:val="0"/>
          <w:sz w:val="30"/>
          <w:szCs w:val="32"/>
        </w:rPr>
      </w:pPr>
    </w:p>
    <w:p w14:paraId="656018F1">
      <w:pPr>
        <w:autoSpaceDE w:val="0"/>
        <w:autoSpaceDN w:val="0"/>
        <w:adjustRightInd w:val="0"/>
        <w:spacing w:line="360" w:lineRule="auto"/>
        <w:jc w:val="left"/>
        <w:rPr>
          <w:rFonts w:hint="eastAsia" w:eastAsia="仿宋_GB2312"/>
          <w:kern w:val="0"/>
          <w:sz w:val="30"/>
          <w:szCs w:val="32"/>
        </w:rPr>
      </w:pPr>
    </w:p>
    <w:p w14:paraId="58DF1253">
      <w:pPr>
        <w:autoSpaceDE w:val="0"/>
        <w:autoSpaceDN w:val="0"/>
        <w:adjustRightInd w:val="0"/>
        <w:spacing w:line="360" w:lineRule="auto"/>
        <w:jc w:val="left"/>
        <w:rPr>
          <w:rFonts w:hint="eastAsia" w:eastAsia="仿宋_GB2312"/>
          <w:kern w:val="0"/>
          <w:sz w:val="30"/>
          <w:szCs w:val="32"/>
        </w:rPr>
      </w:pPr>
    </w:p>
    <w:p w14:paraId="35E21E79">
      <w:pPr>
        <w:autoSpaceDE w:val="0"/>
        <w:autoSpaceDN w:val="0"/>
        <w:adjustRightInd w:val="0"/>
        <w:spacing w:line="360" w:lineRule="auto"/>
        <w:jc w:val="left"/>
        <w:rPr>
          <w:rFonts w:hint="eastAsia" w:eastAsia="仿宋_GB2312"/>
          <w:kern w:val="0"/>
          <w:sz w:val="30"/>
          <w:szCs w:val="32"/>
        </w:rPr>
      </w:pPr>
    </w:p>
    <w:p w14:paraId="14633CD9">
      <w:pPr>
        <w:autoSpaceDE w:val="0"/>
        <w:autoSpaceDN w:val="0"/>
        <w:adjustRightInd w:val="0"/>
        <w:spacing w:line="360" w:lineRule="auto"/>
        <w:jc w:val="left"/>
        <w:rPr>
          <w:rFonts w:hint="eastAsia" w:eastAsia="仿宋_GB2312"/>
          <w:kern w:val="0"/>
          <w:sz w:val="30"/>
          <w:szCs w:val="32"/>
        </w:rPr>
      </w:pPr>
    </w:p>
    <w:p w14:paraId="03089B1E">
      <w:pPr>
        <w:autoSpaceDE w:val="0"/>
        <w:autoSpaceDN w:val="0"/>
        <w:adjustRightInd w:val="0"/>
        <w:spacing w:line="360" w:lineRule="auto"/>
        <w:jc w:val="left"/>
        <w:rPr>
          <w:rFonts w:hint="eastAsia" w:eastAsia="仿宋_GB2312"/>
          <w:kern w:val="0"/>
          <w:sz w:val="30"/>
          <w:szCs w:val="32"/>
        </w:rPr>
      </w:pPr>
    </w:p>
    <w:p w14:paraId="64BC6267">
      <w:pPr>
        <w:spacing w:line="400" w:lineRule="exact"/>
        <w:jc w:val="center"/>
        <w:rPr>
          <w:rFonts w:hint="eastAsia" w:ascii="黑体" w:eastAsia="黑体"/>
          <w:sz w:val="28"/>
          <w:szCs w:val="28"/>
        </w:rPr>
      </w:pPr>
      <w:r>
        <w:rPr>
          <w:rFonts w:ascii="黑体" w:eastAsia="黑体"/>
          <w:sz w:val="28"/>
          <w:szCs w:val="28"/>
        </w:rPr>
        <w:t>通用合同条款</w:t>
      </w:r>
    </w:p>
    <w:p w14:paraId="156ECB13">
      <w:pPr>
        <w:spacing w:line="380" w:lineRule="exact"/>
        <w:rPr>
          <w:rFonts w:hint="eastAsia" w:ascii="华文中宋" w:hAnsi="华文中宋" w:eastAsia="华文中宋"/>
          <w:sz w:val="44"/>
          <w:szCs w:val="44"/>
        </w:rPr>
      </w:pPr>
    </w:p>
    <w:p w14:paraId="0A5F436F">
      <w:pPr>
        <w:pStyle w:val="18"/>
        <w:rPr>
          <w:b/>
        </w:rPr>
      </w:pPr>
      <w:bookmarkStart w:id="1351" w:name="_Toc108513941"/>
      <w:bookmarkStart w:id="1352" w:name="_Toc351203495"/>
      <w:r>
        <w:rPr>
          <w:b/>
        </w:rPr>
        <w:t>1.</w:t>
      </w:r>
      <w:bookmarkStart w:id="1353" w:name="_Toc303538973"/>
      <w:bookmarkEnd w:id="1353"/>
      <w:bookmarkStart w:id="1354" w:name="_Toc303538972"/>
      <w:bookmarkEnd w:id="1354"/>
      <w:bookmarkStart w:id="1355" w:name="_Toc303538975"/>
      <w:bookmarkEnd w:id="1355"/>
      <w:bookmarkStart w:id="1356" w:name="_Toc303538974"/>
      <w:bookmarkEnd w:id="1356"/>
      <w:bookmarkStart w:id="1357" w:name="_Toc303538976"/>
      <w:bookmarkEnd w:id="1357"/>
      <w:bookmarkStart w:id="1358" w:name="_Toc296346528"/>
      <w:bookmarkStart w:id="1359" w:name="_Toc296503027"/>
      <w:r>
        <w:rPr>
          <w:b/>
        </w:rPr>
        <w:t xml:space="preserve"> 一般约定</w:t>
      </w:r>
      <w:bookmarkEnd w:id="1350"/>
      <w:bookmarkEnd w:id="1351"/>
      <w:bookmarkEnd w:id="1352"/>
      <w:bookmarkEnd w:id="1358"/>
      <w:bookmarkEnd w:id="1359"/>
    </w:p>
    <w:p w14:paraId="65BA2295">
      <w:pPr>
        <w:pStyle w:val="20"/>
        <w:rPr>
          <w:b/>
        </w:rPr>
      </w:pPr>
      <w:bookmarkStart w:id="1360" w:name="_Toc296503028"/>
      <w:bookmarkStart w:id="1361" w:name="_Toc337558728"/>
      <w:bookmarkStart w:id="1362" w:name="_Toc296346529"/>
      <w:bookmarkStart w:id="1363" w:name="_Toc351203496"/>
      <w:bookmarkStart w:id="1364" w:name="_Toc108513942"/>
      <w:r>
        <w:rPr>
          <w:b/>
        </w:rPr>
        <w:t>1.1词语定义</w:t>
      </w:r>
      <w:bookmarkEnd w:id="1360"/>
      <w:bookmarkEnd w:id="1361"/>
      <w:bookmarkEnd w:id="1362"/>
      <w:r>
        <w:rPr>
          <w:b/>
        </w:rPr>
        <w:t>与解释</w:t>
      </w:r>
      <w:bookmarkEnd w:id="1363"/>
      <w:bookmarkEnd w:id="1364"/>
    </w:p>
    <w:p w14:paraId="6278CA43">
      <w:pPr>
        <w:spacing w:line="400" w:lineRule="exact"/>
        <w:ind w:firstLine="420" w:firstLineChars="200"/>
      </w:pPr>
      <w:r>
        <w:t>合同协议书、通用合同条款、专用合同条款中的下列词语具有本款所赋予的含义：</w:t>
      </w:r>
    </w:p>
    <w:p w14:paraId="5376881B">
      <w:pPr>
        <w:spacing w:line="400" w:lineRule="exact"/>
        <w:ind w:firstLine="420" w:firstLineChars="200"/>
      </w:pPr>
      <w:r>
        <w:t>1.1.1 合同</w:t>
      </w:r>
    </w:p>
    <w:p w14:paraId="151890AE">
      <w:pPr>
        <w:spacing w:line="400" w:lineRule="exact"/>
        <w:ind w:firstLine="420" w:firstLineChars="200"/>
      </w:pPr>
      <w: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1560E4E0">
      <w:pPr>
        <w:spacing w:line="400" w:lineRule="exact"/>
        <w:ind w:firstLine="420" w:firstLineChars="200"/>
      </w:pPr>
      <w:r>
        <w:t>1.1.1.2 合同协议书：是指构成合同的由发包人和承包人共同签署的称为“合同协议书”的书面文件</w:t>
      </w:r>
      <w:r>
        <w:rPr>
          <w:rFonts w:hint="eastAsia"/>
        </w:rPr>
        <w:t>。</w:t>
      </w:r>
    </w:p>
    <w:p w14:paraId="07CAD90A">
      <w:pPr>
        <w:spacing w:line="400" w:lineRule="exact"/>
        <w:ind w:firstLine="420" w:firstLineChars="200"/>
      </w:pPr>
      <w:r>
        <w:t>1.1.1.3 中标通知书：是指构成合同的</w:t>
      </w:r>
      <w:r>
        <w:rPr>
          <w:rFonts w:hint="eastAsia"/>
        </w:rPr>
        <w:t>由</w:t>
      </w:r>
      <w:r>
        <w:t>发包人通知承包人中标的书面文件。</w:t>
      </w:r>
    </w:p>
    <w:p w14:paraId="6B15EF0D">
      <w:pPr>
        <w:spacing w:line="400" w:lineRule="exact"/>
        <w:ind w:firstLine="420" w:firstLineChars="200"/>
      </w:pPr>
      <w:r>
        <w:t>1.1.1.4 投标函：是指构成合同的由承包人填写并签署的用于投标的称为“投标函”的文件。</w:t>
      </w:r>
    </w:p>
    <w:p w14:paraId="12AA270B">
      <w:pPr>
        <w:spacing w:line="400" w:lineRule="exact"/>
        <w:ind w:firstLine="420" w:firstLineChars="200"/>
      </w:pPr>
      <w:r>
        <w:t>1.1.1.5 投标函附录：是指构成合同的附在投标函后的称为“投标函附录”的文件。</w:t>
      </w:r>
    </w:p>
    <w:p w14:paraId="4CDEFA89">
      <w:pPr>
        <w:spacing w:line="400" w:lineRule="exact"/>
        <w:ind w:firstLine="420" w:firstLineChars="200"/>
      </w:pPr>
      <w:r>
        <w:t>1.1.1.6 技术标准和要求：是指构成合同的施工应当遵守的或指导施工的国家、行业或地方的技术标准和要求，以及合同约定的技术标准和要求。</w:t>
      </w:r>
    </w:p>
    <w:p w14:paraId="33CD8FCF">
      <w:pPr>
        <w:spacing w:line="400" w:lineRule="exact"/>
        <w:ind w:firstLine="420" w:firstLineChars="200"/>
        <w:rPr>
          <w:rFonts w:hint="eastAsia"/>
        </w:rPr>
      </w:pPr>
      <w:r>
        <w:t>1.1.1.7 图纸：是指构成合同的图纸，包括由发包人按照合同约定提供或经发包人批准的设计文件、</w:t>
      </w:r>
      <w:r>
        <w:rPr>
          <w:rFonts w:hint="eastAsia"/>
        </w:rPr>
        <w:t>施工图、</w:t>
      </w:r>
      <w:r>
        <w:t>鸟瞰图及模型等，</w:t>
      </w:r>
      <w:r>
        <w:rPr>
          <w:rFonts w:hint="eastAsia"/>
        </w:rPr>
        <w:t>以及在合同履行过程中形成的图纸文件。图纸</w:t>
      </w:r>
      <w:r>
        <w:t>应当按照法律规定审查合格。</w:t>
      </w:r>
    </w:p>
    <w:p w14:paraId="73248493">
      <w:pPr>
        <w:spacing w:line="400" w:lineRule="exact"/>
        <w:ind w:firstLine="420" w:firstLineChars="200"/>
      </w:pPr>
      <w:r>
        <w:t>1.1.1.8 已标价工程量清单：是指构成合同的由承包人按照规定的格式和要求填写并标明价格的工程量清单，包括说明和表格。</w:t>
      </w:r>
    </w:p>
    <w:p w14:paraId="1CB9D5AE">
      <w:pPr>
        <w:spacing w:line="400" w:lineRule="exact"/>
        <w:ind w:firstLine="420" w:firstLineChars="200"/>
      </w:pPr>
      <w:r>
        <w:t>1.1.1.9 预算书：是指构成合同的由承包人按照发包人规定的格式和要求编制的工程预算文件。</w:t>
      </w:r>
    </w:p>
    <w:p w14:paraId="29E4141C">
      <w:pPr>
        <w:spacing w:line="400" w:lineRule="exact"/>
        <w:ind w:firstLine="420" w:firstLineChars="200"/>
      </w:pPr>
      <w:r>
        <w:t>1.1.1.10 其他合同文件：是指经合同当事人约定的与工程施工有关的具有合同约束力的文件或书面协议。合同当事人可以在专用合同条款中进行约定。</w:t>
      </w:r>
    </w:p>
    <w:p w14:paraId="6A7935B8">
      <w:pPr>
        <w:spacing w:line="400" w:lineRule="exact"/>
        <w:ind w:firstLine="420" w:firstLineChars="200"/>
      </w:pPr>
      <w:r>
        <w:t>1.1.2 合同当事人及其他相关方</w:t>
      </w:r>
    </w:p>
    <w:p w14:paraId="29D664AD">
      <w:pPr>
        <w:spacing w:line="400" w:lineRule="exact"/>
        <w:ind w:firstLine="420" w:firstLineChars="200"/>
      </w:pPr>
      <w:r>
        <w:t>1.1.2.1 合同当事人：是指发包人和（或）承包人。</w:t>
      </w:r>
    </w:p>
    <w:p w14:paraId="66EF2797">
      <w:pPr>
        <w:spacing w:line="400" w:lineRule="exact"/>
        <w:ind w:firstLine="420" w:firstLineChars="200"/>
      </w:pPr>
      <w:r>
        <w:t>1.1.2.2 发包人：是指与承包人签订合同协议书的当事人及取得该当事人资格的合法继承人。</w:t>
      </w:r>
    </w:p>
    <w:p w14:paraId="2F8214C2">
      <w:pPr>
        <w:spacing w:line="400" w:lineRule="exact"/>
        <w:ind w:firstLine="420" w:firstLineChars="200"/>
      </w:pPr>
      <w:r>
        <w:t>1.1.2.3 承包人：是指与发包人签订合同协议书的，具有相应工程施工承包资质的当事人及取得该当事人资格的合法继承人。</w:t>
      </w:r>
    </w:p>
    <w:p w14:paraId="01B15DFC">
      <w:pPr>
        <w:spacing w:line="400" w:lineRule="exact"/>
        <w:ind w:firstLine="420" w:firstLineChars="200"/>
      </w:pPr>
      <w:r>
        <w:t>1.1.2.4 监理人：是指在专用合同条款中指明的，受发包人委托按照法律规定进行工程监督管理的法人或其他组织。</w:t>
      </w:r>
    </w:p>
    <w:p w14:paraId="0C0948E1">
      <w:pPr>
        <w:spacing w:line="400" w:lineRule="exact"/>
        <w:ind w:firstLine="420" w:firstLineChars="200"/>
      </w:pPr>
      <w:r>
        <w:t>1.1.2.5 设计人：是指在专用合同条款中指明的，受发包人委托负责工程设计并具备相应工程设计资质的法人或其他组织。</w:t>
      </w:r>
    </w:p>
    <w:p w14:paraId="50D59861">
      <w:pPr>
        <w:spacing w:line="400" w:lineRule="exact"/>
        <w:ind w:firstLine="420" w:firstLineChars="200"/>
      </w:pPr>
      <w:r>
        <w:t>1.1.2.6 分包人：</w:t>
      </w:r>
      <w:bookmarkStart w:id="1365" w:name="#go5"/>
      <w:bookmarkEnd w:id="1365"/>
      <w:r>
        <w:t>是指</w:t>
      </w:r>
      <w:r>
        <w:rPr>
          <w:rFonts w:hint="eastAsia"/>
        </w:rPr>
        <w:t>按照法律规定和</w:t>
      </w:r>
      <w:r>
        <w:t>合同约定，分包</w:t>
      </w:r>
      <w:r>
        <w:rPr>
          <w:rFonts w:hint="eastAsia"/>
        </w:rPr>
        <w:t>部分</w:t>
      </w:r>
      <w:r>
        <w:t>工程</w:t>
      </w:r>
      <w:r>
        <w:rPr>
          <w:rFonts w:hint="eastAsia"/>
        </w:rPr>
        <w:t>或工作</w:t>
      </w:r>
      <w:r>
        <w:t>，并与</w:t>
      </w:r>
      <w:r>
        <w:rPr>
          <w:rFonts w:hint="eastAsia"/>
        </w:rPr>
        <w:t>承包人</w:t>
      </w:r>
      <w:r>
        <w:t>签订分包合同的具有相应资质的法人。</w:t>
      </w:r>
    </w:p>
    <w:p w14:paraId="1AE5B194">
      <w:pPr>
        <w:spacing w:line="400" w:lineRule="exact"/>
        <w:ind w:firstLine="420" w:firstLineChars="200"/>
      </w:pPr>
      <w:r>
        <w:t>1.1.2.7 发包人代表：是指由发包人任命并派驻施工现场在发包人授权范围内行使发包人权利的人。</w:t>
      </w:r>
    </w:p>
    <w:p w14:paraId="56E9F4BF">
      <w:pPr>
        <w:spacing w:line="400" w:lineRule="exact"/>
        <w:ind w:firstLine="420" w:firstLineChars="200"/>
      </w:pPr>
      <w:r>
        <w:t>1.1.2.8 项目经理：是指由承包人任命并派驻施工现场，在承包人授权范围内负责合同履行，且按照法律规定具有相应资格的</w:t>
      </w:r>
      <w:r>
        <w:rPr>
          <w:rFonts w:hint="eastAsia"/>
        </w:rPr>
        <w:t>项目负责</w:t>
      </w:r>
      <w:r>
        <w:t>人。</w:t>
      </w:r>
    </w:p>
    <w:p w14:paraId="07B131A3">
      <w:pPr>
        <w:spacing w:line="400" w:lineRule="exact"/>
        <w:ind w:firstLine="420" w:firstLineChars="200"/>
      </w:pPr>
      <w:r>
        <w:t>1.1.2.9 总监理工程师：是指由监理人任命并派驻施工现场进行工程监理的总负责人。</w:t>
      </w:r>
    </w:p>
    <w:p w14:paraId="5908745A">
      <w:pPr>
        <w:spacing w:line="400" w:lineRule="exact"/>
        <w:ind w:firstLine="420" w:firstLineChars="200"/>
      </w:pPr>
      <w:r>
        <w:t>1.1.3 工程和设备</w:t>
      </w:r>
    </w:p>
    <w:p w14:paraId="2962D222">
      <w:pPr>
        <w:spacing w:line="400" w:lineRule="exact"/>
        <w:ind w:firstLine="420" w:firstLineChars="200"/>
      </w:pPr>
      <w:r>
        <w:t>1.1.3.1 工程：是指与合同协议书中工程承包范围对应的永久工程和（或）临时工程。</w:t>
      </w:r>
    </w:p>
    <w:p w14:paraId="6C2C1A47">
      <w:pPr>
        <w:spacing w:line="400" w:lineRule="exact"/>
        <w:ind w:firstLine="420" w:firstLineChars="200"/>
      </w:pPr>
      <w:r>
        <w:t>1.1.3.2 永久工程：是指按合同约定建造并移交给发包人的工程，包括工程设备。</w:t>
      </w:r>
    </w:p>
    <w:p w14:paraId="2BA1659C">
      <w:pPr>
        <w:spacing w:line="400" w:lineRule="exact"/>
        <w:ind w:firstLine="420" w:firstLineChars="200"/>
      </w:pPr>
      <w:r>
        <w:t>1.1.3.3 临时工程：是指为完成合同约定的永久工程所修建的各类临时性工程，不包括施工设备。</w:t>
      </w:r>
    </w:p>
    <w:p w14:paraId="24F47686">
      <w:pPr>
        <w:spacing w:line="400" w:lineRule="exact"/>
        <w:ind w:firstLine="420" w:firstLineChars="200"/>
      </w:pPr>
      <w:r>
        <w:t>1.1.3.4 单位工程：是指在</w:t>
      </w:r>
      <w:r>
        <w:rPr>
          <w:rFonts w:hint="eastAsia"/>
        </w:rPr>
        <w:t>合同协议书</w:t>
      </w:r>
      <w:r>
        <w:t>中指明的，具备独立施工条件并能形成独立使用功能的永久工程。</w:t>
      </w:r>
    </w:p>
    <w:p w14:paraId="10710225">
      <w:pPr>
        <w:spacing w:line="400" w:lineRule="exact"/>
        <w:ind w:firstLine="420" w:firstLineChars="200"/>
      </w:pPr>
      <w:r>
        <w:t>1.1.3.5 工程设备：是指构成永久工程的机电设备、金属结构设备、仪器及其他类似的设备和装置。</w:t>
      </w:r>
    </w:p>
    <w:p w14:paraId="7A94061B">
      <w:pPr>
        <w:spacing w:line="400" w:lineRule="exact"/>
        <w:ind w:firstLine="420" w:firstLineChars="200"/>
      </w:pPr>
      <w:r>
        <w:t>1.1.3.6 施工设备：是指为完成合同约定的各项工作所需的设备、器具和其他物品，但不包括工程设备、临时工程和材料。</w:t>
      </w:r>
    </w:p>
    <w:p w14:paraId="628AC1DE">
      <w:pPr>
        <w:spacing w:line="400" w:lineRule="exact"/>
        <w:ind w:firstLine="420" w:firstLineChars="200"/>
      </w:pPr>
      <w:r>
        <w:t>1.1.3.7 施工现场：是指用于工程施工的场所，以及在专用合同条款中</w:t>
      </w:r>
      <w:r>
        <w:rPr>
          <w:rFonts w:hint="eastAsia"/>
        </w:rPr>
        <w:t>指</w:t>
      </w:r>
      <w:r>
        <w:t>明作为施工场所组成部分的其他场所，包括永久占地和临时占地。</w:t>
      </w:r>
    </w:p>
    <w:p w14:paraId="6314CC5F">
      <w:pPr>
        <w:spacing w:line="400" w:lineRule="exact"/>
        <w:ind w:firstLine="420" w:firstLineChars="200"/>
      </w:pPr>
      <w:r>
        <w:t>1.1.3.8临时设施：是指为完成合同约定的各项工作所服务的临时性生产和生活设施。</w:t>
      </w:r>
    </w:p>
    <w:p w14:paraId="56EC20C8">
      <w:pPr>
        <w:spacing w:line="400" w:lineRule="exact"/>
        <w:ind w:firstLine="420" w:firstLineChars="200"/>
      </w:pPr>
      <w:r>
        <w:t>1.1.3.9 永久占地：是指专用合同条款中指明为实施工程需永久占用的土地。</w:t>
      </w:r>
    </w:p>
    <w:p w14:paraId="5948859E">
      <w:pPr>
        <w:spacing w:line="400" w:lineRule="exact"/>
        <w:ind w:firstLine="420" w:firstLineChars="200"/>
      </w:pPr>
      <w:r>
        <w:t>1.1.3.10 临时占地：是指专用合同条款中指明为实施工程需要临时占用的土地。</w:t>
      </w:r>
    </w:p>
    <w:p w14:paraId="5CBC170B">
      <w:pPr>
        <w:spacing w:line="400" w:lineRule="exact"/>
        <w:ind w:firstLine="420" w:firstLineChars="200"/>
      </w:pPr>
      <w:r>
        <w:t>1.1.4 日期和期限</w:t>
      </w:r>
    </w:p>
    <w:p w14:paraId="544F1061">
      <w:pPr>
        <w:spacing w:line="400" w:lineRule="exact"/>
        <w:ind w:firstLine="420" w:firstLineChars="200"/>
      </w:pPr>
      <w:r>
        <w:t>1.1.4.1 开工日期：包括计划开工日期和实际开工日期。计划开工日期是指合同协议书约定的开工日期；实际开工日期是指监理人按照第7.3.2项</w:t>
      </w:r>
      <w:r>
        <w:rPr>
          <w:rFonts w:hint="eastAsia"/>
        </w:rPr>
        <w:t>〔</w:t>
      </w:r>
      <w:r>
        <w:t>开工通知</w:t>
      </w:r>
      <w:r>
        <w:rPr>
          <w:rFonts w:hint="eastAsia"/>
        </w:rPr>
        <w:t>〕</w:t>
      </w:r>
      <w:r>
        <w:t>约定发出的符合法律规定的开工通知中载明的开工日期。</w:t>
      </w:r>
    </w:p>
    <w:p w14:paraId="22A756D1">
      <w:pPr>
        <w:spacing w:line="400" w:lineRule="exact"/>
        <w:ind w:firstLine="420" w:firstLineChars="200"/>
      </w:pPr>
      <w:r>
        <w:t>1.1.4.2 竣工日期：包括计划竣工日期和实际竣工日期。计划竣工日期是指合同协议书约定的竣工日期</w:t>
      </w:r>
      <w:r>
        <w:rPr>
          <w:rFonts w:hint="eastAsia"/>
        </w:rPr>
        <w:t>；</w:t>
      </w:r>
      <w:r>
        <w:t>实际竣工日期按照第13.2.3项</w:t>
      </w:r>
      <w:r>
        <w:rPr>
          <w:rFonts w:hint="eastAsia"/>
        </w:rPr>
        <w:t>〔</w:t>
      </w:r>
      <w:r>
        <w:t>竣工日期</w:t>
      </w:r>
      <w:r>
        <w:rPr>
          <w:rFonts w:hint="eastAsia"/>
        </w:rPr>
        <w:t>〕</w:t>
      </w:r>
      <w:r>
        <w:t xml:space="preserve">的约定确定。 </w:t>
      </w:r>
    </w:p>
    <w:p w14:paraId="701FF4DA">
      <w:pPr>
        <w:spacing w:line="400" w:lineRule="exact"/>
        <w:ind w:firstLine="420" w:firstLineChars="200"/>
      </w:pPr>
      <w:r>
        <w:t>1.1.4.3 工期：是指在合同协议书约定的承包人完成工程所需的期限，包括按照合同约定所作的</w:t>
      </w:r>
      <w:r>
        <w:rPr>
          <w:rFonts w:hint="eastAsia"/>
        </w:rPr>
        <w:t>期限</w:t>
      </w:r>
      <w:r>
        <w:t>变更。</w:t>
      </w:r>
    </w:p>
    <w:p w14:paraId="4D8DCC0F">
      <w:pPr>
        <w:spacing w:line="400" w:lineRule="exact"/>
        <w:ind w:firstLine="420" w:firstLineChars="200"/>
      </w:pPr>
      <w:r>
        <w:t>1.1.4.4 缺陷责任期：是指承包人按照合同约定承担缺陷修复义务，且发包人</w:t>
      </w:r>
      <w:r>
        <w:rPr>
          <w:rFonts w:hint="eastAsia"/>
        </w:rPr>
        <w:t>预</w:t>
      </w:r>
      <w:r>
        <w:t>留质量保证金</w:t>
      </w:r>
      <w:r>
        <w:rPr>
          <w:rFonts w:hint="eastAsia"/>
        </w:rPr>
        <w:t>（已</w:t>
      </w:r>
      <w:r>
        <w:t>缴纳履约保证金的除外</w:t>
      </w:r>
      <w:r>
        <w:rPr>
          <w:rFonts w:hint="eastAsia"/>
        </w:rPr>
        <w:t>）</w:t>
      </w:r>
      <w:r>
        <w:t>的期限，</w:t>
      </w:r>
      <w:r>
        <w:rPr>
          <w:rFonts w:hint="eastAsia"/>
        </w:rPr>
        <w:t>自</w:t>
      </w:r>
      <w:r>
        <w:t>工程</w:t>
      </w:r>
      <w:r>
        <w:rPr>
          <w:rFonts w:hint="eastAsia"/>
        </w:rPr>
        <w:t>实际竣工日期</w:t>
      </w:r>
      <w:r>
        <w:t>起计算。</w:t>
      </w:r>
    </w:p>
    <w:p w14:paraId="002C1302">
      <w:pPr>
        <w:spacing w:line="400" w:lineRule="exact"/>
        <w:ind w:firstLine="420" w:firstLineChars="200"/>
      </w:pPr>
      <w:r>
        <w:t>1.1.4.5 保修期：是指承包人按照合同约定对工程承担保修责任的期限，从工程竣工验收合格之日起计算。</w:t>
      </w:r>
    </w:p>
    <w:p w14:paraId="467CF822">
      <w:pPr>
        <w:spacing w:line="400" w:lineRule="exact"/>
        <w:ind w:firstLine="420" w:firstLineChars="200"/>
      </w:pPr>
      <w:r>
        <w:t>1.1.4.6 基准日期：招标发包的工程以投标截止日前28天的日期为基准日</w:t>
      </w:r>
      <w:r>
        <w:rPr>
          <w:rFonts w:hint="eastAsia"/>
        </w:rPr>
        <w:t>期</w:t>
      </w:r>
      <w:r>
        <w:t>，直接发包的工程以合同签订日前28天的日期为基准日</w:t>
      </w:r>
      <w:r>
        <w:rPr>
          <w:rFonts w:hint="eastAsia"/>
        </w:rPr>
        <w:t>期</w:t>
      </w:r>
      <w:r>
        <w:t>。</w:t>
      </w:r>
    </w:p>
    <w:p w14:paraId="0B1DCF83">
      <w:pPr>
        <w:spacing w:line="400" w:lineRule="exact"/>
        <w:ind w:firstLine="420" w:firstLineChars="200"/>
      </w:pPr>
      <w:r>
        <w:t>1.1.4.7 天：除特别指明外，均指日历天。合同中按天计算时间的，开始当天不计入，从次日开始计算，期限最后一天的截止时间为当天24:00时。</w:t>
      </w:r>
    </w:p>
    <w:p w14:paraId="2BB66CFB">
      <w:pPr>
        <w:spacing w:line="400" w:lineRule="exact"/>
        <w:ind w:firstLine="420" w:firstLineChars="200"/>
      </w:pPr>
      <w:r>
        <w:t>1.1.5 合同价格和费用</w:t>
      </w:r>
    </w:p>
    <w:p w14:paraId="60269667">
      <w:pPr>
        <w:spacing w:line="400" w:lineRule="exact"/>
        <w:ind w:firstLine="420" w:firstLineChars="200"/>
      </w:pPr>
      <w:r>
        <w:t>1.1.5.1 签约合同价：是指发包人和承包人在合同协议书中确定的总金额，包括安全文明施工费、暂估价及暂列金额等。</w:t>
      </w:r>
    </w:p>
    <w:p w14:paraId="4ACBF989">
      <w:pPr>
        <w:spacing w:line="400" w:lineRule="exact"/>
        <w:ind w:firstLine="420" w:firstLineChars="200"/>
      </w:pPr>
      <w:r>
        <w:t>1.1.5.2 合同价格：是指发包人用于支付承包人按照合同约定完成承包范围内全部工作的金额，包括合同履行过程中按合同约定</w:t>
      </w:r>
      <w:r>
        <w:rPr>
          <w:rFonts w:hint="eastAsia"/>
        </w:rPr>
        <w:t>发生的价格变化。</w:t>
      </w:r>
    </w:p>
    <w:p w14:paraId="71988796">
      <w:pPr>
        <w:spacing w:line="400" w:lineRule="exact"/>
        <w:ind w:firstLine="420" w:firstLineChars="200"/>
      </w:pPr>
      <w:r>
        <w:t>1.1.5.3 费用：是指为履行合同所发生的或将要发生的所有必需的开支，包括管理费和应分摊的其他费用，但不包括利润。</w:t>
      </w:r>
    </w:p>
    <w:p w14:paraId="4E252613">
      <w:pPr>
        <w:spacing w:line="400" w:lineRule="exact"/>
        <w:ind w:firstLine="420" w:firstLineChars="200"/>
      </w:pPr>
      <w:r>
        <w:t>1.1.5.4 暂估价：是指发包人在工程量清单或预算书中提供的用于支付必然发生但暂时不能确定价格的材料、工程设备的单价</w:t>
      </w:r>
      <w:r>
        <w:rPr>
          <w:rFonts w:hint="eastAsia"/>
        </w:rPr>
        <w:t>、</w:t>
      </w:r>
      <w:r>
        <w:t>专业工程以及</w:t>
      </w:r>
      <w:r>
        <w:rPr>
          <w:rFonts w:hint="eastAsia"/>
        </w:rPr>
        <w:t>服务工作</w:t>
      </w:r>
      <w:r>
        <w:t>的金额。</w:t>
      </w:r>
    </w:p>
    <w:p w14:paraId="5F11A7D9">
      <w:pPr>
        <w:spacing w:line="400" w:lineRule="exact"/>
        <w:ind w:firstLine="420" w:firstLineChars="200"/>
      </w:pPr>
      <w:r>
        <w:t>1.1.5.5 暂列金额：是指发包人在工程量清单或预算书中暂定并包括在合同价格中的一笔款项</w:t>
      </w:r>
      <w:r>
        <w:rPr>
          <w:rFonts w:hint="eastAsia"/>
        </w:rPr>
        <w:t>，</w:t>
      </w:r>
      <w:r>
        <w:t>用于工程合同签订时尚未确定或者不可预见的所需材料、工程设备、服务的采购，施工中可能发生的工程变更、合同约定调整因素出现时的合同价格调整以及发生的索赔、现场签证确认等的费用。</w:t>
      </w:r>
    </w:p>
    <w:p w14:paraId="48CEC302">
      <w:pPr>
        <w:spacing w:line="400" w:lineRule="exact"/>
        <w:ind w:firstLine="420" w:firstLineChars="200"/>
      </w:pPr>
      <w:r>
        <w:t>1.1.5.6 计日工：是指合同履行过程中，承包人完成发包人提出的零星工作或需要采用计日工计价的变更工作时，按合同中约定的单价计价的一种方式。</w:t>
      </w:r>
    </w:p>
    <w:p w14:paraId="41340384">
      <w:pPr>
        <w:spacing w:line="400" w:lineRule="exact"/>
        <w:ind w:firstLine="420" w:firstLineChars="200"/>
      </w:pPr>
      <w:r>
        <w:t>1.1.5.7 质量保证金</w:t>
      </w:r>
      <w:bookmarkStart w:id="1366" w:name="#go2"/>
      <w:bookmarkEnd w:id="1366"/>
      <w:r>
        <w:t>：是指按照第15.3款</w:t>
      </w:r>
      <w:r>
        <w:rPr>
          <w:rFonts w:hint="eastAsia"/>
        </w:rPr>
        <w:t>〔</w:t>
      </w:r>
      <w:r>
        <w:t>质量保证金</w:t>
      </w:r>
      <w:r>
        <w:rPr>
          <w:rFonts w:hint="eastAsia"/>
        </w:rPr>
        <w:t>〕</w:t>
      </w:r>
      <w:r>
        <w:t>约定承包人用于保证其在缺陷责任期内履行缺陷修补义务的担保。</w:t>
      </w:r>
    </w:p>
    <w:p w14:paraId="532DA01B">
      <w:pPr>
        <w:spacing w:line="400" w:lineRule="exact"/>
        <w:ind w:firstLine="420" w:firstLineChars="200"/>
      </w:pPr>
      <w:r>
        <w:t>1.1.5.8 总价项目：是指在现行国家、行业以及地方的计量规则中无工程量计算规则，在已标价工程量清单或预算书中以总价或以费率形式计算的项目。</w:t>
      </w:r>
    </w:p>
    <w:p w14:paraId="741CD2B1">
      <w:pPr>
        <w:spacing w:line="400" w:lineRule="exact"/>
        <w:ind w:firstLine="420" w:firstLineChars="200"/>
      </w:pPr>
      <w:r>
        <w:t>1.1.6 其他</w:t>
      </w:r>
    </w:p>
    <w:p w14:paraId="22E9F1F6">
      <w:pPr>
        <w:spacing w:line="400" w:lineRule="exact"/>
        <w:ind w:firstLine="420" w:firstLineChars="200"/>
      </w:pPr>
      <w:r>
        <w:t>1.1.6.1 书面形式：是指合同文件、信函、电报、传真等可以有形地表现所载内容的形式。</w:t>
      </w:r>
    </w:p>
    <w:p w14:paraId="7EF8394F">
      <w:pPr>
        <w:pStyle w:val="20"/>
        <w:rPr>
          <w:b/>
        </w:rPr>
      </w:pPr>
      <w:bookmarkStart w:id="1367" w:name="_Toc108513943"/>
      <w:bookmarkStart w:id="1368" w:name="_Toc351203497"/>
      <w:bookmarkStart w:id="1369" w:name="_Toc337558729"/>
      <w:bookmarkStart w:id="1370" w:name="_Toc296346530"/>
      <w:bookmarkStart w:id="1371" w:name="_Toc296503029"/>
      <w:r>
        <w:rPr>
          <w:b/>
        </w:rPr>
        <w:t>1.2语言文字</w:t>
      </w:r>
      <w:bookmarkEnd w:id="1367"/>
      <w:bookmarkEnd w:id="1368"/>
      <w:bookmarkEnd w:id="1369"/>
      <w:bookmarkEnd w:id="1370"/>
      <w:bookmarkEnd w:id="1371"/>
    </w:p>
    <w:p w14:paraId="17FF3C40">
      <w:pPr>
        <w:spacing w:line="400" w:lineRule="exact"/>
        <w:ind w:firstLine="420" w:firstLineChars="200"/>
      </w:pPr>
      <w:r>
        <w:t>合同以中国的汉语简体文字编写、解释和说明。合同当事人在专用合同条款中约定使用两种以上语言时，汉语为优先解释和说明合同的语言。</w:t>
      </w:r>
    </w:p>
    <w:p w14:paraId="2679740F">
      <w:pPr>
        <w:pStyle w:val="20"/>
        <w:rPr>
          <w:b/>
        </w:rPr>
      </w:pPr>
      <w:bookmarkStart w:id="1372" w:name="_Toc108513944"/>
      <w:bookmarkStart w:id="1373" w:name="_Toc296346531"/>
      <w:bookmarkStart w:id="1374" w:name="_Toc296503030"/>
      <w:bookmarkStart w:id="1375" w:name="_Toc351203498"/>
      <w:bookmarkStart w:id="1376" w:name="_Toc337558730"/>
      <w:r>
        <w:rPr>
          <w:b/>
        </w:rPr>
        <w:t>1.3法律</w:t>
      </w:r>
      <w:bookmarkEnd w:id="1372"/>
      <w:bookmarkEnd w:id="1373"/>
      <w:bookmarkEnd w:id="1374"/>
      <w:bookmarkEnd w:id="1375"/>
      <w:bookmarkEnd w:id="1376"/>
    </w:p>
    <w:p w14:paraId="4C6D9FC4">
      <w:pPr>
        <w:spacing w:line="400" w:lineRule="exact"/>
        <w:ind w:firstLine="420" w:firstLineChars="200"/>
      </w:pPr>
      <w:r>
        <w:t>合同所称法律是指中华人民共和国法律、行政法规、部门规章，以及工程所在地的地方性法规、自治条例、单行条例和地方政府规章等。</w:t>
      </w:r>
    </w:p>
    <w:p w14:paraId="1968AAF1">
      <w:pPr>
        <w:spacing w:line="400" w:lineRule="exact"/>
        <w:ind w:firstLine="420" w:firstLineChars="200"/>
      </w:pPr>
      <w:r>
        <w:t>合同当事人可以在专用合同条款中约定合同适用的其他规范性文件。</w:t>
      </w:r>
    </w:p>
    <w:p w14:paraId="03F1D2D5">
      <w:pPr>
        <w:pStyle w:val="20"/>
        <w:rPr>
          <w:b/>
        </w:rPr>
      </w:pPr>
      <w:bookmarkStart w:id="1377" w:name="_Toc108513945"/>
      <w:bookmarkStart w:id="1378" w:name="_Toc351203499"/>
      <w:r>
        <w:rPr>
          <w:b/>
        </w:rPr>
        <w:t>1.4 标准和规范</w:t>
      </w:r>
      <w:bookmarkEnd w:id="1377"/>
      <w:bookmarkEnd w:id="1378"/>
    </w:p>
    <w:p w14:paraId="72C534A0">
      <w:pPr>
        <w:spacing w:line="400" w:lineRule="exact"/>
        <w:ind w:firstLine="420" w:firstLineChars="200"/>
      </w:pPr>
      <w:r>
        <w:t>1.4.1 适用于工程的国家标准、行业标准、工程所在地的地方性标准，以及相应的规范、规程等，合同当事人有特别要求的，应在专用合同条款中约定。</w:t>
      </w:r>
    </w:p>
    <w:p w14:paraId="3135C69F">
      <w:pPr>
        <w:spacing w:line="400" w:lineRule="exact"/>
        <w:ind w:firstLine="420" w:firstLineChars="200"/>
      </w:pPr>
      <w:r>
        <w:t>1.4.2 发包人要求使用国外标准、规范的，发包人负责提供原文版本和中文译本，并在专用合同条款中约定提供标准规范的名称、份数和时间。</w:t>
      </w:r>
    </w:p>
    <w:p w14:paraId="743EF0ED">
      <w:pPr>
        <w:spacing w:line="400" w:lineRule="exact"/>
        <w:ind w:firstLine="420" w:firstLineChars="200"/>
      </w:pPr>
      <w:r>
        <w:t>1.4.3 发包人对工程的技术标准、功能要求高于或严于现行国家、行业或地方标准的，应当在专用合同条款中予以明确。除专用合同条款另有约定外，应视为</w:t>
      </w:r>
      <w:r>
        <w:rPr>
          <w:rFonts w:hint="eastAsia"/>
        </w:rPr>
        <w:t>承包人</w:t>
      </w:r>
      <w:r>
        <w:t>在签订合同前已充分预见前述技术标准和功能要求的复杂程度，签约合同价中已包含由此产生的费用。</w:t>
      </w:r>
    </w:p>
    <w:p w14:paraId="490BBE84">
      <w:pPr>
        <w:pStyle w:val="20"/>
        <w:rPr>
          <w:b/>
        </w:rPr>
      </w:pPr>
      <w:bookmarkStart w:id="1379" w:name="_Toc351203500"/>
      <w:bookmarkStart w:id="1380" w:name="_Toc108513946"/>
      <w:r>
        <w:rPr>
          <w:b/>
        </w:rPr>
        <w:t>1</w:t>
      </w:r>
      <w:bookmarkStart w:id="1381" w:name="_Toc296503031"/>
      <w:bookmarkStart w:id="1382" w:name="_Toc337558731"/>
      <w:bookmarkStart w:id="1383" w:name="_Toc296346532"/>
      <w:r>
        <w:rPr>
          <w:b/>
        </w:rPr>
        <w:t>.5 合同文件的优先顺序</w:t>
      </w:r>
      <w:bookmarkEnd w:id="1379"/>
      <w:bookmarkEnd w:id="1380"/>
    </w:p>
    <w:bookmarkEnd w:id="1381"/>
    <w:bookmarkEnd w:id="1382"/>
    <w:bookmarkEnd w:id="1383"/>
    <w:p w14:paraId="1A9CBB10">
      <w:pPr>
        <w:spacing w:line="400" w:lineRule="exact"/>
        <w:ind w:firstLine="420" w:firstLineChars="200"/>
      </w:pPr>
      <w:r>
        <w:t>组成合同的各项文件应互相解释，互为说明。除专用合同条款另有约定外，解释合同文件的优先顺序如下：</w:t>
      </w:r>
    </w:p>
    <w:p w14:paraId="5AA93038">
      <w:pPr>
        <w:spacing w:line="400" w:lineRule="exact"/>
        <w:ind w:firstLine="420" w:firstLineChars="200"/>
      </w:pPr>
      <w:r>
        <w:t>（1）合同协议书；</w:t>
      </w:r>
    </w:p>
    <w:p w14:paraId="27FD26A6">
      <w:pPr>
        <w:spacing w:line="400" w:lineRule="exact"/>
        <w:ind w:firstLine="420" w:firstLineChars="200"/>
      </w:pPr>
      <w:r>
        <w:t>（2）中标通知书（如果有）；</w:t>
      </w:r>
    </w:p>
    <w:p w14:paraId="215F50B3">
      <w:pPr>
        <w:spacing w:line="400" w:lineRule="exact"/>
        <w:ind w:firstLine="420" w:firstLineChars="200"/>
      </w:pPr>
      <w:r>
        <w:t>（3）投标函及其附录（如果有）；</w:t>
      </w:r>
    </w:p>
    <w:p w14:paraId="1BD88FD4">
      <w:pPr>
        <w:spacing w:line="400" w:lineRule="exact"/>
        <w:ind w:firstLine="420" w:firstLineChars="200"/>
      </w:pPr>
      <w:r>
        <w:t>（4）专用合同条款及其附件；</w:t>
      </w:r>
    </w:p>
    <w:p w14:paraId="21CCE864">
      <w:pPr>
        <w:spacing w:line="400" w:lineRule="exact"/>
        <w:ind w:firstLine="420" w:firstLineChars="200"/>
      </w:pPr>
      <w:r>
        <w:t>（5）通用合同条款；</w:t>
      </w:r>
    </w:p>
    <w:p w14:paraId="71937F21">
      <w:pPr>
        <w:spacing w:line="400" w:lineRule="exact"/>
        <w:ind w:firstLine="420" w:firstLineChars="200"/>
      </w:pPr>
      <w:r>
        <w:t>（6）技术标准和要求；</w:t>
      </w:r>
    </w:p>
    <w:p w14:paraId="774274EE">
      <w:pPr>
        <w:spacing w:line="400" w:lineRule="exact"/>
        <w:ind w:firstLine="420" w:firstLineChars="200"/>
      </w:pPr>
      <w:r>
        <w:t>（7）图纸；</w:t>
      </w:r>
    </w:p>
    <w:p w14:paraId="30FD009C">
      <w:pPr>
        <w:spacing w:line="400" w:lineRule="exact"/>
        <w:ind w:firstLine="420" w:firstLineChars="200"/>
      </w:pPr>
      <w:r>
        <w:t>（8）已标价工程量清单或预算书；</w:t>
      </w:r>
    </w:p>
    <w:p w14:paraId="1650D980">
      <w:pPr>
        <w:spacing w:line="400" w:lineRule="exact"/>
        <w:ind w:firstLine="420" w:firstLineChars="200"/>
      </w:pPr>
      <w:r>
        <w:t>（9）其他合同文件。</w:t>
      </w:r>
    </w:p>
    <w:p w14:paraId="2573703D">
      <w:pPr>
        <w:spacing w:line="400" w:lineRule="exact"/>
        <w:ind w:firstLine="420" w:firstLineChars="200"/>
      </w:pPr>
      <w:r>
        <w:t>上述各项合同文件包括合同当事人就该项合同文件所作出的补充和修改，属于同一类内容的文件，应以最新签署的为准。</w:t>
      </w:r>
    </w:p>
    <w:p w14:paraId="066BF8EE">
      <w:pPr>
        <w:spacing w:line="400" w:lineRule="exact"/>
        <w:ind w:firstLine="420" w:firstLineChars="200"/>
      </w:pPr>
      <w:r>
        <w:t>在合同订立及履行过程中形成的与合同有关的文件均构成合同文件组成部分，并根据其性质确定优先解释顺序。</w:t>
      </w:r>
    </w:p>
    <w:p w14:paraId="18930AFB">
      <w:pPr>
        <w:pStyle w:val="20"/>
        <w:rPr>
          <w:b/>
        </w:rPr>
      </w:pPr>
      <w:bookmarkStart w:id="1384" w:name="_Toc351203501"/>
      <w:bookmarkStart w:id="1385" w:name="_Toc108513947"/>
      <w:r>
        <w:rPr>
          <w:b/>
        </w:rPr>
        <w:t>1</w:t>
      </w:r>
      <w:bookmarkStart w:id="1386" w:name="_Toc296346533"/>
      <w:bookmarkStart w:id="1387" w:name="_Toc296503032"/>
      <w:bookmarkStart w:id="1388" w:name="_Toc337558732"/>
      <w:r>
        <w:rPr>
          <w:b/>
        </w:rPr>
        <w:t>.6图纸和承包人文件</w:t>
      </w:r>
      <w:bookmarkEnd w:id="1384"/>
      <w:bookmarkEnd w:id="1385"/>
    </w:p>
    <w:bookmarkEnd w:id="1386"/>
    <w:bookmarkEnd w:id="1387"/>
    <w:bookmarkEnd w:id="1388"/>
    <w:p w14:paraId="22ECD883">
      <w:pPr>
        <w:spacing w:line="400" w:lineRule="exact"/>
        <w:ind w:firstLine="420" w:firstLineChars="200"/>
      </w:pPr>
      <w:r>
        <w:t>1.6.1 图纸的提供和交底</w:t>
      </w:r>
    </w:p>
    <w:p w14:paraId="30915994">
      <w:pPr>
        <w:spacing w:line="400" w:lineRule="exact"/>
        <w:ind w:firstLine="420" w:firstLineChars="200"/>
      </w:pPr>
      <w:r>
        <w:t>发包人应按照专用合同条款约定的期限、数量和内容向承包人免费提供图纸，并组织承包人、监理人和设计人进行图纸会审和设计交底。发包人至迟不得晚于第7.3.2项</w:t>
      </w:r>
      <w:r>
        <w:rPr>
          <w:rFonts w:hint="eastAsia"/>
        </w:rPr>
        <w:t>〔</w:t>
      </w:r>
      <w:r>
        <w:t>开工通知</w:t>
      </w:r>
      <w:r>
        <w:rPr>
          <w:rFonts w:hint="eastAsia"/>
        </w:rPr>
        <w:t>〕</w:t>
      </w:r>
      <w:r>
        <w:t>载明的开工日期前14天向承包人提供图纸。</w:t>
      </w:r>
    </w:p>
    <w:p w14:paraId="06622433">
      <w:pPr>
        <w:spacing w:line="400" w:lineRule="exact"/>
        <w:ind w:firstLine="420" w:firstLineChars="200"/>
      </w:pPr>
      <w:r>
        <w:t>因发包人未按合同约定提供图纸导致承包人费用增加和（或）工期延误的，按照第7.5.1项</w:t>
      </w:r>
      <w:r>
        <w:rPr>
          <w:rFonts w:hint="eastAsia"/>
        </w:rPr>
        <w:t>〔</w:t>
      </w:r>
      <w:r>
        <w:t>因发包人原因导致工期延误</w:t>
      </w:r>
      <w:r>
        <w:rPr>
          <w:rFonts w:hint="eastAsia"/>
        </w:rPr>
        <w:t>〕</w:t>
      </w:r>
      <w:r>
        <w:t>约定办理。</w:t>
      </w:r>
    </w:p>
    <w:p w14:paraId="17C89FB1">
      <w:pPr>
        <w:spacing w:line="400" w:lineRule="exact"/>
        <w:ind w:firstLine="420" w:firstLineChars="200"/>
      </w:pPr>
      <w:r>
        <w:t>1.6.2 图纸的错误</w:t>
      </w:r>
    </w:p>
    <w:p w14:paraId="39EC5244">
      <w:pPr>
        <w:spacing w:line="400" w:lineRule="exact"/>
        <w:ind w:firstLine="420" w:firstLineChars="200"/>
      </w:pPr>
      <w: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rPr>
        <w:t>合理时间是指发包人在收到监理人的报送通知后，尽其努力且不懈怠地完成图纸修改补充所需的时间。</w:t>
      </w:r>
    </w:p>
    <w:p w14:paraId="09B57BD2">
      <w:pPr>
        <w:spacing w:line="400" w:lineRule="exact"/>
        <w:ind w:firstLine="420" w:firstLineChars="200"/>
      </w:pPr>
      <w:r>
        <w:t>1.6.3 图纸的修改和补充</w:t>
      </w:r>
    </w:p>
    <w:p w14:paraId="2F3EB83F">
      <w:pPr>
        <w:spacing w:line="400" w:lineRule="exact"/>
        <w:ind w:firstLine="420" w:firstLineChars="200"/>
      </w:pPr>
      <w:r>
        <w:t>图纸需要修改和补充的，应经图纸原设计人及审批部门同意，并由监理人在工程或工程相应部位施工前将修改后的图纸或补充图纸提交给承包人，承包人应按修改或补充后的图纸施工。</w:t>
      </w:r>
    </w:p>
    <w:p w14:paraId="03B8A983">
      <w:pPr>
        <w:spacing w:line="400" w:lineRule="exact"/>
        <w:ind w:firstLine="420" w:firstLineChars="200"/>
      </w:pPr>
      <w:r>
        <w:t>1.6.4 承包人文件</w:t>
      </w:r>
    </w:p>
    <w:p w14:paraId="44477C71">
      <w:pPr>
        <w:spacing w:line="400" w:lineRule="exact"/>
        <w:ind w:firstLine="420" w:firstLineChars="200"/>
      </w:pPr>
      <w:r>
        <w:t>承包人应按照专用合同条款的约定提供应当由其编制的与工程施工有关的文件，并按照专用合同条款约定的期限、数量和形式提交监理人，并由监理人报送发包人。</w:t>
      </w:r>
    </w:p>
    <w:p w14:paraId="2CF94BE2">
      <w:pPr>
        <w:spacing w:line="400" w:lineRule="exact"/>
        <w:ind w:firstLine="420" w:firstLineChars="200"/>
      </w:pPr>
      <w: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510887CE">
      <w:pPr>
        <w:spacing w:line="400" w:lineRule="exact"/>
        <w:ind w:firstLine="420" w:firstLineChars="200"/>
      </w:pPr>
      <w:r>
        <w:t>1.6.5 图纸和承包人文件的保管</w:t>
      </w:r>
    </w:p>
    <w:p w14:paraId="3E5CD9D0">
      <w:pPr>
        <w:spacing w:line="400" w:lineRule="exact"/>
        <w:ind w:firstLine="420" w:firstLineChars="200"/>
      </w:pPr>
      <w:r>
        <w:t>除专用合同条款另有约定外，承包人应在施工现场另外保存一套完整的图纸和承包人文件，供发包人、监理人及有关人员进行工程检查时使用。</w:t>
      </w:r>
    </w:p>
    <w:p w14:paraId="2FF1D893">
      <w:pPr>
        <w:pStyle w:val="20"/>
        <w:rPr>
          <w:b/>
        </w:rPr>
      </w:pPr>
      <w:bookmarkStart w:id="1389" w:name="_Toc351203502"/>
      <w:bookmarkStart w:id="1390" w:name="_Toc108513948"/>
      <w:r>
        <w:rPr>
          <w:b/>
        </w:rPr>
        <w:t>1</w:t>
      </w:r>
      <w:bookmarkStart w:id="1391" w:name="_Toc337558733"/>
      <w:bookmarkStart w:id="1392" w:name="_Toc296346534"/>
      <w:bookmarkStart w:id="1393" w:name="_Toc296503033"/>
      <w:r>
        <w:rPr>
          <w:b/>
        </w:rPr>
        <w:t>.7联络</w:t>
      </w:r>
      <w:bookmarkEnd w:id="1389"/>
      <w:bookmarkEnd w:id="1390"/>
    </w:p>
    <w:bookmarkEnd w:id="1391"/>
    <w:bookmarkEnd w:id="1392"/>
    <w:bookmarkEnd w:id="1393"/>
    <w:p w14:paraId="24E05C14">
      <w:pPr>
        <w:spacing w:line="400" w:lineRule="exact"/>
        <w:ind w:firstLine="420" w:firstLineChars="200"/>
      </w:pPr>
      <w:r>
        <w:t>1.7.1 与合同有关的通知、批准、证明、证书、指示、指令、要求、请求、同意、意见、确定和决定等，均应采用书面形式，并应在合同约定的期限内送达接收人和送达地点。</w:t>
      </w:r>
    </w:p>
    <w:p w14:paraId="485AA6F4">
      <w:pPr>
        <w:spacing w:line="400" w:lineRule="exact"/>
        <w:ind w:firstLine="420" w:firstLineChars="200"/>
      </w:pPr>
      <w:r>
        <w:t>1.7.2 发包人和承包人应在专用合同条款中约定各自的送达接收人和送达地点。任何一方合同当事人指定的接收人或送达地点发生变动的，应提前3天以书面形式通知对方。</w:t>
      </w:r>
    </w:p>
    <w:p w14:paraId="6B84758E">
      <w:pPr>
        <w:spacing w:line="400" w:lineRule="exact"/>
        <w:ind w:firstLine="420" w:firstLineChars="200"/>
      </w:pPr>
      <w:r>
        <w:t>1.7.3 发包人和承包人应当及时签收另一方送达至送达地点和指定接收人的来往信函。拒不签收的，由此增加的费用和（或）延误的工期由拒绝接收一方承担。</w:t>
      </w:r>
    </w:p>
    <w:p w14:paraId="6A179A75">
      <w:pPr>
        <w:pStyle w:val="20"/>
      </w:pPr>
      <w:bookmarkStart w:id="1394" w:name="_Toc108513949"/>
      <w:bookmarkStart w:id="1395" w:name="_Toc351203503"/>
      <w:r>
        <w:rPr>
          <w:b/>
        </w:rPr>
        <w:t>1</w:t>
      </w:r>
      <w:bookmarkStart w:id="1396" w:name="_Toc296503035"/>
      <w:bookmarkStart w:id="1397" w:name="_Toc337558734"/>
      <w:bookmarkStart w:id="1398" w:name="_Toc296346536"/>
      <w:r>
        <w:rPr>
          <w:b/>
        </w:rPr>
        <w:t>.8严禁贿赂</w:t>
      </w:r>
      <w:bookmarkEnd w:id="1394"/>
      <w:bookmarkEnd w:id="1395"/>
    </w:p>
    <w:bookmarkEnd w:id="1396"/>
    <w:bookmarkEnd w:id="1397"/>
    <w:bookmarkEnd w:id="1398"/>
    <w:p w14:paraId="4C5B15B7">
      <w:pPr>
        <w:spacing w:line="400" w:lineRule="exact"/>
        <w:ind w:firstLine="420" w:firstLineChars="200"/>
      </w:pPr>
      <w:r>
        <w:t>合同当事人不得以贿赂或变相贿赂的方式，谋取非法利益或损害对方权益。因一方合同当事人的贿赂造成对方损失的，应赔偿损失，并承担相应的法律责任。</w:t>
      </w:r>
    </w:p>
    <w:p w14:paraId="63F8FA96">
      <w:pPr>
        <w:spacing w:line="400" w:lineRule="exact"/>
        <w:ind w:firstLine="420" w:firstLineChars="200"/>
      </w:pPr>
      <w:r>
        <w:t>承包人不得与监理人或发包人聘请的第三方串通损害发包人利益。未经发包人书面同意，承包人不得为监理人提供合同约定以外的通讯设备、交通工具及其他任何形式的利益，不得向监理人支付报酬。</w:t>
      </w:r>
    </w:p>
    <w:p w14:paraId="60101FE1">
      <w:pPr>
        <w:pStyle w:val="20"/>
        <w:rPr>
          <w:b/>
        </w:rPr>
      </w:pPr>
      <w:bookmarkStart w:id="1399" w:name="_Toc351203504"/>
      <w:bookmarkStart w:id="1400" w:name="_Toc108513950"/>
      <w:r>
        <w:rPr>
          <w:b/>
        </w:rPr>
        <w:t>1</w:t>
      </w:r>
      <w:bookmarkStart w:id="1401" w:name="_Toc296346537"/>
      <w:bookmarkStart w:id="1402" w:name="_Toc337558735"/>
      <w:bookmarkStart w:id="1403" w:name="_Toc296503036"/>
      <w:r>
        <w:rPr>
          <w:b/>
        </w:rPr>
        <w:t>.9化石、文物</w:t>
      </w:r>
      <w:bookmarkEnd w:id="1399"/>
      <w:bookmarkEnd w:id="1400"/>
    </w:p>
    <w:bookmarkEnd w:id="1401"/>
    <w:bookmarkEnd w:id="1402"/>
    <w:bookmarkEnd w:id="1403"/>
    <w:p w14:paraId="521FFBE4">
      <w:pPr>
        <w:spacing w:line="400" w:lineRule="exact"/>
        <w:ind w:firstLine="420" w:firstLineChars="200"/>
      </w:pPr>
      <w: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CFA3234">
      <w:pPr>
        <w:spacing w:line="400" w:lineRule="exact"/>
        <w:ind w:firstLine="420" w:firstLineChars="200"/>
      </w:pPr>
      <w:r>
        <w:t>发包人、监理人和承包人应按有关政府行政管理部门要求采取妥善的保护措施，由此增加的费用和</w:t>
      </w:r>
      <w:r>
        <w:rPr>
          <w:rFonts w:hint="eastAsia"/>
        </w:rPr>
        <w:t>（</w:t>
      </w:r>
      <w:r>
        <w:t>或）延误的工期由发包人承担。</w:t>
      </w:r>
    </w:p>
    <w:p w14:paraId="41DA843A">
      <w:pPr>
        <w:spacing w:line="400" w:lineRule="exact"/>
        <w:ind w:firstLine="420" w:firstLineChars="200"/>
      </w:pPr>
      <w:r>
        <w:t>承包人发现文物后不及时报告或隐瞒不报，致使文物丢失或损坏的，应赔偿损失，并承担相应的法律责任。</w:t>
      </w:r>
    </w:p>
    <w:p w14:paraId="69600907">
      <w:pPr>
        <w:pStyle w:val="20"/>
        <w:rPr>
          <w:b/>
        </w:rPr>
      </w:pPr>
      <w:bookmarkStart w:id="1404" w:name="_Toc351203505"/>
      <w:bookmarkStart w:id="1405" w:name="_Toc108513951"/>
      <w:r>
        <w:rPr>
          <w:b/>
        </w:rPr>
        <w:t>1</w:t>
      </w:r>
      <w:bookmarkStart w:id="1406" w:name="_Toc337558736"/>
      <w:r>
        <w:rPr>
          <w:b/>
        </w:rPr>
        <w:t>.10交通运输</w:t>
      </w:r>
      <w:bookmarkEnd w:id="1404"/>
      <w:bookmarkEnd w:id="1405"/>
    </w:p>
    <w:bookmarkEnd w:id="1406"/>
    <w:p w14:paraId="0651AFDC">
      <w:pPr>
        <w:spacing w:line="400" w:lineRule="exact"/>
        <w:ind w:firstLine="420" w:firstLineChars="200"/>
      </w:pPr>
      <w:r>
        <w:t>1.10.1</w:t>
      </w:r>
      <w:r>
        <w:rPr>
          <w:rFonts w:hint="eastAsia"/>
        </w:rPr>
        <w:t xml:space="preserve"> </w:t>
      </w:r>
      <w:r>
        <w:t>出入现场的权利</w:t>
      </w:r>
    </w:p>
    <w:p w14:paraId="7DE9A159">
      <w:pPr>
        <w:spacing w:line="400" w:lineRule="exact"/>
        <w:ind w:firstLine="420" w:firstLineChars="200"/>
      </w:pPr>
      <w:r>
        <w:t>除专用合同条款另有约定外，发包人应根据施工需要，负责取得出入施工现场所需的</w:t>
      </w:r>
      <w:r>
        <w:rPr>
          <w:rFonts w:hint="eastAsia"/>
        </w:rPr>
        <w:t>批准手续和</w:t>
      </w:r>
      <w:r>
        <w:t>全部权利，以及取得因施工所需修建道路、桥梁以及其他基础设施的权利，并承担相关手续费用和建设费用。承包人应协助发包人办理修建场内外道路、桥梁以及其他基础设施的手续。</w:t>
      </w:r>
    </w:p>
    <w:p w14:paraId="39F7E0C2">
      <w:pPr>
        <w:spacing w:line="400" w:lineRule="exact"/>
        <w:ind w:firstLine="420" w:firstLineChars="200"/>
      </w:pPr>
      <w:r>
        <w:t>承包人应在订立合同前查勘施工现场，并根据工程规模及技术参数合理预见工程施工所需的进出施工现场的方式、手段、路径等。因承包人未合理预见所增加的费用和（或）延误的工期由承包人承担。</w:t>
      </w:r>
    </w:p>
    <w:p w14:paraId="39E519DB">
      <w:pPr>
        <w:spacing w:line="400" w:lineRule="exact"/>
        <w:ind w:firstLine="420" w:firstLineChars="200"/>
      </w:pPr>
      <w:r>
        <w:t>1.10.2</w:t>
      </w:r>
      <w:r>
        <w:rPr>
          <w:rFonts w:hint="eastAsia"/>
        </w:rPr>
        <w:t xml:space="preserve"> </w:t>
      </w:r>
      <w:r>
        <w:t>场外交通</w:t>
      </w:r>
    </w:p>
    <w:p w14:paraId="2584D01E">
      <w:pPr>
        <w:spacing w:line="400" w:lineRule="exact"/>
        <w:ind w:firstLine="420" w:firstLineChars="200"/>
      </w:pPr>
      <w: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90F2A46">
      <w:pPr>
        <w:spacing w:line="400" w:lineRule="exact"/>
        <w:ind w:firstLine="420" w:firstLineChars="200"/>
      </w:pPr>
      <w:r>
        <w:t>1.10.3场内交通</w:t>
      </w:r>
    </w:p>
    <w:p w14:paraId="0F3ED236">
      <w:pPr>
        <w:spacing w:line="400" w:lineRule="exact"/>
        <w:ind w:firstLine="420" w:firstLineChars="200"/>
      </w:pPr>
      <w: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58E6E08D">
      <w:pPr>
        <w:spacing w:line="400" w:lineRule="exact"/>
        <w:ind w:firstLine="420" w:firstLineChars="200"/>
      </w:pPr>
      <w: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3AE866F6">
      <w:pPr>
        <w:spacing w:line="400" w:lineRule="exact"/>
        <w:ind w:firstLine="420" w:firstLineChars="200"/>
      </w:pPr>
      <w:r>
        <w:t>场外交通和场内交通的边界由合同当事人在专用合同条款中约定。</w:t>
      </w:r>
    </w:p>
    <w:p w14:paraId="1D9A66E1">
      <w:pPr>
        <w:spacing w:line="400" w:lineRule="exact"/>
        <w:ind w:firstLine="420" w:firstLineChars="200"/>
      </w:pPr>
      <w:r>
        <w:t>1.10.4</w:t>
      </w:r>
      <w:r>
        <w:rPr>
          <w:rFonts w:hint="eastAsia"/>
        </w:rPr>
        <w:t xml:space="preserve"> </w:t>
      </w:r>
      <w:r>
        <w:t>超大件和超重件的运输</w:t>
      </w:r>
    </w:p>
    <w:p w14:paraId="41687C3A">
      <w:pPr>
        <w:spacing w:line="400" w:lineRule="exact"/>
        <w:ind w:firstLine="420" w:firstLineChars="200"/>
      </w:pPr>
      <w: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5BD46BFB">
      <w:pPr>
        <w:spacing w:line="400" w:lineRule="exact"/>
        <w:ind w:firstLine="420" w:firstLineChars="200"/>
      </w:pPr>
      <w:r>
        <w:t>1.10.5</w:t>
      </w:r>
      <w:r>
        <w:rPr>
          <w:rFonts w:hint="eastAsia"/>
        </w:rPr>
        <w:t xml:space="preserve"> </w:t>
      </w:r>
      <w:r>
        <w:t>道路和桥梁的损坏责任</w:t>
      </w:r>
    </w:p>
    <w:p w14:paraId="383EEF0F">
      <w:pPr>
        <w:spacing w:line="400" w:lineRule="exact"/>
        <w:ind w:firstLine="420" w:firstLineChars="200"/>
      </w:pPr>
      <w:r>
        <w:t>因承包人运输造成施工场地内外公共道路和桥梁损坏的，由承包人承担修复损坏的全部费用和可能引起的赔偿。</w:t>
      </w:r>
    </w:p>
    <w:p w14:paraId="32CC23E1">
      <w:pPr>
        <w:spacing w:line="400" w:lineRule="exact"/>
        <w:ind w:firstLine="420" w:firstLineChars="200"/>
      </w:pPr>
      <w:r>
        <w:t>1.10.6</w:t>
      </w:r>
      <w:r>
        <w:rPr>
          <w:rFonts w:hint="eastAsia"/>
        </w:rPr>
        <w:t xml:space="preserve"> </w:t>
      </w:r>
      <w:r>
        <w:t>水路和航空运输</w:t>
      </w:r>
    </w:p>
    <w:p w14:paraId="7E266D2F">
      <w:pPr>
        <w:spacing w:line="400" w:lineRule="exact"/>
        <w:ind w:firstLine="420" w:firstLineChars="200"/>
      </w:pPr>
      <w:r>
        <w:t>本</w:t>
      </w:r>
      <w:r>
        <w:rPr>
          <w:rFonts w:hint="eastAsia"/>
        </w:rPr>
        <w:t>款</w:t>
      </w:r>
      <w:r>
        <w:t>前述各</w:t>
      </w:r>
      <w:r>
        <w:rPr>
          <w:rFonts w:hint="eastAsia"/>
        </w:rPr>
        <w:t>项</w:t>
      </w:r>
      <w:r>
        <w:t>的内容适用于水路运输和航空运输，其中“道路”一词的涵义包括河道、航线、船闸、机场、码头、堤防以及水路或航空运输中其他相似结构物；“车辆”一词的涵义包括船舶和飞机等。</w:t>
      </w:r>
    </w:p>
    <w:p w14:paraId="31B3810A">
      <w:pPr>
        <w:pStyle w:val="20"/>
        <w:rPr>
          <w:b/>
        </w:rPr>
      </w:pPr>
      <w:bookmarkStart w:id="1407" w:name="_Toc351203506"/>
      <w:bookmarkStart w:id="1408" w:name="_Toc108513952"/>
      <w:r>
        <w:rPr>
          <w:b/>
        </w:rPr>
        <w:t>1</w:t>
      </w:r>
      <w:bookmarkStart w:id="1409" w:name="_Toc337558737"/>
      <w:bookmarkStart w:id="1410" w:name="_Toc296503037"/>
      <w:bookmarkStart w:id="1411" w:name="_Toc296346538"/>
      <w:r>
        <w:rPr>
          <w:b/>
        </w:rPr>
        <w:t>.11知识产权</w:t>
      </w:r>
      <w:bookmarkEnd w:id="1407"/>
      <w:bookmarkEnd w:id="1408"/>
      <w:r>
        <w:rPr>
          <w:b/>
        </w:rPr>
        <w:t xml:space="preserve"> </w:t>
      </w:r>
      <w:bookmarkEnd w:id="1409"/>
    </w:p>
    <w:bookmarkEnd w:id="1410"/>
    <w:bookmarkEnd w:id="1411"/>
    <w:p w14:paraId="7C496432">
      <w:pPr>
        <w:spacing w:line="400" w:lineRule="exact"/>
        <w:ind w:firstLine="420" w:firstLineChars="200"/>
      </w:pPr>
      <w: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366A02E4">
      <w:pPr>
        <w:spacing w:line="400" w:lineRule="exact"/>
        <w:ind w:firstLine="420" w:firstLineChars="200"/>
      </w:pPr>
      <w: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6027764C">
      <w:pPr>
        <w:spacing w:line="400" w:lineRule="exact"/>
        <w:ind w:firstLine="420" w:firstLineChars="200"/>
      </w:pPr>
      <w: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C029ECB">
      <w:pPr>
        <w:spacing w:line="400" w:lineRule="exact"/>
        <w:ind w:firstLine="420" w:firstLineChars="200"/>
      </w:pPr>
      <w:r>
        <w:t>1.11.4 除专用合同条款另有约定外，承包人在合同签订前和签订时已确定采用的专利、专有技术、技术秘密的使用费已包含在签约合同价中。</w:t>
      </w:r>
    </w:p>
    <w:p w14:paraId="6DB34990">
      <w:pPr>
        <w:pStyle w:val="20"/>
        <w:rPr>
          <w:b/>
        </w:rPr>
      </w:pPr>
      <w:bookmarkStart w:id="1412" w:name="_Toc351203507"/>
      <w:bookmarkStart w:id="1413" w:name="_Toc108513953"/>
      <w:r>
        <w:rPr>
          <w:b/>
        </w:rPr>
        <w:t>1</w:t>
      </w:r>
      <w:bookmarkStart w:id="1414" w:name="_Toc337558738"/>
      <w:r>
        <w:rPr>
          <w:b/>
        </w:rPr>
        <w:t>.12保密</w:t>
      </w:r>
      <w:bookmarkEnd w:id="1412"/>
      <w:bookmarkEnd w:id="1413"/>
    </w:p>
    <w:bookmarkEnd w:id="1414"/>
    <w:p w14:paraId="3DA4B6B2">
      <w:pPr>
        <w:spacing w:line="400" w:lineRule="exact"/>
        <w:ind w:firstLine="420" w:firstLineChars="200"/>
      </w:pPr>
      <w:r>
        <w:t>除法律规定或合同另有约定外，未经发包人同意，承包人不得将发包人提供的图纸、文件以及声明需要保密的资料信息等商业秘密泄露给第三方。</w:t>
      </w:r>
    </w:p>
    <w:p w14:paraId="3C6317A0">
      <w:pPr>
        <w:spacing w:line="400" w:lineRule="exact"/>
        <w:ind w:firstLine="420" w:firstLineChars="200"/>
      </w:pPr>
      <w:r>
        <w:t>除法律规定或合同另有约定外，未经承包人同意，发包人不得将承包人提供的技术秘密及声明需要保密的资料信息等商业秘密泄露给第三方。</w:t>
      </w:r>
    </w:p>
    <w:p w14:paraId="6FF30E5C">
      <w:pPr>
        <w:pStyle w:val="20"/>
        <w:rPr>
          <w:b/>
        </w:rPr>
      </w:pPr>
      <w:bookmarkStart w:id="1415" w:name="_Toc351203508"/>
      <w:bookmarkStart w:id="1416" w:name="_Toc108513954"/>
      <w:r>
        <w:rPr>
          <w:b/>
        </w:rPr>
        <w:t>1.13工程量清单错误的修正</w:t>
      </w:r>
      <w:bookmarkEnd w:id="1415"/>
      <w:bookmarkEnd w:id="1416"/>
    </w:p>
    <w:p w14:paraId="3F757559">
      <w:pPr>
        <w:spacing w:line="400" w:lineRule="exact"/>
        <w:ind w:firstLine="420" w:firstLineChars="200"/>
      </w:pPr>
      <w:r>
        <w:rPr>
          <w:rFonts w:hint="eastAsia"/>
        </w:rPr>
        <w:t>除专用合同条款另有约定外，</w:t>
      </w:r>
      <w:r>
        <w:t>发包人提供的工程量清单，应被认为是准确的和完整的。出现下列情形之一时，发包人应予以修正，并相应调整合同价格：</w:t>
      </w:r>
    </w:p>
    <w:p w14:paraId="51F7FBF0">
      <w:pPr>
        <w:spacing w:line="400" w:lineRule="exact"/>
        <w:ind w:firstLine="420" w:firstLineChars="200"/>
      </w:pPr>
      <w:r>
        <w:t>（1）工程量清单存在缺项、漏项的；</w:t>
      </w:r>
    </w:p>
    <w:p w14:paraId="7E8FC50C">
      <w:pPr>
        <w:spacing w:line="400" w:lineRule="exact"/>
        <w:ind w:firstLine="420" w:firstLineChars="200"/>
      </w:pPr>
      <w:r>
        <w:t>（2）工程量清单偏差超出专用合同条款约定的工程量偏差范围的；</w:t>
      </w:r>
    </w:p>
    <w:p w14:paraId="72A9B466">
      <w:pPr>
        <w:spacing w:line="400" w:lineRule="exact"/>
        <w:ind w:firstLine="420" w:firstLineChars="200"/>
      </w:pPr>
      <w:r>
        <w:t>（3）未按照国家现行计量规范强制性规定计量的。</w:t>
      </w:r>
    </w:p>
    <w:p w14:paraId="3B56DE86">
      <w:pPr>
        <w:pStyle w:val="18"/>
        <w:rPr>
          <w:b/>
        </w:rPr>
      </w:pPr>
      <w:bookmarkStart w:id="1417" w:name="_Toc108513955"/>
      <w:bookmarkStart w:id="1418" w:name="_Toc351203509"/>
      <w:r>
        <w:rPr>
          <w:b/>
        </w:rPr>
        <w:t>2</w:t>
      </w:r>
      <w:bookmarkStart w:id="1419" w:name="_Toc337558739"/>
      <w:bookmarkStart w:id="1420" w:name="_Toc296503038"/>
      <w:bookmarkStart w:id="1421" w:name="_Toc296346539"/>
      <w:bookmarkStart w:id="1422" w:name="OLE_LINK1"/>
      <w:bookmarkStart w:id="1423" w:name="OLE_LINK2"/>
      <w:r>
        <w:rPr>
          <w:b/>
        </w:rPr>
        <w:t>. 发包人</w:t>
      </w:r>
      <w:bookmarkEnd w:id="1417"/>
      <w:bookmarkEnd w:id="1418"/>
    </w:p>
    <w:bookmarkEnd w:id="1419"/>
    <w:bookmarkEnd w:id="1420"/>
    <w:bookmarkEnd w:id="1421"/>
    <w:p w14:paraId="2D49F844">
      <w:pPr>
        <w:pStyle w:val="20"/>
        <w:rPr>
          <w:b/>
        </w:rPr>
      </w:pPr>
      <w:bookmarkStart w:id="1424" w:name="_Toc108513956"/>
      <w:bookmarkStart w:id="1425" w:name="_Toc351203510"/>
      <w:r>
        <w:rPr>
          <w:b/>
        </w:rPr>
        <w:t>2</w:t>
      </w:r>
      <w:bookmarkStart w:id="1426" w:name="_Toc296503039"/>
      <w:bookmarkStart w:id="1427" w:name="_Toc337558740"/>
      <w:bookmarkStart w:id="1428" w:name="_Toc296346540"/>
      <w:r>
        <w:rPr>
          <w:b/>
        </w:rPr>
        <w:t>.1 许可或批准</w:t>
      </w:r>
      <w:bookmarkEnd w:id="1424"/>
      <w:bookmarkEnd w:id="1425"/>
    </w:p>
    <w:p w14:paraId="6073B613">
      <w:pPr>
        <w:spacing w:line="400" w:lineRule="exact"/>
        <w:ind w:firstLine="420" w:firstLineChars="200"/>
      </w:pPr>
      <w: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0FF0E7D">
      <w:pPr>
        <w:spacing w:line="400" w:lineRule="exact"/>
        <w:ind w:firstLine="420" w:firstLineChars="200"/>
      </w:pPr>
      <w:r>
        <w:t>因发包人原因未能及时办理完毕前述许可、批准或备案，由发包人承担由此增加的费用和（或）延误的工期，并支付承包人合理的利润。</w:t>
      </w:r>
    </w:p>
    <w:p w14:paraId="7110394C">
      <w:pPr>
        <w:pStyle w:val="20"/>
        <w:rPr>
          <w:b/>
        </w:rPr>
      </w:pPr>
      <w:bookmarkStart w:id="1429" w:name="_Toc108513957"/>
      <w:bookmarkStart w:id="1430" w:name="_Toc351203511"/>
      <w:r>
        <w:rPr>
          <w:b/>
        </w:rPr>
        <w:t>2.2 发包人代表</w:t>
      </w:r>
      <w:bookmarkEnd w:id="1429"/>
      <w:bookmarkEnd w:id="1430"/>
    </w:p>
    <w:p w14:paraId="47049381">
      <w:pPr>
        <w:spacing w:line="400" w:lineRule="exact"/>
        <w:ind w:firstLine="420" w:firstLineChars="200"/>
      </w:pPr>
      <w: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2C0FF359">
      <w:pPr>
        <w:spacing w:line="400" w:lineRule="exact"/>
        <w:ind w:firstLine="420" w:firstLineChars="200"/>
        <w:rPr>
          <w:rFonts w:hint="eastAsia"/>
        </w:rPr>
      </w:pPr>
      <w:r>
        <w:t>发包人代表不能按照合同约定履行其职责及义务，并导致合同无法继续正常履行的，承包人可以要求发包人撤换发包人代表。</w:t>
      </w:r>
    </w:p>
    <w:p w14:paraId="66E59009">
      <w:pPr>
        <w:spacing w:line="400" w:lineRule="exact"/>
        <w:ind w:firstLine="420" w:firstLineChars="200"/>
      </w:pPr>
      <w:r>
        <w:rPr>
          <w:rFonts w:hint="eastAsia"/>
        </w:rPr>
        <w:t>不属于法定必须监理的工程，监理人的职权可以由发包人代表或发包人指定的其他人员行使。</w:t>
      </w:r>
    </w:p>
    <w:p w14:paraId="1CE0C68A">
      <w:pPr>
        <w:pStyle w:val="20"/>
        <w:rPr>
          <w:b/>
        </w:rPr>
      </w:pPr>
      <w:bookmarkStart w:id="1431" w:name="_Toc351203512"/>
      <w:bookmarkStart w:id="1432" w:name="_Toc108513958"/>
      <w:r>
        <w:rPr>
          <w:b/>
        </w:rPr>
        <w:t>2.3 发包人人员</w:t>
      </w:r>
      <w:bookmarkEnd w:id="1431"/>
      <w:bookmarkEnd w:id="1432"/>
    </w:p>
    <w:p w14:paraId="06622F70">
      <w:pPr>
        <w:spacing w:line="400" w:lineRule="exact"/>
        <w:ind w:firstLine="420" w:firstLineChars="200"/>
      </w:pPr>
      <w:r>
        <w:t>发包人应要求在施工现场的发包人人员遵守法律及有关安全、质量、环境保护、文明施工等规定，并保障承包人免于承受因发包人人员未遵守上述要求给承包人造成的损失和责任。</w:t>
      </w:r>
    </w:p>
    <w:p w14:paraId="4E75E94E">
      <w:pPr>
        <w:spacing w:line="400" w:lineRule="exact"/>
        <w:ind w:firstLine="420" w:firstLineChars="200"/>
      </w:pPr>
      <w:r>
        <w:t>发包人人员包括发包人代表及其他由发包人派驻施工现场的人员。</w:t>
      </w:r>
      <w:bookmarkEnd w:id="1426"/>
      <w:bookmarkEnd w:id="1427"/>
      <w:bookmarkEnd w:id="1428"/>
    </w:p>
    <w:p w14:paraId="53A52872">
      <w:pPr>
        <w:pStyle w:val="20"/>
        <w:rPr>
          <w:b/>
        </w:rPr>
      </w:pPr>
      <w:bookmarkStart w:id="1433" w:name="_Toc108513959"/>
      <w:bookmarkStart w:id="1434" w:name="_Toc351203513"/>
      <w:r>
        <w:rPr>
          <w:b/>
        </w:rPr>
        <w:t>2</w:t>
      </w:r>
      <w:bookmarkStart w:id="1435" w:name="_Toc296503040"/>
      <w:bookmarkStart w:id="1436" w:name="_Toc296346541"/>
      <w:bookmarkStart w:id="1437" w:name="_Toc337558741"/>
      <w:r>
        <w:rPr>
          <w:b/>
        </w:rPr>
        <w:t>.4 施工现场、施工条件和基础资料的提供</w:t>
      </w:r>
      <w:bookmarkEnd w:id="1433"/>
      <w:bookmarkEnd w:id="1434"/>
      <w:r>
        <w:rPr>
          <w:b/>
        </w:rPr>
        <w:t xml:space="preserve"> </w:t>
      </w:r>
      <w:bookmarkEnd w:id="1435"/>
      <w:bookmarkEnd w:id="1436"/>
      <w:bookmarkEnd w:id="1437"/>
      <w:r>
        <w:rPr>
          <w:b/>
        </w:rPr>
        <w:t xml:space="preserve"> </w:t>
      </w:r>
    </w:p>
    <w:p w14:paraId="12517E1A">
      <w:pPr>
        <w:spacing w:line="400" w:lineRule="exact"/>
        <w:ind w:firstLine="420" w:firstLineChars="200"/>
      </w:pPr>
      <w:r>
        <w:t>2.4.1 提供施工现场</w:t>
      </w:r>
    </w:p>
    <w:p w14:paraId="4DDE1F13">
      <w:pPr>
        <w:spacing w:line="400" w:lineRule="exact"/>
        <w:ind w:firstLine="420" w:firstLineChars="200"/>
      </w:pPr>
      <w:r>
        <w:t>除</w:t>
      </w:r>
      <w:bookmarkEnd w:id="1422"/>
      <w:bookmarkEnd w:id="1423"/>
      <w:r>
        <w:t>专用合同条款另有约定外，发包人应</w:t>
      </w:r>
      <w:r>
        <w:rPr>
          <w:rFonts w:hint="eastAsia"/>
        </w:rPr>
        <w:t>最迟于</w:t>
      </w:r>
      <w:r>
        <w:t>开工日期7天前向承包人移交施工现场。</w:t>
      </w:r>
    </w:p>
    <w:p w14:paraId="0BC29800">
      <w:pPr>
        <w:spacing w:line="400" w:lineRule="exact"/>
        <w:ind w:firstLine="420" w:firstLineChars="200"/>
      </w:pPr>
      <w:r>
        <w:t>2.4.2 提供施工条件</w:t>
      </w:r>
    </w:p>
    <w:p w14:paraId="68EA1268">
      <w:pPr>
        <w:spacing w:line="400" w:lineRule="exact"/>
        <w:ind w:firstLine="420" w:firstLineChars="200"/>
      </w:pPr>
      <w:r>
        <w:t>除专用合同条款另有约定外，发包人应负责提供施工所需要的条件，包括：</w:t>
      </w:r>
    </w:p>
    <w:p w14:paraId="0B850F2A">
      <w:pPr>
        <w:spacing w:line="400" w:lineRule="exact"/>
        <w:ind w:firstLine="420" w:firstLineChars="200"/>
      </w:pPr>
      <w:r>
        <w:t>（1）将施工用水、电力、通讯线路等施工所必需的条件接至施工现场内；</w:t>
      </w:r>
    </w:p>
    <w:p w14:paraId="0A7524C6">
      <w:pPr>
        <w:spacing w:line="400" w:lineRule="exact"/>
        <w:ind w:firstLine="420" w:firstLineChars="200"/>
      </w:pPr>
      <w:r>
        <w:t>（2）保证向承包人提供正常施工所需要的进入施工现场的交通条件；</w:t>
      </w:r>
    </w:p>
    <w:p w14:paraId="01B2493D">
      <w:pPr>
        <w:spacing w:line="400" w:lineRule="exact"/>
        <w:ind w:firstLine="420" w:firstLineChars="200"/>
      </w:pPr>
      <w:r>
        <w:t>（3）协调处理施工现场周围地下管线和邻近建筑物、构筑物、古树名木的保护工作，并承担相关费用；</w:t>
      </w:r>
    </w:p>
    <w:p w14:paraId="2CD46186">
      <w:pPr>
        <w:spacing w:line="400" w:lineRule="exact"/>
        <w:ind w:firstLine="420" w:firstLineChars="200"/>
      </w:pPr>
      <w:r>
        <w:t>（4）按照专用合同条款约定</w:t>
      </w:r>
      <w:r>
        <w:rPr>
          <w:rFonts w:hint="eastAsia"/>
        </w:rPr>
        <w:t>应</w:t>
      </w:r>
      <w:r>
        <w:t>提供的其他设施和条件。</w:t>
      </w:r>
    </w:p>
    <w:p w14:paraId="1B477CEC">
      <w:pPr>
        <w:spacing w:line="400" w:lineRule="exact"/>
        <w:ind w:firstLine="420" w:firstLineChars="200"/>
      </w:pPr>
      <w:r>
        <w:t>2.4.3 提供基础资料</w:t>
      </w:r>
    </w:p>
    <w:p w14:paraId="2CD4EF2B">
      <w:pPr>
        <w:spacing w:line="400" w:lineRule="exact"/>
        <w:ind w:firstLine="420" w:firstLineChars="200"/>
        <w:rPr>
          <w:rFonts w:hint="eastAsia"/>
        </w:rPr>
      </w:pPr>
      <w: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2A0701F">
      <w:pPr>
        <w:spacing w:line="400" w:lineRule="exact"/>
        <w:ind w:firstLine="420" w:firstLineChars="200"/>
      </w:pPr>
      <w:r>
        <w:rPr>
          <w:rFonts w:hint="eastAsia"/>
        </w:rPr>
        <w:t>按照法律规定确需在开工后方能提供的基础资料，发包人应尽其努力及时地在相应工程施工前的合理期限内提供，合理期限应以不影响承包人的正常施工为限。</w:t>
      </w:r>
    </w:p>
    <w:p w14:paraId="77A13180">
      <w:pPr>
        <w:spacing w:line="400" w:lineRule="exact"/>
        <w:ind w:firstLine="420" w:firstLineChars="200"/>
      </w:pPr>
      <w:r>
        <w:t>2.4.4 逾期提供的责任</w:t>
      </w:r>
    </w:p>
    <w:p w14:paraId="040C71A5">
      <w:pPr>
        <w:spacing w:line="400" w:lineRule="exact"/>
        <w:ind w:firstLine="420" w:firstLineChars="200"/>
      </w:pPr>
      <w:r>
        <w:t>因发包人原因未能按合同约定及时向承包人提供施工现场、施工条件、基础资料的，由发包人承担由此增加的费用和（或）延误的工期。</w:t>
      </w:r>
    </w:p>
    <w:p w14:paraId="5A699590">
      <w:pPr>
        <w:pStyle w:val="20"/>
        <w:rPr>
          <w:b/>
        </w:rPr>
      </w:pPr>
      <w:bookmarkStart w:id="1438" w:name="_Toc351203514"/>
      <w:bookmarkStart w:id="1439" w:name="_Toc108513960"/>
      <w:r>
        <w:rPr>
          <w:b/>
        </w:rPr>
        <w:t>2</w:t>
      </w:r>
      <w:bookmarkStart w:id="1440" w:name="_Toc296346543"/>
      <w:bookmarkStart w:id="1441" w:name="_Toc296503042"/>
      <w:bookmarkStart w:id="1442" w:name="_Toc337558745"/>
      <w:r>
        <w:rPr>
          <w:b/>
        </w:rPr>
        <w:t>.5 资</w:t>
      </w:r>
      <w:bookmarkEnd w:id="1440"/>
      <w:bookmarkEnd w:id="1441"/>
      <w:bookmarkEnd w:id="1442"/>
      <w:r>
        <w:rPr>
          <w:b/>
        </w:rPr>
        <w:t>金来源证明及支付担保</w:t>
      </w:r>
      <w:bookmarkEnd w:id="1438"/>
      <w:bookmarkEnd w:id="1439"/>
    </w:p>
    <w:p w14:paraId="3EA22D71">
      <w:pPr>
        <w:spacing w:line="400" w:lineRule="exact"/>
        <w:ind w:firstLine="420" w:firstLineChars="200"/>
      </w:pPr>
      <w:r>
        <w:t>除专用合同条款另有约定外，发包人应在收到承包人要求提供资金来源证明的书面通知后28天内，向承包人提供能够按照合同约定支付合同价款的相应资金来源证明。</w:t>
      </w:r>
    </w:p>
    <w:p w14:paraId="12A6EC6F">
      <w:pPr>
        <w:spacing w:line="400" w:lineRule="exact"/>
        <w:ind w:firstLine="420" w:firstLineChars="200"/>
      </w:pPr>
      <w:r>
        <w:t>除专用合同条款另有约定外，发包人要求承包人提供履约担保的，发包人应当向承包人提供支付担保。支付担保可以采用银行保函或担保公司担保等形式，具体由合同当事人在专用合同条款中约定。</w:t>
      </w:r>
    </w:p>
    <w:p w14:paraId="5F4C0BE7">
      <w:pPr>
        <w:pStyle w:val="20"/>
        <w:rPr>
          <w:b/>
        </w:rPr>
      </w:pPr>
      <w:bookmarkStart w:id="1443" w:name="_Toc351203515"/>
      <w:bookmarkStart w:id="1444" w:name="_Toc108513961"/>
      <w:r>
        <w:rPr>
          <w:b/>
        </w:rPr>
        <w:t>2.6 支付合同价款</w:t>
      </w:r>
      <w:bookmarkEnd w:id="1443"/>
      <w:bookmarkEnd w:id="1444"/>
    </w:p>
    <w:p w14:paraId="4B848FE8">
      <w:pPr>
        <w:spacing w:line="400" w:lineRule="exact"/>
        <w:ind w:firstLine="420" w:firstLineChars="200"/>
      </w:pPr>
      <w:r>
        <w:t>发包人应按合同约定向承包人及时支付合同价款。</w:t>
      </w:r>
    </w:p>
    <w:p w14:paraId="55FD1517">
      <w:pPr>
        <w:pStyle w:val="20"/>
        <w:rPr>
          <w:b/>
        </w:rPr>
      </w:pPr>
      <w:bookmarkStart w:id="1445" w:name="_Toc351203516"/>
      <w:bookmarkStart w:id="1446" w:name="_Toc108513962"/>
      <w:r>
        <w:rPr>
          <w:b/>
        </w:rPr>
        <w:t>2.7 组织竣工验收</w:t>
      </w:r>
      <w:bookmarkEnd w:id="1445"/>
      <w:bookmarkEnd w:id="1446"/>
    </w:p>
    <w:p w14:paraId="173760AF">
      <w:pPr>
        <w:spacing w:line="400" w:lineRule="exact"/>
        <w:ind w:firstLine="420" w:firstLineChars="200"/>
      </w:pPr>
      <w:r>
        <w:t>发包人应按合同约定及时组织竣工验收。</w:t>
      </w:r>
    </w:p>
    <w:p w14:paraId="111ECBAB">
      <w:pPr>
        <w:pStyle w:val="20"/>
        <w:rPr>
          <w:b/>
        </w:rPr>
      </w:pPr>
      <w:bookmarkStart w:id="1447" w:name="_Toc351203517"/>
      <w:bookmarkStart w:id="1448" w:name="_Toc108513963"/>
      <w:r>
        <w:rPr>
          <w:b/>
        </w:rPr>
        <w:t>2.8 现场统一管理协议</w:t>
      </w:r>
      <w:bookmarkEnd w:id="1447"/>
      <w:bookmarkEnd w:id="1448"/>
    </w:p>
    <w:p w14:paraId="66ECFD6F">
      <w:pPr>
        <w:spacing w:line="400" w:lineRule="exact"/>
        <w:ind w:firstLine="420" w:firstLineChars="200"/>
      </w:pPr>
      <w:r>
        <w:t>发包人应与承包人、由发包人直接发包的专业工程的承包人签订施工现场统一管理协议，明确各方的权利义务。施工现场统一管理协议作为专用合同条款的附件。</w:t>
      </w:r>
    </w:p>
    <w:p w14:paraId="68D113C1">
      <w:pPr>
        <w:pStyle w:val="18"/>
        <w:rPr>
          <w:b/>
        </w:rPr>
      </w:pPr>
      <w:bookmarkStart w:id="1449" w:name="_Toc108513964"/>
      <w:bookmarkStart w:id="1450" w:name="_Toc351203518"/>
      <w:r>
        <w:rPr>
          <w:b/>
        </w:rPr>
        <w:t>3</w:t>
      </w:r>
      <w:bookmarkStart w:id="1451" w:name="_Toc296346546"/>
      <w:bookmarkStart w:id="1452" w:name="_Toc296503045"/>
      <w:bookmarkStart w:id="1453" w:name="_Toc337558746"/>
      <w:r>
        <w:rPr>
          <w:b/>
        </w:rPr>
        <w:t>. 承包人</w:t>
      </w:r>
      <w:bookmarkEnd w:id="1449"/>
      <w:bookmarkEnd w:id="1450"/>
    </w:p>
    <w:bookmarkEnd w:id="1451"/>
    <w:bookmarkEnd w:id="1452"/>
    <w:bookmarkEnd w:id="1453"/>
    <w:p w14:paraId="76778883">
      <w:pPr>
        <w:pStyle w:val="20"/>
        <w:rPr>
          <w:b/>
        </w:rPr>
      </w:pPr>
      <w:bookmarkStart w:id="1454" w:name="_Toc108513965"/>
      <w:bookmarkStart w:id="1455" w:name="_Toc351203519"/>
      <w:r>
        <w:rPr>
          <w:b/>
        </w:rPr>
        <w:t>3</w:t>
      </w:r>
      <w:bookmarkStart w:id="1456" w:name="_Toc296503046"/>
      <w:bookmarkStart w:id="1457" w:name="_Toc296346547"/>
      <w:bookmarkStart w:id="1458" w:name="_Toc337558747"/>
      <w:r>
        <w:rPr>
          <w:b/>
        </w:rPr>
        <w:t>.1 承包人的一般义务</w:t>
      </w:r>
      <w:bookmarkEnd w:id="1454"/>
      <w:bookmarkEnd w:id="1455"/>
    </w:p>
    <w:bookmarkEnd w:id="1456"/>
    <w:bookmarkEnd w:id="1457"/>
    <w:bookmarkEnd w:id="1458"/>
    <w:p w14:paraId="3EEC5EFF">
      <w:pPr>
        <w:spacing w:line="400" w:lineRule="exact"/>
        <w:ind w:firstLine="420" w:firstLineChars="200"/>
      </w:pPr>
      <w:r>
        <w:t>承包人在履行合同过程中应遵守法律和工程建设标准规范，并履行以下义务：</w:t>
      </w:r>
    </w:p>
    <w:p w14:paraId="02501299">
      <w:pPr>
        <w:spacing w:line="400" w:lineRule="exact"/>
        <w:ind w:firstLine="420" w:firstLineChars="200"/>
      </w:pPr>
      <w:r>
        <w:t>（</w:t>
      </w:r>
      <w:r>
        <w:rPr>
          <w:rFonts w:hint="eastAsia"/>
        </w:rPr>
        <w:t>1</w:t>
      </w:r>
      <w:r>
        <w:t>）办理法律规定</w:t>
      </w:r>
      <w:r>
        <w:rPr>
          <w:rFonts w:hint="eastAsia"/>
        </w:rPr>
        <w:t>应</w:t>
      </w:r>
      <w:r>
        <w:t>由承包人办理的许可和批准，并将</w:t>
      </w:r>
      <w:r>
        <w:rPr>
          <w:rFonts w:hint="eastAsia"/>
        </w:rPr>
        <w:t>办理</w:t>
      </w:r>
      <w:r>
        <w:t>结果书面报送发包人留存；</w:t>
      </w:r>
    </w:p>
    <w:p w14:paraId="178F722D">
      <w:pPr>
        <w:spacing w:line="400" w:lineRule="exact"/>
        <w:ind w:firstLine="420" w:firstLineChars="200"/>
      </w:pPr>
      <w:r>
        <w:t>（2）按法律规定和合同约定完成工程，并在保修期内承担保修义务；</w:t>
      </w:r>
    </w:p>
    <w:p w14:paraId="2C5BE28B">
      <w:pPr>
        <w:spacing w:line="400" w:lineRule="exact"/>
        <w:ind w:firstLine="420" w:firstLineChars="200"/>
      </w:pPr>
      <w:r>
        <w:t>（3）按法律规定和合同约定采取施工安全和环境保护措施，办理工伤保险，确保工程及人员、材料、设备和设施的安全；</w:t>
      </w:r>
    </w:p>
    <w:p w14:paraId="51485FC6">
      <w:pPr>
        <w:spacing w:line="400" w:lineRule="exact"/>
        <w:ind w:firstLine="420" w:firstLineChars="200"/>
      </w:pPr>
      <w:r>
        <w:t>（4）按合同约定的工作内容和施工进度要求，编制施工组织设计和施工措施计划，并对所有施工作业和施工方法的完备性和安全可靠性负责；</w:t>
      </w:r>
    </w:p>
    <w:p w14:paraId="7839DBF8">
      <w:pPr>
        <w:spacing w:line="400" w:lineRule="exact"/>
        <w:ind w:firstLine="420" w:firstLineChars="200"/>
      </w:pPr>
      <w: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7DA8C78">
      <w:pPr>
        <w:spacing w:line="400" w:lineRule="exact"/>
        <w:ind w:firstLine="420" w:firstLineChars="200"/>
      </w:pPr>
      <w:r>
        <w:t>（6）按照第6.3款</w:t>
      </w:r>
      <w:r>
        <w:rPr>
          <w:rFonts w:hint="eastAsia"/>
        </w:rPr>
        <w:t>〔</w:t>
      </w:r>
      <w:r>
        <w:t>环境保护</w:t>
      </w:r>
      <w:r>
        <w:rPr>
          <w:rFonts w:hint="eastAsia"/>
        </w:rPr>
        <w:t>〕</w:t>
      </w:r>
      <w:r>
        <w:t>约定负责施工场地及其周边环境与生态的保护工作；</w:t>
      </w:r>
    </w:p>
    <w:p w14:paraId="26A7F63F">
      <w:pPr>
        <w:spacing w:line="400" w:lineRule="exact"/>
        <w:ind w:firstLine="420" w:firstLineChars="200"/>
      </w:pPr>
      <w:r>
        <w:t>（7）按第6.1款</w:t>
      </w:r>
      <w:r>
        <w:rPr>
          <w:rFonts w:hint="eastAsia"/>
        </w:rPr>
        <w:t>〔</w:t>
      </w:r>
      <w:r>
        <w:t>安全文明施工</w:t>
      </w:r>
      <w:r>
        <w:rPr>
          <w:rFonts w:hint="eastAsia"/>
        </w:rPr>
        <w:t>〕</w:t>
      </w:r>
      <w:r>
        <w:t>约定采取施工安全措施，确保工程及其人员、材料、设备和设施的安全，防止因工程施工造成的人身伤害和财产损失；</w:t>
      </w:r>
    </w:p>
    <w:p w14:paraId="15F158EC">
      <w:pPr>
        <w:spacing w:line="400" w:lineRule="exact"/>
        <w:ind w:firstLine="420" w:firstLineChars="200"/>
      </w:pPr>
      <w:r>
        <w:t>（8）</w:t>
      </w:r>
      <w:r>
        <w:rPr>
          <w:rFonts w:hint="eastAsia"/>
        </w:rPr>
        <w:t>将</w:t>
      </w:r>
      <w:r>
        <w:t>发包人按合同约定支付的各项价款专用于合同工程，且应及时支付其雇用人员工资，并及时向分包人支付合同价款；</w:t>
      </w:r>
    </w:p>
    <w:p w14:paraId="483AFA0D">
      <w:pPr>
        <w:spacing w:line="400" w:lineRule="exact"/>
        <w:ind w:firstLine="420" w:firstLineChars="200"/>
      </w:pPr>
      <w:r>
        <w:t>（9）按照法律规定和合同约定编制竣工资料，完成竣工资料立卷及归档，并按专用合同条款约定的竣工资料的套数、内容、时间等要求移交发包人；</w:t>
      </w:r>
    </w:p>
    <w:p w14:paraId="538AE093">
      <w:pPr>
        <w:spacing w:line="400" w:lineRule="exact"/>
        <w:ind w:firstLine="420" w:firstLineChars="200"/>
      </w:pPr>
      <w:r>
        <w:t>（10）应履行的其他义务。</w:t>
      </w:r>
    </w:p>
    <w:p w14:paraId="67EF9005">
      <w:pPr>
        <w:pStyle w:val="20"/>
        <w:rPr>
          <w:b/>
        </w:rPr>
      </w:pPr>
      <w:bookmarkStart w:id="1459" w:name="_Toc351203520"/>
      <w:bookmarkStart w:id="1460" w:name="_Toc108513966"/>
      <w:r>
        <w:rPr>
          <w:b/>
        </w:rPr>
        <w:t>3</w:t>
      </w:r>
      <w:bookmarkStart w:id="1461" w:name="_Toc337558748"/>
      <w:bookmarkStart w:id="1462" w:name="_Toc296346548"/>
      <w:bookmarkStart w:id="1463" w:name="_Toc296503047"/>
      <w:r>
        <w:rPr>
          <w:b/>
        </w:rPr>
        <w:t xml:space="preserve">.2 </w:t>
      </w:r>
      <w:bookmarkEnd w:id="1459"/>
      <w:r>
        <w:rPr>
          <w:b/>
        </w:rPr>
        <w:t>项目经理</w:t>
      </w:r>
      <w:bookmarkEnd w:id="1460"/>
    </w:p>
    <w:bookmarkEnd w:id="1461"/>
    <w:bookmarkEnd w:id="1462"/>
    <w:bookmarkEnd w:id="1463"/>
    <w:p w14:paraId="157D63D7">
      <w:pPr>
        <w:spacing w:line="400" w:lineRule="exact"/>
        <w:ind w:firstLine="420" w:firstLineChars="200"/>
      </w:pPr>
      <w: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04B98F71">
      <w:pPr>
        <w:spacing w:line="400" w:lineRule="exact"/>
        <w:ind w:firstLine="420" w:firstLineChars="200"/>
      </w:pPr>
      <w: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3733C289">
      <w:pPr>
        <w:spacing w:line="400" w:lineRule="exact"/>
        <w:ind w:firstLine="420" w:firstLineChars="200"/>
      </w:pPr>
      <w:r>
        <w:t>承包人违反上述约定的，应按照专用合同条款的约定，承担违约责任。</w:t>
      </w:r>
    </w:p>
    <w:p w14:paraId="2F6BC142">
      <w:pPr>
        <w:spacing w:line="400" w:lineRule="exact"/>
        <w:ind w:firstLine="420" w:firstLineChars="200"/>
      </w:pPr>
      <w:r>
        <w:t>3.2.2 项目经理按合同约定组织工程实施。在紧急情况下</w:t>
      </w:r>
      <w:r>
        <w:rPr>
          <w:rFonts w:hint="eastAsia"/>
        </w:rPr>
        <w:t>为确保施工安全和人员安全</w:t>
      </w:r>
      <w:r>
        <w:t>，</w:t>
      </w:r>
      <w:r>
        <w:rPr>
          <w:rFonts w:hint="eastAsia"/>
        </w:rPr>
        <w:t>在</w:t>
      </w:r>
      <w:r>
        <w:t>无法与发包人代表和总监理工程师</w:t>
      </w:r>
      <w:r>
        <w:rPr>
          <w:rFonts w:hint="eastAsia"/>
        </w:rPr>
        <w:t>及时</w:t>
      </w:r>
      <w:r>
        <w:t>取得联系时，项目经理有权采取必要的措施保证与工程有关的人身、财产和工程的安全，但应在48小时内向发包人代表和总监理工程师提交书面报告。</w:t>
      </w:r>
    </w:p>
    <w:p w14:paraId="4A570DB9">
      <w:pPr>
        <w:spacing w:line="400" w:lineRule="exact"/>
        <w:ind w:firstLine="420" w:firstLineChars="200"/>
      </w:pPr>
      <w: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5375D1A6">
      <w:pPr>
        <w:spacing w:line="400" w:lineRule="exact"/>
        <w:ind w:firstLine="420" w:firstLineChars="200"/>
      </w:pPr>
      <w: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rPr>
        <w:t>继</w:t>
      </w:r>
      <w:r>
        <w:t>任项目经理继续履行第3.2.1项约定的职责。承包人无正当理由拒绝更换项目经理的，应按照专用合同条款的约定承担违约责任。</w:t>
      </w:r>
    </w:p>
    <w:p w14:paraId="61F2ABD5">
      <w:pPr>
        <w:spacing w:line="400" w:lineRule="exact"/>
        <w:ind w:firstLine="420" w:firstLineChars="200"/>
      </w:pPr>
      <w:r>
        <w:t>3.2.5 项目经理因特殊情况授权其下属人员履行其某项工作职责的，该下属人员应具备履行相应职责的能力，并应提前7天将上述人员的姓名和授权范围书面通知监理人，并征得发包人书面同意。</w:t>
      </w:r>
    </w:p>
    <w:p w14:paraId="3E3C9B2B">
      <w:pPr>
        <w:pStyle w:val="20"/>
        <w:rPr>
          <w:b/>
        </w:rPr>
      </w:pPr>
      <w:bookmarkStart w:id="1464" w:name="_Toc108513967"/>
      <w:bookmarkStart w:id="1465" w:name="_Toc351203521"/>
      <w:r>
        <w:rPr>
          <w:b/>
        </w:rPr>
        <w:t>3</w:t>
      </w:r>
      <w:bookmarkStart w:id="1466" w:name="_Toc296503048"/>
      <w:bookmarkStart w:id="1467" w:name="_Toc296346549"/>
      <w:bookmarkStart w:id="1468" w:name="_Toc337558749"/>
      <w:r>
        <w:rPr>
          <w:b/>
        </w:rPr>
        <w:t xml:space="preserve">.3 </w:t>
      </w:r>
      <w:bookmarkEnd w:id="1466"/>
      <w:bookmarkEnd w:id="1467"/>
      <w:r>
        <w:rPr>
          <w:b/>
        </w:rPr>
        <w:t>承包人人员</w:t>
      </w:r>
      <w:bookmarkEnd w:id="1464"/>
      <w:bookmarkEnd w:id="1465"/>
    </w:p>
    <w:bookmarkEnd w:id="1468"/>
    <w:p w14:paraId="1A453ECB">
      <w:pPr>
        <w:spacing w:line="400" w:lineRule="exact"/>
        <w:ind w:firstLine="420" w:firstLineChars="200"/>
      </w:pPr>
      <w: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rPr>
        <w:t>和</w:t>
      </w:r>
      <w:r>
        <w:t>缴纳社会保险的有效证明。</w:t>
      </w:r>
    </w:p>
    <w:p w14:paraId="2159E098">
      <w:pPr>
        <w:spacing w:line="400" w:lineRule="exact"/>
        <w:ind w:firstLine="420" w:firstLineChars="200"/>
      </w:pPr>
      <w:r>
        <w:t>3.3.2 承包人派驻到施工现场的主要施工管理人员应相对稳定。施工过程中</w:t>
      </w:r>
      <w:r>
        <w:rPr>
          <w:rFonts w:hint="eastAsia"/>
        </w:rPr>
        <w:t>如有变动</w:t>
      </w:r>
      <w: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0B89FFA1">
      <w:pPr>
        <w:spacing w:line="400" w:lineRule="exact"/>
        <w:ind w:firstLine="420" w:firstLineChars="200"/>
      </w:pPr>
      <w:r>
        <w:t>特殊工种作业人员均应持有相应的资格证明，监理人可以随时检查。</w:t>
      </w:r>
    </w:p>
    <w:p w14:paraId="54EDD08E">
      <w:pPr>
        <w:spacing w:line="400" w:lineRule="exact"/>
        <w:ind w:firstLine="420" w:firstLineChars="200"/>
      </w:pPr>
      <w:r>
        <w:t>3.3.3 发包人对于承包人主要施工管理人员</w:t>
      </w:r>
      <w:r>
        <w:rPr>
          <w:rFonts w:hint="eastAsia"/>
        </w:rPr>
        <w:t>的资格或能力</w:t>
      </w:r>
      <w: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63BEDC8A">
      <w:pPr>
        <w:spacing w:line="400" w:lineRule="exact"/>
        <w:ind w:firstLine="420" w:firstLineChars="200"/>
      </w:pPr>
      <w: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F96E981">
      <w:pPr>
        <w:spacing w:line="400" w:lineRule="exact"/>
        <w:ind w:firstLine="420" w:firstLineChars="200"/>
      </w:pPr>
      <w:r>
        <w:t>3.3.5 承包人擅自更换主要施工管理人员，或前述人员未经监理人或发包人同意擅自离开施工现场的，应按照专用合同条款约定承担违约责任。</w:t>
      </w:r>
    </w:p>
    <w:p w14:paraId="012E5242">
      <w:pPr>
        <w:pStyle w:val="20"/>
        <w:rPr>
          <w:b/>
        </w:rPr>
      </w:pPr>
      <w:bookmarkStart w:id="1469" w:name="_Toc108513968"/>
      <w:bookmarkStart w:id="1470" w:name="_Toc351203522"/>
      <w:r>
        <w:rPr>
          <w:b/>
        </w:rPr>
        <w:t>3</w:t>
      </w:r>
      <w:bookmarkStart w:id="1471" w:name="_Toc337558750"/>
      <w:bookmarkStart w:id="1472" w:name="_Toc296503050"/>
      <w:bookmarkStart w:id="1473" w:name="_Toc296346551"/>
      <w:r>
        <w:rPr>
          <w:b/>
        </w:rPr>
        <w:t>.4 承包人现场查勘</w:t>
      </w:r>
      <w:bookmarkEnd w:id="1469"/>
      <w:bookmarkEnd w:id="1470"/>
    </w:p>
    <w:bookmarkEnd w:id="1471"/>
    <w:bookmarkEnd w:id="1472"/>
    <w:bookmarkEnd w:id="1473"/>
    <w:p w14:paraId="58490AF1">
      <w:pPr>
        <w:spacing w:line="400" w:lineRule="exact"/>
        <w:ind w:firstLine="420" w:firstLineChars="200"/>
      </w:pPr>
      <w:r>
        <w:t>承包人应对基于发包人按照第2.4.3项</w:t>
      </w:r>
      <w:r>
        <w:rPr>
          <w:rFonts w:hint="eastAsia"/>
        </w:rPr>
        <w:t>〔</w:t>
      </w:r>
      <w:r>
        <w:t>提供基础资料</w:t>
      </w:r>
      <w:r>
        <w:rPr>
          <w:rFonts w:hint="eastAsia"/>
        </w:rPr>
        <w:t>〕</w:t>
      </w:r>
      <w:r>
        <w:t>提交的基础资料所做出的解释和推断负责，但因基础资料存在错误、遗漏导致承包人解释或推断失实的，由发包人承担责任。</w:t>
      </w:r>
    </w:p>
    <w:p w14:paraId="7F8F5485">
      <w:pPr>
        <w:spacing w:line="400" w:lineRule="exact"/>
        <w:ind w:firstLine="420" w:firstLineChars="200"/>
      </w:pPr>
      <w: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5C923278">
      <w:pPr>
        <w:pStyle w:val="20"/>
        <w:rPr>
          <w:rFonts w:hint="eastAsia"/>
          <w:b/>
        </w:rPr>
      </w:pPr>
      <w:bookmarkStart w:id="1474" w:name="_Toc351203523"/>
      <w:bookmarkStart w:id="1475" w:name="_Toc108513969"/>
      <w:r>
        <w:rPr>
          <w:b/>
        </w:rPr>
        <w:t>3</w:t>
      </w:r>
      <w:bookmarkStart w:id="1476" w:name="_Toc296346552"/>
      <w:bookmarkStart w:id="1477" w:name="_Toc296503051"/>
      <w:bookmarkStart w:id="1478" w:name="_Toc337558751"/>
      <w:r>
        <w:rPr>
          <w:b/>
        </w:rPr>
        <w:t>.5 分包</w:t>
      </w:r>
      <w:bookmarkEnd w:id="1474"/>
      <w:bookmarkEnd w:id="1475"/>
    </w:p>
    <w:bookmarkEnd w:id="1476"/>
    <w:bookmarkEnd w:id="1477"/>
    <w:bookmarkEnd w:id="1478"/>
    <w:p w14:paraId="70087C03">
      <w:pPr>
        <w:spacing w:line="400" w:lineRule="exact"/>
        <w:ind w:firstLine="420" w:firstLineChars="200"/>
      </w:pPr>
      <w:r>
        <w:t>3.5.1 分包的一般约定</w:t>
      </w:r>
    </w:p>
    <w:p w14:paraId="5343CF5B">
      <w:pPr>
        <w:spacing w:line="400" w:lineRule="exact"/>
        <w:ind w:firstLine="420" w:firstLineChars="200"/>
        <w:rPr>
          <w:rFonts w:hint="eastAsia"/>
        </w:rPr>
      </w:pPr>
      <w: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3735B6DE">
      <w:pPr>
        <w:spacing w:line="400" w:lineRule="exact"/>
        <w:ind w:firstLine="420" w:firstLineChars="200"/>
      </w:pPr>
      <w:r>
        <w:rPr>
          <w:rFonts w:hint="eastAsia"/>
        </w:rPr>
        <w:t>承包人不得以劳务分包的名义转包或违法分包工程。</w:t>
      </w:r>
    </w:p>
    <w:p w14:paraId="4488D156">
      <w:pPr>
        <w:spacing w:line="400" w:lineRule="exact"/>
        <w:ind w:firstLine="420" w:firstLineChars="200"/>
      </w:pPr>
      <w:r>
        <w:t>3.5.2 分包的确定</w:t>
      </w:r>
    </w:p>
    <w:p w14:paraId="77956ACA">
      <w:pPr>
        <w:spacing w:line="400" w:lineRule="exact"/>
        <w:ind w:firstLine="420" w:firstLineChars="200"/>
      </w:pPr>
      <w:r>
        <w:t>承包人应按专用合同条款的约定进行分包，确定分包人。已标价工程量清单或预算书中给定暂估价的专业工程，按照第10.7款</w:t>
      </w:r>
      <w:r>
        <w:rPr>
          <w:rFonts w:hint="eastAsia"/>
        </w:rPr>
        <w:t>〔</w:t>
      </w:r>
      <w:r>
        <w:t>暂估价</w:t>
      </w:r>
      <w:r>
        <w:rPr>
          <w:rFonts w:hint="eastAsia"/>
        </w:rPr>
        <w:t>〕</w:t>
      </w:r>
      <w: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337811E">
      <w:pPr>
        <w:spacing w:line="400" w:lineRule="exact"/>
        <w:ind w:firstLine="420" w:firstLineChars="200"/>
      </w:pPr>
      <w:r>
        <w:t>3.5.3 分包管理</w:t>
      </w:r>
    </w:p>
    <w:p w14:paraId="3948BADF">
      <w:pPr>
        <w:spacing w:line="400" w:lineRule="exact"/>
        <w:ind w:firstLine="420" w:firstLineChars="200"/>
      </w:pPr>
      <w:r>
        <w:t>承包人应向监理人提交分包人的主要施工管理人员表，并对分包人的施工人员进行实名制管理，包括但不限于进出场管理、登记造册以及各种证照的办理。</w:t>
      </w:r>
    </w:p>
    <w:p w14:paraId="4669E288">
      <w:pPr>
        <w:spacing w:line="400" w:lineRule="exact"/>
        <w:ind w:firstLine="420" w:firstLineChars="200"/>
      </w:pPr>
      <w:r>
        <w:t>3.5.4 分包合同价款</w:t>
      </w:r>
    </w:p>
    <w:p w14:paraId="0FF07481">
      <w:pPr>
        <w:spacing w:line="400" w:lineRule="exact"/>
        <w:ind w:firstLine="420" w:firstLineChars="200"/>
      </w:pPr>
      <w:r>
        <w:t>（1）除本项第（2）目约定的情况或专用合同条款另有约定外，分包合同价款由承包人与分包人结算，未经承包人同意，发包人不得向分包人支付分包工程价款；</w:t>
      </w:r>
    </w:p>
    <w:p w14:paraId="06D9ECC3">
      <w:pPr>
        <w:spacing w:line="400" w:lineRule="exact"/>
        <w:ind w:firstLine="420" w:firstLineChars="200"/>
      </w:pPr>
      <w:r>
        <w:t>（2）生效法律文书要求发包人向分包人支付分包合同价款的，发包人有权从应付承包人工程款中扣除该部分款项。</w:t>
      </w:r>
    </w:p>
    <w:p w14:paraId="2C073374">
      <w:pPr>
        <w:spacing w:line="400" w:lineRule="exact"/>
        <w:ind w:firstLine="420" w:firstLineChars="200"/>
      </w:pPr>
      <w:r>
        <w:t>3.5.5 分包合同权益的转让</w:t>
      </w:r>
    </w:p>
    <w:p w14:paraId="3877ABA8">
      <w:pPr>
        <w:spacing w:line="400" w:lineRule="exact"/>
        <w:ind w:firstLine="420" w:firstLineChars="200"/>
      </w:pPr>
      <w: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479" w:name="_Toc351203524"/>
    </w:p>
    <w:p w14:paraId="58942E80">
      <w:pPr>
        <w:pStyle w:val="20"/>
        <w:rPr>
          <w:b/>
        </w:rPr>
      </w:pPr>
      <w:bookmarkStart w:id="1480" w:name="_Toc108513970"/>
      <w:r>
        <w:rPr>
          <w:b/>
        </w:rPr>
        <w:t>3.6 工程照管与成品、半成品保护</w:t>
      </w:r>
      <w:bookmarkEnd w:id="1479"/>
      <w:bookmarkEnd w:id="1480"/>
    </w:p>
    <w:p w14:paraId="16D66D41">
      <w:pPr>
        <w:spacing w:line="400" w:lineRule="exact"/>
        <w:ind w:firstLine="420" w:firstLineChars="200"/>
      </w:pPr>
      <w:r>
        <w:t>（1）除专用合同条款另有约定外，自发包人向承包人移交施工现场之日起，承包人应负责照管工程及工程相关的材料、工程设备，直到颁发工程接收证书之日止。</w:t>
      </w:r>
    </w:p>
    <w:p w14:paraId="58C331A2">
      <w:pPr>
        <w:spacing w:line="400" w:lineRule="exact"/>
        <w:ind w:firstLine="420" w:firstLineChars="200"/>
      </w:pPr>
      <w:r>
        <w:t>（</w:t>
      </w:r>
      <w:r>
        <w:rPr>
          <w:rFonts w:hint="eastAsia"/>
        </w:rPr>
        <w:t>2</w:t>
      </w:r>
      <w:r>
        <w:t>）在承包人负责照管期间，因承包人原因造成工程、材料、工程设备损坏的，由承包人负责修复或更换，并承担由此增加的费用和（或）延误的工期。</w:t>
      </w:r>
    </w:p>
    <w:p w14:paraId="34A6F059">
      <w:pPr>
        <w:spacing w:line="400" w:lineRule="exact"/>
        <w:ind w:firstLine="420" w:firstLineChars="200"/>
      </w:pPr>
      <w:r>
        <w:t>（</w:t>
      </w:r>
      <w:r>
        <w:rPr>
          <w:rFonts w:hint="eastAsia"/>
        </w:rPr>
        <w:t>3</w:t>
      </w:r>
      <w:r>
        <w:t>）对合同内分期完成的成品和半成品，在工程接收证书颁发前，由承包人承担保护责任。因承包人原因造成成品或半成品损坏的，由承包人负责修复或更换，并承担由此增加的费用和（或）延误的工期。</w:t>
      </w:r>
    </w:p>
    <w:p w14:paraId="56FF4FB9">
      <w:pPr>
        <w:pStyle w:val="20"/>
        <w:rPr>
          <w:b/>
        </w:rPr>
      </w:pPr>
      <w:bookmarkStart w:id="1481" w:name="_Toc351203525"/>
      <w:bookmarkStart w:id="1482" w:name="_Toc108513971"/>
      <w:r>
        <w:rPr>
          <w:b/>
        </w:rPr>
        <w:t>3</w:t>
      </w:r>
      <w:bookmarkStart w:id="1483" w:name="_Toc296503052"/>
      <w:bookmarkStart w:id="1484" w:name="_Toc337558752"/>
      <w:bookmarkStart w:id="1485" w:name="_Toc296346553"/>
      <w:r>
        <w:rPr>
          <w:b/>
        </w:rPr>
        <w:t>.7 履约担保</w:t>
      </w:r>
      <w:bookmarkEnd w:id="1481"/>
      <w:bookmarkEnd w:id="1482"/>
    </w:p>
    <w:bookmarkEnd w:id="1483"/>
    <w:bookmarkEnd w:id="1484"/>
    <w:bookmarkEnd w:id="1485"/>
    <w:p w14:paraId="2E68FFE3">
      <w:pPr>
        <w:spacing w:line="400" w:lineRule="exact"/>
        <w:ind w:firstLine="420" w:firstLineChars="200"/>
        <w:rPr>
          <w:rFonts w:hint="eastAsia"/>
        </w:rPr>
      </w:pPr>
      <w:r>
        <w:rPr>
          <w:rFonts w:hint="eastAsia"/>
        </w:rPr>
        <w:t>发包人需要承包人提供履约担保的，由合同当事人在专用合同条款中约定履约担保的方式、金额及期限等。</w:t>
      </w:r>
      <w:r>
        <w:t>履约担保可以采用银行保函或担保公司担保等形式，具体由合同当事人在专用合同条款中约定。</w:t>
      </w:r>
    </w:p>
    <w:p w14:paraId="71C01225">
      <w:pPr>
        <w:spacing w:line="400" w:lineRule="exact"/>
        <w:ind w:firstLine="420" w:firstLineChars="200"/>
      </w:pPr>
      <w:r>
        <w:t>因承包人原因导致工期延长的，继续提供履约担保所增加的费用由承包人承担；非因承包人原因导致工期延长的，继续提供履约担保所增加的费用由发包人承担。</w:t>
      </w:r>
    </w:p>
    <w:p w14:paraId="24A34712">
      <w:pPr>
        <w:pStyle w:val="20"/>
        <w:rPr>
          <w:b/>
        </w:rPr>
      </w:pPr>
      <w:bookmarkStart w:id="1486" w:name="_Toc351203526"/>
      <w:bookmarkStart w:id="1487" w:name="_Toc108513972"/>
      <w:r>
        <w:rPr>
          <w:b/>
        </w:rPr>
        <w:t>3.8 联合体</w:t>
      </w:r>
      <w:bookmarkEnd w:id="1486"/>
      <w:bookmarkEnd w:id="1487"/>
    </w:p>
    <w:p w14:paraId="0B3A18AA">
      <w:pPr>
        <w:spacing w:line="400" w:lineRule="exact"/>
        <w:ind w:firstLine="420" w:firstLineChars="200"/>
      </w:pPr>
      <w:r>
        <w:t>3.8.1 联合体各方应共同与发包人签订合同协议书。联合体各方应为履行合同</w:t>
      </w:r>
      <w:r>
        <w:rPr>
          <w:rFonts w:hint="eastAsia"/>
        </w:rPr>
        <w:t>向发包人</w:t>
      </w:r>
      <w:r>
        <w:t>承担连带责任。</w:t>
      </w:r>
    </w:p>
    <w:p w14:paraId="2285E783">
      <w:pPr>
        <w:spacing w:line="400" w:lineRule="exact"/>
        <w:ind w:firstLine="420" w:firstLineChars="200"/>
      </w:pPr>
      <w:r>
        <w:t>3.8.2 联合体协议经发包人确认后作为合同附件。在履行合同过程中，未经发包人同意，不得修改联合体协议。</w:t>
      </w:r>
    </w:p>
    <w:p w14:paraId="2918BD10">
      <w:pPr>
        <w:spacing w:line="400" w:lineRule="exact"/>
        <w:ind w:firstLine="420" w:firstLineChars="200"/>
      </w:pPr>
      <w:r>
        <w:t>3.8.3 联合体牵头人负责与发包人和监理人联系，并接受指示，负责组织联合体各成员全面履行合同。</w:t>
      </w:r>
    </w:p>
    <w:p w14:paraId="22A31EFB">
      <w:pPr>
        <w:pStyle w:val="18"/>
        <w:rPr>
          <w:b/>
        </w:rPr>
      </w:pPr>
      <w:bookmarkStart w:id="1488" w:name="_Toc108513973"/>
      <w:bookmarkStart w:id="1489" w:name="_Toc351203527"/>
      <w:r>
        <w:rPr>
          <w:b/>
        </w:rPr>
        <w:t>4</w:t>
      </w:r>
      <w:bookmarkStart w:id="1490" w:name="_Toc296503053"/>
      <w:bookmarkStart w:id="1491" w:name="_Toc296346554"/>
      <w:bookmarkStart w:id="1492" w:name="_Toc337558753"/>
      <w:r>
        <w:rPr>
          <w:b/>
        </w:rPr>
        <w:t>. 监</w:t>
      </w:r>
      <w:bookmarkEnd w:id="1490"/>
      <w:bookmarkEnd w:id="1491"/>
      <w:r>
        <w:rPr>
          <w:b/>
        </w:rPr>
        <w:t>理人</w:t>
      </w:r>
      <w:bookmarkEnd w:id="1488"/>
      <w:bookmarkEnd w:id="1489"/>
    </w:p>
    <w:bookmarkEnd w:id="1492"/>
    <w:p w14:paraId="186385C7">
      <w:pPr>
        <w:pStyle w:val="20"/>
        <w:rPr>
          <w:b/>
        </w:rPr>
      </w:pPr>
      <w:bookmarkStart w:id="1493" w:name="_Toc108513974"/>
      <w:bookmarkStart w:id="1494" w:name="_Toc351203528"/>
      <w:r>
        <w:rPr>
          <w:b/>
        </w:rPr>
        <w:t>4</w:t>
      </w:r>
      <w:bookmarkStart w:id="1495" w:name="_Toc337558754"/>
      <w:bookmarkStart w:id="1496" w:name="_Toc296503054"/>
      <w:bookmarkStart w:id="1497" w:name="_Toc296346555"/>
      <w:r>
        <w:rPr>
          <w:b/>
        </w:rPr>
        <w:t>.1监理人的一般规定</w:t>
      </w:r>
      <w:bookmarkEnd w:id="1493"/>
      <w:bookmarkEnd w:id="1494"/>
    </w:p>
    <w:bookmarkEnd w:id="1495"/>
    <w:bookmarkEnd w:id="1496"/>
    <w:bookmarkEnd w:id="1497"/>
    <w:p w14:paraId="0BFFE528">
      <w:pPr>
        <w:spacing w:line="400" w:lineRule="exact"/>
        <w:ind w:firstLine="420" w:firstLineChars="200"/>
      </w:pPr>
      <w: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AC709DF">
      <w:pPr>
        <w:spacing w:line="400" w:lineRule="exact"/>
        <w:ind w:firstLine="420" w:firstLineChars="200"/>
      </w:pPr>
      <w:r>
        <w:t>除专用合同条款另有约定外，监理人在施工现场的办公场所、生活场所由承包人提供，所发生的费用由发包人承担。</w:t>
      </w:r>
    </w:p>
    <w:p w14:paraId="0E3BDA3F">
      <w:pPr>
        <w:pStyle w:val="20"/>
        <w:rPr>
          <w:b/>
        </w:rPr>
      </w:pPr>
      <w:bookmarkStart w:id="1498" w:name="_Toc108513975"/>
      <w:bookmarkStart w:id="1499" w:name="_Toc351203529"/>
      <w:r>
        <w:rPr>
          <w:b/>
        </w:rPr>
        <w:t>4</w:t>
      </w:r>
      <w:bookmarkStart w:id="1500" w:name="_Toc337558755"/>
      <w:r>
        <w:rPr>
          <w:b/>
        </w:rPr>
        <w:t>.2监理人员</w:t>
      </w:r>
      <w:bookmarkEnd w:id="1498"/>
      <w:bookmarkEnd w:id="1499"/>
    </w:p>
    <w:bookmarkEnd w:id="1500"/>
    <w:p w14:paraId="416C52E6">
      <w:pPr>
        <w:spacing w:line="400" w:lineRule="exact"/>
        <w:ind w:firstLine="420" w:firstLineChars="200"/>
      </w:pPr>
      <w: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2A7206F4">
      <w:pPr>
        <w:pStyle w:val="20"/>
        <w:rPr>
          <w:b/>
        </w:rPr>
      </w:pPr>
      <w:bookmarkStart w:id="1501" w:name="_Toc108513976"/>
      <w:bookmarkStart w:id="1502" w:name="_Toc351203530"/>
      <w:r>
        <w:rPr>
          <w:b/>
        </w:rPr>
        <w:t>4</w:t>
      </w:r>
      <w:bookmarkStart w:id="1503" w:name="_Toc296346556"/>
      <w:bookmarkStart w:id="1504" w:name="_Toc296503055"/>
      <w:bookmarkStart w:id="1505" w:name="_Toc337558756"/>
      <w:r>
        <w:rPr>
          <w:b/>
        </w:rPr>
        <w:t>.3</w:t>
      </w:r>
      <w:bookmarkEnd w:id="1503"/>
      <w:bookmarkEnd w:id="1504"/>
      <w:r>
        <w:rPr>
          <w:b/>
        </w:rPr>
        <w:t>监理人的指</w:t>
      </w:r>
      <w:bookmarkEnd w:id="1505"/>
      <w:r>
        <w:rPr>
          <w:b/>
        </w:rPr>
        <w:t>示</w:t>
      </w:r>
      <w:bookmarkEnd w:id="1501"/>
      <w:bookmarkEnd w:id="1502"/>
    </w:p>
    <w:p w14:paraId="79CFFF96">
      <w:pPr>
        <w:spacing w:line="400" w:lineRule="exact"/>
        <w:ind w:firstLine="420" w:firstLineChars="200"/>
      </w:pPr>
      <w: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3D647EA6">
      <w:pPr>
        <w:spacing w:line="400" w:lineRule="exact"/>
        <w:ind w:firstLine="420" w:firstLineChars="200"/>
      </w:pPr>
      <w: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rPr>
        <w:t>相应</w:t>
      </w:r>
      <w:r>
        <w:t>责任。除专用合同条款另有约定外，总监理工程师不应将第4.4款</w:t>
      </w:r>
      <w:r>
        <w:rPr>
          <w:rFonts w:hint="eastAsia"/>
        </w:rPr>
        <w:t>〔</w:t>
      </w:r>
      <w:r>
        <w:t>商定或确定</w:t>
      </w:r>
      <w:r>
        <w:rPr>
          <w:rFonts w:hint="eastAsia"/>
        </w:rPr>
        <w:t>〕</w:t>
      </w:r>
      <w:r>
        <w:t>约定应由总监理工程师作出确定的权力授权或委托给其他监理人员。</w:t>
      </w:r>
    </w:p>
    <w:p w14:paraId="3DA15E0F">
      <w:pPr>
        <w:spacing w:line="400" w:lineRule="exact"/>
        <w:ind w:firstLine="420" w:firstLineChars="200"/>
      </w:pPr>
      <w:r>
        <w:t>承包人对监理人发出的指示有疑问的，应向监理人提出书面异议，监理人应在48小时内对该指示予以确认、更改或撤销，监理人逾期未回复的，承包人有权拒绝执行上述指示。</w:t>
      </w:r>
    </w:p>
    <w:p w14:paraId="0F8D6148">
      <w:pPr>
        <w:spacing w:line="400" w:lineRule="exact"/>
        <w:ind w:firstLine="420" w:firstLineChars="200"/>
      </w:pPr>
      <w:r>
        <w:t>监理人对承包人的任何工作、工程或其采用的材料和工程设备未在约定的或合理期限内提出意见的，视为批准，但不免除或减轻承包人对该工作、工程、材料、工程设备等应承担的责任和义务。</w:t>
      </w:r>
    </w:p>
    <w:p w14:paraId="172B7AE9">
      <w:pPr>
        <w:pStyle w:val="20"/>
        <w:rPr>
          <w:rFonts w:hint="eastAsia"/>
          <w:b/>
        </w:rPr>
      </w:pPr>
      <w:bookmarkStart w:id="1506" w:name="_Toc351203531"/>
      <w:bookmarkStart w:id="1507" w:name="_Toc108513977"/>
      <w:r>
        <w:rPr>
          <w:b/>
        </w:rPr>
        <w:t>4</w:t>
      </w:r>
      <w:bookmarkStart w:id="1508" w:name="_Toc296503057"/>
      <w:bookmarkStart w:id="1509" w:name="_Toc337558757"/>
      <w:bookmarkStart w:id="1510" w:name="_Toc296346558"/>
      <w:r>
        <w:rPr>
          <w:b/>
        </w:rPr>
        <w:t>.4 商定或确定</w:t>
      </w:r>
      <w:bookmarkEnd w:id="1506"/>
      <w:bookmarkEnd w:id="1507"/>
    </w:p>
    <w:bookmarkEnd w:id="1508"/>
    <w:bookmarkEnd w:id="1509"/>
    <w:bookmarkEnd w:id="1510"/>
    <w:p w14:paraId="19E65338">
      <w:pPr>
        <w:spacing w:line="400" w:lineRule="exact"/>
        <w:ind w:firstLine="420" w:firstLineChars="200"/>
      </w:pPr>
      <w:r>
        <w:t>合同</w:t>
      </w:r>
      <w:r>
        <w:rPr>
          <w:rFonts w:hint="eastAsia"/>
        </w:rPr>
        <w:t>当事人</w:t>
      </w:r>
      <w:r>
        <w:t>进行</w:t>
      </w:r>
      <w:r>
        <w:rPr>
          <w:rFonts w:hint="eastAsia"/>
        </w:rPr>
        <w:t>商定</w:t>
      </w:r>
      <w:r>
        <w:t>或确定时，总监理工程师应当会同合同当事人尽量通过协商达成一致，不能达成一致的，由总监理工程师按照合同约定审慎做出公正的确定。</w:t>
      </w:r>
    </w:p>
    <w:p w14:paraId="4E2C6AEC">
      <w:pPr>
        <w:spacing w:line="400" w:lineRule="exact"/>
        <w:ind w:firstLine="420" w:firstLineChars="200"/>
      </w:pPr>
      <w: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rPr>
        <w:t>〔</w:t>
      </w:r>
      <w:r>
        <w:t>争议解决</w:t>
      </w:r>
      <w:r>
        <w:rPr>
          <w:rFonts w:hint="eastAsia"/>
        </w:rPr>
        <w:t>〕</w:t>
      </w:r>
      <w:r>
        <w:t>约定处理。争议解决前，合同当事人暂按总监理工程师的确定执行；争议解决后，争议解决的结果与总监理工程师的确定不一致的，按照争议解决的结果执行，由此造成的损失由责任人承担。</w:t>
      </w:r>
    </w:p>
    <w:p w14:paraId="4987B31A">
      <w:pPr>
        <w:pStyle w:val="18"/>
        <w:rPr>
          <w:b/>
        </w:rPr>
      </w:pPr>
      <w:bookmarkStart w:id="1511" w:name="_Toc351203532"/>
      <w:bookmarkStart w:id="1512" w:name="_Toc108513978"/>
      <w:r>
        <w:rPr>
          <w:b/>
        </w:rPr>
        <w:t>5</w:t>
      </w:r>
      <w:bookmarkStart w:id="1513" w:name="_Toc337558758"/>
      <w:r>
        <w:rPr>
          <w:b/>
        </w:rPr>
        <w:t>. 工程质量</w:t>
      </w:r>
      <w:bookmarkEnd w:id="1511"/>
      <w:bookmarkEnd w:id="1512"/>
    </w:p>
    <w:bookmarkEnd w:id="1513"/>
    <w:p w14:paraId="2FD657F2">
      <w:pPr>
        <w:pStyle w:val="20"/>
        <w:rPr>
          <w:b/>
        </w:rPr>
      </w:pPr>
      <w:bookmarkStart w:id="1514" w:name="_Toc108513979"/>
      <w:bookmarkStart w:id="1515" w:name="_Toc351203533"/>
      <w:r>
        <w:rPr>
          <w:b/>
        </w:rPr>
        <w:t>5</w:t>
      </w:r>
      <w:bookmarkStart w:id="1516" w:name="_Toc337558759"/>
      <w:r>
        <w:rPr>
          <w:b/>
        </w:rPr>
        <w:t>.1质量要求</w:t>
      </w:r>
      <w:bookmarkEnd w:id="1514"/>
      <w:bookmarkEnd w:id="1515"/>
    </w:p>
    <w:bookmarkEnd w:id="1516"/>
    <w:p w14:paraId="1A637D89">
      <w:pPr>
        <w:spacing w:line="400" w:lineRule="exact"/>
        <w:ind w:firstLine="420" w:firstLineChars="200"/>
      </w:pPr>
      <w:r>
        <w:t>5.1.1 工程质量标准必须符合现行国家有关工程施工质量验收规范和标准的要求。有关工程质量的特殊标准或要求由合同当事人在专用合同条款中约定。</w:t>
      </w:r>
    </w:p>
    <w:p w14:paraId="79CEE230">
      <w:pPr>
        <w:spacing w:line="400" w:lineRule="exact"/>
        <w:ind w:firstLine="420" w:firstLineChars="200"/>
      </w:pPr>
      <w:r>
        <w:t>5.1.2 因发包人原因造成工程质量未达到合同约定标准的，由发包人承担由此增加的费用和（或）延误的工期，并支付承包人合理的利润。</w:t>
      </w:r>
    </w:p>
    <w:p w14:paraId="26164EF4">
      <w:pPr>
        <w:spacing w:line="400" w:lineRule="exact"/>
        <w:ind w:firstLine="420" w:firstLineChars="200"/>
      </w:pPr>
      <w:r>
        <w:t>5.1.3 因承包人原因造成工程质量未达到合同约定标准的，发包人有权要求承包人返工直至工程质量达到合同约定的标准为止，并由承包人承担由此增加的费用和（或）延误的工期。</w:t>
      </w:r>
    </w:p>
    <w:p w14:paraId="77D6F14E">
      <w:pPr>
        <w:pStyle w:val="20"/>
        <w:rPr>
          <w:b/>
        </w:rPr>
      </w:pPr>
      <w:bookmarkStart w:id="1517" w:name="_Toc108513980"/>
      <w:bookmarkStart w:id="1518" w:name="_Toc351203534"/>
      <w:r>
        <w:rPr>
          <w:b/>
        </w:rPr>
        <w:t>5</w:t>
      </w:r>
      <w:bookmarkStart w:id="1519" w:name="_Toc337558760"/>
      <w:r>
        <w:rPr>
          <w:b/>
        </w:rPr>
        <w:t>.2质量保证措施</w:t>
      </w:r>
      <w:bookmarkEnd w:id="1517"/>
      <w:bookmarkEnd w:id="1518"/>
    </w:p>
    <w:bookmarkEnd w:id="1519"/>
    <w:p w14:paraId="3CC2F69F">
      <w:pPr>
        <w:spacing w:line="400" w:lineRule="exact"/>
        <w:ind w:firstLine="420" w:firstLineChars="200"/>
      </w:pPr>
      <w:r>
        <w:t>5.2.1 发包人的质量管理</w:t>
      </w:r>
    </w:p>
    <w:p w14:paraId="0A954218">
      <w:pPr>
        <w:spacing w:line="400" w:lineRule="exact"/>
        <w:ind w:firstLine="420" w:firstLineChars="200"/>
      </w:pPr>
      <w:r>
        <w:t>发包人应按照法律规定及合同约定完成与工程质量有关的各项工作。</w:t>
      </w:r>
    </w:p>
    <w:p w14:paraId="28487760">
      <w:pPr>
        <w:spacing w:line="400" w:lineRule="exact"/>
        <w:ind w:firstLine="420" w:firstLineChars="200"/>
      </w:pPr>
      <w:r>
        <w:t>5.2.2 承包人的质量管理</w:t>
      </w:r>
    </w:p>
    <w:p w14:paraId="6EE41C59">
      <w:pPr>
        <w:spacing w:line="400" w:lineRule="exact"/>
        <w:ind w:firstLine="420" w:firstLineChars="200"/>
      </w:pPr>
      <w:r>
        <w:t>承包人按照第7.1款</w:t>
      </w:r>
      <w:r>
        <w:rPr>
          <w:rFonts w:hint="eastAsia"/>
        </w:rPr>
        <w:t>〔</w:t>
      </w:r>
      <w:r>
        <w:t>施工组织设计</w:t>
      </w:r>
      <w:r>
        <w:rPr>
          <w:rFonts w:hint="eastAsia"/>
        </w:rPr>
        <w:t>〕</w:t>
      </w:r>
      <w:r>
        <w:t>约定向发包人和监理人提交工程质量保证体系及措施文件，建立完善的质量检查制度，并提交相应的工程质量文件。对于发包人和监理人违反法律规定和合同约定的错误指示，承包人有权拒绝实施。</w:t>
      </w:r>
    </w:p>
    <w:p w14:paraId="6D4575D4">
      <w:pPr>
        <w:spacing w:line="400" w:lineRule="exact"/>
        <w:ind w:firstLine="420" w:firstLineChars="200"/>
      </w:pPr>
      <w:r>
        <w:t>承包人应对施工人员进行质量教育和技术培训，定期考核施工人员的劳动技能，严格执行施工规范和操作规程。</w:t>
      </w:r>
    </w:p>
    <w:p w14:paraId="0F437A2B">
      <w:pPr>
        <w:spacing w:line="400" w:lineRule="exact"/>
        <w:ind w:firstLine="420" w:firstLineChars="200"/>
      </w:pPr>
      <w: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48A1AB60">
      <w:pPr>
        <w:spacing w:line="400" w:lineRule="exact"/>
        <w:ind w:firstLine="420" w:firstLineChars="200"/>
      </w:pPr>
      <w:r>
        <w:t>5.2.3 监理人的质量检查和检验</w:t>
      </w:r>
    </w:p>
    <w:p w14:paraId="378C3922">
      <w:pPr>
        <w:spacing w:line="400" w:lineRule="exact"/>
        <w:ind w:firstLine="420" w:firstLineChars="200"/>
      </w:pPr>
      <w: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535E9961">
      <w:pPr>
        <w:spacing w:line="400" w:lineRule="exact"/>
        <w:ind w:firstLine="420" w:firstLineChars="200"/>
      </w:pPr>
      <w: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53796E5">
      <w:pPr>
        <w:pStyle w:val="20"/>
        <w:rPr>
          <w:b/>
        </w:rPr>
      </w:pPr>
      <w:bookmarkStart w:id="1520" w:name="_Toc351203535"/>
      <w:bookmarkStart w:id="1521" w:name="_Toc108513981"/>
      <w:r>
        <w:rPr>
          <w:b/>
        </w:rPr>
        <w:t>5</w:t>
      </w:r>
      <w:bookmarkStart w:id="1522" w:name="_Toc337558761"/>
      <w:r>
        <w:rPr>
          <w:b/>
        </w:rPr>
        <w:t>.3 隐蔽工程检查</w:t>
      </w:r>
      <w:bookmarkEnd w:id="1520"/>
      <w:bookmarkEnd w:id="1521"/>
    </w:p>
    <w:bookmarkEnd w:id="1522"/>
    <w:p w14:paraId="49622E6C">
      <w:pPr>
        <w:spacing w:line="400" w:lineRule="exact"/>
        <w:ind w:firstLine="420" w:firstLineChars="200"/>
      </w:pPr>
      <w:r>
        <w:t>5.3.1承包人自检</w:t>
      </w:r>
    </w:p>
    <w:p w14:paraId="1B432086">
      <w:pPr>
        <w:spacing w:line="400" w:lineRule="exact"/>
        <w:ind w:firstLine="420" w:firstLineChars="200"/>
      </w:pPr>
      <w:r>
        <w:t>承包人应当对工程隐蔽部位进行自检，并经自检确认是否具备覆盖条件。</w:t>
      </w:r>
    </w:p>
    <w:p w14:paraId="7DD3AEDF">
      <w:pPr>
        <w:spacing w:line="400" w:lineRule="exact"/>
        <w:ind w:firstLine="420" w:firstLineChars="200"/>
      </w:pPr>
      <w:r>
        <w:t>5.3.2检查程序</w:t>
      </w:r>
    </w:p>
    <w:p w14:paraId="581D2DFE">
      <w:pPr>
        <w:spacing w:line="400" w:lineRule="exact"/>
        <w:ind w:firstLine="420" w:firstLineChars="200"/>
      </w:pPr>
      <w:r>
        <w:t>除专用合同条款另有约定外，工程隐蔽部位经承包人自检确认具备覆盖条件的，承包人应在</w:t>
      </w:r>
      <w:r>
        <w:rPr>
          <w:rFonts w:hint="eastAsia"/>
        </w:rPr>
        <w:t>共同</w:t>
      </w:r>
      <w:r>
        <w:t>检查前48小时书面通知监理人检查，通知中应载明隐蔽检查的内容、时间和地点，并应附有自检记录和必要的检查资料。</w:t>
      </w:r>
    </w:p>
    <w:p w14:paraId="675268DA">
      <w:pPr>
        <w:spacing w:line="400" w:lineRule="exact"/>
        <w:ind w:firstLine="420" w:firstLineChars="200"/>
      </w:pPr>
      <w: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3E16766">
      <w:pPr>
        <w:spacing w:line="400" w:lineRule="exact"/>
        <w:ind w:firstLine="420" w:firstLineChars="200"/>
        <w:rPr>
          <w:rFonts w:hint="eastAsia"/>
        </w:rPr>
      </w:pPr>
      <w: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rPr>
        <w:t>〔</w:t>
      </w:r>
      <w:r>
        <w:t>重新检查</w:t>
      </w:r>
      <w:r>
        <w:rPr>
          <w:rFonts w:hint="eastAsia"/>
        </w:rPr>
        <w:t>〕</w:t>
      </w:r>
      <w:r>
        <w:t>的约定重新检查。</w:t>
      </w:r>
    </w:p>
    <w:p w14:paraId="5961261C">
      <w:pPr>
        <w:spacing w:line="400" w:lineRule="exact"/>
        <w:ind w:firstLine="420" w:firstLineChars="200"/>
      </w:pPr>
      <w:r>
        <w:t>5.3.3 重新检查</w:t>
      </w:r>
    </w:p>
    <w:p w14:paraId="2916FB33">
      <w:pPr>
        <w:spacing w:line="400" w:lineRule="exact"/>
        <w:ind w:firstLine="420" w:firstLineChars="200"/>
      </w:pPr>
      <w: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87BAA5">
      <w:pPr>
        <w:spacing w:line="400" w:lineRule="exact"/>
        <w:ind w:firstLine="420" w:firstLineChars="200"/>
      </w:pPr>
      <w:r>
        <w:t>5.3.4 承包人私自覆盖</w:t>
      </w:r>
    </w:p>
    <w:p w14:paraId="16A3C08A">
      <w:pPr>
        <w:spacing w:line="400" w:lineRule="exact"/>
        <w:ind w:firstLine="420" w:firstLineChars="200"/>
      </w:pPr>
      <w:r>
        <w:t>承包人未通知监理人到场检查，私自将工程隐蔽部位覆盖的，监理人有权指示承包人钻孔探测或揭开检查，无论工程隐蔽部位质量是否合格，由此增加的费用和（或）延误的工期均由承包人承担。</w:t>
      </w:r>
    </w:p>
    <w:p w14:paraId="625C1204">
      <w:pPr>
        <w:pStyle w:val="20"/>
        <w:rPr>
          <w:b/>
        </w:rPr>
      </w:pPr>
      <w:bookmarkStart w:id="1523" w:name="_Toc108513982"/>
      <w:bookmarkStart w:id="1524" w:name="_Toc351203536"/>
      <w:r>
        <w:rPr>
          <w:b/>
        </w:rPr>
        <w:t>5</w:t>
      </w:r>
      <w:bookmarkStart w:id="1525" w:name="_Toc337558762"/>
      <w:r>
        <w:rPr>
          <w:b/>
        </w:rPr>
        <w:t>.4不合格工程的处理</w:t>
      </w:r>
      <w:bookmarkEnd w:id="1523"/>
      <w:bookmarkEnd w:id="1524"/>
    </w:p>
    <w:bookmarkEnd w:id="1525"/>
    <w:p w14:paraId="791111AD">
      <w:pPr>
        <w:spacing w:line="400" w:lineRule="exact"/>
        <w:ind w:firstLine="420" w:firstLineChars="200"/>
      </w:pPr>
      <w:r>
        <w:t>5.4.1 因承包人原因造成工程不合格的，发包人有权随时要求承包人采取补救措施，直至达到合同要求的质量标准，由此增加的费用和（或）延误的工期由承包人承担。无法补救的，按照第13.2.4项</w:t>
      </w:r>
      <w:r>
        <w:rPr>
          <w:rFonts w:hint="eastAsia"/>
        </w:rPr>
        <w:t>〔</w:t>
      </w:r>
      <w:r>
        <w:t>拒绝接收全部或部分工程</w:t>
      </w:r>
      <w:r>
        <w:rPr>
          <w:rFonts w:hint="eastAsia"/>
        </w:rPr>
        <w:t>〕</w:t>
      </w:r>
      <w:r>
        <w:t xml:space="preserve">约定执行。 </w:t>
      </w:r>
    </w:p>
    <w:p w14:paraId="76466D29">
      <w:pPr>
        <w:spacing w:line="400" w:lineRule="exact"/>
        <w:ind w:firstLine="420" w:firstLineChars="200"/>
      </w:pPr>
      <w:r>
        <w:t>5.4.2 因发包人原因造成工程不合格的，由此增加的费用和（或）延误的工期由发包人承担，并支付承包人合理的利润。</w:t>
      </w:r>
    </w:p>
    <w:p w14:paraId="0D138C0F">
      <w:pPr>
        <w:pStyle w:val="20"/>
        <w:rPr>
          <w:b/>
        </w:rPr>
      </w:pPr>
      <w:bookmarkStart w:id="1526" w:name="_Toc351203537"/>
      <w:bookmarkStart w:id="1527" w:name="_Toc108513983"/>
      <w:r>
        <w:rPr>
          <w:b/>
        </w:rPr>
        <w:t>5.5 质量争议检测</w:t>
      </w:r>
      <w:bookmarkEnd w:id="1526"/>
      <w:bookmarkEnd w:id="1527"/>
    </w:p>
    <w:p w14:paraId="2C6D1B49">
      <w:pPr>
        <w:spacing w:line="400" w:lineRule="exact"/>
        <w:ind w:firstLine="420" w:firstLineChars="200"/>
        <w:rPr>
          <w:rFonts w:hint="eastAsia"/>
        </w:rPr>
      </w:pPr>
      <w:r>
        <w:t>合同当事人对工程质量有争议的，由双方协商确定的工程质量检测机构鉴定，由此产生的费用及因此造成的损失，由责任方承担。</w:t>
      </w:r>
    </w:p>
    <w:p w14:paraId="2308D1C4">
      <w:pPr>
        <w:spacing w:line="400" w:lineRule="exact"/>
        <w:ind w:firstLine="420" w:firstLineChars="200"/>
      </w:pPr>
      <w:r>
        <w:t>合同当事人均有责任的，由双方根据其责任分别承担。合同当事人无法达成一致的，按照第4.4款</w:t>
      </w:r>
      <w:r>
        <w:rPr>
          <w:rFonts w:hint="eastAsia"/>
        </w:rPr>
        <w:t>〔</w:t>
      </w:r>
      <w:r>
        <w:t>商定或确定</w:t>
      </w:r>
      <w:r>
        <w:rPr>
          <w:rFonts w:hint="eastAsia"/>
        </w:rPr>
        <w:t>〕</w:t>
      </w:r>
      <w:r>
        <w:t>执行。</w:t>
      </w:r>
    </w:p>
    <w:p w14:paraId="1349D28B">
      <w:pPr>
        <w:pStyle w:val="18"/>
        <w:rPr>
          <w:b/>
        </w:rPr>
      </w:pPr>
      <w:bookmarkStart w:id="1528" w:name="_Toc108513984"/>
      <w:bookmarkStart w:id="1529" w:name="_Toc351203538"/>
      <w:r>
        <w:rPr>
          <w:b/>
        </w:rPr>
        <w:t>6</w:t>
      </w:r>
      <w:bookmarkStart w:id="1530" w:name="_Toc337558763"/>
      <w:r>
        <w:rPr>
          <w:b/>
        </w:rPr>
        <w:t>. 安全文明施工与环境保护</w:t>
      </w:r>
      <w:bookmarkEnd w:id="1528"/>
      <w:bookmarkEnd w:id="1529"/>
    </w:p>
    <w:bookmarkEnd w:id="1530"/>
    <w:p w14:paraId="4E3D86F9">
      <w:pPr>
        <w:pStyle w:val="20"/>
        <w:rPr>
          <w:b/>
        </w:rPr>
      </w:pPr>
      <w:bookmarkStart w:id="1531" w:name="_Toc108513985"/>
      <w:bookmarkStart w:id="1532" w:name="_Toc351203539"/>
      <w:r>
        <w:rPr>
          <w:b/>
        </w:rPr>
        <w:t>6</w:t>
      </w:r>
      <w:bookmarkStart w:id="1533" w:name="_Toc337558764"/>
      <w:r>
        <w:rPr>
          <w:b/>
        </w:rPr>
        <w:t>.1安全文明施工</w:t>
      </w:r>
      <w:bookmarkEnd w:id="1531"/>
      <w:bookmarkEnd w:id="1532"/>
    </w:p>
    <w:bookmarkEnd w:id="1533"/>
    <w:p w14:paraId="1EEDB1F7">
      <w:pPr>
        <w:spacing w:line="400" w:lineRule="exact"/>
        <w:ind w:firstLine="420" w:firstLineChars="200"/>
      </w:pPr>
      <w:r>
        <w:t>6.1.1安全生产要求</w:t>
      </w:r>
    </w:p>
    <w:p w14:paraId="2019763D">
      <w:pPr>
        <w:spacing w:line="400" w:lineRule="exact"/>
        <w:ind w:firstLine="420" w:firstLineChars="200"/>
      </w:pPr>
      <w: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9409216">
      <w:pPr>
        <w:spacing w:line="400" w:lineRule="exact"/>
        <w:ind w:firstLine="420" w:firstLineChars="200"/>
      </w:pPr>
      <w:r>
        <w:t>在施工过程中，如遇到突发的地质变动、事先未知的地下施工障碍等影响施工安全的紧急情况，</w:t>
      </w:r>
      <w:r>
        <w:rPr>
          <w:rFonts w:hint="eastAsia"/>
        </w:rPr>
        <w:t>承包人应及时报告监理人和发包人，</w:t>
      </w:r>
      <w:r>
        <w:t>发包人应当及时下令停工并报政府有关行政管理部门采取应急措施。</w:t>
      </w:r>
    </w:p>
    <w:p w14:paraId="6F8848C7">
      <w:pPr>
        <w:spacing w:line="400" w:lineRule="exact"/>
        <w:ind w:firstLine="420" w:firstLineChars="200"/>
      </w:pPr>
      <w:r>
        <w:t>因安全生产需要暂停施工的，按照第7.8款</w:t>
      </w:r>
      <w:r>
        <w:rPr>
          <w:rFonts w:hint="eastAsia"/>
        </w:rPr>
        <w:t>〔</w:t>
      </w:r>
      <w:r>
        <w:t>暂停施工</w:t>
      </w:r>
      <w:r>
        <w:rPr>
          <w:rFonts w:hint="eastAsia"/>
        </w:rPr>
        <w:t>〕</w:t>
      </w:r>
      <w:r>
        <w:t>的约定执行。</w:t>
      </w:r>
    </w:p>
    <w:p w14:paraId="5EB52D2B">
      <w:pPr>
        <w:spacing w:line="400" w:lineRule="exact"/>
        <w:ind w:firstLine="420" w:firstLineChars="200"/>
      </w:pPr>
      <w:r>
        <w:t>6.1.2 安全生产保证措施</w:t>
      </w:r>
    </w:p>
    <w:p w14:paraId="7882C611">
      <w:pPr>
        <w:spacing w:line="400" w:lineRule="exact"/>
        <w:ind w:firstLine="420" w:firstLineChars="200"/>
        <w:rPr>
          <w:rFonts w:hint="eastAsia"/>
        </w:rPr>
      </w:pPr>
      <w:r>
        <w:t>承包人应当按照有关规定编制安全技术措施或者专项施工方案，建立安全生产责任制度、治安保卫制度及安全生产教育培训制度，并按安全生产法律规定及合同约定履行安全职责，</w:t>
      </w:r>
      <w:r>
        <w:rPr>
          <w:rFonts w:hint="eastAsia"/>
        </w:rPr>
        <w:t>如实</w:t>
      </w:r>
      <w:r>
        <w:t>编制工程安全生产的有关记录，接受发包人、监理人及政府安全监督部门的检查与监督。</w:t>
      </w:r>
    </w:p>
    <w:p w14:paraId="3DFDAE5F">
      <w:pPr>
        <w:spacing w:line="400" w:lineRule="exact"/>
        <w:ind w:firstLine="420" w:firstLineChars="200"/>
        <w:rPr>
          <w:rFonts w:hint="eastAsia"/>
        </w:rPr>
      </w:pPr>
      <w:r>
        <w:t>6.1.3特别安全生产事项</w:t>
      </w:r>
    </w:p>
    <w:p w14:paraId="0FB7B29B">
      <w:pPr>
        <w:spacing w:line="400" w:lineRule="exact"/>
        <w:ind w:firstLine="420" w:firstLineChars="200"/>
      </w:pPr>
      <w: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F74C627">
      <w:pPr>
        <w:spacing w:line="400" w:lineRule="exact"/>
        <w:ind w:firstLine="420" w:firstLineChars="200"/>
      </w:pPr>
      <w:r>
        <w:t xml:space="preserve">承包人在动力设备、输电线路、地下管道、密封防震车间、易燃易爆地段以及临街交通要道附近施工时，施工开始前应向发包人和监理人提出安全防护措施，经发包人认可后实施。 </w:t>
      </w:r>
    </w:p>
    <w:p w14:paraId="50051856">
      <w:pPr>
        <w:spacing w:line="400" w:lineRule="exact"/>
        <w:ind w:firstLine="420" w:firstLineChars="200"/>
      </w:pPr>
      <w:r>
        <w:t>实施爆破作业，在放射、毒害性环境中施工（含储存、运输、使用）及使用毒害性、腐蚀性物品施工时，承包人应在施工前7天以书面通知发包人和监理人，并报送相应的安全防护措施，经发包人认可后实施。</w:t>
      </w:r>
    </w:p>
    <w:p w14:paraId="603C6BE3">
      <w:pPr>
        <w:spacing w:line="400" w:lineRule="exact"/>
        <w:ind w:firstLine="420" w:firstLineChars="200"/>
      </w:pPr>
      <w:r>
        <w:t>需单独编制危险性较大分部分项专项工程施工方案的，及要求进行专家论证的超过一定规模的危险性较大的分部分项工程，承包人应及时编制和组织论证。</w:t>
      </w:r>
    </w:p>
    <w:p w14:paraId="57C27A39">
      <w:pPr>
        <w:spacing w:line="400" w:lineRule="exact"/>
        <w:ind w:firstLine="420" w:firstLineChars="200"/>
      </w:pPr>
      <w:r>
        <w:t>6.1.4 治安保卫</w:t>
      </w:r>
    </w:p>
    <w:p w14:paraId="1792E04E">
      <w:pPr>
        <w:spacing w:line="400" w:lineRule="exact"/>
        <w:ind w:firstLine="420" w:firstLineChars="200"/>
      </w:pPr>
      <w:r>
        <w:t>除专用合同条款另有约定外，发包人应与当地公安部门协商，在现场建立治安管理机构或联防组织，统一管理施工场地的治安保卫事项，履行合同工程的治安保卫职责。</w:t>
      </w:r>
    </w:p>
    <w:p w14:paraId="0DE17569">
      <w:pPr>
        <w:spacing w:line="400" w:lineRule="exact"/>
        <w:ind w:firstLine="420" w:firstLineChars="200"/>
      </w:pPr>
      <w:r>
        <w:t>发包人和承包人除应协助现场治安管理机构或联防组织维护施工场地的社会治安外，还应做好包括生活区在内的各自管辖区的治安保卫工作。</w:t>
      </w:r>
    </w:p>
    <w:p w14:paraId="4673DE16">
      <w:pPr>
        <w:spacing w:line="400" w:lineRule="exact"/>
        <w:ind w:firstLine="420" w:firstLineChars="200"/>
      </w:pPr>
      <w: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rPr>
        <w:t>和</w:t>
      </w:r>
      <w:r>
        <w:t>财产损失。</w:t>
      </w:r>
    </w:p>
    <w:p w14:paraId="118932A2">
      <w:pPr>
        <w:spacing w:line="400" w:lineRule="exact"/>
        <w:ind w:firstLine="420" w:firstLineChars="200"/>
      </w:pPr>
      <w:r>
        <w:t>6.1.5 文明施工</w:t>
      </w:r>
    </w:p>
    <w:p w14:paraId="1D18F2B9">
      <w:pPr>
        <w:spacing w:line="400" w:lineRule="exact"/>
        <w:ind w:firstLine="420" w:firstLineChars="200"/>
      </w:pPr>
      <w:r>
        <w:t>承包人在工程施工期间，应当采取措施保持施工现场平整，物料堆放整齐。工程所在地有关政府行政管理部门有特殊要求的，按照其要求执行。</w:t>
      </w:r>
      <w:r>
        <w:rPr>
          <w:rFonts w:hint="eastAsia"/>
        </w:rPr>
        <w:t>合同当事人对文明施工有其他要求的，可以在专用合同条款中明确。</w:t>
      </w:r>
    </w:p>
    <w:p w14:paraId="6E46F8A1">
      <w:pPr>
        <w:spacing w:line="400" w:lineRule="exact"/>
        <w:ind w:firstLine="420" w:firstLineChars="200"/>
      </w:pPr>
      <w: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2F2DD1FD">
      <w:pPr>
        <w:spacing w:line="400" w:lineRule="exact"/>
        <w:ind w:firstLine="420" w:firstLineChars="200"/>
      </w:pPr>
      <w:r>
        <w:t>6.1.6 安全文明施工费</w:t>
      </w:r>
    </w:p>
    <w:p w14:paraId="7CB451CE">
      <w:pPr>
        <w:spacing w:line="400" w:lineRule="exact"/>
        <w:ind w:firstLine="420" w:firstLineChars="200"/>
      </w:pPr>
      <w:r>
        <w:t>安全文明施工费由发包人承担，发包人不得以任何形式扣减该部分费用。因基准日期后合同所适用的法律或政府有关规定发生变化，增加的安全文明施工费由发包人承担。</w:t>
      </w:r>
    </w:p>
    <w:p w14:paraId="5DA5BF02">
      <w:pPr>
        <w:spacing w:line="400" w:lineRule="exact"/>
        <w:ind w:firstLine="420" w:firstLineChars="200"/>
      </w:pPr>
      <w: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7FB1A81A">
      <w:pPr>
        <w:spacing w:line="400" w:lineRule="exact"/>
        <w:ind w:firstLine="420" w:firstLineChars="200"/>
      </w:pPr>
      <w: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rPr>
        <w:t>〔</w:t>
      </w:r>
      <w:r>
        <w:t>发包人违约的情形</w:t>
      </w:r>
      <w:r>
        <w:rPr>
          <w:rFonts w:hint="eastAsia"/>
        </w:rPr>
        <w:t>〕</w:t>
      </w:r>
      <w:r>
        <w:t>执行。</w:t>
      </w:r>
    </w:p>
    <w:p w14:paraId="6C0197BB">
      <w:pPr>
        <w:spacing w:line="400" w:lineRule="exact"/>
        <w:ind w:firstLine="420" w:firstLineChars="200"/>
      </w:pPr>
      <w: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556BA7DE">
      <w:pPr>
        <w:spacing w:line="400" w:lineRule="exact"/>
        <w:ind w:firstLine="420" w:firstLineChars="200"/>
      </w:pPr>
      <w:r>
        <w:t>6.1.7 紧急情况</w:t>
      </w:r>
      <w:r>
        <w:rPr>
          <w:rFonts w:hint="eastAsia"/>
        </w:rPr>
        <w:t>处理</w:t>
      </w:r>
    </w:p>
    <w:p w14:paraId="7984E092">
      <w:pPr>
        <w:spacing w:line="400" w:lineRule="exact"/>
        <w:ind w:firstLine="420" w:firstLineChars="200"/>
      </w:pPr>
      <w: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4DDFEE90">
      <w:pPr>
        <w:spacing w:line="400" w:lineRule="exact"/>
        <w:ind w:firstLine="420" w:firstLineChars="200"/>
      </w:pPr>
      <w:r>
        <w:t>6.1.8 事故处理</w:t>
      </w:r>
    </w:p>
    <w:p w14:paraId="1F31FD9A">
      <w:pPr>
        <w:spacing w:line="400" w:lineRule="exact"/>
        <w:ind w:firstLine="420" w:firstLineChars="200"/>
        <w:rPr>
          <w:rFonts w:hint="eastAsia"/>
        </w:rPr>
      </w:pPr>
      <w: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3B2D7DF">
      <w:pPr>
        <w:spacing w:line="400" w:lineRule="exact"/>
        <w:ind w:firstLine="420" w:firstLineChars="200"/>
        <w:rPr>
          <w:rFonts w:hint="eastAsia"/>
        </w:rPr>
      </w:pPr>
      <w:r>
        <w:t>6.1.9 安全生产责任</w:t>
      </w:r>
    </w:p>
    <w:p w14:paraId="39E7A649">
      <w:pPr>
        <w:spacing w:line="400" w:lineRule="exact"/>
        <w:ind w:firstLine="420" w:firstLineChars="200"/>
      </w:pPr>
      <w:r>
        <w:t>6.1.9.1 发包人的安全责任</w:t>
      </w:r>
    </w:p>
    <w:p w14:paraId="71322F37">
      <w:pPr>
        <w:spacing w:line="400" w:lineRule="exact"/>
        <w:ind w:firstLine="420" w:firstLineChars="200"/>
      </w:pPr>
      <w:r>
        <w:t>发包人应负责赔偿以下各种情况造成</w:t>
      </w:r>
      <w:r>
        <w:rPr>
          <w:rFonts w:hint="eastAsia"/>
        </w:rPr>
        <w:t>的</w:t>
      </w:r>
      <w:r>
        <w:t>损失：</w:t>
      </w:r>
    </w:p>
    <w:p w14:paraId="6D8FBF06">
      <w:pPr>
        <w:spacing w:line="400" w:lineRule="exact"/>
        <w:ind w:firstLine="420" w:firstLineChars="200"/>
      </w:pPr>
      <w:r>
        <w:t>（1）工程或工程的任何部分对土地的占用所造成的第三者财产损失；</w:t>
      </w:r>
    </w:p>
    <w:p w14:paraId="6CF9221E">
      <w:pPr>
        <w:spacing w:line="400" w:lineRule="exact"/>
        <w:ind w:firstLine="420" w:firstLineChars="200"/>
        <w:rPr>
          <w:rFonts w:hint="eastAsia"/>
        </w:rPr>
      </w:pPr>
      <w:r>
        <w:t>（2）由于发包人原因在施工场地及其毗邻地带造成的第三者人身伤亡和财产损失</w:t>
      </w:r>
      <w:r>
        <w:rPr>
          <w:rFonts w:hint="eastAsia"/>
        </w:rPr>
        <w:t>；</w:t>
      </w:r>
    </w:p>
    <w:p w14:paraId="114A63F4">
      <w:pPr>
        <w:spacing w:line="400" w:lineRule="exact"/>
        <w:ind w:firstLine="420" w:firstLineChars="200"/>
        <w:rPr>
          <w:rFonts w:hint="eastAsia"/>
        </w:rPr>
      </w:pPr>
      <w:r>
        <w:rPr>
          <w:rFonts w:hint="eastAsia"/>
        </w:rPr>
        <w:t>（3）由于发包人原因对承包人、监理人造成的人员人身伤亡和财产损失；</w:t>
      </w:r>
    </w:p>
    <w:p w14:paraId="5D2DA9CE">
      <w:pPr>
        <w:spacing w:line="400" w:lineRule="exact"/>
        <w:ind w:firstLine="420" w:firstLineChars="200"/>
      </w:pPr>
      <w:r>
        <w:rPr>
          <w:rFonts w:hint="eastAsia"/>
        </w:rPr>
        <w:t>（4）由于发包人原因造成的发包人自身人员的人身伤害以及财产损失。</w:t>
      </w:r>
    </w:p>
    <w:p w14:paraId="6B1366F9">
      <w:pPr>
        <w:spacing w:line="400" w:lineRule="exact"/>
        <w:ind w:firstLine="420" w:firstLineChars="200"/>
      </w:pPr>
      <w:r>
        <w:t>6.1.9.2 承包人的安全责任</w:t>
      </w:r>
    </w:p>
    <w:p w14:paraId="3E8E4E20">
      <w:pPr>
        <w:spacing w:line="400" w:lineRule="exact"/>
        <w:ind w:firstLine="420" w:firstLineChars="200"/>
      </w:pPr>
      <w:r>
        <w:t>由于承包人原因在施工场地内及其毗邻地带造成的</w:t>
      </w:r>
      <w:r>
        <w:rPr>
          <w:rFonts w:hint="eastAsia"/>
        </w:rPr>
        <w:t>发包人、监理人以及</w:t>
      </w:r>
      <w:r>
        <w:t>第三者人员伤亡和财产损失，由承包人负责赔偿。</w:t>
      </w:r>
    </w:p>
    <w:p w14:paraId="545C6411">
      <w:pPr>
        <w:pStyle w:val="20"/>
        <w:rPr>
          <w:b/>
        </w:rPr>
      </w:pPr>
      <w:bookmarkStart w:id="1534" w:name="_Toc108513986"/>
      <w:bookmarkStart w:id="1535" w:name="_Toc351203540"/>
      <w:r>
        <w:rPr>
          <w:b/>
        </w:rPr>
        <w:t>6</w:t>
      </w:r>
      <w:bookmarkStart w:id="1536" w:name="_Toc337558765"/>
      <w:r>
        <w:rPr>
          <w:b/>
        </w:rPr>
        <w:t>.2 职业健康</w:t>
      </w:r>
      <w:bookmarkEnd w:id="1534"/>
      <w:bookmarkEnd w:id="1535"/>
    </w:p>
    <w:bookmarkEnd w:id="1536"/>
    <w:p w14:paraId="62802665">
      <w:pPr>
        <w:spacing w:line="400" w:lineRule="exact"/>
        <w:ind w:firstLine="420" w:firstLineChars="200"/>
      </w:pPr>
      <w:r>
        <w:t>6.2.1 劳动保护</w:t>
      </w:r>
    </w:p>
    <w:p w14:paraId="12207F75">
      <w:pPr>
        <w:spacing w:line="400" w:lineRule="exact"/>
        <w:ind w:firstLine="420" w:firstLineChars="200"/>
      </w:pPr>
      <w: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1ED0F61F">
      <w:pPr>
        <w:spacing w:line="400" w:lineRule="exact"/>
        <w:ind w:firstLine="420" w:firstLineChars="200"/>
      </w:pPr>
      <w: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7EB179E3">
      <w:pPr>
        <w:spacing w:line="400" w:lineRule="exact"/>
        <w:ind w:firstLine="420" w:firstLineChars="200"/>
      </w:pPr>
      <w:r>
        <w:t>承包人应按</w:t>
      </w:r>
      <w:r>
        <w:rPr>
          <w:rFonts w:hint="eastAsia"/>
        </w:rPr>
        <w:t>法律</w:t>
      </w:r>
      <w:r>
        <w:t>规定安排工作时间，保证其雇佣人员享有休息和休假的权利。因工程施工的特殊需要占用休假日或延长工作时间的，应不超过法律规定的限度，并按法律规定给予补休或付酬。</w:t>
      </w:r>
    </w:p>
    <w:p w14:paraId="5C16075C">
      <w:pPr>
        <w:spacing w:line="400" w:lineRule="exact"/>
        <w:ind w:firstLine="420" w:firstLineChars="200"/>
      </w:pPr>
      <w:r>
        <w:t>6.2.2 生活条件</w:t>
      </w:r>
    </w:p>
    <w:p w14:paraId="48DFDD00">
      <w:pPr>
        <w:spacing w:line="400" w:lineRule="exact"/>
        <w:ind w:firstLine="420" w:firstLineChars="200"/>
      </w:pPr>
      <w: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7E29CB9D">
      <w:pPr>
        <w:pStyle w:val="20"/>
        <w:rPr>
          <w:b/>
        </w:rPr>
      </w:pPr>
      <w:bookmarkStart w:id="1537" w:name="_Toc108513987"/>
      <w:bookmarkStart w:id="1538" w:name="_Toc351203541"/>
      <w:r>
        <w:rPr>
          <w:b/>
        </w:rPr>
        <w:t>6</w:t>
      </w:r>
      <w:bookmarkStart w:id="1539" w:name="_Toc337558766"/>
      <w:r>
        <w:rPr>
          <w:b/>
        </w:rPr>
        <w:t>.3 环境保护</w:t>
      </w:r>
      <w:bookmarkEnd w:id="1537"/>
      <w:bookmarkEnd w:id="1538"/>
    </w:p>
    <w:bookmarkEnd w:id="1539"/>
    <w:p w14:paraId="4A03DC31">
      <w:pPr>
        <w:spacing w:line="400" w:lineRule="exact"/>
        <w:ind w:firstLine="420" w:firstLineChars="200"/>
      </w:pPr>
      <w: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5A3E468D">
      <w:pPr>
        <w:spacing w:line="400" w:lineRule="exact"/>
        <w:ind w:firstLine="420" w:firstLineChars="200"/>
      </w:pPr>
      <w:r>
        <w:t>承包人应当承担因其原因引起的环境污染侵权损害赔偿责任，因上述环境污染引起纠纷而导致暂停施工的，由此增加的费用和（或）延误的工期由承包人承担。</w:t>
      </w:r>
    </w:p>
    <w:p w14:paraId="6271CA2B">
      <w:pPr>
        <w:pStyle w:val="18"/>
        <w:rPr>
          <w:b/>
        </w:rPr>
      </w:pPr>
      <w:bookmarkStart w:id="1540" w:name="_Toc351203542"/>
      <w:bookmarkStart w:id="1541" w:name="_Toc108513988"/>
      <w:r>
        <w:rPr>
          <w:b/>
        </w:rPr>
        <w:t>7</w:t>
      </w:r>
      <w:bookmarkStart w:id="1542" w:name="_Toc337558767"/>
      <w:r>
        <w:rPr>
          <w:b/>
        </w:rPr>
        <w:t>. 工期和进度</w:t>
      </w:r>
      <w:bookmarkEnd w:id="1540"/>
      <w:bookmarkEnd w:id="1541"/>
    </w:p>
    <w:bookmarkEnd w:id="1542"/>
    <w:p w14:paraId="47D43716">
      <w:pPr>
        <w:pStyle w:val="20"/>
        <w:rPr>
          <w:b/>
        </w:rPr>
      </w:pPr>
      <w:bookmarkStart w:id="1543" w:name="_Toc108513989"/>
      <w:bookmarkStart w:id="1544" w:name="_Toc351203543"/>
      <w:r>
        <w:rPr>
          <w:b/>
        </w:rPr>
        <w:t>7</w:t>
      </w:r>
      <w:bookmarkStart w:id="1545" w:name="_Toc337558768"/>
      <w:bookmarkStart w:id="1546" w:name="_Toc296346567"/>
      <w:bookmarkStart w:id="1547" w:name="_Toc296503066"/>
      <w:r>
        <w:rPr>
          <w:b/>
        </w:rPr>
        <w:t>.1施工组织设计</w:t>
      </w:r>
      <w:bookmarkEnd w:id="1543"/>
      <w:bookmarkEnd w:id="1544"/>
    </w:p>
    <w:bookmarkEnd w:id="1545"/>
    <w:p w14:paraId="244D8814">
      <w:pPr>
        <w:spacing w:line="400" w:lineRule="exact"/>
        <w:ind w:firstLine="420" w:firstLineChars="200"/>
      </w:pPr>
      <w:r>
        <w:t>7.1.1 施工组织设计的内容</w:t>
      </w:r>
    </w:p>
    <w:p w14:paraId="4FE71D0E">
      <w:pPr>
        <w:spacing w:line="400" w:lineRule="exact"/>
        <w:ind w:firstLine="420" w:firstLineChars="200"/>
      </w:pPr>
      <w:r>
        <w:t>施工组织设计应包含以下内容：</w:t>
      </w:r>
    </w:p>
    <w:p w14:paraId="331F056B">
      <w:pPr>
        <w:spacing w:line="400" w:lineRule="exact"/>
        <w:ind w:firstLine="420" w:firstLineChars="200"/>
      </w:pPr>
      <w:r>
        <w:t xml:space="preserve">（1）施工方案； </w:t>
      </w:r>
    </w:p>
    <w:p w14:paraId="6DF73A69">
      <w:pPr>
        <w:spacing w:line="400" w:lineRule="exact"/>
        <w:ind w:firstLine="420" w:firstLineChars="200"/>
      </w:pPr>
      <w:r>
        <w:t>（2）施工现场平面布置图；</w:t>
      </w:r>
    </w:p>
    <w:p w14:paraId="7FAD44CC">
      <w:pPr>
        <w:spacing w:line="400" w:lineRule="exact"/>
        <w:ind w:firstLine="420" w:firstLineChars="200"/>
      </w:pPr>
      <w:r>
        <w:t xml:space="preserve">（3）施工进度计划和保证措施； </w:t>
      </w:r>
    </w:p>
    <w:p w14:paraId="163662FB">
      <w:pPr>
        <w:spacing w:line="400" w:lineRule="exact"/>
        <w:ind w:firstLine="420" w:firstLineChars="200"/>
      </w:pPr>
      <w:r>
        <w:t>（4）劳动力及材料供应计划；</w:t>
      </w:r>
    </w:p>
    <w:p w14:paraId="443AE2CE">
      <w:pPr>
        <w:spacing w:line="400" w:lineRule="exact"/>
        <w:ind w:firstLine="420" w:firstLineChars="200"/>
      </w:pPr>
      <w:r>
        <w:t>（5）施工机械设备的选用；</w:t>
      </w:r>
    </w:p>
    <w:p w14:paraId="156F3CAF">
      <w:pPr>
        <w:spacing w:line="400" w:lineRule="exact"/>
        <w:ind w:firstLine="420" w:firstLineChars="200"/>
      </w:pPr>
      <w:r>
        <w:t>（6）质量保证体系及措施；</w:t>
      </w:r>
    </w:p>
    <w:p w14:paraId="0C4924BE">
      <w:pPr>
        <w:spacing w:line="400" w:lineRule="exact"/>
        <w:ind w:firstLine="420" w:firstLineChars="200"/>
      </w:pPr>
      <w:r>
        <w:t>（7）安全生产、文明施工措施；</w:t>
      </w:r>
    </w:p>
    <w:p w14:paraId="0FA1B131">
      <w:pPr>
        <w:spacing w:line="400" w:lineRule="exact"/>
        <w:ind w:firstLine="420" w:firstLineChars="200"/>
        <w:rPr>
          <w:rFonts w:hint="eastAsia"/>
        </w:rPr>
      </w:pPr>
      <w:r>
        <w:t>（8）环境保护、成本控制措施</w:t>
      </w:r>
      <w:r>
        <w:rPr>
          <w:rFonts w:hint="eastAsia"/>
        </w:rPr>
        <w:t>；</w:t>
      </w:r>
    </w:p>
    <w:p w14:paraId="4E634E69">
      <w:pPr>
        <w:spacing w:line="400" w:lineRule="exact"/>
        <w:ind w:firstLine="420" w:firstLineChars="200"/>
      </w:pPr>
      <w:r>
        <w:rPr>
          <w:rFonts w:hint="eastAsia"/>
        </w:rPr>
        <w:t>（9）合同当事人约定的其他内容</w:t>
      </w:r>
      <w:r>
        <w:t>。</w:t>
      </w:r>
    </w:p>
    <w:p w14:paraId="3FA9BEC6">
      <w:pPr>
        <w:spacing w:line="400" w:lineRule="exact"/>
        <w:ind w:firstLine="420" w:firstLineChars="200"/>
      </w:pPr>
      <w:r>
        <w:t>7.1.2 施工组织设计的提交和修改</w:t>
      </w:r>
    </w:p>
    <w:p w14:paraId="7205DF0E">
      <w:pPr>
        <w:spacing w:line="400" w:lineRule="exact"/>
        <w:ind w:firstLine="420" w:firstLineChars="200"/>
      </w:pPr>
      <w:r>
        <w:t>除专用合同条款另有约定外，承包人应在合同签订后14天内，但至迟不得晚于第7.3.2项</w:t>
      </w:r>
      <w:r>
        <w:rPr>
          <w:rFonts w:hint="eastAsia"/>
        </w:rPr>
        <w:t>〔</w:t>
      </w:r>
      <w:r>
        <w:t>开工通知</w:t>
      </w:r>
      <w:r>
        <w:rPr>
          <w:rFonts w:hint="eastAsia"/>
        </w:rPr>
        <w:t>〕</w:t>
      </w:r>
      <w:r>
        <w:t>载明的开工日期前7天，向监理人提交详细的施工组织设计，并由监理人报送发包人。</w:t>
      </w:r>
      <w:r>
        <w:rPr>
          <w:rFonts w:hint="eastAsia"/>
        </w:rPr>
        <w:t>除专用合同条款另有约定外，发包人和监理人应在监理人收到施工组织设计后7天内确认或提出修改意见</w:t>
      </w:r>
      <w:r>
        <w:t>。对发包人和监理人提出的合理意见和要求，承包人应自费修改完善。根据工程实际情况需要修改施工组织设计的，承包人应向发包人和监理人提交修改后的施工组织设计。</w:t>
      </w:r>
    </w:p>
    <w:p w14:paraId="398E1051">
      <w:pPr>
        <w:spacing w:line="400" w:lineRule="exact"/>
        <w:ind w:firstLine="420" w:firstLineChars="200"/>
      </w:pPr>
      <w:r>
        <w:t>施工进度计划的编制和修改按照第7.2款</w:t>
      </w:r>
      <w:r>
        <w:rPr>
          <w:rFonts w:hint="eastAsia"/>
        </w:rPr>
        <w:t>〔</w:t>
      </w:r>
      <w:r>
        <w:t>施工进度计划</w:t>
      </w:r>
      <w:r>
        <w:rPr>
          <w:rFonts w:hint="eastAsia"/>
        </w:rPr>
        <w:t>〕</w:t>
      </w:r>
      <w:r>
        <w:t>执行。</w:t>
      </w:r>
    </w:p>
    <w:p w14:paraId="49D371A4">
      <w:pPr>
        <w:pStyle w:val="20"/>
        <w:rPr>
          <w:b/>
        </w:rPr>
      </w:pPr>
      <w:bookmarkStart w:id="1548" w:name="_Toc108513990"/>
      <w:bookmarkStart w:id="1549" w:name="_Toc351203544"/>
      <w:r>
        <w:rPr>
          <w:b/>
        </w:rPr>
        <w:t>7</w:t>
      </w:r>
      <w:bookmarkStart w:id="1550" w:name="_Toc337558769"/>
      <w:r>
        <w:rPr>
          <w:b/>
        </w:rPr>
        <w:t>.2 施工进度计划</w:t>
      </w:r>
      <w:bookmarkEnd w:id="1548"/>
      <w:bookmarkEnd w:id="1549"/>
    </w:p>
    <w:bookmarkEnd w:id="1550"/>
    <w:p w14:paraId="2C596CF8">
      <w:pPr>
        <w:spacing w:line="400" w:lineRule="exact"/>
        <w:ind w:firstLine="420" w:firstLineChars="200"/>
      </w:pPr>
      <w:r>
        <w:t>7.2.1 施工进度计划的编制</w:t>
      </w:r>
    </w:p>
    <w:p w14:paraId="1EF1BE59">
      <w:pPr>
        <w:spacing w:line="400" w:lineRule="exact"/>
        <w:ind w:firstLine="420" w:firstLineChars="200"/>
      </w:pPr>
      <w:r>
        <w:t>承包人应按照第7.1款</w:t>
      </w:r>
      <w:r>
        <w:rPr>
          <w:rFonts w:hint="eastAsia"/>
        </w:rPr>
        <w:t>〔</w:t>
      </w:r>
      <w:r>
        <w:t>施工组织设计</w:t>
      </w:r>
      <w:r>
        <w:rPr>
          <w:rFonts w:hint="eastAsia"/>
        </w:rPr>
        <w:t>〕</w:t>
      </w:r>
      <w: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551365CE">
      <w:pPr>
        <w:spacing w:line="400" w:lineRule="exact"/>
        <w:ind w:firstLine="420" w:firstLineChars="200"/>
      </w:pPr>
      <w:r>
        <w:t>7.2.2 施工进度计划的修订</w:t>
      </w:r>
    </w:p>
    <w:p w14:paraId="44192B08">
      <w:pPr>
        <w:spacing w:line="400" w:lineRule="exact"/>
        <w:ind w:firstLine="420" w:firstLineChars="200"/>
      </w:pPr>
      <w: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69B1BAC6">
      <w:pPr>
        <w:pStyle w:val="20"/>
        <w:rPr>
          <w:b/>
        </w:rPr>
      </w:pPr>
      <w:bookmarkStart w:id="1551" w:name="_Toc351203545"/>
      <w:bookmarkStart w:id="1552" w:name="_Toc108513991"/>
      <w:r>
        <w:rPr>
          <w:b/>
        </w:rPr>
        <w:t>7</w:t>
      </w:r>
      <w:bookmarkStart w:id="1553" w:name="_Toc337558770"/>
      <w:r>
        <w:rPr>
          <w:b/>
        </w:rPr>
        <w:t>.3 开工</w:t>
      </w:r>
      <w:bookmarkEnd w:id="1551"/>
      <w:bookmarkEnd w:id="1552"/>
    </w:p>
    <w:p w14:paraId="4C55F5C3">
      <w:pPr>
        <w:spacing w:line="400" w:lineRule="exact"/>
        <w:ind w:firstLine="420" w:firstLineChars="200"/>
      </w:pPr>
      <w:r>
        <w:t>7.3.1 开工准备</w:t>
      </w:r>
    </w:p>
    <w:p w14:paraId="6D3C420C">
      <w:pPr>
        <w:spacing w:line="400" w:lineRule="exact"/>
        <w:ind w:firstLine="420" w:firstLineChars="200"/>
      </w:pPr>
      <w:r>
        <w:t>除专用合同条款另有约定外，承包人应按照第7.1款</w:t>
      </w:r>
      <w:r>
        <w:rPr>
          <w:rFonts w:hint="eastAsia"/>
        </w:rPr>
        <w:t>〔</w:t>
      </w:r>
      <w:r>
        <w:t>施工组织设计</w:t>
      </w:r>
      <w:r>
        <w:rPr>
          <w:rFonts w:hint="eastAsia"/>
        </w:rPr>
        <w:t>〕</w:t>
      </w:r>
      <w: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2B8625B">
      <w:pPr>
        <w:spacing w:line="400" w:lineRule="exact"/>
        <w:ind w:firstLine="420" w:firstLineChars="200"/>
      </w:pPr>
      <w:r>
        <w:t>除专用合同条款另有约定外，合同当事人应按约定完成开工准备工作。</w:t>
      </w:r>
    </w:p>
    <w:p w14:paraId="31F04D8D">
      <w:pPr>
        <w:spacing w:line="400" w:lineRule="exact"/>
        <w:ind w:firstLine="420" w:firstLineChars="200"/>
      </w:pPr>
      <w:r>
        <w:t>7.3.2 开工通知</w:t>
      </w:r>
    </w:p>
    <w:bookmarkEnd w:id="1553"/>
    <w:p w14:paraId="1CD13D4D">
      <w:pPr>
        <w:spacing w:line="400" w:lineRule="exact"/>
        <w:ind w:firstLine="420" w:firstLineChars="200"/>
      </w:pPr>
      <w: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37167B1A">
      <w:pPr>
        <w:spacing w:line="400" w:lineRule="exact"/>
        <w:ind w:firstLine="420" w:firstLineChars="200"/>
      </w:pPr>
      <w: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1F7334A7">
      <w:pPr>
        <w:pStyle w:val="20"/>
        <w:rPr>
          <w:b/>
        </w:rPr>
      </w:pPr>
      <w:bookmarkStart w:id="1554" w:name="_Toc108513992"/>
      <w:bookmarkStart w:id="1555" w:name="_Toc351203546"/>
      <w:r>
        <w:rPr>
          <w:b/>
        </w:rPr>
        <w:t>7.4测量放线</w:t>
      </w:r>
      <w:bookmarkEnd w:id="1554"/>
      <w:bookmarkEnd w:id="1555"/>
    </w:p>
    <w:p w14:paraId="4D39A682">
      <w:pPr>
        <w:spacing w:line="400" w:lineRule="exact"/>
        <w:ind w:firstLine="420" w:firstLineChars="200"/>
      </w:pPr>
      <w:r>
        <w:t>7.4.1 除专用合同条款另有约定外，发包人应在至迟不得晚于第7.3.2项</w:t>
      </w:r>
      <w:r>
        <w:rPr>
          <w:rFonts w:hint="eastAsia"/>
        </w:rPr>
        <w:t>〔</w:t>
      </w:r>
      <w:r>
        <w:t>开工通知</w:t>
      </w:r>
      <w:r>
        <w:rPr>
          <w:rFonts w:hint="eastAsia"/>
        </w:rPr>
        <w:t>〕</w:t>
      </w:r>
      <w:r>
        <w:t>载明的开工日期前7天通过监理人向承包人提供测量基准点、基准线和水准点及其书面资料。发包人应对其提供的测量基准点、基准线和水准点及其书面资料的真实性、准确性和完整性负责。</w:t>
      </w:r>
    </w:p>
    <w:p w14:paraId="4BF0F003">
      <w:pPr>
        <w:spacing w:line="400" w:lineRule="exact"/>
        <w:ind w:firstLine="420" w:firstLineChars="200"/>
      </w:pPr>
      <w: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559F0DC">
      <w:pPr>
        <w:spacing w:line="400" w:lineRule="exact"/>
        <w:ind w:firstLine="420" w:firstLineChars="200"/>
      </w:pPr>
      <w:r>
        <w:t>7.4.2 承包人负责施工过程中的全部施工测量放线工作，并配置具有相应资质的人员、合格的仪器、设备和其他物品。承包人应矫正工程的位置、标高、尺寸或准线中出现的任何差错，并对工程各部分的定位负责。</w:t>
      </w:r>
    </w:p>
    <w:p w14:paraId="6A8BE16D">
      <w:pPr>
        <w:spacing w:line="400" w:lineRule="exact"/>
        <w:ind w:firstLine="420" w:firstLineChars="200"/>
      </w:pPr>
      <w:r>
        <w:t>施工过程中对施工现场内水准点等测量标志物的保护工作由承包人负责。</w:t>
      </w:r>
      <w:bookmarkStart w:id="1556" w:name="_Toc351203547"/>
    </w:p>
    <w:p w14:paraId="0A902711">
      <w:pPr>
        <w:pStyle w:val="20"/>
        <w:rPr>
          <w:b/>
        </w:rPr>
      </w:pPr>
      <w:bookmarkStart w:id="1557" w:name="_Toc108513993"/>
      <w:r>
        <w:rPr>
          <w:b/>
        </w:rPr>
        <w:t>7</w:t>
      </w:r>
      <w:bookmarkEnd w:id="1546"/>
      <w:bookmarkEnd w:id="1547"/>
      <w:bookmarkStart w:id="1558" w:name="_Toc296346574"/>
      <w:bookmarkStart w:id="1559" w:name="_Toc296503073"/>
      <w:bookmarkStart w:id="1560" w:name="_Toc337558772"/>
      <w:r>
        <w:rPr>
          <w:b/>
        </w:rPr>
        <w:t>.5</w:t>
      </w:r>
      <w:r>
        <w:rPr>
          <w:rFonts w:hint="eastAsia"/>
          <w:b/>
        </w:rPr>
        <w:t xml:space="preserve"> </w:t>
      </w:r>
      <w:r>
        <w:rPr>
          <w:b/>
        </w:rPr>
        <w:t>工期延误</w:t>
      </w:r>
      <w:bookmarkEnd w:id="1556"/>
      <w:bookmarkEnd w:id="1557"/>
    </w:p>
    <w:bookmarkEnd w:id="1558"/>
    <w:bookmarkEnd w:id="1559"/>
    <w:bookmarkEnd w:id="1560"/>
    <w:p w14:paraId="7D77012F">
      <w:pPr>
        <w:spacing w:line="400" w:lineRule="exact"/>
        <w:ind w:firstLine="420" w:firstLineChars="200"/>
      </w:pPr>
      <w:r>
        <w:t>7.5.1 因发包人原因导致工期延误</w:t>
      </w:r>
    </w:p>
    <w:p w14:paraId="0D20AB7F">
      <w:pPr>
        <w:spacing w:line="400" w:lineRule="exact"/>
        <w:ind w:firstLine="420" w:firstLineChars="200"/>
      </w:pPr>
      <w:r>
        <w:t xml:space="preserve">在合同履行过程中，因下列情况导致工期延误和（或）费用增加的，由发包人承担由此延误的工期和（或）增加的费用，且发包人应支付承包人合理的利润： </w:t>
      </w:r>
    </w:p>
    <w:p w14:paraId="034F5D2F">
      <w:pPr>
        <w:spacing w:line="400" w:lineRule="exact"/>
        <w:ind w:firstLine="420" w:firstLineChars="200"/>
      </w:pPr>
      <w:r>
        <w:t>（1）发包人未能按合同约定提供图纸或所提供图纸不符合合同约定的；</w:t>
      </w:r>
    </w:p>
    <w:p w14:paraId="5B4FB6E4">
      <w:pPr>
        <w:spacing w:line="400" w:lineRule="exact"/>
        <w:ind w:firstLine="420" w:firstLineChars="200"/>
      </w:pPr>
      <w:r>
        <w:t>（2）发包人未能按合同约定提供施工现场、施工条件、基础资料、许可、批准等开工条件的；</w:t>
      </w:r>
    </w:p>
    <w:p w14:paraId="6D93167F">
      <w:pPr>
        <w:spacing w:line="400" w:lineRule="exact"/>
        <w:ind w:firstLine="420" w:firstLineChars="200"/>
      </w:pPr>
      <w:r>
        <w:t>（3）发包人提供的测量基准点、基准线和水准点及其书面资料存在错误或疏漏的；</w:t>
      </w:r>
    </w:p>
    <w:p w14:paraId="04C2942C">
      <w:pPr>
        <w:spacing w:line="400" w:lineRule="exact"/>
        <w:ind w:firstLine="420" w:firstLineChars="200"/>
      </w:pPr>
      <w:r>
        <w:t>（4）发包人未能在计划开工日期之日起7天内同意下达开工通知的；</w:t>
      </w:r>
    </w:p>
    <w:p w14:paraId="3DF9A97E">
      <w:pPr>
        <w:spacing w:line="400" w:lineRule="exact"/>
        <w:ind w:firstLine="420" w:firstLineChars="200"/>
      </w:pPr>
      <w:r>
        <w:t>（5）发包人未能按合同约定日期支付工程预付款、进度款或竣工结算款的；</w:t>
      </w:r>
    </w:p>
    <w:p w14:paraId="4B1E9064">
      <w:pPr>
        <w:spacing w:line="400" w:lineRule="exact"/>
        <w:ind w:firstLine="420" w:firstLineChars="200"/>
      </w:pPr>
      <w:r>
        <w:t>（6）监理人未按合同约定发出指示、批准等文件的；</w:t>
      </w:r>
    </w:p>
    <w:p w14:paraId="1EB64106">
      <w:pPr>
        <w:spacing w:line="400" w:lineRule="exact"/>
        <w:ind w:firstLine="420" w:firstLineChars="200"/>
      </w:pPr>
      <w:r>
        <w:t>（7）专用合同条款中约定的其他情形。</w:t>
      </w:r>
    </w:p>
    <w:p w14:paraId="22A956ED">
      <w:pPr>
        <w:spacing w:line="400" w:lineRule="exact"/>
        <w:ind w:firstLine="420" w:firstLineChars="200"/>
        <w:rPr>
          <w:rFonts w:hint="eastAsia"/>
        </w:rPr>
      </w:pPr>
      <w: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rPr>
        <w:t>〔</w:t>
      </w:r>
      <w:r>
        <w:t>施工进度计划的修订</w:t>
      </w:r>
      <w:r>
        <w:rPr>
          <w:rFonts w:hint="eastAsia"/>
        </w:rPr>
        <w:t>〕</w:t>
      </w:r>
      <w:r>
        <w:t>执行。</w:t>
      </w:r>
    </w:p>
    <w:p w14:paraId="34384129">
      <w:pPr>
        <w:spacing w:line="400" w:lineRule="exact"/>
        <w:ind w:firstLine="420" w:firstLineChars="200"/>
      </w:pPr>
      <w:r>
        <w:t>7.5.2 因承包人原因导致工期延误</w:t>
      </w:r>
    </w:p>
    <w:p w14:paraId="636E598C">
      <w:pPr>
        <w:spacing w:line="400" w:lineRule="exact"/>
        <w:ind w:firstLine="420" w:firstLineChars="200"/>
      </w:pPr>
      <w:bookmarkStart w:id="1561" w:name="_Toc296503076"/>
      <w:bookmarkStart w:id="1562" w:name="_Toc296346577"/>
      <w:r>
        <w:t>因</w:t>
      </w:r>
      <w:bookmarkEnd w:id="1561"/>
      <w:bookmarkEnd w:id="1562"/>
      <w:r>
        <w:t>承包人原因造成工期延误的，可以在专用合同条款中约定逾期竣工违约金的计算方法和逾期竣工违约金的上限。承包人支付逾期竣工违约金后，不免除承包人继续完成工程及修补缺陷的义务。</w:t>
      </w:r>
    </w:p>
    <w:p w14:paraId="3388089C">
      <w:pPr>
        <w:pStyle w:val="20"/>
        <w:rPr>
          <w:b/>
        </w:rPr>
      </w:pPr>
      <w:bookmarkStart w:id="1563" w:name="_Toc351203548"/>
      <w:bookmarkStart w:id="1564" w:name="_Toc108513994"/>
      <w:r>
        <w:rPr>
          <w:b/>
        </w:rPr>
        <w:t>7</w:t>
      </w:r>
      <w:bookmarkStart w:id="1565" w:name="_Toc296346575"/>
      <w:bookmarkStart w:id="1566" w:name="_Toc337558773"/>
      <w:bookmarkStart w:id="1567" w:name="_Toc296503074"/>
      <w:bookmarkStart w:id="1568" w:name="_Toc296503077"/>
      <w:bookmarkStart w:id="1569" w:name="_Toc296346578"/>
      <w:r>
        <w:rPr>
          <w:b/>
        </w:rPr>
        <w:t>.6 不利物质条件</w:t>
      </w:r>
      <w:bookmarkEnd w:id="1563"/>
      <w:bookmarkEnd w:id="1564"/>
    </w:p>
    <w:bookmarkEnd w:id="1565"/>
    <w:bookmarkEnd w:id="1566"/>
    <w:bookmarkEnd w:id="1567"/>
    <w:p w14:paraId="4ED96D05">
      <w:pPr>
        <w:spacing w:line="400" w:lineRule="exact"/>
        <w:ind w:firstLine="420" w:firstLineChars="200"/>
      </w:pPr>
      <w:r>
        <w:t>不利物质条件是指有经验的承包人在施工现场遇到的不可预见的自然物质条件、非自然的物质障碍和污染物，包括地表以下物质条件和水文条件以及专用合同条款约定的其他情形，但不包括气候条件。</w:t>
      </w:r>
    </w:p>
    <w:p w14:paraId="51D70300">
      <w:pPr>
        <w:spacing w:line="400" w:lineRule="exact"/>
        <w:ind w:firstLine="420" w:firstLineChars="200"/>
      </w:pPr>
      <w: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rPr>
        <w:t>〔</w:t>
      </w:r>
      <w:r>
        <w:t>变更</w:t>
      </w:r>
      <w:r>
        <w:rPr>
          <w:rFonts w:hint="eastAsia"/>
        </w:rPr>
        <w:t>〕</w:t>
      </w:r>
      <w:r>
        <w:t>约定执行。承包人因采取合理措施而增加的费用和（或）延误的工期由发包人承担。</w:t>
      </w:r>
    </w:p>
    <w:p w14:paraId="1C0FC040">
      <w:pPr>
        <w:pStyle w:val="20"/>
        <w:rPr>
          <w:b/>
        </w:rPr>
      </w:pPr>
      <w:bookmarkStart w:id="1570" w:name="_Toc108513995"/>
      <w:bookmarkStart w:id="1571" w:name="_Toc351203549"/>
      <w:r>
        <w:rPr>
          <w:b/>
        </w:rPr>
        <w:t>7</w:t>
      </w:r>
      <w:bookmarkStart w:id="1572" w:name="_Toc337558774"/>
      <w:bookmarkStart w:id="1573" w:name="_Toc296503075"/>
      <w:bookmarkStart w:id="1574" w:name="_Toc296346576"/>
      <w:r>
        <w:rPr>
          <w:b/>
        </w:rPr>
        <w:t>.7</w:t>
      </w:r>
      <w:r>
        <w:rPr>
          <w:rFonts w:hint="eastAsia"/>
          <w:b/>
        </w:rPr>
        <w:t xml:space="preserve"> </w:t>
      </w:r>
      <w:r>
        <w:rPr>
          <w:b/>
        </w:rPr>
        <w:t>异常恶劣的气候条件</w:t>
      </w:r>
      <w:bookmarkEnd w:id="1570"/>
      <w:bookmarkEnd w:id="1571"/>
    </w:p>
    <w:bookmarkEnd w:id="1572"/>
    <w:bookmarkEnd w:id="1573"/>
    <w:bookmarkEnd w:id="1574"/>
    <w:p w14:paraId="0D2A37E1">
      <w:pPr>
        <w:spacing w:line="400" w:lineRule="exact"/>
        <w:ind w:firstLine="420" w:firstLineChars="200"/>
      </w:pPr>
      <w: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2284CF63">
      <w:pPr>
        <w:spacing w:line="400" w:lineRule="exact"/>
        <w:ind w:firstLine="420" w:firstLineChars="200"/>
      </w:pPr>
      <w:r>
        <w:t>承包人应采取克服异常恶劣的气候条件的合理措施继续施工，并及时通知发包人和监理人。监理人经发包人同意后应当及时发出指示，指示构成变更的，按第10条</w:t>
      </w:r>
      <w:r>
        <w:rPr>
          <w:rFonts w:hint="eastAsia"/>
        </w:rPr>
        <w:t>〔</w:t>
      </w:r>
      <w:r>
        <w:t>变更</w:t>
      </w:r>
      <w:r>
        <w:rPr>
          <w:rFonts w:hint="eastAsia"/>
        </w:rPr>
        <w:t>〕</w:t>
      </w:r>
      <w:r>
        <w:t>约定办理。承包人因采取合理措施而增加的费用和（或）延误的工期由发包人承担。</w:t>
      </w:r>
      <w:bookmarkStart w:id="1575" w:name="_Toc351203550"/>
    </w:p>
    <w:p w14:paraId="038AD0B1">
      <w:pPr>
        <w:pStyle w:val="20"/>
        <w:rPr>
          <w:b/>
        </w:rPr>
      </w:pPr>
      <w:bookmarkStart w:id="1576" w:name="_Toc108513996"/>
      <w:r>
        <w:rPr>
          <w:b/>
        </w:rPr>
        <w:t>7</w:t>
      </w:r>
      <w:bookmarkStart w:id="1577" w:name="_Toc337558775"/>
      <w:r>
        <w:rPr>
          <w:b/>
        </w:rPr>
        <w:t>.8</w:t>
      </w:r>
      <w:r>
        <w:rPr>
          <w:rFonts w:hint="eastAsia"/>
          <w:b/>
        </w:rPr>
        <w:t xml:space="preserve"> </w:t>
      </w:r>
      <w:r>
        <w:rPr>
          <w:b/>
        </w:rPr>
        <w:t>暂停施工</w:t>
      </w:r>
      <w:bookmarkEnd w:id="1575"/>
      <w:bookmarkEnd w:id="1576"/>
    </w:p>
    <w:bookmarkEnd w:id="1568"/>
    <w:bookmarkEnd w:id="1569"/>
    <w:bookmarkEnd w:id="1577"/>
    <w:p w14:paraId="6F299EE9">
      <w:pPr>
        <w:spacing w:line="400" w:lineRule="exact"/>
        <w:ind w:firstLine="420" w:firstLineChars="200"/>
      </w:pPr>
      <w:r>
        <w:t>7.8.1发包人原因引起的暂停施工</w:t>
      </w:r>
    </w:p>
    <w:p w14:paraId="2EC7DFC4">
      <w:pPr>
        <w:spacing w:line="400" w:lineRule="exact"/>
        <w:ind w:firstLine="420" w:firstLineChars="200"/>
      </w:pPr>
      <w:r>
        <w:t>因发包人原因引起暂停施工的，监理人经发包人同意后，应及时下达暂停施工指示。情况紧急且监理人未及时下达暂停施工指示的，按照第7.8.4项</w:t>
      </w:r>
      <w:r>
        <w:rPr>
          <w:rFonts w:hint="eastAsia"/>
        </w:rPr>
        <w:t>〔</w:t>
      </w:r>
      <w:r>
        <w:t>紧急情况下的暂停施工</w:t>
      </w:r>
      <w:r>
        <w:rPr>
          <w:rFonts w:hint="eastAsia"/>
        </w:rPr>
        <w:t>〕</w:t>
      </w:r>
      <w:r>
        <w:t>执行。</w:t>
      </w:r>
    </w:p>
    <w:p w14:paraId="6926C3D1">
      <w:pPr>
        <w:spacing w:line="400" w:lineRule="exact"/>
        <w:ind w:firstLine="420" w:firstLineChars="200"/>
      </w:pPr>
      <w:r>
        <w:t>因发包人原因引起的暂停施工，发包人应承担由此增加的费用和（或）延误的工期，并支付承包人合理的利润。</w:t>
      </w:r>
    </w:p>
    <w:p w14:paraId="07FAFF50">
      <w:pPr>
        <w:spacing w:line="400" w:lineRule="exact"/>
        <w:ind w:firstLine="420" w:firstLineChars="200"/>
      </w:pPr>
      <w:r>
        <w:t>7.8.2 承包人原因引起的暂停施工</w:t>
      </w:r>
    </w:p>
    <w:p w14:paraId="2A3C9CF1">
      <w:pPr>
        <w:spacing w:line="400" w:lineRule="exact"/>
        <w:ind w:firstLine="420" w:firstLineChars="200"/>
      </w:pPr>
      <w:r>
        <w:t>因承包人原因引起的暂停施工，承包人应承担由此增加的费用和（或）延误的工期，且承包人在收到监理人复工指示后</w:t>
      </w:r>
      <w:r>
        <w:rPr>
          <w:rFonts w:hint="eastAsia"/>
        </w:rPr>
        <w:t>84</w:t>
      </w:r>
      <w:r>
        <w:t>天内仍未复工的，视为第16.2.1项</w:t>
      </w:r>
      <w:r>
        <w:rPr>
          <w:rFonts w:hint="eastAsia"/>
        </w:rPr>
        <w:t>〔</w:t>
      </w:r>
      <w:r>
        <w:t>承包人违约的情形</w:t>
      </w:r>
      <w:r>
        <w:rPr>
          <w:rFonts w:hint="eastAsia"/>
        </w:rPr>
        <w:t>〕</w:t>
      </w:r>
      <w:r>
        <w:t>第（7）目约定的承包人无法继续履行合同的情形。</w:t>
      </w:r>
    </w:p>
    <w:p w14:paraId="58C48B0C">
      <w:pPr>
        <w:spacing w:line="400" w:lineRule="exact"/>
        <w:ind w:firstLine="420" w:firstLineChars="200"/>
      </w:pPr>
      <w:r>
        <w:t>7.8.3 指示暂停施工</w:t>
      </w:r>
    </w:p>
    <w:p w14:paraId="6C7209F8">
      <w:pPr>
        <w:spacing w:line="400" w:lineRule="exact"/>
        <w:ind w:firstLine="420" w:firstLineChars="200"/>
      </w:pPr>
      <w:r>
        <w:t>监理人认为有必要时，并经发包人批准后，可向承包人作出暂停施工的指示，承包人应按监理人指示暂停施工。</w:t>
      </w:r>
    </w:p>
    <w:p w14:paraId="12FB1991">
      <w:pPr>
        <w:spacing w:line="400" w:lineRule="exact"/>
        <w:ind w:firstLine="420" w:firstLineChars="200"/>
      </w:pPr>
      <w:r>
        <w:t>7.8.4 紧急情况下的暂停施工</w:t>
      </w:r>
    </w:p>
    <w:p w14:paraId="7B3BEE38">
      <w:pPr>
        <w:spacing w:line="400" w:lineRule="exact"/>
        <w:ind w:firstLine="420" w:firstLineChars="200"/>
      </w:pPr>
      <w: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rPr>
        <w:t>〔</w:t>
      </w:r>
      <w:r>
        <w:t>争议解决</w:t>
      </w:r>
      <w:r>
        <w:rPr>
          <w:rFonts w:hint="eastAsia"/>
        </w:rPr>
        <w:t>〕</w:t>
      </w:r>
      <w:r>
        <w:t>约定处理。</w:t>
      </w:r>
    </w:p>
    <w:p w14:paraId="648E3AF1">
      <w:pPr>
        <w:spacing w:line="400" w:lineRule="exact"/>
        <w:ind w:firstLine="420" w:firstLineChars="200"/>
      </w:pPr>
      <w:r>
        <w:t>7.8.5 暂停施工后的复工</w:t>
      </w:r>
    </w:p>
    <w:p w14:paraId="71A7E90E">
      <w:pPr>
        <w:spacing w:line="400" w:lineRule="exact"/>
        <w:ind w:firstLine="420" w:firstLineChars="200"/>
      </w:pPr>
      <w: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21E882B4">
      <w:pPr>
        <w:spacing w:line="400" w:lineRule="exact"/>
        <w:ind w:firstLine="420" w:firstLineChars="200"/>
      </w:pPr>
      <w:r>
        <w:t>承包人无故拖延和拒绝复工的，承包人承担由此增加的费用和（或）延误的工期；因发包人原因无法按时复工的，按照第7.5.1项</w:t>
      </w:r>
      <w:r>
        <w:rPr>
          <w:rFonts w:hint="eastAsia"/>
        </w:rPr>
        <w:t>〔</w:t>
      </w:r>
      <w:r>
        <w:t>因发包人原因导致工期延误</w:t>
      </w:r>
      <w:r>
        <w:rPr>
          <w:rFonts w:hint="eastAsia"/>
        </w:rPr>
        <w:t>〕</w:t>
      </w:r>
      <w:r>
        <w:t>约定办理。</w:t>
      </w:r>
    </w:p>
    <w:p w14:paraId="52BE0621">
      <w:pPr>
        <w:spacing w:line="400" w:lineRule="exact"/>
        <w:ind w:firstLine="420" w:firstLineChars="200"/>
      </w:pPr>
      <w:r>
        <w:t>7.8.6 暂停施工持续56天以上</w:t>
      </w:r>
    </w:p>
    <w:p w14:paraId="09071935">
      <w:pPr>
        <w:spacing w:line="400" w:lineRule="exact"/>
        <w:ind w:firstLine="420" w:firstLineChars="200"/>
      </w:pPr>
      <w:r>
        <w:t>监理人发出暂停施工指示后56天内未向承包人发出复工通知，除该项停工属于第7.8.2项</w:t>
      </w:r>
      <w:r>
        <w:rPr>
          <w:rFonts w:hint="eastAsia"/>
        </w:rPr>
        <w:t>〔</w:t>
      </w:r>
      <w:r>
        <w:t>承包人原因引起的暂停施工</w:t>
      </w:r>
      <w:r>
        <w:rPr>
          <w:rFonts w:hint="eastAsia"/>
        </w:rPr>
        <w:t>〕</w:t>
      </w:r>
      <w:r>
        <w:t>及第17条</w:t>
      </w:r>
      <w:r>
        <w:rPr>
          <w:rFonts w:hint="eastAsia"/>
        </w:rPr>
        <w:t>〔</w:t>
      </w:r>
      <w:r>
        <w:t>不可抗力</w:t>
      </w:r>
      <w:r>
        <w:rPr>
          <w:rFonts w:hint="eastAsia"/>
        </w:rPr>
        <w:t>〕</w:t>
      </w:r>
      <w: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rPr>
        <w:t>〔</w:t>
      </w:r>
      <w:r>
        <w:t>变更的范围</w:t>
      </w:r>
      <w:r>
        <w:rPr>
          <w:rFonts w:hint="eastAsia"/>
        </w:rPr>
        <w:t>〕</w:t>
      </w:r>
      <w:r>
        <w:t>第（2）项的可取消工作。</w:t>
      </w:r>
    </w:p>
    <w:p w14:paraId="47A7A4B1">
      <w:pPr>
        <w:spacing w:line="400" w:lineRule="exact"/>
        <w:ind w:firstLine="420" w:firstLineChars="200"/>
      </w:pPr>
      <w:r>
        <w:t>暂停施工持续</w:t>
      </w:r>
      <w:r>
        <w:rPr>
          <w:rFonts w:hint="eastAsia"/>
        </w:rPr>
        <w:t>84</w:t>
      </w:r>
      <w:r>
        <w:t>天以上不复工的，且不属于第7.8.2项</w:t>
      </w:r>
      <w:r>
        <w:rPr>
          <w:rFonts w:hint="eastAsia"/>
        </w:rPr>
        <w:t>〔</w:t>
      </w:r>
      <w:r>
        <w:t>承包人原因引起的暂停施工</w:t>
      </w:r>
      <w:r>
        <w:rPr>
          <w:rFonts w:hint="eastAsia"/>
        </w:rPr>
        <w:t>〕</w:t>
      </w:r>
      <w:r>
        <w:t>及第17条</w:t>
      </w:r>
      <w:r>
        <w:rPr>
          <w:rFonts w:hint="eastAsia"/>
        </w:rPr>
        <w:t>〔</w:t>
      </w:r>
      <w:r>
        <w:t>不可抗力</w:t>
      </w:r>
      <w:r>
        <w:rPr>
          <w:rFonts w:hint="eastAsia"/>
        </w:rPr>
        <w:t>〕</w:t>
      </w:r>
      <w:r>
        <w:t>约定的情形，并影响到整个工程以及合同目的实现的，承包人有权提出价格调整要求，或者解除合同。解除合同的，按照第16.1.3项</w:t>
      </w:r>
      <w:r>
        <w:rPr>
          <w:rFonts w:hint="eastAsia"/>
        </w:rPr>
        <w:t>〔</w:t>
      </w:r>
      <w:r>
        <w:t>因发包人违约解除合同</w:t>
      </w:r>
      <w:r>
        <w:rPr>
          <w:rFonts w:hint="eastAsia"/>
        </w:rPr>
        <w:t>〕</w:t>
      </w:r>
      <w:r>
        <w:t>执行。</w:t>
      </w:r>
    </w:p>
    <w:p w14:paraId="759C983A">
      <w:pPr>
        <w:spacing w:line="400" w:lineRule="exact"/>
        <w:ind w:firstLine="420" w:firstLineChars="200"/>
      </w:pPr>
      <w:r>
        <w:t>7.8.7 暂停施工期间的工程照管</w:t>
      </w:r>
    </w:p>
    <w:p w14:paraId="77C623F7">
      <w:pPr>
        <w:spacing w:line="400" w:lineRule="exact"/>
        <w:ind w:firstLine="420" w:firstLineChars="200"/>
      </w:pPr>
      <w:r>
        <w:t>暂停施工期间，承包人应负责妥善照管工程并提供安全保障，由此增加的费用由责任方承担。</w:t>
      </w:r>
    </w:p>
    <w:p w14:paraId="434EBF0C">
      <w:pPr>
        <w:spacing w:line="400" w:lineRule="exact"/>
        <w:ind w:firstLine="420" w:firstLineChars="200"/>
      </w:pPr>
      <w:r>
        <w:t>7.8.8 暂停施工的措施</w:t>
      </w:r>
    </w:p>
    <w:p w14:paraId="770E8DA5">
      <w:pPr>
        <w:spacing w:line="400" w:lineRule="exact"/>
        <w:ind w:firstLine="420" w:firstLineChars="200"/>
      </w:pPr>
      <w:r>
        <w:t>暂停施工期间，发包人和承包人均应采取必要的措施确保工程质量及安全，防止因暂停施工扩大损失。</w:t>
      </w:r>
    </w:p>
    <w:p w14:paraId="058510AF">
      <w:pPr>
        <w:pStyle w:val="20"/>
        <w:rPr>
          <w:b/>
        </w:rPr>
      </w:pPr>
      <w:bookmarkStart w:id="1578" w:name="_Toc108513997"/>
      <w:bookmarkStart w:id="1579" w:name="_Toc351203551"/>
      <w:r>
        <w:rPr>
          <w:b/>
        </w:rPr>
        <w:t>7.9提前竣工</w:t>
      </w:r>
      <w:bookmarkEnd w:id="1578"/>
      <w:bookmarkEnd w:id="1579"/>
    </w:p>
    <w:p w14:paraId="0412810E">
      <w:pPr>
        <w:spacing w:line="400" w:lineRule="exact"/>
        <w:ind w:firstLine="420" w:firstLineChars="200"/>
      </w:pPr>
      <w: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rPr>
        <w:t>承包人认为提前竣工指示无法执行的，应向监理人和发包人提出书面异议，发包人和监理人应在收到异议后7天内予以答复。任何情况下，发包人不得压缩合理工期。</w:t>
      </w:r>
    </w:p>
    <w:p w14:paraId="10FEEF55">
      <w:pPr>
        <w:spacing w:line="400" w:lineRule="exact"/>
        <w:ind w:firstLine="420" w:firstLineChars="200"/>
      </w:pPr>
      <w:r>
        <w:t>7.9.2 发包人要求承包人提前竣工，或承包人提出提前竣工的建议能够给发包人带来效益的，合同当事人可以在专用合同条款中约定提前竣工的奖励。</w:t>
      </w:r>
    </w:p>
    <w:p w14:paraId="34579C1C">
      <w:pPr>
        <w:pStyle w:val="18"/>
        <w:rPr>
          <w:b/>
        </w:rPr>
      </w:pPr>
      <w:bookmarkStart w:id="1580" w:name="_Toc351203552"/>
      <w:bookmarkStart w:id="1581" w:name="_Toc108513998"/>
      <w:r>
        <w:rPr>
          <w:b/>
        </w:rPr>
        <w:t>8</w:t>
      </w:r>
      <w:bookmarkStart w:id="1582" w:name="_Toc296503058"/>
      <w:bookmarkStart w:id="1583" w:name="_Toc337558776"/>
      <w:bookmarkStart w:id="1584" w:name="_Toc296346559"/>
      <w:r>
        <w:rPr>
          <w:b/>
        </w:rPr>
        <w:t>. 材料与设备</w:t>
      </w:r>
      <w:bookmarkEnd w:id="1580"/>
      <w:bookmarkEnd w:id="1581"/>
    </w:p>
    <w:bookmarkEnd w:id="1582"/>
    <w:bookmarkEnd w:id="1583"/>
    <w:bookmarkEnd w:id="1584"/>
    <w:p w14:paraId="5FB1367D">
      <w:pPr>
        <w:pStyle w:val="20"/>
        <w:rPr>
          <w:b/>
        </w:rPr>
      </w:pPr>
      <w:bookmarkStart w:id="1585" w:name="_Toc351203553"/>
      <w:bookmarkStart w:id="1586" w:name="_Toc108513999"/>
      <w:r>
        <w:rPr>
          <w:b/>
        </w:rPr>
        <w:t>8</w:t>
      </w:r>
      <w:bookmarkStart w:id="1587" w:name="_Toc296346560"/>
      <w:bookmarkStart w:id="1588" w:name="_Toc337558777"/>
      <w:bookmarkStart w:id="1589" w:name="_Toc296503059"/>
      <w:bookmarkStart w:id="1590" w:name="_Toc468936960"/>
      <w:r>
        <w:rPr>
          <w:b/>
        </w:rPr>
        <w:t>.1发包人供应材料与工程设备</w:t>
      </w:r>
      <w:bookmarkEnd w:id="1585"/>
      <w:bookmarkEnd w:id="1586"/>
    </w:p>
    <w:bookmarkEnd w:id="1587"/>
    <w:bookmarkEnd w:id="1588"/>
    <w:bookmarkEnd w:id="1589"/>
    <w:p w14:paraId="31B4ED49">
      <w:pPr>
        <w:spacing w:line="400" w:lineRule="exact"/>
        <w:ind w:firstLine="420" w:firstLineChars="200"/>
      </w:pPr>
      <w:r>
        <w:t>发包人自行供应材料、工程设备的，应在签订合同时在专用合同条款的附件《发包人供应材料设备一览表》中明确材料、工程设备的品种、规格、型号、数量、单价、质量等级和送达地点。</w:t>
      </w:r>
    </w:p>
    <w:p w14:paraId="569C441B">
      <w:pPr>
        <w:spacing w:line="400" w:lineRule="exact"/>
        <w:ind w:firstLine="420" w:firstLineChars="200"/>
      </w:pPr>
      <w:r>
        <w:t>承包人应提前30天通过监理人以书面形式通知发包人供应材料与工程设备进场。承包人按照第7.2.2项</w:t>
      </w:r>
      <w:r>
        <w:rPr>
          <w:rFonts w:hint="eastAsia"/>
        </w:rPr>
        <w:t>〔</w:t>
      </w:r>
      <w:r>
        <w:t>施工进度计划的修订</w:t>
      </w:r>
      <w:r>
        <w:rPr>
          <w:rFonts w:hint="eastAsia"/>
        </w:rPr>
        <w:t>〕</w:t>
      </w:r>
      <w:r>
        <w:t>约定修订施工进度计划时，需同时提交经修订后的发包人供应材料与工程设备的进场计划。</w:t>
      </w:r>
    </w:p>
    <w:p w14:paraId="2A3A1577">
      <w:pPr>
        <w:pStyle w:val="20"/>
      </w:pPr>
      <w:bookmarkStart w:id="1591" w:name="_Toc108514000"/>
      <w:bookmarkStart w:id="1592" w:name="_Toc351203554"/>
      <w:r>
        <w:rPr>
          <w:b/>
        </w:rPr>
        <w:t>8</w:t>
      </w:r>
      <w:bookmarkStart w:id="1593" w:name="_Toc296503060"/>
      <w:bookmarkStart w:id="1594" w:name="_Toc337558778"/>
      <w:bookmarkStart w:id="1595" w:name="_Toc296346561"/>
      <w:r>
        <w:rPr>
          <w:b/>
        </w:rPr>
        <w:t>.2承包人采购材料与工程设备</w:t>
      </w:r>
      <w:bookmarkEnd w:id="1591"/>
      <w:bookmarkEnd w:id="1592"/>
    </w:p>
    <w:bookmarkEnd w:id="1593"/>
    <w:bookmarkEnd w:id="1594"/>
    <w:bookmarkEnd w:id="1595"/>
    <w:p w14:paraId="12E632C0">
      <w:pPr>
        <w:spacing w:line="400" w:lineRule="exact"/>
        <w:ind w:firstLine="420" w:firstLineChars="200"/>
      </w:pPr>
      <w: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rPr>
        <w:t>相应责任</w:t>
      </w:r>
      <w:r>
        <w:t>。</w:t>
      </w:r>
    </w:p>
    <w:p w14:paraId="389171F8">
      <w:pPr>
        <w:pStyle w:val="20"/>
        <w:rPr>
          <w:b/>
        </w:rPr>
      </w:pPr>
      <w:bookmarkStart w:id="1596" w:name="_Toc351203555"/>
      <w:bookmarkStart w:id="1597" w:name="_Toc108514001"/>
      <w:r>
        <w:rPr>
          <w:b/>
        </w:rPr>
        <w:t>8</w:t>
      </w:r>
      <w:bookmarkStart w:id="1598" w:name="_Toc337558779"/>
      <w:bookmarkStart w:id="1599" w:name="_Toc296503061"/>
      <w:bookmarkStart w:id="1600" w:name="_Toc296346562"/>
      <w:r>
        <w:rPr>
          <w:b/>
        </w:rPr>
        <w:t>.3材料与工程设备的接收与拒收</w:t>
      </w:r>
      <w:bookmarkEnd w:id="1596"/>
      <w:bookmarkEnd w:id="1597"/>
    </w:p>
    <w:bookmarkEnd w:id="1598"/>
    <w:bookmarkEnd w:id="1599"/>
    <w:bookmarkEnd w:id="1600"/>
    <w:p w14:paraId="200F5C8B">
      <w:pPr>
        <w:spacing w:line="400" w:lineRule="exact"/>
        <w:ind w:firstLine="420" w:firstLineChars="200"/>
      </w:pPr>
      <w: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F804C41">
      <w:pPr>
        <w:spacing w:line="400" w:lineRule="exact"/>
        <w:ind w:firstLine="420" w:firstLineChars="200"/>
      </w:pPr>
      <w:r>
        <w:t>发包人提供的材料和工程设备的规格、数量或质量不符合合同约定的，或因发包人原因导致交货日期延误或交货地点变更等情况的，按照第16.1款</w:t>
      </w:r>
      <w:r>
        <w:rPr>
          <w:rFonts w:hint="eastAsia"/>
        </w:rPr>
        <w:t>〔</w:t>
      </w:r>
      <w:r>
        <w:t>发包人违约</w:t>
      </w:r>
      <w:r>
        <w:rPr>
          <w:rFonts w:hint="eastAsia"/>
        </w:rPr>
        <w:t>〕</w:t>
      </w:r>
      <w:r>
        <w:t>约定办理。</w:t>
      </w:r>
    </w:p>
    <w:p w14:paraId="5AFA51EA">
      <w:pPr>
        <w:spacing w:line="400" w:lineRule="exact"/>
        <w:ind w:firstLine="420" w:firstLineChars="200"/>
      </w:pPr>
      <w:r>
        <w:t>8.3.2 承包人采购的材料和工程设备，应保证产品质量合格，承包人应在材料和工程设备到货前24小时通知监理人检验。承</w:t>
      </w:r>
      <w:bookmarkStart w:id="1601" w:name="_Toc250655469"/>
      <w:r>
        <w:t>包人进行永久设备、材料的制造和生产的，应符合相关质量标准，并向监理人提交材料的样本以及有关资料，并应在使用该材料或工程设备之前获得监理人同意。</w:t>
      </w:r>
    </w:p>
    <w:bookmarkEnd w:id="1601"/>
    <w:p w14:paraId="5415434A">
      <w:pPr>
        <w:spacing w:line="400" w:lineRule="exact"/>
        <w:ind w:firstLine="420" w:firstLineChars="200"/>
      </w:pPr>
      <w: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6C59D81">
      <w:pPr>
        <w:pStyle w:val="20"/>
        <w:rPr>
          <w:b/>
        </w:rPr>
      </w:pPr>
      <w:bookmarkStart w:id="1602" w:name="_Toc108514002"/>
      <w:bookmarkStart w:id="1603" w:name="_Toc351203556"/>
      <w:r>
        <w:rPr>
          <w:b/>
        </w:rPr>
        <w:t>8</w:t>
      </w:r>
      <w:bookmarkStart w:id="1604" w:name="_Toc296503062"/>
      <w:bookmarkStart w:id="1605" w:name="_Toc296346563"/>
      <w:bookmarkStart w:id="1606" w:name="_Toc337558780"/>
      <w:r>
        <w:rPr>
          <w:b/>
        </w:rPr>
        <w:t>.4材料与工程设备的保管与使用</w:t>
      </w:r>
      <w:bookmarkEnd w:id="1602"/>
      <w:bookmarkEnd w:id="1603"/>
    </w:p>
    <w:bookmarkEnd w:id="1604"/>
    <w:bookmarkEnd w:id="1605"/>
    <w:bookmarkEnd w:id="1606"/>
    <w:p w14:paraId="77E68590">
      <w:pPr>
        <w:spacing w:line="400" w:lineRule="exact"/>
        <w:ind w:firstLine="420" w:firstLineChars="200"/>
      </w:pPr>
      <w:r>
        <w:t>8.4.1 发包人供应材料与工程设备的保管与使用</w:t>
      </w:r>
    </w:p>
    <w:p w14:paraId="2D79BADD">
      <w:pPr>
        <w:spacing w:line="400" w:lineRule="exact"/>
        <w:ind w:firstLine="420" w:firstLineChars="200"/>
      </w:pPr>
      <w: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07AD6452">
      <w:pPr>
        <w:spacing w:line="400" w:lineRule="exact"/>
        <w:ind w:firstLine="420" w:firstLineChars="200"/>
      </w:pPr>
      <w:r>
        <w:t>发包人供应的材料和工程设备使用前，由承包人负责检验，检验费用由发包人承担，不合格的不得使用。</w:t>
      </w:r>
    </w:p>
    <w:p w14:paraId="314198A5">
      <w:pPr>
        <w:spacing w:line="400" w:lineRule="exact"/>
        <w:ind w:firstLine="420" w:firstLineChars="200"/>
      </w:pPr>
      <w:r>
        <w:t>8.4.2 承包人采购材料与工程设备的保管与使用</w:t>
      </w:r>
    </w:p>
    <w:p w14:paraId="1FD87AFD">
      <w:pPr>
        <w:spacing w:line="400" w:lineRule="exact"/>
        <w:ind w:firstLine="420" w:firstLineChars="200"/>
      </w:pPr>
      <w: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5216451">
      <w:pPr>
        <w:spacing w:line="400" w:lineRule="exact"/>
        <w:ind w:firstLine="420" w:firstLineChars="200"/>
      </w:pPr>
      <w:r>
        <w:t>发包人或监理人发现承包人使用不符合设计或有关标准要求的材料和工程设备时，有权要求承包人进行修复、拆除或重新采购，由此增加的费用和（或）延误的工期，由承包人承担。</w:t>
      </w:r>
    </w:p>
    <w:p w14:paraId="3F361C10">
      <w:pPr>
        <w:pStyle w:val="20"/>
        <w:rPr>
          <w:b/>
        </w:rPr>
      </w:pPr>
      <w:bookmarkStart w:id="1607" w:name="_Toc108514003"/>
      <w:bookmarkStart w:id="1608" w:name="_Toc351203557"/>
      <w:r>
        <w:rPr>
          <w:b/>
        </w:rPr>
        <w:t>8.5禁止使用不合格的材料和工程设备</w:t>
      </w:r>
      <w:bookmarkEnd w:id="1607"/>
      <w:bookmarkEnd w:id="1608"/>
    </w:p>
    <w:p w14:paraId="2BB3B9B5">
      <w:pPr>
        <w:spacing w:line="400" w:lineRule="exact"/>
        <w:ind w:firstLine="420" w:firstLineChars="200"/>
      </w:pPr>
      <w:r>
        <w:t>8.5.1 监理人有权拒绝承包人提供的不合格材料或工程设备，并要求承包人立即进行更换。监理人应在更换后再次进行检查和检验，由此增加的费用和（或）延误的工期由承包人承担。</w:t>
      </w:r>
    </w:p>
    <w:p w14:paraId="7B6D1E92">
      <w:pPr>
        <w:spacing w:line="400" w:lineRule="exact"/>
        <w:ind w:firstLine="420" w:firstLineChars="200"/>
      </w:pPr>
      <w:r>
        <w:t>8.5.2 监理人发现承包人使用了不合格的材料和工程设备，承包人应按照监理人的指示立即改正，并禁止在工程中继续使用不合格的材料和工程设备。</w:t>
      </w:r>
    </w:p>
    <w:p w14:paraId="65BF8364">
      <w:pPr>
        <w:spacing w:line="400" w:lineRule="exact"/>
        <w:ind w:firstLine="420" w:firstLineChars="200"/>
      </w:pPr>
      <w:r>
        <w:t>8.5.3 发包人提供的材料或工程设备不符合合同要求的，承包人有权拒绝，并可要求发包人更换，由此增加的费用和（或）延误的工期由发包人承担</w:t>
      </w:r>
      <w:r>
        <w:rPr>
          <w:rFonts w:hint="eastAsia"/>
        </w:rPr>
        <w:t>，并支付承包人合理的利润</w:t>
      </w:r>
      <w:r>
        <w:t>。</w:t>
      </w:r>
    </w:p>
    <w:p w14:paraId="57B71621">
      <w:pPr>
        <w:pStyle w:val="20"/>
        <w:rPr>
          <w:b/>
        </w:rPr>
      </w:pPr>
      <w:bookmarkStart w:id="1609" w:name="_Toc351203558"/>
      <w:bookmarkStart w:id="1610" w:name="_Toc108514004"/>
      <w:r>
        <w:rPr>
          <w:b/>
        </w:rPr>
        <w:t>8.6 样品</w:t>
      </w:r>
      <w:bookmarkEnd w:id="1609"/>
      <w:bookmarkEnd w:id="1610"/>
    </w:p>
    <w:p w14:paraId="00F50905">
      <w:pPr>
        <w:spacing w:line="400" w:lineRule="exact"/>
        <w:ind w:firstLine="420" w:firstLineChars="200"/>
      </w:pPr>
      <w:r>
        <w:t>8.6.1样品的报送</w:t>
      </w:r>
      <w:r>
        <w:rPr>
          <w:rFonts w:hint="eastAsia"/>
        </w:rPr>
        <w:t>与封存</w:t>
      </w:r>
    </w:p>
    <w:p w14:paraId="27A9E9E4">
      <w:pPr>
        <w:spacing w:line="400" w:lineRule="exact"/>
        <w:ind w:firstLine="420" w:firstLineChars="200"/>
      </w:pPr>
      <w:r>
        <w:t>需要承包人报送样品的材料或工程设备，样品的种类、名称、规格、数量等要求均应在专用合同条款中约定。样品的报送程序如下：</w:t>
      </w:r>
    </w:p>
    <w:p w14:paraId="4AECFFC8">
      <w:pPr>
        <w:spacing w:line="400" w:lineRule="exact"/>
        <w:ind w:firstLine="420" w:firstLineChars="200"/>
      </w:pPr>
      <w: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665253A">
      <w:pPr>
        <w:spacing w:line="400" w:lineRule="exact"/>
        <w:ind w:firstLine="420" w:firstLineChars="200"/>
      </w:pPr>
      <w: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1CA10E2A">
      <w:pPr>
        <w:spacing w:line="400" w:lineRule="exact"/>
        <w:ind w:firstLine="420" w:firstLineChars="200"/>
      </w:pPr>
      <w:r>
        <w:t>（3）经发包人和监理人审批确认的样品</w:t>
      </w:r>
      <w:r>
        <w:rPr>
          <w:rFonts w:hint="eastAsia"/>
        </w:rPr>
        <w:t>应按约定的方法封样，封存的样品</w:t>
      </w:r>
      <w:r>
        <w:t>作为检验工程相关部分的标准之一。承包人在施工过程中不得使用与样品不符的材料或工程设备。</w:t>
      </w:r>
    </w:p>
    <w:p w14:paraId="10EF3EC7">
      <w:pPr>
        <w:spacing w:line="400" w:lineRule="exact"/>
        <w:ind w:firstLine="420" w:firstLineChars="200"/>
      </w:pPr>
      <w:r>
        <w:t>（4）发包人和监理人对样品的审批确认仅为确认相关材料或工程设备的特征或用途，不得被理解为对合同的修改或改变，也并不减轻或免除承包人任何的责任和义务。</w:t>
      </w:r>
      <w:r>
        <w:rPr>
          <w:rFonts w:hint="eastAsia"/>
        </w:rPr>
        <w:t>如果封存的样品修改或改变了合同约定，合同当事人应当以书面协议予以确认。</w:t>
      </w:r>
    </w:p>
    <w:p w14:paraId="6B293519">
      <w:pPr>
        <w:spacing w:line="400" w:lineRule="exact"/>
        <w:ind w:firstLine="420" w:firstLineChars="200"/>
      </w:pPr>
      <w:r>
        <w:t>8.6.2 样品的保管</w:t>
      </w:r>
    </w:p>
    <w:p w14:paraId="10B20A09">
      <w:pPr>
        <w:spacing w:line="400" w:lineRule="exact"/>
        <w:ind w:firstLine="420" w:firstLineChars="200"/>
      </w:pPr>
      <w:r>
        <w:t>经批准的样品应由监理人负责封存于现场，承包人应在现场为保存样品提供适当和固定的场所并保持适当和良好的存储环境条件。</w:t>
      </w:r>
    </w:p>
    <w:p w14:paraId="7F7A1744">
      <w:pPr>
        <w:pStyle w:val="20"/>
        <w:rPr>
          <w:b/>
        </w:rPr>
      </w:pPr>
      <w:bookmarkStart w:id="1611" w:name="_Toc108514005"/>
      <w:bookmarkStart w:id="1612" w:name="_Toc351203559"/>
      <w:r>
        <w:rPr>
          <w:b/>
        </w:rPr>
        <w:t>8.7材料与工程设备的替代</w:t>
      </w:r>
      <w:bookmarkEnd w:id="1611"/>
      <w:bookmarkEnd w:id="1612"/>
    </w:p>
    <w:p w14:paraId="40DA2B06">
      <w:pPr>
        <w:spacing w:line="400" w:lineRule="exact"/>
        <w:ind w:firstLine="420" w:firstLineChars="200"/>
      </w:pPr>
      <w:r>
        <w:t>8.7.1 出现下列情况需要使用替代材料和工程设备的，承包人应按照第8.7.2项约定的程序执行：</w:t>
      </w:r>
    </w:p>
    <w:p w14:paraId="1716CA31">
      <w:pPr>
        <w:spacing w:line="400" w:lineRule="exact"/>
        <w:ind w:firstLine="420" w:firstLineChars="200"/>
      </w:pPr>
      <w:r>
        <w:t>（1）基准日</w:t>
      </w:r>
      <w:r>
        <w:rPr>
          <w:rFonts w:hint="eastAsia"/>
        </w:rPr>
        <w:t>期</w:t>
      </w:r>
      <w:r>
        <w:t>后生效的法律规定禁止使用的；</w:t>
      </w:r>
    </w:p>
    <w:p w14:paraId="76B009E8">
      <w:pPr>
        <w:spacing w:line="400" w:lineRule="exact"/>
        <w:ind w:firstLine="420" w:firstLineChars="200"/>
      </w:pPr>
      <w:r>
        <w:t>（2）发包人要求使用替代品的；</w:t>
      </w:r>
    </w:p>
    <w:p w14:paraId="13E27E05">
      <w:pPr>
        <w:spacing w:line="400" w:lineRule="exact"/>
        <w:ind w:firstLine="420" w:firstLineChars="200"/>
      </w:pPr>
      <w:r>
        <w:t>（3）因其他原因必须使用替代品的。</w:t>
      </w:r>
    </w:p>
    <w:p w14:paraId="5FAC6051">
      <w:pPr>
        <w:spacing w:line="400" w:lineRule="exact"/>
        <w:ind w:firstLine="420" w:firstLineChars="200"/>
      </w:pPr>
      <w:r>
        <w:t>8.7.2 承包人应在使用替代材料和工程设备28天前书面通知监理人，并附下列文件：</w:t>
      </w:r>
    </w:p>
    <w:p w14:paraId="055F8E68">
      <w:pPr>
        <w:spacing w:line="400" w:lineRule="exact"/>
        <w:ind w:firstLine="420" w:firstLineChars="200"/>
      </w:pPr>
      <w:r>
        <w:t>（1）被替代的材料和工程设备的名称、数量、规格、型号、品牌、性能、价格及其他相关资料；</w:t>
      </w:r>
    </w:p>
    <w:p w14:paraId="453F5136">
      <w:pPr>
        <w:spacing w:line="400" w:lineRule="exact"/>
        <w:ind w:firstLine="420" w:firstLineChars="200"/>
      </w:pPr>
      <w:r>
        <w:t>（2）替代品的名称、数量、规格、型号、品牌、性能、价格及其他相关资料；</w:t>
      </w:r>
    </w:p>
    <w:p w14:paraId="31128291">
      <w:pPr>
        <w:spacing w:line="400" w:lineRule="exact"/>
        <w:ind w:firstLine="420" w:firstLineChars="200"/>
      </w:pPr>
      <w:r>
        <w:t>（3）替代品与被替代产品之间的差异以及使用替代品可能对工程产生的影响；</w:t>
      </w:r>
    </w:p>
    <w:p w14:paraId="06EE600F">
      <w:pPr>
        <w:spacing w:line="400" w:lineRule="exact"/>
        <w:ind w:firstLine="420" w:firstLineChars="200"/>
      </w:pPr>
      <w:r>
        <w:t>（4）替代品与被替代产品的价格差异；</w:t>
      </w:r>
    </w:p>
    <w:p w14:paraId="5C977A60">
      <w:pPr>
        <w:spacing w:line="400" w:lineRule="exact"/>
        <w:ind w:firstLine="420" w:firstLineChars="200"/>
      </w:pPr>
      <w:r>
        <w:t>（5）使用替代品的理由和原因说明；</w:t>
      </w:r>
    </w:p>
    <w:p w14:paraId="5204893D">
      <w:pPr>
        <w:spacing w:line="400" w:lineRule="exact"/>
        <w:ind w:firstLine="420" w:firstLineChars="200"/>
      </w:pPr>
      <w:r>
        <w:t>（6）监理人要求的其他文件。</w:t>
      </w:r>
    </w:p>
    <w:p w14:paraId="35445C32">
      <w:pPr>
        <w:spacing w:line="400" w:lineRule="exact"/>
        <w:ind w:firstLine="420" w:firstLineChars="200"/>
      </w:pPr>
      <w:r>
        <w:t>监理人应在收到通知后14天内向承包人发出经发包人签认的书面指示；监理人逾期发出书面指示的，视为发包人和监理人同意使用替代品。</w:t>
      </w:r>
    </w:p>
    <w:p w14:paraId="150EA69E">
      <w:pPr>
        <w:spacing w:line="400" w:lineRule="exact"/>
        <w:ind w:firstLine="420" w:firstLineChars="200"/>
      </w:pPr>
      <w:r>
        <w:t>8.7.3 发包人认可使用替代材料和工程设备的，替代材料和工程设备的价格，按照已标价工程量清单或预算书相同项目的价格认定；无相同项目的，参考相似项目价格认定；</w:t>
      </w:r>
      <w:r>
        <w:rPr>
          <w:rFonts w:hint="eastAsia"/>
        </w:rPr>
        <w:t>既无</w:t>
      </w:r>
      <w:r>
        <w:t>相同项目</w:t>
      </w:r>
      <w:r>
        <w:rPr>
          <w:rFonts w:hint="eastAsia"/>
        </w:rPr>
        <w:t>也</w:t>
      </w:r>
      <w:r>
        <w:t>无相似项目的，</w:t>
      </w:r>
      <w:r>
        <w:rPr>
          <w:rFonts w:hint="eastAsia"/>
        </w:rPr>
        <w:t>按照合理的成本与利润构成的原则，</w:t>
      </w:r>
      <w:r>
        <w:t>由合同当事人按照第4.4款</w:t>
      </w:r>
      <w:r>
        <w:rPr>
          <w:rFonts w:hint="eastAsia"/>
        </w:rPr>
        <w:t>〔</w:t>
      </w:r>
      <w:r>
        <w:t>商定或确定</w:t>
      </w:r>
      <w:r>
        <w:rPr>
          <w:rFonts w:hint="eastAsia"/>
        </w:rPr>
        <w:t>〕</w:t>
      </w:r>
      <w:r>
        <w:t>确定价格。</w:t>
      </w:r>
    </w:p>
    <w:p w14:paraId="4DEBD405">
      <w:pPr>
        <w:pStyle w:val="20"/>
        <w:rPr>
          <w:b/>
        </w:rPr>
      </w:pPr>
      <w:bookmarkStart w:id="1613" w:name="_Toc351203560"/>
      <w:bookmarkStart w:id="1614" w:name="_Toc108514006"/>
      <w:r>
        <w:rPr>
          <w:b/>
        </w:rPr>
        <w:t>8.8施工设备和临时设施</w:t>
      </w:r>
      <w:bookmarkEnd w:id="1613"/>
      <w:bookmarkEnd w:id="1614"/>
    </w:p>
    <w:p w14:paraId="30CD9625">
      <w:pPr>
        <w:spacing w:line="400" w:lineRule="exact"/>
        <w:ind w:firstLine="420" w:firstLineChars="200"/>
      </w:pPr>
      <w:r>
        <w:t>8.8.1 承包人提供的施工设备和临时设施</w:t>
      </w:r>
    </w:p>
    <w:p w14:paraId="6A4A123A">
      <w:pPr>
        <w:spacing w:line="400" w:lineRule="exact"/>
        <w:ind w:firstLine="420" w:firstLineChars="200"/>
      </w:pPr>
      <w:r>
        <w:t>承包人应按合同进度计划的要求，及时配置施工设备和修建临时设施。进入施工场地的承包人设备需经监理人核查后才能投入使用。承包人更换合同约定的承包人设备的，应报监理人批准。</w:t>
      </w:r>
    </w:p>
    <w:p w14:paraId="6B791293">
      <w:pPr>
        <w:spacing w:line="400" w:lineRule="exact"/>
        <w:ind w:firstLine="420" w:firstLineChars="200"/>
        <w:rPr>
          <w:rFonts w:hint="eastAsia"/>
        </w:rPr>
      </w:pPr>
      <w:r>
        <w:t>除专用合同条款另有约定外，承包人应自行承担修建临时设施的费用，需要临时占地的，应由发包人办理申请手续并承担相应费用。</w:t>
      </w:r>
    </w:p>
    <w:p w14:paraId="6F926F56">
      <w:pPr>
        <w:spacing w:line="400" w:lineRule="exact"/>
        <w:ind w:firstLine="420" w:firstLineChars="200"/>
      </w:pPr>
      <w:r>
        <w:t>8.8.2发包人提供的施工设备和临时设施</w:t>
      </w:r>
    </w:p>
    <w:p w14:paraId="48F256DA">
      <w:pPr>
        <w:spacing w:line="400" w:lineRule="exact"/>
        <w:ind w:firstLine="420" w:firstLineChars="200"/>
      </w:pPr>
      <w:r>
        <w:t>发包人提供的施工设备或临时设施在专用合同条款中约定。</w:t>
      </w:r>
    </w:p>
    <w:p w14:paraId="29A75721">
      <w:pPr>
        <w:spacing w:line="400" w:lineRule="exact"/>
        <w:ind w:firstLine="420" w:firstLineChars="200"/>
      </w:pPr>
      <w:r>
        <w:t>8.8.3要求承包人增加或更换施工设备</w:t>
      </w:r>
    </w:p>
    <w:p w14:paraId="2CC6BB5D">
      <w:pPr>
        <w:spacing w:line="400" w:lineRule="exact"/>
        <w:ind w:firstLine="420" w:firstLineChars="200"/>
      </w:pPr>
      <w:r>
        <w:t>承包人使用的施工设备不能满足合同进度计划和（或）质量要求时，监理人有权要求承包人增加或更换施工设备，承包人应及时增加或更换，由此增加的费用和（或）延误的工期由承包人承担。</w:t>
      </w:r>
    </w:p>
    <w:p w14:paraId="29B617A4">
      <w:pPr>
        <w:pStyle w:val="20"/>
        <w:rPr>
          <w:b/>
        </w:rPr>
      </w:pPr>
      <w:bookmarkStart w:id="1615" w:name="_Toc351203561"/>
      <w:bookmarkStart w:id="1616" w:name="_Toc108514007"/>
      <w:r>
        <w:rPr>
          <w:b/>
        </w:rPr>
        <w:t>8</w:t>
      </w:r>
      <w:bookmarkStart w:id="1617" w:name="_Toc296503063"/>
      <w:bookmarkStart w:id="1618" w:name="_Toc337558781"/>
      <w:bookmarkStart w:id="1619" w:name="_Toc296346564"/>
      <w:r>
        <w:rPr>
          <w:b/>
        </w:rPr>
        <w:t>.9材料与设备专用</w:t>
      </w:r>
      <w:bookmarkEnd w:id="1615"/>
      <w:r>
        <w:rPr>
          <w:rFonts w:hint="eastAsia"/>
          <w:b/>
        </w:rPr>
        <w:t>要求</w:t>
      </w:r>
      <w:bookmarkEnd w:id="1616"/>
    </w:p>
    <w:bookmarkEnd w:id="1617"/>
    <w:bookmarkEnd w:id="1618"/>
    <w:bookmarkEnd w:id="1619"/>
    <w:p w14:paraId="5075F06B">
      <w:pPr>
        <w:spacing w:line="400" w:lineRule="exact"/>
        <w:ind w:firstLine="420" w:firstLineChars="200"/>
      </w:pPr>
      <w:r>
        <w:t>承包人运入施工现场的材料、工程设备、施工设备以及在施工场地建设的临时设施，包括备品备件、安装工具与资料，必须专用于工程。未经发包人批准，承包人不得运出施工现场或挪作他用；</w:t>
      </w:r>
      <w:bookmarkEnd w:id="1590"/>
      <w:r>
        <w:t>经发包人批准，承包人可以根据施工进度计划撤走闲置的施工设备和其他物品。</w:t>
      </w:r>
    </w:p>
    <w:p w14:paraId="606CF860">
      <w:pPr>
        <w:pStyle w:val="18"/>
        <w:rPr>
          <w:b/>
        </w:rPr>
      </w:pPr>
      <w:bookmarkStart w:id="1620" w:name="_Toc108514008"/>
      <w:bookmarkStart w:id="1621" w:name="_Toc351203562"/>
      <w:r>
        <w:rPr>
          <w:b/>
        </w:rPr>
        <w:t>9</w:t>
      </w:r>
      <w:bookmarkStart w:id="1622" w:name="_Toc337558782"/>
      <w:bookmarkStart w:id="1623" w:name="_Toc296503083"/>
      <w:bookmarkStart w:id="1624" w:name="_Toc296346584"/>
      <w:r>
        <w:rPr>
          <w:b/>
        </w:rPr>
        <w:t>. 试验与检验</w:t>
      </w:r>
      <w:bookmarkEnd w:id="1620"/>
      <w:bookmarkEnd w:id="1621"/>
    </w:p>
    <w:bookmarkEnd w:id="1622"/>
    <w:p w14:paraId="25786899">
      <w:pPr>
        <w:pStyle w:val="20"/>
        <w:rPr>
          <w:b/>
        </w:rPr>
      </w:pPr>
      <w:bookmarkStart w:id="1625" w:name="_Toc351203563"/>
      <w:bookmarkStart w:id="1626" w:name="_Toc108514009"/>
      <w:r>
        <w:rPr>
          <w:b/>
        </w:rPr>
        <w:t>9</w:t>
      </w:r>
      <w:bookmarkStart w:id="1627" w:name="_Toc337558783"/>
      <w:r>
        <w:rPr>
          <w:b/>
        </w:rPr>
        <w:t>.1试验设备与试验人员</w:t>
      </w:r>
      <w:bookmarkEnd w:id="1625"/>
      <w:bookmarkEnd w:id="1626"/>
    </w:p>
    <w:bookmarkEnd w:id="1627"/>
    <w:p w14:paraId="1EECB8C5">
      <w:pPr>
        <w:spacing w:line="400" w:lineRule="exact"/>
        <w:ind w:firstLine="420" w:firstLineChars="200"/>
      </w:pPr>
      <w: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11AD9B8">
      <w:pPr>
        <w:spacing w:line="400" w:lineRule="exact"/>
        <w:ind w:firstLine="420" w:firstLineChars="200"/>
      </w:pPr>
      <w:r>
        <w:t>9.1.2 承包人应按专用合同条款的约定提供试验设备、取样装置、试验场所和试验条件，并向监理人提交相应进场计划表。</w:t>
      </w:r>
    </w:p>
    <w:p w14:paraId="56703C79">
      <w:pPr>
        <w:spacing w:line="400" w:lineRule="exact"/>
        <w:ind w:firstLine="420" w:firstLineChars="200"/>
      </w:pPr>
      <w:r>
        <w:t>承包人配置的试验设备要符合相应试验规程的要求并经过具有资质的检测单位检测，且在正式使用该试验设备前，需要经过监理人与承包人共同校定。</w:t>
      </w:r>
    </w:p>
    <w:p w14:paraId="309B30D6">
      <w:pPr>
        <w:spacing w:line="400" w:lineRule="exact"/>
        <w:ind w:firstLine="420" w:firstLineChars="200"/>
      </w:pPr>
      <w:r>
        <w:t>9.1.3 承包人应向监理人提交试验人员的名单及其岗位、资格等证明资料，试验人员必须能够熟练进行相应的检测试验，承包人对试验人员的试验程序和试验结果的正确性负责。</w:t>
      </w:r>
    </w:p>
    <w:p w14:paraId="7539E0F9">
      <w:pPr>
        <w:pStyle w:val="20"/>
        <w:rPr>
          <w:b/>
        </w:rPr>
      </w:pPr>
      <w:bookmarkStart w:id="1628" w:name="_Toc108514010"/>
      <w:bookmarkStart w:id="1629" w:name="_Toc351203564"/>
      <w:r>
        <w:rPr>
          <w:b/>
        </w:rPr>
        <w:t>9</w:t>
      </w:r>
      <w:bookmarkStart w:id="1630" w:name="_Toc337558784"/>
      <w:r>
        <w:rPr>
          <w:b/>
        </w:rPr>
        <w:t>.2取样</w:t>
      </w:r>
      <w:bookmarkEnd w:id="1628"/>
      <w:bookmarkEnd w:id="1629"/>
    </w:p>
    <w:bookmarkEnd w:id="1630"/>
    <w:p w14:paraId="58656A82">
      <w:pPr>
        <w:spacing w:line="400" w:lineRule="exact"/>
        <w:ind w:firstLine="420" w:firstLineChars="200"/>
      </w:pPr>
      <w:r>
        <w:t>试验属于自检性质的，承包人可以单独取样。试验属于监理人抽检性质的，可由监理人取样，也可由承包人的试验人员在监理人的监督下取样。</w:t>
      </w:r>
    </w:p>
    <w:p w14:paraId="4EF2A9D1">
      <w:pPr>
        <w:pStyle w:val="20"/>
        <w:rPr>
          <w:b/>
        </w:rPr>
      </w:pPr>
      <w:bookmarkStart w:id="1631" w:name="_Toc351203565"/>
      <w:bookmarkStart w:id="1632" w:name="_Toc108514011"/>
      <w:r>
        <w:rPr>
          <w:b/>
        </w:rPr>
        <w:t>9</w:t>
      </w:r>
      <w:bookmarkStart w:id="1633" w:name="_Toc337558785"/>
      <w:r>
        <w:rPr>
          <w:b/>
        </w:rPr>
        <w:t>.3材料、工程设备和工程的试验和检验</w:t>
      </w:r>
      <w:bookmarkEnd w:id="1631"/>
      <w:bookmarkEnd w:id="1632"/>
    </w:p>
    <w:bookmarkEnd w:id="1633"/>
    <w:p w14:paraId="58B8E870">
      <w:pPr>
        <w:spacing w:line="400" w:lineRule="exact"/>
        <w:ind w:firstLine="420" w:firstLineChars="200"/>
      </w:pPr>
      <w: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5BF8A2D">
      <w:pPr>
        <w:spacing w:line="400" w:lineRule="exact"/>
        <w:ind w:firstLine="420" w:firstLineChars="200"/>
      </w:pPr>
      <w: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E846523">
      <w:pPr>
        <w:spacing w:line="400" w:lineRule="exact"/>
        <w:ind w:firstLine="420" w:firstLineChars="200"/>
      </w:pPr>
      <w: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5FFE6EE8">
      <w:pPr>
        <w:pStyle w:val="20"/>
        <w:rPr>
          <w:b/>
        </w:rPr>
      </w:pPr>
      <w:bookmarkStart w:id="1634" w:name="_Toc351203566"/>
      <w:bookmarkStart w:id="1635" w:name="_Toc108514012"/>
      <w:r>
        <w:rPr>
          <w:b/>
        </w:rPr>
        <w:t>9</w:t>
      </w:r>
      <w:bookmarkStart w:id="1636" w:name="_Toc337558786"/>
      <w:r>
        <w:rPr>
          <w:b/>
        </w:rPr>
        <w:t>.4现场工艺试验</w:t>
      </w:r>
      <w:bookmarkEnd w:id="1634"/>
      <w:bookmarkEnd w:id="1635"/>
    </w:p>
    <w:bookmarkEnd w:id="1636"/>
    <w:p w14:paraId="6187F4C9">
      <w:pPr>
        <w:spacing w:line="400" w:lineRule="exact"/>
        <w:ind w:firstLine="420" w:firstLineChars="200"/>
      </w:pPr>
      <w:r>
        <w:t>承包人应按合同约定或监理人指示进行现场工艺试验。对大型的现场工艺试验，监理人认为必要时，承包人应根据监理人提出的工艺试验要求，编制工艺试验措施计划，报送监理人审查。</w:t>
      </w:r>
    </w:p>
    <w:p w14:paraId="6ABB5B00">
      <w:pPr>
        <w:pStyle w:val="18"/>
        <w:rPr>
          <w:b/>
        </w:rPr>
      </w:pPr>
      <w:bookmarkStart w:id="1637" w:name="_Toc351203567"/>
      <w:bookmarkStart w:id="1638" w:name="_Toc108514013"/>
      <w:r>
        <w:rPr>
          <w:b/>
        </w:rPr>
        <w:t>1</w:t>
      </w:r>
      <w:bookmarkStart w:id="1639" w:name="_Toc337558787"/>
      <w:r>
        <w:rPr>
          <w:b/>
        </w:rPr>
        <w:t>0. 变更</w:t>
      </w:r>
      <w:bookmarkEnd w:id="1623"/>
      <w:bookmarkEnd w:id="1624"/>
      <w:bookmarkEnd w:id="1637"/>
      <w:bookmarkEnd w:id="1638"/>
    </w:p>
    <w:bookmarkEnd w:id="1639"/>
    <w:p w14:paraId="6F65B108">
      <w:pPr>
        <w:pStyle w:val="20"/>
        <w:rPr>
          <w:b/>
        </w:rPr>
      </w:pPr>
      <w:bookmarkStart w:id="1640" w:name="_Toc108514014"/>
      <w:bookmarkStart w:id="1641" w:name="_Toc351203568"/>
      <w:r>
        <w:rPr>
          <w:b/>
        </w:rPr>
        <w:t>1</w:t>
      </w:r>
      <w:bookmarkStart w:id="1642" w:name="_Toc337558788"/>
      <w:bookmarkStart w:id="1643" w:name="_Toc296346585"/>
      <w:bookmarkStart w:id="1644" w:name="_Toc296503084"/>
      <w:r>
        <w:rPr>
          <w:b/>
        </w:rPr>
        <w:t>0.1变更的范围</w:t>
      </w:r>
      <w:bookmarkEnd w:id="1640"/>
      <w:bookmarkEnd w:id="1641"/>
    </w:p>
    <w:bookmarkEnd w:id="1642"/>
    <w:bookmarkEnd w:id="1643"/>
    <w:bookmarkEnd w:id="1644"/>
    <w:p w14:paraId="444448C4">
      <w:pPr>
        <w:spacing w:line="400" w:lineRule="exact"/>
        <w:ind w:firstLine="420" w:firstLineChars="200"/>
      </w:pPr>
      <w:r>
        <w:t>除专用合同条款另有约定外，合同履行过程中发生以下情形的，应按照本条约定进行变更：</w:t>
      </w:r>
    </w:p>
    <w:p w14:paraId="4715279E">
      <w:pPr>
        <w:spacing w:line="400" w:lineRule="exact"/>
        <w:ind w:firstLine="420" w:firstLineChars="200"/>
      </w:pPr>
      <w:r>
        <w:t>（1）增加或减少合同中任何工作，或追加额外的工作；</w:t>
      </w:r>
    </w:p>
    <w:p w14:paraId="21550DE2">
      <w:pPr>
        <w:spacing w:line="400" w:lineRule="exact"/>
        <w:ind w:firstLine="420" w:firstLineChars="200"/>
      </w:pPr>
      <w:r>
        <w:t>（2）取消合同中任何工作，但转由他人实施的工作除外；</w:t>
      </w:r>
    </w:p>
    <w:p w14:paraId="79D32F3F">
      <w:pPr>
        <w:spacing w:line="400" w:lineRule="exact"/>
        <w:ind w:firstLine="420" w:firstLineChars="200"/>
      </w:pPr>
      <w:r>
        <w:t>（3）改变合同中任何工作的质量标准或其他特性；</w:t>
      </w:r>
    </w:p>
    <w:p w14:paraId="2BEEF7DE">
      <w:pPr>
        <w:spacing w:line="400" w:lineRule="exact"/>
        <w:ind w:firstLine="420" w:firstLineChars="200"/>
      </w:pPr>
      <w:r>
        <w:t>（4）改变工程的基线、标高、位置和尺寸；</w:t>
      </w:r>
    </w:p>
    <w:p w14:paraId="6929EF89">
      <w:pPr>
        <w:spacing w:line="400" w:lineRule="exact"/>
        <w:ind w:firstLine="420" w:firstLineChars="200"/>
      </w:pPr>
      <w:r>
        <w:t>（5）改变工程的时间安排或实施顺序。</w:t>
      </w:r>
    </w:p>
    <w:p w14:paraId="7F8DF61A">
      <w:pPr>
        <w:pStyle w:val="20"/>
        <w:rPr>
          <w:b/>
        </w:rPr>
      </w:pPr>
      <w:bookmarkStart w:id="1645" w:name="_Toc108514015"/>
      <w:bookmarkStart w:id="1646" w:name="_Toc351203569"/>
      <w:r>
        <w:rPr>
          <w:b/>
        </w:rPr>
        <w:t>1</w:t>
      </w:r>
      <w:bookmarkStart w:id="1647" w:name="_Toc296503085"/>
      <w:bookmarkStart w:id="1648" w:name="_Toc296346586"/>
      <w:bookmarkStart w:id="1649" w:name="_Toc337558789"/>
      <w:r>
        <w:rPr>
          <w:b/>
        </w:rPr>
        <w:t>0.2变更权</w:t>
      </w:r>
      <w:bookmarkEnd w:id="1645"/>
      <w:bookmarkEnd w:id="1646"/>
    </w:p>
    <w:bookmarkEnd w:id="1647"/>
    <w:bookmarkEnd w:id="1648"/>
    <w:bookmarkEnd w:id="1649"/>
    <w:p w14:paraId="3FEE7F9B">
      <w:pPr>
        <w:spacing w:line="400" w:lineRule="exact"/>
        <w:ind w:firstLine="420" w:firstLineChars="200"/>
      </w:pPr>
      <w: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C8DC36A">
      <w:pPr>
        <w:spacing w:line="400" w:lineRule="exact"/>
        <w:ind w:firstLine="420" w:firstLineChars="200"/>
      </w:pPr>
      <w:r>
        <w:t>涉及设计变更的，应由设计人提供变更后的图纸和说明。如变更超过原设计标准或批准的建设规模时，发包人应及时办理规划、设计变更</w:t>
      </w:r>
      <w:r>
        <w:rPr>
          <w:rFonts w:hint="eastAsia"/>
        </w:rPr>
        <w:t>等</w:t>
      </w:r>
      <w:r>
        <w:t>审批手续。</w:t>
      </w:r>
    </w:p>
    <w:p w14:paraId="5170BF78">
      <w:pPr>
        <w:pStyle w:val="20"/>
        <w:rPr>
          <w:b/>
        </w:rPr>
      </w:pPr>
      <w:bookmarkStart w:id="1650" w:name="_Toc108514016"/>
      <w:bookmarkStart w:id="1651" w:name="_Toc351203570"/>
      <w:r>
        <w:rPr>
          <w:b/>
        </w:rPr>
        <w:t>1</w:t>
      </w:r>
      <w:bookmarkStart w:id="1652" w:name="_Toc337558790"/>
      <w:bookmarkStart w:id="1653" w:name="_Toc296346587"/>
      <w:bookmarkStart w:id="1654" w:name="_Toc296503086"/>
      <w:r>
        <w:rPr>
          <w:b/>
        </w:rPr>
        <w:t>0.3变更程序</w:t>
      </w:r>
      <w:bookmarkEnd w:id="1650"/>
      <w:bookmarkEnd w:id="1651"/>
    </w:p>
    <w:bookmarkEnd w:id="1652"/>
    <w:bookmarkEnd w:id="1653"/>
    <w:bookmarkEnd w:id="1654"/>
    <w:p w14:paraId="27F434A6">
      <w:pPr>
        <w:spacing w:line="400" w:lineRule="exact"/>
        <w:ind w:firstLine="420" w:firstLineChars="200"/>
      </w:pPr>
      <w:r>
        <w:t>10.3.1 发包人提出变更</w:t>
      </w:r>
    </w:p>
    <w:p w14:paraId="6B6AC72C">
      <w:pPr>
        <w:spacing w:line="400" w:lineRule="exact"/>
        <w:ind w:firstLine="420" w:firstLineChars="200"/>
      </w:pPr>
      <w:r>
        <w:t>发包人提出变更的，应通过监理人向承包人发出变更指示，变更指示应说明计划变更的工程范围和变更的内容。</w:t>
      </w:r>
    </w:p>
    <w:p w14:paraId="205E3C35">
      <w:pPr>
        <w:spacing w:line="400" w:lineRule="exact"/>
        <w:ind w:firstLine="420" w:firstLineChars="200"/>
      </w:pPr>
      <w:r>
        <w:t>10.3.2 监理人提出变更建议</w:t>
      </w:r>
    </w:p>
    <w:p w14:paraId="2DFB9C26">
      <w:pPr>
        <w:spacing w:line="400" w:lineRule="exact"/>
        <w:ind w:firstLine="420" w:firstLineChars="200"/>
        <w:rPr>
          <w:rFonts w:hint="eastAsia"/>
        </w:rPr>
      </w:pPr>
      <w: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56FFE648">
      <w:pPr>
        <w:spacing w:line="400" w:lineRule="exact"/>
        <w:ind w:firstLine="420" w:firstLineChars="200"/>
        <w:rPr>
          <w:rFonts w:hint="eastAsia"/>
        </w:rPr>
      </w:pPr>
      <w:r>
        <w:rPr>
          <w:rFonts w:hint="eastAsia"/>
        </w:rPr>
        <w:t>10.3.3 变更执行</w:t>
      </w:r>
    </w:p>
    <w:p w14:paraId="56D80DA3">
      <w:pPr>
        <w:spacing w:line="400" w:lineRule="exact"/>
        <w:ind w:firstLine="420" w:firstLineChars="200"/>
      </w:pPr>
      <w:r>
        <w:t>承包人收到监理人下达的变更指示后，</w:t>
      </w:r>
      <w:r>
        <w:rPr>
          <w:rFonts w:hint="eastAsia"/>
        </w:rPr>
        <w:t>认为不能执行，应立即</w:t>
      </w:r>
      <w:r>
        <w:t>提出不能执行该变更指示的理由。承包人</w:t>
      </w:r>
      <w:r>
        <w:rPr>
          <w:rFonts w:hint="eastAsia"/>
        </w:rPr>
        <w:t>认为可以</w:t>
      </w:r>
      <w:r>
        <w:t>执行变更的，</w:t>
      </w:r>
      <w:r>
        <w:rPr>
          <w:rFonts w:hint="eastAsia"/>
        </w:rPr>
        <w:t>应当书面说明实施该变更指示对合同价格和工期的影响，且合同当事人应当按照第10.4款〔变更估价〕约定确定变更估价</w:t>
      </w:r>
      <w:r>
        <w:t>。</w:t>
      </w:r>
    </w:p>
    <w:p w14:paraId="00B5C0A6">
      <w:pPr>
        <w:pStyle w:val="20"/>
        <w:rPr>
          <w:b/>
        </w:rPr>
      </w:pPr>
      <w:bookmarkStart w:id="1655" w:name="_Toc108514017"/>
      <w:bookmarkStart w:id="1656" w:name="_Toc351203571"/>
      <w:r>
        <w:rPr>
          <w:b/>
        </w:rPr>
        <w:t>1</w:t>
      </w:r>
      <w:bookmarkStart w:id="1657" w:name="_Toc296503087"/>
      <w:bookmarkStart w:id="1658" w:name="_Toc296346588"/>
      <w:bookmarkStart w:id="1659" w:name="_Toc337558791"/>
      <w:r>
        <w:rPr>
          <w:b/>
        </w:rPr>
        <w:t>0.4变更估价</w:t>
      </w:r>
      <w:bookmarkEnd w:id="1655"/>
      <w:bookmarkEnd w:id="1656"/>
    </w:p>
    <w:bookmarkEnd w:id="1657"/>
    <w:bookmarkEnd w:id="1658"/>
    <w:bookmarkEnd w:id="1659"/>
    <w:p w14:paraId="125870FB">
      <w:pPr>
        <w:spacing w:line="400" w:lineRule="exact"/>
        <w:ind w:firstLine="420" w:firstLineChars="200"/>
        <w:rPr>
          <w:rFonts w:hint="eastAsia"/>
        </w:rPr>
      </w:pPr>
      <w:r>
        <w:rPr>
          <w:rFonts w:hint="eastAsia"/>
        </w:rPr>
        <w:t>10.4.1 变更估价原则</w:t>
      </w:r>
    </w:p>
    <w:p w14:paraId="505C8B3E">
      <w:pPr>
        <w:spacing w:line="400" w:lineRule="exact"/>
        <w:ind w:firstLine="420" w:firstLineChars="200"/>
      </w:pPr>
      <w:r>
        <w:t>除专用合同条款另有约定外，变更估价按照本款约定处理：</w:t>
      </w:r>
    </w:p>
    <w:p w14:paraId="01F9914E">
      <w:pPr>
        <w:spacing w:line="400" w:lineRule="exact"/>
        <w:ind w:firstLine="420" w:firstLineChars="200"/>
      </w:pPr>
      <w:r>
        <w:t>（1）已标价工程量清单或预算书有相同项目的，按照相同项目单价认定；</w:t>
      </w:r>
    </w:p>
    <w:p w14:paraId="2F33DC79">
      <w:pPr>
        <w:spacing w:line="400" w:lineRule="exact"/>
        <w:ind w:firstLine="420" w:firstLineChars="200"/>
      </w:pPr>
      <w:r>
        <w:t>（2）已标价工程量清单或预算书中无相同项目，但有类似项目的，参照类似项目的单价认定；</w:t>
      </w:r>
    </w:p>
    <w:p w14:paraId="36556A5B">
      <w:pPr>
        <w:spacing w:line="400" w:lineRule="exact"/>
        <w:ind w:firstLine="420" w:firstLineChars="200"/>
      </w:pPr>
      <w: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rPr>
        <w:t>〔</w:t>
      </w:r>
      <w:r>
        <w:t>商定或确定</w:t>
      </w:r>
      <w:r>
        <w:rPr>
          <w:rFonts w:hint="eastAsia"/>
        </w:rPr>
        <w:t>〕</w:t>
      </w:r>
      <w:r>
        <w:t>确定变更工作的单价。</w:t>
      </w:r>
    </w:p>
    <w:p w14:paraId="4BBD5A50">
      <w:pPr>
        <w:spacing w:line="400" w:lineRule="exact"/>
        <w:ind w:firstLine="420" w:firstLineChars="200"/>
        <w:rPr>
          <w:rFonts w:hint="eastAsia"/>
        </w:rPr>
      </w:pPr>
      <w:r>
        <w:rPr>
          <w:rFonts w:hint="eastAsia"/>
        </w:rPr>
        <w:t>10.4.2 变更估价程序</w:t>
      </w:r>
    </w:p>
    <w:p w14:paraId="2DB3626D">
      <w:pPr>
        <w:spacing w:line="400" w:lineRule="exact"/>
        <w:ind w:firstLine="420" w:firstLineChars="200"/>
        <w:rPr>
          <w:rFonts w:hint="eastAsia"/>
        </w:rPr>
      </w:pPr>
      <w:r>
        <w:rPr>
          <w:rFonts w:hint="eastAsia"/>
        </w:rPr>
        <w:t>承包人应在收到变更指示后14天内，向监理人提交变更估价申请。监理人应在收到承包人提交的变更估价申请后7天内审查完毕并报送发包人，监理人对变更估价申请有异议</w:t>
      </w:r>
      <w:r>
        <w:t>，通知承包人</w:t>
      </w:r>
      <w:r>
        <w:rPr>
          <w:rFonts w:hint="eastAsia"/>
        </w:rPr>
        <w:t>修</w:t>
      </w:r>
      <w:r>
        <w:t>改</w:t>
      </w:r>
      <w:r>
        <w:rPr>
          <w:rFonts w:hint="eastAsia"/>
        </w:rPr>
        <w:t>后重新提交</w:t>
      </w:r>
      <w:r>
        <w:t>。发包人应在</w:t>
      </w:r>
      <w:r>
        <w:rPr>
          <w:rFonts w:hint="eastAsia"/>
        </w:rPr>
        <w:t>承包人提交变更估价申请</w:t>
      </w:r>
      <w:r>
        <w:t>后</w:t>
      </w:r>
      <w:r>
        <w:rPr>
          <w:rFonts w:hint="eastAsia"/>
        </w:rPr>
        <w:t>14</w:t>
      </w:r>
      <w:r>
        <w:t>天内审批完毕。</w:t>
      </w:r>
      <w:r>
        <w:rPr>
          <w:rFonts w:hint="eastAsia"/>
        </w:rPr>
        <w:t>发包人逾期未完成审批或未提出异议的，视为认可承包人提交的变更估价申请。</w:t>
      </w:r>
    </w:p>
    <w:p w14:paraId="70DD2EE9">
      <w:pPr>
        <w:spacing w:line="400" w:lineRule="exact"/>
        <w:ind w:firstLine="420" w:firstLineChars="200"/>
      </w:pPr>
      <w:r>
        <w:t>因变更引起的价格调整应计入最近一期的进度款中支付。</w:t>
      </w:r>
    </w:p>
    <w:p w14:paraId="57AB8188">
      <w:pPr>
        <w:pStyle w:val="20"/>
        <w:rPr>
          <w:b/>
        </w:rPr>
      </w:pPr>
      <w:bookmarkStart w:id="1660" w:name="_Toc108514018"/>
      <w:bookmarkStart w:id="1661" w:name="_Toc351203572"/>
      <w:r>
        <w:rPr>
          <w:b/>
        </w:rPr>
        <w:t>1</w:t>
      </w:r>
      <w:bookmarkStart w:id="1662" w:name="_Toc296346595"/>
      <w:bookmarkStart w:id="1663" w:name="_Toc337558792"/>
      <w:bookmarkStart w:id="1664" w:name="_Toc296503094"/>
      <w:r>
        <w:rPr>
          <w:b/>
        </w:rPr>
        <w:t>0.5承包人的合理化建议</w:t>
      </w:r>
      <w:bookmarkEnd w:id="1660"/>
      <w:bookmarkEnd w:id="1661"/>
    </w:p>
    <w:bookmarkEnd w:id="1662"/>
    <w:bookmarkEnd w:id="1663"/>
    <w:bookmarkEnd w:id="1664"/>
    <w:p w14:paraId="2207E997">
      <w:pPr>
        <w:spacing w:line="400" w:lineRule="exact"/>
        <w:ind w:firstLine="420" w:firstLineChars="200"/>
      </w:pPr>
      <w:r>
        <w:t>承包人提出合理化建议的，应向监理人提交合理化建议说明，说明建议的内容和理由，以及实施该建议对合同价格和工期的影响。</w:t>
      </w:r>
    </w:p>
    <w:p w14:paraId="4F943063">
      <w:pPr>
        <w:spacing w:line="400" w:lineRule="exact"/>
        <w:ind w:firstLine="420" w:firstLineChars="200"/>
      </w:pPr>
      <w: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rPr>
        <w:t>〔</w:t>
      </w:r>
      <w:r>
        <w:t>变更估价</w:t>
      </w:r>
      <w:r>
        <w:rPr>
          <w:rFonts w:hint="eastAsia"/>
        </w:rPr>
        <w:t>〕</w:t>
      </w:r>
      <w:r>
        <w:t>约定执行。发包人不同意变更的，监理人应书面通知承包人。</w:t>
      </w:r>
    </w:p>
    <w:p w14:paraId="2EEEDD66">
      <w:pPr>
        <w:spacing w:line="400" w:lineRule="exact"/>
        <w:ind w:firstLine="420" w:firstLineChars="200"/>
      </w:pPr>
      <w:r>
        <w:t>合理化建议降低了合同价格或者提高了工程经济效益的，发包人可对承包人给予奖励，奖励的方法和金额在专用合同条款中约定。</w:t>
      </w:r>
    </w:p>
    <w:p w14:paraId="3677DA76">
      <w:pPr>
        <w:pStyle w:val="20"/>
        <w:rPr>
          <w:b/>
        </w:rPr>
      </w:pPr>
      <w:bookmarkStart w:id="1665" w:name="_Toc351203573"/>
      <w:bookmarkStart w:id="1666" w:name="_Toc108514019"/>
      <w:r>
        <w:rPr>
          <w:b/>
        </w:rPr>
        <w:t>1</w:t>
      </w:r>
      <w:bookmarkStart w:id="1667" w:name="_Toc337558793"/>
      <w:r>
        <w:rPr>
          <w:b/>
        </w:rPr>
        <w:t>0.6变更引起的工期调整</w:t>
      </w:r>
      <w:bookmarkEnd w:id="1665"/>
      <w:bookmarkEnd w:id="1666"/>
      <w:r>
        <w:rPr>
          <w:b/>
        </w:rPr>
        <w:t xml:space="preserve"> </w:t>
      </w:r>
      <w:bookmarkEnd w:id="1667"/>
      <w:r>
        <w:rPr>
          <w:b/>
        </w:rPr>
        <w:t xml:space="preserve">  </w:t>
      </w:r>
    </w:p>
    <w:p w14:paraId="1A3DF2AC">
      <w:pPr>
        <w:spacing w:line="400" w:lineRule="exact"/>
        <w:ind w:firstLine="420" w:firstLineChars="200"/>
      </w:pPr>
      <w:r>
        <w:t>因变更引起工期变化的，合同当事人均可要求调整合同工期，由合同当事人按照第4.4款</w:t>
      </w:r>
      <w:r>
        <w:rPr>
          <w:rFonts w:hint="eastAsia"/>
        </w:rPr>
        <w:t>〔</w:t>
      </w:r>
      <w:r>
        <w:t>商定或确定</w:t>
      </w:r>
      <w:r>
        <w:rPr>
          <w:rFonts w:hint="eastAsia"/>
        </w:rPr>
        <w:t>〕</w:t>
      </w:r>
      <w:r>
        <w:t>并参考工程所在地的工期定额标准确定增减工期天数。</w:t>
      </w:r>
    </w:p>
    <w:p w14:paraId="3D1A2CFA">
      <w:pPr>
        <w:pStyle w:val="20"/>
        <w:rPr>
          <w:b/>
        </w:rPr>
      </w:pPr>
      <w:bookmarkStart w:id="1668" w:name="_Toc351203574"/>
      <w:bookmarkStart w:id="1669" w:name="_Toc108514020"/>
      <w:r>
        <w:rPr>
          <w:b/>
        </w:rPr>
        <w:t>10.7暂估价</w:t>
      </w:r>
      <w:bookmarkEnd w:id="1668"/>
      <w:bookmarkEnd w:id="1669"/>
    </w:p>
    <w:p w14:paraId="4EE1E127">
      <w:pPr>
        <w:spacing w:line="400" w:lineRule="exact"/>
        <w:ind w:firstLine="420" w:firstLineChars="200"/>
      </w:pPr>
      <w:r>
        <w:t>暂估价专业分包工程、</w:t>
      </w:r>
      <w:r>
        <w:rPr>
          <w:rFonts w:hint="eastAsia"/>
        </w:rPr>
        <w:t>服务、</w:t>
      </w:r>
      <w:r>
        <w:t>材料和工程设备的明细由合同当事人在专用合同条款中约定。</w:t>
      </w:r>
    </w:p>
    <w:p w14:paraId="0C27902F">
      <w:pPr>
        <w:spacing w:line="400" w:lineRule="exact"/>
        <w:ind w:firstLine="420" w:firstLineChars="200"/>
      </w:pPr>
      <w:r>
        <w:t>10.7.1 依法必须招标的暂估价项目</w:t>
      </w:r>
    </w:p>
    <w:p w14:paraId="27E55E65">
      <w:pPr>
        <w:spacing w:line="400" w:lineRule="exact"/>
        <w:ind w:firstLine="420" w:firstLineChars="200"/>
      </w:pPr>
      <w:r>
        <w:t>对于依法必须招标的暂估价项目，采取以下第1种方式确定</w:t>
      </w:r>
      <w:r>
        <w:rPr>
          <w:rFonts w:hint="eastAsia"/>
        </w:rPr>
        <w:t>。合同当事人也可以在</w:t>
      </w:r>
      <w:r>
        <w:t>专用合同条款</w:t>
      </w:r>
      <w:r>
        <w:rPr>
          <w:rFonts w:hint="eastAsia"/>
        </w:rPr>
        <w:t>中选择其他招标方式。</w:t>
      </w:r>
    </w:p>
    <w:p w14:paraId="0E3282C3">
      <w:pPr>
        <w:spacing w:line="400" w:lineRule="exact"/>
        <w:ind w:firstLine="420" w:firstLineChars="200"/>
      </w:pPr>
      <w:r>
        <w:t>第1种方式：对于依法必须招标的暂估价项目，由承包人招标，对该暂估价项目的确认和批准按照以下约定执行：</w:t>
      </w:r>
    </w:p>
    <w:p w14:paraId="07811443">
      <w:pPr>
        <w:spacing w:line="400" w:lineRule="exact"/>
        <w:ind w:firstLine="420" w:firstLineChars="200"/>
      </w:pPr>
      <w: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ACA8B25">
      <w:pPr>
        <w:spacing w:line="400" w:lineRule="exact"/>
        <w:ind w:firstLine="420" w:firstLineChars="200"/>
      </w:pPr>
      <w:r>
        <w:t>（2）承包人应当根据施工进度计划，提前14天将招标文件通过监理人报送发包人审批，发包人应当在收到承包人报送的相关文件后7天内完成审批或提出修改意见；发包人有权确定招标控制价</w:t>
      </w:r>
      <w:r>
        <w:rPr>
          <w:rFonts w:hint="eastAsia"/>
        </w:rPr>
        <w:t>并按照法律规定参加评标</w:t>
      </w:r>
      <w:r>
        <w:t>；</w:t>
      </w:r>
    </w:p>
    <w:p w14:paraId="659F30A4">
      <w:pPr>
        <w:spacing w:line="400" w:lineRule="exact"/>
        <w:ind w:firstLine="420" w:firstLineChars="200"/>
      </w:pPr>
      <w: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D0E3A9C">
      <w:pPr>
        <w:spacing w:line="400" w:lineRule="exact"/>
        <w:ind w:firstLine="420" w:firstLineChars="200"/>
      </w:pPr>
      <w: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37A1F23E">
      <w:pPr>
        <w:spacing w:line="400" w:lineRule="exact"/>
        <w:ind w:firstLine="420" w:firstLineChars="200"/>
      </w:pPr>
      <w:r>
        <w:t>10.7.2不属于依法必须招标的暂估价项目</w:t>
      </w:r>
    </w:p>
    <w:p w14:paraId="243CA889">
      <w:pPr>
        <w:spacing w:line="400" w:lineRule="exact"/>
        <w:ind w:firstLine="420" w:firstLineChars="200"/>
      </w:pPr>
      <w:r>
        <w:t>除专用合同条款另有约定外，对于不属于依法必须招标的暂估价项目，采取以下第1种方式确定：</w:t>
      </w:r>
      <w:r>
        <w:rPr>
          <w:rFonts w:hint="eastAsia"/>
        </w:rPr>
        <w:t xml:space="preserve"> </w:t>
      </w:r>
    </w:p>
    <w:p w14:paraId="1D19CCFA">
      <w:pPr>
        <w:spacing w:line="400" w:lineRule="exact"/>
        <w:ind w:firstLine="420" w:firstLineChars="200"/>
      </w:pPr>
      <w:r>
        <w:t>第1种方式：对于不属于依法必须招标的暂估价项目，按本项约定确认和批准：</w:t>
      </w:r>
    </w:p>
    <w:p w14:paraId="3CEAA6D5">
      <w:pPr>
        <w:spacing w:line="400" w:lineRule="exact"/>
        <w:ind w:firstLine="420" w:firstLineChars="200"/>
      </w:pPr>
      <w: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F8EC700">
      <w:pPr>
        <w:spacing w:line="400" w:lineRule="exact"/>
        <w:ind w:firstLine="420" w:firstLineChars="200"/>
      </w:pPr>
      <w:r>
        <w:t>（2）发包人认为承包人确定的供应商、分包人无法满足工程质量或合同要求的，发包人可以要求承包人重新确定暂估价项目的供应商、分包人;</w:t>
      </w:r>
    </w:p>
    <w:p w14:paraId="27BD3D0A">
      <w:pPr>
        <w:spacing w:line="400" w:lineRule="exact"/>
        <w:ind w:firstLine="420" w:firstLineChars="200"/>
      </w:pPr>
      <w:r>
        <w:t>（3）承包人应当在签订暂估价合同后7天内，将暂估价合同副本报送发包人留存。</w:t>
      </w:r>
    </w:p>
    <w:p w14:paraId="40658ADC">
      <w:pPr>
        <w:spacing w:line="400" w:lineRule="exact"/>
        <w:ind w:firstLine="420" w:firstLineChars="200"/>
      </w:pPr>
      <w:r>
        <w:t>第2种方式：承包人按照第10.7.1项</w:t>
      </w:r>
      <w:r>
        <w:rPr>
          <w:rFonts w:hint="eastAsia"/>
        </w:rPr>
        <w:t>〔</w:t>
      </w:r>
      <w:r>
        <w:t>依法必须招标的暂估价项目</w:t>
      </w:r>
      <w:r>
        <w:rPr>
          <w:rFonts w:hint="eastAsia"/>
        </w:rPr>
        <w:t>〕</w:t>
      </w:r>
      <w:r>
        <w:t>约定的第1种方式确定暂估价项目。</w:t>
      </w:r>
    </w:p>
    <w:p w14:paraId="584BEF06">
      <w:pPr>
        <w:spacing w:line="400" w:lineRule="exact"/>
        <w:ind w:firstLine="420" w:firstLineChars="200"/>
      </w:pPr>
      <w:r>
        <w:t>第3种方式：承包人直接实施的暂估价项目</w:t>
      </w:r>
    </w:p>
    <w:p w14:paraId="38EC7371">
      <w:pPr>
        <w:spacing w:line="400" w:lineRule="exact"/>
        <w:ind w:firstLine="420" w:firstLineChars="200"/>
      </w:pPr>
      <w:r>
        <w:t>承包人具备实施暂估价项目的资格和条件的，经发包人和承包人协商一致后，可由承包人自行实施暂估价项目，合同当事人可以在专用合同条款约定具体事项。</w:t>
      </w:r>
    </w:p>
    <w:p w14:paraId="448D1EC7">
      <w:pPr>
        <w:spacing w:line="400" w:lineRule="exact"/>
        <w:ind w:firstLine="420" w:firstLineChars="200"/>
      </w:pPr>
      <w: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D457DFD">
      <w:pPr>
        <w:pStyle w:val="20"/>
        <w:rPr>
          <w:b/>
        </w:rPr>
      </w:pPr>
      <w:bookmarkStart w:id="1670" w:name="_Toc351203575"/>
      <w:bookmarkStart w:id="1671" w:name="_Toc108514021"/>
      <w:r>
        <w:rPr>
          <w:b/>
        </w:rPr>
        <w:t>1</w:t>
      </w:r>
      <w:bookmarkStart w:id="1672" w:name="_Toc337558794"/>
      <w:bookmarkStart w:id="1673" w:name="_Toc296346591"/>
      <w:bookmarkStart w:id="1674" w:name="_Toc322522561"/>
      <w:bookmarkStart w:id="1675" w:name="_Toc296503090"/>
      <w:r>
        <w:rPr>
          <w:b/>
        </w:rPr>
        <w:t>0.8暂列金额</w:t>
      </w:r>
      <w:bookmarkEnd w:id="1670"/>
      <w:bookmarkEnd w:id="1671"/>
    </w:p>
    <w:bookmarkEnd w:id="1672"/>
    <w:p w14:paraId="61677B50">
      <w:pPr>
        <w:spacing w:line="400" w:lineRule="exact"/>
        <w:ind w:firstLine="420" w:firstLineChars="200"/>
      </w:pPr>
      <w:r>
        <w:t>暂列金额应按照发包人的要求使用，发包人的要求应通过监理人发出。</w:t>
      </w:r>
      <w:r>
        <w:rPr>
          <w:rFonts w:hint="eastAsia"/>
        </w:rPr>
        <w:t>合同当事人可以在专用合同条款中协商确定有关事项。</w:t>
      </w:r>
    </w:p>
    <w:bookmarkEnd w:id="1673"/>
    <w:bookmarkEnd w:id="1674"/>
    <w:bookmarkEnd w:id="1675"/>
    <w:p w14:paraId="54E011F8">
      <w:pPr>
        <w:pStyle w:val="20"/>
        <w:rPr>
          <w:b/>
        </w:rPr>
      </w:pPr>
      <w:bookmarkStart w:id="1676" w:name="_Toc351203576"/>
      <w:bookmarkStart w:id="1677" w:name="_Toc108514022"/>
      <w:r>
        <w:rPr>
          <w:b/>
        </w:rPr>
        <w:t>1</w:t>
      </w:r>
      <w:bookmarkStart w:id="1678" w:name="_Toc296503091"/>
      <w:bookmarkStart w:id="1679" w:name="_Toc296346592"/>
      <w:bookmarkStart w:id="1680" w:name="_Toc337558796"/>
      <w:r>
        <w:rPr>
          <w:b/>
        </w:rPr>
        <w:t>0.9计日工</w:t>
      </w:r>
      <w:bookmarkEnd w:id="1676"/>
      <w:bookmarkEnd w:id="1677"/>
      <w:r>
        <w:rPr>
          <w:b/>
        </w:rPr>
        <w:t xml:space="preserve"> </w:t>
      </w:r>
      <w:bookmarkEnd w:id="1678"/>
      <w:bookmarkEnd w:id="1679"/>
      <w:bookmarkEnd w:id="1680"/>
    </w:p>
    <w:p w14:paraId="0B800444">
      <w:pPr>
        <w:spacing w:line="400" w:lineRule="exact"/>
        <w:ind w:firstLine="420" w:firstLineChars="200"/>
      </w:pPr>
      <w:r>
        <w:rPr>
          <w:rFonts w:hint="eastAsia"/>
        </w:rPr>
        <w:t>需要采用计日工方式的，经发包人同意后</w:t>
      </w:r>
      <w:r>
        <w:t>，由监理人通知承包人以计日工计价方式实施</w:t>
      </w:r>
      <w:r>
        <w:rPr>
          <w:rFonts w:hint="eastAsia"/>
        </w:rPr>
        <w:t>相应</w:t>
      </w:r>
      <w: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rPr>
        <w:t>〔</w:t>
      </w:r>
      <w:r>
        <w:t>商定或确定</w:t>
      </w:r>
      <w:r>
        <w:rPr>
          <w:rFonts w:hint="eastAsia"/>
        </w:rPr>
        <w:t>〕</w:t>
      </w:r>
      <w:r>
        <w:t>确定</w:t>
      </w:r>
      <w:r>
        <w:rPr>
          <w:rFonts w:hint="eastAsia"/>
        </w:rPr>
        <w:t>计日工</w:t>
      </w:r>
      <w:r>
        <w:t>的单价。</w:t>
      </w:r>
    </w:p>
    <w:p w14:paraId="323F2F79">
      <w:pPr>
        <w:spacing w:line="400" w:lineRule="exact"/>
        <w:ind w:firstLine="420" w:firstLineChars="200"/>
      </w:pPr>
      <w:r>
        <w:t>采用计日工计价的任何一项工作，承包人应在该项工作实施过程中，每天提交以下报表和有关凭证报送监理人审查：</w:t>
      </w:r>
    </w:p>
    <w:p w14:paraId="05F62A0C">
      <w:pPr>
        <w:spacing w:line="400" w:lineRule="exact"/>
        <w:ind w:firstLine="420" w:firstLineChars="200"/>
      </w:pPr>
      <w:r>
        <w:t>（1）工作名称、内容和数量；</w:t>
      </w:r>
    </w:p>
    <w:p w14:paraId="188889ED">
      <w:pPr>
        <w:spacing w:line="400" w:lineRule="exact"/>
        <w:ind w:firstLine="420" w:firstLineChars="200"/>
      </w:pPr>
      <w:r>
        <w:t>（2）投入该工作的所有人员的姓名、专业、工种、级别和耗用工时；</w:t>
      </w:r>
    </w:p>
    <w:p w14:paraId="74A6D86B">
      <w:pPr>
        <w:spacing w:line="400" w:lineRule="exact"/>
        <w:ind w:firstLine="420" w:firstLineChars="200"/>
      </w:pPr>
      <w:r>
        <w:t>（3）投入该工作的材料类别和数量；</w:t>
      </w:r>
    </w:p>
    <w:p w14:paraId="4B54F111">
      <w:pPr>
        <w:spacing w:line="400" w:lineRule="exact"/>
        <w:ind w:firstLine="420" w:firstLineChars="200"/>
      </w:pPr>
      <w:r>
        <w:t>（4）投入该工作的施工设备型号、台数和耗用台时；</w:t>
      </w:r>
    </w:p>
    <w:p w14:paraId="3B7BD041">
      <w:pPr>
        <w:spacing w:line="400" w:lineRule="exact"/>
        <w:ind w:firstLine="420" w:firstLineChars="200"/>
      </w:pPr>
      <w:r>
        <w:t>（5）其他有关资料和凭证。</w:t>
      </w:r>
    </w:p>
    <w:p w14:paraId="4CCC4BE5">
      <w:pPr>
        <w:spacing w:line="400" w:lineRule="exact"/>
        <w:ind w:firstLine="420" w:firstLineChars="200"/>
      </w:pPr>
      <w:r>
        <w:t xml:space="preserve"> 计日工由承包人汇总后，列入最近一期进度付款申请单，由监理人审查并经发包人批准后列入进度付款。</w:t>
      </w:r>
    </w:p>
    <w:p w14:paraId="46B19C1B">
      <w:pPr>
        <w:pStyle w:val="18"/>
        <w:rPr>
          <w:b/>
        </w:rPr>
      </w:pPr>
      <w:bookmarkStart w:id="1681" w:name="_Toc108514023"/>
      <w:bookmarkStart w:id="1682" w:name="_Toc351203577"/>
      <w:r>
        <w:rPr>
          <w:b/>
        </w:rPr>
        <w:t>11. 价格调整</w:t>
      </w:r>
      <w:bookmarkEnd w:id="1681"/>
      <w:bookmarkEnd w:id="1682"/>
    </w:p>
    <w:p w14:paraId="4675A3E1">
      <w:pPr>
        <w:pStyle w:val="20"/>
        <w:rPr>
          <w:b/>
        </w:rPr>
      </w:pPr>
      <w:bookmarkStart w:id="1683" w:name="_Toc351203578"/>
      <w:bookmarkStart w:id="1684" w:name="_Toc108514024"/>
      <w:bookmarkStart w:id="1685" w:name="_Toc296346593"/>
      <w:bookmarkStart w:id="1686" w:name="_Toc337558797"/>
      <w:bookmarkStart w:id="1687" w:name="_Toc296503092"/>
      <w:r>
        <w:rPr>
          <w:b/>
        </w:rPr>
        <w:t>11.1市场价格波动引起的调整</w:t>
      </w:r>
      <w:bookmarkEnd w:id="1683"/>
      <w:bookmarkEnd w:id="1684"/>
    </w:p>
    <w:bookmarkEnd w:id="1685"/>
    <w:bookmarkEnd w:id="1686"/>
    <w:bookmarkEnd w:id="1687"/>
    <w:p w14:paraId="542D9D58">
      <w:pPr>
        <w:spacing w:line="400" w:lineRule="exact"/>
        <w:ind w:firstLine="420" w:firstLineChars="200"/>
      </w:pPr>
      <w:r>
        <w:t>除专用合同条款另有约定外，市场价格波动超过合同当事人约定的范围，合同价格应当调整。合同当事人可以在专用合同条款中约定选择以下一种方式对合同价格进行调整：</w:t>
      </w:r>
    </w:p>
    <w:p w14:paraId="46D27347">
      <w:pPr>
        <w:spacing w:line="400" w:lineRule="exact"/>
        <w:ind w:firstLine="420" w:firstLineChars="200"/>
      </w:pPr>
      <w:r>
        <w:t>第1种方式：采用价格指数</w:t>
      </w:r>
      <w:r>
        <w:rPr>
          <w:rFonts w:hint="eastAsia"/>
        </w:rPr>
        <w:t>进行价格</w:t>
      </w:r>
      <w:r>
        <w:t>调整。</w:t>
      </w:r>
    </w:p>
    <w:p w14:paraId="6162D136">
      <w:pPr>
        <w:spacing w:line="400" w:lineRule="exact"/>
        <w:ind w:firstLine="420" w:firstLineChars="200"/>
      </w:pPr>
      <w:r>
        <w:t>（1）价格调整公式</w:t>
      </w:r>
    </w:p>
    <w:p w14:paraId="63A94EF0">
      <w:pPr>
        <w:spacing w:line="400" w:lineRule="exact"/>
        <w:ind w:firstLine="420" w:firstLineChars="200"/>
        <w:rPr>
          <w:rFonts w:hint="eastAsia"/>
        </w:rPr>
      </w:pPr>
      <w:r>
        <w:t>因人工、材料和设备等价格波动影响合同价格时，根据专用合同条款中约定的数据，按以下公式计算差额并调整合同价格：</w:t>
      </w:r>
    </w:p>
    <w:p w14:paraId="33BEFF22">
      <w:pPr>
        <w:spacing w:line="720" w:lineRule="auto"/>
        <w:ind w:firstLine="1050" w:firstLineChars="500"/>
        <w:rPr>
          <w:rFonts w:hint="eastAsia"/>
          <w:sz w:val="52"/>
          <w:szCs w:val="52"/>
        </w:rPr>
      </w:pPr>
      <w:r>
        <w:rPr>
          <w:position w:val="-34"/>
        </w:rPr>
        <w:object>
          <v:shape id="_x0000_i1026" o:spt="75" type="#_x0000_t75" style="height:40pt;width:310pt;" o:ole="t" filled="f" o:preferrelative="t" stroked="f" coordsize="21600,21600">
            <v:path/>
            <v:fill on="f" alignshape="1" focussize="0,0"/>
            <v:stroke on="f"/>
            <v:imagedata r:id="rId16" o:title=""/>
            <o:lock v:ext="edit" aspectratio="t"/>
            <w10:wrap type="none"/>
            <w10:anchorlock/>
          </v:shape>
          <o:OLEObject Type="Embed" ProgID="Equation.3" ShapeID="_x0000_i1026" DrawAspect="Content" ObjectID="_1468075726" r:id="rId15">
            <o:LockedField>false</o:LockedField>
          </o:OLEObject>
        </w:object>
      </w:r>
    </w:p>
    <w:p w14:paraId="3FB2F5B6">
      <w:pPr>
        <w:spacing w:line="400" w:lineRule="exact"/>
        <w:ind w:firstLine="420" w:firstLineChars="200"/>
      </w:pPr>
      <w:r>
        <w:t>公式中：</w:t>
      </w:r>
      <w:r>
        <w:rPr>
          <w:rFonts w:hint="eastAsia"/>
        </w:rPr>
        <w:t xml:space="preserve">    </w:t>
      </w:r>
      <w:r>
        <w:t>ΔP——需调整的价格差额；</w:t>
      </w:r>
    </w:p>
    <w:p w14:paraId="5781493A">
      <w:pPr>
        <w:spacing w:line="400" w:lineRule="exact"/>
        <w:ind w:firstLine="1785" w:firstLineChars="850"/>
      </w:pPr>
      <w:r>
        <w:rPr>
          <w:rFonts w:hint="eastAsia"/>
        </w:rPr>
        <w:t>P</w:t>
      </w:r>
      <w:r>
        <w:rPr>
          <w:rFonts w:hint="eastAsia"/>
          <w:szCs w:val="21"/>
          <w:vertAlign w:val="subscript"/>
        </w:rPr>
        <w:t>0</w:t>
      </w:r>
      <w:r>
        <w:t>——约定的付款证书中承包人应得到的已完成工程量的金额。此项金额应不包括价格调整、不计质量保证金的扣留和支付、预付款的支付和扣回。约定的变更及其他金额已按现行价格计价的，也不计在内；</w:t>
      </w:r>
    </w:p>
    <w:p w14:paraId="143B111A">
      <w:pPr>
        <w:spacing w:line="400" w:lineRule="exact"/>
        <w:ind w:firstLine="1785" w:firstLineChars="850"/>
      </w:pPr>
      <w:r>
        <w:t>A——定值权重（即不调部分的权重）；</w:t>
      </w:r>
    </w:p>
    <w:p w14:paraId="620364EF">
      <w:pPr>
        <w:spacing w:line="400" w:lineRule="exact"/>
        <w:ind w:firstLine="420" w:firstLineChars="200"/>
      </w:pPr>
      <w:r>
        <w:rPr>
          <w:rFonts w:hint="eastAsia"/>
        </w:rPr>
        <w:t>B</w:t>
      </w:r>
      <w:r>
        <w:rPr>
          <w:rFonts w:hint="eastAsia"/>
          <w:szCs w:val="21"/>
          <w:vertAlign w:val="subscript"/>
        </w:rPr>
        <w:t>1</w:t>
      </w:r>
      <w:r>
        <w:rPr>
          <w:rFonts w:hint="eastAsia"/>
          <w:sz w:val="15"/>
          <w:szCs w:val="15"/>
        </w:rPr>
        <w:t>;</w:t>
      </w:r>
      <w:r>
        <w:rPr>
          <w:rFonts w:hint="eastAsia"/>
        </w:rPr>
        <w:t xml:space="preserve"> B</w:t>
      </w:r>
      <w:r>
        <w:rPr>
          <w:rFonts w:hint="eastAsia"/>
          <w:szCs w:val="21"/>
          <w:vertAlign w:val="subscript"/>
        </w:rPr>
        <w:t>2</w:t>
      </w:r>
      <w:r>
        <w:rPr>
          <w:rFonts w:hint="eastAsia"/>
        </w:rPr>
        <w:t xml:space="preserve"> ;B</w:t>
      </w:r>
      <w:r>
        <w:rPr>
          <w:rFonts w:hint="eastAsia"/>
          <w:szCs w:val="21"/>
          <w:vertAlign w:val="subscript"/>
        </w:rPr>
        <w:t>3</w:t>
      </w:r>
      <w:r>
        <w:rPr>
          <w:rFonts w:hint="eastAsia" w:ascii="宋体" w:hAnsi="宋体"/>
          <w:sz w:val="15"/>
          <w:szCs w:val="15"/>
        </w:rPr>
        <w:t>·····</w:t>
      </w:r>
      <w:r>
        <w:rPr>
          <w:rFonts w:hint="eastAsia"/>
        </w:rPr>
        <w:t>B</w:t>
      </w:r>
      <w:r>
        <w:rPr>
          <w:rFonts w:hint="eastAsia"/>
          <w:szCs w:val="21"/>
          <w:vertAlign w:val="subscript"/>
        </w:rPr>
        <w:t>n</w:t>
      </w:r>
      <w:r>
        <w:t>——各可调因子的变值权重（即可调部分的权重），为各可调因子在签约合同价中所占的比例；</w:t>
      </w:r>
    </w:p>
    <w:p w14:paraId="4A03EEAC">
      <w:pPr>
        <w:spacing w:line="400" w:lineRule="exact"/>
        <w:ind w:firstLine="420" w:firstLineChars="200"/>
      </w:pPr>
      <w:r>
        <w:rPr>
          <w:rFonts w:hint="eastAsia"/>
        </w:rPr>
        <w:t>F</w:t>
      </w:r>
      <w:r>
        <w:rPr>
          <w:rFonts w:hint="eastAsia"/>
          <w:szCs w:val="21"/>
          <w:vertAlign w:val="subscript"/>
        </w:rPr>
        <w:t>t1</w:t>
      </w:r>
      <w:r>
        <w:rPr>
          <w:rFonts w:hint="eastAsia"/>
        </w:rPr>
        <w:t xml:space="preserve"> ;F</w:t>
      </w:r>
      <w:r>
        <w:rPr>
          <w:rFonts w:hint="eastAsia"/>
          <w:szCs w:val="21"/>
          <w:vertAlign w:val="subscript"/>
        </w:rPr>
        <w:t>t2</w:t>
      </w:r>
      <w:r>
        <w:rPr>
          <w:rFonts w:hint="eastAsia"/>
        </w:rPr>
        <w:t xml:space="preserve"> ;F</w:t>
      </w:r>
      <w:r>
        <w:rPr>
          <w:rFonts w:hint="eastAsia"/>
          <w:szCs w:val="21"/>
          <w:vertAlign w:val="subscript"/>
        </w:rPr>
        <w:t>t3</w:t>
      </w:r>
      <w:r>
        <w:rPr>
          <w:rFonts w:hint="eastAsia" w:ascii="宋体" w:hAnsi="宋体"/>
          <w:sz w:val="15"/>
          <w:szCs w:val="15"/>
        </w:rPr>
        <w:t>·····</w:t>
      </w:r>
      <w:r>
        <w:rPr>
          <w:rFonts w:hint="eastAsia"/>
        </w:rPr>
        <w:t>F</w:t>
      </w:r>
      <w:r>
        <w:rPr>
          <w:rFonts w:hint="eastAsia"/>
          <w:szCs w:val="21"/>
          <w:vertAlign w:val="subscript"/>
        </w:rPr>
        <w:t>tn</w:t>
      </w:r>
      <w:r>
        <w:t>——各可调因子的现行价格指数，指约定的付款证书相关周期最后一天的前42天的各可调因子的价格指数；</w:t>
      </w:r>
    </w:p>
    <w:p w14:paraId="10CBE66D">
      <w:pPr>
        <w:spacing w:line="400" w:lineRule="exact"/>
        <w:ind w:firstLine="420" w:firstLineChars="200"/>
      </w:pPr>
      <w:r>
        <w:rPr>
          <w:rFonts w:hint="eastAsia"/>
        </w:rPr>
        <w:t>F</w:t>
      </w:r>
      <w:r>
        <w:rPr>
          <w:rFonts w:hint="eastAsia"/>
          <w:szCs w:val="21"/>
          <w:vertAlign w:val="subscript"/>
        </w:rPr>
        <w:t>o1</w:t>
      </w:r>
      <w:r>
        <w:rPr>
          <w:rFonts w:hint="eastAsia"/>
        </w:rPr>
        <w:t>; F</w:t>
      </w:r>
      <w:r>
        <w:rPr>
          <w:rFonts w:hint="eastAsia"/>
          <w:szCs w:val="21"/>
          <w:vertAlign w:val="subscript"/>
        </w:rPr>
        <w:t>o2</w:t>
      </w:r>
      <w:r>
        <w:rPr>
          <w:rFonts w:hint="eastAsia"/>
          <w:sz w:val="15"/>
          <w:szCs w:val="15"/>
        </w:rPr>
        <w:t>;</w:t>
      </w:r>
      <w:r>
        <w:rPr>
          <w:rFonts w:hint="eastAsia"/>
        </w:rPr>
        <w:t xml:space="preserve"> F</w:t>
      </w:r>
      <w:r>
        <w:rPr>
          <w:rFonts w:hint="eastAsia"/>
          <w:szCs w:val="21"/>
          <w:vertAlign w:val="subscript"/>
        </w:rPr>
        <w:t>o3</w:t>
      </w:r>
      <w:r>
        <w:rPr>
          <w:rFonts w:hint="eastAsia" w:ascii="宋体" w:hAnsi="宋体"/>
          <w:sz w:val="15"/>
          <w:szCs w:val="15"/>
        </w:rPr>
        <w:t>····</w:t>
      </w:r>
      <w:r>
        <w:rPr>
          <w:rFonts w:hint="eastAsia"/>
        </w:rPr>
        <w:t>F</w:t>
      </w:r>
      <w:r>
        <w:rPr>
          <w:rFonts w:hint="eastAsia"/>
          <w:szCs w:val="21"/>
          <w:vertAlign w:val="subscript"/>
        </w:rPr>
        <w:t>on</w:t>
      </w:r>
      <w:r>
        <w:t>——各可调因子的基本价格指数，指基准日期的各可调因子的价格指数。</w:t>
      </w:r>
    </w:p>
    <w:p w14:paraId="0FBB926B">
      <w:pPr>
        <w:spacing w:line="400" w:lineRule="exact"/>
        <w:ind w:firstLine="420" w:firstLineChars="200"/>
      </w:pPr>
      <w: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E68EBBA">
      <w:pPr>
        <w:spacing w:line="400" w:lineRule="exact"/>
        <w:ind w:firstLine="420" w:firstLineChars="200"/>
      </w:pPr>
      <w:r>
        <w:t>（2）暂时确定调整差额</w:t>
      </w:r>
    </w:p>
    <w:p w14:paraId="186A2CB6">
      <w:pPr>
        <w:spacing w:line="400" w:lineRule="exact"/>
        <w:ind w:firstLine="420" w:firstLineChars="200"/>
      </w:pPr>
      <w:r>
        <w:t>在计算调整差额时无现行价格指数的，合同当事人同意暂用前次价格指数计算。实际价格指数有调整的，合同当事人进行相应调整。</w:t>
      </w:r>
    </w:p>
    <w:p w14:paraId="7C8224C6">
      <w:pPr>
        <w:spacing w:line="400" w:lineRule="exact"/>
        <w:ind w:firstLine="420" w:firstLineChars="200"/>
      </w:pPr>
      <w:r>
        <w:t>（3）权重的调整</w:t>
      </w:r>
    </w:p>
    <w:p w14:paraId="3C095795">
      <w:pPr>
        <w:spacing w:line="400" w:lineRule="exact"/>
        <w:ind w:firstLine="420" w:firstLineChars="200"/>
      </w:pPr>
      <w:r>
        <w:t>因变更导致合同约定的权重不合理时，按照第4.4款</w:t>
      </w:r>
      <w:r>
        <w:rPr>
          <w:rFonts w:hint="eastAsia"/>
        </w:rPr>
        <w:t>〔</w:t>
      </w:r>
      <w:r>
        <w:t>商定或确定</w:t>
      </w:r>
      <w:r>
        <w:rPr>
          <w:rFonts w:hint="eastAsia"/>
        </w:rPr>
        <w:t>〕</w:t>
      </w:r>
      <w:r>
        <w:t>执行。</w:t>
      </w:r>
    </w:p>
    <w:p w14:paraId="5CE043B0">
      <w:pPr>
        <w:spacing w:line="400" w:lineRule="exact"/>
        <w:ind w:firstLine="420" w:firstLineChars="200"/>
      </w:pPr>
      <w:r>
        <w:t>（4）因承包人原因工期延误后的价格调整</w:t>
      </w:r>
    </w:p>
    <w:p w14:paraId="3AA8C6BF">
      <w:pPr>
        <w:spacing w:line="400" w:lineRule="exact"/>
        <w:ind w:firstLine="420" w:firstLineChars="200"/>
      </w:pPr>
      <w:r>
        <w:t>因承包人原因未按期竣工的，对合同约定的竣工日期后继续施工的工程，在使用价格调整公式时，应采用计划竣工日期与实际竣工日期的两个价格指数中较低的一个作为现行价格指数。</w:t>
      </w:r>
    </w:p>
    <w:p w14:paraId="25789AD0">
      <w:pPr>
        <w:spacing w:line="400" w:lineRule="exact"/>
        <w:ind w:firstLine="420" w:firstLineChars="200"/>
      </w:pPr>
      <w:r>
        <w:t>第2种方式：采用造价信息</w:t>
      </w:r>
      <w:r>
        <w:rPr>
          <w:rFonts w:hint="eastAsia"/>
        </w:rPr>
        <w:t>进行价格</w:t>
      </w:r>
      <w:r>
        <w:t>调整。</w:t>
      </w:r>
    </w:p>
    <w:p w14:paraId="1F255723">
      <w:pPr>
        <w:spacing w:line="400" w:lineRule="exact"/>
        <w:ind w:firstLine="420" w:firstLineChars="200"/>
      </w:pPr>
      <w: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rPr>
        <w:t>量</w:t>
      </w:r>
      <w:r>
        <w:t>应由发包人审批，发包人确认需调整的材料单价及数量，作为调整合同价格的依据。</w:t>
      </w:r>
    </w:p>
    <w:p w14:paraId="55250A8D">
      <w:pPr>
        <w:spacing w:line="400" w:lineRule="exact"/>
        <w:ind w:firstLine="420" w:firstLineChars="200"/>
      </w:pPr>
      <w: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1CA2354">
      <w:pPr>
        <w:spacing w:line="400" w:lineRule="exact"/>
        <w:ind w:firstLine="420" w:firstLineChars="200"/>
      </w:pPr>
      <w:r>
        <w:t>（2）材料、工程设备价格变化的价款调整按照发包人提供的基准价格，按以下风险范围规定执行:</w:t>
      </w:r>
    </w:p>
    <w:p w14:paraId="161C9B73">
      <w:pPr>
        <w:spacing w:line="400" w:lineRule="exact"/>
        <w:ind w:firstLine="630" w:firstLineChars="300"/>
      </w:pPr>
      <w:r>
        <w:rPr>
          <w:rFonts w:hint="eastAsia"/>
        </w:rPr>
        <w:t>①</w:t>
      </w:r>
      <w: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2A50776F">
      <w:pPr>
        <w:spacing w:line="400" w:lineRule="exact"/>
        <w:ind w:firstLine="630" w:firstLineChars="300"/>
      </w:pPr>
      <w:r>
        <w:rPr>
          <w:rFonts w:hint="eastAsia"/>
        </w:rPr>
        <w:t>②</w:t>
      </w:r>
      <w: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1CE5793">
      <w:pPr>
        <w:spacing w:line="400" w:lineRule="exact"/>
        <w:ind w:firstLine="630" w:firstLineChars="300"/>
      </w:pPr>
      <w:r>
        <w:rPr>
          <w:rFonts w:hint="eastAsia"/>
        </w:rPr>
        <w:t>③</w:t>
      </w:r>
      <w:r>
        <w:t>承包人在已标价工程量清单或预算书中载明材料单价等于基准价格的：除专用合同条款另有约定外，合同履行期间材料单价涨跌幅以基准价格为基础超过±5%时，其超过部分据实调整。</w:t>
      </w:r>
    </w:p>
    <w:p w14:paraId="04BF34A0">
      <w:pPr>
        <w:spacing w:line="400" w:lineRule="exact"/>
        <w:ind w:firstLine="630" w:firstLineChars="300"/>
      </w:pPr>
      <w:r>
        <w:rPr>
          <w:rFonts w:hint="eastAsia"/>
        </w:rPr>
        <w:t>④</w:t>
      </w:r>
      <w: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AB3CE81">
      <w:pPr>
        <w:spacing w:line="400" w:lineRule="exact"/>
        <w:ind w:firstLine="420" w:firstLineChars="200"/>
      </w:pPr>
      <w:bookmarkStart w:id="1688" w:name="OLE_LINK3"/>
      <w:r>
        <w:t>前述基准价格是指由发包人在招标文件或专用合同条款中给定的材料、工程设备的价格，该价格原则上应当按照省级或行业建设主管部门或其授权的工程造价管理机构发布的信息价编制。</w:t>
      </w:r>
    </w:p>
    <w:p w14:paraId="3FD5AE8D">
      <w:pPr>
        <w:spacing w:line="400" w:lineRule="exact"/>
        <w:ind w:firstLine="420" w:firstLineChars="200"/>
      </w:pPr>
      <w:r>
        <w:t>（3）施工机械台班单价或施工机械使用费发生变化超过省级或行业建设主管部门或其授权的工程造价管理机构规定的范围时，按规定调整合同价格。</w:t>
      </w:r>
    </w:p>
    <w:p w14:paraId="7E46F7F8">
      <w:pPr>
        <w:spacing w:line="400" w:lineRule="exact"/>
        <w:ind w:firstLine="420" w:firstLineChars="200"/>
      </w:pPr>
      <w:r>
        <w:t>第3种方式：专用合同条款约定的其他方式。</w:t>
      </w:r>
    </w:p>
    <w:p w14:paraId="04421888">
      <w:pPr>
        <w:pStyle w:val="20"/>
        <w:rPr>
          <w:b/>
        </w:rPr>
      </w:pPr>
      <w:bookmarkStart w:id="1689" w:name="_Toc108514025"/>
      <w:bookmarkStart w:id="1690" w:name="_Toc351203579"/>
      <w:bookmarkStart w:id="1691" w:name="_Toc296346594"/>
      <w:bookmarkStart w:id="1692" w:name="_Toc296503093"/>
      <w:bookmarkStart w:id="1693" w:name="_Toc337558798"/>
      <w:r>
        <w:rPr>
          <w:b/>
        </w:rPr>
        <w:t>11.2法律变化引起的调整</w:t>
      </w:r>
      <w:bookmarkEnd w:id="1689"/>
      <w:bookmarkEnd w:id="1690"/>
    </w:p>
    <w:bookmarkEnd w:id="1691"/>
    <w:bookmarkEnd w:id="1692"/>
    <w:bookmarkEnd w:id="1693"/>
    <w:p w14:paraId="55E28761">
      <w:pPr>
        <w:spacing w:line="400" w:lineRule="exact"/>
        <w:ind w:firstLine="420" w:firstLineChars="200"/>
        <w:rPr>
          <w:rFonts w:hint="eastAsia"/>
        </w:rPr>
      </w:pPr>
      <w:r>
        <w:t>基准日</w:t>
      </w:r>
      <w:r>
        <w:rPr>
          <w:rFonts w:hint="eastAsia"/>
        </w:rPr>
        <w:t>期</w:t>
      </w:r>
      <w:r>
        <w:t>后，法律变化</w:t>
      </w:r>
      <w:r>
        <w:rPr>
          <w:rFonts w:hint="eastAsia"/>
        </w:rPr>
        <w:t>导致承包人在合同履行过程中所需要的费用发生除第11.1款〔市场价格波动引起的调整〕约定以外的增加时，由发包人承担由此增加的费用；减少时，应从合同价格中予以扣减。</w:t>
      </w:r>
      <w:r>
        <w:t>基准日</w:t>
      </w:r>
      <w:r>
        <w:rPr>
          <w:rFonts w:hint="eastAsia"/>
        </w:rPr>
        <w:t>期</w:t>
      </w:r>
      <w:r>
        <w:t>后，</w:t>
      </w:r>
      <w:r>
        <w:rPr>
          <w:rFonts w:hint="eastAsia"/>
        </w:rPr>
        <w:t>因</w:t>
      </w:r>
      <w:r>
        <w:t>法律变化</w:t>
      </w:r>
      <w:r>
        <w:rPr>
          <w:rFonts w:hint="eastAsia"/>
        </w:rPr>
        <w:t>造成工期延误时，工期应予以顺延。</w:t>
      </w:r>
    </w:p>
    <w:p w14:paraId="745C60EB">
      <w:pPr>
        <w:spacing w:line="400" w:lineRule="exact"/>
        <w:ind w:firstLine="420" w:firstLineChars="200"/>
        <w:rPr>
          <w:rFonts w:hint="eastAsia"/>
        </w:rPr>
      </w:pPr>
      <w:r>
        <w:rPr>
          <w:rFonts w:hint="eastAsia"/>
        </w:rPr>
        <w:t>因法律变化引起的合同价格和工期调整，合同当事人无法达成一致的，由总监理工程师按第4.4款〔商定或确定〕的约定处理。</w:t>
      </w:r>
    </w:p>
    <w:p w14:paraId="29B1FA3F">
      <w:pPr>
        <w:spacing w:line="400" w:lineRule="exact"/>
        <w:ind w:firstLine="420" w:firstLineChars="200"/>
      </w:pPr>
      <w:r>
        <w:t>因承包人原因造成工期延误，在工期延误期间出现法律变化的，由此增加的费用和（或）延误的工期由承包人承担。</w:t>
      </w:r>
    </w:p>
    <w:p w14:paraId="3860742B">
      <w:pPr>
        <w:pStyle w:val="18"/>
        <w:rPr>
          <w:b/>
        </w:rPr>
      </w:pPr>
      <w:bookmarkStart w:id="1694" w:name="_Toc108514026"/>
      <w:bookmarkStart w:id="1695" w:name="_Toc351203580"/>
      <w:bookmarkStart w:id="1696" w:name="_Toc337558799"/>
      <w:bookmarkStart w:id="1697" w:name="_Toc296503096"/>
      <w:bookmarkStart w:id="1698" w:name="_Toc296346597"/>
      <w:r>
        <w:rPr>
          <w:b/>
        </w:rPr>
        <w:t>12. 合同价格、计量与支付</w:t>
      </w:r>
      <w:bookmarkEnd w:id="1694"/>
      <w:bookmarkEnd w:id="1695"/>
    </w:p>
    <w:bookmarkEnd w:id="1696"/>
    <w:p w14:paraId="61FF35C2">
      <w:pPr>
        <w:pStyle w:val="20"/>
        <w:rPr>
          <w:b/>
        </w:rPr>
      </w:pPr>
      <w:bookmarkStart w:id="1699" w:name="_Toc108514027"/>
      <w:bookmarkStart w:id="1700" w:name="_Toc351203581"/>
      <w:bookmarkStart w:id="1701" w:name="_Toc337558800"/>
      <w:r>
        <w:rPr>
          <w:b/>
        </w:rPr>
        <w:t>12.1 合同价</w:t>
      </w:r>
      <w:bookmarkEnd w:id="1697"/>
      <w:bookmarkEnd w:id="1698"/>
      <w:r>
        <w:rPr>
          <w:b/>
        </w:rPr>
        <w:t>格形式</w:t>
      </w:r>
      <w:bookmarkEnd w:id="1699"/>
      <w:bookmarkEnd w:id="1700"/>
    </w:p>
    <w:bookmarkEnd w:id="1701"/>
    <w:p w14:paraId="1464C353">
      <w:pPr>
        <w:spacing w:line="400" w:lineRule="exact"/>
        <w:ind w:firstLine="420" w:firstLineChars="200"/>
      </w:pPr>
      <w:r>
        <w:t>发包人和承包人应在合同协议书中</w:t>
      </w:r>
      <w:r>
        <w:rPr>
          <w:rFonts w:hint="eastAsia"/>
        </w:rPr>
        <w:t>选择</w:t>
      </w:r>
      <w:r>
        <w:t xml:space="preserve">下列一种合同价格形式： </w:t>
      </w:r>
    </w:p>
    <w:p w14:paraId="01F7F7F7">
      <w:pPr>
        <w:spacing w:line="400" w:lineRule="exact"/>
        <w:ind w:firstLine="420" w:firstLineChars="200"/>
      </w:pPr>
      <w:r>
        <w:t>1</w:t>
      </w:r>
      <w:r>
        <w:rPr>
          <w:rFonts w:hint="eastAsia"/>
        </w:rPr>
        <w:t>.</w:t>
      </w:r>
      <w:r>
        <w:t>单价合同</w:t>
      </w:r>
    </w:p>
    <w:p w14:paraId="4C70F5A4">
      <w:pPr>
        <w:spacing w:line="400" w:lineRule="exact"/>
        <w:ind w:firstLine="420" w:firstLineChars="200"/>
      </w:pPr>
      <w: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rPr>
        <w:t>〔</w:t>
      </w:r>
      <w:r>
        <w:t>市场价格波动引起的调整</w:t>
      </w:r>
      <w:r>
        <w:rPr>
          <w:rFonts w:hint="eastAsia"/>
        </w:rPr>
        <w:t>〕</w:t>
      </w:r>
      <w:r>
        <w:t>约定执行。</w:t>
      </w:r>
    </w:p>
    <w:p w14:paraId="380D05BA">
      <w:pPr>
        <w:spacing w:line="400" w:lineRule="exact"/>
        <w:ind w:firstLine="420" w:firstLineChars="200"/>
      </w:pPr>
      <w:r>
        <w:t>2</w:t>
      </w:r>
      <w:r>
        <w:rPr>
          <w:rFonts w:hint="eastAsia"/>
        </w:rPr>
        <w:t>.</w:t>
      </w:r>
      <w:r>
        <w:t>总价合同</w:t>
      </w:r>
    </w:p>
    <w:p w14:paraId="433E9FD7">
      <w:pPr>
        <w:spacing w:line="400" w:lineRule="exact"/>
        <w:ind w:firstLine="420" w:firstLineChars="200"/>
      </w:pPr>
      <w: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rPr>
        <w:t>〔</w:t>
      </w:r>
      <w:r>
        <w:t>市场价格波动引起的调整</w:t>
      </w:r>
      <w:r>
        <w:rPr>
          <w:rFonts w:hint="eastAsia"/>
        </w:rPr>
        <w:t>〕</w:t>
      </w:r>
      <w:r>
        <w:t>、因法律变化引起的调整按第11.2款</w:t>
      </w:r>
      <w:r>
        <w:rPr>
          <w:rFonts w:hint="eastAsia"/>
        </w:rPr>
        <w:t>〔</w:t>
      </w:r>
      <w:r>
        <w:t>法律变化引起的调整</w:t>
      </w:r>
      <w:r>
        <w:rPr>
          <w:rFonts w:hint="eastAsia"/>
        </w:rPr>
        <w:t>〕</w:t>
      </w:r>
      <w:r>
        <w:t>约定执行。</w:t>
      </w:r>
    </w:p>
    <w:p w14:paraId="0D07BFDD">
      <w:pPr>
        <w:spacing w:line="400" w:lineRule="exact"/>
        <w:ind w:firstLine="420" w:firstLineChars="200"/>
      </w:pPr>
      <w:r>
        <w:t>3</w:t>
      </w:r>
      <w:r>
        <w:rPr>
          <w:rFonts w:hint="eastAsia"/>
        </w:rPr>
        <w:t>.</w:t>
      </w:r>
      <w:r>
        <w:t>其它价格形式</w:t>
      </w:r>
    </w:p>
    <w:p w14:paraId="7ADB81CA">
      <w:pPr>
        <w:spacing w:line="400" w:lineRule="exact"/>
        <w:ind w:firstLine="420" w:firstLineChars="200"/>
      </w:pPr>
      <w:r>
        <w:t>合同当事人可在专用合同条款中约定其他合同价格形式。</w:t>
      </w:r>
    </w:p>
    <w:p w14:paraId="20D95415">
      <w:pPr>
        <w:pStyle w:val="20"/>
        <w:rPr>
          <w:b/>
        </w:rPr>
      </w:pPr>
      <w:bookmarkStart w:id="1702" w:name="_Toc296346598"/>
      <w:bookmarkStart w:id="1703" w:name="_Toc296503097"/>
      <w:bookmarkStart w:id="1704" w:name="_Toc351203582"/>
      <w:bookmarkStart w:id="1705" w:name="_Toc108514028"/>
      <w:bookmarkStart w:id="1706" w:name="_Toc337558801"/>
      <w:r>
        <w:rPr>
          <w:b/>
        </w:rPr>
        <w:t>12.2预</w:t>
      </w:r>
      <w:bookmarkEnd w:id="1702"/>
      <w:bookmarkEnd w:id="1703"/>
      <w:bookmarkStart w:id="1707" w:name="_Toc296503100"/>
      <w:bookmarkStart w:id="1708" w:name="_Toc296346601"/>
      <w:r>
        <w:rPr>
          <w:b/>
        </w:rPr>
        <w:t>付款</w:t>
      </w:r>
      <w:bookmarkEnd w:id="1704"/>
      <w:bookmarkEnd w:id="1705"/>
    </w:p>
    <w:bookmarkEnd w:id="1706"/>
    <w:bookmarkEnd w:id="1707"/>
    <w:bookmarkEnd w:id="1708"/>
    <w:p w14:paraId="079FD93E">
      <w:pPr>
        <w:spacing w:line="400" w:lineRule="exact"/>
        <w:ind w:firstLine="420" w:firstLineChars="200"/>
      </w:pPr>
      <w:r>
        <w:t>12.2.1预付款的支付</w:t>
      </w:r>
    </w:p>
    <w:p w14:paraId="6DC6E0EE">
      <w:pPr>
        <w:spacing w:line="400" w:lineRule="exact"/>
        <w:ind w:firstLine="420" w:firstLineChars="200"/>
      </w:pPr>
      <w:r>
        <w:t>预付款的支付按照专用合同条款约定执行，但至迟应在开工通知载明的开工日期7天前支付。预付款应当用于材料、工程设备、施工设备的采购及修建临时工程、组织施工队伍进场等。</w:t>
      </w:r>
    </w:p>
    <w:p w14:paraId="1A7907BD">
      <w:pPr>
        <w:spacing w:line="400" w:lineRule="exact"/>
        <w:ind w:firstLine="420" w:firstLineChars="200"/>
      </w:pPr>
      <w:r>
        <w:t>除专用合同条款另有约定外，预付款在进度付款中同比例扣回。</w:t>
      </w:r>
      <w:bookmarkEnd w:id="1688"/>
      <w:r>
        <w:t>在颁发工程接收证书前，提前解除合同的，尚未扣完的预付款应与合同价款一并结算。</w:t>
      </w:r>
    </w:p>
    <w:p w14:paraId="278A533C">
      <w:pPr>
        <w:spacing w:line="400" w:lineRule="exact"/>
        <w:ind w:firstLine="420" w:firstLineChars="200"/>
      </w:pPr>
      <w:r>
        <w:t>发包人逾期支付预付款超过7天的，承包人有权向发包人发出要求预付的催告通知，发包人收到通知后7天内仍未支付的，承包人有权暂停施工，并按第16.1.1项</w:t>
      </w:r>
      <w:r>
        <w:rPr>
          <w:rFonts w:hint="eastAsia"/>
        </w:rPr>
        <w:t>〔</w:t>
      </w:r>
      <w:r>
        <w:t>发包人违约的情形</w:t>
      </w:r>
      <w:r>
        <w:rPr>
          <w:rFonts w:hint="eastAsia"/>
        </w:rPr>
        <w:t>〕</w:t>
      </w:r>
      <w:r>
        <w:t>执行。</w:t>
      </w:r>
    </w:p>
    <w:p w14:paraId="6CE678E6">
      <w:pPr>
        <w:spacing w:line="400" w:lineRule="exact"/>
        <w:ind w:firstLine="420" w:firstLineChars="200"/>
      </w:pPr>
      <w:r>
        <w:t>12.2.2 预付款担保</w:t>
      </w:r>
    </w:p>
    <w:p w14:paraId="1F3E141D">
      <w:pPr>
        <w:spacing w:line="400" w:lineRule="exact"/>
        <w:ind w:firstLine="420" w:firstLineChars="200"/>
      </w:pPr>
      <w:r>
        <w:rPr>
          <w:rFonts w:hint="eastAsia"/>
        </w:rPr>
        <w:t>发包人要求承包人提供预付款担保的</w:t>
      </w:r>
      <w:r>
        <w:t>，承包人应在发包人支付预付款7天前提供预付款担保</w:t>
      </w:r>
      <w:r>
        <w:rPr>
          <w:rFonts w:hint="eastAsia"/>
        </w:rPr>
        <w:t>，</w:t>
      </w:r>
      <w:r>
        <w:t>专用合同条款另有约定</w:t>
      </w:r>
      <w:r>
        <w:rPr>
          <w:rFonts w:hint="eastAsia"/>
        </w:rPr>
        <w:t>除</w:t>
      </w:r>
      <w:r>
        <w:t>外。预付款担保可采用银行保函、担保公司担保等形式，具体由合同当事人在专用合同条款中约定。在预付款完全扣回之前，承包人应保证预付款担保持续有效。</w:t>
      </w:r>
    </w:p>
    <w:p w14:paraId="752C7B7D">
      <w:pPr>
        <w:spacing w:line="400" w:lineRule="exact"/>
        <w:ind w:firstLine="420" w:firstLineChars="200"/>
      </w:pPr>
      <w:r>
        <w:t>发包人在工程款中逐期扣回预付款后，预付款担保额度应相应减少，但剩余的预付款担保金额不得低于未被扣回的预付款金额。</w:t>
      </w:r>
    </w:p>
    <w:p w14:paraId="358FA759">
      <w:pPr>
        <w:pStyle w:val="20"/>
        <w:rPr>
          <w:b/>
        </w:rPr>
      </w:pPr>
      <w:bookmarkStart w:id="1709" w:name="_Toc351203583"/>
      <w:bookmarkStart w:id="1710" w:name="_Toc108514029"/>
      <w:bookmarkStart w:id="1711" w:name="_Toc337558802"/>
      <w:r>
        <w:rPr>
          <w:b/>
        </w:rPr>
        <w:t>12.3计量</w:t>
      </w:r>
      <w:bookmarkEnd w:id="1709"/>
      <w:bookmarkEnd w:id="1710"/>
    </w:p>
    <w:bookmarkEnd w:id="1711"/>
    <w:p w14:paraId="412091FC">
      <w:pPr>
        <w:spacing w:line="400" w:lineRule="exact"/>
        <w:ind w:firstLine="420" w:firstLineChars="200"/>
      </w:pPr>
      <w:r>
        <w:t>12.3.1 计量原则</w:t>
      </w:r>
    </w:p>
    <w:p w14:paraId="05CF70E2">
      <w:pPr>
        <w:spacing w:line="400" w:lineRule="exact"/>
        <w:ind w:firstLine="420" w:firstLineChars="200"/>
      </w:pPr>
      <w:r>
        <w:t>工程量计量按照合同约定的工程量计算规则、图纸及变更指示</w:t>
      </w:r>
      <w:r>
        <w:rPr>
          <w:rFonts w:hint="eastAsia"/>
        </w:rPr>
        <w:t>等</w:t>
      </w:r>
      <w:r>
        <w:t>进行计量。工程量计算规则应以相关的国家标准、行业标准</w:t>
      </w:r>
      <w:r>
        <w:rPr>
          <w:rFonts w:hint="eastAsia"/>
        </w:rPr>
        <w:t>等</w:t>
      </w:r>
      <w:r>
        <w:t>为依据，由合同当事人在专用合同条款中约定。</w:t>
      </w:r>
    </w:p>
    <w:p w14:paraId="56F736C2">
      <w:pPr>
        <w:spacing w:line="400" w:lineRule="exact"/>
        <w:ind w:firstLine="420" w:firstLineChars="200"/>
      </w:pPr>
      <w:r>
        <w:t>12.3.2 计量周期</w:t>
      </w:r>
    </w:p>
    <w:p w14:paraId="3D28EE8F">
      <w:pPr>
        <w:spacing w:line="400" w:lineRule="exact"/>
        <w:ind w:firstLine="420" w:firstLineChars="200"/>
      </w:pPr>
      <w:r>
        <w:t>除专用合同条款另有约定外，工程量的计量按月进行。</w:t>
      </w:r>
    </w:p>
    <w:p w14:paraId="54BF4EF8">
      <w:pPr>
        <w:spacing w:line="400" w:lineRule="exact"/>
        <w:ind w:firstLine="420" w:firstLineChars="200"/>
      </w:pPr>
      <w:r>
        <w:t>12.3.3 单价合同的计量</w:t>
      </w:r>
    </w:p>
    <w:p w14:paraId="7C86B3F7">
      <w:pPr>
        <w:spacing w:line="400" w:lineRule="exact"/>
        <w:ind w:firstLine="420" w:firstLineChars="200"/>
      </w:pPr>
      <w:r>
        <w:t>除专用合同条款另有约定外，单价合同的计量按照本项约定执行：</w:t>
      </w:r>
    </w:p>
    <w:p w14:paraId="71747B24">
      <w:pPr>
        <w:spacing w:line="400" w:lineRule="exact"/>
        <w:ind w:firstLine="420" w:firstLineChars="200"/>
      </w:pPr>
      <w:r>
        <w:t>（1）承包人应于每月25日向监理人报送上月20日至当月19日已完成的工程量报告，并附具进度付款申请单、已完成工程量报表和有关资料。</w:t>
      </w:r>
    </w:p>
    <w:p w14:paraId="4BD8C91B">
      <w:pPr>
        <w:spacing w:line="400" w:lineRule="exact"/>
        <w:ind w:firstLine="420" w:firstLineChars="200"/>
      </w:pPr>
      <w: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386148E">
      <w:pPr>
        <w:spacing w:line="400" w:lineRule="exact"/>
        <w:ind w:firstLine="420" w:firstLineChars="200"/>
      </w:pPr>
      <w:r>
        <w:t>（3）监理人未在收到承包人提交的工程量报表后的7天内完成审核的，承包人报送的工程量报告中的工程量视为承包人实际完成的工程量，据此计算工程价款。</w:t>
      </w:r>
    </w:p>
    <w:p w14:paraId="0940C96A">
      <w:pPr>
        <w:spacing w:line="400" w:lineRule="exact"/>
        <w:ind w:firstLine="420" w:firstLineChars="200"/>
      </w:pPr>
      <w:r>
        <w:t>12.3.4 总价合同的计量</w:t>
      </w:r>
    </w:p>
    <w:p w14:paraId="097E9CBA">
      <w:pPr>
        <w:spacing w:line="400" w:lineRule="exact"/>
        <w:ind w:firstLine="420" w:firstLineChars="200"/>
      </w:pPr>
      <w:r>
        <w:t>除专用合同条款另有约定外，按</w:t>
      </w:r>
      <w:r>
        <w:rPr>
          <w:rFonts w:hint="eastAsia"/>
        </w:rPr>
        <w:t>月计量支付</w:t>
      </w:r>
      <w:r>
        <w:t>的总价合同，按照本项约定执行：</w:t>
      </w:r>
    </w:p>
    <w:p w14:paraId="719874B0">
      <w:pPr>
        <w:spacing w:line="400" w:lineRule="exact"/>
        <w:ind w:firstLine="420" w:firstLineChars="200"/>
      </w:pPr>
      <w:r>
        <w:t>（1）承包人应于每月25日向监理人报送上月20日至当月19日已完成的工程量报告，并附具进度付款申请单、已完成工程量报表和有关资料。</w:t>
      </w:r>
    </w:p>
    <w:p w14:paraId="1E090758">
      <w:pPr>
        <w:spacing w:line="400" w:lineRule="exact"/>
        <w:ind w:firstLine="420" w:firstLineChars="200"/>
      </w:pPr>
      <w: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3E768DA1">
      <w:pPr>
        <w:spacing w:line="400" w:lineRule="exact"/>
        <w:ind w:firstLine="420" w:firstLineChars="200"/>
      </w:pPr>
      <w:r>
        <w:t>（3）监理人未在收到承包人提交的工程量报表后的7天内完成复核的，承包人提交的工程量报告中的工程量视为承包人实际完成的工程量。</w:t>
      </w:r>
    </w:p>
    <w:p w14:paraId="6C79CD7D">
      <w:pPr>
        <w:spacing w:line="400" w:lineRule="exact"/>
        <w:ind w:firstLine="420" w:firstLineChars="200"/>
      </w:pPr>
      <w:r>
        <w:t>12.3.5 总价合同采用支付分解表计量支付的，可以按照第12.3.4项</w:t>
      </w:r>
      <w:r>
        <w:rPr>
          <w:rFonts w:hint="eastAsia"/>
        </w:rPr>
        <w:t>〔</w:t>
      </w:r>
      <w:r>
        <w:t>总价合同的计量</w:t>
      </w:r>
      <w:r>
        <w:rPr>
          <w:rFonts w:hint="eastAsia"/>
        </w:rPr>
        <w:t>〕</w:t>
      </w:r>
      <w:r>
        <w:t>约定进行计量，但合同价款按照支付分解表进行支付。</w:t>
      </w:r>
    </w:p>
    <w:p w14:paraId="2867C4F2">
      <w:pPr>
        <w:spacing w:line="400" w:lineRule="exact"/>
        <w:ind w:firstLine="420" w:firstLineChars="200"/>
      </w:pPr>
      <w:r>
        <w:t>12.3.6 其他价格形式合同的计量</w:t>
      </w:r>
    </w:p>
    <w:p w14:paraId="58727A8A">
      <w:pPr>
        <w:spacing w:line="400" w:lineRule="exact"/>
        <w:ind w:firstLine="420" w:firstLineChars="200"/>
      </w:pPr>
      <w:r>
        <w:t>合同当事人可在专用合同条款中约定其他价格形式合同的计量方式和程序。</w:t>
      </w:r>
    </w:p>
    <w:p w14:paraId="56F1F63C">
      <w:pPr>
        <w:pStyle w:val="20"/>
        <w:rPr>
          <w:b/>
        </w:rPr>
      </w:pPr>
      <w:bookmarkStart w:id="1712" w:name="_Toc296503101"/>
      <w:bookmarkStart w:id="1713" w:name="_Toc296346602"/>
      <w:bookmarkStart w:id="1714" w:name="_Toc351203584"/>
      <w:bookmarkStart w:id="1715" w:name="_Toc108514030"/>
      <w:bookmarkStart w:id="1716" w:name="_Toc337558803"/>
      <w:r>
        <w:rPr>
          <w:b/>
        </w:rPr>
        <w:t>12.4工程进度款支</w:t>
      </w:r>
      <w:bookmarkEnd w:id="1712"/>
      <w:bookmarkEnd w:id="1713"/>
      <w:r>
        <w:rPr>
          <w:b/>
        </w:rPr>
        <w:t>付</w:t>
      </w:r>
      <w:bookmarkEnd w:id="1714"/>
      <w:bookmarkEnd w:id="1715"/>
    </w:p>
    <w:bookmarkEnd w:id="1716"/>
    <w:p w14:paraId="324EB1AA">
      <w:pPr>
        <w:spacing w:line="400" w:lineRule="exact"/>
        <w:ind w:firstLine="420" w:firstLineChars="200"/>
      </w:pPr>
      <w:r>
        <w:t>12.4.1 付款周期</w:t>
      </w:r>
    </w:p>
    <w:p w14:paraId="1D8FFF7D">
      <w:pPr>
        <w:spacing w:line="400" w:lineRule="exact"/>
        <w:ind w:firstLine="420" w:firstLineChars="200"/>
      </w:pPr>
      <w:r>
        <w:t>除专用合同条款另有约定外，付款周期应按照第12.3.2</w:t>
      </w:r>
      <w:r>
        <w:rPr>
          <w:rFonts w:hint="eastAsia"/>
        </w:rPr>
        <w:t>项〔</w:t>
      </w:r>
      <w:r>
        <w:t>计量周期</w:t>
      </w:r>
      <w:r>
        <w:rPr>
          <w:rFonts w:hint="eastAsia"/>
        </w:rPr>
        <w:t>〕</w:t>
      </w:r>
      <w:r>
        <w:t>的约定与计量周期保持一致。</w:t>
      </w:r>
    </w:p>
    <w:p w14:paraId="3393BD79">
      <w:pPr>
        <w:spacing w:line="400" w:lineRule="exact"/>
        <w:ind w:firstLine="420" w:firstLineChars="200"/>
      </w:pPr>
      <w:r>
        <w:t>12.4.2 进度付款申请单的编制</w:t>
      </w:r>
    </w:p>
    <w:p w14:paraId="70445369">
      <w:pPr>
        <w:spacing w:line="400" w:lineRule="exact"/>
        <w:ind w:firstLine="420" w:firstLineChars="200"/>
      </w:pPr>
      <w:r>
        <w:t>除专用合同条款另有约定外，进度付款申请单应包括下列内容：</w:t>
      </w:r>
    </w:p>
    <w:p w14:paraId="17C9ABE1">
      <w:pPr>
        <w:spacing w:line="400" w:lineRule="exact"/>
        <w:ind w:firstLine="420" w:firstLineChars="200"/>
      </w:pPr>
      <w:r>
        <w:t>（1）截至本次付款周期已完成工作对应的金额；</w:t>
      </w:r>
    </w:p>
    <w:p w14:paraId="39C2561B">
      <w:pPr>
        <w:spacing w:line="400" w:lineRule="exact"/>
        <w:ind w:firstLine="420" w:firstLineChars="200"/>
      </w:pPr>
      <w:r>
        <w:t>（2）根据第10条</w:t>
      </w:r>
      <w:r>
        <w:rPr>
          <w:rFonts w:hint="eastAsia"/>
        </w:rPr>
        <w:t>〔</w:t>
      </w:r>
      <w:r>
        <w:t>变更</w:t>
      </w:r>
      <w:r>
        <w:rPr>
          <w:rFonts w:hint="eastAsia"/>
        </w:rPr>
        <w:t>〕</w:t>
      </w:r>
      <w:r>
        <w:t>应增加和扣减的变更金额；</w:t>
      </w:r>
    </w:p>
    <w:p w14:paraId="702DB072">
      <w:pPr>
        <w:spacing w:line="400" w:lineRule="exact"/>
        <w:ind w:firstLine="420" w:firstLineChars="200"/>
      </w:pPr>
      <w:r>
        <w:t>（3）根据第12.2款</w:t>
      </w:r>
      <w:r>
        <w:rPr>
          <w:rFonts w:hint="eastAsia"/>
        </w:rPr>
        <w:t>〔</w:t>
      </w:r>
      <w:r>
        <w:t>预付款</w:t>
      </w:r>
      <w:r>
        <w:rPr>
          <w:rFonts w:hint="eastAsia"/>
        </w:rPr>
        <w:t>〕</w:t>
      </w:r>
      <w:r>
        <w:t>约定应支付的预付款和扣减的返还预付款；</w:t>
      </w:r>
    </w:p>
    <w:p w14:paraId="0C95221B">
      <w:pPr>
        <w:spacing w:line="400" w:lineRule="exact"/>
        <w:ind w:firstLine="420" w:firstLineChars="200"/>
      </w:pPr>
      <w:r>
        <w:t>（4）根据第15.3款</w:t>
      </w:r>
      <w:r>
        <w:rPr>
          <w:rFonts w:hint="eastAsia"/>
        </w:rPr>
        <w:t>〔</w:t>
      </w:r>
      <w:r>
        <w:t>质量保证金</w:t>
      </w:r>
      <w:r>
        <w:rPr>
          <w:rFonts w:hint="eastAsia"/>
        </w:rPr>
        <w:t>〕</w:t>
      </w:r>
      <w:r>
        <w:t>约定应扣减的质量保证金；</w:t>
      </w:r>
    </w:p>
    <w:p w14:paraId="62357C7F">
      <w:pPr>
        <w:spacing w:line="400" w:lineRule="exact"/>
        <w:ind w:firstLine="420" w:firstLineChars="200"/>
      </w:pPr>
      <w:r>
        <w:t>（5）根据第19条</w:t>
      </w:r>
      <w:r>
        <w:rPr>
          <w:rFonts w:hint="eastAsia"/>
        </w:rPr>
        <w:t>〔</w:t>
      </w:r>
      <w:r>
        <w:t>索赔</w:t>
      </w:r>
      <w:r>
        <w:rPr>
          <w:rFonts w:hint="eastAsia"/>
        </w:rPr>
        <w:t>〕</w:t>
      </w:r>
      <w:r>
        <w:t>应增加和扣减的索赔金额；</w:t>
      </w:r>
    </w:p>
    <w:p w14:paraId="084269A5">
      <w:pPr>
        <w:spacing w:line="400" w:lineRule="exact"/>
        <w:ind w:firstLine="420" w:firstLineChars="200"/>
      </w:pPr>
      <w:r>
        <w:t>（6）对已签发的进度款支付证书中出现错误的修正，应在本次进度付款中支付或扣除的金额；</w:t>
      </w:r>
    </w:p>
    <w:p w14:paraId="7C5C241E">
      <w:pPr>
        <w:spacing w:line="400" w:lineRule="exact"/>
        <w:ind w:firstLine="420" w:firstLineChars="200"/>
      </w:pPr>
      <w:r>
        <w:t>（7）根据合同约定应增加和扣减的其他金额。</w:t>
      </w:r>
    </w:p>
    <w:p w14:paraId="5798AB10">
      <w:pPr>
        <w:spacing w:line="400" w:lineRule="exact"/>
        <w:ind w:firstLine="420" w:firstLineChars="200"/>
      </w:pPr>
      <w:r>
        <w:t>12.4.3 进度付款申请单的提交</w:t>
      </w:r>
    </w:p>
    <w:p w14:paraId="2559D3B6">
      <w:pPr>
        <w:spacing w:line="400" w:lineRule="exact"/>
        <w:ind w:firstLine="420" w:firstLineChars="200"/>
      </w:pPr>
      <w:r>
        <w:t>（1）单价合同进度付款申请单的提交</w:t>
      </w:r>
    </w:p>
    <w:p w14:paraId="6273EFC4">
      <w:pPr>
        <w:spacing w:line="400" w:lineRule="exact"/>
        <w:ind w:firstLine="420" w:firstLineChars="200"/>
      </w:pPr>
      <w:r>
        <w:t>单价合同的进度付款申请单，按照第12.3.3项</w:t>
      </w:r>
      <w:r>
        <w:rPr>
          <w:rFonts w:hint="eastAsia"/>
        </w:rPr>
        <w:t>〔</w:t>
      </w:r>
      <w:r>
        <w:t>单价合同的计量</w:t>
      </w:r>
      <w:r>
        <w:rPr>
          <w:rFonts w:hint="eastAsia"/>
        </w:rPr>
        <w:t>〕</w:t>
      </w:r>
      <w:r>
        <w:t>约定的时间按月向监理人提交，并附上已完成工程量报表和有关资料。单价合同中的总价项目按月进行支付分解，并汇总列入当期进度付款申请单。</w:t>
      </w:r>
    </w:p>
    <w:p w14:paraId="055E936E">
      <w:pPr>
        <w:spacing w:line="400" w:lineRule="exact"/>
        <w:ind w:firstLine="420" w:firstLineChars="200"/>
      </w:pPr>
      <w:r>
        <w:t>（2）总价合同进度付款申请单的提交</w:t>
      </w:r>
    </w:p>
    <w:p w14:paraId="14B0D5A8">
      <w:pPr>
        <w:spacing w:line="400" w:lineRule="exact"/>
        <w:ind w:firstLine="420" w:firstLineChars="200"/>
      </w:pPr>
      <w:r>
        <w:t>总价合同按</w:t>
      </w:r>
      <w:r>
        <w:rPr>
          <w:rFonts w:hint="eastAsia"/>
        </w:rPr>
        <w:t>月计量支付的</w:t>
      </w:r>
      <w:r>
        <w:t>，承包人按照第12.3.4项</w:t>
      </w:r>
      <w:r>
        <w:rPr>
          <w:rFonts w:hint="eastAsia"/>
        </w:rPr>
        <w:t>〔</w:t>
      </w:r>
      <w:r>
        <w:t>总价合同的计量</w:t>
      </w:r>
      <w:r>
        <w:rPr>
          <w:rFonts w:hint="eastAsia"/>
        </w:rPr>
        <w:t>〕</w:t>
      </w:r>
      <w:r>
        <w:t>约定的时间按月向监理人提交进度付款申请单，并附上已完成工程量报表和有关资料。</w:t>
      </w:r>
    </w:p>
    <w:p w14:paraId="38DD0421">
      <w:pPr>
        <w:spacing w:line="400" w:lineRule="exact"/>
        <w:ind w:firstLine="420" w:firstLineChars="200"/>
      </w:pPr>
      <w:r>
        <w:t>总价合同按支付分解表支付的，承包人应按照第12.4.6项</w:t>
      </w:r>
      <w:r>
        <w:rPr>
          <w:rFonts w:hint="eastAsia"/>
        </w:rPr>
        <w:t>〔</w:t>
      </w:r>
      <w:r>
        <w:t>支付分解表</w:t>
      </w:r>
      <w:r>
        <w:rPr>
          <w:rFonts w:hint="eastAsia"/>
        </w:rPr>
        <w:t>〕</w:t>
      </w:r>
      <w:r>
        <w:t>及第12.4.2项</w:t>
      </w:r>
      <w:r>
        <w:rPr>
          <w:rFonts w:hint="eastAsia"/>
        </w:rPr>
        <w:t>〔</w:t>
      </w:r>
      <w:r>
        <w:t>进度付款申请单的编制</w:t>
      </w:r>
      <w:r>
        <w:rPr>
          <w:rFonts w:hint="eastAsia"/>
        </w:rPr>
        <w:t>〕</w:t>
      </w:r>
      <w:r>
        <w:t>的约定向监理人提交进度付款申请单。</w:t>
      </w:r>
    </w:p>
    <w:p w14:paraId="59712E3C">
      <w:pPr>
        <w:spacing w:line="400" w:lineRule="exact"/>
        <w:ind w:firstLine="420" w:firstLineChars="200"/>
      </w:pPr>
      <w:r>
        <w:t>（3）其他价格形式合同的进度付款申请单的提交</w:t>
      </w:r>
    </w:p>
    <w:p w14:paraId="70B4F2AB">
      <w:pPr>
        <w:spacing w:line="400" w:lineRule="exact"/>
        <w:ind w:firstLine="420" w:firstLineChars="200"/>
      </w:pPr>
      <w:r>
        <w:t>合同当事人可在专用合同条款中约定其他价格形式合同的进度付款申请单的编制和提交程序。</w:t>
      </w:r>
    </w:p>
    <w:p w14:paraId="508A7EA0">
      <w:pPr>
        <w:spacing w:line="400" w:lineRule="exact"/>
        <w:ind w:firstLine="420" w:firstLineChars="200"/>
      </w:pPr>
      <w:r>
        <w:t>12.4.4 进度款审核和支付</w:t>
      </w:r>
    </w:p>
    <w:p w14:paraId="7E4F77A5">
      <w:pPr>
        <w:spacing w:line="400" w:lineRule="exact"/>
        <w:ind w:firstLine="420" w:firstLineChars="200"/>
      </w:pPr>
      <w: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rPr>
        <w:t>审批</w:t>
      </w:r>
      <w:r>
        <w:t>且未提出异议的，视为已签发进度款支付证书。</w:t>
      </w:r>
    </w:p>
    <w:p w14:paraId="085DD3F5">
      <w:pPr>
        <w:spacing w:line="400" w:lineRule="exact"/>
        <w:ind w:firstLine="420" w:firstLineChars="200"/>
      </w:pPr>
      <w: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rPr>
        <w:t>〔</w:t>
      </w:r>
      <w:r>
        <w:t>争议解决</w:t>
      </w:r>
      <w:r>
        <w:rPr>
          <w:rFonts w:hint="eastAsia"/>
        </w:rPr>
        <w:t>〕</w:t>
      </w:r>
      <w:r>
        <w:t>的约定处理。</w:t>
      </w:r>
    </w:p>
    <w:p w14:paraId="0706558B">
      <w:pPr>
        <w:spacing w:line="400" w:lineRule="exact"/>
        <w:ind w:firstLine="420" w:firstLineChars="200"/>
      </w:pPr>
      <w:r>
        <w:t>（2）除专用合同条款另有约定外，发包人应在进度款支付证书或临时进度款支付证书签发后14天内完成支付，发包人逾期支付进度款的，应按照中国人民银行发布的同期同类贷款基准利率支付违约金。</w:t>
      </w:r>
    </w:p>
    <w:p w14:paraId="14F8E50D">
      <w:pPr>
        <w:spacing w:line="400" w:lineRule="exact"/>
        <w:ind w:firstLine="420" w:firstLineChars="200"/>
      </w:pPr>
      <w:r>
        <w:t>（3）发包人签发进度款支付证书或临时进度款支付证书，不表明发包人已同意、批准或接受了承包人完成的相应部分的工作。</w:t>
      </w:r>
    </w:p>
    <w:p w14:paraId="16101C52">
      <w:pPr>
        <w:spacing w:line="400" w:lineRule="exact"/>
        <w:ind w:firstLine="420" w:firstLineChars="200"/>
      </w:pPr>
      <w:r>
        <w:t>12.4.5 进度付款的修正</w:t>
      </w:r>
    </w:p>
    <w:p w14:paraId="0E9F5FD8">
      <w:pPr>
        <w:spacing w:line="400" w:lineRule="exact"/>
        <w:ind w:firstLine="420" w:firstLineChars="200"/>
      </w:pPr>
      <w:r>
        <w:t>在对已签发的进度款支付证书进行阶段汇总和复核中发现错误、遗漏或重复的，发包人和承包人均有权提出修正申请。经发包人和承包人同意的修正，应在下期进度付款中支付或扣除。</w:t>
      </w:r>
    </w:p>
    <w:p w14:paraId="3B41E604">
      <w:pPr>
        <w:spacing w:line="400" w:lineRule="exact"/>
        <w:ind w:firstLine="420" w:firstLineChars="200"/>
      </w:pPr>
      <w:r>
        <w:t>12.4.6 支付分解表</w:t>
      </w:r>
    </w:p>
    <w:p w14:paraId="5A7E5BA5">
      <w:pPr>
        <w:spacing w:line="400" w:lineRule="exact"/>
        <w:ind w:firstLine="420" w:firstLineChars="200"/>
      </w:pPr>
      <w:r>
        <w:t>1</w:t>
      </w:r>
      <w:r>
        <w:rPr>
          <w:rFonts w:hint="eastAsia"/>
        </w:rPr>
        <w:t>.</w:t>
      </w:r>
      <w:r>
        <w:t>支付分解表的编制要求</w:t>
      </w:r>
    </w:p>
    <w:p w14:paraId="71DFB6AB">
      <w:pPr>
        <w:spacing w:line="400" w:lineRule="exact"/>
        <w:ind w:firstLine="420" w:firstLineChars="200"/>
      </w:pPr>
      <w:r>
        <w:t>（1）支付分解表中所列的每期付款金额，应为第12.4.2项</w:t>
      </w:r>
      <w:r>
        <w:rPr>
          <w:rFonts w:hint="eastAsia"/>
        </w:rPr>
        <w:t>〔</w:t>
      </w:r>
      <w:r>
        <w:t>进度付款申请单的编制</w:t>
      </w:r>
      <w:r>
        <w:rPr>
          <w:rFonts w:hint="eastAsia"/>
        </w:rPr>
        <w:t>〕</w:t>
      </w:r>
      <w:r>
        <w:t>第（1）</w:t>
      </w:r>
      <w:r>
        <w:rPr>
          <w:rFonts w:hint="eastAsia"/>
        </w:rPr>
        <w:t>目</w:t>
      </w:r>
      <w:r>
        <w:t>的估算金额；</w:t>
      </w:r>
    </w:p>
    <w:p w14:paraId="02DB79AA">
      <w:pPr>
        <w:spacing w:line="400" w:lineRule="exact"/>
        <w:ind w:firstLine="420" w:firstLineChars="200"/>
      </w:pPr>
      <w:r>
        <w:t>（2）实际进度与施工进度计划不一致的，合同当事人可按照第4.4款</w:t>
      </w:r>
      <w:r>
        <w:rPr>
          <w:rFonts w:hint="eastAsia"/>
        </w:rPr>
        <w:t>〔</w:t>
      </w:r>
      <w:r>
        <w:t>商定或确定</w:t>
      </w:r>
      <w:r>
        <w:rPr>
          <w:rFonts w:hint="eastAsia"/>
        </w:rPr>
        <w:t>〕</w:t>
      </w:r>
      <w:r>
        <w:t>修改支付分解表；</w:t>
      </w:r>
    </w:p>
    <w:p w14:paraId="3EB3B3F6">
      <w:pPr>
        <w:spacing w:line="400" w:lineRule="exact"/>
        <w:ind w:firstLine="420" w:firstLineChars="200"/>
      </w:pPr>
      <w:r>
        <w:t>（3）不采用支付分解表的，承包人应向发包人和监理人提交按季度编制的支付估算分解表，用于支付参考。</w:t>
      </w:r>
    </w:p>
    <w:p w14:paraId="5F3DB069">
      <w:pPr>
        <w:spacing w:line="400" w:lineRule="exact"/>
        <w:ind w:firstLine="420" w:firstLineChars="200"/>
      </w:pPr>
      <w:r>
        <w:t>2</w:t>
      </w:r>
      <w:r>
        <w:rPr>
          <w:rFonts w:hint="eastAsia"/>
        </w:rPr>
        <w:t>.</w:t>
      </w:r>
      <w:r>
        <w:t>总价合同支付分解表的编制与审批</w:t>
      </w:r>
    </w:p>
    <w:p w14:paraId="6DC1B90E">
      <w:pPr>
        <w:spacing w:line="400" w:lineRule="exact"/>
        <w:ind w:firstLine="420" w:firstLineChars="200"/>
      </w:pPr>
      <w:r>
        <w:t>（1）除专用合同条款另有约定外，承包人应根据第7.2款</w:t>
      </w:r>
      <w:r>
        <w:rPr>
          <w:rFonts w:hint="eastAsia"/>
        </w:rPr>
        <w:t>〔</w:t>
      </w:r>
      <w:r>
        <w:t>施工进度计划</w:t>
      </w:r>
      <w:r>
        <w:rPr>
          <w:rFonts w:hint="eastAsia"/>
        </w:rPr>
        <w:t>〕</w:t>
      </w:r>
      <w: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E752394">
      <w:pPr>
        <w:spacing w:line="400" w:lineRule="exact"/>
        <w:ind w:firstLine="420" w:firstLineChars="200"/>
      </w:pPr>
      <w:r>
        <w:t>（2）监理人应在收到支付分解表后7天内完成审核并报送发包人。发包人应在收到经监理人审核的支付分解表后7天内完成审批，经发包人批准的支付分解表为有约束力的支付分解表。</w:t>
      </w:r>
    </w:p>
    <w:p w14:paraId="7DA7014D">
      <w:pPr>
        <w:spacing w:line="400" w:lineRule="exact"/>
        <w:ind w:firstLine="420" w:firstLineChars="200"/>
      </w:pPr>
      <w:r>
        <w:t>（3）发包人逾期未完成支付分解表</w:t>
      </w:r>
      <w:r>
        <w:rPr>
          <w:rFonts w:hint="eastAsia"/>
        </w:rPr>
        <w:t>审批</w:t>
      </w:r>
      <w:r>
        <w:t>的，也未及时要求承包人进行修正和提供补充资料的，则承包人提交的支付分解表视为已经获得发包人批准。</w:t>
      </w:r>
    </w:p>
    <w:p w14:paraId="35EB3912">
      <w:pPr>
        <w:spacing w:line="400" w:lineRule="exact"/>
        <w:ind w:firstLine="420" w:firstLineChars="200"/>
      </w:pPr>
      <w:r>
        <w:t>3</w:t>
      </w:r>
      <w:r>
        <w:rPr>
          <w:rFonts w:hint="eastAsia"/>
        </w:rPr>
        <w:t>.</w:t>
      </w:r>
      <w:r>
        <w:t>单价合同的总价项目支付分解表的编制与审批</w:t>
      </w:r>
    </w:p>
    <w:p w14:paraId="4905127C">
      <w:pPr>
        <w:spacing w:line="400" w:lineRule="exact"/>
        <w:ind w:firstLine="420" w:firstLineChars="200"/>
      </w:pPr>
      <w: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387343B5">
      <w:pPr>
        <w:pStyle w:val="20"/>
        <w:rPr>
          <w:b/>
        </w:rPr>
      </w:pPr>
      <w:bookmarkStart w:id="1717" w:name="_Toc351203585"/>
      <w:bookmarkStart w:id="1718" w:name="_Toc108514031"/>
      <w:r>
        <w:rPr>
          <w:b/>
        </w:rPr>
        <w:t>12.5支付账户</w:t>
      </w:r>
      <w:bookmarkEnd w:id="1717"/>
      <w:bookmarkEnd w:id="1718"/>
    </w:p>
    <w:p w14:paraId="1EB705B4">
      <w:pPr>
        <w:spacing w:line="400" w:lineRule="exact"/>
        <w:ind w:firstLine="420" w:firstLineChars="200"/>
      </w:pPr>
      <w:r>
        <w:t>发包人应将合同价款支付至合同协议书中约定的承包人账户。</w:t>
      </w:r>
    </w:p>
    <w:p w14:paraId="4FB8CC07">
      <w:pPr>
        <w:pStyle w:val="18"/>
        <w:rPr>
          <w:b/>
        </w:rPr>
      </w:pPr>
      <w:bookmarkStart w:id="1719" w:name="_Toc351203586"/>
      <w:bookmarkStart w:id="1720" w:name="_Toc108514032"/>
      <w:bookmarkStart w:id="1721" w:name="_Toc322522574"/>
      <w:bookmarkStart w:id="1722" w:name="_Toc296346607"/>
      <w:bookmarkStart w:id="1723" w:name="_Toc337558804"/>
      <w:bookmarkStart w:id="1724" w:name="_Toc296503106"/>
      <w:r>
        <w:rPr>
          <w:b/>
        </w:rPr>
        <w:t>13. 验收和工程试车</w:t>
      </w:r>
      <w:bookmarkEnd w:id="1719"/>
      <w:bookmarkEnd w:id="1720"/>
    </w:p>
    <w:bookmarkEnd w:id="1721"/>
    <w:bookmarkEnd w:id="1722"/>
    <w:bookmarkEnd w:id="1723"/>
    <w:bookmarkEnd w:id="1724"/>
    <w:p w14:paraId="4B34508B">
      <w:pPr>
        <w:pStyle w:val="20"/>
        <w:rPr>
          <w:b/>
        </w:rPr>
      </w:pPr>
      <w:bookmarkStart w:id="1725" w:name="_Toc351203587"/>
      <w:bookmarkStart w:id="1726" w:name="_Toc108514033"/>
      <w:bookmarkStart w:id="1727" w:name="_Toc337558805"/>
      <w:bookmarkStart w:id="1728" w:name="_Toc296503110"/>
      <w:bookmarkStart w:id="1729" w:name="_Toc296346611"/>
      <w:r>
        <w:rPr>
          <w:b/>
        </w:rPr>
        <w:t>13.1分部分项工程验收</w:t>
      </w:r>
      <w:bookmarkEnd w:id="1725"/>
      <w:bookmarkEnd w:id="1726"/>
    </w:p>
    <w:bookmarkEnd w:id="1727"/>
    <w:p w14:paraId="15446954">
      <w:pPr>
        <w:spacing w:line="400" w:lineRule="exact"/>
        <w:ind w:firstLine="420" w:firstLineChars="200"/>
      </w:pPr>
      <w:r>
        <w:t>13.1.1 分部分项工程质量应符合国家有关工程施工验收规范、标准及合同约定，承包人应按照施工组织设计的要求完成分部分项工程施工。</w:t>
      </w:r>
    </w:p>
    <w:p w14:paraId="36F8D0C5">
      <w:pPr>
        <w:spacing w:line="400" w:lineRule="exact"/>
        <w:ind w:firstLine="420" w:firstLineChars="200"/>
      </w:pPr>
      <w: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61CA593B">
      <w:pPr>
        <w:spacing w:line="400" w:lineRule="exact"/>
        <w:ind w:firstLine="420" w:firstLineChars="200"/>
      </w:pPr>
      <w:r>
        <w:t>分部分项工程的验收资料应当作为竣工资料的组成部分。</w:t>
      </w:r>
    </w:p>
    <w:p w14:paraId="216B5005">
      <w:pPr>
        <w:pStyle w:val="20"/>
        <w:rPr>
          <w:b/>
        </w:rPr>
      </w:pPr>
      <w:bookmarkStart w:id="1730" w:name="_Toc108514034"/>
      <w:bookmarkStart w:id="1731" w:name="_Toc351203588"/>
      <w:bookmarkStart w:id="1732" w:name="_Toc337558806"/>
      <w:r>
        <w:rPr>
          <w:b/>
        </w:rPr>
        <w:t>13.2竣工验收</w:t>
      </w:r>
      <w:bookmarkEnd w:id="1730"/>
      <w:bookmarkEnd w:id="1731"/>
    </w:p>
    <w:bookmarkEnd w:id="1728"/>
    <w:bookmarkEnd w:id="1729"/>
    <w:bookmarkEnd w:id="1732"/>
    <w:p w14:paraId="68B990A3">
      <w:pPr>
        <w:spacing w:line="400" w:lineRule="exact"/>
        <w:ind w:firstLine="420" w:firstLineChars="200"/>
      </w:pPr>
      <w:r>
        <w:t>13.2.1竣工验收条件</w:t>
      </w:r>
    </w:p>
    <w:p w14:paraId="07D3D629">
      <w:pPr>
        <w:spacing w:line="400" w:lineRule="exact"/>
        <w:ind w:firstLine="420" w:firstLineChars="200"/>
      </w:pPr>
      <w:r>
        <w:t>工程具备以下条件的，承包人可以申请竣工验收：</w:t>
      </w:r>
    </w:p>
    <w:p w14:paraId="5A161B67">
      <w:pPr>
        <w:spacing w:line="400" w:lineRule="exact"/>
        <w:ind w:firstLine="420" w:firstLineChars="200"/>
      </w:pPr>
      <w:r>
        <w:t>（1）除发包人同意的甩项</w:t>
      </w:r>
      <w:r>
        <w:rPr>
          <w:rFonts w:hint="eastAsia"/>
        </w:rPr>
        <w:t>工作</w:t>
      </w:r>
      <w:r>
        <w:t>和缺陷修补工作外，合同范围内的全部工程以及有关工作，包括合同要求的试验、试运行以及检验均已完成，并符合合同要求；</w:t>
      </w:r>
    </w:p>
    <w:p w14:paraId="02322AD8">
      <w:pPr>
        <w:spacing w:line="400" w:lineRule="exact"/>
        <w:ind w:firstLine="420" w:firstLineChars="200"/>
      </w:pPr>
      <w:r>
        <w:t>（2）已按合同约定编制了甩项</w:t>
      </w:r>
      <w:r>
        <w:rPr>
          <w:rFonts w:hint="eastAsia"/>
        </w:rPr>
        <w:t>工作</w:t>
      </w:r>
      <w:r>
        <w:t>和缺陷修补工作清单以及相应的施工计划；</w:t>
      </w:r>
    </w:p>
    <w:p w14:paraId="788AABA2">
      <w:pPr>
        <w:spacing w:line="400" w:lineRule="exact"/>
        <w:ind w:firstLine="420" w:firstLineChars="200"/>
      </w:pPr>
      <w:r>
        <w:t>（3）已按合同约定的内容和份数备齐竣工资料。</w:t>
      </w:r>
    </w:p>
    <w:p w14:paraId="08515DCF">
      <w:pPr>
        <w:spacing w:line="400" w:lineRule="exact"/>
        <w:ind w:firstLine="420" w:firstLineChars="200"/>
      </w:pPr>
      <w:r>
        <w:t>13.2.2竣工验收程序</w:t>
      </w:r>
    </w:p>
    <w:p w14:paraId="1867DF82">
      <w:pPr>
        <w:spacing w:line="400" w:lineRule="exact"/>
        <w:ind w:firstLine="420" w:firstLineChars="200"/>
      </w:pPr>
      <w:r>
        <w:t>除专用合同条款另有约定外，承包人申请竣工验收的，应当按照以下程序进行：</w:t>
      </w:r>
    </w:p>
    <w:p w14:paraId="4CA7AD0D">
      <w:pPr>
        <w:spacing w:line="400" w:lineRule="exact"/>
        <w:ind w:firstLine="420" w:firstLineChars="200"/>
      </w:pPr>
      <w: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226DF8BE">
      <w:pPr>
        <w:spacing w:line="400" w:lineRule="exact"/>
        <w:ind w:firstLine="420" w:firstLineChars="200"/>
      </w:pPr>
      <w:r>
        <w:t>（2）监理人审查后认为已具备竣工验收条件的，应将竣工验收申请报告提交发包人，发包人应在收到</w:t>
      </w:r>
      <w:r>
        <w:rPr>
          <w:rFonts w:hint="eastAsia"/>
        </w:rPr>
        <w:t>经</w:t>
      </w:r>
      <w:r>
        <w:t>监理人审核的竣工验收申请报告后28天内</w:t>
      </w:r>
      <w:r>
        <w:rPr>
          <w:rFonts w:hint="eastAsia"/>
        </w:rPr>
        <w:t>审批</w:t>
      </w:r>
      <w:r>
        <w:t>完毕并组织监理人、承包人、设计人等相关单位完成竣工验收。</w:t>
      </w:r>
    </w:p>
    <w:p w14:paraId="5D836D7B">
      <w:pPr>
        <w:spacing w:line="400" w:lineRule="exact"/>
        <w:ind w:firstLine="420" w:firstLineChars="200"/>
      </w:pPr>
      <w:r>
        <w:t>（3）竣工验收合格的，发包人应在验收合格后14天内向承包人签发工程接收证书。发包人无正当理由逾期不颁发工程接收证书的，自验收合格后第15天起视为已颁发工程接收证书。</w:t>
      </w:r>
    </w:p>
    <w:p w14:paraId="4E80E137">
      <w:pPr>
        <w:spacing w:line="400" w:lineRule="exact"/>
        <w:ind w:firstLine="420" w:firstLineChars="200"/>
      </w:pPr>
      <w: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BDE7F66">
      <w:pPr>
        <w:spacing w:line="400" w:lineRule="exact"/>
        <w:ind w:firstLine="420" w:firstLineChars="200"/>
      </w:pPr>
      <w:r>
        <w:t>（5）工程未经验收或验收不合格，发包人擅自使用的，应在转移占有工程后7天内向承包人颁发工程接收证书；发包人无正当理由逾期不颁发工程接收证书的，自转移占有后第15天起视为已颁发工程接收证书。</w:t>
      </w:r>
    </w:p>
    <w:p w14:paraId="18F003BA">
      <w:pPr>
        <w:spacing w:line="400" w:lineRule="exact"/>
        <w:ind w:firstLine="420" w:firstLineChars="200"/>
      </w:pPr>
      <w:r>
        <w:t>除专用合同条款另有约定外，发包人不按照本项约定组织竣工验收、颁发工程接收证书的，每逾期一天，应以签约合同价为基数，按照中国人民银行发布的同期同类贷款基准利率支付违约金。</w:t>
      </w:r>
    </w:p>
    <w:p w14:paraId="2E2DE1FB">
      <w:pPr>
        <w:spacing w:line="400" w:lineRule="exact"/>
        <w:ind w:firstLine="420" w:firstLineChars="200"/>
      </w:pPr>
      <w:r>
        <w:t>13.2.3竣工日期</w:t>
      </w:r>
    </w:p>
    <w:p w14:paraId="25039DD1">
      <w:pPr>
        <w:spacing w:line="400" w:lineRule="exact"/>
        <w:ind w:firstLine="420" w:firstLineChars="200"/>
      </w:pPr>
      <w:r>
        <w:t>工程经竣工验收合格的，以承包人提交竣工验收申请报告之日为实际竣工日期，并在工程接收证书中载明；因发包人原因，未在监理人收到承包人提交的竣工验收申请报告42天内完成</w:t>
      </w:r>
      <w:r>
        <w:rPr>
          <w:rFonts w:hint="eastAsia"/>
        </w:rPr>
        <w:t>竣工</w:t>
      </w:r>
      <w:r>
        <w:t>验收</w:t>
      </w:r>
      <w:r>
        <w:rPr>
          <w:rFonts w:hint="eastAsia"/>
        </w:rPr>
        <w:t>，或完成竣工验收不予签发工程接收证书</w:t>
      </w:r>
      <w:r>
        <w:t>的，以提交竣工验</w:t>
      </w:r>
      <w:bookmarkStart w:id="1733" w:name="#go14"/>
      <w:bookmarkEnd w:id="1733"/>
      <w:r>
        <w:t>收申请报告的日期为实际竣工日期；工程未经竣工验收，发包人擅自使用的，以转移占有工程之日为实际竣工日期。</w:t>
      </w:r>
    </w:p>
    <w:p w14:paraId="2D759205">
      <w:pPr>
        <w:spacing w:line="400" w:lineRule="exact"/>
        <w:ind w:firstLine="420" w:firstLineChars="200"/>
      </w:pPr>
      <w:r>
        <w:t>13.2.4 拒绝接收全部或部分工程</w:t>
      </w:r>
    </w:p>
    <w:p w14:paraId="2345E6D7">
      <w:pPr>
        <w:spacing w:line="400" w:lineRule="exact"/>
        <w:ind w:firstLine="420" w:firstLineChars="200"/>
      </w:pPr>
      <w:r>
        <w:t>对于竣工验收不合格的工程，承包人完成整改后，</w:t>
      </w:r>
      <w:r>
        <w:rPr>
          <w:rFonts w:hint="eastAsia"/>
        </w:rPr>
        <w:t>应当</w:t>
      </w:r>
      <w: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5D5E9604">
      <w:pPr>
        <w:spacing w:line="400" w:lineRule="exact"/>
        <w:ind w:firstLine="420" w:firstLineChars="200"/>
      </w:pPr>
      <w:r>
        <w:t>13.2.5 移交、接收全部与部分工程</w:t>
      </w:r>
    </w:p>
    <w:p w14:paraId="3D086CE0">
      <w:pPr>
        <w:spacing w:line="400" w:lineRule="exact"/>
        <w:ind w:firstLine="420" w:firstLineChars="200"/>
      </w:pPr>
      <w:r>
        <w:rPr>
          <w:rFonts w:hint="eastAsia"/>
        </w:rPr>
        <w:t>除专用合同条款另有约定外，</w:t>
      </w:r>
      <w:r>
        <w:t>合同当事人应当在颁发工程接收证书</w:t>
      </w:r>
      <w:r>
        <w:rPr>
          <w:rFonts w:hint="eastAsia"/>
        </w:rPr>
        <w:t>后7天内</w:t>
      </w:r>
      <w:r>
        <w:t>完成工程的移交。</w:t>
      </w:r>
    </w:p>
    <w:p w14:paraId="359D6488">
      <w:pPr>
        <w:spacing w:line="400" w:lineRule="exact"/>
        <w:ind w:firstLine="420" w:firstLineChars="200"/>
      </w:pPr>
      <w:r>
        <w:t>发包人无正当理由不接收工程的，发包人自</w:t>
      </w:r>
      <w:r>
        <w:rPr>
          <w:rFonts w:hint="eastAsia"/>
        </w:rPr>
        <w:t>应当接收工程</w:t>
      </w:r>
      <w:r>
        <w:t>之日起，承担工程照管、成品保护、保管等与工程有关的各项费用</w:t>
      </w:r>
      <w:r>
        <w:rPr>
          <w:rFonts w:hint="eastAsia"/>
        </w:rPr>
        <w:t>，合同当事人可以在专用合同条款中另行约定发包人逾期接收工程的违约责任</w:t>
      </w:r>
      <w:r>
        <w:t>。</w:t>
      </w:r>
    </w:p>
    <w:p w14:paraId="57D9238A">
      <w:pPr>
        <w:spacing w:line="400" w:lineRule="exact"/>
        <w:ind w:firstLine="420" w:firstLineChars="200"/>
      </w:pPr>
      <w:r>
        <w:t>承包人无正当理由不移交工程的，</w:t>
      </w:r>
      <w:r>
        <w:rPr>
          <w:rFonts w:hint="eastAsia"/>
        </w:rPr>
        <w:t>承包人应承担</w:t>
      </w:r>
      <w:r>
        <w:t>工程照管、成品保护、保管等与工程有关的各项费用</w:t>
      </w:r>
      <w:r>
        <w:rPr>
          <w:rFonts w:hint="eastAsia"/>
        </w:rPr>
        <w:t>，合同当事人可以在专用合同条款中另行约定承包人无正当理由不移交工程的违约责任</w:t>
      </w:r>
      <w:r>
        <w:t>。</w:t>
      </w:r>
    </w:p>
    <w:p w14:paraId="70907ED0">
      <w:pPr>
        <w:pStyle w:val="20"/>
        <w:rPr>
          <w:b/>
        </w:rPr>
      </w:pPr>
      <w:bookmarkStart w:id="1734" w:name="_Toc108514035"/>
      <w:bookmarkStart w:id="1735" w:name="_Toc351203589"/>
      <w:bookmarkStart w:id="1736" w:name="_Toc296346612"/>
      <w:bookmarkStart w:id="1737" w:name="_Toc296503111"/>
      <w:bookmarkStart w:id="1738" w:name="_Toc337558807"/>
      <w:r>
        <w:rPr>
          <w:b/>
        </w:rPr>
        <w:t>13.3工程试车</w:t>
      </w:r>
      <w:bookmarkEnd w:id="1734"/>
      <w:bookmarkEnd w:id="1735"/>
    </w:p>
    <w:bookmarkEnd w:id="1736"/>
    <w:bookmarkEnd w:id="1737"/>
    <w:bookmarkEnd w:id="1738"/>
    <w:p w14:paraId="21DA5E0E">
      <w:pPr>
        <w:spacing w:line="400" w:lineRule="exact"/>
        <w:ind w:firstLine="420" w:firstLineChars="200"/>
      </w:pPr>
      <w:r>
        <w:t>13.3.1试车程序</w:t>
      </w:r>
    </w:p>
    <w:p w14:paraId="028CC5AB">
      <w:pPr>
        <w:spacing w:line="400" w:lineRule="exact"/>
        <w:ind w:firstLine="420" w:firstLineChars="200"/>
      </w:pPr>
      <w:r>
        <w:t>工程需要试车的，除专用合同条款另有约定外，试车内容应与承包人承包范围相一致，试车费用由承包人承担。工程试车应按如下程序进行：</w:t>
      </w:r>
    </w:p>
    <w:p w14:paraId="784D35F3">
      <w:pPr>
        <w:spacing w:line="400" w:lineRule="exact"/>
        <w:ind w:firstLine="420" w:firstLineChars="200"/>
      </w:pPr>
      <w: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06D18B3D">
      <w:pPr>
        <w:spacing w:line="400" w:lineRule="exact"/>
        <w:ind w:firstLine="420" w:firstLineChars="200"/>
      </w:pPr>
      <w: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FD522F7">
      <w:pPr>
        <w:spacing w:line="400" w:lineRule="exact"/>
        <w:ind w:firstLine="420" w:firstLineChars="200"/>
      </w:pPr>
      <w: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563962BA">
      <w:pPr>
        <w:spacing w:line="400" w:lineRule="exact"/>
        <w:ind w:firstLine="420" w:firstLineChars="200"/>
      </w:pPr>
      <w:r>
        <w:t>13.3.2 试车中的责任</w:t>
      </w:r>
    </w:p>
    <w:p w14:paraId="7D59463E">
      <w:pPr>
        <w:spacing w:line="400" w:lineRule="exact"/>
        <w:ind w:firstLine="420" w:firstLineChars="200"/>
      </w:pPr>
      <w: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EC3160E">
      <w:pPr>
        <w:spacing w:line="400" w:lineRule="exact"/>
        <w:ind w:firstLine="420" w:firstLineChars="200"/>
      </w:pPr>
      <w: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5587240">
      <w:pPr>
        <w:spacing w:line="400" w:lineRule="exact"/>
        <w:ind w:firstLine="420" w:firstLineChars="200"/>
      </w:pPr>
      <w:r>
        <w:t>13.3.3 投料试车</w:t>
      </w:r>
    </w:p>
    <w:p w14:paraId="653F5DBE">
      <w:pPr>
        <w:spacing w:line="400" w:lineRule="exact"/>
        <w:ind w:firstLine="420" w:firstLineChars="200"/>
      </w:pPr>
      <w:r>
        <w:rPr>
          <w:rFonts w:hint="eastAsia"/>
        </w:rPr>
        <w:t>如需进行投料试车的，</w:t>
      </w:r>
      <w:r>
        <w:t>发包人</w:t>
      </w:r>
      <w:r>
        <w:rPr>
          <w:rFonts w:hint="eastAsia"/>
        </w:rPr>
        <w:t>应在</w:t>
      </w:r>
      <w:r>
        <w:t>工程竣工验收后</w:t>
      </w:r>
      <w:r>
        <w:rPr>
          <w:rFonts w:hint="eastAsia"/>
        </w:rPr>
        <w:t>组织</w:t>
      </w:r>
      <w:r>
        <w:t>投料试车</w:t>
      </w:r>
      <w:r>
        <w:rPr>
          <w:rFonts w:hint="eastAsia"/>
        </w:rPr>
        <w:t>。</w:t>
      </w:r>
      <w:r>
        <w:t>发包人要求在工程竣工验收前进行或需要承包人配合时，应征得承包人同意</w:t>
      </w:r>
      <w:r>
        <w:rPr>
          <w:rFonts w:hint="eastAsia"/>
        </w:rPr>
        <w:t>，并在专用合同条款中约定有关事项</w:t>
      </w:r>
      <w:r>
        <w:t>。</w:t>
      </w:r>
    </w:p>
    <w:p w14:paraId="1BD110C5">
      <w:pPr>
        <w:spacing w:line="400" w:lineRule="exact"/>
        <w:ind w:firstLine="420" w:firstLineChars="200"/>
      </w:pPr>
      <w:r>
        <w:t>投料试车合格的，费用由发包人承担；因承包人原因造成投料试车不合格的，承包人应按照发包人要求进行整改，由此产生的整改费用由承包人承担；非因承包人原因导致投料试车不合格的，</w:t>
      </w:r>
      <w:r>
        <w:rPr>
          <w:rFonts w:hint="eastAsia"/>
        </w:rPr>
        <w:t>如</w:t>
      </w:r>
      <w:r>
        <w:t>发包人要求承包人进行整改</w:t>
      </w:r>
      <w:r>
        <w:rPr>
          <w:rFonts w:hint="eastAsia"/>
        </w:rPr>
        <w:t>的</w:t>
      </w:r>
      <w:r>
        <w:t>，由此产生的费用由发包人承担。</w:t>
      </w:r>
    </w:p>
    <w:p w14:paraId="42FC83C6">
      <w:pPr>
        <w:pStyle w:val="20"/>
        <w:rPr>
          <w:b/>
        </w:rPr>
      </w:pPr>
      <w:bookmarkStart w:id="1739" w:name="_Toc108514036"/>
      <w:bookmarkStart w:id="1740" w:name="_Toc351203590"/>
      <w:bookmarkStart w:id="1741" w:name="_Toc337558808"/>
      <w:r>
        <w:rPr>
          <w:b/>
        </w:rPr>
        <w:t>13.4提前交付单位工程的验收</w:t>
      </w:r>
      <w:bookmarkEnd w:id="1739"/>
      <w:bookmarkEnd w:id="1740"/>
    </w:p>
    <w:bookmarkEnd w:id="1741"/>
    <w:p w14:paraId="503ABAD9">
      <w:pPr>
        <w:spacing w:line="400" w:lineRule="exact"/>
        <w:ind w:firstLine="420" w:firstLineChars="200"/>
      </w:pPr>
      <w:r>
        <w:t>13.4.1 发包人需要在工程竣工前使用单位工程的，或承包人提出提前交付已经竣工的单位工程且经发包人同意的，可进行单位工程验收，验收的程序按照第13.2款</w:t>
      </w:r>
      <w:r>
        <w:rPr>
          <w:rFonts w:hint="eastAsia"/>
        </w:rPr>
        <w:t>〔</w:t>
      </w:r>
      <w:r>
        <w:t>竣工验收</w:t>
      </w:r>
      <w:r>
        <w:rPr>
          <w:rFonts w:hint="eastAsia"/>
        </w:rPr>
        <w:t>〕</w:t>
      </w:r>
      <w:r>
        <w:t>的约定进行。</w:t>
      </w:r>
    </w:p>
    <w:p w14:paraId="6738BD87">
      <w:pPr>
        <w:spacing w:line="400" w:lineRule="exact"/>
        <w:ind w:firstLine="420" w:firstLineChars="200"/>
      </w:pPr>
      <w:r>
        <w:t>验收合格后，由监理人向承包人出具经发包人签认的单位工程接收证书。已签发单位工程接收证书的单位工程由发包人负责照管。单位工程的验收成果和结论作为整体工程竣工验收申请报告的附件。</w:t>
      </w:r>
    </w:p>
    <w:p w14:paraId="204AEBD6">
      <w:pPr>
        <w:spacing w:line="400" w:lineRule="exact"/>
        <w:ind w:firstLine="420" w:firstLineChars="200"/>
      </w:pPr>
      <w:r>
        <w:t>13.4.2 发包人要求在工程竣工前交付单位工程，由此导致承包人费用增加和（或）工期延误的，由发包人承担由此增加的费用和（或）延误的工期，并支付承包人合理的利润。</w:t>
      </w:r>
    </w:p>
    <w:p w14:paraId="16162B67">
      <w:pPr>
        <w:pStyle w:val="20"/>
        <w:rPr>
          <w:b/>
        </w:rPr>
      </w:pPr>
      <w:bookmarkStart w:id="1742" w:name="_Toc108514037"/>
      <w:bookmarkStart w:id="1743" w:name="_Toc351203591"/>
      <w:r>
        <w:rPr>
          <w:b/>
        </w:rPr>
        <w:t>13.5 施工期运行</w:t>
      </w:r>
      <w:bookmarkEnd w:id="1742"/>
      <w:bookmarkEnd w:id="1743"/>
    </w:p>
    <w:p w14:paraId="752799FE">
      <w:pPr>
        <w:spacing w:line="400" w:lineRule="exact"/>
        <w:ind w:firstLine="420" w:firstLineChars="200"/>
      </w:pPr>
      <w:r>
        <w:t>13.5.1 施工期运行是指合同工程尚未全部竣工，其中某项或某几项单位工程或工程设备安装已竣工，根据专用合同条款约定，需要投入施工期运行的，经发包人按第13.4款</w:t>
      </w:r>
      <w:r>
        <w:rPr>
          <w:rFonts w:hint="eastAsia"/>
        </w:rPr>
        <w:t>〔</w:t>
      </w:r>
      <w:r>
        <w:t>提前交付单位工程的验收</w:t>
      </w:r>
      <w:r>
        <w:rPr>
          <w:rFonts w:hint="eastAsia"/>
        </w:rPr>
        <w:t>〕</w:t>
      </w:r>
      <w:r>
        <w:t>的约定验收合格，证明能确保安全后，才能在施工期投入运行。</w:t>
      </w:r>
    </w:p>
    <w:p w14:paraId="710B2104">
      <w:pPr>
        <w:spacing w:line="400" w:lineRule="exact"/>
        <w:ind w:firstLine="420" w:firstLineChars="200"/>
        <w:rPr>
          <w:rFonts w:hint="eastAsia"/>
        </w:rPr>
      </w:pPr>
      <w:r>
        <w:t>13.5.2 在施工期运行中发现工程或工程设备损坏或存在缺陷的，由承包人按第15.2款</w:t>
      </w:r>
      <w:r>
        <w:rPr>
          <w:rFonts w:hint="eastAsia"/>
        </w:rPr>
        <w:t>〔</w:t>
      </w:r>
      <w:r>
        <w:t>缺陷责任期</w:t>
      </w:r>
      <w:r>
        <w:rPr>
          <w:rFonts w:hint="eastAsia"/>
        </w:rPr>
        <w:t>〕</w:t>
      </w:r>
      <w:r>
        <w:t>约定进行修复。</w:t>
      </w:r>
    </w:p>
    <w:p w14:paraId="1782C3C9">
      <w:pPr>
        <w:pStyle w:val="20"/>
        <w:rPr>
          <w:b/>
        </w:rPr>
      </w:pPr>
      <w:bookmarkStart w:id="1744" w:name="_Toc296503112"/>
      <w:bookmarkStart w:id="1745" w:name="_Toc296346613"/>
      <w:bookmarkStart w:id="1746" w:name="_Toc351203592"/>
      <w:bookmarkStart w:id="1747" w:name="_Toc108514038"/>
      <w:bookmarkStart w:id="1748" w:name="_Toc337558809"/>
      <w:r>
        <w:rPr>
          <w:b/>
        </w:rPr>
        <w:t>13.6 竣工退</w:t>
      </w:r>
      <w:bookmarkEnd w:id="1744"/>
      <w:bookmarkEnd w:id="1745"/>
      <w:r>
        <w:rPr>
          <w:b/>
        </w:rPr>
        <w:t>场</w:t>
      </w:r>
      <w:bookmarkEnd w:id="1746"/>
      <w:bookmarkEnd w:id="1747"/>
    </w:p>
    <w:bookmarkEnd w:id="1748"/>
    <w:p w14:paraId="392394FB">
      <w:pPr>
        <w:spacing w:line="400" w:lineRule="exact"/>
        <w:ind w:firstLine="420" w:firstLineChars="200"/>
      </w:pPr>
      <w:r>
        <w:t>13.6.1 竣工退场</w:t>
      </w:r>
    </w:p>
    <w:p w14:paraId="283EB8E3">
      <w:pPr>
        <w:spacing w:line="400" w:lineRule="exact"/>
        <w:ind w:firstLine="420" w:firstLineChars="200"/>
      </w:pPr>
      <w:r>
        <w:t>颁发工程接收证书后，承包人应按以下要求对施工现场进行清理：</w:t>
      </w:r>
    </w:p>
    <w:p w14:paraId="301B331A">
      <w:pPr>
        <w:spacing w:line="400" w:lineRule="exact"/>
        <w:ind w:firstLine="420" w:firstLineChars="200"/>
      </w:pPr>
      <w:r>
        <w:t>（1）施工现场内残留的垃圾已全部清除出场；</w:t>
      </w:r>
    </w:p>
    <w:p w14:paraId="125BB69E">
      <w:pPr>
        <w:spacing w:line="400" w:lineRule="exact"/>
        <w:ind w:firstLine="420" w:firstLineChars="200"/>
      </w:pPr>
      <w:r>
        <w:t>（2）临时工程已拆除，场地已进行清理、平整或复原；</w:t>
      </w:r>
    </w:p>
    <w:p w14:paraId="1221E582">
      <w:pPr>
        <w:spacing w:line="400" w:lineRule="exact"/>
        <w:ind w:firstLine="420" w:firstLineChars="200"/>
      </w:pPr>
      <w:r>
        <w:t>（3）按合同约定应撤离的人员、承包人施工设备和剩余的材料，包括废弃的施工设备和材料，已按计划撤离施工现场；</w:t>
      </w:r>
    </w:p>
    <w:p w14:paraId="00FE93CE">
      <w:pPr>
        <w:spacing w:line="400" w:lineRule="exact"/>
        <w:ind w:firstLine="420" w:firstLineChars="200"/>
      </w:pPr>
      <w:r>
        <w:t>（4）施工现场周边及其附近道路、河道的施工堆积物，已全部清理；</w:t>
      </w:r>
    </w:p>
    <w:p w14:paraId="70BF8A16">
      <w:pPr>
        <w:spacing w:line="400" w:lineRule="exact"/>
        <w:ind w:firstLine="420" w:firstLineChars="200"/>
      </w:pPr>
      <w:r>
        <w:t>（5）施工现场其他场地清理工作已全部完成。</w:t>
      </w:r>
    </w:p>
    <w:p w14:paraId="3C3A9BE1">
      <w:pPr>
        <w:spacing w:line="400" w:lineRule="exact"/>
        <w:ind w:firstLine="420" w:firstLineChars="200"/>
      </w:pPr>
      <w: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7FC03E99">
      <w:pPr>
        <w:spacing w:line="400" w:lineRule="exact"/>
        <w:ind w:firstLine="420" w:firstLineChars="200"/>
      </w:pPr>
      <w:r>
        <w:t>13.6.2 地表还原</w:t>
      </w:r>
    </w:p>
    <w:p w14:paraId="0AFD8071">
      <w:pPr>
        <w:spacing w:line="400" w:lineRule="exact"/>
        <w:ind w:firstLine="420" w:firstLineChars="200"/>
      </w:pPr>
      <w:r>
        <w:t>承包人应按发包人要求恢复临时占地及清理场地，承包人未按发包人的要求恢复临时占地，或者场地清理未达到合同约定要求的，发包人有权委托其他人恢复或清理，所发生的费用由承包人承担。</w:t>
      </w:r>
    </w:p>
    <w:p w14:paraId="0319662B">
      <w:pPr>
        <w:pStyle w:val="18"/>
        <w:rPr>
          <w:b/>
        </w:rPr>
      </w:pPr>
      <w:bookmarkStart w:id="1749" w:name="_Toc351203593"/>
      <w:bookmarkStart w:id="1750" w:name="_Toc108514039"/>
      <w:bookmarkStart w:id="1751" w:name="_Toc337558810"/>
      <w:bookmarkStart w:id="1752" w:name="_Toc296346614"/>
      <w:bookmarkStart w:id="1753" w:name="_Toc296503113"/>
      <w:r>
        <w:rPr>
          <w:b/>
        </w:rPr>
        <w:t>14. 竣工结算</w:t>
      </w:r>
      <w:bookmarkEnd w:id="1749"/>
      <w:bookmarkEnd w:id="1750"/>
    </w:p>
    <w:bookmarkEnd w:id="1751"/>
    <w:p w14:paraId="7F2B266F">
      <w:pPr>
        <w:pStyle w:val="20"/>
        <w:rPr>
          <w:b/>
        </w:rPr>
      </w:pPr>
      <w:bookmarkStart w:id="1754" w:name="_Toc108514040"/>
      <w:bookmarkStart w:id="1755" w:name="_Toc351203594"/>
      <w:bookmarkStart w:id="1756" w:name="_Toc337558811"/>
      <w:r>
        <w:rPr>
          <w:b/>
        </w:rPr>
        <w:t>14.1 竣工结算申请</w:t>
      </w:r>
      <w:bookmarkEnd w:id="1754"/>
      <w:bookmarkEnd w:id="1755"/>
    </w:p>
    <w:bookmarkEnd w:id="1756"/>
    <w:p w14:paraId="3C64B289">
      <w:pPr>
        <w:spacing w:line="400" w:lineRule="exact"/>
        <w:ind w:firstLine="420" w:firstLineChars="200"/>
      </w:pPr>
      <w:r>
        <w:t>除专用合同条款另有约定外，承包人应在工程竣工验收合格后28天内向发包人和监理人提交竣工结算申请单，并提交完整的结算资料，</w:t>
      </w:r>
      <w:r>
        <w:rPr>
          <w:rFonts w:hint="eastAsia"/>
        </w:rPr>
        <w:t>有关</w:t>
      </w:r>
      <w:r>
        <w:t>竣工结算申请单</w:t>
      </w:r>
      <w:r>
        <w:rPr>
          <w:rFonts w:hint="eastAsia"/>
        </w:rPr>
        <w:t>的资料清单和</w:t>
      </w:r>
      <w:r>
        <w:t>份数</w:t>
      </w:r>
      <w:r>
        <w:rPr>
          <w:rFonts w:hint="eastAsia"/>
        </w:rPr>
        <w:t>等要求</w:t>
      </w:r>
      <w:r>
        <w:t>由合同当事人在专用合同条款中约定。</w:t>
      </w:r>
    </w:p>
    <w:p w14:paraId="69C31026">
      <w:pPr>
        <w:spacing w:line="400" w:lineRule="exact"/>
        <w:ind w:firstLine="420" w:firstLineChars="200"/>
      </w:pPr>
      <w:r>
        <w:t>除专用合同条款另有约定外，竣工结算申请单应包括以下内容：</w:t>
      </w:r>
    </w:p>
    <w:p w14:paraId="6CC6A14C">
      <w:pPr>
        <w:spacing w:line="400" w:lineRule="exact"/>
        <w:ind w:firstLine="420" w:firstLineChars="200"/>
      </w:pPr>
      <w:r>
        <w:t>（1）竣工结算合同价格；</w:t>
      </w:r>
    </w:p>
    <w:p w14:paraId="4CA680F0">
      <w:pPr>
        <w:spacing w:line="400" w:lineRule="exact"/>
        <w:ind w:firstLine="420" w:firstLineChars="200"/>
      </w:pPr>
      <w:r>
        <w:t>（2）发包人已支付承包人的款项；</w:t>
      </w:r>
    </w:p>
    <w:p w14:paraId="5A89CAB9">
      <w:pPr>
        <w:spacing w:line="400" w:lineRule="exact"/>
        <w:ind w:firstLine="420" w:firstLineChars="200"/>
      </w:pPr>
      <w:r>
        <w:t>（3）应扣留的质量保证金</w:t>
      </w:r>
      <w:r>
        <w:rPr>
          <w:rFonts w:hint="eastAsia"/>
        </w:rPr>
        <w:t>。已缴纳履约保证金的或提供其他工程质量担保方式的除外</w:t>
      </w:r>
      <w:r>
        <w:t xml:space="preserve">； </w:t>
      </w:r>
    </w:p>
    <w:p w14:paraId="39BBF66C">
      <w:pPr>
        <w:spacing w:line="400" w:lineRule="exact"/>
        <w:ind w:firstLine="420" w:firstLineChars="200"/>
      </w:pPr>
      <w:r>
        <w:t>（4）发包人应支付承包人的合同价款。</w:t>
      </w:r>
    </w:p>
    <w:p w14:paraId="16B4528D">
      <w:pPr>
        <w:pStyle w:val="20"/>
        <w:rPr>
          <w:b/>
        </w:rPr>
      </w:pPr>
      <w:bookmarkStart w:id="1757" w:name="_Toc351203595"/>
      <w:bookmarkStart w:id="1758" w:name="_Toc108514041"/>
      <w:bookmarkStart w:id="1759" w:name="_Toc337558812"/>
      <w:r>
        <w:rPr>
          <w:b/>
        </w:rPr>
        <w:t>14.2 竣工结算审核</w:t>
      </w:r>
      <w:bookmarkEnd w:id="1757"/>
      <w:bookmarkEnd w:id="1758"/>
    </w:p>
    <w:bookmarkEnd w:id="1759"/>
    <w:p w14:paraId="7EB10AEA">
      <w:pPr>
        <w:spacing w:line="400" w:lineRule="exact"/>
        <w:ind w:firstLine="420" w:firstLineChars="200"/>
      </w:pPr>
      <w:r>
        <w:t>（1）除专用合同条款另有约定外，监理人应在收到竣工结算申请单后14天内完成核查并报送发包人。发包人应在收到监理人提交的经审核的竣工结算申请单后14天内完成</w:t>
      </w:r>
      <w:r>
        <w:rPr>
          <w:rFonts w:hint="eastAsia"/>
        </w:rPr>
        <w:t>审批</w:t>
      </w:r>
      <w:r>
        <w:t>，并由监理人向承包人签发经发包人签认的竣工付款证书。监理人或发包人对竣工结算申请单有异议的，有权要求承包人进行修正和提供补充资料，承包人应提交修正后的竣工结算申请单。</w:t>
      </w:r>
    </w:p>
    <w:p w14:paraId="1A3FA241">
      <w:pPr>
        <w:spacing w:line="400" w:lineRule="exact"/>
        <w:ind w:firstLine="420" w:firstLineChars="200"/>
      </w:pPr>
      <w:r>
        <w:t>发包人在收到承包人提交竣工结算申请书后28天</w:t>
      </w:r>
      <w:r>
        <w:rPr>
          <w:rFonts w:hint="eastAsia"/>
        </w:rPr>
        <w:t>内</w:t>
      </w:r>
      <w:r>
        <w:t>未完成</w:t>
      </w:r>
      <w:r>
        <w:rPr>
          <w:rFonts w:hint="eastAsia"/>
        </w:rPr>
        <w:t>审批</w:t>
      </w:r>
      <w:r>
        <w:t>且未提出异议的，视为发包人认可承包人提交的竣工结算申请单，并自发包人收到承包人提交的竣工结算申请单后第29天起视为已签发竣工付款证书。</w:t>
      </w:r>
    </w:p>
    <w:p w14:paraId="60F04039">
      <w:pPr>
        <w:spacing w:line="400" w:lineRule="exact"/>
        <w:ind w:firstLine="420" w:firstLineChars="200"/>
      </w:pPr>
      <w: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7642B943">
      <w:pPr>
        <w:spacing w:line="400" w:lineRule="exact"/>
        <w:ind w:firstLine="420" w:firstLineChars="200"/>
      </w:pPr>
      <w:r>
        <w:t>（3）承包人对发包人签认的竣工付款证书有异议的，对于有异议部分应在收到发包人签认的竣工付款证书后7天内提出异议，并由合同当事人按照专用合同条款约定</w:t>
      </w:r>
      <w:r>
        <w:rPr>
          <w:rFonts w:hint="eastAsia"/>
        </w:rPr>
        <w:t>的方式和程序</w:t>
      </w:r>
      <w:r>
        <w:t>进行复核，或按照第20条</w:t>
      </w:r>
      <w:r>
        <w:rPr>
          <w:rFonts w:hint="eastAsia"/>
        </w:rPr>
        <w:t>〔</w:t>
      </w:r>
      <w:r>
        <w:t>争议解决</w:t>
      </w:r>
      <w:r>
        <w:rPr>
          <w:rFonts w:hint="eastAsia"/>
        </w:rPr>
        <w:t>〕</w:t>
      </w:r>
      <w:r>
        <w:t>约定处理。对于无异议部分，发包人应签发临时竣工付款证书，并按本款第（2）项完成付款</w:t>
      </w:r>
      <w:r>
        <w:rPr>
          <w:rFonts w:hint="eastAsia"/>
        </w:rPr>
        <w:t>。</w:t>
      </w:r>
      <w:r>
        <w:t>承包人逾期未提出异议的，视为认可发包人的</w:t>
      </w:r>
      <w:r>
        <w:rPr>
          <w:rFonts w:hint="eastAsia"/>
        </w:rPr>
        <w:t>审批</w:t>
      </w:r>
      <w:r>
        <w:t>结果。</w:t>
      </w:r>
    </w:p>
    <w:p w14:paraId="193FF6BA">
      <w:pPr>
        <w:pStyle w:val="20"/>
        <w:rPr>
          <w:b/>
        </w:rPr>
      </w:pPr>
      <w:bookmarkStart w:id="1760" w:name="_Toc351203596"/>
      <w:bookmarkStart w:id="1761" w:name="_Toc108514042"/>
      <w:bookmarkStart w:id="1762" w:name="_Toc337558813"/>
      <w:r>
        <w:rPr>
          <w:b/>
        </w:rPr>
        <w:t>14.3 甩项竣工协议</w:t>
      </w:r>
      <w:bookmarkEnd w:id="1760"/>
      <w:bookmarkEnd w:id="1761"/>
    </w:p>
    <w:bookmarkEnd w:id="1762"/>
    <w:p w14:paraId="019A4383">
      <w:pPr>
        <w:spacing w:line="400" w:lineRule="exact"/>
        <w:ind w:firstLine="420" w:firstLineChars="200"/>
      </w:pPr>
      <w:r>
        <w:t>发包人要求甩项竣工的，合同当事人应签订甩项竣工协议。在甩项竣工协议中应明确，合同当事人按照第14.1款</w:t>
      </w:r>
      <w:r>
        <w:rPr>
          <w:rFonts w:hint="eastAsia"/>
        </w:rPr>
        <w:t>〔</w:t>
      </w:r>
      <w:r>
        <w:t>竣工</w:t>
      </w:r>
      <w:r>
        <w:rPr>
          <w:rFonts w:hint="eastAsia"/>
        </w:rPr>
        <w:t>结算</w:t>
      </w:r>
      <w:r>
        <w:t>申请</w:t>
      </w:r>
      <w:r>
        <w:rPr>
          <w:rFonts w:hint="eastAsia"/>
        </w:rPr>
        <w:t>〕</w:t>
      </w:r>
      <w:r>
        <w:t>及14.2款</w:t>
      </w:r>
      <w:r>
        <w:rPr>
          <w:rFonts w:hint="eastAsia"/>
        </w:rPr>
        <w:t>〔</w:t>
      </w:r>
      <w:r>
        <w:t>竣工结算审核</w:t>
      </w:r>
      <w:r>
        <w:rPr>
          <w:rFonts w:hint="eastAsia"/>
        </w:rPr>
        <w:t>〕</w:t>
      </w:r>
      <w:r>
        <w:t>的约定，</w:t>
      </w:r>
      <w:r>
        <w:rPr>
          <w:rFonts w:hint="eastAsia"/>
        </w:rPr>
        <w:t>对已</w:t>
      </w:r>
      <w:r>
        <w:t>完合格工程</w:t>
      </w:r>
      <w:r>
        <w:rPr>
          <w:rFonts w:hint="eastAsia"/>
        </w:rPr>
        <w:t>进行</w:t>
      </w:r>
      <w:r>
        <w:t>结算，并支付相应</w:t>
      </w:r>
      <w:r>
        <w:rPr>
          <w:rFonts w:hint="eastAsia"/>
        </w:rPr>
        <w:t>合同</w:t>
      </w:r>
      <w:r>
        <w:t>价款。</w:t>
      </w:r>
    </w:p>
    <w:p w14:paraId="069FD08F">
      <w:pPr>
        <w:pStyle w:val="20"/>
        <w:rPr>
          <w:b/>
        </w:rPr>
      </w:pPr>
      <w:bookmarkStart w:id="1763" w:name="_Toc351203597"/>
      <w:bookmarkStart w:id="1764" w:name="_Toc108514043"/>
      <w:bookmarkStart w:id="1765" w:name="_Toc337558814"/>
      <w:r>
        <w:rPr>
          <w:b/>
        </w:rPr>
        <w:t>14.4 最终结清</w:t>
      </w:r>
      <w:bookmarkEnd w:id="1763"/>
      <w:bookmarkEnd w:id="1764"/>
    </w:p>
    <w:bookmarkEnd w:id="1765"/>
    <w:p w14:paraId="4CB83F2A">
      <w:pPr>
        <w:spacing w:line="400" w:lineRule="exact"/>
        <w:ind w:firstLine="420" w:firstLineChars="200"/>
      </w:pPr>
      <w:r>
        <w:t>14.4.1 最终结清申请单</w:t>
      </w:r>
    </w:p>
    <w:p w14:paraId="439738D8">
      <w:pPr>
        <w:spacing w:line="400" w:lineRule="exact"/>
        <w:ind w:firstLine="420" w:firstLineChars="200"/>
      </w:pPr>
      <w:r>
        <w:t>（1）除专用合同条款另有约定外，承包人应在缺陷责任期终止证书颁发后7天内，按专用合同条款约定的份数向发包人提交最终结清申请单，并提供相关证明材料。</w:t>
      </w:r>
    </w:p>
    <w:p w14:paraId="0F849292">
      <w:pPr>
        <w:spacing w:line="400" w:lineRule="exact"/>
        <w:ind w:firstLine="420" w:firstLineChars="200"/>
      </w:pPr>
      <w:r>
        <w:t>除专用合同条款另有约定外，最终结清申请单应列明质量保证金、应扣除的质量保证金、缺陷责任期内发生的增减费用。</w:t>
      </w:r>
    </w:p>
    <w:p w14:paraId="68A4A3DA">
      <w:pPr>
        <w:spacing w:line="400" w:lineRule="exact"/>
        <w:ind w:firstLine="420" w:firstLineChars="200"/>
      </w:pPr>
      <w:r>
        <w:t>（2）发包人对最终结清申请单内容有异议的，有权要求承包人进行修正和提供补充资料，承包人应向发包人提交修正后的最终结清申请单。</w:t>
      </w:r>
    </w:p>
    <w:p w14:paraId="63B8E069">
      <w:pPr>
        <w:spacing w:line="400" w:lineRule="exact"/>
        <w:ind w:firstLine="420" w:firstLineChars="200"/>
      </w:pPr>
      <w:r>
        <w:t>14.4.2 最终结清证书和支付</w:t>
      </w:r>
    </w:p>
    <w:p w14:paraId="0DF1D0BA">
      <w:pPr>
        <w:spacing w:line="400" w:lineRule="exact"/>
        <w:ind w:firstLine="420" w:firstLineChars="200"/>
      </w:pPr>
      <w:r>
        <w:t>（1）除专用合同条款另有约定外，发包人应在收到承包人提交的最终结清申请单后14天内完成审批并向承包人颁发最终结清证书。发包人逾期未完成</w:t>
      </w:r>
      <w:r>
        <w:rPr>
          <w:rFonts w:hint="eastAsia"/>
        </w:rPr>
        <w:t>审批</w:t>
      </w:r>
      <w:r>
        <w:t>，又未提出修改意见的，视为发包人同意承包人提交的最终结清申请单，且自发包人收到承包人提交的最终结清申请单后15天起视为已颁发最终结清证书。</w:t>
      </w:r>
    </w:p>
    <w:p w14:paraId="021506C3">
      <w:pPr>
        <w:spacing w:line="400" w:lineRule="exact"/>
        <w:ind w:firstLine="420" w:firstLineChars="200"/>
      </w:pPr>
      <w: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332B4A99">
      <w:pPr>
        <w:spacing w:line="400" w:lineRule="exact"/>
        <w:ind w:firstLine="420" w:firstLineChars="200"/>
      </w:pPr>
      <w:r>
        <w:t>（3）承包人对发包人颁发的最终结清证书有异议的，按第20条</w:t>
      </w:r>
      <w:r>
        <w:rPr>
          <w:rFonts w:hint="eastAsia"/>
        </w:rPr>
        <w:t>〔</w:t>
      </w:r>
      <w:r>
        <w:t>争议解决</w:t>
      </w:r>
      <w:r>
        <w:rPr>
          <w:rFonts w:hint="eastAsia"/>
        </w:rPr>
        <w:t>〕</w:t>
      </w:r>
      <w:r>
        <w:t>的约定办理。</w:t>
      </w:r>
    </w:p>
    <w:p w14:paraId="5C0497FD">
      <w:pPr>
        <w:pStyle w:val="18"/>
        <w:rPr>
          <w:b/>
        </w:rPr>
      </w:pPr>
      <w:bookmarkStart w:id="1766" w:name="_Toc108514044"/>
      <w:bookmarkStart w:id="1767" w:name="_Toc351203598"/>
      <w:bookmarkStart w:id="1768" w:name="_Toc337558815"/>
      <w:r>
        <w:rPr>
          <w:b/>
        </w:rPr>
        <w:t>15. 缺陷责任与保修</w:t>
      </w:r>
      <w:bookmarkEnd w:id="1766"/>
      <w:bookmarkEnd w:id="1767"/>
    </w:p>
    <w:bookmarkEnd w:id="1752"/>
    <w:bookmarkEnd w:id="1753"/>
    <w:bookmarkEnd w:id="1768"/>
    <w:p w14:paraId="1669C796">
      <w:pPr>
        <w:pStyle w:val="20"/>
        <w:rPr>
          <w:b/>
        </w:rPr>
      </w:pPr>
      <w:bookmarkStart w:id="1769" w:name="_Toc351203599"/>
      <w:bookmarkStart w:id="1770" w:name="_Toc108514045"/>
      <w:bookmarkStart w:id="1771" w:name="_Toc337558816"/>
      <w:bookmarkStart w:id="1772" w:name="_Toc296346615"/>
      <w:bookmarkStart w:id="1773" w:name="_Toc296503114"/>
      <w:r>
        <w:rPr>
          <w:b/>
        </w:rPr>
        <w:t>15.1 工程保修的原则</w:t>
      </w:r>
      <w:bookmarkEnd w:id="1769"/>
      <w:bookmarkEnd w:id="1770"/>
    </w:p>
    <w:bookmarkEnd w:id="1771"/>
    <w:p w14:paraId="7EC8C56C">
      <w:pPr>
        <w:spacing w:line="400" w:lineRule="exact"/>
        <w:ind w:firstLine="420" w:firstLineChars="200"/>
      </w:pPr>
      <w:r>
        <w:t>在工程移交发包人后，因承包人原因产生的质量缺陷，承包人应承担质量缺陷责任和保修义务。缺陷责任期届满，承包人仍应按合同约定的工程各部位保修年限承担保修义务。</w:t>
      </w:r>
    </w:p>
    <w:p w14:paraId="2BFA3BBB">
      <w:pPr>
        <w:pStyle w:val="20"/>
        <w:rPr>
          <w:b/>
        </w:rPr>
      </w:pPr>
      <w:bookmarkStart w:id="1774" w:name="_Toc351203600"/>
      <w:bookmarkStart w:id="1775" w:name="_Toc108514046"/>
      <w:bookmarkStart w:id="1776" w:name="_Toc337558817"/>
      <w:r>
        <w:rPr>
          <w:b/>
        </w:rPr>
        <w:t>15.2 缺陷责任期</w:t>
      </w:r>
      <w:bookmarkEnd w:id="1772"/>
      <w:bookmarkEnd w:id="1773"/>
      <w:bookmarkEnd w:id="1774"/>
      <w:bookmarkEnd w:id="1775"/>
    </w:p>
    <w:bookmarkEnd w:id="1776"/>
    <w:p w14:paraId="223BC1A7">
      <w:pPr>
        <w:spacing w:line="400" w:lineRule="exact"/>
        <w:ind w:firstLine="420" w:firstLineChars="200"/>
      </w:pPr>
      <w:r>
        <w:t>15.2.1 缺陷责任期</w:t>
      </w:r>
      <w:r>
        <w:rPr>
          <w:rFonts w:hint="eastAsia"/>
        </w:rPr>
        <w:t>从工程通过竣工验收之日</w:t>
      </w:r>
      <w:r>
        <w:t>起计算，合同当事人应在专用合同条款约定缺陷责任期的具体期限，但该期限最长不超过24个月。</w:t>
      </w:r>
    </w:p>
    <w:p w14:paraId="366103CA">
      <w:pPr>
        <w:spacing w:line="400" w:lineRule="exact"/>
        <w:ind w:firstLine="420" w:firstLineChars="200"/>
      </w:pPr>
      <w:r>
        <w:t>单位工程先于全部工程进行验收，经验收合格并交付使用的，该单位工程缺陷责任期自单位工程验收合格之日起算。</w:t>
      </w:r>
      <w:r>
        <w:rPr>
          <w:rFonts w:hint="eastAsia"/>
        </w:rPr>
        <w:t>因承包人原因导致工程无法按合同约定期限进行竣工验收的，缺陷责任期从实际通过竣工验收之日起计算。</w:t>
      </w:r>
      <w:r>
        <w:t>因发包人原因导致工程无法按合同约定期限进行竣工验收的，</w:t>
      </w:r>
      <w:r>
        <w:rPr>
          <w:rFonts w:hint="eastAsia"/>
        </w:rPr>
        <w:t>在承包人提交竣工验收报告90天后，工程自动进入缺陷责任期</w:t>
      </w:r>
      <w:r>
        <w:t>；发包人未经竣工验收擅自使用工程的，缺陷责任期自工程转移占有之日起开始计算。</w:t>
      </w:r>
    </w:p>
    <w:p w14:paraId="0E17F359">
      <w:pPr>
        <w:spacing w:line="400" w:lineRule="exact"/>
        <w:ind w:firstLine="420" w:firstLineChars="200"/>
        <w:rPr>
          <w:rFonts w:hint="eastAsia"/>
        </w:rPr>
      </w:pPr>
      <w:r>
        <w:t>15.2.2</w:t>
      </w:r>
      <w:r>
        <w:rPr>
          <w:rFonts w:hint="eastAsia"/>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t>发包人有权要求承包人延长缺陷责任期，并应在原缺陷责任期届满前发出延长通知</w:t>
      </w:r>
      <w:r>
        <w:rPr>
          <w:rFonts w:hint="eastAsia"/>
        </w:rPr>
        <w:t>。</w:t>
      </w:r>
      <w:r>
        <w:t>但缺陷责任期</w:t>
      </w:r>
      <w:r>
        <w:rPr>
          <w:rFonts w:hint="eastAsia"/>
        </w:rPr>
        <w:t>（含延长部分）</w:t>
      </w:r>
      <w:r>
        <w:t>最长不能超过24个月。</w:t>
      </w:r>
    </w:p>
    <w:p w14:paraId="1F1F828A">
      <w:pPr>
        <w:spacing w:line="400" w:lineRule="exact"/>
        <w:ind w:firstLine="420" w:firstLineChars="200"/>
      </w:pPr>
      <w:r>
        <w:rPr>
          <w:rFonts w:hint="eastAsia"/>
        </w:rPr>
        <w:t>由他人原因造成的缺陷，发包人负责组织维修，承包人不承担费用，且发包人不得从保证金中扣除费用。</w:t>
      </w:r>
    </w:p>
    <w:p w14:paraId="48CBCD51">
      <w:pPr>
        <w:spacing w:line="400" w:lineRule="exact"/>
        <w:ind w:firstLine="420" w:firstLineChars="200"/>
      </w:pPr>
      <w:r>
        <w:t>15.2.3 任何一项缺陷或损坏修复后，经检查证明其影响了工程或工程设备的使用性能，承包人应重新进行合同约定的试验和试运行，试验和试运行的全部费用应由责任方承担。</w:t>
      </w:r>
    </w:p>
    <w:p w14:paraId="4B259D41">
      <w:pPr>
        <w:spacing w:line="400" w:lineRule="exact"/>
        <w:ind w:firstLine="420" w:firstLineChars="200"/>
        <w:rPr>
          <w:rFonts w:hint="eastAsia"/>
        </w:rPr>
      </w:pPr>
      <w:r>
        <w:t>15.2.4</w:t>
      </w:r>
      <w:r>
        <w:rPr>
          <w:rFonts w:hint="eastAsia"/>
        </w:rPr>
        <w:t xml:space="preserve"> </w:t>
      </w:r>
      <w:r>
        <w:t>除专用合同条款另有约定外，承包人应于缺陷责任期届满后7天内向发包人发出缺陷责任期</w:t>
      </w:r>
      <w:r>
        <w:rPr>
          <w:rFonts w:hint="eastAsia"/>
        </w:rPr>
        <w:t>届</w:t>
      </w:r>
      <w:r>
        <w:t>满通知，发包人应在</w:t>
      </w:r>
      <w:r>
        <w:rPr>
          <w:rFonts w:hint="eastAsia"/>
        </w:rPr>
        <w:t>收</w:t>
      </w:r>
      <w:r>
        <w:t>到缺陷责任期满通知后14天内核实承包人是否履行缺陷</w:t>
      </w:r>
      <w:r>
        <w:rPr>
          <w:rFonts w:hint="eastAsia"/>
        </w:rPr>
        <w:t>修复</w:t>
      </w:r>
      <w:r>
        <w:t>义务，承包人未能履行缺陷</w:t>
      </w:r>
      <w:r>
        <w:rPr>
          <w:rFonts w:hint="eastAsia"/>
        </w:rPr>
        <w:t>修复</w:t>
      </w:r>
      <w:r>
        <w:t>义务的，发包人有权扣除相应金额的维修费用。发包人应在</w:t>
      </w:r>
      <w:r>
        <w:rPr>
          <w:rFonts w:hint="eastAsia"/>
        </w:rPr>
        <w:t>收到</w:t>
      </w:r>
      <w:r>
        <w:t>缺陷责任期</w:t>
      </w:r>
      <w:r>
        <w:rPr>
          <w:rFonts w:hint="eastAsia"/>
        </w:rPr>
        <w:t>届</w:t>
      </w:r>
      <w:r>
        <w:t>满</w:t>
      </w:r>
      <w:r>
        <w:rPr>
          <w:rFonts w:hint="eastAsia"/>
        </w:rPr>
        <w:t>通知后</w:t>
      </w:r>
      <w:r>
        <w:t>14天内，向承包人颁发缺陷责任期终止证</w:t>
      </w:r>
      <w:r>
        <w:rPr>
          <w:rFonts w:hint="eastAsia"/>
        </w:rPr>
        <w:t>书</w:t>
      </w:r>
      <w:r>
        <w:t>。</w:t>
      </w:r>
    </w:p>
    <w:p w14:paraId="312F6E6E">
      <w:pPr>
        <w:pStyle w:val="20"/>
        <w:rPr>
          <w:b/>
        </w:rPr>
      </w:pPr>
      <w:bookmarkStart w:id="1777" w:name="_Toc351203601"/>
      <w:bookmarkStart w:id="1778" w:name="_Toc108514047"/>
      <w:bookmarkStart w:id="1779" w:name="_Toc337558818"/>
      <w:bookmarkStart w:id="1780" w:name="_Toc296503115"/>
      <w:bookmarkStart w:id="1781" w:name="_Toc296346616"/>
      <w:r>
        <w:rPr>
          <w:b/>
        </w:rPr>
        <w:t>15.3 质量保证金</w:t>
      </w:r>
      <w:bookmarkEnd w:id="1777"/>
      <w:bookmarkEnd w:id="1778"/>
    </w:p>
    <w:bookmarkEnd w:id="1779"/>
    <w:p w14:paraId="7C336ADE">
      <w:pPr>
        <w:spacing w:line="400" w:lineRule="exact"/>
        <w:ind w:firstLine="420" w:firstLineChars="200"/>
      </w:pPr>
      <w:r>
        <w:rPr>
          <w:rFonts w:hint="eastAsia"/>
        </w:rPr>
        <w:t>经合同当事人协商一致扣留质量保证金的，应在专用合同条款中予以明确。</w:t>
      </w:r>
    </w:p>
    <w:p w14:paraId="53D69E23">
      <w:pPr>
        <w:spacing w:line="400" w:lineRule="exact"/>
        <w:ind w:firstLine="420" w:firstLineChars="200"/>
        <w:rPr>
          <w:rFonts w:hint="eastAsia"/>
        </w:rPr>
      </w:pPr>
      <w:r>
        <w:rPr>
          <w:rFonts w:hint="eastAsia"/>
        </w:rPr>
        <w:t>在工程项目竣工前，承包人已经提供履约担保的，发包人不得同时预留工程质量保证金。</w:t>
      </w:r>
    </w:p>
    <w:p w14:paraId="2B085E6B">
      <w:pPr>
        <w:spacing w:line="400" w:lineRule="exact"/>
        <w:ind w:firstLine="420" w:firstLineChars="200"/>
      </w:pPr>
      <w:r>
        <w:t xml:space="preserve">15.3.1 </w:t>
      </w:r>
      <w:r>
        <w:rPr>
          <w:rFonts w:hint="eastAsia"/>
        </w:rPr>
        <w:t>承包人提供</w:t>
      </w:r>
      <w:r>
        <w:t>质量保证金的</w:t>
      </w:r>
      <w:r>
        <w:rPr>
          <w:rFonts w:hint="eastAsia"/>
        </w:rPr>
        <w:t>方</w:t>
      </w:r>
      <w:r>
        <w:t>式</w:t>
      </w:r>
    </w:p>
    <w:p w14:paraId="620B8946">
      <w:pPr>
        <w:spacing w:line="400" w:lineRule="exact"/>
        <w:ind w:firstLine="420" w:firstLineChars="200"/>
      </w:pPr>
      <w:r>
        <w:rPr>
          <w:rFonts w:hint="eastAsia"/>
        </w:rPr>
        <w:t>承包人提供</w:t>
      </w:r>
      <w:r>
        <w:t>质量保证金</w:t>
      </w:r>
      <w:r>
        <w:rPr>
          <w:rFonts w:hint="eastAsia"/>
        </w:rPr>
        <w:t>有</w:t>
      </w:r>
      <w:r>
        <w:t>以下</w:t>
      </w:r>
      <w:r>
        <w:rPr>
          <w:rFonts w:hint="eastAsia"/>
        </w:rPr>
        <w:t>三种方</w:t>
      </w:r>
      <w:r>
        <w:t>式：</w:t>
      </w:r>
    </w:p>
    <w:p w14:paraId="5B27349C">
      <w:pPr>
        <w:spacing w:line="400" w:lineRule="exact"/>
        <w:ind w:firstLine="420" w:firstLineChars="200"/>
      </w:pPr>
      <w:r>
        <w:t xml:space="preserve">（1）质量保证金保函； </w:t>
      </w:r>
    </w:p>
    <w:p w14:paraId="237495B3">
      <w:pPr>
        <w:spacing w:line="400" w:lineRule="exact"/>
        <w:ind w:firstLine="420" w:firstLineChars="200"/>
      </w:pPr>
      <w:r>
        <w:rPr>
          <w:rFonts w:hint="eastAsia"/>
        </w:rPr>
        <w:t>（</w:t>
      </w:r>
      <w:r>
        <w:t>2）相应比例的工程款；</w:t>
      </w:r>
    </w:p>
    <w:p w14:paraId="512B26B5">
      <w:pPr>
        <w:spacing w:line="400" w:lineRule="exact"/>
        <w:ind w:firstLine="420" w:firstLineChars="200"/>
      </w:pPr>
      <w:r>
        <w:t>（3）双方约定的其他</w:t>
      </w:r>
      <w:r>
        <w:rPr>
          <w:rFonts w:hint="eastAsia"/>
        </w:rPr>
        <w:t>方</w:t>
      </w:r>
      <w:r>
        <w:t>式。</w:t>
      </w:r>
    </w:p>
    <w:p w14:paraId="588976D8">
      <w:pPr>
        <w:spacing w:line="400" w:lineRule="exact"/>
        <w:ind w:firstLine="420" w:firstLineChars="200"/>
      </w:pPr>
      <w:r>
        <w:t>除专用合同条款另有约定外，质量保证金</w:t>
      </w:r>
      <w:r>
        <w:rPr>
          <w:rFonts w:hint="eastAsia"/>
        </w:rPr>
        <w:t>原则上</w:t>
      </w:r>
      <w:r>
        <w:t>采</w:t>
      </w:r>
      <w:r>
        <w:rPr>
          <w:rFonts w:hint="eastAsia"/>
        </w:rPr>
        <w:t>用上述</w:t>
      </w:r>
      <w:r>
        <w:t>第（1）种</w:t>
      </w:r>
      <w:r>
        <w:rPr>
          <w:rFonts w:hint="eastAsia"/>
        </w:rPr>
        <w:t>方式。</w:t>
      </w:r>
    </w:p>
    <w:p w14:paraId="5A99FF4E">
      <w:pPr>
        <w:spacing w:line="400" w:lineRule="exact"/>
        <w:ind w:firstLine="420" w:firstLineChars="200"/>
      </w:pPr>
      <w:r>
        <w:t>15.3.2 质量保证金的扣留</w:t>
      </w:r>
    </w:p>
    <w:p w14:paraId="32ECB610">
      <w:pPr>
        <w:spacing w:line="400" w:lineRule="exact"/>
        <w:ind w:firstLine="420" w:firstLineChars="200"/>
      </w:pPr>
      <w:r>
        <w:t>质量保证金</w:t>
      </w:r>
      <w:r>
        <w:rPr>
          <w:rFonts w:hint="eastAsia"/>
        </w:rPr>
        <w:t>的</w:t>
      </w:r>
      <w:r>
        <w:t>扣留</w:t>
      </w:r>
      <w:r>
        <w:rPr>
          <w:rFonts w:hint="eastAsia"/>
        </w:rPr>
        <w:t>有</w:t>
      </w:r>
      <w:r>
        <w:t>以下</w:t>
      </w:r>
      <w:r>
        <w:rPr>
          <w:rFonts w:hint="eastAsia"/>
        </w:rPr>
        <w:t>三</w:t>
      </w:r>
      <w:r>
        <w:t>种</w:t>
      </w:r>
      <w:r>
        <w:rPr>
          <w:rFonts w:hint="eastAsia"/>
        </w:rPr>
        <w:t>方式</w:t>
      </w:r>
      <w:r>
        <w:t>：</w:t>
      </w:r>
    </w:p>
    <w:p w14:paraId="4A60E8FF">
      <w:pPr>
        <w:spacing w:line="400" w:lineRule="exact"/>
        <w:ind w:firstLine="420" w:firstLineChars="200"/>
      </w:pPr>
      <w:r>
        <w:t>（1）在支付工程进度款时逐次扣留，在此情形下，质量保证金的计算基数不包括预付款的支付、扣回以及价格调整的金额；</w:t>
      </w:r>
    </w:p>
    <w:p w14:paraId="66332C92">
      <w:pPr>
        <w:spacing w:line="400" w:lineRule="exact"/>
        <w:ind w:firstLine="420" w:firstLineChars="200"/>
      </w:pPr>
      <w:r>
        <w:t>（2）工</w:t>
      </w:r>
      <w:bookmarkStart w:id="1782" w:name="#go6"/>
      <w:bookmarkEnd w:id="1782"/>
      <w:r>
        <w:t>程竣工结算时一次性扣留质量保证金；</w:t>
      </w:r>
    </w:p>
    <w:p w14:paraId="27B337FD">
      <w:pPr>
        <w:spacing w:line="400" w:lineRule="exact"/>
        <w:ind w:firstLine="420" w:firstLineChars="200"/>
      </w:pPr>
      <w:r>
        <w:t>（3）双方约定的其他扣留方式。</w:t>
      </w:r>
    </w:p>
    <w:p w14:paraId="6EF137CE">
      <w:pPr>
        <w:spacing w:line="400" w:lineRule="exact"/>
        <w:ind w:firstLine="420" w:firstLineChars="200"/>
      </w:pPr>
      <w:r>
        <w:t>除专用合同条款另有约定外，质量保证金</w:t>
      </w:r>
      <w:r>
        <w:rPr>
          <w:rFonts w:hint="eastAsia"/>
        </w:rPr>
        <w:t>的</w:t>
      </w:r>
      <w:r>
        <w:t>扣留</w:t>
      </w:r>
      <w:r>
        <w:rPr>
          <w:rFonts w:hint="eastAsia"/>
        </w:rPr>
        <w:t>原则上</w:t>
      </w:r>
      <w:r>
        <w:t>采</w:t>
      </w:r>
      <w:r>
        <w:rPr>
          <w:rFonts w:hint="eastAsia"/>
        </w:rPr>
        <w:t>用上述</w:t>
      </w:r>
      <w:r>
        <w:t>第（1）种方式</w:t>
      </w:r>
      <w:r>
        <w:rPr>
          <w:rFonts w:hint="eastAsia"/>
        </w:rPr>
        <w:t>。</w:t>
      </w:r>
    </w:p>
    <w:p w14:paraId="59167A42">
      <w:pPr>
        <w:spacing w:line="400" w:lineRule="exact"/>
        <w:ind w:firstLine="420" w:firstLineChars="200"/>
      </w:pPr>
      <w:r>
        <w:t>发</w:t>
      </w:r>
      <w:bookmarkStart w:id="1783" w:name="#go4"/>
      <w:bookmarkEnd w:id="1783"/>
      <w:r>
        <w:t>包人累计扣留的质量保证金不得超过</w:t>
      </w:r>
      <w:r>
        <w:rPr>
          <w:rFonts w:hint="eastAsia"/>
        </w:rPr>
        <w:t>工程价款结算总额</w:t>
      </w:r>
      <w:r>
        <w:t>的</w:t>
      </w:r>
      <w:r>
        <w:rPr>
          <w:rFonts w:hint="eastAsia"/>
        </w:rPr>
        <w:t xml:space="preserve">1.5 </w:t>
      </w:r>
      <w:r>
        <w:t>%</w:t>
      </w:r>
      <w:r>
        <w:rPr>
          <w:rFonts w:hint="eastAsia"/>
        </w:rPr>
        <w:t>。如</w:t>
      </w:r>
      <w:r>
        <w:t>承包人在发包人签发竣工付款证书后28天内提交质量保证金保函，发包人应同时退还扣留的作为质量保证金的工程价款</w:t>
      </w:r>
      <w:r>
        <w:rPr>
          <w:rFonts w:hint="eastAsia"/>
        </w:rPr>
        <w:t>；保函金额不得超过工程价款结算总额</w:t>
      </w:r>
      <w:r>
        <w:t>的</w:t>
      </w:r>
      <w:r>
        <w:rPr>
          <w:rFonts w:hint="eastAsia"/>
        </w:rPr>
        <w:t xml:space="preserve">1.5 </w:t>
      </w:r>
      <w:r>
        <w:t>%。</w:t>
      </w:r>
    </w:p>
    <w:p w14:paraId="4FEBB4A0">
      <w:pPr>
        <w:spacing w:line="400" w:lineRule="exact"/>
        <w:ind w:firstLine="420" w:firstLineChars="200"/>
      </w:pPr>
      <w:r>
        <w:rPr>
          <w:rFonts w:hint="eastAsia"/>
        </w:rPr>
        <w:t>发包人在退还质量保证金的同时</w:t>
      </w:r>
      <w:r>
        <w:t>按照中国人民银行发布的同期同类贷款基准利率支付</w:t>
      </w:r>
      <w:r>
        <w:rPr>
          <w:rFonts w:hint="eastAsia"/>
        </w:rPr>
        <w:t>利息。</w:t>
      </w:r>
    </w:p>
    <w:p w14:paraId="2849A0FC">
      <w:pPr>
        <w:spacing w:line="400" w:lineRule="exact"/>
        <w:ind w:firstLine="420" w:firstLineChars="200"/>
      </w:pPr>
      <w:r>
        <w:t>15.3.3 质量保证金的退还</w:t>
      </w:r>
    </w:p>
    <w:p w14:paraId="412EC4FD">
      <w:pPr>
        <w:spacing w:line="400" w:lineRule="exact"/>
        <w:ind w:firstLine="420" w:firstLineChars="200"/>
      </w:pPr>
      <w:r>
        <w:rPr>
          <w:rFonts w:hint="eastAsia"/>
        </w:rPr>
        <w:t>缺陷责任期内，承包人认真履行合同约定的责任，到期后，承包人可向发包人申请返还保证金。</w:t>
      </w:r>
    </w:p>
    <w:p w14:paraId="2AD8306C">
      <w:pPr>
        <w:spacing w:line="400" w:lineRule="exact"/>
        <w:ind w:firstLine="420" w:firstLineChars="200"/>
      </w:pPr>
      <w:r>
        <w:rPr>
          <w:rFonts w:hint="eastAsia"/>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2282EE4F">
      <w:pPr>
        <w:spacing w:line="400" w:lineRule="exact"/>
        <w:ind w:firstLine="420" w:firstLineChars="200"/>
      </w:pPr>
      <w:r>
        <w:rPr>
          <w:rFonts w:hint="eastAsia"/>
        </w:rPr>
        <w:t>发包人和承包人对保证金预留、返还以及工程维修质量、费用有争议的，按本合同第20条约定的争议和纠纷解决程序处理</w:t>
      </w:r>
      <w:r>
        <w:t>。</w:t>
      </w:r>
    </w:p>
    <w:p w14:paraId="24B84540">
      <w:pPr>
        <w:pStyle w:val="20"/>
        <w:rPr>
          <w:b/>
        </w:rPr>
      </w:pPr>
      <w:bookmarkStart w:id="1784" w:name="_Toc108514048"/>
      <w:bookmarkStart w:id="1785" w:name="_Toc351203602"/>
      <w:bookmarkStart w:id="1786" w:name="_Toc337558819"/>
      <w:r>
        <w:rPr>
          <w:b/>
        </w:rPr>
        <w:t>15.4 保修</w:t>
      </w:r>
      <w:bookmarkEnd w:id="1784"/>
      <w:bookmarkEnd w:id="1785"/>
    </w:p>
    <w:bookmarkEnd w:id="1780"/>
    <w:bookmarkEnd w:id="1781"/>
    <w:bookmarkEnd w:id="1786"/>
    <w:p w14:paraId="600752BC">
      <w:pPr>
        <w:spacing w:line="400" w:lineRule="exact"/>
        <w:ind w:firstLine="420" w:firstLineChars="200"/>
      </w:pPr>
      <w:r>
        <w:t>15.4.1保修责任</w:t>
      </w:r>
    </w:p>
    <w:p w14:paraId="743797E2">
      <w:pPr>
        <w:spacing w:line="400" w:lineRule="exact"/>
        <w:ind w:firstLine="420" w:firstLineChars="200"/>
      </w:pPr>
      <w: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5157B78">
      <w:pPr>
        <w:spacing w:line="400" w:lineRule="exact"/>
        <w:ind w:firstLine="420" w:firstLineChars="200"/>
      </w:pPr>
      <w:r>
        <w:t>发包人未经竣工验收擅自使用工程的，保修期自转移占有之日起算。</w:t>
      </w:r>
    </w:p>
    <w:p w14:paraId="70CE7294">
      <w:pPr>
        <w:spacing w:line="400" w:lineRule="exact"/>
        <w:ind w:firstLine="420" w:firstLineChars="200"/>
      </w:pPr>
      <w:r>
        <w:t>15.4.2 修复费用</w:t>
      </w:r>
    </w:p>
    <w:p w14:paraId="3F1556C1">
      <w:pPr>
        <w:spacing w:line="400" w:lineRule="exact"/>
        <w:ind w:firstLine="420" w:firstLineChars="200"/>
      </w:pPr>
      <w:r>
        <w:t>保修期内，修复的费用按照以下约定处理：</w:t>
      </w:r>
    </w:p>
    <w:p w14:paraId="61D67BED">
      <w:pPr>
        <w:spacing w:line="400" w:lineRule="exact"/>
        <w:ind w:firstLine="420" w:firstLineChars="200"/>
      </w:pPr>
      <w:r>
        <w:t>（1）保修期内，因承包人原因造成工程的缺陷、损坏，承包人应负责修复，并承担修复的费用以及因工程的缺陷、损坏造成的人身伤害和财产损失；</w:t>
      </w:r>
    </w:p>
    <w:p w14:paraId="1683DC43">
      <w:pPr>
        <w:spacing w:line="400" w:lineRule="exact"/>
        <w:ind w:firstLine="420" w:firstLineChars="200"/>
      </w:pPr>
      <w:r>
        <w:t>（2）保修期内，因发包人使用不当造成工程的缺陷、损坏，可以委托承包人修复，但发包人应承担修复的费用，并支付承包人合理利润；</w:t>
      </w:r>
    </w:p>
    <w:p w14:paraId="0FACE490">
      <w:pPr>
        <w:spacing w:line="400" w:lineRule="exact"/>
        <w:ind w:firstLine="420" w:firstLineChars="200"/>
      </w:pPr>
      <w:r>
        <w:t>（3）因其他原因造成工程的缺陷、损坏，可以委托承包人修复，发包人应承担修复的费用，并支付承包人合理的利润，因工程的缺陷、损坏造成的人身伤害和财产损失由责任方承担。</w:t>
      </w:r>
    </w:p>
    <w:p w14:paraId="57777C85">
      <w:pPr>
        <w:spacing w:line="400" w:lineRule="exact"/>
        <w:ind w:firstLine="420" w:firstLineChars="200"/>
      </w:pPr>
      <w:r>
        <w:t>15.4.3 修复通知</w:t>
      </w:r>
    </w:p>
    <w:p w14:paraId="37451915">
      <w:pPr>
        <w:spacing w:line="400" w:lineRule="exact"/>
        <w:ind w:firstLine="420" w:firstLineChars="200"/>
        <w:rPr>
          <w:rFonts w:hint="eastAsia"/>
        </w:rPr>
      </w:pPr>
      <w: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78BBAF0B">
      <w:pPr>
        <w:spacing w:line="400" w:lineRule="exact"/>
        <w:ind w:firstLine="420" w:firstLineChars="200"/>
      </w:pPr>
      <w:r>
        <w:t>15.4.4 未能修复</w:t>
      </w:r>
    </w:p>
    <w:p w14:paraId="0057C6C1">
      <w:pPr>
        <w:spacing w:line="400" w:lineRule="exact"/>
        <w:ind w:firstLine="420" w:firstLineChars="200"/>
      </w:pPr>
      <w: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rPr>
        <w:t>但修复范围超出缺陷或损坏范围的，超出范围部分的修复费用由发包人承担。</w:t>
      </w:r>
    </w:p>
    <w:p w14:paraId="4FC550F6">
      <w:pPr>
        <w:spacing w:line="400" w:lineRule="exact"/>
        <w:ind w:firstLine="420" w:firstLineChars="200"/>
      </w:pPr>
      <w:r>
        <w:t>15.4.5 承包人出入权</w:t>
      </w:r>
    </w:p>
    <w:p w14:paraId="6C817912">
      <w:pPr>
        <w:spacing w:line="400" w:lineRule="exact"/>
        <w:ind w:firstLine="420" w:firstLineChars="200"/>
      </w:pPr>
      <w: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13EFECE9">
      <w:pPr>
        <w:pStyle w:val="18"/>
        <w:rPr>
          <w:b/>
        </w:rPr>
      </w:pPr>
      <w:bookmarkStart w:id="1787" w:name="_Toc108514049"/>
      <w:bookmarkStart w:id="1788" w:name="_Toc351203603"/>
      <w:bookmarkStart w:id="1789" w:name="_Toc337558820"/>
      <w:r>
        <w:rPr>
          <w:b/>
        </w:rPr>
        <w:t>16. 违约</w:t>
      </w:r>
      <w:bookmarkEnd w:id="1787"/>
      <w:bookmarkEnd w:id="1788"/>
    </w:p>
    <w:bookmarkEnd w:id="1789"/>
    <w:p w14:paraId="5F5EEB58">
      <w:pPr>
        <w:pStyle w:val="20"/>
        <w:rPr>
          <w:b/>
        </w:rPr>
      </w:pPr>
      <w:bookmarkStart w:id="1790" w:name="_Toc296503129"/>
      <w:bookmarkStart w:id="1791" w:name="_Toc296346630"/>
      <w:bookmarkStart w:id="1792" w:name="_Toc108514050"/>
      <w:bookmarkStart w:id="1793" w:name="_Toc351203604"/>
      <w:bookmarkStart w:id="1794" w:name="_Toc337558821"/>
      <w:r>
        <w:rPr>
          <w:b/>
        </w:rPr>
        <w:t>16.1 发</w:t>
      </w:r>
      <w:bookmarkEnd w:id="1790"/>
      <w:bookmarkEnd w:id="1791"/>
      <w:r>
        <w:rPr>
          <w:b/>
        </w:rPr>
        <w:t>包人违约</w:t>
      </w:r>
      <w:bookmarkEnd w:id="1792"/>
      <w:bookmarkEnd w:id="1793"/>
    </w:p>
    <w:bookmarkEnd w:id="1794"/>
    <w:p w14:paraId="50C83747">
      <w:pPr>
        <w:spacing w:line="400" w:lineRule="exact"/>
        <w:ind w:firstLine="420" w:firstLineChars="200"/>
      </w:pPr>
      <w:r>
        <w:t>16.1.1 发包人违约的情形</w:t>
      </w:r>
    </w:p>
    <w:p w14:paraId="5C670ABE">
      <w:pPr>
        <w:spacing w:line="400" w:lineRule="exact"/>
        <w:ind w:firstLine="420" w:firstLineChars="200"/>
      </w:pPr>
      <w:r>
        <w:t>在合同履行过程中发生的下列情形，属于发包人违约：</w:t>
      </w:r>
    </w:p>
    <w:p w14:paraId="45C94E30">
      <w:pPr>
        <w:spacing w:line="400" w:lineRule="exact"/>
        <w:ind w:firstLine="420" w:firstLineChars="200"/>
      </w:pPr>
      <w:r>
        <w:t>（1）因发包人原因未能在计划开工日期前7天内下达开工通知的；</w:t>
      </w:r>
    </w:p>
    <w:p w14:paraId="26991C7B">
      <w:pPr>
        <w:spacing w:line="400" w:lineRule="exact"/>
        <w:ind w:firstLine="420" w:firstLineChars="200"/>
      </w:pPr>
      <w:r>
        <w:t>（2）因发包人原因未能按合同约定支付合同价款的；</w:t>
      </w:r>
    </w:p>
    <w:p w14:paraId="528F3731">
      <w:pPr>
        <w:spacing w:line="400" w:lineRule="exact"/>
        <w:ind w:firstLine="420" w:firstLineChars="200"/>
      </w:pPr>
      <w:r>
        <w:t>（3）发包人违反第10.1款</w:t>
      </w:r>
      <w:r>
        <w:rPr>
          <w:rFonts w:hint="eastAsia"/>
        </w:rPr>
        <w:t>〔</w:t>
      </w:r>
      <w:r>
        <w:t>变更的范围</w:t>
      </w:r>
      <w:r>
        <w:rPr>
          <w:rFonts w:hint="eastAsia"/>
        </w:rPr>
        <w:t>〕</w:t>
      </w:r>
      <w:r>
        <w:t>第（2）项约定，自行实施被取消的工作或转由他人实施的；</w:t>
      </w:r>
    </w:p>
    <w:p w14:paraId="36306B89">
      <w:pPr>
        <w:spacing w:line="400" w:lineRule="exact"/>
        <w:ind w:firstLine="420" w:firstLineChars="200"/>
      </w:pPr>
      <w:r>
        <w:t>（4）发包人提供的材料、工程设备的规格、数量或质量不符合合同约定，或因发包人原因导致交货日期延误或交货地点变更等情况的；</w:t>
      </w:r>
    </w:p>
    <w:p w14:paraId="1EF77185">
      <w:pPr>
        <w:spacing w:line="400" w:lineRule="exact"/>
        <w:ind w:firstLine="420" w:firstLineChars="200"/>
      </w:pPr>
      <w:r>
        <w:t>（5）因发包人违反合同约定造成暂停施工的；</w:t>
      </w:r>
    </w:p>
    <w:p w14:paraId="2A971B94">
      <w:pPr>
        <w:spacing w:line="400" w:lineRule="exact"/>
        <w:ind w:firstLine="420" w:firstLineChars="200"/>
      </w:pPr>
      <w:r>
        <w:t>（6）发包人无正当理由没有在约定期限内发出复工指示，导致承包人无法复工的；</w:t>
      </w:r>
    </w:p>
    <w:p w14:paraId="744BCD59">
      <w:pPr>
        <w:spacing w:line="400" w:lineRule="exact"/>
        <w:ind w:firstLine="420" w:firstLineChars="200"/>
      </w:pPr>
      <w:r>
        <w:t>（7）发包人明确表示或者以其行为表明不履行合同主要义务的；</w:t>
      </w:r>
    </w:p>
    <w:p w14:paraId="46770824">
      <w:pPr>
        <w:spacing w:line="400" w:lineRule="exact"/>
        <w:ind w:firstLine="420" w:firstLineChars="200"/>
      </w:pPr>
      <w:r>
        <w:t>（8）发包人未能按照合同约定履行其他义务的。</w:t>
      </w:r>
    </w:p>
    <w:p w14:paraId="0481904C">
      <w:pPr>
        <w:spacing w:line="400" w:lineRule="exact"/>
        <w:ind w:firstLine="420" w:firstLineChars="200"/>
      </w:pPr>
      <w: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37ED1150">
      <w:pPr>
        <w:spacing w:line="400" w:lineRule="exact"/>
        <w:ind w:firstLine="420" w:firstLineChars="200"/>
      </w:pPr>
      <w:r>
        <w:t>16.1.2 发包人违约的责任</w:t>
      </w:r>
    </w:p>
    <w:p w14:paraId="743854F1">
      <w:pPr>
        <w:spacing w:line="400" w:lineRule="exact"/>
        <w:ind w:firstLine="420" w:firstLineChars="200"/>
        <w:rPr>
          <w:rFonts w:hint="eastAsia"/>
        </w:rPr>
      </w:pPr>
      <w:r>
        <w:t>发包人应承担因其违约给承包人增加的费用和（或）延误的工期，并支付承包人合理的利润。此外，合同当事人可在专用合同条款中另行约定发包人违约责任的承担方式和计算方法。</w:t>
      </w:r>
    </w:p>
    <w:p w14:paraId="54E12D16">
      <w:pPr>
        <w:spacing w:line="400" w:lineRule="exact"/>
        <w:ind w:firstLine="420" w:firstLineChars="200"/>
      </w:pPr>
      <w:r>
        <w:t>16.1.3 因发包人违约解除合同</w:t>
      </w:r>
    </w:p>
    <w:p w14:paraId="407479FE">
      <w:pPr>
        <w:spacing w:line="400" w:lineRule="exact"/>
        <w:ind w:firstLine="420" w:firstLineChars="200"/>
      </w:pPr>
      <w:r>
        <w:t>除专用合同条款另有约定外，承包人按第16.1.1项</w:t>
      </w:r>
      <w:r>
        <w:rPr>
          <w:rFonts w:hint="eastAsia"/>
        </w:rPr>
        <w:t>〔</w:t>
      </w:r>
      <w:r>
        <w:t>发包人违约的情形</w:t>
      </w:r>
      <w:r>
        <w:rPr>
          <w:rFonts w:hint="eastAsia"/>
        </w:rPr>
        <w:t>〕</w:t>
      </w:r>
      <w:r>
        <w:t>约定暂停施工满28天后</w:t>
      </w:r>
      <w:r>
        <w:rPr>
          <w:rFonts w:hint="eastAsia"/>
        </w:rPr>
        <w:t>，</w:t>
      </w:r>
      <w:r>
        <w:t>发包人仍不纠正其违约行为并致使合同目的不能实现的，</w:t>
      </w:r>
      <w:r>
        <w:rPr>
          <w:rFonts w:hint="eastAsia"/>
        </w:rPr>
        <w:t>或</w:t>
      </w:r>
      <w:r>
        <w:t>出现第16.1.1项</w:t>
      </w:r>
      <w:r>
        <w:rPr>
          <w:rFonts w:hint="eastAsia"/>
        </w:rPr>
        <w:t>〔</w:t>
      </w:r>
      <w:r>
        <w:t>发包人违约的情形</w:t>
      </w:r>
      <w:r>
        <w:rPr>
          <w:rFonts w:hint="eastAsia"/>
        </w:rPr>
        <w:t>〕</w:t>
      </w:r>
      <w:r>
        <w:t>第（7）目约定的违约情况，承包人有权解除合同，发包人应承担由此增加的费用，并支付承包人合理的利润。</w:t>
      </w:r>
    </w:p>
    <w:p w14:paraId="7DBC81DC">
      <w:pPr>
        <w:spacing w:line="400" w:lineRule="exact"/>
        <w:ind w:firstLine="420" w:firstLineChars="200"/>
      </w:pPr>
      <w:r>
        <w:t>16.1.4 因发包人违约解除合同后的付款</w:t>
      </w:r>
    </w:p>
    <w:p w14:paraId="40F5B910">
      <w:pPr>
        <w:spacing w:line="400" w:lineRule="exact"/>
        <w:ind w:firstLine="420" w:firstLineChars="200"/>
      </w:pPr>
      <w:r>
        <w:t>承包人按照本款约定解除合同的，发包人应在解除合同后28天内支付下列款项，并解除履约担保：</w:t>
      </w:r>
    </w:p>
    <w:p w14:paraId="3E4AC5DE">
      <w:pPr>
        <w:spacing w:line="400" w:lineRule="exact"/>
        <w:ind w:firstLine="420" w:firstLineChars="200"/>
      </w:pPr>
      <w:r>
        <w:t>（1）合同解除前所完成工作的价款；</w:t>
      </w:r>
    </w:p>
    <w:p w14:paraId="628160C6">
      <w:pPr>
        <w:spacing w:line="400" w:lineRule="exact"/>
        <w:ind w:firstLine="420" w:firstLineChars="200"/>
      </w:pPr>
      <w:r>
        <w:t>（2）承包人为工程施工订购并已付款的材料、工程设备和其他物品的价款；</w:t>
      </w:r>
    </w:p>
    <w:p w14:paraId="16D359E8">
      <w:pPr>
        <w:spacing w:line="400" w:lineRule="exact"/>
        <w:ind w:firstLine="420" w:firstLineChars="200"/>
      </w:pPr>
      <w:r>
        <w:t>（3）承包人撤离施工现场以及遣散承包人人员的款项；</w:t>
      </w:r>
    </w:p>
    <w:p w14:paraId="69599F41">
      <w:pPr>
        <w:spacing w:line="400" w:lineRule="exact"/>
        <w:ind w:firstLine="420" w:firstLineChars="200"/>
      </w:pPr>
      <w:r>
        <w:t>（4）按照合同约定在合同解除前应支付的违约金；</w:t>
      </w:r>
    </w:p>
    <w:p w14:paraId="5BEB550B">
      <w:pPr>
        <w:spacing w:line="400" w:lineRule="exact"/>
        <w:ind w:firstLine="420" w:firstLineChars="200"/>
      </w:pPr>
      <w:r>
        <w:t>（5）按照合同约定应当支付给承包人的其他款项；</w:t>
      </w:r>
    </w:p>
    <w:p w14:paraId="7CDCA973">
      <w:pPr>
        <w:spacing w:line="400" w:lineRule="exact"/>
        <w:ind w:firstLine="420" w:firstLineChars="200"/>
      </w:pPr>
      <w:r>
        <w:t>（6）按照合同约定应退还的质量保证金；</w:t>
      </w:r>
    </w:p>
    <w:p w14:paraId="23C5584B">
      <w:pPr>
        <w:spacing w:line="400" w:lineRule="exact"/>
        <w:ind w:firstLine="420" w:firstLineChars="200"/>
      </w:pPr>
      <w:r>
        <w:t>（7）因解除合同给承包人造成的损失。</w:t>
      </w:r>
    </w:p>
    <w:p w14:paraId="05913D69">
      <w:pPr>
        <w:spacing w:line="400" w:lineRule="exact"/>
        <w:ind w:firstLine="420" w:firstLineChars="200"/>
      </w:pPr>
      <w:r>
        <w:t>合同当事人未能就解除合同后的结清达成一致的，按照第20条</w:t>
      </w:r>
      <w:r>
        <w:rPr>
          <w:rFonts w:hint="eastAsia"/>
        </w:rPr>
        <w:t>〔</w:t>
      </w:r>
      <w:r>
        <w:t>争议解决</w:t>
      </w:r>
      <w:r>
        <w:rPr>
          <w:rFonts w:hint="eastAsia"/>
        </w:rPr>
        <w:t>〕</w:t>
      </w:r>
      <w:r>
        <w:t>的约定处理。</w:t>
      </w:r>
    </w:p>
    <w:p w14:paraId="0B0D27B3">
      <w:pPr>
        <w:spacing w:line="400" w:lineRule="exact"/>
        <w:ind w:firstLine="420" w:firstLineChars="200"/>
      </w:pPr>
      <w:r>
        <w:t>承包人应妥善做好已完工程和与工程有关的已购材料、工程设备的保护和移交工作，并将施工设备和人员撤出施工现场，发包人应为承包人撤出提供必要条件。</w:t>
      </w:r>
    </w:p>
    <w:p w14:paraId="623048C0">
      <w:pPr>
        <w:pStyle w:val="20"/>
        <w:rPr>
          <w:b/>
        </w:rPr>
      </w:pPr>
      <w:bookmarkStart w:id="1795" w:name="_Toc108514051"/>
      <w:bookmarkStart w:id="1796" w:name="_Toc351203605"/>
      <w:bookmarkStart w:id="1797" w:name="_Toc337558822"/>
      <w:bookmarkStart w:id="1798" w:name="_Toc296346632"/>
      <w:bookmarkStart w:id="1799" w:name="_Toc296503131"/>
      <w:r>
        <w:rPr>
          <w:b/>
        </w:rPr>
        <w:t>16.2 承包人违约</w:t>
      </w:r>
      <w:bookmarkEnd w:id="1795"/>
      <w:bookmarkEnd w:id="1796"/>
    </w:p>
    <w:bookmarkEnd w:id="1797"/>
    <w:bookmarkEnd w:id="1798"/>
    <w:bookmarkEnd w:id="1799"/>
    <w:p w14:paraId="373DBBBA">
      <w:pPr>
        <w:spacing w:line="400" w:lineRule="exact"/>
        <w:ind w:firstLine="420" w:firstLineChars="200"/>
      </w:pPr>
      <w:r>
        <w:t>16.2.1 承包人违约的情形</w:t>
      </w:r>
    </w:p>
    <w:p w14:paraId="388B2AF4">
      <w:pPr>
        <w:spacing w:line="400" w:lineRule="exact"/>
        <w:ind w:firstLine="420" w:firstLineChars="200"/>
      </w:pPr>
      <w:r>
        <w:t>在合同履行过程中发生的下列情形，属于承包人违约：</w:t>
      </w:r>
    </w:p>
    <w:p w14:paraId="19D9CEB9">
      <w:pPr>
        <w:spacing w:line="400" w:lineRule="exact"/>
        <w:ind w:firstLine="420" w:firstLineChars="200"/>
      </w:pPr>
      <w:r>
        <w:t>（1）承包人违反合同约定进行转包或违法分包的；</w:t>
      </w:r>
    </w:p>
    <w:p w14:paraId="192F72B3">
      <w:pPr>
        <w:spacing w:line="400" w:lineRule="exact"/>
        <w:ind w:firstLine="420" w:firstLineChars="200"/>
      </w:pPr>
      <w:r>
        <w:t>（2）承包人违反合同约定采购和使用不合格的材料和工程设备的；</w:t>
      </w:r>
    </w:p>
    <w:p w14:paraId="4BDCF25D">
      <w:pPr>
        <w:spacing w:line="400" w:lineRule="exact"/>
        <w:ind w:firstLine="420" w:firstLineChars="200"/>
      </w:pPr>
      <w:r>
        <w:t xml:space="preserve">（3）因承包人原因导致工程质量不符合合同要求的； </w:t>
      </w:r>
    </w:p>
    <w:p w14:paraId="4BB0927B">
      <w:pPr>
        <w:spacing w:line="400" w:lineRule="exact"/>
        <w:ind w:firstLine="420" w:firstLineChars="200"/>
      </w:pPr>
      <w:r>
        <w:t>（4）承包人违反第8.9款</w:t>
      </w:r>
      <w:r>
        <w:rPr>
          <w:rFonts w:hint="eastAsia"/>
        </w:rPr>
        <w:t>〔</w:t>
      </w:r>
      <w:r>
        <w:t>材料与设备专用</w:t>
      </w:r>
      <w:r>
        <w:rPr>
          <w:rFonts w:hint="eastAsia"/>
        </w:rPr>
        <w:t>要求〕</w:t>
      </w:r>
      <w:r>
        <w:t>的约定，未经批准，私自将已按照合同约定进入施工现场的材料或设备撤离施工现场的；</w:t>
      </w:r>
    </w:p>
    <w:p w14:paraId="0ED934C6">
      <w:pPr>
        <w:spacing w:line="400" w:lineRule="exact"/>
        <w:ind w:firstLine="420" w:firstLineChars="200"/>
      </w:pPr>
      <w:r>
        <w:t>（5）承包人未能按施工进度计划及时完成合同约定的工作，造成工期延误的；</w:t>
      </w:r>
    </w:p>
    <w:p w14:paraId="6FE768B7">
      <w:pPr>
        <w:spacing w:line="400" w:lineRule="exact"/>
        <w:ind w:firstLine="420" w:firstLineChars="200"/>
      </w:pPr>
      <w:r>
        <w:t>（6）承包人在缺陷责任期及保修期内，未能在合理期限对工程缺陷进行修复，或拒绝按发包人要求进行修复的；</w:t>
      </w:r>
    </w:p>
    <w:p w14:paraId="3E6C864C">
      <w:pPr>
        <w:spacing w:line="400" w:lineRule="exact"/>
        <w:ind w:firstLine="420" w:firstLineChars="200"/>
      </w:pPr>
      <w:r>
        <w:t>（7）承包人明确表示或者以其行为表明不履行合同主要义务的；</w:t>
      </w:r>
    </w:p>
    <w:p w14:paraId="2CB93ED2">
      <w:pPr>
        <w:spacing w:line="400" w:lineRule="exact"/>
        <w:ind w:firstLine="420" w:firstLineChars="200"/>
      </w:pPr>
      <w:r>
        <w:t>（8）承包人未能按照合同约定履行其他义务的。</w:t>
      </w:r>
    </w:p>
    <w:p w14:paraId="533D8A19">
      <w:pPr>
        <w:spacing w:line="400" w:lineRule="exact"/>
        <w:ind w:firstLine="420" w:firstLineChars="200"/>
      </w:pPr>
      <w:r>
        <w:t>承包人发生除本项第（7）目约定以外的其他违约情况时，监理人可向承包人发出整改通知，要求其在指定的期限内改正。</w:t>
      </w:r>
    </w:p>
    <w:p w14:paraId="0E370F94">
      <w:pPr>
        <w:spacing w:line="400" w:lineRule="exact"/>
        <w:ind w:firstLine="420" w:firstLineChars="200"/>
      </w:pPr>
      <w:r>
        <w:t>16.2.2 承包人违约的责任</w:t>
      </w:r>
    </w:p>
    <w:p w14:paraId="4CB483E6">
      <w:pPr>
        <w:spacing w:line="400" w:lineRule="exact"/>
        <w:ind w:firstLine="420" w:firstLineChars="200"/>
      </w:pPr>
      <w:r>
        <w:t>承包人应承担因其违约行为而增加的费用</w:t>
      </w:r>
      <w:r>
        <w:rPr>
          <w:rFonts w:hint="eastAsia"/>
        </w:rPr>
        <w:t>和（或）延误的</w:t>
      </w:r>
      <w:r>
        <w:t>工期。此外，合同当事人可在专用合同条款中另行约定承包人违约责任的承担方式和计算方法。</w:t>
      </w:r>
    </w:p>
    <w:p w14:paraId="378177D9">
      <w:pPr>
        <w:spacing w:line="400" w:lineRule="exact"/>
        <w:ind w:firstLine="420" w:firstLineChars="200"/>
      </w:pPr>
      <w:r>
        <w:t>16.2.3 因承包人违约解除合同</w:t>
      </w:r>
    </w:p>
    <w:p w14:paraId="17874626">
      <w:pPr>
        <w:spacing w:line="400" w:lineRule="exact"/>
        <w:ind w:firstLine="420" w:firstLineChars="200"/>
      </w:pPr>
      <w:r>
        <w:t>除专用合同条款另有约定外，出现第16.2.1项</w:t>
      </w:r>
      <w:r>
        <w:rPr>
          <w:rFonts w:hint="eastAsia"/>
        </w:rPr>
        <w:t>〔</w:t>
      </w:r>
      <w:r>
        <w:t>承包人违约的情形</w:t>
      </w:r>
      <w:r>
        <w:rPr>
          <w:rFonts w:hint="eastAsia"/>
        </w:rPr>
        <w:t>〕</w:t>
      </w:r>
      <w: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rPr>
        <w:t>合同当事人应在专用合同条款约定相应费用的承担方式。</w:t>
      </w:r>
      <w:r>
        <w:t>发包人</w:t>
      </w:r>
      <w:r>
        <w:rPr>
          <w:rFonts w:hint="eastAsia"/>
        </w:rPr>
        <w:t>继续使用的</w:t>
      </w:r>
      <w:r>
        <w:t>行为不免除或减轻承包人应承担的违约责任。</w:t>
      </w:r>
    </w:p>
    <w:p w14:paraId="641A09BF">
      <w:pPr>
        <w:spacing w:line="400" w:lineRule="exact"/>
        <w:ind w:firstLine="420" w:firstLineChars="200"/>
      </w:pPr>
      <w:r>
        <w:t>16.2.4因承包人违约解除合同后的处理</w:t>
      </w:r>
    </w:p>
    <w:p w14:paraId="0742FFC5">
      <w:pPr>
        <w:spacing w:line="400" w:lineRule="exact"/>
        <w:ind w:firstLine="420" w:firstLineChars="200"/>
      </w:pPr>
      <w:r>
        <w:t>因承包人原因导致合同解除的，则合同当事人应在合同解除后28天内完成估价、付款和清算，并按以下约定执行：</w:t>
      </w:r>
    </w:p>
    <w:p w14:paraId="7B341547">
      <w:pPr>
        <w:spacing w:line="400" w:lineRule="exact"/>
        <w:ind w:firstLine="420" w:firstLineChars="200"/>
      </w:pPr>
      <w:r>
        <w:t>（1）合同解除后，按第4.4款</w:t>
      </w:r>
      <w:r>
        <w:rPr>
          <w:rFonts w:hint="eastAsia"/>
        </w:rPr>
        <w:t>〔</w:t>
      </w:r>
      <w:r>
        <w:t>商定或确定</w:t>
      </w:r>
      <w:r>
        <w:rPr>
          <w:rFonts w:hint="eastAsia"/>
        </w:rPr>
        <w:t>〕</w:t>
      </w:r>
      <w:r>
        <w:t>商定或确定承包人实际完成工作对应的合同价款，以及承包人已提供的材料、工程设备、施工设备和临时工程等的价值；</w:t>
      </w:r>
    </w:p>
    <w:p w14:paraId="0797B0C5">
      <w:pPr>
        <w:spacing w:line="400" w:lineRule="exact"/>
        <w:ind w:firstLine="420" w:firstLineChars="200"/>
      </w:pPr>
      <w:r>
        <w:t>（2）合同解除后，承包人应支付的违约金；</w:t>
      </w:r>
    </w:p>
    <w:p w14:paraId="7A690475">
      <w:pPr>
        <w:spacing w:line="400" w:lineRule="exact"/>
        <w:ind w:firstLine="420" w:firstLineChars="200"/>
      </w:pPr>
      <w:r>
        <w:t>（3）合同解除后，因解除合同给发包人造成的损失；</w:t>
      </w:r>
    </w:p>
    <w:p w14:paraId="2E7DDC4A">
      <w:pPr>
        <w:spacing w:line="400" w:lineRule="exact"/>
        <w:ind w:firstLine="420" w:firstLineChars="200"/>
      </w:pPr>
      <w:r>
        <w:t>（4）合同解除后，承包人应按照发包人要求和监理人的指示完成现场的清理和撤离；</w:t>
      </w:r>
    </w:p>
    <w:p w14:paraId="41D780E0">
      <w:pPr>
        <w:spacing w:line="400" w:lineRule="exact"/>
        <w:ind w:firstLine="420" w:firstLineChars="200"/>
      </w:pPr>
      <w:r>
        <w:t>（5）发包人和承包人应在合同解除后进行清算，出具最终结清付款证书，结清全部款项。</w:t>
      </w:r>
    </w:p>
    <w:p w14:paraId="4D678714">
      <w:pPr>
        <w:spacing w:line="400" w:lineRule="exact"/>
        <w:ind w:firstLine="420" w:firstLineChars="200"/>
      </w:pPr>
      <w:r>
        <w:rPr>
          <w:rFonts w:hint="eastAsia"/>
        </w:rPr>
        <w:t>因承包人违约解除合同的，</w:t>
      </w:r>
      <w:r>
        <w:t>发包人有权暂停对承包人的付款，查清各项付款和已扣款项。发包人和承包人未能就合同解除后的清算和款项支付达成一致的，按照第20条</w:t>
      </w:r>
      <w:r>
        <w:rPr>
          <w:rFonts w:hint="eastAsia"/>
        </w:rPr>
        <w:t>〔</w:t>
      </w:r>
      <w:r>
        <w:t>争议解决</w:t>
      </w:r>
      <w:r>
        <w:rPr>
          <w:rFonts w:hint="eastAsia"/>
        </w:rPr>
        <w:t>〕</w:t>
      </w:r>
      <w:r>
        <w:t>的约定处理。</w:t>
      </w:r>
    </w:p>
    <w:p w14:paraId="23BDDF7D">
      <w:pPr>
        <w:spacing w:line="400" w:lineRule="exact"/>
        <w:ind w:firstLine="420" w:firstLineChars="200"/>
      </w:pPr>
      <w:r>
        <w:t>16.2.5采购合同权益转让</w:t>
      </w:r>
    </w:p>
    <w:p w14:paraId="6A9DAD1B">
      <w:pPr>
        <w:spacing w:line="400" w:lineRule="exact"/>
        <w:ind w:firstLine="420" w:firstLineChars="200"/>
      </w:pPr>
      <w: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22241E8">
      <w:pPr>
        <w:pStyle w:val="20"/>
        <w:rPr>
          <w:b/>
        </w:rPr>
      </w:pPr>
      <w:bookmarkStart w:id="1800" w:name="_Toc351203606"/>
      <w:bookmarkStart w:id="1801" w:name="_Toc108514052"/>
      <w:r>
        <w:rPr>
          <w:b/>
        </w:rPr>
        <w:t>16.3 第三人造成的违约</w:t>
      </w:r>
      <w:bookmarkEnd w:id="1800"/>
      <w:bookmarkEnd w:id="1801"/>
    </w:p>
    <w:p w14:paraId="77E2B99C">
      <w:pPr>
        <w:spacing w:line="400" w:lineRule="exact"/>
        <w:ind w:firstLine="420" w:firstLineChars="200"/>
      </w:pPr>
      <w:r>
        <w:t>在履行合同过程中，一方当事人因第三人的原因造成违约的，应当向对方当事人承担违约责任。一方当事人和第三人之间的纠纷，依照法律规定或者按照约定解决。</w:t>
      </w:r>
    </w:p>
    <w:p w14:paraId="52FD0936">
      <w:pPr>
        <w:pStyle w:val="18"/>
        <w:rPr>
          <w:b/>
        </w:rPr>
      </w:pPr>
      <w:bookmarkStart w:id="1802" w:name="_Toc108514053"/>
      <w:bookmarkStart w:id="1803" w:name="_Toc351203607"/>
      <w:bookmarkStart w:id="1804" w:name="_Toc296503116"/>
      <w:bookmarkStart w:id="1805" w:name="_Toc337558823"/>
      <w:bookmarkStart w:id="1806" w:name="_Toc296346617"/>
      <w:r>
        <w:rPr>
          <w:b/>
        </w:rPr>
        <w:t>17. 不可抗力</w:t>
      </w:r>
      <w:bookmarkEnd w:id="1802"/>
      <w:bookmarkEnd w:id="1803"/>
      <w:r>
        <w:rPr>
          <w:b/>
        </w:rPr>
        <w:t xml:space="preserve"> </w:t>
      </w:r>
      <w:bookmarkEnd w:id="1804"/>
      <w:bookmarkEnd w:id="1805"/>
      <w:bookmarkEnd w:id="1806"/>
    </w:p>
    <w:p w14:paraId="7B7E7EBF">
      <w:pPr>
        <w:pStyle w:val="20"/>
        <w:rPr>
          <w:b/>
        </w:rPr>
      </w:pPr>
      <w:bookmarkStart w:id="1807" w:name="_Toc108514054"/>
      <w:bookmarkStart w:id="1808" w:name="_Toc351203608"/>
      <w:bookmarkStart w:id="1809" w:name="_Toc296503117"/>
      <w:bookmarkStart w:id="1810" w:name="_Toc337558824"/>
      <w:bookmarkStart w:id="1811" w:name="_Toc296346618"/>
      <w:r>
        <w:rPr>
          <w:b/>
        </w:rPr>
        <w:t>17.1 不可抗力的确认</w:t>
      </w:r>
      <w:bookmarkEnd w:id="1807"/>
      <w:bookmarkEnd w:id="1808"/>
    </w:p>
    <w:bookmarkEnd w:id="1809"/>
    <w:bookmarkEnd w:id="1810"/>
    <w:bookmarkEnd w:id="1811"/>
    <w:p w14:paraId="1A1B64D0">
      <w:pPr>
        <w:spacing w:line="400" w:lineRule="exact"/>
        <w:ind w:firstLine="420" w:firstLineChars="200"/>
      </w:pPr>
      <w:r>
        <w:t>不可抗力是指合同当事人在签订合同时不可预见，在合同履行过程中不可避免且不能克服的自然灾害和社会性突发事件，如地震、海啸、瘟疫、骚乱、戒严、暴动、战争和专用合同条款中约定的其他情形。</w:t>
      </w:r>
    </w:p>
    <w:p w14:paraId="2D7BCF16">
      <w:pPr>
        <w:spacing w:line="400" w:lineRule="exact"/>
        <w:ind w:firstLine="420" w:firstLineChars="200"/>
      </w:pPr>
      <w: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rPr>
        <w:t>〔</w:t>
      </w:r>
      <w:r>
        <w:t>商定或确定</w:t>
      </w:r>
      <w:r>
        <w:rPr>
          <w:rFonts w:hint="eastAsia"/>
        </w:rPr>
        <w:t>〕</w:t>
      </w:r>
      <w:r>
        <w:t>的约定处理。发生争议时，按第20条</w:t>
      </w:r>
      <w:r>
        <w:rPr>
          <w:rFonts w:hint="eastAsia"/>
        </w:rPr>
        <w:t>〔</w:t>
      </w:r>
      <w:r>
        <w:t>争议解决</w:t>
      </w:r>
      <w:r>
        <w:rPr>
          <w:rFonts w:hint="eastAsia"/>
        </w:rPr>
        <w:t>〕</w:t>
      </w:r>
      <w:r>
        <w:t>的约定处理。</w:t>
      </w:r>
    </w:p>
    <w:p w14:paraId="73FFF40F">
      <w:pPr>
        <w:pStyle w:val="20"/>
        <w:rPr>
          <w:b/>
        </w:rPr>
      </w:pPr>
      <w:bookmarkStart w:id="1812" w:name="_Toc108514055"/>
      <w:bookmarkStart w:id="1813" w:name="_Toc351203609"/>
      <w:bookmarkStart w:id="1814" w:name="_Toc296346619"/>
      <w:bookmarkStart w:id="1815" w:name="_Toc296503118"/>
      <w:bookmarkStart w:id="1816" w:name="_Toc337558825"/>
      <w:r>
        <w:rPr>
          <w:b/>
        </w:rPr>
        <w:t>17.2 不可抗力的通知</w:t>
      </w:r>
      <w:bookmarkEnd w:id="1812"/>
      <w:bookmarkEnd w:id="1813"/>
    </w:p>
    <w:bookmarkEnd w:id="1814"/>
    <w:bookmarkEnd w:id="1815"/>
    <w:bookmarkEnd w:id="1816"/>
    <w:p w14:paraId="68E1B9F9">
      <w:pPr>
        <w:spacing w:line="400" w:lineRule="exact"/>
        <w:ind w:firstLine="420" w:firstLineChars="200"/>
      </w:pPr>
      <w:r>
        <w:rPr>
          <w:rFonts w:hint="eastAsia"/>
        </w:rPr>
        <w:t>合同</w:t>
      </w:r>
      <w:r>
        <w:t>一方当事人遇到不可抗力事件，使其履行合同义务受到阻碍时，应立即通知合同另一方当事人和监理人，书面说明不可抗力和受阻碍的详细情况，并提供必要的证明。</w:t>
      </w:r>
    </w:p>
    <w:p w14:paraId="7582A22F">
      <w:pPr>
        <w:spacing w:line="400" w:lineRule="exact"/>
        <w:ind w:firstLine="420" w:firstLineChars="200"/>
      </w:pPr>
      <w:r>
        <w:t>不可抗力持续发生的，合同一方当事人应及时向合同另一方当事人和监理人提交中间报告，说明不可抗力和履行合同受阻的情况，并于不可抗力事件结束后28天内提交最终报告及有关资料。</w:t>
      </w:r>
    </w:p>
    <w:p w14:paraId="69CA3F78">
      <w:pPr>
        <w:pStyle w:val="20"/>
        <w:rPr>
          <w:b/>
        </w:rPr>
      </w:pPr>
      <w:bookmarkStart w:id="1817" w:name="_Toc351203610"/>
      <w:bookmarkStart w:id="1818" w:name="_Toc108514056"/>
      <w:bookmarkStart w:id="1819" w:name="_Toc296503119"/>
      <w:bookmarkStart w:id="1820" w:name="_Toc337558826"/>
      <w:bookmarkStart w:id="1821" w:name="_Toc296346620"/>
      <w:r>
        <w:rPr>
          <w:b/>
        </w:rPr>
        <w:t>17.3 不可抗力后果的承担</w:t>
      </w:r>
      <w:bookmarkEnd w:id="1817"/>
      <w:bookmarkEnd w:id="1818"/>
    </w:p>
    <w:bookmarkEnd w:id="1819"/>
    <w:bookmarkEnd w:id="1820"/>
    <w:bookmarkEnd w:id="1821"/>
    <w:p w14:paraId="4EDD7600">
      <w:pPr>
        <w:spacing w:line="400" w:lineRule="exact"/>
        <w:ind w:firstLine="420" w:firstLineChars="200"/>
      </w:pPr>
      <w:r>
        <w:t xml:space="preserve">17.3.1 </w:t>
      </w:r>
      <w:r>
        <w:rPr>
          <w:rFonts w:hint="eastAsia"/>
        </w:rPr>
        <w:t>不可抗力引起的后果及造成的损失由合同当事人按照法律规定及合同约定各自承担。</w:t>
      </w:r>
      <w:r>
        <w:t>不可抗力发生前已完</w:t>
      </w:r>
      <w:r>
        <w:rPr>
          <w:rFonts w:hint="eastAsia"/>
        </w:rPr>
        <w:t>成的</w:t>
      </w:r>
      <w:r>
        <w:t>工程应当按照合同约定进行计量</w:t>
      </w:r>
      <w:r>
        <w:rPr>
          <w:rFonts w:hint="eastAsia"/>
        </w:rPr>
        <w:t>支付</w:t>
      </w:r>
      <w:r>
        <w:t>。</w:t>
      </w:r>
    </w:p>
    <w:p w14:paraId="652F9A83">
      <w:pPr>
        <w:spacing w:line="400" w:lineRule="exact"/>
        <w:ind w:firstLine="420" w:firstLineChars="200"/>
      </w:pPr>
      <w:r>
        <w:t>17.3.2 不可抗力导致的人员伤亡、财产损失、费用增加和（或）工期延误等后果，由合同当事人按以下原则承担：</w:t>
      </w:r>
    </w:p>
    <w:p w14:paraId="6A4CB4BF">
      <w:pPr>
        <w:spacing w:line="400" w:lineRule="exact"/>
        <w:ind w:firstLine="420" w:firstLineChars="200"/>
      </w:pPr>
      <w:r>
        <w:t>（1）永久工程、已运至施工现场的材料和工程设备的损坏，以及因工程损坏造成的第三人人员伤亡和财产损失由发包人承担；</w:t>
      </w:r>
    </w:p>
    <w:p w14:paraId="64C2D0DC">
      <w:pPr>
        <w:spacing w:line="400" w:lineRule="exact"/>
        <w:ind w:firstLine="420" w:firstLineChars="200"/>
      </w:pPr>
      <w:r>
        <w:t>（2）承包人施工设备的损坏由承包人承担；</w:t>
      </w:r>
    </w:p>
    <w:p w14:paraId="69DBA1EB">
      <w:pPr>
        <w:spacing w:line="400" w:lineRule="exact"/>
        <w:ind w:firstLine="420" w:firstLineChars="200"/>
      </w:pPr>
      <w:r>
        <w:t>（3）发包人和承包人承担各自人员伤亡和财产的损失；</w:t>
      </w:r>
    </w:p>
    <w:p w14:paraId="137F4407">
      <w:pPr>
        <w:spacing w:line="400" w:lineRule="exact"/>
        <w:ind w:firstLine="420" w:firstLineChars="200"/>
      </w:pPr>
      <w:r>
        <w:t>（4）因不可抗力影响承包人履行合同约定的义务，已经引起或将引起工期延误的，应当顺延工期，由此导致承包人停工的费用损失由发包人和承包人合理分担，停工期间必须支付的工人工资由发包人承担；</w:t>
      </w:r>
    </w:p>
    <w:p w14:paraId="569A7C9C">
      <w:pPr>
        <w:spacing w:line="400" w:lineRule="exact"/>
        <w:ind w:firstLine="420" w:firstLineChars="200"/>
      </w:pPr>
      <w:r>
        <w:t>（5）因不可抗力引起或将引起工期延误，发包人要求赶工的，由此增加的赶工费用由发包人承担；</w:t>
      </w:r>
    </w:p>
    <w:p w14:paraId="4062A439">
      <w:pPr>
        <w:spacing w:line="400" w:lineRule="exact"/>
        <w:ind w:firstLine="420" w:firstLineChars="200"/>
      </w:pPr>
      <w:r>
        <w:t>（6）承包人在停工期间按照发包人要求照管、清理和修复工程的费用由发包人承担。</w:t>
      </w:r>
    </w:p>
    <w:p w14:paraId="36504CB2">
      <w:pPr>
        <w:spacing w:line="400" w:lineRule="exact"/>
        <w:ind w:firstLine="420" w:firstLineChars="200"/>
      </w:pPr>
      <w:r>
        <w:t>不可抗力发生后，合同当事人均应采取措施尽量避免和减少损失的扩大，任何一方当事人没有采取有效措施导致损失扩大的，应对扩大的损失承担责任。</w:t>
      </w:r>
    </w:p>
    <w:p w14:paraId="3EB85981">
      <w:pPr>
        <w:spacing w:line="400" w:lineRule="exact"/>
        <w:ind w:firstLine="420" w:firstLineChars="200"/>
      </w:pPr>
      <w:r>
        <w:t>因合同一方迟延履行合同义务，在迟延履行期间遭遇不可抗力的，不免除其违约责任。</w:t>
      </w:r>
    </w:p>
    <w:p w14:paraId="69A57F0A">
      <w:pPr>
        <w:pStyle w:val="20"/>
      </w:pPr>
      <w:bookmarkStart w:id="1822" w:name="_Toc108514057"/>
      <w:bookmarkStart w:id="1823" w:name="_Toc351203611"/>
      <w:bookmarkStart w:id="1824" w:name="_Toc337558827"/>
      <w:r>
        <w:rPr>
          <w:b/>
        </w:rPr>
        <w:t>17.4 因不可抗力解除合同</w:t>
      </w:r>
      <w:bookmarkEnd w:id="1822"/>
      <w:bookmarkEnd w:id="1823"/>
    </w:p>
    <w:bookmarkEnd w:id="1824"/>
    <w:p w14:paraId="62202392">
      <w:pPr>
        <w:spacing w:line="400" w:lineRule="exact"/>
        <w:ind w:firstLine="420" w:firstLineChars="200"/>
      </w:pPr>
      <w:r>
        <w:t>因不可抗力导致合同无法履行连续超过84天或累计超过140天的，发包人和承包人均有权解除合同。合同解除后，由双方当事人按照第4.4款</w:t>
      </w:r>
      <w:r>
        <w:rPr>
          <w:rFonts w:hint="eastAsia"/>
        </w:rPr>
        <w:t>〔</w:t>
      </w:r>
      <w:r>
        <w:t>商定或确定</w:t>
      </w:r>
      <w:r>
        <w:rPr>
          <w:rFonts w:hint="eastAsia"/>
        </w:rPr>
        <w:t>〕</w:t>
      </w:r>
      <w:r>
        <w:t>商定或确定发包人应支付的款项，该款项包括：</w:t>
      </w:r>
    </w:p>
    <w:p w14:paraId="4C8C4C3E">
      <w:pPr>
        <w:spacing w:line="400" w:lineRule="exact"/>
        <w:ind w:firstLine="420" w:firstLineChars="200"/>
      </w:pPr>
      <w:r>
        <w:t>（1）合同解除前承包人已完成工作的价款；</w:t>
      </w:r>
    </w:p>
    <w:p w14:paraId="2576CBA6">
      <w:pPr>
        <w:spacing w:line="400" w:lineRule="exact"/>
        <w:ind w:firstLine="420" w:firstLineChars="200"/>
      </w:pPr>
      <w:r>
        <w:t>（2）承包人为工程订购的并已交付给承包人，或承包人有责任接受交付的材料、工程设备和其他物品的价款；</w:t>
      </w:r>
    </w:p>
    <w:p w14:paraId="499412A5">
      <w:pPr>
        <w:spacing w:line="400" w:lineRule="exact"/>
        <w:ind w:firstLine="420" w:firstLineChars="200"/>
      </w:pPr>
      <w:r>
        <w:t>（3）发包人要求承包人退货或解除订货合同而产生的费用，或因不能退货或解除合同而产生的损失；</w:t>
      </w:r>
    </w:p>
    <w:p w14:paraId="16E113A5">
      <w:pPr>
        <w:spacing w:line="400" w:lineRule="exact"/>
        <w:ind w:firstLine="420" w:firstLineChars="200"/>
      </w:pPr>
      <w:r>
        <w:t>（4）承包人撤离施工现场以及遣散承包人人员的费用；</w:t>
      </w:r>
    </w:p>
    <w:p w14:paraId="0528BE6D">
      <w:pPr>
        <w:spacing w:line="400" w:lineRule="exact"/>
        <w:ind w:firstLine="420" w:firstLineChars="200"/>
      </w:pPr>
      <w:r>
        <w:t>（5）按照合同约定在合同解除前应支付给承包人的其他款项；</w:t>
      </w:r>
    </w:p>
    <w:p w14:paraId="437CACBE">
      <w:pPr>
        <w:spacing w:line="400" w:lineRule="exact"/>
        <w:ind w:firstLine="420" w:firstLineChars="200"/>
      </w:pPr>
      <w:r>
        <w:t>（6）扣减承包人按照合同约定应向发包人支付的款项；</w:t>
      </w:r>
    </w:p>
    <w:p w14:paraId="1381AE84">
      <w:pPr>
        <w:spacing w:line="400" w:lineRule="exact"/>
        <w:ind w:firstLine="420" w:firstLineChars="200"/>
      </w:pPr>
      <w:r>
        <w:t>（7）双方商定或确定的其他款项。</w:t>
      </w:r>
    </w:p>
    <w:p w14:paraId="786E66B9">
      <w:pPr>
        <w:spacing w:line="400" w:lineRule="exact"/>
        <w:ind w:firstLine="420" w:firstLineChars="200"/>
      </w:pPr>
      <w:r>
        <w:t>除专用合同条款另有约定外，合同解除后，发包人应在商定或确定上述款项后28天内完成上述款项的支付。</w:t>
      </w:r>
    </w:p>
    <w:p w14:paraId="3A4518CD">
      <w:pPr>
        <w:pStyle w:val="18"/>
        <w:rPr>
          <w:b/>
        </w:rPr>
      </w:pPr>
      <w:bookmarkStart w:id="1825" w:name="_Toc108514058"/>
      <w:bookmarkStart w:id="1826" w:name="_Toc351203612"/>
      <w:bookmarkStart w:id="1827" w:name="_Toc337558828"/>
      <w:bookmarkStart w:id="1828" w:name="_Toc296503120"/>
      <w:bookmarkStart w:id="1829" w:name="_Toc296346621"/>
      <w:r>
        <w:rPr>
          <w:b/>
        </w:rPr>
        <w:t>18. 保险</w:t>
      </w:r>
      <w:bookmarkEnd w:id="1825"/>
      <w:bookmarkEnd w:id="1826"/>
    </w:p>
    <w:bookmarkEnd w:id="1827"/>
    <w:bookmarkEnd w:id="1828"/>
    <w:bookmarkEnd w:id="1829"/>
    <w:p w14:paraId="525B781F">
      <w:pPr>
        <w:pStyle w:val="20"/>
        <w:rPr>
          <w:b/>
        </w:rPr>
      </w:pPr>
      <w:bookmarkStart w:id="1830" w:name="_Toc351203613"/>
      <w:bookmarkStart w:id="1831" w:name="_Toc108514059"/>
      <w:bookmarkStart w:id="1832" w:name="_Toc337558829"/>
      <w:bookmarkStart w:id="1833" w:name="_Toc296503121"/>
      <w:bookmarkStart w:id="1834" w:name="_Toc296346622"/>
      <w:r>
        <w:rPr>
          <w:b/>
        </w:rPr>
        <w:t>18.1 工程保险</w:t>
      </w:r>
      <w:bookmarkEnd w:id="1830"/>
      <w:bookmarkEnd w:id="1831"/>
    </w:p>
    <w:bookmarkEnd w:id="1832"/>
    <w:bookmarkEnd w:id="1833"/>
    <w:bookmarkEnd w:id="1834"/>
    <w:p w14:paraId="19F5500A">
      <w:pPr>
        <w:spacing w:line="400" w:lineRule="exact"/>
        <w:ind w:firstLine="420" w:firstLineChars="200"/>
      </w:pPr>
      <w:r>
        <w:t>除专用合同条款另有约定外，发包人应投保建筑工程一切险或安装工程一切险；发包人委托承包人投保的，因投保产生的保险费和其他相关费用由发包人承担。</w:t>
      </w:r>
    </w:p>
    <w:p w14:paraId="2594079D">
      <w:pPr>
        <w:pStyle w:val="20"/>
        <w:rPr>
          <w:b/>
        </w:rPr>
      </w:pPr>
      <w:bookmarkStart w:id="1835" w:name="_Toc351203614"/>
      <w:bookmarkStart w:id="1836" w:name="_Toc108514060"/>
      <w:bookmarkStart w:id="1837" w:name="_Toc296346623"/>
      <w:bookmarkStart w:id="1838" w:name="_Toc337558830"/>
      <w:bookmarkStart w:id="1839" w:name="_Toc296503122"/>
      <w:r>
        <w:rPr>
          <w:b/>
        </w:rPr>
        <w:t>18.2 工伤保险</w:t>
      </w:r>
      <w:bookmarkEnd w:id="1835"/>
      <w:bookmarkEnd w:id="1836"/>
    </w:p>
    <w:bookmarkEnd w:id="1837"/>
    <w:bookmarkEnd w:id="1838"/>
    <w:bookmarkEnd w:id="1839"/>
    <w:p w14:paraId="18A639B4">
      <w:pPr>
        <w:spacing w:line="400" w:lineRule="exact"/>
        <w:ind w:firstLine="420" w:firstLineChars="200"/>
      </w:pPr>
      <w:r>
        <w:t>18.2.1 发包人应依照法律规定参加工伤保险，并为在施工现场的全部员工办理工伤保险，缴纳工伤保险费，并要求监理人及由发包人为履行合同聘请的第三方依法参加工伤保险。</w:t>
      </w:r>
    </w:p>
    <w:p w14:paraId="11BEA705">
      <w:pPr>
        <w:spacing w:line="400" w:lineRule="exact"/>
        <w:ind w:firstLine="420" w:firstLineChars="200"/>
      </w:pPr>
      <w:r>
        <w:t>18.2.2 承包人应依照法律规定参加工伤保险，并为其履行合同的全部员工办理工伤保险，缴纳工伤保险费，并要求分包人及由承包人为履行合同聘请的第三方依法参加工伤保险。</w:t>
      </w:r>
    </w:p>
    <w:p w14:paraId="20D722A0">
      <w:pPr>
        <w:pStyle w:val="20"/>
        <w:rPr>
          <w:b/>
        </w:rPr>
      </w:pPr>
      <w:bookmarkStart w:id="1840" w:name="_Toc351203615"/>
      <w:bookmarkStart w:id="1841" w:name="_Toc108514061"/>
      <w:bookmarkStart w:id="1842" w:name="_Toc296503125"/>
      <w:bookmarkStart w:id="1843" w:name="_Toc296346626"/>
      <w:bookmarkStart w:id="1844" w:name="_Toc337558831"/>
      <w:r>
        <w:rPr>
          <w:b/>
        </w:rPr>
        <w:t>18.3其他保险</w:t>
      </w:r>
      <w:bookmarkEnd w:id="1840"/>
      <w:bookmarkEnd w:id="1841"/>
    </w:p>
    <w:bookmarkEnd w:id="1842"/>
    <w:bookmarkEnd w:id="1843"/>
    <w:bookmarkEnd w:id="1844"/>
    <w:p w14:paraId="685B3CAB">
      <w:pPr>
        <w:spacing w:line="400" w:lineRule="exact"/>
        <w:ind w:firstLine="420" w:firstLineChars="200"/>
      </w:pPr>
      <w:r>
        <w:t>发包人和承包人可以为其施工现场的全部人员办理意外伤害保险并支付保险费，包括其员工及为履行合同聘请的第三方的人员，具体事项由合同当事人在专用合同条款约定。</w:t>
      </w:r>
    </w:p>
    <w:p w14:paraId="23A352B6">
      <w:pPr>
        <w:spacing w:line="400" w:lineRule="exact"/>
        <w:ind w:firstLine="420" w:firstLineChars="200"/>
      </w:pPr>
      <w:r>
        <w:t>除专用合同条款另有约定外，承包人应为其施工设备等办理财产保险。</w:t>
      </w:r>
    </w:p>
    <w:p w14:paraId="68189BD0">
      <w:pPr>
        <w:pStyle w:val="20"/>
        <w:rPr>
          <w:b/>
        </w:rPr>
      </w:pPr>
      <w:bookmarkStart w:id="1845" w:name="_Toc351203616"/>
      <w:bookmarkStart w:id="1846" w:name="_Toc108514062"/>
      <w:r>
        <w:rPr>
          <w:b/>
        </w:rPr>
        <w:t>18.4持续保险</w:t>
      </w:r>
      <w:bookmarkEnd w:id="1845"/>
      <w:bookmarkEnd w:id="1846"/>
    </w:p>
    <w:p w14:paraId="6ED873AA">
      <w:pPr>
        <w:spacing w:line="400" w:lineRule="exact"/>
        <w:ind w:firstLine="420" w:firstLineChars="200"/>
      </w:pPr>
      <w:r>
        <w:t>合同当事人应与保险人保持联系，使保险人能够随时了解工程实施中的变动，并确保按保险合同条款要求持续保险。</w:t>
      </w:r>
    </w:p>
    <w:p w14:paraId="6F4DDEF6">
      <w:pPr>
        <w:pStyle w:val="20"/>
        <w:rPr>
          <w:b/>
        </w:rPr>
      </w:pPr>
      <w:bookmarkStart w:id="1847" w:name="_Toc351203617"/>
      <w:bookmarkStart w:id="1848" w:name="_Toc108514063"/>
      <w:bookmarkStart w:id="1849" w:name="_Toc337558832"/>
      <w:bookmarkStart w:id="1850" w:name="_Toc296503126"/>
      <w:bookmarkStart w:id="1851" w:name="_Toc296346627"/>
      <w:r>
        <w:rPr>
          <w:b/>
        </w:rPr>
        <w:t>18.5 保险凭证</w:t>
      </w:r>
      <w:bookmarkEnd w:id="1847"/>
      <w:bookmarkEnd w:id="1848"/>
    </w:p>
    <w:bookmarkEnd w:id="1849"/>
    <w:bookmarkEnd w:id="1850"/>
    <w:bookmarkEnd w:id="1851"/>
    <w:p w14:paraId="43A84EDF">
      <w:pPr>
        <w:spacing w:line="400" w:lineRule="exact"/>
        <w:ind w:firstLine="420" w:firstLineChars="200"/>
      </w:pPr>
      <w:r>
        <w:t>合同当事人应及时向另一方当事人提交其已投保的各项保险的凭证和保险单复印件。</w:t>
      </w:r>
    </w:p>
    <w:p w14:paraId="2C038328">
      <w:pPr>
        <w:pStyle w:val="20"/>
        <w:rPr>
          <w:b/>
        </w:rPr>
      </w:pPr>
      <w:bookmarkStart w:id="1852" w:name="_Toc108514064"/>
      <w:bookmarkStart w:id="1853" w:name="_Toc351203618"/>
      <w:bookmarkStart w:id="1854" w:name="_Toc337558833"/>
      <w:bookmarkStart w:id="1855" w:name="_Toc296503127"/>
      <w:bookmarkStart w:id="1856" w:name="_Toc296346628"/>
      <w:r>
        <w:rPr>
          <w:b/>
        </w:rPr>
        <w:t>18.6 未按约定投保的补救</w:t>
      </w:r>
      <w:bookmarkEnd w:id="1852"/>
      <w:bookmarkEnd w:id="1853"/>
    </w:p>
    <w:bookmarkEnd w:id="1854"/>
    <w:bookmarkEnd w:id="1855"/>
    <w:bookmarkEnd w:id="1856"/>
    <w:p w14:paraId="4FD9B3A2">
      <w:pPr>
        <w:spacing w:line="400" w:lineRule="exact"/>
        <w:ind w:firstLine="420" w:firstLineChars="200"/>
      </w:pPr>
      <w:r>
        <w:t>18.6.1发包人未按合同约定办理保险，或未能使保险持续有效的，则承包人可代为办理，所需费用由发包人承担。发包人未按合同约定办理保险，导致未能得到足额赔偿的，由发包人负责补足。</w:t>
      </w:r>
    </w:p>
    <w:p w14:paraId="2DF662CB">
      <w:pPr>
        <w:spacing w:line="400" w:lineRule="exact"/>
        <w:ind w:firstLine="420" w:firstLineChars="200"/>
        <w:rPr>
          <w:rFonts w:hint="eastAsia"/>
        </w:rPr>
      </w:pPr>
      <w:r>
        <w:t>18.6.2承包人未按合同约定办理保险，或未能使保险持续有效的，则发包人可代为办理，所需费用由承包人承担。承包人未按合同约定办理保险，导致未能得到足额赔偿的，由承包人负责补足。</w:t>
      </w:r>
    </w:p>
    <w:p w14:paraId="70ACC75F">
      <w:pPr>
        <w:pStyle w:val="20"/>
        <w:rPr>
          <w:b/>
        </w:rPr>
      </w:pPr>
      <w:bookmarkStart w:id="1857" w:name="_Toc351203619"/>
      <w:bookmarkStart w:id="1858" w:name="_Toc108514065"/>
      <w:bookmarkStart w:id="1859" w:name="_Toc337558834"/>
      <w:r>
        <w:rPr>
          <w:b/>
        </w:rPr>
        <w:t>18.7 通知义务</w:t>
      </w:r>
      <w:bookmarkEnd w:id="1857"/>
      <w:bookmarkEnd w:id="1858"/>
    </w:p>
    <w:bookmarkEnd w:id="1859"/>
    <w:p w14:paraId="628260B3">
      <w:pPr>
        <w:spacing w:line="400" w:lineRule="exact"/>
        <w:ind w:firstLine="420" w:firstLineChars="200"/>
      </w:pPr>
      <w:r>
        <w:t>除专用合同条款另有约定外，发包人变更除工伤保险之外的保险合同时，应事先征得承包人同意，并通知监理人；承包人变更除工伤保险之外的保险合同时，应事先征得发包人同意，并通知监理人。</w:t>
      </w:r>
    </w:p>
    <w:p w14:paraId="53465D9A">
      <w:pPr>
        <w:spacing w:line="400" w:lineRule="exact"/>
        <w:ind w:firstLine="420" w:firstLineChars="200"/>
      </w:pPr>
      <w:r>
        <w:t>保险事故发生时，投保人应按照保险合同规定的条件和期限及时向保险人报告。发包人和承包人应当在知道保险事故发生后及时通知对方。</w:t>
      </w:r>
    </w:p>
    <w:p w14:paraId="40462495">
      <w:pPr>
        <w:pStyle w:val="18"/>
        <w:rPr>
          <w:b/>
        </w:rPr>
      </w:pPr>
      <w:bookmarkStart w:id="1860" w:name="_Toc108514066"/>
      <w:bookmarkStart w:id="1861" w:name="_Toc351203620"/>
      <w:bookmarkStart w:id="1862" w:name="_Toc296346641"/>
      <w:bookmarkStart w:id="1863" w:name="_Toc337558835"/>
      <w:bookmarkStart w:id="1864" w:name="_Toc296503140"/>
      <w:r>
        <w:rPr>
          <w:b/>
        </w:rPr>
        <w:t>19. 索赔</w:t>
      </w:r>
      <w:bookmarkEnd w:id="1860"/>
      <w:bookmarkEnd w:id="1861"/>
    </w:p>
    <w:bookmarkEnd w:id="1862"/>
    <w:bookmarkEnd w:id="1863"/>
    <w:bookmarkEnd w:id="1864"/>
    <w:p w14:paraId="488BA38D">
      <w:pPr>
        <w:pStyle w:val="20"/>
        <w:rPr>
          <w:b/>
        </w:rPr>
      </w:pPr>
      <w:bookmarkStart w:id="1865" w:name="_Toc108514067"/>
      <w:bookmarkStart w:id="1866" w:name="_Toc351203621"/>
      <w:bookmarkStart w:id="1867" w:name="_Toc337558836"/>
      <w:bookmarkStart w:id="1868" w:name="_Toc296503141"/>
      <w:bookmarkStart w:id="1869" w:name="_Toc296346642"/>
      <w:r>
        <w:rPr>
          <w:b/>
        </w:rPr>
        <w:t>19.1承包人的索赔</w:t>
      </w:r>
      <w:bookmarkEnd w:id="1865"/>
      <w:bookmarkEnd w:id="1866"/>
    </w:p>
    <w:bookmarkEnd w:id="1867"/>
    <w:bookmarkEnd w:id="1868"/>
    <w:bookmarkEnd w:id="1869"/>
    <w:p w14:paraId="1E0AAB37">
      <w:pPr>
        <w:spacing w:line="400" w:lineRule="exact"/>
        <w:ind w:firstLine="420" w:firstLineChars="200"/>
      </w:pPr>
      <w:r>
        <w:t>根据合同约定，承包人认为有权得到追加付款和（或）延长工期的，应按以下程序向</w:t>
      </w:r>
      <w:r>
        <w:rPr>
          <w:rFonts w:hint="eastAsia"/>
        </w:rPr>
        <w:t>发包</w:t>
      </w:r>
      <w:r>
        <w:t>人提出索赔：</w:t>
      </w:r>
    </w:p>
    <w:p w14:paraId="3835F5BB">
      <w:pPr>
        <w:spacing w:line="400" w:lineRule="exact"/>
        <w:ind w:firstLine="420" w:firstLineChars="200"/>
      </w:pPr>
      <w:r>
        <w:t>（1）承包人应在知道或应当知道索赔事件发生后28天内，向监理人递交索赔意向通知书，并说明发生索赔事件的事由；承包人未在前述28天内发出索赔意向通知书的，丧失要求追加付款和（或）延长工期的权利；</w:t>
      </w:r>
    </w:p>
    <w:p w14:paraId="34976770">
      <w:pPr>
        <w:spacing w:line="400" w:lineRule="exact"/>
        <w:ind w:firstLine="420" w:firstLineChars="200"/>
      </w:pPr>
      <w:r>
        <w:t>（2）承包人应在发出索赔意向通知书后28天内，向监理人正式递交索赔报告；索赔报告应详细说明索赔理由以及要求追加的付款金额和（或）延长的工期，并附必要的记录和证明材料；</w:t>
      </w:r>
    </w:p>
    <w:p w14:paraId="128C1126">
      <w:pPr>
        <w:spacing w:line="400" w:lineRule="exact"/>
        <w:ind w:firstLine="420" w:firstLineChars="200"/>
      </w:pPr>
      <w:r>
        <w:t>（3）索赔事件具有持续影响的，承包人应按合理时间间隔继续递交延续索赔通知，说明持续影响的实际情况和记录，列出累计的追加付款金额和（或）工期延长天数；</w:t>
      </w:r>
    </w:p>
    <w:p w14:paraId="0EFA8229">
      <w:pPr>
        <w:spacing w:line="400" w:lineRule="exact"/>
        <w:ind w:firstLine="420" w:firstLineChars="200"/>
        <w:rPr>
          <w:rFonts w:hint="eastAsia"/>
        </w:rPr>
      </w:pPr>
      <w:r>
        <w:t>（4）在索赔事件影响结束后28天内，承包人应向监理人递交最终索赔报告，说明最终要求索赔的追加付款金额和（或）延长的工期，并附必要的记录和证明材料。</w:t>
      </w:r>
    </w:p>
    <w:p w14:paraId="1FACDAE2">
      <w:pPr>
        <w:pStyle w:val="20"/>
        <w:rPr>
          <w:b/>
        </w:rPr>
      </w:pPr>
      <w:bookmarkStart w:id="1870" w:name="_Toc108514068"/>
      <w:bookmarkStart w:id="1871" w:name="_Toc351203622"/>
      <w:bookmarkStart w:id="1872" w:name="_Toc296503142"/>
      <w:bookmarkStart w:id="1873" w:name="_Toc337558837"/>
      <w:bookmarkStart w:id="1874" w:name="_Toc296346643"/>
      <w:r>
        <w:rPr>
          <w:b/>
        </w:rPr>
        <w:t>19.2 对承包人索赔的处理</w:t>
      </w:r>
      <w:bookmarkEnd w:id="1870"/>
      <w:bookmarkEnd w:id="1871"/>
    </w:p>
    <w:bookmarkEnd w:id="1872"/>
    <w:bookmarkEnd w:id="1873"/>
    <w:bookmarkEnd w:id="1874"/>
    <w:p w14:paraId="219D52C4">
      <w:pPr>
        <w:spacing w:line="400" w:lineRule="exact"/>
        <w:ind w:firstLine="420" w:firstLineChars="200"/>
      </w:pPr>
      <w:r>
        <w:t>对承包人索赔的处理如下：</w:t>
      </w:r>
    </w:p>
    <w:p w14:paraId="4D3B617B">
      <w:pPr>
        <w:spacing w:line="400" w:lineRule="exact"/>
        <w:ind w:firstLine="420" w:firstLineChars="200"/>
      </w:pPr>
      <w:r>
        <w:t>（1）监理人应在收到索赔报告后14天内完成审查并报送发包人。监理人对索赔报告存在异议的，有权要求承包人提交全部原始记录副本；</w:t>
      </w:r>
    </w:p>
    <w:p w14:paraId="30DBA13D">
      <w:pPr>
        <w:spacing w:line="400" w:lineRule="exact"/>
        <w:ind w:firstLine="420" w:firstLineChars="200"/>
      </w:pPr>
      <w:r>
        <w:t>（2）发包人应在监理人收到索赔报告或有关索赔的进一步证明材料后的28天内，由监理人向承包人出具经发包人签认的索赔处理结果。发包人逾期答复的，则视为认可承包人的索赔要求；</w:t>
      </w:r>
    </w:p>
    <w:p w14:paraId="637DD8FC">
      <w:pPr>
        <w:spacing w:line="400" w:lineRule="exact"/>
        <w:ind w:firstLine="420" w:firstLineChars="200"/>
      </w:pPr>
      <w:r>
        <w:t>（3）承包人接受索赔处理结果的，索赔款项在当期进度款中进行支付；承包人不接受索赔处理结果的，按照第20条</w:t>
      </w:r>
      <w:r>
        <w:rPr>
          <w:rFonts w:hint="eastAsia"/>
        </w:rPr>
        <w:t>〔</w:t>
      </w:r>
      <w:r>
        <w:t>争议解决</w:t>
      </w:r>
      <w:r>
        <w:rPr>
          <w:rFonts w:hint="eastAsia"/>
        </w:rPr>
        <w:t>〕</w:t>
      </w:r>
      <w:r>
        <w:t>约定处理。</w:t>
      </w:r>
    </w:p>
    <w:p w14:paraId="278E1EF9">
      <w:pPr>
        <w:pStyle w:val="20"/>
        <w:rPr>
          <w:b/>
        </w:rPr>
      </w:pPr>
      <w:bookmarkStart w:id="1875" w:name="_Toc108514069"/>
      <w:bookmarkStart w:id="1876" w:name="_Toc351203623"/>
      <w:bookmarkStart w:id="1877" w:name="_Toc337558838"/>
      <w:bookmarkStart w:id="1878" w:name="_Toc296503143"/>
      <w:bookmarkStart w:id="1879" w:name="_Toc296346644"/>
      <w:r>
        <w:rPr>
          <w:b/>
        </w:rPr>
        <w:t>19.3发包人的索赔</w:t>
      </w:r>
      <w:bookmarkEnd w:id="1875"/>
      <w:bookmarkEnd w:id="1876"/>
    </w:p>
    <w:bookmarkEnd w:id="1877"/>
    <w:bookmarkEnd w:id="1878"/>
    <w:bookmarkEnd w:id="1879"/>
    <w:p w14:paraId="662F77E5">
      <w:pPr>
        <w:spacing w:line="400" w:lineRule="exact"/>
        <w:ind w:firstLine="420" w:firstLineChars="200"/>
      </w:pPr>
      <w:r>
        <w:t>根据合同约定，发包人认为有权得到赔付金额和（或）延长缺陷责任期的，监理人应向承包人发出通知并附有详细的证明。</w:t>
      </w:r>
    </w:p>
    <w:p w14:paraId="46AACF71">
      <w:pPr>
        <w:spacing w:line="400" w:lineRule="exact"/>
        <w:ind w:firstLine="420" w:firstLineChars="200"/>
        <w:rPr>
          <w:rFonts w:hint="eastAsia"/>
        </w:rPr>
      </w:pPr>
      <w: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87CB410">
      <w:pPr>
        <w:pStyle w:val="20"/>
        <w:rPr>
          <w:b/>
        </w:rPr>
      </w:pPr>
      <w:bookmarkStart w:id="1880" w:name="_Toc108514070"/>
      <w:bookmarkStart w:id="1881" w:name="_Toc351203624"/>
      <w:bookmarkStart w:id="1882" w:name="_Toc296503144"/>
      <w:bookmarkStart w:id="1883" w:name="_Toc296346645"/>
      <w:bookmarkStart w:id="1884" w:name="_Toc337558839"/>
      <w:r>
        <w:rPr>
          <w:b/>
        </w:rPr>
        <w:t>19.4 对发包人索赔的处理</w:t>
      </w:r>
      <w:bookmarkEnd w:id="1880"/>
      <w:bookmarkEnd w:id="1881"/>
    </w:p>
    <w:bookmarkEnd w:id="1882"/>
    <w:bookmarkEnd w:id="1883"/>
    <w:bookmarkEnd w:id="1884"/>
    <w:p w14:paraId="0D6B6288">
      <w:pPr>
        <w:spacing w:line="400" w:lineRule="exact"/>
        <w:ind w:firstLine="420" w:firstLineChars="200"/>
      </w:pPr>
      <w:r>
        <w:t>对发包人索赔的处理如下：</w:t>
      </w:r>
    </w:p>
    <w:p w14:paraId="2DE471D7">
      <w:pPr>
        <w:spacing w:line="400" w:lineRule="exact"/>
        <w:ind w:firstLine="420" w:firstLineChars="200"/>
      </w:pPr>
      <w:r>
        <w:t>（1）承包人收到发包人提交的索赔报告后，应及时审查索赔报告的内容、查验发包人证明材料；</w:t>
      </w:r>
    </w:p>
    <w:p w14:paraId="67DE2E29">
      <w:pPr>
        <w:spacing w:line="400" w:lineRule="exact"/>
        <w:ind w:firstLine="420" w:firstLineChars="200"/>
      </w:pPr>
      <w:r>
        <w:t>（2）承包人应在收到索赔报告或有关索赔的进一步证明材料后28天内，将索赔处理结果答复发包人。如果承包人未在上述期限内作出答复的，则视为对发包人索赔要求的认可；</w:t>
      </w:r>
    </w:p>
    <w:p w14:paraId="1239AC26">
      <w:pPr>
        <w:spacing w:line="400" w:lineRule="exact"/>
        <w:ind w:firstLine="420" w:firstLineChars="200"/>
      </w:pPr>
      <w:r>
        <w:t>（3）承包人接受索赔处理结果的，发包人可从应支付给承包人的合同价款中扣除赔付的金额或延长缺陷责任期；发包人不接受索赔处理结果的，按第20条</w:t>
      </w:r>
      <w:r>
        <w:rPr>
          <w:rFonts w:hint="eastAsia"/>
        </w:rPr>
        <w:t>〔</w:t>
      </w:r>
      <w:r>
        <w:t>争议解决</w:t>
      </w:r>
      <w:r>
        <w:rPr>
          <w:rFonts w:hint="eastAsia"/>
        </w:rPr>
        <w:t>〕</w:t>
      </w:r>
      <w:r>
        <w:t>约定处理。</w:t>
      </w:r>
    </w:p>
    <w:p w14:paraId="26A10BE6">
      <w:pPr>
        <w:pStyle w:val="20"/>
        <w:rPr>
          <w:b/>
        </w:rPr>
      </w:pPr>
      <w:bookmarkStart w:id="1885" w:name="_Toc351203625"/>
      <w:bookmarkStart w:id="1886" w:name="_Toc108514071"/>
      <w:r>
        <w:rPr>
          <w:b/>
        </w:rPr>
        <w:t>19.5 提出索赔的期限</w:t>
      </w:r>
      <w:bookmarkEnd w:id="1885"/>
      <w:bookmarkEnd w:id="1886"/>
    </w:p>
    <w:p w14:paraId="4E9C0C13">
      <w:pPr>
        <w:spacing w:line="400" w:lineRule="exact"/>
        <w:ind w:firstLine="420" w:firstLineChars="200"/>
      </w:pPr>
      <w:r>
        <w:t>（1）承包人按第14.2款</w:t>
      </w:r>
      <w:r>
        <w:rPr>
          <w:rFonts w:hint="eastAsia"/>
        </w:rPr>
        <w:t>〔</w:t>
      </w:r>
      <w:r>
        <w:t>竣工结算审核</w:t>
      </w:r>
      <w:r>
        <w:rPr>
          <w:rFonts w:hint="eastAsia"/>
        </w:rPr>
        <w:t>〕</w:t>
      </w:r>
      <w:r>
        <w:t>约定接收竣工付款证书后，应被视为已无权再提出在工程接收证书颁发前所发生的任何索赔。</w:t>
      </w:r>
    </w:p>
    <w:p w14:paraId="6BF8628C">
      <w:pPr>
        <w:spacing w:line="400" w:lineRule="exact"/>
        <w:ind w:firstLine="420" w:firstLineChars="200"/>
      </w:pPr>
      <w:r>
        <w:t>（2）承包人按第14.4款</w:t>
      </w:r>
      <w:r>
        <w:rPr>
          <w:rFonts w:hint="eastAsia"/>
        </w:rPr>
        <w:t>〔</w:t>
      </w:r>
      <w:r>
        <w:t>最终结清</w:t>
      </w:r>
      <w:r>
        <w:rPr>
          <w:rFonts w:hint="eastAsia"/>
        </w:rPr>
        <w:t>〕</w:t>
      </w:r>
      <w:r>
        <w:t>提交的最终结清申请单中，只限于提出工程接收证书颁发后发生的索赔。提出索赔的期限自接受最终结清证书时终止。</w:t>
      </w:r>
    </w:p>
    <w:p w14:paraId="6217B50B">
      <w:pPr>
        <w:pStyle w:val="18"/>
        <w:rPr>
          <w:b/>
        </w:rPr>
      </w:pPr>
      <w:bookmarkStart w:id="1887" w:name="_Toc351203626"/>
      <w:bookmarkStart w:id="1888" w:name="_Toc108514072"/>
      <w:r>
        <w:rPr>
          <w:b/>
        </w:rPr>
        <w:t>20</w:t>
      </w:r>
      <w:bookmarkStart w:id="1889" w:name="_Toc337558840"/>
      <w:bookmarkStart w:id="1890" w:name="_Toc296503146"/>
      <w:bookmarkStart w:id="1891" w:name="_Toc296346647"/>
      <w:r>
        <w:rPr>
          <w:b/>
        </w:rPr>
        <w:t>. 争议解决</w:t>
      </w:r>
      <w:bookmarkEnd w:id="1887"/>
      <w:bookmarkEnd w:id="1888"/>
    </w:p>
    <w:bookmarkEnd w:id="1889"/>
    <w:bookmarkEnd w:id="1890"/>
    <w:bookmarkEnd w:id="1891"/>
    <w:p w14:paraId="7A40D416">
      <w:pPr>
        <w:pStyle w:val="20"/>
        <w:rPr>
          <w:b/>
        </w:rPr>
      </w:pPr>
      <w:bookmarkStart w:id="1892" w:name="_Toc351203627"/>
      <w:bookmarkStart w:id="1893" w:name="_Toc108514073"/>
      <w:bookmarkStart w:id="1894" w:name="_Toc296346648"/>
      <w:bookmarkStart w:id="1895" w:name="_Toc296503147"/>
      <w:bookmarkStart w:id="1896" w:name="_Toc337558841"/>
      <w:r>
        <w:rPr>
          <w:b/>
        </w:rPr>
        <w:t>20.1和解</w:t>
      </w:r>
      <w:bookmarkEnd w:id="1892"/>
      <w:bookmarkEnd w:id="1893"/>
    </w:p>
    <w:bookmarkEnd w:id="1894"/>
    <w:bookmarkEnd w:id="1895"/>
    <w:bookmarkEnd w:id="1896"/>
    <w:p w14:paraId="268DEDCA">
      <w:pPr>
        <w:spacing w:line="400" w:lineRule="exact"/>
        <w:ind w:firstLine="420" w:firstLineChars="200"/>
      </w:pPr>
      <w:r>
        <w:t>合同当事人可以就争议自行和解，自行和解达成协议的经双方签字并盖章后作为合同补充文件，双方均应遵照执行。</w:t>
      </w:r>
    </w:p>
    <w:p w14:paraId="32FC3291">
      <w:pPr>
        <w:pStyle w:val="20"/>
        <w:rPr>
          <w:b/>
        </w:rPr>
      </w:pPr>
      <w:bookmarkStart w:id="1897" w:name="_Toc108514074"/>
      <w:bookmarkStart w:id="1898" w:name="_Toc351203628"/>
      <w:r>
        <w:rPr>
          <w:b/>
        </w:rPr>
        <w:t>20</w:t>
      </w:r>
      <w:bookmarkStart w:id="1899" w:name="_Toc296346649"/>
      <w:bookmarkStart w:id="1900" w:name="_Toc337558842"/>
      <w:bookmarkStart w:id="1901" w:name="_Toc296503148"/>
      <w:r>
        <w:rPr>
          <w:b/>
        </w:rPr>
        <w:t>.2调解</w:t>
      </w:r>
      <w:bookmarkEnd w:id="1897"/>
      <w:bookmarkEnd w:id="1898"/>
    </w:p>
    <w:bookmarkEnd w:id="1899"/>
    <w:bookmarkEnd w:id="1900"/>
    <w:bookmarkEnd w:id="1901"/>
    <w:p w14:paraId="69E166BD">
      <w:pPr>
        <w:spacing w:line="400" w:lineRule="exact"/>
        <w:ind w:firstLine="420" w:firstLineChars="200"/>
      </w:pPr>
      <w:r>
        <w:t>合同当事人可以就争议请求建设行政主管部门</w:t>
      </w:r>
      <w:r>
        <w:rPr>
          <w:rFonts w:hint="eastAsia"/>
        </w:rPr>
        <w:t>、行业协会</w:t>
      </w:r>
      <w:r>
        <w:t>或</w:t>
      </w:r>
      <w:r>
        <w:rPr>
          <w:rFonts w:hint="eastAsia"/>
        </w:rPr>
        <w:t>其他</w:t>
      </w:r>
      <w:r>
        <w:t>第三方进行调解，调解达成协议的，经双方签字并盖章后作为合同补充文件，双方均应遵照执行。</w:t>
      </w:r>
    </w:p>
    <w:p w14:paraId="12461CDF">
      <w:pPr>
        <w:pStyle w:val="20"/>
        <w:rPr>
          <w:b/>
        </w:rPr>
      </w:pPr>
      <w:bookmarkStart w:id="1902" w:name="_Toc108514075"/>
      <w:bookmarkStart w:id="1903" w:name="_Toc351203629"/>
      <w:bookmarkStart w:id="1904" w:name="_Toc296503149"/>
      <w:bookmarkStart w:id="1905" w:name="_Toc337558843"/>
      <w:bookmarkStart w:id="1906" w:name="_Toc296346650"/>
      <w:r>
        <w:rPr>
          <w:b/>
        </w:rPr>
        <w:t>20.3争议评审</w:t>
      </w:r>
      <w:bookmarkEnd w:id="1902"/>
      <w:bookmarkEnd w:id="1903"/>
    </w:p>
    <w:bookmarkEnd w:id="1904"/>
    <w:bookmarkEnd w:id="1905"/>
    <w:bookmarkEnd w:id="1906"/>
    <w:p w14:paraId="23696546">
      <w:pPr>
        <w:spacing w:line="400" w:lineRule="exact"/>
        <w:ind w:firstLine="420" w:firstLineChars="200"/>
      </w:pPr>
      <w:r>
        <w:t>合同当事人在专用合同条款中约定采取争议评审方式解决争议</w:t>
      </w:r>
      <w:r>
        <w:rPr>
          <w:rFonts w:hint="eastAsia"/>
        </w:rPr>
        <w:t>以及评审规则，并</w:t>
      </w:r>
      <w:r>
        <w:t xml:space="preserve">按下列约定执行： </w:t>
      </w:r>
    </w:p>
    <w:p w14:paraId="25B416C7">
      <w:pPr>
        <w:spacing w:line="400" w:lineRule="exact"/>
        <w:ind w:firstLine="420" w:firstLineChars="200"/>
      </w:pPr>
      <w:r>
        <w:t>20.3.1 争议评审小组的确定</w:t>
      </w:r>
    </w:p>
    <w:p w14:paraId="3B490C40">
      <w:pPr>
        <w:spacing w:line="400" w:lineRule="exact"/>
        <w:ind w:firstLine="420" w:firstLineChars="200"/>
      </w:pPr>
      <w:r>
        <w:t>合同当事人可以共同选择一名或三名争议评审员，组成争议评审小组。除专用合同条款另有约定外，合同当事人应当自合同签订后28天内，或者争议发生后14天内，选定争议评审员。</w:t>
      </w:r>
    </w:p>
    <w:p w14:paraId="04C7E98B">
      <w:pPr>
        <w:spacing w:line="400" w:lineRule="exact"/>
        <w:ind w:firstLine="420" w:firstLineChars="200"/>
      </w:pPr>
      <w: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rPr>
        <w:t>评审</w:t>
      </w:r>
      <w:r>
        <w:t xml:space="preserve">机构指定第三名首席争议评审员。 </w:t>
      </w:r>
    </w:p>
    <w:p w14:paraId="5834A1EE">
      <w:pPr>
        <w:spacing w:line="400" w:lineRule="exact"/>
        <w:ind w:firstLine="420" w:firstLineChars="200"/>
      </w:pPr>
      <w:r>
        <w:t>除专用合同条款另有约定外，评审员报酬由发包人和承包人各承担一半。</w:t>
      </w:r>
    </w:p>
    <w:p w14:paraId="22668BAC">
      <w:pPr>
        <w:spacing w:line="400" w:lineRule="exact"/>
        <w:ind w:firstLine="420" w:firstLineChars="200"/>
      </w:pPr>
      <w:r>
        <w:t>20.3.2 争议评审小组的决定</w:t>
      </w:r>
    </w:p>
    <w:p w14:paraId="0AF19793">
      <w:pPr>
        <w:spacing w:line="400" w:lineRule="exact"/>
        <w:ind w:firstLine="420" w:firstLineChars="200"/>
        <w:rPr>
          <w:rFonts w:hint="eastAsia"/>
        </w:rPr>
      </w:pPr>
      <w: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61A7C9C1">
      <w:pPr>
        <w:spacing w:line="400" w:lineRule="exact"/>
        <w:ind w:firstLine="420" w:firstLineChars="200"/>
      </w:pPr>
      <w:r>
        <w:t>20.3.3 争议评审小组决定的效力</w:t>
      </w:r>
    </w:p>
    <w:p w14:paraId="6BF46A12">
      <w:pPr>
        <w:spacing w:line="400" w:lineRule="exact"/>
        <w:ind w:firstLine="420" w:firstLineChars="200"/>
      </w:pPr>
      <w:r>
        <w:t>争议评审小组作出的书面决定经合同当事人签字确认后，对双方具有约束力，双方应遵照执行。</w:t>
      </w:r>
    </w:p>
    <w:p w14:paraId="69173E40">
      <w:pPr>
        <w:spacing w:line="400" w:lineRule="exact"/>
        <w:ind w:firstLine="420" w:firstLineChars="200"/>
      </w:pPr>
      <w:r>
        <w:t>任何一方当事人不接受争议评审小组决定</w:t>
      </w:r>
      <w:r>
        <w:rPr>
          <w:rFonts w:hint="eastAsia"/>
        </w:rPr>
        <w:t>或不履行争议评审小组决定的</w:t>
      </w:r>
      <w:r>
        <w:t>，双方可选择采用其他争议解决方式。</w:t>
      </w:r>
    </w:p>
    <w:p w14:paraId="059E6F28">
      <w:pPr>
        <w:pStyle w:val="20"/>
        <w:rPr>
          <w:b/>
        </w:rPr>
      </w:pPr>
      <w:bookmarkStart w:id="1907" w:name="_Toc108514076"/>
      <w:bookmarkStart w:id="1908" w:name="_Toc351203630"/>
      <w:bookmarkStart w:id="1909" w:name="_Toc296503150"/>
      <w:bookmarkStart w:id="1910" w:name="_Toc337558844"/>
      <w:bookmarkStart w:id="1911" w:name="_Toc296346651"/>
      <w:r>
        <w:rPr>
          <w:b/>
        </w:rPr>
        <w:t>20.4仲裁或诉讼</w:t>
      </w:r>
      <w:bookmarkEnd w:id="1907"/>
      <w:bookmarkEnd w:id="1908"/>
    </w:p>
    <w:bookmarkEnd w:id="1909"/>
    <w:bookmarkEnd w:id="1910"/>
    <w:bookmarkEnd w:id="1911"/>
    <w:p w14:paraId="4F44A46C">
      <w:pPr>
        <w:spacing w:line="400" w:lineRule="exact"/>
        <w:ind w:firstLine="420" w:firstLineChars="200"/>
      </w:pPr>
      <w:r>
        <w:t>因合同及合同有关事项产生的争议，合同当事人可以在专用合同条款中约定以下一种方式解决争议：</w:t>
      </w:r>
    </w:p>
    <w:p w14:paraId="10C215AF">
      <w:pPr>
        <w:spacing w:line="400" w:lineRule="exact"/>
        <w:ind w:firstLine="420" w:firstLineChars="200"/>
      </w:pPr>
      <w:r>
        <w:t>（1）向约定的仲裁委员会申请仲裁；</w:t>
      </w:r>
    </w:p>
    <w:p w14:paraId="1AC14C97">
      <w:pPr>
        <w:spacing w:line="400" w:lineRule="exact"/>
        <w:ind w:firstLine="420" w:firstLineChars="200"/>
      </w:pPr>
      <w:r>
        <w:t>（2）向有管辖权的人民法院起诉。</w:t>
      </w:r>
    </w:p>
    <w:p w14:paraId="0DB170AC">
      <w:pPr>
        <w:pStyle w:val="20"/>
        <w:rPr>
          <w:b/>
        </w:rPr>
      </w:pPr>
      <w:bookmarkStart w:id="1912" w:name="_Toc108514077"/>
      <w:bookmarkStart w:id="1913" w:name="_Toc351203631"/>
      <w:bookmarkStart w:id="1914" w:name="_Toc337558845"/>
      <w:bookmarkStart w:id="1915" w:name="_Toc296346653"/>
      <w:bookmarkStart w:id="1916" w:name="_Toc296503152"/>
      <w:r>
        <w:rPr>
          <w:b/>
        </w:rPr>
        <w:t>20.5争议解决条款效力</w:t>
      </w:r>
      <w:bookmarkEnd w:id="1912"/>
      <w:bookmarkEnd w:id="1913"/>
    </w:p>
    <w:bookmarkEnd w:id="1914"/>
    <w:bookmarkEnd w:id="1915"/>
    <w:bookmarkEnd w:id="1916"/>
    <w:p w14:paraId="4EC073F4">
      <w:pPr>
        <w:spacing w:line="400" w:lineRule="exact"/>
        <w:ind w:firstLine="420" w:firstLineChars="200"/>
        <w:rPr>
          <w:rFonts w:hint="eastAsia"/>
        </w:rPr>
      </w:pPr>
      <w:r>
        <w:t xml:space="preserve">合同有关争议解决的条款独立存在，合同的变更、解除、终止、无效或者被撤销均不影响其效力。 </w:t>
      </w:r>
    </w:p>
    <w:p w14:paraId="52706509">
      <w:pPr>
        <w:spacing w:line="400" w:lineRule="exact"/>
        <w:ind w:firstLine="420" w:firstLineChars="200"/>
        <w:rPr>
          <w:rFonts w:hint="eastAsia"/>
        </w:rPr>
      </w:pPr>
    </w:p>
    <w:p w14:paraId="3F17EB80">
      <w:pPr>
        <w:spacing w:line="400" w:lineRule="exact"/>
        <w:ind w:firstLine="420" w:firstLineChars="200"/>
        <w:rPr>
          <w:rFonts w:hint="eastAsia"/>
        </w:rPr>
      </w:pPr>
    </w:p>
    <w:p w14:paraId="68B57901">
      <w:pPr>
        <w:spacing w:line="400" w:lineRule="exact"/>
        <w:ind w:firstLine="420" w:firstLineChars="200"/>
        <w:rPr>
          <w:rFonts w:hint="eastAsia"/>
        </w:rPr>
      </w:pPr>
    </w:p>
    <w:p w14:paraId="05E34572">
      <w:pPr>
        <w:spacing w:line="400" w:lineRule="exact"/>
        <w:ind w:firstLine="420" w:firstLineChars="200"/>
        <w:rPr>
          <w:rFonts w:hint="eastAsia"/>
        </w:rPr>
      </w:pPr>
    </w:p>
    <w:p w14:paraId="20E7C91B">
      <w:pPr>
        <w:spacing w:line="400" w:lineRule="exact"/>
        <w:ind w:firstLine="420" w:firstLineChars="200"/>
        <w:rPr>
          <w:rFonts w:hint="eastAsia"/>
        </w:rPr>
      </w:pPr>
    </w:p>
    <w:p w14:paraId="5308C19F">
      <w:pPr>
        <w:spacing w:line="400" w:lineRule="exact"/>
        <w:ind w:firstLine="420" w:firstLineChars="200"/>
        <w:rPr>
          <w:rFonts w:hint="eastAsia"/>
        </w:rPr>
      </w:pPr>
    </w:p>
    <w:p w14:paraId="1591F27B">
      <w:pPr>
        <w:spacing w:line="400" w:lineRule="exact"/>
        <w:ind w:firstLine="420" w:firstLineChars="200"/>
        <w:rPr>
          <w:rFonts w:hint="eastAsia"/>
        </w:rPr>
      </w:pPr>
    </w:p>
    <w:p w14:paraId="5180DBF6">
      <w:pPr>
        <w:spacing w:line="400" w:lineRule="exact"/>
        <w:ind w:firstLine="420" w:firstLineChars="200"/>
        <w:rPr>
          <w:rFonts w:hint="eastAsia"/>
        </w:rPr>
      </w:pPr>
    </w:p>
    <w:p w14:paraId="099083EE">
      <w:pPr>
        <w:spacing w:line="400" w:lineRule="exact"/>
        <w:ind w:firstLine="420" w:firstLineChars="200"/>
        <w:rPr>
          <w:rFonts w:hint="eastAsia"/>
        </w:rPr>
      </w:pPr>
    </w:p>
    <w:p w14:paraId="41C98555">
      <w:pPr>
        <w:spacing w:line="400" w:lineRule="exact"/>
        <w:ind w:firstLine="420" w:firstLineChars="200"/>
        <w:rPr>
          <w:rFonts w:hint="eastAsia"/>
        </w:rPr>
      </w:pPr>
    </w:p>
    <w:p w14:paraId="1EFC191A">
      <w:pPr>
        <w:spacing w:line="400" w:lineRule="exact"/>
        <w:ind w:firstLine="420" w:firstLineChars="200"/>
        <w:rPr>
          <w:rFonts w:hint="eastAsia"/>
        </w:rPr>
      </w:pPr>
    </w:p>
    <w:p w14:paraId="58212BCD">
      <w:pPr>
        <w:spacing w:line="400" w:lineRule="exact"/>
        <w:ind w:firstLine="420" w:firstLineChars="200"/>
        <w:rPr>
          <w:rFonts w:hint="eastAsia"/>
        </w:rPr>
      </w:pPr>
    </w:p>
    <w:p w14:paraId="58B587EA">
      <w:pPr>
        <w:spacing w:line="400" w:lineRule="exact"/>
        <w:ind w:firstLine="420" w:firstLineChars="200"/>
        <w:rPr>
          <w:rFonts w:hint="eastAsia"/>
        </w:rPr>
      </w:pPr>
    </w:p>
    <w:p w14:paraId="7CE67FC7">
      <w:pPr>
        <w:spacing w:line="400" w:lineRule="exact"/>
        <w:ind w:firstLine="420" w:firstLineChars="200"/>
        <w:rPr>
          <w:rFonts w:hint="eastAsia"/>
        </w:rPr>
      </w:pPr>
    </w:p>
    <w:p w14:paraId="77C59A6F">
      <w:pPr>
        <w:spacing w:line="400" w:lineRule="exact"/>
        <w:ind w:firstLine="420" w:firstLineChars="200"/>
        <w:rPr>
          <w:rFonts w:hint="eastAsia"/>
        </w:rPr>
      </w:pPr>
    </w:p>
    <w:p w14:paraId="6CE921F9">
      <w:pPr>
        <w:spacing w:line="400" w:lineRule="exact"/>
        <w:ind w:firstLine="420" w:firstLineChars="200"/>
        <w:rPr>
          <w:rFonts w:hint="eastAsia"/>
        </w:rPr>
      </w:pPr>
    </w:p>
    <w:p w14:paraId="3442AE4A">
      <w:pPr>
        <w:spacing w:line="400" w:lineRule="exact"/>
        <w:ind w:firstLine="420" w:firstLineChars="200"/>
        <w:rPr>
          <w:rFonts w:hint="eastAsia"/>
        </w:rPr>
      </w:pPr>
    </w:p>
    <w:p w14:paraId="176CC7CF">
      <w:pPr>
        <w:spacing w:line="400" w:lineRule="exact"/>
        <w:ind w:firstLine="420" w:firstLineChars="200"/>
        <w:rPr>
          <w:rFonts w:hint="eastAsia"/>
        </w:rPr>
      </w:pPr>
    </w:p>
    <w:p w14:paraId="4D5CE774">
      <w:pPr>
        <w:spacing w:line="400" w:lineRule="exact"/>
        <w:ind w:firstLine="420" w:firstLineChars="200"/>
        <w:rPr>
          <w:rFonts w:hint="eastAsia"/>
        </w:rPr>
      </w:pPr>
    </w:p>
    <w:p w14:paraId="5BE28406">
      <w:pPr>
        <w:spacing w:line="400" w:lineRule="exact"/>
        <w:ind w:firstLine="420" w:firstLineChars="200"/>
        <w:rPr>
          <w:rFonts w:hint="eastAsia"/>
        </w:rPr>
      </w:pPr>
    </w:p>
    <w:p w14:paraId="7C9C23C3">
      <w:pPr>
        <w:spacing w:line="400" w:lineRule="exact"/>
        <w:ind w:firstLine="420" w:firstLineChars="200"/>
        <w:rPr>
          <w:rFonts w:hint="eastAsia"/>
        </w:rPr>
      </w:pPr>
    </w:p>
    <w:p w14:paraId="7ED68937">
      <w:pPr>
        <w:spacing w:line="400" w:lineRule="exact"/>
        <w:ind w:firstLine="420" w:firstLineChars="200"/>
        <w:rPr>
          <w:rFonts w:hint="eastAsia"/>
        </w:rPr>
      </w:pPr>
    </w:p>
    <w:p w14:paraId="56F3AD11">
      <w:pPr>
        <w:pStyle w:val="18"/>
        <w:jc w:val="center"/>
        <w:rPr>
          <w:rFonts w:hint="eastAsia"/>
        </w:rPr>
      </w:pPr>
      <w:bookmarkStart w:id="1917" w:name="_Toc108514078"/>
      <w:bookmarkStart w:id="1918" w:name="_Toc351203632"/>
      <w:r>
        <w:t xml:space="preserve">第三部分 </w:t>
      </w:r>
      <w:r>
        <w:rPr>
          <w:rFonts w:hint="eastAsia"/>
        </w:rPr>
        <w:t>专用合同条款</w:t>
      </w:r>
      <w:bookmarkEnd w:id="1917"/>
      <w:bookmarkEnd w:id="1918"/>
    </w:p>
    <w:p w14:paraId="1EDC1390">
      <w:pPr>
        <w:spacing w:line="400" w:lineRule="exact"/>
        <w:ind w:firstLine="420" w:firstLineChars="200"/>
        <w:rPr>
          <w:rFonts w:hint="eastAsia"/>
        </w:rPr>
      </w:pPr>
    </w:p>
    <w:p w14:paraId="15A61EB7">
      <w:pPr>
        <w:spacing w:line="400" w:lineRule="exact"/>
        <w:jc w:val="center"/>
        <w:rPr>
          <w:rFonts w:hint="eastAsia" w:ascii="黑体" w:eastAsia="黑体"/>
          <w:sz w:val="28"/>
          <w:szCs w:val="28"/>
        </w:rPr>
      </w:pPr>
    </w:p>
    <w:p w14:paraId="52D1702C">
      <w:pPr>
        <w:spacing w:line="400" w:lineRule="exact"/>
        <w:jc w:val="center"/>
        <w:rPr>
          <w:rFonts w:hint="eastAsia" w:ascii="黑体" w:eastAsia="黑体"/>
          <w:sz w:val="28"/>
          <w:szCs w:val="28"/>
        </w:rPr>
      </w:pPr>
    </w:p>
    <w:p w14:paraId="69684A82">
      <w:pPr>
        <w:spacing w:line="400" w:lineRule="exact"/>
        <w:jc w:val="center"/>
        <w:rPr>
          <w:rFonts w:hint="eastAsia" w:ascii="黑体" w:eastAsia="黑体"/>
          <w:sz w:val="28"/>
          <w:szCs w:val="28"/>
        </w:rPr>
      </w:pPr>
    </w:p>
    <w:p w14:paraId="2B56F612">
      <w:pPr>
        <w:spacing w:line="400" w:lineRule="exact"/>
        <w:jc w:val="center"/>
        <w:rPr>
          <w:rFonts w:hint="eastAsia" w:ascii="黑体" w:eastAsia="黑体"/>
          <w:sz w:val="28"/>
          <w:szCs w:val="28"/>
        </w:rPr>
      </w:pPr>
    </w:p>
    <w:p w14:paraId="3F4EAEBE">
      <w:pPr>
        <w:spacing w:line="400" w:lineRule="exact"/>
        <w:jc w:val="center"/>
        <w:rPr>
          <w:rFonts w:hint="eastAsia" w:ascii="黑体" w:eastAsia="黑体"/>
          <w:sz w:val="28"/>
          <w:szCs w:val="28"/>
        </w:rPr>
      </w:pPr>
    </w:p>
    <w:p w14:paraId="2DB1F1BC">
      <w:pPr>
        <w:spacing w:line="400" w:lineRule="exact"/>
        <w:jc w:val="center"/>
        <w:rPr>
          <w:rFonts w:hint="eastAsia" w:ascii="黑体" w:eastAsia="黑体"/>
          <w:sz w:val="28"/>
          <w:szCs w:val="28"/>
        </w:rPr>
      </w:pPr>
    </w:p>
    <w:p w14:paraId="421A028B">
      <w:pPr>
        <w:spacing w:line="400" w:lineRule="exact"/>
        <w:jc w:val="center"/>
        <w:rPr>
          <w:rFonts w:hint="eastAsia" w:ascii="黑体" w:eastAsia="黑体"/>
          <w:sz w:val="28"/>
          <w:szCs w:val="28"/>
        </w:rPr>
      </w:pPr>
    </w:p>
    <w:p w14:paraId="291E543C">
      <w:pPr>
        <w:spacing w:line="400" w:lineRule="exact"/>
        <w:jc w:val="center"/>
        <w:rPr>
          <w:rFonts w:hint="eastAsia" w:ascii="黑体" w:eastAsia="黑体"/>
          <w:sz w:val="28"/>
          <w:szCs w:val="28"/>
        </w:rPr>
      </w:pPr>
    </w:p>
    <w:p w14:paraId="3427F986">
      <w:pPr>
        <w:spacing w:line="400" w:lineRule="exact"/>
        <w:jc w:val="center"/>
        <w:rPr>
          <w:rFonts w:hint="eastAsia" w:ascii="黑体" w:eastAsia="黑体"/>
          <w:sz w:val="28"/>
          <w:szCs w:val="28"/>
        </w:rPr>
      </w:pPr>
    </w:p>
    <w:p w14:paraId="5CB5D5E2">
      <w:pPr>
        <w:spacing w:line="400" w:lineRule="exact"/>
        <w:jc w:val="center"/>
        <w:rPr>
          <w:rFonts w:hint="eastAsia" w:ascii="黑体" w:eastAsia="黑体"/>
          <w:sz w:val="28"/>
          <w:szCs w:val="28"/>
        </w:rPr>
      </w:pPr>
    </w:p>
    <w:p w14:paraId="49E7F655">
      <w:pPr>
        <w:spacing w:line="400" w:lineRule="exact"/>
        <w:jc w:val="center"/>
        <w:rPr>
          <w:rFonts w:hint="eastAsia" w:ascii="黑体" w:eastAsia="黑体"/>
          <w:sz w:val="28"/>
          <w:szCs w:val="28"/>
        </w:rPr>
      </w:pPr>
    </w:p>
    <w:p w14:paraId="1415D45E">
      <w:pPr>
        <w:spacing w:line="400" w:lineRule="exact"/>
        <w:jc w:val="center"/>
        <w:rPr>
          <w:rFonts w:hint="eastAsia" w:ascii="黑体" w:eastAsia="黑体"/>
          <w:sz w:val="28"/>
          <w:szCs w:val="28"/>
        </w:rPr>
      </w:pPr>
    </w:p>
    <w:p w14:paraId="33867232">
      <w:pPr>
        <w:spacing w:line="400" w:lineRule="exact"/>
        <w:jc w:val="center"/>
        <w:rPr>
          <w:rFonts w:hint="eastAsia" w:ascii="黑体" w:eastAsia="黑体"/>
          <w:sz w:val="28"/>
          <w:szCs w:val="28"/>
        </w:rPr>
      </w:pPr>
    </w:p>
    <w:p w14:paraId="74D5A56E">
      <w:pPr>
        <w:spacing w:line="400" w:lineRule="exact"/>
        <w:jc w:val="center"/>
        <w:rPr>
          <w:rFonts w:hint="eastAsia" w:ascii="黑体" w:eastAsia="黑体"/>
          <w:sz w:val="28"/>
          <w:szCs w:val="28"/>
        </w:rPr>
      </w:pPr>
    </w:p>
    <w:p w14:paraId="7DED8682">
      <w:pPr>
        <w:spacing w:line="400" w:lineRule="exact"/>
        <w:jc w:val="center"/>
        <w:rPr>
          <w:rFonts w:hint="eastAsia" w:ascii="黑体" w:eastAsia="黑体"/>
          <w:sz w:val="28"/>
          <w:szCs w:val="28"/>
        </w:rPr>
      </w:pPr>
    </w:p>
    <w:p w14:paraId="373D6F25">
      <w:pPr>
        <w:spacing w:line="400" w:lineRule="exact"/>
        <w:jc w:val="center"/>
        <w:rPr>
          <w:rFonts w:hint="eastAsia" w:ascii="黑体" w:eastAsia="黑体"/>
          <w:sz w:val="28"/>
          <w:szCs w:val="28"/>
        </w:rPr>
      </w:pPr>
    </w:p>
    <w:p w14:paraId="4B6DCC54">
      <w:pPr>
        <w:spacing w:line="400" w:lineRule="exact"/>
        <w:jc w:val="center"/>
        <w:rPr>
          <w:rFonts w:hint="eastAsia" w:ascii="黑体" w:eastAsia="黑体"/>
          <w:sz w:val="28"/>
          <w:szCs w:val="28"/>
        </w:rPr>
      </w:pPr>
    </w:p>
    <w:p w14:paraId="5721B3E4">
      <w:pPr>
        <w:spacing w:line="400" w:lineRule="exact"/>
        <w:jc w:val="center"/>
        <w:rPr>
          <w:rFonts w:hint="eastAsia" w:ascii="黑体" w:eastAsia="黑体"/>
          <w:sz w:val="28"/>
          <w:szCs w:val="28"/>
        </w:rPr>
      </w:pPr>
    </w:p>
    <w:p w14:paraId="57F89810">
      <w:pPr>
        <w:spacing w:line="400" w:lineRule="exact"/>
        <w:jc w:val="center"/>
        <w:rPr>
          <w:rFonts w:hint="eastAsia" w:ascii="黑体" w:eastAsia="黑体"/>
          <w:sz w:val="28"/>
          <w:szCs w:val="28"/>
        </w:rPr>
      </w:pPr>
    </w:p>
    <w:p w14:paraId="4D313552">
      <w:pPr>
        <w:spacing w:line="400" w:lineRule="exact"/>
        <w:jc w:val="center"/>
        <w:rPr>
          <w:rFonts w:hint="eastAsia" w:ascii="黑体" w:eastAsia="黑体"/>
          <w:sz w:val="28"/>
          <w:szCs w:val="28"/>
        </w:rPr>
      </w:pPr>
    </w:p>
    <w:p w14:paraId="2BCAE840">
      <w:pPr>
        <w:spacing w:line="400" w:lineRule="exact"/>
        <w:jc w:val="center"/>
        <w:rPr>
          <w:rFonts w:hint="eastAsia" w:ascii="黑体" w:eastAsia="黑体"/>
          <w:sz w:val="28"/>
          <w:szCs w:val="28"/>
        </w:rPr>
      </w:pPr>
    </w:p>
    <w:p w14:paraId="230C5368">
      <w:pPr>
        <w:spacing w:line="400" w:lineRule="exact"/>
        <w:jc w:val="center"/>
        <w:rPr>
          <w:rFonts w:hint="eastAsia" w:ascii="黑体" w:eastAsia="黑体"/>
          <w:sz w:val="28"/>
          <w:szCs w:val="28"/>
        </w:rPr>
      </w:pPr>
    </w:p>
    <w:p w14:paraId="20558EC1">
      <w:pPr>
        <w:spacing w:line="400" w:lineRule="exact"/>
        <w:jc w:val="center"/>
        <w:rPr>
          <w:rFonts w:hint="eastAsia" w:ascii="黑体" w:eastAsia="黑体"/>
          <w:sz w:val="28"/>
          <w:szCs w:val="28"/>
        </w:rPr>
      </w:pPr>
    </w:p>
    <w:p w14:paraId="6530DD92">
      <w:pPr>
        <w:spacing w:line="400" w:lineRule="exact"/>
        <w:jc w:val="center"/>
        <w:rPr>
          <w:rFonts w:hint="eastAsia" w:ascii="黑体" w:eastAsia="黑体"/>
          <w:sz w:val="28"/>
          <w:szCs w:val="28"/>
        </w:rPr>
      </w:pPr>
    </w:p>
    <w:p w14:paraId="65782E56">
      <w:pPr>
        <w:spacing w:line="400" w:lineRule="exact"/>
        <w:jc w:val="center"/>
        <w:rPr>
          <w:rFonts w:hint="eastAsia" w:ascii="黑体" w:eastAsia="黑体"/>
          <w:sz w:val="28"/>
          <w:szCs w:val="28"/>
        </w:rPr>
      </w:pPr>
    </w:p>
    <w:p w14:paraId="1C39BD5F">
      <w:pPr>
        <w:spacing w:line="400" w:lineRule="exact"/>
        <w:jc w:val="center"/>
        <w:rPr>
          <w:rFonts w:hint="eastAsia" w:ascii="黑体" w:eastAsia="黑体"/>
          <w:sz w:val="28"/>
          <w:szCs w:val="28"/>
        </w:rPr>
      </w:pPr>
      <w:r>
        <w:rPr>
          <w:rFonts w:hint="eastAsia" w:ascii="黑体" w:eastAsia="黑体"/>
          <w:sz w:val="28"/>
          <w:szCs w:val="28"/>
        </w:rPr>
        <w:t>专用合同条款</w:t>
      </w:r>
    </w:p>
    <w:p w14:paraId="281C809B">
      <w:pPr>
        <w:spacing w:line="400" w:lineRule="exact"/>
        <w:ind w:firstLine="420" w:firstLineChars="200"/>
      </w:pPr>
    </w:p>
    <w:p w14:paraId="61E09C87">
      <w:pPr>
        <w:pStyle w:val="18"/>
        <w:rPr>
          <w:b/>
        </w:rPr>
      </w:pPr>
      <w:bookmarkStart w:id="1919" w:name="_Toc351203633"/>
      <w:bookmarkStart w:id="1920" w:name="_Toc108514079"/>
      <w:r>
        <w:rPr>
          <w:b/>
        </w:rPr>
        <w:t>1</w:t>
      </w:r>
      <w:bookmarkStart w:id="1921" w:name="_Toc296944495"/>
      <w:bookmarkStart w:id="1922" w:name="_Toc292559866"/>
      <w:bookmarkStart w:id="1923" w:name="_Toc296347155"/>
      <w:bookmarkStart w:id="1924" w:name="_Toc297048342"/>
      <w:bookmarkStart w:id="1925" w:name="_Toc296890984"/>
      <w:bookmarkStart w:id="1926" w:name="_Toc292559361"/>
      <w:bookmarkStart w:id="1927" w:name="_Toc296503156"/>
      <w:bookmarkStart w:id="1928" w:name="_Toc296891196"/>
      <w:bookmarkStart w:id="1929" w:name="_Toc296346657"/>
      <w:bookmarkStart w:id="1930" w:name="_Toc297120456"/>
      <w:r>
        <w:rPr>
          <w:b/>
        </w:rPr>
        <w:t>. 一般约定</w:t>
      </w:r>
      <w:bookmarkEnd w:id="1919"/>
      <w:bookmarkEnd w:id="1920"/>
    </w:p>
    <w:bookmarkEnd w:id="1921"/>
    <w:bookmarkEnd w:id="1922"/>
    <w:bookmarkEnd w:id="1923"/>
    <w:bookmarkEnd w:id="1924"/>
    <w:bookmarkEnd w:id="1925"/>
    <w:bookmarkEnd w:id="1926"/>
    <w:bookmarkEnd w:id="1927"/>
    <w:bookmarkEnd w:id="1928"/>
    <w:bookmarkEnd w:id="1929"/>
    <w:bookmarkEnd w:id="1930"/>
    <w:p w14:paraId="53B911D0">
      <w:pPr>
        <w:pStyle w:val="20"/>
        <w:rPr>
          <w:b/>
        </w:rPr>
      </w:pPr>
      <w:bookmarkStart w:id="1931" w:name="_Toc108514080"/>
      <w:r>
        <w:rPr>
          <w:b/>
        </w:rPr>
        <w:t>1.1 词语定义</w:t>
      </w:r>
      <w:bookmarkEnd w:id="1931"/>
    </w:p>
    <w:p w14:paraId="202C7FE8">
      <w:pPr>
        <w:spacing w:line="400" w:lineRule="exact"/>
        <w:ind w:firstLine="420" w:firstLineChars="200"/>
        <w:rPr>
          <w:rFonts w:ascii="宋体" w:hAnsi="宋体"/>
        </w:rPr>
      </w:pPr>
      <w:r>
        <w:rPr>
          <w:rFonts w:ascii="宋体" w:hAnsi="宋体"/>
        </w:rPr>
        <w:t>1.1.1合同</w:t>
      </w:r>
    </w:p>
    <w:p w14:paraId="33E29DCF">
      <w:pPr>
        <w:spacing w:line="400" w:lineRule="exact"/>
        <w:ind w:firstLine="420" w:firstLineChars="200"/>
        <w:rPr>
          <w:rFonts w:hint="eastAsia" w:ascii="宋体" w:hAnsi="宋体"/>
          <w:u w:val="single"/>
        </w:rPr>
      </w:pPr>
      <w:r>
        <w:rPr>
          <w:rFonts w:ascii="宋体" w:hAnsi="宋体"/>
        </w:rPr>
        <w:t>1.1.1.10其他合同文件包括：</w:t>
      </w:r>
      <w:r>
        <w:rPr>
          <w:rFonts w:ascii="宋体" w:hAnsi="宋体"/>
          <w:u w:val="single"/>
        </w:rPr>
        <w:t xml:space="preserve">                                </w:t>
      </w:r>
      <w:r>
        <w:rPr>
          <w:rFonts w:hint="eastAsia" w:ascii="宋体" w:hAnsi="宋体"/>
          <w:u w:val="single"/>
        </w:rPr>
        <w:t xml:space="preserve">                      </w:t>
      </w:r>
    </w:p>
    <w:p w14:paraId="0EED74BE">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683DA9C8">
      <w:pPr>
        <w:spacing w:line="400" w:lineRule="exact"/>
        <w:ind w:firstLine="420" w:firstLineChars="200"/>
        <w:rPr>
          <w:rFonts w:ascii="宋体" w:hAnsi="宋体"/>
        </w:rPr>
      </w:pPr>
      <w:r>
        <w:rPr>
          <w:rFonts w:ascii="宋体" w:hAnsi="宋体"/>
        </w:rPr>
        <w:t>1.1.2 合同当事人及其他相关方</w:t>
      </w:r>
    </w:p>
    <w:p w14:paraId="3D622304">
      <w:pPr>
        <w:spacing w:line="400" w:lineRule="exact"/>
        <w:ind w:firstLine="420" w:firstLineChars="200"/>
        <w:rPr>
          <w:rFonts w:ascii="宋体" w:hAnsi="宋体"/>
        </w:rPr>
      </w:pPr>
      <w:r>
        <w:rPr>
          <w:rFonts w:ascii="宋体" w:hAnsi="宋体"/>
        </w:rPr>
        <w:t>1.1.2.4监理人：</w:t>
      </w:r>
    </w:p>
    <w:p w14:paraId="15249520">
      <w:pPr>
        <w:spacing w:line="400" w:lineRule="exact"/>
        <w:ind w:firstLine="420" w:firstLineChars="200"/>
        <w:rPr>
          <w:rFonts w:ascii="宋体" w:hAnsi="宋体"/>
        </w:rPr>
      </w:pPr>
      <w:r>
        <w:rPr>
          <w:rFonts w:ascii="宋体" w:hAnsi="宋体"/>
        </w:rPr>
        <w:t>名    称：</w:t>
      </w:r>
      <w:r>
        <w:rPr>
          <w:rFonts w:ascii="宋体" w:hAnsi="宋体"/>
          <w:u w:val="single"/>
        </w:rPr>
        <w:t xml:space="preserve">                                       </w:t>
      </w:r>
      <w:r>
        <w:rPr>
          <w:rFonts w:ascii="宋体" w:hAnsi="宋体"/>
        </w:rPr>
        <w:t>；</w:t>
      </w:r>
    </w:p>
    <w:p w14:paraId="7F0FC881">
      <w:pPr>
        <w:spacing w:line="400" w:lineRule="exact"/>
        <w:ind w:firstLine="420" w:firstLineChars="200"/>
        <w:rPr>
          <w:rFonts w:ascii="宋体" w:hAnsi="宋体"/>
        </w:rPr>
      </w:pPr>
      <w:r>
        <w:rPr>
          <w:rFonts w:ascii="宋体" w:hAnsi="宋体"/>
        </w:rPr>
        <w:t>资质类别和等级：</w:t>
      </w:r>
      <w:r>
        <w:rPr>
          <w:rFonts w:ascii="宋体" w:hAnsi="宋体"/>
          <w:u w:val="single"/>
        </w:rPr>
        <w:t xml:space="preserve">                                 </w:t>
      </w:r>
      <w:r>
        <w:rPr>
          <w:rFonts w:ascii="宋体" w:hAnsi="宋体"/>
        </w:rPr>
        <w:t>；</w:t>
      </w:r>
    </w:p>
    <w:p w14:paraId="7B883100">
      <w:pPr>
        <w:spacing w:line="400" w:lineRule="exact"/>
        <w:ind w:firstLine="420" w:firstLineChars="200"/>
        <w:rPr>
          <w:rFonts w:ascii="宋体" w:hAnsi="宋体"/>
        </w:rPr>
      </w:pPr>
      <w:r>
        <w:rPr>
          <w:rFonts w:ascii="宋体" w:hAnsi="宋体"/>
        </w:rPr>
        <w:t>联系电话：</w:t>
      </w:r>
      <w:r>
        <w:rPr>
          <w:rFonts w:ascii="宋体" w:hAnsi="宋体"/>
          <w:u w:val="single"/>
        </w:rPr>
        <w:t xml:space="preserve">                                       </w:t>
      </w:r>
      <w:r>
        <w:rPr>
          <w:rFonts w:ascii="宋体" w:hAnsi="宋体"/>
        </w:rPr>
        <w:t>；</w:t>
      </w:r>
    </w:p>
    <w:p w14:paraId="6A3A1F81">
      <w:pPr>
        <w:spacing w:line="400" w:lineRule="exact"/>
        <w:ind w:firstLine="420" w:firstLineChars="200"/>
        <w:rPr>
          <w:rFonts w:ascii="宋体" w:hAnsi="宋体"/>
        </w:rPr>
      </w:pPr>
      <w:r>
        <w:rPr>
          <w:rFonts w:ascii="宋体" w:hAnsi="宋体"/>
        </w:rPr>
        <w:t>电子信箱：</w:t>
      </w:r>
      <w:r>
        <w:rPr>
          <w:rFonts w:ascii="宋体" w:hAnsi="宋体"/>
          <w:u w:val="single"/>
        </w:rPr>
        <w:t xml:space="preserve">                                       </w:t>
      </w:r>
      <w:r>
        <w:rPr>
          <w:rFonts w:ascii="宋体" w:hAnsi="宋体"/>
        </w:rPr>
        <w:t>；</w:t>
      </w:r>
    </w:p>
    <w:p w14:paraId="45E40B79">
      <w:pPr>
        <w:spacing w:line="400" w:lineRule="exact"/>
        <w:ind w:firstLine="420" w:firstLineChars="200"/>
        <w:rPr>
          <w:rFonts w:ascii="宋体" w:hAnsi="宋体"/>
        </w:rPr>
      </w:pPr>
      <w:r>
        <w:rPr>
          <w:rFonts w:ascii="宋体" w:hAnsi="宋体"/>
        </w:rPr>
        <w:t>通信地址：</w:t>
      </w:r>
      <w:r>
        <w:rPr>
          <w:rFonts w:ascii="宋体" w:hAnsi="宋体"/>
          <w:u w:val="single"/>
        </w:rPr>
        <w:t xml:space="preserve">                                       </w:t>
      </w:r>
      <w:r>
        <w:rPr>
          <w:rFonts w:ascii="宋体" w:hAnsi="宋体"/>
        </w:rPr>
        <w:t>。</w:t>
      </w:r>
    </w:p>
    <w:p w14:paraId="44356C44">
      <w:pPr>
        <w:spacing w:line="400" w:lineRule="exact"/>
        <w:ind w:firstLine="420" w:firstLineChars="200"/>
        <w:rPr>
          <w:rFonts w:ascii="宋体" w:hAnsi="宋体"/>
        </w:rPr>
      </w:pPr>
      <w:r>
        <w:rPr>
          <w:rFonts w:ascii="宋体" w:hAnsi="宋体"/>
        </w:rPr>
        <w:t>1.1.2.5 设计人：</w:t>
      </w:r>
    </w:p>
    <w:p w14:paraId="1FF8C7F7">
      <w:pPr>
        <w:spacing w:line="400" w:lineRule="exact"/>
        <w:ind w:firstLine="420" w:firstLineChars="200"/>
        <w:rPr>
          <w:rFonts w:ascii="宋体" w:hAnsi="宋体"/>
        </w:rPr>
      </w:pPr>
      <w:r>
        <w:rPr>
          <w:rFonts w:ascii="宋体" w:hAnsi="宋体"/>
        </w:rPr>
        <w:t>名    称：</w:t>
      </w:r>
      <w:r>
        <w:rPr>
          <w:rFonts w:ascii="宋体" w:hAnsi="宋体"/>
          <w:u w:val="single"/>
        </w:rPr>
        <w:t xml:space="preserve">                                       </w:t>
      </w:r>
      <w:r>
        <w:rPr>
          <w:rFonts w:ascii="宋体" w:hAnsi="宋体"/>
        </w:rPr>
        <w:t>；</w:t>
      </w:r>
    </w:p>
    <w:p w14:paraId="0C4FAC57">
      <w:pPr>
        <w:spacing w:line="400" w:lineRule="exact"/>
        <w:ind w:firstLine="420" w:firstLineChars="200"/>
        <w:rPr>
          <w:rFonts w:ascii="宋体" w:hAnsi="宋体"/>
        </w:rPr>
      </w:pPr>
      <w:r>
        <w:rPr>
          <w:rFonts w:ascii="宋体" w:hAnsi="宋体"/>
        </w:rPr>
        <w:t>资质类别和等级：</w:t>
      </w:r>
      <w:r>
        <w:rPr>
          <w:rFonts w:ascii="宋体" w:hAnsi="宋体"/>
          <w:u w:val="single"/>
        </w:rPr>
        <w:t xml:space="preserve">                                 </w:t>
      </w:r>
      <w:r>
        <w:rPr>
          <w:rFonts w:ascii="宋体" w:hAnsi="宋体"/>
        </w:rPr>
        <w:t>；</w:t>
      </w:r>
    </w:p>
    <w:p w14:paraId="2B5F0C4D">
      <w:pPr>
        <w:spacing w:line="400" w:lineRule="exact"/>
        <w:ind w:firstLine="420" w:firstLineChars="200"/>
        <w:rPr>
          <w:rFonts w:ascii="宋体" w:hAnsi="宋体"/>
        </w:rPr>
      </w:pPr>
      <w:r>
        <w:rPr>
          <w:rFonts w:ascii="宋体" w:hAnsi="宋体"/>
        </w:rPr>
        <w:t>联系电话：</w:t>
      </w:r>
      <w:r>
        <w:rPr>
          <w:rFonts w:ascii="宋体" w:hAnsi="宋体"/>
          <w:u w:val="single"/>
        </w:rPr>
        <w:t xml:space="preserve">                                       </w:t>
      </w:r>
      <w:r>
        <w:rPr>
          <w:rFonts w:ascii="宋体" w:hAnsi="宋体"/>
        </w:rPr>
        <w:t>；</w:t>
      </w:r>
    </w:p>
    <w:p w14:paraId="6C61A1A0">
      <w:pPr>
        <w:spacing w:line="400" w:lineRule="exact"/>
        <w:ind w:firstLine="420" w:firstLineChars="200"/>
        <w:rPr>
          <w:rFonts w:ascii="宋体" w:hAnsi="宋体"/>
        </w:rPr>
      </w:pPr>
      <w:r>
        <w:rPr>
          <w:rFonts w:ascii="宋体" w:hAnsi="宋体"/>
        </w:rPr>
        <w:t>电子信箱：</w:t>
      </w:r>
      <w:r>
        <w:rPr>
          <w:rFonts w:ascii="宋体" w:hAnsi="宋体"/>
          <w:u w:val="single"/>
        </w:rPr>
        <w:t xml:space="preserve">                                     </w:t>
      </w:r>
      <w:r>
        <w:rPr>
          <w:rFonts w:hint="eastAsia" w:ascii="宋体" w:hAnsi="宋体"/>
          <w:u w:val="single"/>
        </w:rPr>
        <w:t xml:space="preserve">  </w:t>
      </w:r>
      <w:r>
        <w:rPr>
          <w:rFonts w:ascii="宋体" w:hAnsi="宋体"/>
        </w:rPr>
        <w:t>；</w:t>
      </w:r>
    </w:p>
    <w:p w14:paraId="209B3F1A">
      <w:pPr>
        <w:spacing w:line="400" w:lineRule="exact"/>
        <w:ind w:firstLine="420" w:firstLineChars="200"/>
        <w:rPr>
          <w:rFonts w:hint="eastAsia" w:ascii="宋体" w:hAnsi="宋体"/>
        </w:rPr>
      </w:pPr>
      <w:r>
        <w:rPr>
          <w:rFonts w:ascii="宋体" w:hAnsi="宋体"/>
        </w:rPr>
        <w:t>通信地址：</w:t>
      </w:r>
      <w:r>
        <w:rPr>
          <w:rFonts w:ascii="宋体" w:hAnsi="宋体"/>
          <w:u w:val="single"/>
        </w:rPr>
        <w:t xml:space="preserve">                                       </w:t>
      </w:r>
      <w:r>
        <w:rPr>
          <w:rFonts w:ascii="宋体" w:hAnsi="宋体"/>
        </w:rPr>
        <w:t>。</w:t>
      </w:r>
    </w:p>
    <w:p w14:paraId="537550C4">
      <w:pPr>
        <w:spacing w:line="400" w:lineRule="exact"/>
        <w:ind w:firstLine="420" w:firstLineChars="200"/>
        <w:rPr>
          <w:rFonts w:ascii="宋体" w:hAnsi="宋体"/>
        </w:rPr>
      </w:pPr>
      <w:r>
        <w:rPr>
          <w:rFonts w:ascii="宋体" w:hAnsi="宋体"/>
        </w:rPr>
        <w:t>1.1.3 工程和设备</w:t>
      </w:r>
    </w:p>
    <w:p w14:paraId="45FA37D2">
      <w:pPr>
        <w:spacing w:line="400" w:lineRule="exact"/>
        <w:ind w:firstLine="420" w:firstLineChars="200"/>
        <w:rPr>
          <w:rFonts w:hint="eastAsia" w:ascii="宋体" w:hAnsi="宋体"/>
          <w:u w:val="single"/>
        </w:rPr>
      </w:pPr>
      <w:r>
        <w:rPr>
          <w:rFonts w:ascii="宋体" w:hAnsi="宋体"/>
        </w:rPr>
        <w:t>1.1.3.7 作为施工现场组成部分的其他场所包括：</w:t>
      </w:r>
      <w:r>
        <w:rPr>
          <w:rFonts w:hint="eastAsia" w:ascii="宋体" w:hAnsi="宋体"/>
          <w:u w:val="single"/>
        </w:rPr>
        <w:t xml:space="preserve">                                     </w:t>
      </w:r>
    </w:p>
    <w:p w14:paraId="21AB37FD">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ascii="宋体" w:hAnsi="宋体"/>
        </w:rPr>
        <w:t>。</w:t>
      </w:r>
    </w:p>
    <w:p w14:paraId="09733980">
      <w:pPr>
        <w:spacing w:line="400" w:lineRule="exact"/>
        <w:ind w:firstLine="420" w:firstLineChars="200"/>
        <w:rPr>
          <w:rFonts w:ascii="宋体" w:hAnsi="宋体"/>
        </w:rPr>
      </w:pPr>
      <w:r>
        <w:rPr>
          <w:rFonts w:ascii="宋体" w:hAnsi="宋体"/>
        </w:rPr>
        <w:t>1.1.3.9 永久占地包括：</w:t>
      </w:r>
      <w:r>
        <w:rPr>
          <w:rFonts w:ascii="宋体" w:hAnsi="宋体"/>
          <w:u w:val="single"/>
        </w:rPr>
        <w:t xml:space="preserve">                             </w:t>
      </w:r>
      <w:r>
        <w:rPr>
          <w:rFonts w:ascii="宋体" w:hAnsi="宋体"/>
        </w:rPr>
        <w:t>。</w:t>
      </w:r>
    </w:p>
    <w:p w14:paraId="503BFBB9">
      <w:pPr>
        <w:spacing w:line="400" w:lineRule="exact"/>
        <w:ind w:firstLine="420" w:firstLineChars="200"/>
      </w:pPr>
      <w:r>
        <w:rPr>
          <w:rFonts w:ascii="宋体" w:hAnsi="宋体"/>
        </w:rPr>
        <w:t>1.1.3.10 临时占地包括：</w:t>
      </w:r>
      <w:r>
        <w:rPr>
          <w:rFonts w:ascii="宋体" w:hAnsi="宋体"/>
          <w:u w:val="single"/>
        </w:rPr>
        <w:t xml:space="preserve">                            </w:t>
      </w:r>
      <w:r>
        <w:rPr>
          <w:rFonts w:ascii="宋体" w:hAnsi="宋体"/>
        </w:rPr>
        <w:t>。</w:t>
      </w:r>
    </w:p>
    <w:p w14:paraId="0386FFF1">
      <w:pPr>
        <w:pStyle w:val="20"/>
        <w:rPr>
          <w:b/>
        </w:rPr>
      </w:pPr>
      <w:bookmarkStart w:id="1932" w:name="_Toc108514081"/>
      <w:r>
        <w:rPr>
          <w:b/>
        </w:rPr>
        <w:t>1.3法律</w:t>
      </w:r>
      <w:bookmarkEnd w:id="1932"/>
      <w:r>
        <w:rPr>
          <w:b/>
        </w:rPr>
        <w:t xml:space="preserve"> </w:t>
      </w:r>
    </w:p>
    <w:p w14:paraId="16DC60D6">
      <w:pPr>
        <w:spacing w:line="400" w:lineRule="exact"/>
        <w:ind w:firstLine="420" w:firstLineChars="200"/>
        <w:rPr>
          <w:rFonts w:hint="eastAsia"/>
          <w:u w:val="single"/>
        </w:rPr>
      </w:pPr>
      <w:r>
        <w:t>适用于合同的其他规范性文件：</w:t>
      </w:r>
      <w:r>
        <w:rPr>
          <w:rFonts w:hint="eastAsia"/>
          <w:u w:val="single"/>
        </w:rPr>
        <w:t xml:space="preserve">                                                    </w:t>
      </w:r>
    </w:p>
    <w:p w14:paraId="34D2B627">
      <w:pPr>
        <w:spacing w:line="400" w:lineRule="exact"/>
        <w:ind w:firstLine="420" w:firstLineChars="200"/>
        <w:rPr>
          <w:rFonts w:hint="eastAsia"/>
        </w:rPr>
      </w:pP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w:t>
      </w:r>
    </w:p>
    <w:p w14:paraId="3FF1AC84">
      <w:pPr>
        <w:pStyle w:val="20"/>
        <w:rPr>
          <w:b/>
        </w:rPr>
      </w:pPr>
      <w:bookmarkStart w:id="1933" w:name="_Toc108514082"/>
      <w:r>
        <w:rPr>
          <w:b/>
        </w:rPr>
        <w:t>1.4 标准和规范</w:t>
      </w:r>
      <w:bookmarkEnd w:id="1933"/>
    </w:p>
    <w:p w14:paraId="68657A42">
      <w:pPr>
        <w:spacing w:line="400" w:lineRule="exact"/>
        <w:ind w:firstLine="420" w:firstLineChars="200"/>
        <w:rPr>
          <w:rFonts w:hint="eastAsia" w:ascii="宋体" w:hAnsi="宋体"/>
          <w:u w:val="single"/>
        </w:rPr>
      </w:pPr>
      <w:r>
        <w:rPr>
          <w:rFonts w:ascii="宋体" w:hAnsi="宋体"/>
        </w:rPr>
        <w:t>1.4.1适用于工程的标准规范包括：</w:t>
      </w:r>
      <w:r>
        <w:rPr>
          <w:rFonts w:hint="eastAsia" w:ascii="宋体" w:hAnsi="宋体"/>
          <w:u w:val="single"/>
        </w:rPr>
        <w:t xml:space="preserve">                                                 </w:t>
      </w:r>
    </w:p>
    <w:p w14:paraId="101C1FBC">
      <w:pPr>
        <w:spacing w:line="400" w:lineRule="exact"/>
        <w:ind w:firstLine="420" w:firstLineChars="200"/>
        <w:rPr>
          <w:rFonts w:hint="eastAsia"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F82C6DB">
      <w:pPr>
        <w:spacing w:line="400" w:lineRule="exact"/>
        <w:ind w:firstLine="420" w:firstLineChars="200"/>
        <w:rPr>
          <w:rFonts w:hint="eastAsia" w:ascii="宋体" w:hAnsi="宋体"/>
          <w:u w:val="single"/>
        </w:rPr>
      </w:pPr>
      <w:r>
        <w:rPr>
          <w:rFonts w:ascii="宋体" w:hAnsi="宋体"/>
        </w:rPr>
        <w:t>1.4.2 发包人提供国外标准、规范的名称：</w:t>
      </w:r>
      <w:r>
        <w:rPr>
          <w:rFonts w:hint="eastAsia" w:ascii="宋体" w:hAnsi="宋体"/>
          <w:u w:val="single"/>
        </w:rPr>
        <w:t xml:space="preserve">                                          </w:t>
      </w:r>
    </w:p>
    <w:p w14:paraId="05E9E1E4">
      <w:pPr>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9A1F12F">
      <w:pPr>
        <w:spacing w:line="400" w:lineRule="exact"/>
        <w:rPr>
          <w:rFonts w:hint="eastAsia" w:ascii="宋体" w:hAnsi="宋体"/>
        </w:rPr>
      </w:pPr>
    </w:p>
    <w:p w14:paraId="439F5B28">
      <w:pPr>
        <w:spacing w:line="400" w:lineRule="exact"/>
        <w:ind w:firstLine="420" w:firstLineChars="200"/>
        <w:rPr>
          <w:rFonts w:ascii="宋体" w:hAnsi="宋体"/>
        </w:rPr>
      </w:pPr>
      <w:r>
        <w:rPr>
          <w:rFonts w:ascii="宋体" w:hAnsi="宋体"/>
        </w:rPr>
        <w:t>发包人提供国外标准、规范的份数：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29F78965">
      <w:pPr>
        <w:spacing w:line="400" w:lineRule="exact"/>
        <w:ind w:firstLine="420" w:firstLineChars="200"/>
        <w:rPr>
          <w:rFonts w:ascii="宋体" w:hAnsi="宋体"/>
        </w:rPr>
      </w:pPr>
      <w:r>
        <w:rPr>
          <w:rFonts w:ascii="宋体" w:hAnsi="宋体"/>
        </w:rPr>
        <w:t>发包人提供国外标准、规范的名称：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57B4884D">
      <w:pPr>
        <w:spacing w:line="400" w:lineRule="exact"/>
        <w:ind w:firstLine="420" w:firstLineChars="200"/>
        <w:rPr>
          <w:rFonts w:hint="eastAsia" w:ascii="宋体" w:hAnsi="宋体"/>
        </w:rPr>
      </w:pPr>
      <w:r>
        <w:rPr>
          <w:rFonts w:ascii="宋体" w:hAnsi="宋体"/>
        </w:rPr>
        <w:t>1.4.3发包人对工程的技术标准和功能要求的特殊要求：</w:t>
      </w:r>
    </w:p>
    <w:p w14:paraId="0C8E87BB">
      <w:pPr>
        <w:spacing w:line="400" w:lineRule="exact"/>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51974E3">
      <w:pPr>
        <w:pStyle w:val="20"/>
        <w:rPr>
          <w:b/>
        </w:rPr>
      </w:pPr>
      <w:bookmarkStart w:id="1934" w:name="_Toc108514083"/>
      <w:r>
        <w:rPr>
          <w:b/>
        </w:rPr>
        <w:t>1.5 合同文件的优先顺序</w:t>
      </w:r>
      <w:bookmarkEnd w:id="1934"/>
    </w:p>
    <w:p w14:paraId="5106858C">
      <w:pPr>
        <w:spacing w:line="400" w:lineRule="exact"/>
        <w:ind w:firstLine="420" w:firstLineChars="200"/>
        <w:rPr>
          <w:rFonts w:hint="eastAsia"/>
        </w:rPr>
      </w:pPr>
      <w:r>
        <w:t>合同文件组成及优先顺序为：</w:t>
      </w:r>
    </w:p>
    <w:p w14:paraId="4A407B7D">
      <w:pPr>
        <w:spacing w:line="400" w:lineRule="exact"/>
        <w:rPr>
          <w:rFonts w:hint="eastAsia"/>
        </w:rPr>
      </w:pPr>
      <w:r>
        <w:rPr>
          <w:rFonts w:hint="eastAsia"/>
          <w:u w:val="single"/>
        </w:rPr>
        <w:t xml:space="preserve">                                      </w:t>
      </w:r>
      <w:r>
        <w:rPr>
          <w:u w:val="single"/>
        </w:rPr>
        <w:t xml:space="preserve">                                              </w:t>
      </w:r>
      <w:r>
        <w:rPr>
          <w:rFonts w:hint="eastAsia"/>
          <w:u w:val="single"/>
        </w:rPr>
        <w:t xml:space="preserve">                                  </w:t>
      </w:r>
      <w:r>
        <w:t>。</w:t>
      </w:r>
    </w:p>
    <w:p w14:paraId="7AA97011">
      <w:pPr>
        <w:pStyle w:val="20"/>
        <w:rPr>
          <w:b/>
        </w:rPr>
      </w:pPr>
      <w:bookmarkStart w:id="1935" w:name="_Toc108514084"/>
      <w:r>
        <w:rPr>
          <w:b/>
        </w:rPr>
        <w:t>1.6 图纸和承包人文件</w:t>
      </w:r>
      <w:bookmarkEnd w:id="1935"/>
      <w:r>
        <w:rPr>
          <w:b/>
        </w:rPr>
        <w:tab/>
      </w:r>
    </w:p>
    <w:p w14:paraId="066B097E">
      <w:pPr>
        <w:spacing w:line="400" w:lineRule="exact"/>
        <w:ind w:firstLine="420" w:firstLineChars="200"/>
        <w:rPr>
          <w:rFonts w:ascii="宋体" w:hAnsi="宋体"/>
        </w:rPr>
      </w:pPr>
      <w:r>
        <w:rPr>
          <w:rFonts w:ascii="宋体" w:hAnsi="宋体"/>
        </w:rPr>
        <w:t>1.6.1 图纸的提供</w:t>
      </w:r>
    </w:p>
    <w:p w14:paraId="74ACA571">
      <w:pPr>
        <w:spacing w:line="400" w:lineRule="exact"/>
        <w:ind w:firstLine="420" w:firstLineChars="200"/>
        <w:rPr>
          <w:rFonts w:ascii="宋体" w:hAnsi="宋体"/>
        </w:rPr>
      </w:pPr>
      <w:r>
        <w:rPr>
          <w:rFonts w:ascii="宋体" w:hAnsi="宋体"/>
        </w:rPr>
        <w:t>发包人向承包人提供图纸的期限：</w:t>
      </w:r>
      <w:r>
        <w:rPr>
          <w:rFonts w:ascii="宋体" w:hAnsi="宋体"/>
          <w:u w:val="single"/>
        </w:rPr>
        <w:t xml:space="preserve">                    </w:t>
      </w:r>
      <w:r>
        <w:rPr>
          <w:rFonts w:ascii="宋体" w:hAnsi="宋体"/>
        </w:rPr>
        <w:t>；</w:t>
      </w:r>
    </w:p>
    <w:p w14:paraId="159C47BB">
      <w:pPr>
        <w:spacing w:line="400" w:lineRule="exact"/>
        <w:ind w:firstLine="420" w:firstLineChars="200"/>
        <w:rPr>
          <w:rFonts w:ascii="宋体" w:hAnsi="宋体"/>
        </w:rPr>
      </w:pPr>
      <w:r>
        <w:rPr>
          <w:rFonts w:ascii="宋体" w:hAnsi="宋体"/>
        </w:rPr>
        <w:t>发包人向承包人提供图纸的数量：</w:t>
      </w:r>
      <w:r>
        <w:rPr>
          <w:rFonts w:ascii="宋体" w:hAnsi="宋体"/>
          <w:u w:val="single"/>
        </w:rPr>
        <w:t xml:space="preserve">                    </w:t>
      </w:r>
      <w:r>
        <w:rPr>
          <w:rFonts w:ascii="宋体" w:hAnsi="宋体"/>
        </w:rPr>
        <w:t>；</w:t>
      </w:r>
    </w:p>
    <w:p w14:paraId="1089EAFD">
      <w:pPr>
        <w:spacing w:line="400" w:lineRule="exact"/>
        <w:ind w:firstLine="420" w:firstLineChars="200"/>
        <w:rPr>
          <w:rFonts w:ascii="宋体" w:hAnsi="宋体"/>
        </w:rPr>
      </w:pPr>
      <w:r>
        <w:rPr>
          <w:rFonts w:ascii="宋体" w:hAnsi="宋体"/>
        </w:rPr>
        <w:t>发包人向承包人提供图纸的内容：</w:t>
      </w:r>
      <w:r>
        <w:rPr>
          <w:rFonts w:ascii="宋体" w:hAnsi="宋体"/>
          <w:u w:val="single"/>
        </w:rPr>
        <w:t xml:space="preserve">                    </w:t>
      </w:r>
      <w:r>
        <w:rPr>
          <w:rFonts w:ascii="宋体" w:hAnsi="宋体"/>
        </w:rPr>
        <w:t>。</w:t>
      </w:r>
    </w:p>
    <w:p w14:paraId="01258997">
      <w:pPr>
        <w:spacing w:line="400" w:lineRule="exact"/>
        <w:ind w:firstLine="420" w:firstLineChars="200"/>
        <w:rPr>
          <w:rFonts w:ascii="宋体" w:hAnsi="宋体"/>
        </w:rPr>
      </w:pPr>
      <w:r>
        <w:rPr>
          <w:rFonts w:ascii="宋体" w:hAnsi="宋体"/>
        </w:rPr>
        <w:t>1.6.4 承包人文件</w:t>
      </w:r>
    </w:p>
    <w:p w14:paraId="57E9F7CF">
      <w:pPr>
        <w:spacing w:line="400" w:lineRule="exact"/>
        <w:ind w:firstLine="420" w:firstLineChars="200"/>
        <w:rPr>
          <w:rFonts w:hint="eastAsia" w:ascii="宋体" w:hAnsi="宋体"/>
          <w:u w:val="single"/>
        </w:rPr>
      </w:pPr>
      <w:r>
        <w:rPr>
          <w:rFonts w:ascii="宋体" w:hAnsi="宋体"/>
        </w:rPr>
        <w:t>需要由承包人提供的文件，包括：</w:t>
      </w:r>
      <w:r>
        <w:rPr>
          <w:rFonts w:hint="eastAsia" w:ascii="宋体" w:hAnsi="宋体"/>
          <w:u w:val="single"/>
        </w:rPr>
        <w:t xml:space="preserve">                                      </w:t>
      </w:r>
      <w:r>
        <w:rPr>
          <w:rFonts w:ascii="宋体" w:hAnsi="宋体"/>
          <w:u w:val="single"/>
        </w:rPr>
        <w:t xml:space="preserve">            </w:t>
      </w:r>
    </w:p>
    <w:p w14:paraId="483D3831">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rPr>
        <w:t xml:space="preserve"> </w:t>
      </w:r>
      <w:r>
        <w:rPr>
          <w:rFonts w:ascii="宋体" w:hAnsi="宋体"/>
        </w:rPr>
        <w:t>；</w:t>
      </w:r>
    </w:p>
    <w:p w14:paraId="447EBC31">
      <w:pPr>
        <w:spacing w:line="400" w:lineRule="exact"/>
        <w:ind w:firstLine="420" w:firstLineChars="200"/>
        <w:rPr>
          <w:rFonts w:ascii="宋体" w:hAnsi="宋体"/>
        </w:rPr>
      </w:pPr>
      <w:r>
        <w:rPr>
          <w:rFonts w:ascii="宋体" w:hAnsi="宋体"/>
        </w:rPr>
        <w:t>承包人提供的文件的期限为：</w:t>
      </w:r>
      <w:r>
        <w:rPr>
          <w:rFonts w:ascii="宋体" w:hAnsi="宋体"/>
          <w:u w:val="single"/>
        </w:rPr>
        <w:t xml:space="preserve">                        </w:t>
      </w:r>
      <w:r>
        <w:rPr>
          <w:rFonts w:ascii="宋体" w:hAnsi="宋体"/>
        </w:rPr>
        <w:t>；</w:t>
      </w:r>
    </w:p>
    <w:p w14:paraId="770504FB">
      <w:pPr>
        <w:spacing w:line="400" w:lineRule="exact"/>
        <w:ind w:firstLine="420" w:firstLineChars="200"/>
        <w:rPr>
          <w:rFonts w:ascii="宋体" w:hAnsi="宋体"/>
        </w:rPr>
      </w:pPr>
      <w:r>
        <w:rPr>
          <w:rFonts w:ascii="宋体" w:hAnsi="宋体"/>
        </w:rPr>
        <w:t>承包人提供的文件的数量为：</w:t>
      </w:r>
      <w:r>
        <w:rPr>
          <w:rFonts w:ascii="宋体" w:hAnsi="宋体"/>
          <w:u w:val="single"/>
        </w:rPr>
        <w:t xml:space="preserve">                        </w:t>
      </w:r>
      <w:r>
        <w:rPr>
          <w:rFonts w:ascii="宋体" w:hAnsi="宋体"/>
        </w:rPr>
        <w:t>；</w:t>
      </w:r>
    </w:p>
    <w:p w14:paraId="598F4D0A">
      <w:pPr>
        <w:spacing w:line="400" w:lineRule="exact"/>
        <w:ind w:firstLine="420" w:firstLineChars="200"/>
        <w:rPr>
          <w:rFonts w:ascii="宋体" w:hAnsi="宋体"/>
        </w:rPr>
      </w:pPr>
      <w:r>
        <w:rPr>
          <w:rFonts w:ascii="宋体" w:hAnsi="宋体"/>
        </w:rPr>
        <w:t>承包人提供的文件的形式为：</w:t>
      </w:r>
      <w:r>
        <w:rPr>
          <w:rFonts w:ascii="宋体" w:hAnsi="宋体"/>
          <w:u w:val="single"/>
        </w:rPr>
        <w:t xml:space="preserve">                        </w:t>
      </w:r>
      <w:r>
        <w:rPr>
          <w:rFonts w:ascii="宋体" w:hAnsi="宋体"/>
        </w:rPr>
        <w:t>；</w:t>
      </w:r>
    </w:p>
    <w:p w14:paraId="4C428B1A">
      <w:pPr>
        <w:spacing w:line="400" w:lineRule="exact"/>
        <w:ind w:firstLine="420" w:firstLineChars="200"/>
        <w:rPr>
          <w:rFonts w:ascii="宋体" w:hAnsi="宋体"/>
        </w:rPr>
      </w:pPr>
      <w:r>
        <w:rPr>
          <w:rFonts w:ascii="宋体" w:hAnsi="宋体"/>
        </w:rPr>
        <w:t>发包人</w:t>
      </w:r>
      <w:r>
        <w:rPr>
          <w:rFonts w:hint="eastAsia" w:ascii="宋体" w:hAnsi="宋体"/>
        </w:rPr>
        <w:t>审批</w:t>
      </w:r>
      <w:r>
        <w:rPr>
          <w:rFonts w:ascii="宋体" w:hAnsi="宋体"/>
        </w:rPr>
        <w:t>承包人文件的期限：</w:t>
      </w:r>
      <w:r>
        <w:rPr>
          <w:rFonts w:ascii="宋体" w:hAnsi="宋体"/>
          <w:u w:val="single"/>
        </w:rPr>
        <w:t xml:space="preserve">                      </w:t>
      </w:r>
      <w:r>
        <w:rPr>
          <w:rFonts w:ascii="宋体" w:hAnsi="宋体"/>
        </w:rPr>
        <w:t>。</w:t>
      </w:r>
    </w:p>
    <w:p w14:paraId="71E5E6B0">
      <w:pPr>
        <w:spacing w:line="400" w:lineRule="exact"/>
        <w:ind w:firstLine="420" w:firstLineChars="200"/>
        <w:rPr>
          <w:rFonts w:ascii="宋体" w:hAnsi="宋体"/>
        </w:rPr>
      </w:pPr>
      <w:r>
        <w:rPr>
          <w:rFonts w:ascii="宋体" w:hAnsi="宋体"/>
        </w:rPr>
        <w:t>1.6.5 现场图纸准备</w:t>
      </w:r>
    </w:p>
    <w:p w14:paraId="11588CFE">
      <w:pPr>
        <w:spacing w:line="400" w:lineRule="exact"/>
        <w:ind w:firstLine="420" w:firstLineChars="200"/>
      </w:pPr>
      <w:r>
        <w:rPr>
          <w:rFonts w:ascii="宋体" w:hAnsi="宋体"/>
        </w:rPr>
        <w:t>关于现场图纸准备的约定：</w:t>
      </w:r>
      <w:r>
        <w:rPr>
          <w:rFonts w:ascii="宋体" w:hAnsi="宋体"/>
          <w:u w:val="single"/>
        </w:rPr>
        <w:t xml:space="preserve">                          </w:t>
      </w:r>
      <w:r>
        <w:rPr>
          <w:rFonts w:ascii="宋体" w:hAnsi="宋体"/>
        </w:rPr>
        <w:t>。</w:t>
      </w:r>
    </w:p>
    <w:p w14:paraId="7A8FEF19">
      <w:pPr>
        <w:pStyle w:val="20"/>
        <w:rPr>
          <w:b/>
        </w:rPr>
      </w:pPr>
      <w:bookmarkStart w:id="1936" w:name="_Toc108514085"/>
      <w:r>
        <w:rPr>
          <w:b/>
        </w:rPr>
        <w:t>1.7 联络</w:t>
      </w:r>
      <w:bookmarkEnd w:id="1936"/>
    </w:p>
    <w:p w14:paraId="691789B5">
      <w:pPr>
        <w:spacing w:line="400" w:lineRule="exact"/>
        <w:ind w:firstLine="420" w:firstLineChars="200"/>
        <w:rPr>
          <w:rFonts w:hint="eastAsia" w:ascii="宋体" w:hAnsi="宋体"/>
        </w:rPr>
      </w:pPr>
      <w:r>
        <w:rPr>
          <w:rFonts w:ascii="宋体" w:hAnsi="宋体"/>
        </w:rPr>
        <w:t>1.7.1发包人和承包人应当在</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天内将与合同有关的通知、批准、证明、证书、指示、指令、要求、请求、同意、意见、确定和决定等书面函件送达对方当事人</w:t>
      </w:r>
      <w:r>
        <w:rPr>
          <w:rFonts w:hint="eastAsia" w:ascii="宋体" w:hAnsi="宋体"/>
        </w:rPr>
        <w:t>。</w:t>
      </w:r>
    </w:p>
    <w:p w14:paraId="75167CD9">
      <w:pPr>
        <w:spacing w:line="400" w:lineRule="exact"/>
        <w:ind w:firstLine="420" w:firstLineChars="200"/>
        <w:rPr>
          <w:rFonts w:ascii="宋体" w:hAnsi="宋体"/>
        </w:rPr>
      </w:pPr>
      <w:r>
        <w:rPr>
          <w:rFonts w:ascii="宋体" w:hAnsi="宋体"/>
        </w:rPr>
        <w:t>1.7.2 发包人接收文件的地点：</w:t>
      </w:r>
      <w:r>
        <w:rPr>
          <w:rFonts w:ascii="宋体" w:hAnsi="宋体"/>
          <w:u w:val="single"/>
        </w:rPr>
        <w:t xml:space="preserve">                        </w:t>
      </w:r>
      <w:r>
        <w:rPr>
          <w:rFonts w:ascii="宋体" w:hAnsi="宋体"/>
        </w:rPr>
        <w:t>；</w:t>
      </w:r>
    </w:p>
    <w:p w14:paraId="602BE385">
      <w:pPr>
        <w:spacing w:line="400" w:lineRule="exact"/>
        <w:ind w:firstLine="420" w:firstLineChars="200"/>
        <w:rPr>
          <w:rFonts w:ascii="宋体" w:hAnsi="宋体"/>
        </w:rPr>
      </w:pPr>
      <w:r>
        <w:rPr>
          <w:rFonts w:ascii="宋体" w:hAnsi="宋体"/>
        </w:rPr>
        <w:t>发包人指定的接收人为：</w:t>
      </w:r>
      <w:r>
        <w:rPr>
          <w:rFonts w:hint="eastAsia" w:ascii="宋体" w:hAnsi="宋体"/>
          <w:u w:val="single"/>
        </w:rPr>
        <w:t xml:space="preserve">  </w:t>
      </w:r>
      <w:r>
        <w:rPr>
          <w:rFonts w:ascii="宋体" w:hAnsi="宋体"/>
          <w:u w:val="single"/>
        </w:rPr>
        <w:t xml:space="preserve">                           </w:t>
      </w:r>
      <w:r>
        <w:rPr>
          <w:rFonts w:ascii="宋体" w:hAnsi="宋体"/>
        </w:rPr>
        <w:t>。</w:t>
      </w:r>
    </w:p>
    <w:p w14:paraId="27285072">
      <w:pPr>
        <w:spacing w:line="400" w:lineRule="exact"/>
        <w:ind w:firstLine="420" w:firstLineChars="200"/>
        <w:rPr>
          <w:rFonts w:ascii="宋体" w:hAnsi="宋体"/>
        </w:rPr>
      </w:pPr>
      <w:r>
        <w:rPr>
          <w:rFonts w:ascii="宋体" w:hAnsi="宋体"/>
        </w:rPr>
        <w:t>承包人接收文件的地点：</w:t>
      </w:r>
      <w:r>
        <w:rPr>
          <w:rFonts w:ascii="宋体" w:hAnsi="宋体"/>
          <w:u w:val="single"/>
        </w:rPr>
        <w:t xml:space="preserve">                             </w:t>
      </w:r>
      <w:r>
        <w:rPr>
          <w:rFonts w:ascii="宋体" w:hAnsi="宋体"/>
        </w:rPr>
        <w:t>；</w:t>
      </w:r>
    </w:p>
    <w:p w14:paraId="2A55BE07">
      <w:pPr>
        <w:spacing w:line="400" w:lineRule="exact"/>
        <w:ind w:firstLine="420" w:firstLineChars="200"/>
        <w:rPr>
          <w:rFonts w:ascii="宋体" w:hAnsi="宋体"/>
        </w:rPr>
      </w:pPr>
      <w:r>
        <w:rPr>
          <w:rFonts w:ascii="宋体" w:hAnsi="宋体"/>
        </w:rPr>
        <w:t>承包人指定的接收人为：</w:t>
      </w:r>
      <w:r>
        <w:rPr>
          <w:rFonts w:ascii="宋体" w:hAnsi="宋体"/>
          <w:u w:val="single"/>
        </w:rPr>
        <w:t xml:space="preserve">                             </w:t>
      </w:r>
      <w:r>
        <w:rPr>
          <w:rFonts w:ascii="宋体" w:hAnsi="宋体"/>
        </w:rPr>
        <w:t>。</w:t>
      </w:r>
    </w:p>
    <w:p w14:paraId="39AD4FE4">
      <w:pPr>
        <w:spacing w:line="400" w:lineRule="exact"/>
        <w:ind w:firstLine="420" w:firstLineChars="200"/>
        <w:rPr>
          <w:rFonts w:ascii="宋体" w:hAnsi="宋体"/>
        </w:rPr>
      </w:pPr>
      <w:r>
        <w:rPr>
          <w:rFonts w:ascii="宋体" w:hAnsi="宋体"/>
        </w:rPr>
        <w:t>监理人接收文件的地点：</w:t>
      </w:r>
      <w:r>
        <w:rPr>
          <w:rFonts w:ascii="宋体" w:hAnsi="宋体"/>
          <w:u w:val="single"/>
        </w:rPr>
        <w:t xml:space="preserve">                             </w:t>
      </w:r>
      <w:r>
        <w:rPr>
          <w:rFonts w:ascii="宋体" w:hAnsi="宋体"/>
        </w:rPr>
        <w:t>；</w:t>
      </w:r>
    </w:p>
    <w:p w14:paraId="1EC57627">
      <w:pPr>
        <w:spacing w:line="400" w:lineRule="exact"/>
        <w:ind w:firstLine="420" w:firstLineChars="200"/>
      </w:pPr>
      <w:r>
        <w:rPr>
          <w:rFonts w:ascii="宋体" w:hAnsi="宋体"/>
        </w:rPr>
        <w:t>监理人指定的接收人为：</w:t>
      </w:r>
      <w:r>
        <w:rPr>
          <w:rFonts w:ascii="宋体" w:hAnsi="宋体"/>
          <w:u w:val="single"/>
        </w:rPr>
        <w:t xml:space="preserve">                             </w:t>
      </w:r>
      <w:r>
        <w:rPr>
          <w:rFonts w:ascii="宋体" w:hAnsi="宋体"/>
        </w:rPr>
        <w:t>。</w:t>
      </w:r>
    </w:p>
    <w:p w14:paraId="45B9D472">
      <w:pPr>
        <w:pStyle w:val="20"/>
        <w:rPr>
          <w:b/>
        </w:rPr>
      </w:pPr>
      <w:bookmarkStart w:id="1937" w:name="_Toc108514086"/>
      <w:r>
        <w:rPr>
          <w:b/>
        </w:rPr>
        <w:t>1.10 交通运输</w:t>
      </w:r>
      <w:bookmarkEnd w:id="1937"/>
    </w:p>
    <w:p w14:paraId="3F444B10">
      <w:pPr>
        <w:spacing w:line="400" w:lineRule="exact"/>
        <w:ind w:firstLine="420" w:firstLineChars="200"/>
        <w:rPr>
          <w:rFonts w:ascii="宋体" w:hAnsi="宋体"/>
        </w:rPr>
      </w:pPr>
      <w:r>
        <w:rPr>
          <w:rFonts w:ascii="宋体" w:hAnsi="宋体"/>
        </w:rPr>
        <w:t>1</w:t>
      </w:r>
      <w:bookmarkStart w:id="1938" w:name="_Toc312677986"/>
      <w:bookmarkStart w:id="1939" w:name="_Toc304295521"/>
      <w:bookmarkStart w:id="1940" w:name="_Toc318581155"/>
      <w:bookmarkStart w:id="1941" w:name="_Toc300934943"/>
      <w:bookmarkStart w:id="1942" w:name="_Toc303539100"/>
      <w:r>
        <w:rPr>
          <w:rFonts w:ascii="宋体" w:hAnsi="宋体"/>
        </w:rPr>
        <w:t>.10.1 出入现场的权利</w:t>
      </w:r>
    </w:p>
    <w:p w14:paraId="16ED79E7">
      <w:pPr>
        <w:spacing w:line="400" w:lineRule="exact"/>
        <w:ind w:firstLine="420" w:firstLineChars="200"/>
        <w:rPr>
          <w:rFonts w:hint="eastAsia" w:ascii="宋体" w:hAnsi="宋体"/>
        </w:rPr>
      </w:pPr>
      <w:r>
        <w:rPr>
          <w:rFonts w:ascii="宋体" w:hAnsi="宋体"/>
        </w:rPr>
        <w:t>关于出入现场的权利的约定：</w:t>
      </w:r>
    </w:p>
    <w:p w14:paraId="44D7E755">
      <w:pPr>
        <w:spacing w:line="400" w:lineRule="exact"/>
        <w:ind w:firstLine="420" w:firstLineChars="200"/>
        <w:rPr>
          <w:rFonts w:hint="eastAsia" w:ascii="宋体" w:hAnsi="宋体"/>
          <w:u w:val="single"/>
        </w:rPr>
      </w:pPr>
      <w:r>
        <w:rPr>
          <w:rFonts w:hint="eastAsia" w:ascii="宋体" w:hAnsi="宋体"/>
          <w:u w:val="single"/>
        </w:rPr>
        <w:t xml:space="preserve">                                                    </w:t>
      </w:r>
      <w:r>
        <w:rPr>
          <w:rFonts w:ascii="宋体" w:hAnsi="宋体"/>
          <w:u w:val="single"/>
        </w:rPr>
        <w:t xml:space="preserve">                      </w:t>
      </w:r>
    </w:p>
    <w:p w14:paraId="6FA9BECC">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bookmarkEnd w:id="1938"/>
    <w:bookmarkEnd w:id="1939"/>
    <w:bookmarkEnd w:id="1940"/>
    <w:bookmarkEnd w:id="1941"/>
    <w:bookmarkEnd w:id="1942"/>
    <w:p w14:paraId="34593121">
      <w:pPr>
        <w:spacing w:line="400" w:lineRule="exact"/>
        <w:ind w:firstLine="420" w:firstLineChars="200"/>
        <w:rPr>
          <w:rFonts w:ascii="宋体" w:hAnsi="宋体"/>
        </w:rPr>
      </w:pPr>
      <w:r>
        <w:rPr>
          <w:rFonts w:ascii="宋体" w:hAnsi="宋体"/>
        </w:rPr>
        <w:t>1</w:t>
      </w:r>
      <w:bookmarkStart w:id="1943" w:name="_Toc312677987"/>
      <w:bookmarkStart w:id="1944" w:name="_Toc303539101"/>
      <w:bookmarkStart w:id="1945" w:name="_Toc300934944"/>
      <w:bookmarkStart w:id="1946" w:name="_Toc304295522"/>
      <w:bookmarkStart w:id="1947" w:name="_Toc318581156"/>
      <w:r>
        <w:rPr>
          <w:rFonts w:ascii="宋体" w:hAnsi="宋体"/>
        </w:rPr>
        <w:t>.10.3 场内交通</w:t>
      </w:r>
    </w:p>
    <w:p w14:paraId="6850AA30">
      <w:pPr>
        <w:spacing w:line="400" w:lineRule="exact"/>
        <w:ind w:firstLine="420" w:firstLineChars="200"/>
        <w:rPr>
          <w:rFonts w:hint="eastAsia" w:ascii="宋体" w:hAnsi="宋体"/>
        </w:rPr>
      </w:pPr>
      <w:r>
        <w:rPr>
          <w:rFonts w:ascii="宋体" w:hAnsi="宋体"/>
        </w:rPr>
        <w:t>关于场外交通和场内交通的边界的约定：</w:t>
      </w:r>
    </w:p>
    <w:p w14:paraId="17E1F065">
      <w:pPr>
        <w:spacing w:line="400" w:lineRule="exact"/>
        <w:ind w:firstLine="420" w:firstLineChars="200"/>
        <w:rPr>
          <w:rFonts w:hint="eastAsia" w:ascii="宋体" w:hAnsi="宋体"/>
          <w:u w:val="single"/>
        </w:rPr>
      </w:pPr>
      <w:r>
        <w:rPr>
          <w:rFonts w:hint="eastAsia" w:ascii="宋体" w:hAnsi="宋体"/>
          <w:u w:val="single"/>
        </w:rPr>
        <w:t xml:space="preserve">                                                    </w:t>
      </w:r>
      <w:r>
        <w:rPr>
          <w:rFonts w:ascii="宋体" w:hAnsi="宋体"/>
          <w:u w:val="single"/>
        </w:rPr>
        <w:t xml:space="preserve">                       </w:t>
      </w:r>
    </w:p>
    <w:p w14:paraId="3181A944">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6F78BC9C">
      <w:pPr>
        <w:spacing w:line="400" w:lineRule="exact"/>
        <w:ind w:firstLine="420" w:firstLineChars="200"/>
        <w:rPr>
          <w:rFonts w:hint="eastAsia" w:ascii="宋体" w:hAnsi="宋体"/>
        </w:rPr>
      </w:pPr>
      <w:r>
        <w:rPr>
          <w:rFonts w:ascii="宋体" w:hAnsi="宋体"/>
        </w:rPr>
        <w:t>关于发包人向承包人免费提供满足工程施工需要的场内道路和交通设施的约定：</w:t>
      </w:r>
    </w:p>
    <w:p w14:paraId="00DFFE70">
      <w:pPr>
        <w:spacing w:line="400" w:lineRule="exact"/>
        <w:ind w:firstLine="420" w:firstLineChars="200"/>
        <w:rPr>
          <w:rFonts w:hint="eastAsia" w:ascii="宋体" w:hAnsi="宋体"/>
          <w:u w:val="single"/>
        </w:rPr>
      </w:pPr>
      <w:r>
        <w:rPr>
          <w:rFonts w:hint="eastAsia" w:ascii="宋体" w:hAnsi="宋体"/>
          <w:u w:val="single"/>
        </w:rPr>
        <w:t xml:space="preserve">                                                    </w:t>
      </w:r>
      <w:r>
        <w:rPr>
          <w:rFonts w:ascii="宋体" w:hAnsi="宋体"/>
          <w:u w:val="single"/>
        </w:rPr>
        <w:t xml:space="preserve">                       </w:t>
      </w:r>
    </w:p>
    <w:p w14:paraId="0A653B10">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 </w:t>
      </w:r>
      <w:bookmarkEnd w:id="1943"/>
      <w:bookmarkEnd w:id="1944"/>
      <w:bookmarkEnd w:id="1945"/>
      <w:bookmarkEnd w:id="1946"/>
      <w:bookmarkEnd w:id="1947"/>
      <w:bookmarkStart w:id="1948" w:name="_Toc318581157"/>
    </w:p>
    <w:p w14:paraId="07BE249A">
      <w:pPr>
        <w:spacing w:line="400" w:lineRule="exact"/>
        <w:ind w:firstLine="420" w:firstLineChars="200"/>
        <w:rPr>
          <w:rFonts w:ascii="宋体" w:hAnsi="宋体"/>
        </w:rPr>
      </w:pPr>
      <w:r>
        <w:rPr>
          <w:rFonts w:ascii="宋体" w:hAnsi="宋体"/>
        </w:rPr>
        <w:t>1.10.4超大件和超重件的运输</w:t>
      </w:r>
    </w:p>
    <w:p w14:paraId="7DAED228">
      <w:pPr>
        <w:spacing w:line="400" w:lineRule="exact"/>
        <w:ind w:firstLine="420" w:firstLineChars="200"/>
      </w:pPr>
      <w:r>
        <w:rPr>
          <w:rFonts w:ascii="宋体" w:hAnsi="宋体"/>
        </w:rPr>
        <w:t>运输超大件或超重件所需的道路和桥梁临时加固改造费用和其他有关费用由</w:t>
      </w:r>
      <w:r>
        <w:rPr>
          <w:rFonts w:ascii="宋体" w:hAnsi="宋体"/>
          <w:u w:val="single"/>
        </w:rPr>
        <w:t></w:t>
      </w:r>
      <w:r>
        <w:rPr>
          <w:rFonts w:ascii="宋体" w:hAnsi="宋体"/>
        </w:rPr>
        <w:t xml:space="preserve">              承担。</w:t>
      </w:r>
    </w:p>
    <w:bookmarkEnd w:id="1948"/>
    <w:p w14:paraId="549C7EBB">
      <w:pPr>
        <w:pStyle w:val="20"/>
      </w:pPr>
      <w:bookmarkStart w:id="1949" w:name="_Toc108514087"/>
      <w:r>
        <w:rPr>
          <w:b/>
        </w:rPr>
        <w:t>1.11 知识产权</w:t>
      </w:r>
      <w:bookmarkEnd w:id="1949"/>
    </w:p>
    <w:p w14:paraId="321450C9">
      <w:pPr>
        <w:spacing w:line="400" w:lineRule="exact"/>
        <w:ind w:firstLine="420" w:firstLineChars="200"/>
        <w:rPr>
          <w:rFonts w:hint="eastAsia" w:ascii="宋体" w:hAnsi="宋体"/>
        </w:rPr>
      </w:pPr>
      <w:r>
        <w:rPr>
          <w:rFonts w:ascii="宋体" w:hAnsi="宋体"/>
        </w:rPr>
        <w:t>1.11.1关于发包人提供给承包人的图纸、发包人为实施工程自行编制或委托编制的技术规范以及反映发包人关于合同要求或其他类似性质的文件的著作权的归属：</w:t>
      </w:r>
    </w:p>
    <w:p w14:paraId="4F865E2B">
      <w:pPr>
        <w:spacing w:line="400" w:lineRule="exact"/>
        <w:ind w:firstLine="420" w:firstLineChars="200"/>
        <w:rPr>
          <w:rFonts w:hint="eastAsia" w:ascii="宋体" w:hAnsi="宋体"/>
          <w:u w:val="single"/>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p>
    <w:p w14:paraId="3DB5F186">
      <w:pPr>
        <w:spacing w:line="400" w:lineRule="exact"/>
        <w:ind w:left="420" w:leftChars="200"/>
        <w:rPr>
          <w:rFonts w:hint="eastAsia" w:ascii="宋体" w:hAnsi="宋体"/>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。关于发包人提供的上述文件的使用限制的要求：</w:t>
      </w:r>
    </w:p>
    <w:p w14:paraId="6250567E">
      <w:pPr>
        <w:spacing w:line="400" w:lineRule="exact"/>
        <w:ind w:firstLine="420" w:firstLineChars="200"/>
        <w:rPr>
          <w:rFonts w:hint="eastAsia" w:ascii="宋体" w:hAnsi="宋体"/>
          <w:u w:val="single"/>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p>
    <w:p w14:paraId="22587EEF">
      <w:pPr>
        <w:spacing w:line="400" w:lineRule="exact"/>
        <w:ind w:left="420" w:leftChars="200"/>
        <w:rPr>
          <w:rFonts w:ascii="宋体" w:hAnsi="宋体"/>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 xml:space="preserve">。 </w:t>
      </w:r>
    </w:p>
    <w:p w14:paraId="1250C618">
      <w:pPr>
        <w:spacing w:line="400" w:lineRule="exact"/>
        <w:ind w:left="420" w:leftChars="200"/>
        <w:rPr>
          <w:rFonts w:hint="eastAsia" w:ascii="宋体" w:hAnsi="宋体"/>
        </w:rPr>
      </w:pPr>
      <w:r>
        <w:rPr>
          <w:rFonts w:ascii="宋体" w:hAnsi="宋体"/>
        </w:rPr>
        <w:t>1.11.2 关于承包人为实施工程所编制文件的著作权的归属：</w:t>
      </w:r>
    </w:p>
    <w:p w14:paraId="5A8496DE">
      <w:pPr>
        <w:spacing w:line="400" w:lineRule="exact"/>
        <w:ind w:firstLine="420" w:firstLineChars="200"/>
        <w:rPr>
          <w:rFonts w:hint="eastAsia" w:ascii="宋体" w:hAnsi="宋体"/>
          <w:u w:val="single"/>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p>
    <w:p w14:paraId="6A2FF70F">
      <w:pPr>
        <w:spacing w:line="400" w:lineRule="exact"/>
        <w:ind w:left="420" w:leftChars="200"/>
        <w:rPr>
          <w:rFonts w:ascii="宋体" w:hAnsi="宋体"/>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14:paraId="3B8F66ED">
      <w:pPr>
        <w:spacing w:line="400" w:lineRule="exact"/>
        <w:ind w:left="420" w:leftChars="200"/>
        <w:rPr>
          <w:rFonts w:hint="eastAsia" w:ascii="宋体" w:hAnsi="宋体"/>
        </w:rPr>
      </w:pPr>
      <w:r>
        <w:rPr>
          <w:rFonts w:ascii="宋体" w:hAnsi="宋体"/>
        </w:rPr>
        <w:t>关于承包人提供的上述文件的使用限制的要求：</w:t>
      </w:r>
    </w:p>
    <w:p w14:paraId="278B13CB">
      <w:pPr>
        <w:spacing w:line="400" w:lineRule="exact"/>
        <w:ind w:firstLine="420" w:firstLineChars="200"/>
        <w:rPr>
          <w:rFonts w:hint="eastAsia" w:ascii="宋体" w:hAnsi="宋体"/>
          <w:u w:val="single"/>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p>
    <w:p w14:paraId="04632AC7">
      <w:pPr>
        <w:spacing w:line="400" w:lineRule="exact"/>
        <w:ind w:left="420" w:leftChars="200"/>
        <w:rPr>
          <w:rFonts w:ascii="宋体" w:hAnsi="宋体"/>
        </w:rPr>
      </w:pP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14:paraId="5C284174">
      <w:pPr>
        <w:spacing w:line="400" w:lineRule="exact"/>
        <w:ind w:left="420" w:leftChars="200"/>
        <w:rPr>
          <w:rFonts w:hint="eastAsia" w:ascii="宋体" w:hAnsi="宋体"/>
        </w:rPr>
      </w:pPr>
      <w:r>
        <w:rPr>
          <w:rFonts w:ascii="宋体" w:hAnsi="宋体"/>
        </w:rPr>
        <w:t xml:space="preserve"> 1.11.4 承包人在施工过程中所采用的专利、专有技术、技术秘密的使用费的承担方式：</w:t>
      </w:r>
    </w:p>
    <w:p w14:paraId="78F32AE1">
      <w:pPr>
        <w:spacing w:line="400" w:lineRule="exact"/>
        <w:ind w:left="420" w:left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w:t>
      </w:r>
      <w:r>
        <w:rPr>
          <w:rFonts w:ascii="宋体" w:hAnsi="宋体"/>
        </w:rPr>
        <w:t>。</w:t>
      </w:r>
    </w:p>
    <w:p w14:paraId="63C7029D">
      <w:pPr>
        <w:pStyle w:val="20"/>
        <w:rPr>
          <w:b/>
        </w:rPr>
      </w:pPr>
      <w:bookmarkStart w:id="1950" w:name="_Toc108514088"/>
      <w:r>
        <w:rPr>
          <w:b/>
        </w:rPr>
        <w:t>1.13工程量清单错误的修正</w:t>
      </w:r>
      <w:bookmarkEnd w:id="1950"/>
    </w:p>
    <w:p w14:paraId="7CCC90E6">
      <w:pPr>
        <w:spacing w:line="400" w:lineRule="exact"/>
        <w:ind w:firstLine="420" w:firstLineChars="200"/>
        <w:rPr>
          <w:rFonts w:hint="eastAsia" w:ascii="宋体" w:hAnsi="宋体"/>
        </w:rPr>
      </w:pPr>
      <w:r>
        <w:rPr>
          <w:rFonts w:hint="eastAsia" w:ascii="宋体" w:hAnsi="宋体"/>
        </w:rPr>
        <w:t>出现工程量清单错误时，是否调整合同价格：</w:t>
      </w:r>
    </w:p>
    <w:p w14:paraId="7C3FE4AF">
      <w:pPr>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25B7001">
      <w:pPr>
        <w:spacing w:line="400" w:lineRule="exact"/>
        <w:ind w:firstLine="420" w:firstLineChars="200"/>
        <w:rPr>
          <w:rFonts w:hint="eastAsia" w:ascii="宋体" w:hAnsi="宋体"/>
        </w:rPr>
      </w:pPr>
      <w:r>
        <w:rPr>
          <w:rFonts w:ascii="宋体" w:hAnsi="宋体"/>
        </w:rPr>
        <w:t>允许调整合同价格的工程量偏差范围：</w:t>
      </w:r>
    </w:p>
    <w:p w14:paraId="5FA0BB9A">
      <w:pPr>
        <w:spacing w:line="400" w:lineRule="exact"/>
        <w:ind w:firstLine="420" w:firstLineChars="200"/>
        <w:rPr>
          <w:rFonts w:hint="eastAsia"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087AEE82">
      <w:pPr>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 </w:t>
      </w:r>
      <w:r>
        <w:rPr>
          <w:rFonts w:ascii="宋体" w:hAnsi="宋体"/>
        </w:rPr>
        <w:t xml:space="preserve"> 。</w:t>
      </w:r>
    </w:p>
    <w:p w14:paraId="6218D7BF">
      <w:pPr>
        <w:pStyle w:val="18"/>
        <w:rPr>
          <w:b/>
        </w:rPr>
      </w:pPr>
      <w:bookmarkStart w:id="1951" w:name="_Toc108514089"/>
      <w:bookmarkStart w:id="1952" w:name="_Toc351203634"/>
      <w:r>
        <w:rPr>
          <w:b/>
        </w:rPr>
        <w:t>2</w:t>
      </w:r>
      <w:bookmarkStart w:id="1953" w:name="_Toc296944496"/>
      <w:bookmarkStart w:id="1954" w:name="_Toc296891197"/>
      <w:bookmarkStart w:id="1955" w:name="_Toc297120457"/>
      <w:bookmarkStart w:id="1956" w:name="_Toc296503157"/>
      <w:bookmarkStart w:id="1957" w:name="_Toc292559867"/>
      <w:bookmarkStart w:id="1958" w:name="_Toc296346658"/>
      <w:bookmarkStart w:id="1959" w:name="_Toc292559362"/>
      <w:bookmarkStart w:id="1960" w:name="_Toc296890985"/>
      <w:bookmarkStart w:id="1961" w:name="_Toc296347156"/>
      <w:bookmarkStart w:id="1962" w:name="_Toc297048343"/>
      <w:r>
        <w:rPr>
          <w:b/>
        </w:rPr>
        <w:t>. 发包人</w:t>
      </w:r>
      <w:bookmarkEnd w:id="1951"/>
      <w:bookmarkEnd w:id="1952"/>
    </w:p>
    <w:bookmarkEnd w:id="1953"/>
    <w:bookmarkEnd w:id="1954"/>
    <w:bookmarkEnd w:id="1955"/>
    <w:bookmarkEnd w:id="1956"/>
    <w:bookmarkEnd w:id="1957"/>
    <w:bookmarkEnd w:id="1958"/>
    <w:bookmarkEnd w:id="1959"/>
    <w:bookmarkEnd w:id="1960"/>
    <w:bookmarkEnd w:id="1961"/>
    <w:bookmarkEnd w:id="1962"/>
    <w:p w14:paraId="103582A8">
      <w:pPr>
        <w:pStyle w:val="20"/>
        <w:rPr>
          <w:b/>
        </w:rPr>
      </w:pPr>
      <w:bookmarkStart w:id="1963" w:name="_Toc108514090"/>
      <w:r>
        <w:rPr>
          <w:b/>
        </w:rPr>
        <w:t>2.2 发包人代表</w:t>
      </w:r>
      <w:bookmarkEnd w:id="1963"/>
    </w:p>
    <w:p w14:paraId="63B376A2">
      <w:pPr>
        <w:spacing w:line="400" w:lineRule="exact"/>
        <w:ind w:firstLine="420" w:firstLineChars="200"/>
        <w:rPr>
          <w:rFonts w:ascii="宋体" w:hAnsi="宋体"/>
        </w:rPr>
      </w:pPr>
      <w:r>
        <w:rPr>
          <w:rFonts w:ascii="宋体" w:hAnsi="宋体"/>
        </w:rPr>
        <w:t>发包人代表：</w:t>
      </w:r>
    </w:p>
    <w:p w14:paraId="336542AB">
      <w:pPr>
        <w:spacing w:line="400" w:lineRule="exact"/>
        <w:ind w:firstLine="420" w:firstLineChars="200"/>
        <w:rPr>
          <w:rFonts w:ascii="宋体" w:hAnsi="宋体"/>
        </w:rPr>
      </w:pPr>
      <w:r>
        <w:rPr>
          <w:rFonts w:ascii="宋体" w:hAnsi="宋体"/>
        </w:rPr>
        <w:t>姓    名：</w:t>
      </w:r>
      <w:r>
        <w:rPr>
          <w:rFonts w:ascii="宋体" w:hAnsi="宋体"/>
          <w:u w:val="single"/>
        </w:rPr>
        <w:t xml:space="preserve">  </w:t>
      </w:r>
      <w:r>
        <w:rPr>
          <w:rFonts w:hint="eastAsia" w:ascii="宋体" w:hAnsi="宋体"/>
          <w:u w:val="single"/>
        </w:rPr>
        <w:t xml:space="preserve">  </w:t>
      </w:r>
      <w:r>
        <w:rPr>
          <w:rFonts w:ascii="宋体" w:hAnsi="宋体"/>
          <w:u w:val="single"/>
        </w:rPr>
        <w:t> </w:t>
      </w:r>
      <w:r>
        <w:rPr>
          <w:rFonts w:ascii="宋体" w:hAnsi="宋体"/>
        </w:rPr>
        <w:t>；</w:t>
      </w:r>
    </w:p>
    <w:p w14:paraId="3DF1E03A">
      <w:pPr>
        <w:spacing w:line="400" w:lineRule="exact"/>
        <w:ind w:firstLine="420" w:firstLineChars="200"/>
        <w:rPr>
          <w:rFonts w:ascii="宋体" w:hAnsi="宋体"/>
        </w:rPr>
      </w:pPr>
      <w:r>
        <w:rPr>
          <w:rFonts w:ascii="宋体" w:hAnsi="宋体"/>
        </w:rPr>
        <w:t>身份证号：</w:t>
      </w:r>
      <w:r>
        <w:rPr>
          <w:rFonts w:ascii="宋体" w:hAnsi="宋体"/>
          <w:u w:val="single"/>
        </w:rPr>
        <w:t xml:space="preserve"> 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w:t>
      </w:r>
      <w:r>
        <w:rPr>
          <w:rFonts w:ascii="宋体" w:hAnsi="宋体"/>
        </w:rPr>
        <w:t>；</w:t>
      </w:r>
    </w:p>
    <w:p w14:paraId="70B0958E">
      <w:pPr>
        <w:spacing w:line="400" w:lineRule="exact"/>
        <w:ind w:firstLine="420" w:firstLineChars="200"/>
        <w:rPr>
          <w:rFonts w:ascii="宋体" w:hAnsi="宋体"/>
        </w:rPr>
      </w:pPr>
      <w:r>
        <w:rPr>
          <w:rFonts w:ascii="宋体" w:hAnsi="宋体"/>
        </w:rPr>
        <w:t>职    务：</w:t>
      </w:r>
      <w:r>
        <w:rPr>
          <w:rFonts w:ascii="宋体" w:hAnsi="宋体"/>
          <w:u w:val="single"/>
        </w:rPr>
        <w:t>    </w:t>
      </w:r>
      <w:r>
        <w:rPr>
          <w:rFonts w:ascii="宋体" w:hAnsi="宋体"/>
        </w:rPr>
        <w:t>；</w:t>
      </w:r>
    </w:p>
    <w:p w14:paraId="443B26BD">
      <w:pPr>
        <w:spacing w:line="400" w:lineRule="exact"/>
        <w:ind w:firstLine="420" w:firstLineChars="200"/>
        <w:rPr>
          <w:rFonts w:ascii="宋体" w:hAnsi="宋体"/>
        </w:rPr>
      </w:pPr>
      <w:r>
        <w:rPr>
          <w:rFonts w:ascii="宋体" w:hAnsi="宋体"/>
        </w:rPr>
        <w:t>联系电话：</w:t>
      </w:r>
      <w:r>
        <w:rPr>
          <w:rFonts w:ascii="宋体" w:hAnsi="宋体"/>
          <w:u w:val="single"/>
        </w:rPr>
        <w:t>   </w:t>
      </w:r>
      <w:r>
        <w:rPr>
          <w:rFonts w:hint="eastAsia" w:ascii="宋体" w:hAnsi="宋体"/>
          <w:u w:val="single"/>
        </w:rPr>
        <w:t xml:space="preserve"> </w:t>
      </w:r>
      <w:r>
        <w:rPr>
          <w:rFonts w:ascii="宋体" w:hAnsi="宋体"/>
          <w:u w:val="single"/>
        </w:rPr>
        <w:t> </w:t>
      </w:r>
      <w:r>
        <w:rPr>
          <w:rFonts w:ascii="宋体" w:hAnsi="宋体"/>
        </w:rPr>
        <w:t>；</w:t>
      </w:r>
    </w:p>
    <w:p w14:paraId="7ABF9C36">
      <w:pPr>
        <w:spacing w:line="400" w:lineRule="exact"/>
        <w:ind w:firstLine="420" w:firstLineChars="200"/>
        <w:rPr>
          <w:rFonts w:ascii="宋体" w:hAnsi="宋体"/>
        </w:rPr>
      </w:pPr>
      <w:r>
        <w:rPr>
          <w:rFonts w:ascii="宋体" w:hAnsi="宋体"/>
        </w:rPr>
        <w:t>电子信箱：</w:t>
      </w:r>
      <w:r>
        <w:rPr>
          <w:rFonts w:ascii="宋体" w:hAnsi="宋体"/>
          <w:u w:val="single"/>
        </w:rPr>
        <w:t>   </w:t>
      </w:r>
      <w:r>
        <w:rPr>
          <w:rFonts w:hint="eastAsia" w:ascii="宋体" w:hAnsi="宋体"/>
          <w:u w:val="single"/>
        </w:rPr>
        <w:t xml:space="preserve"> </w:t>
      </w:r>
      <w:r>
        <w:rPr>
          <w:rFonts w:ascii="宋体" w:hAnsi="宋体"/>
          <w:u w:val="single"/>
        </w:rPr>
        <w:t> </w:t>
      </w:r>
      <w:r>
        <w:rPr>
          <w:rFonts w:ascii="宋体" w:hAnsi="宋体"/>
        </w:rPr>
        <w:t>；</w:t>
      </w:r>
    </w:p>
    <w:p w14:paraId="69D1F7E5">
      <w:pPr>
        <w:spacing w:line="400" w:lineRule="exact"/>
        <w:ind w:firstLine="420" w:firstLineChars="200"/>
        <w:rPr>
          <w:rFonts w:ascii="宋体" w:hAnsi="宋体"/>
        </w:rPr>
      </w:pPr>
      <w:r>
        <w:rPr>
          <w:rFonts w:ascii="宋体" w:hAnsi="宋体"/>
        </w:rPr>
        <w:t>通信地址：</w:t>
      </w:r>
      <w:r>
        <w:rPr>
          <w:rFonts w:ascii="宋体" w:hAnsi="宋体"/>
          <w:u w:val="single"/>
        </w:rPr>
        <w:t></w:t>
      </w:r>
      <w:r>
        <w:rPr>
          <w:rFonts w:hint="eastAsia" w:ascii="宋体" w:hAnsi="宋体"/>
          <w:u w:val="single"/>
        </w:rPr>
        <w:t xml:space="preserve">  </w:t>
      </w:r>
      <w:r>
        <w:rPr>
          <w:rFonts w:ascii="宋体" w:hAnsi="宋体"/>
          <w:u w:val="single"/>
        </w:rPr>
        <w:t xml:space="preserve">  </w:t>
      </w:r>
      <w:r>
        <w:rPr>
          <w:rFonts w:ascii="宋体" w:hAnsi="宋体"/>
        </w:rPr>
        <w:t>。</w:t>
      </w:r>
    </w:p>
    <w:p w14:paraId="76241DC6">
      <w:pPr>
        <w:spacing w:line="400" w:lineRule="exact"/>
        <w:ind w:firstLine="420" w:firstLineChars="200"/>
        <w:rPr>
          <w:rFonts w:hint="eastAsia" w:ascii="宋体" w:hAnsi="宋体"/>
        </w:rPr>
      </w:pPr>
      <w:r>
        <w:rPr>
          <w:rFonts w:ascii="宋体" w:hAnsi="宋体"/>
        </w:rPr>
        <w:t>发包人对发包人代表的授权范围如下：</w:t>
      </w:r>
    </w:p>
    <w:p w14:paraId="09545CAA">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454FE17E">
      <w:pPr>
        <w:spacing w:line="400" w:lineRule="exact"/>
        <w:ind w:firstLine="420" w:firstLineChars="200"/>
        <w:rPr>
          <w:rFonts w:ascii="宋体" w:hAnsi="宋体"/>
          <w:u w:val="single"/>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6B99AC99">
      <w:pPr>
        <w:pStyle w:val="20"/>
        <w:rPr>
          <w:b/>
        </w:rPr>
      </w:pPr>
      <w:bookmarkStart w:id="1964" w:name="_Toc108514091"/>
      <w:r>
        <w:rPr>
          <w:b/>
        </w:rPr>
        <w:t>2.4 施工现场、施工条件和基础资料的提供</w:t>
      </w:r>
      <w:bookmarkEnd w:id="1964"/>
    </w:p>
    <w:p w14:paraId="2654C476">
      <w:pPr>
        <w:spacing w:line="400" w:lineRule="exact"/>
        <w:ind w:firstLine="420" w:firstLineChars="200"/>
        <w:rPr>
          <w:rFonts w:ascii="宋体" w:hAnsi="宋体"/>
        </w:rPr>
      </w:pPr>
      <w:r>
        <w:rPr>
          <w:rFonts w:ascii="宋体" w:hAnsi="宋体"/>
        </w:rPr>
        <w:t>2.4.1 提供施工现场</w:t>
      </w:r>
    </w:p>
    <w:p w14:paraId="216B72B1">
      <w:pPr>
        <w:spacing w:line="400" w:lineRule="exact"/>
        <w:ind w:firstLine="420" w:firstLineChars="200"/>
        <w:rPr>
          <w:rFonts w:hint="eastAsia" w:ascii="宋体" w:hAnsi="宋体"/>
        </w:rPr>
      </w:pPr>
      <w:r>
        <w:rPr>
          <w:rFonts w:ascii="宋体" w:hAnsi="宋体"/>
        </w:rPr>
        <w:t>关于发包人移交施工现场的期限要求：</w:t>
      </w:r>
    </w:p>
    <w:p w14:paraId="648CD239">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1F4DAD5B">
      <w:pPr>
        <w:spacing w:line="400" w:lineRule="exact"/>
        <w:ind w:firstLine="420" w:firstLineChars="200"/>
        <w:rPr>
          <w:rFonts w:ascii="宋体" w:hAnsi="宋体"/>
          <w:u w:val="single"/>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2A10862D">
      <w:pPr>
        <w:spacing w:line="400" w:lineRule="exact"/>
        <w:ind w:firstLine="420" w:firstLineChars="200"/>
        <w:rPr>
          <w:rFonts w:ascii="宋体" w:hAnsi="宋体"/>
        </w:rPr>
      </w:pPr>
      <w:r>
        <w:rPr>
          <w:rFonts w:ascii="宋体" w:hAnsi="宋体"/>
        </w:rPr>
        <w:t>2.4.2 提供施工条件</w:t>
      </w:r>
    </w:p>
    <w:p w14:paraId="5196BA75">
      <w:pPr>
        <w:spacing w:line="400" w:lineRule="exact"/>
        <w:ind w:firstLine="420" w:firstLineChars="200"/>
        <w:rPr>
          <w:rFonts w:hint="eastAsia" w:ascii="宋体" w:hAnsi="宋体"/>
        </w:rPr>
      </w:pPr>
      <w:r>
        <w:rPr>
          <w:rFonts w:ascii="宋体" w:hAnsi="宋体"/>
        </w:rPr>
        <w:t>关于发包人应负责提供施工</w:t>
      </w:r>
      <w:r>
        <w:rPr>
          <w:rFonts w:hint="eastAsia" w:ascii="宋体" w:hAnsi="宋体"/>
        </w:rPr>
        <w:t>所需要的条件，</w:t>
      </w:r>
      <w:r>
        <w:rPr>
          <w:rFonts w:ascii="宋体" w:hAnsi="宋体"/>
        </w:rPr>
        <w:t>包括：</w:t>
      </w:r>
    </w:p>
    <w:p w14:paraId="66365130">
      <w:pPr>
        <w:spacing w:line="400" w:lineRule="exact"/>
        <w:ind w:firstLine="420" w:firstLineChars="200"/>
        <w:rPr>
          <w:rFonts w:ascii="宋体" w:hAnsi="宋体"/>
          <w:u w:val="single"/>
        </w:rPr>
      </w:pP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47BA3856">
      <w:pPr>
        <w:spacing w:line="400" w:lineRule="exact"/>
        <w:ind w:firstLine="420" w:firstLineChars="200"/>
        <w:rPr>
          <w:rFonts w:ascii="宋体" w:hAnsi="宋体"/>
          <w:u w:val="single"/>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4F6485A5">
      <w:pPr>
        <w:pStyle w:val="20"/>
        <w:rPr>
          <w:b/>
        </w:rPr>
      </w:pPr>
      <w:bookmarkStart w:id="1965" w:name="_Toc108514092"/>
      <w:r>
        <w:rPr>
          <w:b/>
        </w:rPr>
        <w:t>2.5 资金来源证明及支付担保</w:t>
      </w:r>
      <w:bookmarkEnd w:id="1965"/>
    </w:p>
    <w:p w14:paraId="7BBCB6EE">
      <w:pPr>
        <w:spacing w:line="400" w:lineRule="exact"/>
        <w:ind w:firstLine="420" w:firstLineChars="200"/>
        <w:rPr>
          <w:rFonts w:ascii="宋体" w:hAnsi="宋体"/>
        </w:rPr>
      </w:pPr>
      <w:r>
        <w:rPr>
          <w:rFonts w:ascii="宋体" w:hAnsi="宋体"/>
        </w:rPr>
        <w:t>发包人提供资金来源证明的期限要求：</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F963471">
      <w:pPr>
        <w:spacing w:line="400" w:lineRule="exact"/>
        <w:ind w:firstLine="420" w:firstLineChars="200"/>
        <w:rPr>
          <w:rFonts w:ascii="宋体" w:hAnsi="宋体"/>
        </w:rPr>
      </w:pPr>
      <w:r>
        <w:rPr>
          <w:rFonts w:ascii="宋体" w:hAnsi="宋体"/>
        </w:rPr>
        <w:t>发包人是否提供支付担保：</w:t>
      </w:r>
      <w:r>
        <w:rPr>
          <w:rFonts w:ascii="宋体" w:hAnsi="宋体"/>
          <w:u w:val="single"/>
        </w:rPr>
        <w:t xml:space="preserve">            </w:t>
      </w:r>
      <w:r>
        <w:rPr>
          <w:rFonts w:hint="eastAsia" w:ascii="宋体" w:hAnsi="宋体"/>
          <w:u w:val="single"/>
        </w:rPr>
        <w:t xml:space="preserve">  </w:t>
      </w:r>
      <w:r>
        <w:rPr>
          <w:rFonts w:ascii="宋体" w:hAnsi="宋体"/>
          <w:u w:val="single"/>
        </w:rPr>
        <w:t xml:space="preserve">       </w:t>
      </w:r>
      <w:r>
        <w:rPr>
          <w:rFonts w:ascii="宋体" w:hAnsi="宋体"/>
        </w:rPr>
        <w:t>。</w:t>
      </w:r>
    </w:p>
    <w:p w14:paraId="601F7A20">
      <w:pPr>
        <w:spacing w:line="400" w:lineRule="exact"/>
        <w:ind w:firstLine="420" w:firstLineChars="200"/>
        <w:rPr>
          <w:rFonts w:ascii="宋体" w:hAnsi="宋体"/>
        </w:rPr>
      </w:pPr>
      <w:r>
        <w:rPr>
          <w:rFonts w:ascii="宋体" w:hAnsi="宋体"/>
        </w:rPr>
        <w:t>发包人提供支付担保的形式：</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8910E20">
      <w:pPr>
        <w:pStyle w:val="18"/>
        <w:rPr>
          <w:b/>
        </w:rPr>
      </w:pPr>
      <w:bookmarkStart w:id="1966" w:name="_Toc351203635"/>
      <w:bookmarkStart w:id="1967" w:name="_Toc108514093"/>
      <w:r>
        <w:rPr>
          <w:b/>
        </w:rPr>
        <w:t>3</w:t>
      </w:r>
      <w:bookmarkStart w:id="1968" w:name="_Toc296503158"/>
      <w:bookmarkStart w:id="1969" w:name="_Toc296891198"/>
      <w:bookmarkStart w:id="1970" w:name="_Toc296347157"/>
      <w:bookmarkStart w:id="1971" w:name="_Toc296890986"/>
      <w:bookmarkStart w:id="1972" w:name="_Toc292559363"/>
      <w:bookmarkStart w:id="1973" w:name="_Toc296346659"/>
      <w:bookmarkStart w:id="1974" w:name="_Toc297120458"/>
      <w:bookmarkStart w:id="1975" w:name="_Toc297048344"/>
      <w:bookmarkStart w:id="1976" w:name="_Toc296944497"/>
      <w:bookmarkStart w:id="1977" w:name="_Toc292559868"/>
      <w:r>
        <w:rPr>
          <w:b/>
        </w:rPr>
        <w:t>. 承包人</w:t>
      </w:r>
      <w:bookmarkEnd w:id="1966"/>
      <w:bookmarkEnd w:id="1967"/>
    </w:p>
    <w:bookmarkEnd w:id="1968"/>
    <w:bookmarkEnd w:id="1969"/>
    <w:bookmarkEnd w:id="1970"/>
    <w:bookmarkEnd w:id="1971"/>
    <w:bookmarkEnd w:id="1972"/>
    <w:bookmarkEnd w:id="1973"/>
    <w:bookmarkEnd w:id="1974"/>
    <w:bookmarkEnd w:id="1975"/>
    <w:bookmarkEnd w:id="1976"/>
    <w:bookmarkEnd w:id="1977"/>
    <w:p w14:paraId="2704068D">
      <w:pPr>
        <w:pStyle w:val="20"/>
        <w:rPr>
          <w:b/>
        </w:rPr>
      </w:pPr>
      <w:bookmarkStart w:id="1978" w:name="_Toc108514094"/>
      <w:r>
        <w:rPr>
          <w:b/>
        </w:rPr>
        <w:t>3.1 承包人的一般义务</w:t>
      </w:r>
      <w:bookmarkEnd w:id="1978"/>
    </w:p>
    <w:p w14:paraId="1ACEC86C">
      <w:pPr>
        <w:spacing w:line="400" w:lineRule="exact"/>
        <w:ind w:firstLine="420" w:firstLineChars="200"/>
        <w:rPr>
          <w:rFonts w:hint="eastAsia" w:ascii="宋体" w:hAnsi="宋体"/>
        </w:rPr>
      </w:pPr>
      <w:r>
        <w:rPr>
          <w:rFonts w:ascii="宋体" w:hAnsi="宋体"/>
        </w:rPr>
        <w:t>（</w:t>
      </w:r>
      <w:r>
        <w:rPr>
          <w:rFonts w:hint="eastAsia" w:ascii="宋体" w:hAnsi="宋体"/>
        </w:rPr>
        <w:t>9</w:t>
      </w:r>
      <w:r>
        <w:rPr>
          <w:rFonts w:ascii="宋体" w:hAnsi="宋体"/>
        </w:rPr>
        <w:t>）承包人提交的竣工资料的内容：</w:t>
      </w:r>
    </w:p>
    <w:p w14:paraId="23A752AE">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68CEED10">
      <w:pPr>
        <w:spacing w:line="400" w:lineRule="exact"/>
        <w:ind w:firstLine="420" w:firstLineChars="200"/>
        <w:rPr>
          <w:rFonts w:hint="eastAsia"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3C5C5BB7">
      <w:pPr>
        <w:spacing w:line="400" w:lineRule="exact"/>
        <w:ind w:firstLine="420" w:firstLineChars="200"/>
        <w:rPr>
          <w:rFonts w:ascii="宋体" w:hAnsi="宋体"/>
        </w:rPr>
      </w:pPr>
      <w:r>
        <w:rPr>
          <w:rFonts w:ascii="宋体" w:hAnsi="宋体"/>
        </w:rPr>
        <w:t>承包人需要提交的竣工资料套数：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F649DAE">
      <w:pPr>
        <w:spacing w:line="400" w:lineRule="exact"/>
        <w:ind w:firstLine="420" w:firstLineChars="200"/>
        <w:rPr>
          <w:rFonts w:ascii="宋体" w:hAnsi="宋体"/>
        </w:rPr>
      </w:pPr>
      <w:r>
        <w:rPr>
          <w:rFonts w:ascii="宋体" w:hAnsi="宋体"/>
        </w:rPr>
        <w:t>承包人提交的竣工资料的费用承担：</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A7B95A1">
      <w:pPr>
        <w:spacing w:line="400" w:lineRule="exact"/>
        <w:ind w:firstLine="420" w:firstLineChars="200"/>
        <w:rPr>
          <w:rFonts w:ascii="宋体" w:hAnsi="宋体"/>
        </w:rPr>
      </w:pPr>
      <w:r>
        <w:rPr>
          <w:rFonts w:ascii="宋体" w:hAnsi="宋体"/>
        </w:rPr>
        <w:t>承包人提交的竣工资料移交时间：</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C10214D">
      <w:pPr>
        <w:spacing w:line="400" w:lineRule="exact"/>
        <w:ind w:firstLine="420" w:firstLineChars="200"/>
        <w:rPr>
          <w:rFonts w:hint="eastAsia" w:ascii="宋体" w:hAnsi="宋体"/>
        </w:rPr>
      </w:pPr>
      <w:r>
        <w:rPr>
          <w:rFonts w:ascii="宋体" w:hAnsi="宋体"/>
        </w:rPr>
        <w:t>承包人提交的竣工资料形式要求：</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C8A2B7E">
      <w:pPr>
        <w:spacing w:line="400" w:lineRule="exact"/>
        <w:ind w:firstLine="420" w:firstLineChars="200"/>
        <w:rPr>
          <w:rFonts w:hint="eastAsia" w:ascii="宋体" w:hAnsi="宋体"/>
        </w:rPr>
      </w:pPr>
      <w:r>
        <w:rPr>
          <w:rFonts w:ascii="宋体" w:hAnsi="宋体"/>
        </w:rPr>
        <w:t>（</w:t>
      </w:r>
      <w:r>
        <w:rPr>
          <w:rFonts w:hint="eastAsia" w:ascii="宋体" w:hAnsi="宋体"/>
        </w:rPr>
        <w:t>10</w:t>
      </w:r>
      <w:r>
        <w:rPr>
          <w:rFonts w:ascii="宋体" w:hAnsi="宋体"/>
        </w:rPr>
        <w:t>）承包人应履行的其他义务：</w:t>
      </w:r>
    </w:p>
    <w:p w14:paraId="2EA7F377">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01A31D7A">
      <w:pPr>
        <w:spacing w:line="400" w:lineRule="exact"/>
        <w:ind w:firstLine="420" w:firstLineChars="200"/>
        <w:rPr>
          <w:rFonts w:hint="eastAsia"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3763C104">
      <w:pPr>
        <w:pStyle w:val="20"/>
        <w:rPr>
          <w:b/>
        </w:rPr>
      </w:pPr>
      <w:bookmarkStart w:id="1979" w:name="_Toc108514095"/>
      <w:r>
        <w:rPr>
          <w:b/>
        </w:rPr>
        <w:t>3.2 项目经理</w:t>
      </w:r>
      <w:bookmarkEnd w:id="1979"/>
    </w:p>
    <w:p w14:paraId="39C528A6">
      <w:pPr>
        <w:spacing w:line="400" w:lineRule="exact"/>
        <w:ind w:firstLine="420" w:firstLineChars="200"/>
        <w:rPr>
          <w:rFonts w:ascii="宋体" w:hAnsi="宋体"/>
        </w:rPr>
      </w:pPr>
      <w:r>
        <w:rPr>
          <w:rFonts w:ascii="宋体" w:hAnsi="宋体"/>
        </w:rPr>
        <w:t>3.2.1 项目经理：</w:t>
      </w:r>
    </w:p>
    <w:p w14:paraId="454E6852">
      <w:pPr>
        <w:spacing w:line="400" w:lineRule="exact"/>
        <w:ind w:firstLine="420" w:firstLineChars="200"/>
        <w:rPr>
          <w:rFonts w:ascii="宋体" w:hAnsi="宋体"/>
        </w:rPr>
      </w:pPr>
      <w:r>
        <w:rPr>
          <w:rFonts w:ascii="宋体" w:hAnsi="宋体"/>
        </w:rPr>
        <w:t>姓    名：</w:t>
      </w:r>
      <w:r>
        <w:rPr>
          <w:rFonts w:ascii="宋体" w:hAnsi="宋体"/>
          <w:u w:val="single"/>
        </w:rPr>
        <w:t>  </w:t>
      </w:r>
      <w:r>
        <w:rPr>
          <w:rFonts w:hint="eastAsia" w:ascii="宋体" w:hAnsi="宋体"/>
          <w:u w:val="single"/>
        </w:rPr>
        <w:t xml:space="preserve">      </w:t>
      </w:r>
      <w:r>
        <w:rPr>
          <w:rFonts w:ascii="宋体" w:hAnsi="宋体"/>
          <w:u w:val="single"/>
        </w:rPr>
        <w:t> </w:t>
      </w:r>
      <w:r>
        <w:rPr>
          <w:rFonts w:ascii="宋体" w:hAnsi="宋体"/>
        </w:rPr>
        <w:t>；</w:t>
      </w:r>
    </w:p>
    <w:p w14:paraId="155DCCD9">
      <w:pPr>
        <w:spacing w:line="400" w:lineRule="exact"/>
        <w:ind w:firstLine="420" w:firstLineChars="200"/>
        <w:rPr>
          <w:rFonts w:ascii="宋体" w:hAnsi="宋体"/>
        </w:rPr>
      </w:pPr>
      <w:r>
        <w:rPr>
          <w:rFonts w:ascii="宋体" w:hAnsi="宋体"/>
        </w:rPr>
        <w:t>身份证号：</w:t>
      </w:r>
      <w:r>
        <w:rPr>
          <w:rFonts w:ascii="宋体" w:hAnsi="宋体"/>
          <w:u w:val="single"/>
        </w:rPr>
        <w:t>  </w:t>
      </w:r>
      <w:r>
        <w:rPr>
          <w:rFonts w:hint="eastAsia" w:ascii="宋体" w:hAnsi="宋体"/>
          <w:u w:val="single"/>
        </w:rPr>
        <w:t xml:space="preserve">      </w:t>
      </w:r>
      <w:r>
        <w:rPr>
          <w:rFonts w:ascii="宋体" w:hAnsi="宋体"/>
          <w:u w:val="single"/>
        </w:rPr>
        <w:t> </w:t>
      </w:r>
      <w:r>
        <w:rPr>
          <w:rFonts w:ascii="宋体" w:hAnsi="宋体"/>
        </w:rPr>
        <w:t>；</w:t>
      </w:r>
    </w:p>
    <w:p w14:paraId="5B6BBC9C">
      <w:pPr>
        <w:spacing w:line="400" w:lineRule="exact"/>
        <w:ind w:firstLine="420" w:firstLineChars="200"/>
        <w:rPr>
          <w:rFonts w:ascii="宋体" w:hAnsi="宋体"/>
        </w:rPr>
      </w:pPr>
      <w:r>
        <w:rPr>
          <w:rFonts w:ascii="宋体" w:hAnsi="宋体"/>
        </w:rPr>
        <w:t>建造师执业资格等级：</w:t>
      </w:r>
      <w:r>
        <w:rPr>
          <w:rFonts w:ascii="宋体" w:hAnsi="宋体"/>
          <w:u w:val="single"/>
        </w:rPr>
        <w:t>   </w:t>
      </w:r>
      <w:r>
        <w:rPr>
          <w:rFonts w:ascii="宋体" w:hAnsi="宋体"/>
        </w:rPr>
        <w:t>；</w:t>
      </w:r>
    </w:p>
    <w:p w14:paraId="07A3E77D">
      <w:pPr>
        <w:spacing w:line="400" w:lineRule="exact"/>
        <w:ind w:firstLine="420" w:firstLineChars="200"/>
        <w:rPr>
          <w:rFonts w:ascii="宋体" w:hAnsi="宋体"/>
        </w:rPr>
      </w:pPr>
      <w:r>
        <w:rPr>
          <w:rFonts w:ascii="宋体" w:hAnsi="宋体"/>
        </w:rPr>
        <w:t>建造师注册证书号：</w:t>
      </w:r>
      <w:r>
        <w:rPr>
          <w:rFonts w:ascii="宋体" w:hAnsi="宋体"/>
          <w:u w:val="single"/>
        </w:rPr>
        <w:t> </w:t>
      </w:r>
      <w:r>
        <w:rPr>
          <w:rFonts w:ascii="宋体" w:hAnsi="宋体"/>
        </w:rPr>
        <w:t>；</w:t>
      </w:r>
    </w:p>
    <w:p w14:paraId="1853948B">
      <w:pPr>
        <w:spacing w:line="400" w:lineRule="exact"/>
        <w:ind w:firstLine="420" w:firstLineChars="200"/>
        <w:rPr>
          <w:rFonts w:ascii="宋体" w:hAnsi="宋体"/>
        </w:rPr>
      </w:pPr>
      <w:r>
        <w:rPr>
          <w:rFonts w:ascii="宋体" w:hAnsi="宋体"/>
        </w:rPr>
        <w:t>建造师执业印章号：</w:t>
      </w:r>
      <w:r>
        <w:rPr>
          <w:rFonts w:ascii="宋体" w:hAnsi="宋体"/>
          <w:u w:val="single"/>
        </w:rPr>
        <w:t> </w:t>
      </w:r>
      <w:r>
        <w:rPr>
          <w:rFonts w:ascii="宋体" w:hAnsi="宋体"/>
        </w:rPr>
        <w:t>；</w:t>
      </w:r>
    </w:p>
    <w:p w14:paraId="4AF40B9F">
      <w:pPr>
        <w:spacing w:line="400" w:lineRule="exact"/>
        <w:ind w:firstLine="420" w:firstLineChars="200"/>
        <w:rPr>
          <w:rFonts w:ascii="宋体" w:hAnsi="宋体"/>
        </w:rPr>
      </w:pPr>
      <w:r>
        <w:rPr>
          <w:rFonts w:ascii="宋体" w:hAnsi="宋体"/>
        </w:rPr>
        <w:t>安全生产考核合格证书号：</w:t>
      </w:r>
      <w:r>
        <w:rPr>
          <w:rFonts w:ascii="宋体" w:hAnsi="宋体"/>
          <w:u w:val="single"/>
        </w:rPr>
        <w:t> </w:t>
      </w:r>
      <w:r>
        <w:rPr>
          <w:rFonts w:ascii="宋体" w:hAnsi="宋体"/>
        </w:rPr>
        <w:t>；</w:t>
      </w:r>
    </w:p>
    <w:p w14:paraId="09B87CFB">
      <w:pPr>
        <w:spacing w:line="400" w:lineRule="exact"/>
        <w:ind w:firstLine="420" w:firstLineChars="200"/>
        <w:rPr>
          <w:rFonts w:ascii="宋体" w:hAnsi="宋体"/>
        </w:rPr>
      </w:pPr>
      <w:r>
        <w:rPr>
          <w:rFonts w:ascii="宋体" w:hAnsi="宋体"/>
        </w:rPr>
        <w:t>联系电话：</w:t>
      </w:r>
      <w:r>
        <w:rPr>
          <w:rFonts w:ascii="宋体" w:hAnsi="宋体"/>
          <w:u w:val="single"/>
        </w:rPr>
        <w:t>  </w:t>
      </w:r>
      <w:r>
        <w:rPr>
          <w:rFonts w:hint="eastAsia" w:ascii="宋体" w:hAnsi="宋体"/>
          <w:u w:val="single"/>
        </w:rPr>
        <w:t xml:space="preserve">      </w:t>
      </w:r>
      <w:r>
        <w:rPr>
          <w:rFonts w:ascii="宋体" w:hAnsi="宋体"/>
          <w:u w:val="single"/>
        </w:rPr>
        <w:t> </w:t>
      </w:r>
      <w:r>
        <w:rPr>
          <w:rFonts w:ascii="宋体" w:hAnsi="宋体"/>
        </w:rPr>
        <w:t>；</w:t>
      </w:r>
    </w:p>
    <w:p w14:paraId="5B9D6C4E">
      <w:pPr>
        <w:spacing w:line="400" w:lineRule="exact"/>
        <w:ind w:firstLine="420" w:firstLineChars="200"/>
        <w:rPr>
          <w:rFonts w:ascii="宋体" w:hAnsi="宋体"/>
        </w:rPr>
      </w:pPr>
      <w:r>
        <w:rPr>
          <w:rFonts w:ascii="宋体" w:hAnsi="宋体"/>
        </w:rPr>
        <w:t>电子信箱：</w:t>
      </w:r>
      <w:r>
        <w:rPr>
          <w:rFonts w:ascii="宋体" w:hAnsi="宋体"/>
          <w:u w:val="single"/>
        </w:rPr>
        <w:t xml:space="preserve">  </w:t>
      </w:r>
      <w:r>
        <w:rPr>
          <w:rFonts w:hint="eastAsia" w:ascii="宋体" w:hAnsi="宋体"/>
          <w:u w:val="single"/>
        </w:rPr>
        <w:t xml:space="preserve">      </w:t>
      </w:r>
      <w:r>
        <w:rPr>
          <w:rFonts w:ascii="宋体" w:hAnsi="宋体"/>
          <w:u w:val="single"/>
        </w:rPr>
        <w:t> </w:t>
      </w:r>
      <w:r>
        <w:rPr>
          <w:rFonts w:ascii="宋体" w:hAnsi="宋体"/>
        </w:rPr>
        <w:t>；</w:t>
      </w:r>
    </w:p>
    <w:p w14:paraId="3BC3DAD2">
      <w:pPr>
        <w:spacing w:line="400" w:lineRule="exact"/>
        <w:ind w:firstLine="420" w:firstLineChars="200"/>
        <w:rPr>
          <w:rFonts w:ascii="宋体" w:hAnsi="宋体"/>
        </w:rPr>
      </w:pPr>
      <w:r>
        <w:rPr>
          <w:rFonts w:ascii="宋体" w:hAnsi="宋体"/>
        </w:rPr>
        <w:t>通信地址：</w:t>
      </w:r>
      <w:r>
        <w:rPr>
          <w:rFonts w:ascii="宋体" w:hAnsi="宋体"/>
          <w:u w:val="single"/>
        </w:rPr>
        <w:t xml:space="preserve">  </w:t>
      </w:r>
      <w:r>
        <w:rPr>
          <w:rFonts w:hint="eastAsia" w:ascii="宋体" w:hAnsi="宋体"/>
          <w:u w:val="single"/>
        </w:rPr>
        <w:t xml:space="preserve">      </w:t>
      </w:r>
      <w:r>
        <w:rPr>
          <w:rFonts w:ascii="宋体" w:hAnsi="宋体"/>
          <w:u w:val="single"/>
        </w:rPr>
        <w:t> </w:t>
      </w:r>
      <w:r>
        <w:rPr>
          <w:rFonts w:ascii="宋体" w:hAnsi="宋体"/>
        </w:rPr>
        <w:t>；</w:t>
      </w:r>
    </w:p>
    <w:p w14:paraId="7F53768F">
      <w:pPr>
        <w:spacing w:line="400" w:lineRule="exact"/>
        <w:ind w:firstLine="420" w:firstLineChars="200"/>
        <w:rPr>
          <w:rFonts w:hint="eastAsia" w:ascii="宋体" w:hAnsi="宋体"/>
        </w:rPr>
      </w:pPr>
      <w:r>
        <w:rPr>
          <w:rFonts w:ascii="宋体" w:hAnsi="宋体"/>
        </w:rPr>
        <w:t>承包人对项目经理的授权范围如下：</w:t>
      </w:r>
    </w:p>
    <w:p w14:paraId="39F431E5">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04449F2D">
      <w:pPr>
        <w:spacing w:line="400" w:lineRule="exact"/>
        <w:ind w:firstLine="420" w:firstLineChars="200"/>
        <w:rPr>
          <w:rFonts w:hint="eastAsia"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6FACF281">
      <w:pPr>
        <w:spacing w:line="400" w:lineRule="exact"/>
        <w:ind w:firstLine="420" w:firstLineChars="200"/>
        <w:rPr>
          <w:rFonts w:hint="eastAsia" w:ascii="宋体" w:hAnsi="宋体"/>
        </w:rPr>
      </w:pPr>
      <w:r>
        <w:rPr>
          <w:rFonts w:ascii="宋体" w:hAnsi="宋体"/>
        </w:rPr>
        <w:t>关于项目经理每月在施工现场的时间要求：</w:t>
      </w:r>
    </w:p>
    <w:p w14:paraId="53F1FA60">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4C6D55BC">
      <w:pPr>
        <w:spacing w:line="400" w:lineRule="exact"/>
        <w:ind w:firstLine="420" w:firstLineChars="200"/>
        <w:rPr>
          <w:rFonts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6F2F3A25">
      <w:pPr>
        <w:spacing w:line="400" w:lineRule="exact"/>
        <w:ind w:firstLine="420" w:firstLineChars="200"/>
        <w:rPr>
          <w:rFonts w:hint="eastAsia" w:ascii="宋体" w:hAnsi="宋体"/>
        </w:rPr>
      </w:pPr>
      <w:r>
        <w:rPr>
          <w:rFonts w:ascii="宋体" w:hAnsi="宋体"/>
        </w:rPr>
        <w:t>承包人未提交劳动合同，以及没有为项目经理缴纳社会保险证明的违约责任：</w:t>
      </w:r>
    </w:p>
    <w:p w14:paraId="778A8918">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05634206">
      <w:pPr>
        <w:spacing w:line="400" w:lineRule="exact"/>
        <w:ind w:firstLine="420" w:firstLineChars="200"/>
        <w:rPr>
          <w:rFonts w:hint="eastAsia"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74A288B9">
      <w:pPr>
        <w:spacing w:line="400" w:lineRule="exact"/>
        <w:ind w:firstLine="420" w:firstLineChars="200"/>
        <w:rPr>
          <w:rFonts w:hint="eastAsia" w:ascii="宋体" w:hAnsi="宋体"/>
        </w:rPr>
      </w:pPr>
      <w:r>
        <w:rPr>
          <w:rFonts w:ascii="宋体" w:hAnsi="宋体"/>
        </w:rPr>
        <w:t>项目经理未经批准，擅自离开施工现场的违约责任：</w:t>
      </w:r>
    </w:p>
    <w:p w14:paraId="19CAF294">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566919AF">
      <w:pPr>
        <w:spacing w:line="400" w:lineRule="exact"/>
        <w:ind w:firstLine="420" w:firstLineChars="200"/>
        <w:rPr>
          <w:rFonts w:hint="eastAsia"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268003DA">
      <w:pPr>
        <w:spacing w:line="400" w:lineRule="exact"/>
        <w:ind w:firstLine="420" w:firstLineChars="200"/>
        <w:rPr>
          <w:rFonts w:hint="eastAsia" w:ascii="宋体" w:hAnsi="宋体"/>
        </w:rPr>
      </w:pPr>
      <w:r>
        <w:rPr>
          <w:rFonts w:ascii="宋体" w:hAnsi="宋体"/>
        </w:rPr>
        <w:t>3.2.3 承包人擅自更换项目经理的违约责任：</w:t>
      </w:r>
    </w:p>
    <w:p w14:paraId="24653800">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63308E8A">
      <w:pPr>
        <w:spacing w:line="400" w:lineRule="exact"/>
        <w:ind w:firstLine="420" w:firstLineChars="200"/>
        <w:rPr>
          <w:rFonts w:hint="eastAsia" w:ascii="宋体" w:hAnsi="宋体"/>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4F45B117">
      <w:pPr>
        <w:spacing w:line="400" w:lineRule="exact"/>
        <w:ind w:firstLine="420" w:firstLineChars="200"/>
        <w:rPr>
          <w:rFonts w:hint="eastAsia" w:ascii="宋体" w:hAnsi="宋体"/>
        </w:rPr>
      </w:pPr>
      <w:r>
        <w:rPr>
          <w:rFonts w:ascii="宋体" w:hAnsi="宋体"/>
        </w:rPr>
        <w:t xml:space="preserve">3.2.4 承包人无正当理由拒绝更换项目经理的违约责任： </w:t>
      </w:r>
    </w:p>
    <w:p w14:paraId="0A408E38">
      <w:pPr>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2EA93EAD">
      <w:pPr>
        <w:spacing w:line="400" w:lineRule="exact"/>
        <w:ind w:firstLine="420" w:firstLineChars="200"/>
        <w:rPr>
          <w:rFonts w:hint="eastAsia"/>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1472F90B">
      <w:pPr>
        <w:pStyle w:val="20"/>
        <w:rPr>
          <w:b/>
        </w:rPr>
      </w:pPr>
      <w:bookmarkStart w:id="1980" w:name="_Toc108514096"/>
      <w:r>
        <w:rPr>
          <w:b/>
        </w:rPr>
        <w:t>3.3 承包人人员</w:t>
      </w:r>
      <w:bookmarkEnd w:id="1980"/>
    </w:p>
    <w:p w14:paraId="72C7F9E0">
      <w:pPr>
        <w:spacing w:line="400" w:lineRule="exact"/>
        <w:ind w:firstLine="420" w:firstLineChars="200"/>
        <w:rPr>
          <w:rFonts w:hint="eastAsia" w:ascii="宋体" w:hAnsi="宋体"/>
        </w:rPr>
      </w:pPr>
      <w:r>
        <w:rPr>
          <w:rFonts w:ascii="宋体" w:hAnsi="宋体"/>
        </w:rPr>
        <w:t>3.3.1 承包人提交项目管理机构及施工现场管理人员安排报告的期限：</w:t>
      </w:r>
    </w:p>
    <w:p w14:paraId="4B7B0006">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   </w:t>
      </w:r>
      <w:r>
        <w:rPr>
          <w:rFonts w:hint="eastAsia" w:ascii="宋体" w:hAnsi="宋体"/>
          <w:u w:val="single"/>
        </w:rPr>
        <w:t xml:space="preserve">                          </w:t>
      </w:r>
      <w:r>
        <w:rPr>
          <w:rFonts w:ascii="宋体" w:hAnsi="宋体"/>
        </w:rPr>
        <w:t>。</w:t>
      </w:r>
    </w:p>
    <w:p w14:paraId="5154E17B">
      <w:pPr>
        <w:spacing w:line="400" w:lineRule="exact"/>
        <w:ind w:firstLine="420" w:firstLineChars="200"/>
        <w:rPr>
          <w:rFonts w:hint="eastAsia" w:ascii="宋体" w:hAnsi="宋体"/>
        </w:rPr>
      </w:pPr>
      <w:r>
        <w:rPr>
          <w:rFonts w:ascii="宋体" w:hAnsi="宋体"/>
        </w:rPr>
        <w:t>3.3.3 承包人无正当理由拒绝撤换主要施工管理人员的违约责任：</w:t>
      </w:r>
    </w:p>
    <w:p w14:paraId="754FB46B">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5CCEFDA">
      <w:pPr>
        <w:spacing w:line="400" w:lineRule="exact"/>
        <w:ind w:firstLine="420" w:firstLineChars="200"/>
        <w:rPr>
          <w:rFonts w:hint="eastAsia" w:ascii="宋体" w:hAnsi="宋体"/>
        </w:rPr>
      </w:pPr>
      <w:r>
        <w:rPr>
          <w:rFonts w:ascii="宋体" w:hAnsi="宋体"/>
        </w:rPr>
        <w:t>3.3.4 承包人主要施工管理人员离开施工现场的批准要求：</w:t>
      </w:r>
    </w:p>
    <w:p w14:paraId="2D84CCAF">
      <w:pPr>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5DF0138">
      <w:pPr>
        <w:spacing w:line="400" w:lineRule="exact"/>
        <w:ind w:firstLine="420" w:firstLineChars="200"/>
        <w:rPr>
          <w:rFonts w:hint="eastAsia" w:ascii="宋体" w:hAnsi="宋体"/>
        </w:rPr>
      </w:pPr>
      <w:r>
        <w:rPr>
          <w:rFonts w:ascii="宋体" w:hAnsi="宋体"/>
        </w:rPr>
        <w:t>3.3.5承包人擅自更换主要施工管理人员的违约责任：</w:t>
      </w:r>
    </w:p>
    <w:p w14:paraId="5762176D">
      <w:pPr>
        <w:spacing w:line="400" w:lineRule="exact"/>
        <w:ind w:firstLine="420" w:firstLineChars="200"/>
        <w:rPr>
          <w:rFonts w:ascii="宋体" w:hAnsi="宋体"/>
        </w:rPr>
      </w:pPr>
      <w:r>
        <w:rPr>
          <w:rFonts w:ascii="宋体" w:hAnsi="宋体"/>
          <w:u w:val="single"/>
        </w:rPr>
        <w:t xml:space="preserve">  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70CB076F">
      <w:pPr>
        <w:spacing w:line="400" w:lineRule="exact"/>
        <w:ind w:firstLine="420" w:firstLineChars="200"/>
        <w:rPr>
          <w:rFonts w:hint="eastAsia" w:ascii="宋体" w:hAnsi="宋体"/>
        </w:rPr>
      </w:pPr>
      <w:r>
        <w:rPr>
          <w:rFonts w:ascii="宋体" w:hAnsi="宋体"/>
        </w:rPr>
        <w:t>承包人主要施工管理人员擅自离开施工现场的违约责任：</w:t>
      </w:r>
    </w:p>
    <w:p w14:paraId="073A9416">
      <w:pPr>
        <w:spacing w:line="400" w:lineRule="exact"/>
        <w:ind w:firstLine="420" w:firstLineChars="200"/>
      </w:pPr>
      <w:r>
        <w:rPr>
          <w:rFonts w:ascii="宋体" w:hAnsi="宋体"/>
          <w:u w:val="single"/>
        </w:rPr>
        <w:t xml:space="preserve"> 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D0B1D74">
      <w:pPr>
        <w:pStyle w:val="20"/>
        <w:rPr>
          <w:b/>
        </w:rPr>
      </w:pPr>
      <w:bookmarkStart w:id="1981" w:name="_Toc108514097"/>
      <w:r>
        <w:rPr>
          <w:b/>
        </w:rPr>
        <w:t>3</w:t>
      </w:r>
      <w:bookmarkStart w:id="1982" w:name="_Toc300934945"/>
      <w:bookmarkStart w:id="1983" w:name="_Toc297048345"/>
      <w:bookmarkStart w:id="1984" w:name="_Toc297216151"/>
      <w:bookmarkStart w:id="1985" w:name="_Toc296503159"/>
      <w:bookmarkStart w:id="1986" w:name="_Toc297120459"/>
      <w:bookmarkStart w:id="1987" w:name="_Toc312677988"/>
      <w:bookmarkStart w:id="1988" w:name="_Toc296891199"/>
      <w:bookmarkStart w:id="1989" w:name="_Toc303539102"/>
      <w:bookmarkStart w:id="1990" w:name="_Toc292559364"/>
      <w:bookmarkStart w:id="1991" w:name="_Toc296347158"/>
      <w:bookmarkStart w:id="1992" w:name="_Toc296944498"/>
      <w:bookmarkStart w:id="1993" w:name="_Toc292559869"/>
      <w:bookmarkStart w:id="1994" w:name="_Toc296890987"/>
      <w:bookmarkStart w:id="1995" w:name="_Toc304295523"/>
      <w:bookmarkStart w:id="1996" w:name="_Toc297123492"/>
      <w:bookmarkStart w:id="1997" w:name="_Toc296346660"/>
      <w:r>
        <w:rPr>
          <w:b/>
        </w:rPr>
        <w:t>.5 分包</w:t>
      </w:r>
      <w:bookmarkEnd w:id="1981"/>
    </w:p>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p w14:paraId="5AAA29F7">
      <w:pPr>
        <w:spacing w:line="400" w:lineRule="exact"/>
        <w:ind w:firstLine="420" w:firstLineChars="200"/>
        <w:rPr>
          <w:rFonts w:ascii="宋体" w:hAnsi="宋体"/>
        </w:rPr>
      </w:pPr>
      <w:r>
        <w:rPr>
          <w:rFonts w:ascii="宋体" w:hAnsi="宋体"/>
        </w:rPr>
        <w:t>3</w:t>
      </w:r>
      <w:bookmarkStart w:id="1998" w:name="_Toc296891200"/>
      <w:bookmarkStart w:id="1999" w:name="_Toc304295524"/>
      <w:bookmarkStart w:id="2000" w:name="_Toc297123493"/>
      <w:bookmarkStart w:id="2001" w:name="_Toc297216152"/>
      <w:bookmarkStart w:id="2002" w:name="_Toc312677989"/>
      <w:bookmarkStart w:id="2003" w:name="_Toc292559870"/>
      <w:bookmarkStart w:id="2004" w:name="_Toc292559365"/>
      <w:bookmarkStart w:id="2005" w:name="_Toc296944499"/>
      <w:bookmarkStart w:id="2006" w:name="_Toc296503160"/>
      <w:bookmarkStart w:id="2007" w:name="_Toc297048346"/>
      <w:bookmarkStart w:id="2008" w:name="_Toc297120460"/>
      <w:bookmarkStart w:id="2009" w:name="_Toc296890988"/>
      <w:bookmarkStart w:id="2010" w:name="_Toc300934946"/>
      <w:bookmarkStart w:id="2011" w:name="_Toc318581158"/>
      <w:bookmarkStart w:id="2012" w:name="_Toc296347159"/>
      <w:bookmarkStart w:id="2013" w:name="_Toc296346661"/>
      <w:bookmarkStart w:id="2014" w:name="_Toc303539103"/>
      <w:r>
        <w:rPr>
          <w:rFonts w:ascii="宋体" w:hAnsi="宋体"/>
        </w:rPr>
        <w:t>.5.1 分包的一般约定</w:t>
      </w:r>
    </w:p>
    <w:p w14:paraId="3F76CE43">
      <w:pPr>
        <w:spacing w:line="400" w:lineRule="exact"/>
        <w:ind w:firstLine="420" w:firstLineChars="200"/>
        <w:rPr>
          <w:rFonts w:hint="eastAsia" w:ascii="宋体" w:hAnsi="宋体"/>
        </w:rPr>
      </w:pPr>
      <w:r>
        <w:rPr>
          <w:rFonts w:ascii="宋体" w:hAnsi="宋体"/>
        </w:rPr>
        <w:t>禁止分包的工程包括：</w:t>
      </w:r>
    </w:p>
    <w:p w14:paraId="6F15CF5B">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25896E3">
      <w:pPr>
        <w:spacing w:line="400" w:lineRule="exact"/>
        <w:ind w:firstLine="420" w:firstLineChars="200"/>
        <w:rPr>
          <w:rFonts w:hint="eastAsia" w:ascii="宋体" w:hAnsi="宋体"/>
        </w:rPr>
      </w:pPr>
      <w:r>
        <w:rPr>
          <w:rFonts w:ascii="宋体" w:hAnsi="宋体"/>
        </w:rPr>
        <w:t>主体结构、关键性工作的范围：</w:t>
      </w:r>
    </w:p>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p w14:paraId="61BFD647">
      <w:pPr>
        <w:spacing w:line="400" w:lineRule="exact"/>
        <w:ind w:firstLine="315" w:firstLineChars="150"/>
        <w:rPr>
          <w:rFonts w:hint="eastAsia" w:ascii="宋体" w:hAnsi="宋体"/>
          <w:u w:val="single"/>
        </w:rPr>
      </w:pPr>
      <w:r>
        <w:rPr>
          <w:rFonts w:hint="eastAsia" w:ascii="宋体" w:hAnsi="宋体"/>
        </w:rPr>
        <w:t xml:space="preserve"> </w:t>
      </w:r>
      <w:r>
        <w:rPr>
          <w:rFonts w:hint="eastAsia" w:ascii="宋体" w:hAnsi="宋体"/>
          <w:u w:val="single"/>
        </w:rPr>
        <w:t xml:space="preserve">                                                                              </w:t>
      </w:r>
    </w:p>
    <w:p w14:paraId="485B7B99">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CE986C9">
      <w:pPr>
        <w:spacing w:line="400" w:lineRule="exact"/>
        <w:ind w:firstLine="315" w:firstLineChars="150"/>
        <w:rPr>
          <w:rFonts w:ascii="宋体" w:hAnsi="宋体"/>
        </w:rPr>
      </w:pPr>
      <w:r>
        <w:rPr>
          <w:rFonts w:ascii="宋体" w:hAnsi="宋体"/>
        </w:rPr>
        <w:t xml:space="preserve"> 3</w:t>
      </w:r>
      <w:bookmarkStart w:id="2015" w:name="_Toc312677990"/>
      <w:bookmarkStart w:id="2016" w:name="_Toc318581159"/>
      <w:r>
        <w:rPr>
          <w:rFonts w:ascii="宋体" w:hAnsi="宋体"/>
        </w:rPr>
        <w:t>.5.2分包的确定</w:t>
      </w:r>
    </w:p>
    <w:p w14:paraId="0473607D">
      <w:pPr>
        <w:spacing w:line="400" w:lineRule="exact"/>
        <w:ind w:firstLine="420" w:firstLineChars="200"/>
        <w:rPr>
          <w:rFonts w:hint="eastAsia" w:ascii="宋体" w:hAnsi="宋体"/>
        </w:rPr>
      </w:pPr>
      <w:r>
        <w:rPr>
          <w:rFonts w:ascii="宋体" w:hAnsi="宋体"/>
        </w:rPr>
        <w:t>允许分包的专业工程包括：</w:t>
      </w:r>
    </w:p>
    <w:p w14:paraId="37535996">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31F6817">
      <w:pPr>
        <w:spacing w:line="400" w:lineRule="exact"/>
        <w:ind w:firstLine="420" w:firstLineChars="200"/>
        <w:rPr>
          <w:rFonts w:hint="eastAsia" w:ascii="宋体" w:hAnsi="宋体"/>
        </w:rPr>
      </w:pPr>
      <w:r>
        <w:rPr>
          <w:rFonts w:ascii="宋体" w:hAnsi="宋体"/>
        </w:rPr>
        <w:t>其他关于分包的约定：</w:t>
      </w:r>
    </w:p>
    <w:p w14:paraId="697CCF0E">
      <w:pPr>
        <w:spacing w:line="400" w:lineRule="exact"/>
        <w:ind w:firstLine="315" w:firstLineChars="150"/>
        <w:rPr>
          <w:rFonts w:hint="eastAsia" w:ascii="宋体" w:hAnsi="宋体"/>
          <w:u w:val="single"/>
        </w:rPr>
      </w:pPr>
      <w:r>
        <w:rPr>
          <w:rFonts w:hint="eastAsia" w:ascii="宋体" w:hAnsi="宋体"/>
          <w:u w:val="single"/>
        </w:rPr>
        <w:t xml:space="preserve">                                                                              </w:t>
      </w:r>
    </w:p>
    <w:p w14:paraId="48EA8592">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3610E6C">
      <w:pPr>
        <w:spacing w:line="400" w:lineRule="exact"/>
        <w:ind w:firstLine="420" w:firstLineChars="200"/>
        <w:rPr>
          <w:rFonts w:ascii="宋体" w:hAnsi="宋体"/>
        </w:rPr>
      </w:pPr>
      <w:r>
        <w:rPr>
          <w:rFonts w:ascii="宋体" w:hAnsi="宋体"/>
        </w:rPr>
        <w:t>3.5.4 分包合同价款</w:t>
      </w:r>
    </w:p>
    <w:p w14:paraId="5086AB8E">
      <w:pPr>
        <w:spacing w:line="400" w:lineRule="exact"/>
        <w:ind w:firstLine="420" w:firstLineChars="200"/>
        <w:rPr>
          <w:rFonts w:hint="eastAsia" w:ascii="宋体" w:hAnsi="宋体"/>
        </w:rPr>
      </w:pPr>
      <w:r>
        <w:rPr>
          <w:rFonts w:ascii="宋体" w:hAnsi="宋体"/>
        </w:rPr>
        <w:t>关于分包合同价款支付的约定：</w:t>
      </w:r>
    </w:p>
    <w:bookmarkEnd w:id="2015"/>
    <w:bookmarkEnd w:id="2016"/>
    <w:p w14:paraId="77A56AFB">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7DAD452">
      <w:pPr>
        <w:pStyle w:val="20"/>
        <w:rPr>
          <w:b/>
        </w:rPr>
      </w:pPr>
      <w:bookmarkStart w:id="2017" w:name="_Toc108514098"/>
      <w:r>
        <w:rPr>
          <w:b/>
        </w:rPr>
        <w:t>3.6 工程照管与成品、半成品保护</w:t>
      </w:r>
      <w:bookmarkEnd w:id="2017"/>
    </w:p>
    <w:p w14:paraId="77B5CC6F">
      <w:pPr>
        <w:spacing w:line="400" w:lineRule="exact"/>
        <w:ind w:firstLine="420" w:firstLineChars="200"/>
        <w:rPr>
          <w:rFonts w:hint="eastAsia" w:ascii="宋体" w:hAnsi="宋体"/>
        </w:rPr>
      </w:pPr>
      <w:r>
        <w:rPr>
          <w:rFonts w:ascii="宋体" w:hAnsi="宋体"/>
        </w:rPr>
        <w:t>承包人负责照管工程及工程相关的材料、工程设备的起始时间：</w:t>
      </w:r>
    </w:p>
    <w:p w14:paraId="1E5ED455">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C9CCA4A">
      <w:pPr>
        <w:pStyle w:val="20"/>
        <w:rPr>
          <w:b/>
        </w:rPr>
      </w:pPr>
      <w:bookmarkStart w:id="2018" w:name="_Toc108514099"/>
      <w:r>
        <w:rPr>
          <w:b/>
        </w:rPr>
        <w:t>3.7 履约担保</w:t>
      </w:r>
      <w:bookmarkEnd w:id="2018"/>
    </w:p>
    <w:p w14:paraId="75BAD097">
      <w:pPr>
        <w:spacing w:line="400" w:lineRule="exact"/>
        <w:ind w:firstLine="420" w:firstLineChars="200"/>
        <w:rPr>
          <w:rFonts w:hint="eastAsia" w:ascii="宋体" w:hAnsi="宋体"/>
        </w:rPr>
      </w:pPr>
      <w:r>
        <w:rPr>
          <w:rFonts w:hint="eastAsia" w:ascii="宋体" w:hAnsi="宋体"/>
        </w:rPr>
        <w:t>承包人是否提供履约担保：</w:t>
      </w:r>
    </w:p>
    <w:p w14:paraId="015FF4C8">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31C4168">
      <w:pPr>
        <w:spacing w:line="400" w:lineRule="exact"/>
        <w:ind w:firstLine="420" w:firstLineChars="200"/>
        <w:rPr>
          <w:rFonts w:hint="eastAsia" w:ascii="宋体" w:hAnsi="宋体"/>
        </w:rPr>
      </w:pPr>
      <w:r>
        <w:rPr>
          <w:rFonts w:ascii="宋体" w:hAnsi="宋体"/>
        </w:rPr>
        <w:t>承包人提供履约担保的形式</w:t>
      </w:r>
      <w:r>
        <w:rPr>
          <w:rFonts w:hint="eastAsia" w:ascii="宋体" w:hAnsi="宋体"/>
        </w:rPr>
        <w:t>、金额及期限的</w:t>
      </w:r>
      <w:r>
        <w:rPr>
          <w:rFonts w:ascii="宋体" w:hAnsi="宋体"/>
        </w:rPr>
        <w:t xml:space="preserve">：              </w:t>
      </w:r>
    </w:p>
    <w:p w14:paraId="70B9034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028BD52">
      <w:pPr>
        <w:pStyle w:val="18"/>
        <w:rPr>
          <w:b/>
        </w:rPr>
      </w:pPr>
      <w:bookmarkStart w:id="2019" w:name="_Toc108514100"/>
      <w:bookmarkStart w:id="2020" w:name="_Toc351203636"/>
      <w:r>
        <w:rPr>
          <w:b/>
        </w:rPr>
        <w:t>4</w:t>
      </w:r>
      <w:bookmarkStart w:id="2021" w:name="_Toc297048348"/>
      <w:bookmarkStart w:id="2022" w:name="_Toc296890990"/>
      <w:bookmarkStart w:id="2023" w:name="_Toc292559366"/>
      <w:bookmarkStart w:id="2024" w:name="_Toc297120462"/>
      <w:bookmarkStart w:id="2025" w:name="_Toc292559871"/>
      <w:bookmarkStart w:id="2026" w:name="_Toc296347161"/>
      <w:bookmarkStart w:id="2027" w:name="_Toc267251413"/>
      <w:bookmarkStart w:id="2028" w:name="_Toc296944501"/>
      <w:bookmarkStart w:id="2029" w:name="_Toc296503162"/>
      <w:bookmarkStart w:id="2030" w:name="_Toc296891202"/>
      <w:bookmarkStart w:id="2031" w:name="_Toc296346663"/>
      <w:r>
        <w:rPr>
          <w:b/>
        </w:rPr>
        <w:t>. 监</w:t>
      </w:r>
      <w:bookmarkEnd w:id="2021"/>
      <w:bookmarkEnd w:id="2022"/>
      <w:bookmarkEnd w:id="2023"/>
      <w:bookmarkEnd w:id="2024"/>
      <w:bookmarkEnd w:id="2025"/>
      <w:bookmarkEnd w:id="2026"/>
      <w:bookmarkEnd w:id="2027"/>
      <w:bookmarkEnd w:id="2028"/>
      <w:bookmarkEnd w:id="2029"/>
      <w:bookmarkEnd w:id="2030"/>
      <w:bookmarkEnd w:id="2031"/>
      <w:r>
        <w:rPr>
          <w:b/>
        </w:rPr>
        <w:t>理人</w:t>
      </w:r>
      <w:bookmarkEnd w:id="2019"/>
      <w:bookmarkEnd w:id="2020"/>
    </w:p>
    <w:p w14:paraId="072D56FA">
      <w:pPr>
        <w:pStyle w:val="20"/>
        <w:rPr>
          <w:b/>
        </w:rPr>
      </w:pPr>
      <w:bookmarkStart w:id="2032" w:name="_Toc108514101"/>
      <w:r>
        <w:rPr>
          <w:b/>
        </w:rPr>
        <w:t>4.1监理人的一般规定</w:t>
      </w:r>
      <w:bookmarkEnd w:id="2032"/>
    </w:p>
    <w:p w14:paraId="4590F363">
      <w:pPr>
        <w:spacing w:line="400" w:lineRule="exact"/>
        <w:ind w:firstLine="420" w:firstLineChars="200"/>
        <w:rPr>
          <w:rFonts w:hint="eastAsia" w:ascii="宋体" w:hAnsi="宋体"/>
        </w:rPr>
      </w:pPr>
      <w:r>
        <w:rPr>
          <w:rFonts w:ascii="宋体" w:hAnsi="宋体"/>
        </w:rPr>
        <w:t>关于监理人的监理内容：</w:t>
      </w:r>
    </w:p>
    <w:p w14:paraId="1909A182">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B1D5C33">
      <w:pPr>
        <w:spacing w:line="400" w:lineRule="exact"/>
        <w:ind w:firstLine="420" w:firstLineChars="200"/>
        <w:rPr>
          <w:rFonts w:hint="eastAsia" w:ascii="宋体" w:hAnsi="宋体"/>
        </w:rPr>
      </w:pPr>
      <w:r>
        <w:rPr>
          <w:rFonts w:ascii="宋体" w:hAnsi="宋体"/>
        </w:rPr>
        <w:t>关于监理人的监理权限：</w:t>
      </w:r>
    </w:p>
    <w:p w14:paraId="30DBDC19">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0DA7967">
      <w:pPr>
        <w:spacing w:line="400" w:lineRule="exact"/>
        <w:ind w:firstLine="420" w:firstLineChars="200"/>
        <w:rPr>
          <w:rFonts w:hint="eastAsia" w:ascii="宋体" w:hAnsi="宋体"/>
        </w:rPr>
      </w:pPr>
      <w:r>
        <w:rPr>
          <w:rFonts w:ascii="宋体" w:hAnsi="宋体"/>
        </w:rPr>
        <w:t>关于监理人在施工现场的办公场所、生活场所的提供和费用承担的约定：</w:t>
      </w:r>
    </w:p>
    <w:p w14:paraId="03DD8A5D">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520BC61">
      <w:pPr>
        <w:pStyle w:val="20"/>
        <w:rPr>
          <w:b/>
        </w:rPr>
      </w:pPr>
      <w:bookmarkStart w:id="2033" w:name="_Toc108514102"/>
      <w:r>
        <w:rPr>
          <w:b/>
        </w:rPr>
        <w:t>4.2 监理人员</w:t>
      </w:r>
      <w:bookmarkEnd w:id="2033"/>
    </w:p>
    <w:p w14:paraId="02A957AA">
      <w:pPr>
        <w:spacing w:line="400" w:lineRule="exact"/>
        <w:ind w:firstLine="420" w:firstLineChars="200"/>
        <w:rPr>
          <w:rFonts w:ascii="宋体" w:hAnsi="宋体"/>
        </w:rPr>
      </w:pPr>
      <w:r>
        <w:rPr>
          <w:rFonts w:ascii="宋体" w:hAnsi="宋体"/>
        </w:rPr>
        <w:t>总监理工程师：</w:t>
      </w:r>
    </w:p>
    <w:p w14:paraId="309DA37D">
      <w:pPr>
        <w:spacing w:line="400" w:lineRule="exact"/>
        <w:ind w:firstLine="420" w:firstLineChars="200"/>
        <w:rPr>
          <w:rFonts w:ascii="宋体" w:hAnsi="宋体"/>
        </w:rPr>
      </w:pPr>
      <w:r>
        <w:rPr>
          <w:rFonts w:ascii="宋体" w:hAnsi="宋体"/>
        </w:rPr>
        <w:t>姓    名：</w:t>
      </w:r>
      <w:r>
        <w:rPr>
          <w:rFonts w:ascii="宋体" w:hAnsi="宋体"/>
          <w:u w:val="single"/>
        </w:rPr>
        <w:t>   </w:t>
      </w:r>
      <w:r>
        <w:rPr>
          <w:rFonts w:ascii="宋体" w:hAnsi="宋体"/>
        </w:rPr>
        <w:t>；</w:t>
      </w:r>
    </w:p>
    <w:p w14:paraId="70F4C085">
      <w:pPr>
        <w:spacing w:line="400" w:lineRule="exact"/>
        <w:ind w:firstLine="420" w:firstLineChars="200"/>
        <w:rPr>
          <w:rFonts w:ascii="宋体" w:hAnsi="宋体"/>
        </w:rPr>
      </w:pPr>
      <w:r>
        <w:rPr>
          <w:rFonts w:ascii="宋体" w:hAnsi="宋体"/>
        </w:rPr>
        <w:t>职    务：</w:t>
      </w:r>
      <w:r>
        <w:rPr>
          <w:rFonts w:ascii="宋体" w:hAnsi="宋体"/>
          <w:u w:val="single"/>
        </w:rPr>
        <w:t>   </w:t>
      </w:r>
      <w:r>
        <w:rPr>
          <w:rFonts w:ascii="宋体" w:hAnsi="宋体"/>
        </w:rPr>
        <w:t>；</w:t>
      </w:r>
    </w:p>
    <w:p w14:paraId="29199C8B">
      <w:pPr>
        <w:spacing w:line="400" w:lineRule="exact"/>
        <w:ind w:firstLine="420" w:firstLineChars="200"/>
        <w:rPr>
          <w:rFonts w:ascii="宋体" w:hAnsi="宋体"/>
        </w:rPr>
      </w:pPr>
      <w:r>
        <w:rPr>
          <w:rFonts w:ascii="宋体" w:hAnsi="宋体"/>
        </w:rPr>
        <w:t>监理工程师执业资格证书号：</w:t>
      </w:r>
      <w:r>
        <w:rPr>
          <w:rFonts w:ascii="宋体" w:hAnsi="宋体"/>
          <w:u w:val="single"/>
        </w:rPr>
        <w:t> </w:t>
      </w:r>
      <w:r>
        <w:rPr>
          <w:rFonts w:ascii="宋体" w:hAnsi="宋体"/>
        </w:rPr>
        <w:t>；</w:t>
      </w:r>
    </w:p>
    <w:p w14:paraId="27E532F0">
      <w:pPr>
        <w:spacing w:line="400" w:lineRule="exact"/>
        <w:ind w:firstLine="420" w:firstLineChars="200"/>
        <w:rPr>
          <w:rFonts w:ascii="宋体" w:hAnsi="宋体"/>
        </w:rPr>
      </w:pPr>
      <w:r>
        <w:rPr>
          <w:rFonts w:ascii="宋体" w:hAnsi="宋体"/>
        </w:rPr>
        <w:t>联系电话：</w:t>
      </w:r>
      <w:r>
        <w:rPr>
          <w:rFonts w:ascii="宋体" w:hAnsi="宋体"/>
          <w:u w:val="single"/>
        </w:rPr>
        <w:t>   </w:t>
      </w:r>
      <w:r>
        <w:rPr>
          <w:rFonts w:ascii="宋体" w:hAnsi="宋体"/>
        </w:rPr>
        <w:t>；</w:t>
      </w:r>
    </w:p>
    <w:p w14:paraId="27646B64">
      <w:pPr>
        <w:spacing w:line="400" w:lineRule="exact"/>
        <w:ind w:firstLine="420" w:firstLineChars="200"/>
        <w:rPr>
          <w:rFonts w:ascii="宋体" w:hAnsi="宋体"/>
        </w:rPr>
      </w:pPr>
      <w:r>
        <w:rPr>
          <w:rFonts w:ascii="宋体" w:hAnsi="宋体"/>
        </w:rPr>
        <w:t>电子信箱：</w:t>
      </w:r>
      <w:r>
        <w:rPr>
          <w:rFonts w:ascii="宋体" w:hAnsi="宋体"/>
          <w:u w:val="single"/>
        </w:rPr>
        <w:t>   </w:t>
      </w:r>
      <w:r>
        <w:rPr>
          <w:rFonts w:ascii="宋体" w:hAnsi="宋体"/>
        </w:rPr>
        <w:t>；</w:t>
      </w:r>
    </w:p>
    <w:p w14:paraId="644145A9">
      <w:pPr>
        <w:spacing w:line="400" w:lineRule="exact"/>
        <w:ind w:firstLine="420" w:firstLineChars="200"/>
        <w:rPr>
          <w:rFonts w:ascii="宋体" w:hAnsi="宋体"/>
        </w:rPr>
      </w:pPr>
      <w:r>
        <w:rPr>
          <w:rFonts w:ascii="宋体" w:hAnsi="宋体"/>
        </w:rPr>
        <w:t>通信地址：</w:t>
      </w:r>
      <w:r>
        <w:rPr>
          <w:rFonts w:ascii="宋体" w:hAnsi="宋体"/>
          <w:u w:val="single"/>
        </w:rPr>
        <w:t>   </w:t>
      </w:r>
      <w:r>
        <w:rPr>
          <w:rFonts w:ascii="宋体" w:hAnsi="宋体"/>
        </w:rPr>
        <w:t>；</w:t>
      </w:r>
    </w:p>
    <w:p w14:paraId="489146A2">
      <w:pPr>
        <w:spacing w:line="400" w:lineRule="exact"/>
        <w:ind w:firstLine="420" w:firstLineChars="200"/>
        <w:rPr>
          <w:rFonts w:ascii="宋体" w:hAnsi="宋体"/>
        </w:rPr>
      </w:pPr>
      <w:r>
        <w:rPr>
          <w:rFonts w:ascii="宋体" w:hAnsi="宋体"/>
        </w:rPr>
        <w:t>关于监理人的其他约定：</w:t>
      </w:r>
      <w:r>
        <w:rPr>
          <w:rFonts w:ascii="宋体" w:hAnsi="宋体"/>
          <w:u w:val="single"/>
        </w:rPr>
        <w:t>   </w:t>
      </w:r>
      <w:r>
        <w:rPr>
          <w:rFonts w:ascii="宋体" w:hAnsi="宋体"/>
        </w:rPr>
        <w:t>。</w:t>
      </w:r>
    </w:p>
    <w:p w14:paraId="6E242BBF">
      <w:pPr>
        <w:pStyle w:val="20"/>
        <w:rPr>
          <w:b/>
        </w:rPr>
      </w:pPr>
      <w:bookmarkStart w:id="2034" w:name="_Toc108514103"/>
      <w:r>
        <w:rPr>
          <w:b/>
        </w:rPr>
        <w:t>4.4 商定或确定</w:t>
      </w:r>
      <w:bookmarkEnd w:id="2034"/>
    </w:p>
    <w:p w14:paraId="520CE65A">
      <w:pPr>
        <w:spacing w:line="400" w:lineRule="exact"/>
        <w:ind w:firstLine="420" w:firstLineChars="200"/>
        <w:rPr>
          <w:rFonts w:ascii="宋体" w:hAnsi="宋体"/>
        </w:rPr>
      </w:pPr>
      <w:bookmarkStart w:id="2035" w:name="_Toc267251418"/>
      <w:r>
        <w:rPr>
          <w:rFonts w:ascii="宋体" w:hAnsi="宋体"/>
        </w:rPr>
        <w:t>在发包人和承包人不能通过协商达成一致意见时，发包人授权监理人对以下事项进行确定：</w:t>
      </w:r>
    </w:p>
    <w:p w14:paraId="0701ED50">
      <w:pPr>
        <w:spacing w:line="400" w:lineRule="exact"/>
        <w:ind w:firstLine="420" w:firstLineChars="200"/>
        <w:rPr>
          <w:rFonts w:ascii="宋体" w:hAnsi="宋体"/>
        </w:rPr>
      </w:pPr>
      <w:r>
        <w:rPr>
          <w:rFonts w:ascii="宋体" w:hAnsi="宋体"/>
        </w:rPr>
        <w:t>（1）</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64E8FF3">
      <w:pPr>
        <w:spacing w:line="400" w:lineRule="exact"/>
        <w:ind w:firstLine="420" w:firstLineChars="200"/>
        <w:rPr>
          <w:rFonts w:ascii="宋体" w:hAnsi="宋体"/>
        </w:rPr>
      </w:pPr>
      <w:r>
        <w:rPr>
          <w:rFonts w:ascii="宋体" w:hAnsi="宋体"/>
        </w:rPr>
        <w:t>（2）</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3FAE757">
      <w:pPr>
        <w:spacing w:line="400" w:lineRule="exact"/>
        <w:ind w:firstLine="420" w:firstLineChars="200"/>
      </w:pPr>
      <w:r>
        <w:rPr>
          <w:rFonts w:ascii="宋体" w:hAnsi="宋体"/>
        </w:rPr>
        <w:t>（3）</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D0B1E7C">
      <w:pPr>
        <w:pStyle w:val="18"/>
        <w:rPr>
          <w:b/>
        </w:rPr>
      </w:pPr>
      <w:bookmarkStart w:id="2036" w:name="_Toc108514104"/>
      <w:bookmarkStart w:id="2037" w:name="_Toc351203637"/>
      <w:r>
        <w:rPr>
          <w:b/>
        </w:rPr>
        <w:t>5</w:t>
      </w:r>
      <w:bookmarkEnd w:id="2035"/>
      <w:bookmarkStart w:id="2038" w:name="_Toc296346664"/>
      <w:bookmarkStart w:id="2039" w:name="_Toc296503163"/>
      <w:bookmarkStart w:id="2040" w:name="_Toc296891203"/>
      <w:bookmarkStart w:id="2041" w:name="_Toc292559872"/>
      <w:bookmarkStart w:id="2042" w:name="_Toc292559367"/>
      <w:bookmarkStart w:id="2043" w:name="_Toc296890991"/>
      <w:bookmarkStart w:id="2044" w:name="_Toc297120463"/>
      <w:bookmarkStart w:id="2045" w:name="_Toc296347162"/>
      <w:bookmarkStart w:id="2046" w:name="_Toc296944502"/>
      <w:bookmarkStart w:id="2047" w:name="_Toc297048349"/>
      <w:r>
        <w:rPr>
          <w:b/>
        </w:rPr>
        <w:t>. 工程质量</w:t>
      </w:r>
      <w:bookmarkEnd w:id="2036"/>
      <w:bookmarkEnd w:id="2037"/>
    </w:p>
    <w:p w14:paraId="68FBF630">
      <w:pPr>
        <w:pStyle w:val="20"/>
        <w:rPr>
          <w:b/>
        </w:rPr>
      </w:pPr>
      <w:bookmarkStart w:id="2048" w:name="_Toc108514105"/>
      <w:r>
        <w:rPr>
          <w:b/>
        </w:rPr>
        <w:t>5.1 质量要求</w:t>
      </w:r>
      <w:bookmarkEnd w:id="2048"/>
    </w:p>
    <w:p w14:paraId="5C4D043F">
      <w:pPr>
        <w:spacing w:line="400" w:lineRule="exact"/>
        <w:ind w:firstLine="420" w:firstLineChars="200"/>
        <w:rPr>
          <w:rFonts w:hint="eastAsia" w:ascii="宋体" w:hAnsi="宋体"/>
        </w:rPr>
      </w:pPr>
      <w:r>
        <w:rPr>
          <w:rFonts w:ascii="宋体" w:hAnsi="宋体"/>
        </w:rPr>
        <w:t>5</w:t>
      </w:r>
      <w:bookmarkStart w:id="2049" w:name="_Toc300934949"/>
      <w:bookmarkStart w:id="2050" w:name="_Toc318581164"/>
      <w:bookmarkStart w:id="2051" w:name="_Toc312677997"/>
      <w:bookmarkStart w:id="2052" w:name="_Toc297216155"/>
      <w:bookmarkStart w:id="2053" w:name="_Toc297123496"/>
      <w:bookmarkStart w:id="2054" w:name="_Toc303539106"/>
      <w:bookmarkStart w:id="2055" w:name="_Toc304295527"/>
      <w:r>
        <w:rPr>
          <w:rFonts w:ascii="宋体" w:hAnsi="宋体"/>
        </w:rPr>
        <w:t>.1.1 特殊质量标准和要求：</w:t>
      </w:r>
    </w:p>
    <w:p w14:paraId="60272DAB">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F07C70D">
      <w:pPr>
        <w:spacing w:line="400" w:lineRule="exact"/>
        <w:ind w:firstLine="420" w:firstLineChars="200"/>
        <w:rPr>
          <w:rFonts w:hint="eastAsia" w:ascii="宋体" w:hAnsi="宋体"/>
        </w:rPr>
      </w:pPr>
      <w:r>
        <w:rPr>
          <w:rFonts w:ascii="宋体" w:hAnsi="宋体"/>
        </w:rPr>
        <w:t>关于工程奖项的约定：</w:t>
      </w:r>
    </w:p>
    <w:p w14:paraId="05CE0725">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A6DDFF8">
      <w:pPr>
        <w:pStyle w:val="20"/>
        <w:rPr>
          <w:b/>
        </w:rPr>
      </w:pPr>
      <w:bookmarkStart w:id="2056" w:name="_Toc108514106"/>
      <w:r>
        <w:rPr>
          <w:b/>
        </w:rPr>
        <w:t>5.3 隐蔽工程检查</w:t>
      </w:r>
      <w:bookmarkEnd w:id="2056"/>
    </w:p>
    <w:p w14:paraId="6DDF9638">
      <w:pPr>
        <w:spacing w:line="400" w:lineRule="exact"/>
        <w:ind w:firstLine="420" w:firstLineChars="200"/>
        <w:rPr>
          <w:rFonts w:hint="eastAsia" w:ascii="宋体" w:hAnsi="宋体"/>
        </w:rPr>
      </w:pPr>
      <w:r>
        <w:rPr>
          <w:rFonts w:ascii="宋体" w:hAnsi="宋体"/>
        </w:rPr>
        <w:t>5.3.2承包人提前通知监理人隐蔽工程检查的期限的约定：</w:t>
      </w:r>
    </w:p>
    <w:p w14:paraId="3DD1A2C4">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1981281">
      <w:pPr>
        <w:spacing w:line="400" w:lineRule="exact"/>
        <w:ind w:firstLine="420" w:firstLineChars="200"/>
        <w:rPr>
          <w:rFonts w:ascii="宋体" w:hAnsi="宋体"/>
        </w:rPr>
      </w:pPr>
      <w:r>
        <w:rPr>
          <w:rFonts w:ascii="宋体" w:hAnsi="宋体"/>
        </w:rPr>
        <w:t>监理人不能按时进行检查时，应提前</w:t>
      </w:r>
      <w:r>
        <w:rPr>
          <w:rFonts w:ascii="宋体" w:hAnsi="宋体"/>
          <w:u w:val="single"/>
        </w:rPr>
        <w:t xml:space="preserve">       </w:t>
      </w:r>
      <w:r>
        <w:rPr>
          <w:rFonts w:ascii="宋体" w:hAnsi="宋体"/>
        </w:rPr>
        <w:t>小时提交书面延期要求。</w:t>
      </w:r>
    </w:p>
    <w:p w14:paraId="35BFDAC5">
      <w:pPr>
        <w:spacing w:line="400" w:lineRule="exact"/>
        <w:ind w:firstLine="420" w:firstLineChars="200"/>
      </w:pPr>
      <w:r>
        <w:rPr>
          <w:rFonts w:ascii="宋体" w:hAnsi="宋体"/>
        </w:rPr>
        <w:t>关于延期最长不得超过：</w:t>
      </w:r>
      <w:r>
        <w:rPr>
          <w:rFonts w:ascii="宋体" w:hAnsi="宋体"/>
          <w:u w:val="single"/>
        </w:rPr>
        <w:t xml:space="preserve">         </w:t>
      </w:r>
      <w:r>
        <w:rPr>
          <w:rFonts w:ascii="宋体" w:hAnsi="宋体"/>
        </w:rPr>
        <w:t>小时。</w:t>
      </w:r>
    </w:p>
    <w:p w14:paraId="7D7C9E14">
      <w:pPr>
        <w:pStyle w:val="18"/>
        <w:rPr>
          <w:b/>
        </w:rPr>
      </w:pPr>
      <w:bookmarkStart w:id="2057" w:name="_Toc108514107"/>
      <w:bookmarkStart w:id="2058" w:name="_Toc351203638"/>
      <w:r>
        <w:rPr>
          <w:b/>
        </w:rPr>
        <w:t>6. 安全文明施工与环境保护</w:t>
      </w:r>
      <w:bookmarkEnd w:id="2057"/>
      <w:bookmarkEnd w:id="2058"/>
    </w:p>
    <w:p w14:paraId="05D29ACB">
      <w:pPr>
        <w:pStyle w:val="20"/>
        <w:rPr>
          <w:b/>
        </w:rPr>
      </w:pPr>
      <w:bookmarkStart w:id="2059" w:name="_Toc108514108"/>
      <w:r>
        <w:rPr>
          <w:b/>
        </w:rPr>
        <w:t>6.1安全文明施工</w:t>
      </w:r>
      <w:bookmarkEnd w:id="2059"/>
    </w:p>
    <w:p w14:paraId="25D07627">
      <w:pPr>
        <w:spacing w:line="400" w:lineRule="exact"/>
        <w:ind w:firstLine="420" w:firstLineChars="200"/>
        <w:rPr>
          <w:rFonts w:hint="eastAsia" w:ascii="宋体" w:hAnsi="宋体"/>
        </w:rPr>
      </w:pPr>
      <w:r>
        <w:rPr>
          <w:rFonts w:ascii="宋体" w:hAnsi="宋体"/>
        </w:rPr>
        <w:t>6.1.1 项目安全生产的达标目标及相应事项的约定：</w:t>
      </w:r>
    </w:p>
    <w:p w14:paraId="70C33D77">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1C0AC9B">
      <w:pPr>
        <w:spacing w:line="400" w:lineRule="exact"/>
        <w:ind w:firstLine="420" w:firstLineChars="200"/>
        <w:rPr>
          <w:rFonts w:hint="eastAsia" w:ascii="宋体" w:hAnsi="宋体"/>
        </w:rPr>
      </w:pPr>
      <w:r>
        <w:rPr>
          <w:rFonts w:ascii="宋体" w:hAnsi="宋体"/>
        </w:rPr>
        <w:t>6.1.4 关于治安保卫的特别约定：</w:t>
      </w:r>
    </w:p>
    <w:p w14:paraId="73C19507">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B93F65F">
      <w:pPr>
        <w:spacing w:line="400" w:lineRule="exact"/>
        <w:ind w:firstLine="420" w:firstLineChars="200"/>
        <w:rPr>
          <w:rFonts w:hint="eastAsia" w:ascii="宋体" w:hAnsi="宋体"/>
        </w:rPr>
      </w:pPr>
      <w:r>
        <w:rPr>
          <w:rFonts w:ascii="宋体" w:hAnsi="宋体"/>
        </w:rPr>
        <w:t>关于编制施工场地治安管理计划的约定：</w:t>
      </w:r>
    </w:p>
    <w:p w14:paraId="429E5885">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97CC66D">
      <w:pPr>
        <w:spacing w:line="400" w:lineRule="exact"/>
        <w:ind w:firstLine="420" w:firstLineChars="200"/>
        <w:rPr>
          <w:rFonts w:hint="eastAsia" w:ascii="宋体" w:hAnsi="宋体"/>
        </w:rPr>
      </w:pPr>
      <w:r>
        <w:rPr>
          <w:rFonts w:hint="eastAsia" w:ascii="宋体" w:hAnsi="宋体"/>
        </w:rPr>
        <w:t>6.1.5 文明施工</w:t>
      </w:r>
    </w:p>
    <w:p w14:paraId="65373FC8">
      <w:pPr>
        <w:spacing w:line="400" w:lineRule="exact"/>
        <w:ind w:firstLine="420" w:firstLineChars="200"/>
        <w:rPr>
          <w:rFonts w:hint="eastAsia" w:ascii="宋体" w:hAnsi="宋体"/>
        </w:rPr>
      </w:pPr>
      <w:r>
        <w:rPr>
          <w:rFonts w:hint="eastAsia" w:ascii="宋体" w:hAnsi="宋体"/>
        </w:rPr>
        <w:t>合同当事人对文明施工的要求：</w:t>
      </w:r>
    </w:p>
    <w:p w14:paraId="3326A901">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C660751">
      <w:pPr>
        <w:spacing w:line="400" w:lineRule="exact"/>
        <w:ind w:firstLine="420" w:firstLineChars="200"/>
        <w:rPr>
          <w:rFonts w:hint="eastAsia" w:ascii="宋体" w:hAnsi="宋体"/>
        </w:rPr>
      </w:pPr>
      <w:r>
        <w:rPr>
          <w:rFonts w:ascii="宋体" w:hAnsi="宋体"/>
        </w:rPr>
        <w:t>6.1.6 关于安全文明施工费支付比例和支付期限的约定：</w:t>
      </w:r>
    </w:p>
    <w:p w14:paraId="2700649C">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049"/>
    <w:bookmarkEnd w:id="2050"/>
    <w:bookmarkEnd w:id="2051"/>
    <w:bookmarkEnd w:id="2052"/>
    <w:bookmarkEnd w:id="2053"/>
    <w:bookmarkEnd w:id="2054"/>
    <w:bookmarkEnd w:id="2055"/>
    <w:p w14:paraId="6BD71982">
      <w:pPr>
        <w:pStyle w:val="18"/>
        <w:rPr>
          <w:b/>
        </w:rPr>
      </w:pPr>
      <w:bookmarkStart w:id="2060" w:name="_Toc351203639"/>
      <w:bookmarkStart w:id="2061" w:name="_Toc108514109"/>
      <w:r>
        <w:rPr>
          <w:b/>
        </w:rPr>
        <w:t>7. 工期和进度</w:t>
      </w:r>
      <w:bookmarkEnd w:id="2060"/>
      <w:bookmarkEnd w:id="2061"/>
    </w:p>
    <w:p w14:paraId="50FF2622">
      <w:pPr>
        <w:pStyle w:val="20"/>
        <w:rPr>
          <w:b/>
        </w:rPr>
      </w:pPr>
      <w:bookmarkStart w:id="2062" w:name="_Toc108514110"/>
      <w:r>
        <w:rPr>
          <w:b/>
        </w:rPr>
        <w:t>7.1 施工组织设计</w:t>
      </w:r>
      <w:bookmarkEnd w:id="2062"/>
    </w:p>
    <w:p w14:paraId="0659C6FD">
      <w:pPr>
        <w:spacing w:line="400" w:lineRule="exact"/>
        <w:ind w:firstLine="420" w:firstLineChars="200"/>
        <w:rPr>
          <w:rFonts w:hint="eastAsia" w:ascii="宋体" w:hAnsi="宋体"/>
        </w:rPr>
      </w:pPr>
      <w:r>
        <w:rPr>
          <w:rFonts w:ascii="宋体" w:hAnsi="宋体"/>
        </w:rPr>
        <w:t>7.1.</w:t>
      </w:r>
      <w:r>
        <w:rPr>
          <w:rFonts w:hint="eastAsia" w:ascii="宋体" w:hAnsi="宋体"/>
        </w:rPr>
        <w:t>1 合同当事人约定的</w:t>
      </w:r>
      <w:r>
        <w:rPr>
          <w:rFonts w:ascii="宋体" w:hAnsi="宋体"/>
        </w:rPr>
        <w:t>施工组织设计</w:t>
      </w:r>
      <w:r>
        <w:rPr>
          <w:rFonts w:hint="eastAsia" w:ascii="宋体" w:hAnsi="宋体"/>
        </w:rPr>
        <w:t>应包括的其他内容</w:t>
      </w:r>
      <w:r>
        <w:rPr>
          <w:rFonts w:ascii="宋体" w:hAnsi="宋体"/>
        </w:rPr>
        <w:t>：</w:t>
      </w:r>
    </w:p>
    <w:p w14:paraId="607770A6">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35FE903">
      <w:pPr>
        <w:spacing w:line="400" w:lineRule="exact"/>
        <w:ind w:firstLine="420" w:firstLineChars="200"/>
        <w:rPr>
          <w:rFonts w:ascii="宋体" w:hAnsi="宋体"/>
        </w:rPr>
      </w:pPr>
      <w:r>
        <w:rPr>
          <w:rFonts w:ascii="宋体" w:hAnsi="宋体"/>
        </w:rPr>
        <w:t>7.1.2 施工组织设计的提交和修改</w:t>
      </w:r>
    </w:p>
    <w:p w14:paraId="39F1FC1F">
      <w:pPr>
        <w:spacing w:line="400" w:lineRule="exact"/>
        <w:ind w:firstLine="420" w:firstLineChars="200"/>
        <w:rPr>
          <w:rFonts w:hint="eastAsia" w:ascii="宋体" w:hAnsi="宋体"/>
        </w:rPr>
      </w:pPr>
      <w:r>
        <w:rPr>
          <w:rFonts w:ascii="宋体" w:hAnsi="宋体"/>
        </w:rPr>
        <w:t>承包人提交详细施工组织设计的期限的约定：</w:t>
      </w:r>
    </w:p>
    <w:p w14:paraId="1DDE0514">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BCFB621">
      <w:pPr>
        <w:spacing w:line="400" w:lineRule="exact"/>
        <w:ind w:firstLine="420" w:firstLineChars="200"/>
        <w:rPr>
          <w:rFonts w:hint="eastAsia" w:ascii="宋体" w:hAnsi="宋体"/>
        </w:rPr>
      </w:pPr>
      <w:r>
        <w:rPr>
          <w:rFonts w:ascii="宋体" w:hAnsi="宋体"/>
        </w:rPr>
        <w:t>发包人和监理人在收到</w:t>
      </w:r>
      <w:r>
        <w:rPr>
          <w:rFonts w:hint="eastAsia" w:ascii="宋体" w:hAnsi="宋体"/>
        </w:rPr>
        <w:t>详细的施工组织设计</w:t>
      </w:r>
      <w:r>
        <w:rPr>
          <w:rFonts w:ascii="宋体" w:hAnsi="宋体"/>
        </w:rPr>
        <w:t xml:space="preserve">后确认或提出修改意见的期限： </w:t>
      </w:r>
    </w:p>
    <w:p w14:paraId="6C548B47">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0EFC926">
      <w:pPr>
        <w:pStyle w:val="20"/>
        <w:rPr>
          <w:b/>
        </w:rPr>
      </w:pPr>
      <w:bookmarkStart w:id="2063" w:name="_Toc108514111"/>
      <w:r>
        <w:rPr>
          <w:b/>
        </w:rPr>
        <w:t>7</w:t>
      </w:r>
      <w:bookmarkStart w:id="2064" w:name="_Toc300934966"/>
      <w:bookmarkStart w:id="2065" w:name="_Toc304295541"/>
      <w:bookmarkStart w:id="2066" w:name="_Toc297216173"/>
      <w:bookmarkStart w:id="2067" w:name="_Toc297123514"/>
      <w:bookmarkStart w:id="2068" w:name="_Toc312678005"/>
      <w:bookmarkStart w:id="2069" w:name="_Toc303539123"/>
      <w:bookmarkStart w:id="2070" w:name="_Toc312677479"/>
      <w:r>
        <w:rPr>
          <w:b/>
        </w:rPr>
        <w:t>.2 施工进度计划</w:t>
      </w:r>
      <w:bookmarkEnd w:id="2063"/>
    </w:p>
    <w:p w14:paraId="6452CE7A">
      <w:pPr>
        <w:spacing w:line="400" w:lineRule="exact"/>
        <w:ind w:firstLine="420" w:firstLineChars="200"/>
        <w:rPr>
          <w:rFonts w:ascii="宋体" w:hAnsi="宋体"/>
        </w:rPr>
      </w:pPr>
      <w:r>
        <w:rPr>
          <w:rFonts w:ascii="宋体" w:hAnsi="宋体"/>
        </w:rPr>
        <w:t>7.2.2 施工进度计划的修订</w:t>
      </w:r>
    </w:p>
    <w:p w14:paraId="2E85E764">
      <w:pPr>
        <w:spacing w:line="400" w:lineRule="exact"/>
        <w:ind w:firstLine="420" w:firstLineChars="200"/>
        <w:rPr>
          <w:rFonts w:hint="eastAsia" w:ascii="宋体" w:hAnsi="宋体"/>
        </w:rPr>
      </w:pPr>
      <w:r>
        <w:rPr>
          <w:rFonts w:ascii="宋体" w:hAnsi="宋体"/>
        </w:rPr>
        <w:t>发包人和监理人在收到修订的施工进度计划后确认或提出修改意见的期限：</w:t>
      </w:r>
    </w:p>
    <w:p w14:paraId="631E2852">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3D39FF3">
      <w:pPr>
        <w:pStyle w:val="20"/>
        <w:rPr>
          <w:b/>
        </w:rPr>
      </w:pPr>
      <w:bookmarkStart w:id="2071" w:name="_Toc108514112"/>
      <w:r>
        <w:rPr>
          <w:b/>
        </w:rPr>
        <w:t>7.3 开工</w:t>
      </w:r>
      <w:bookmarkEnd w:id="2071"/>
    </w:p>
    <w:p w14:paraId="3F99DD55">
      <w:pPr>
        <w:spacing w:line="400" w:lineRule="exact"/>
        <w:ind w:firstLine="420" w:firstLineChars="200"/>
        <w:rPr>
          <w:rFonts w:ascii="宋体" w:hAnsi="宋体"/>
        </w:rPr>
      </w:pPr>
      <w:r>
        <w:rPr>
          <w:rFonts w:ascii="宋体" w:hAnsi="宋体"/>
        </w:rPr>
        <w:t>7.3.1 开工准备</w:t>
      </w:r>
    </w:p>
    <w:p w14:paraId="1889D870">
      <w:pPr>
        <w:spacing w:line="400" w:lineRule="exact"/>
        <w:ind w:firstLine="420" w:firstLineChars="200"/>
        <w:rPr>
          <w:rFonts w:hint="eastAsia" w:ascii="宋体" w:hAnsi="宋体"/>
        </w:rPr>
      </w:pPr>
      <w:r>
        <w:rPr>
          <w:rFonts w:ascii="宋体" w:hAnsi="宋体"/>
        </w:rPr>
        <w:t>关于承包人提交工程开工报审表的期限：</w:t>
      </w:r>
    </w:p>
    <w:p w14:paraId="7B1788BF">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CB57D17">
      <w:pPr>
        <w:spacing w:line="400" w:lineRule="exact"/>
        <w:ind w:firstLine="420" w:firstLineChars="200"/>
        <w:rPr>
          <w:rFonts w:hint="eastAsia" w:ascii="宋体" w:hAnsi="宋体"/>
        </w:rPr>
      </w:pPr>
      <w:r>
        <w:rPr>
          <w:rFonts w:ascii="宋体" w:hAnsi="宋体"/>
        </w:rPr>
        <w:t>关于发包人应完成的其他开工准备工作及期限：</w:t>
      </w:r>
    </w:p>
    <w:p w14:paraId="29798AAE">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3036CA8">
      <w:pPr>
        <w:spacing w:line="400" w:lineRule="exact"/>
        <w:ind w:firstLine="420" w:firstLineChars="200"/>
        <w:rPr>
          <w:rFonts w:hint="eastAsia" w:ascii="宋体" w:hAnsi="宋体"/>
        </w:rPr>
      </w:pPr>
      <w:r>
        <w:rPr>
          <w:rFonts w:ascii="宋体" w:hAnsi="宋体"/>
        </w:rPr>
        <w:t>关于承包人应完成的其他开工准备工作及期限：</w:t>
      </w:r>
    </w:p>
    <w:p w14:paraId="58C8C59C">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3652A24">
      <w:pPr>
        <w:spacing w:line="400" w:lineRule="exact"/>
        <w:ind w:firstLine="420" w:firstLineChars="200"/>
        <w:rPr>
          <w:rFonts w:ascii="宋体" w:hAnsi="宋体"/>
        </w:rPr>
      </w:pPr>
      <w:r>
        <w:rPr>
          <w:rFonts w:ascii="宋体" w:hAnsi="宋体"/>
        </w:rPr>
        <w:t>7.3.2开工通知</w:t>
      </w:r>
    </w:p>
    <w:p w14:paraId="13031956">
      <w:pPr>
        <w:spacing w:line="400" w:lineRule="exact"/>
        <w:ind w:firstLine="420" w:firstLineChars="200"/>
      </w:pPr>
      <w:r>
        <w:rPr>
          <w:rFonts w:ascii="宋体" w:hAnsi="宋体"/>
        </w:rPr>
        <w:t>因发包人原因造成监理人未能在计划开工日期之日起</w:t>
      </w:r>
      <w:r>
        <w:rPr>
          <w:rFonts w:ascii="宋体" w:hAnsi="宋体"/>
          <w:u w:val="single"/>
        </w:rPr>
        <w:t xml:space="preserve">     </w:t>
      </w:r>
      <w:r>
        <w:rPr>
          <w:rFonts w:ascii="宋体" w:hAnsi="宋体"/>
        </w:rPr>
        <w:t>天内发出开工通知的，承包人有权提出价格调整要求，或者解除合同。</w:t>
      </w:r>
    </w:p>
    <w:bookmarkEnd w:id="2064"/>
    <w:bookmarkEnd w:id="2065"/>
    <w:bookmarkEnd w:id="2066"/>
    <w:bookmarkEnd w:id="2067"/>
    <w:bookmarkEnd w:id="2068"/>
    <w:bookmarkEnd w:id="2069"/>
    <w:bookmarkEnd w:id="2070"/>
    <w:p w14:paraId="517082D4">
      <w:pPr>
        <w:pStyle w:val="20"/>
        <w:rPr>
          <w:b/>
        </w:rPr>
      </w:pPr>
      <w:bookmarkStart w:id="2072" w:name="_Toc108514113"/>
      <w:r>
        <w:rPr>
          <w:b/>
        </w:rPr>
        <w:t>7.4 测量放线</w:t>
      </w:r>
      <w:bookmarkEnd w:id="2072"/>
    </w:p>
    <w:p w14:paraId="65037076">
      <w:pPr>
        <w:spacing w:line="400" w:lineRule="exact"/>
        <w:ind w:firstLine="420" w:firstLineChars="200"/>
        <w:rPr>
          <w:rFonts w:hint="eastAsia" w:ascii="宋体" w:hAnsi="宋体"/>
        </w:rPr>
      </w:pPr>
      <w:r>
        <w:rPr>
          <w:rFonts w:ascii="宋体" w:hAnsi="宋体"/>
        </w:rPr>
        <w:t>7.4.1发包人通过监理人向承包人提供测量基准点、基准线和水准点及其书面资料的期限：</w:t>
      </w:r>
    </w:p>
    <w:p w14:paraId="20AB045A">
      <w:pPr>
        <w:spacing w:line="400" w:lineRule="exact"/>
        <w:ind w:firstLine="420" w:firstLineChars="200"/>
        <w:rPr>
          <w:rFonts w:hint="eastAsia"/>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14:paraId="3181A81B">
      <w:pPr>
        <w:pStyle w:val="20"/>
        <w:rPr>
          <w:b/>
        </w:rPr>
      </w:pPr>
      <w:bookmarkStart w:id="2073" w:name="_Toc108514114"/>
      <w:r>
        <w:rPr>
          <w:b/>
        </w:rPr>
        <w:t>7</w:t>
      </w:r>
      <w:bookmarkStart w:id="2074" w:name="_Toc304295546"/>
      <w:bookmarkStart w:id="2075" w:name="_Toc303539125"/>
      <w:bookmarkStart w:id="2076" w:name="_Toc297123516"/>
      <w:bookmarkStart w:id="2077" w:name="_Toc312677484"/>
      <w:bookmarkStart w:id="2078" w:name="_Toc297216175"/>
      <w:bookmarkStart w:id="2079" w:name="_Toc312678010"/>
      <w:bookmarkStart w:id="2080" w:name="_Toc300934968"/>
      <w:r>
        <w:rPr>
          <w:b/>
        </w:rPr>
        <w:t>.5 工期延误</w:t>
      </w:r>
      <w:bookmarkEnd w:id="2073"/>
      <w:r>
        <w:rPr>
          <w:rFonts w:hint="eastAsia"/>
          <w:b/>
        </w:rPr>
        <w:t xml:space="preserve">              </w:t>
      </w:r>
    </w:p>
    <w:bookmarkEnd w:id="2074"/>
    <w:bookmarkEnd w:id="2075"/>
    <w:bookmarkEnd w:id="2076"/>
    <w:bookmarkEnd w:id="2077"/>
    <w:bookmarkEnd w:id="2078"/>
    <w:bookmarkEnd w:id="2079"/>
    <w:bookmarkEnd w:id="2080"/>
    <w:p w14:paraId="7FA18015">
      <w:pPr>
        <w:spacing w:line="400" w:lineRule="exact"/>
        <w:ind w:firstLine="420" w:firstLineChars="200"/>
        <w:rPr>
          <w:rFonts w:ascii="宋体" w:hAnsi="宋体"/>
        </w:rPr>
      </w:pPr>
      <w:r>
        <w:rPr>
          <w:rFonts w:ascii="宋体" w:hAnsi="宋体"/>
        </w:rPr>
        <w:t>7.5.1 因发包人原因导致工期延误</w:t>
      </w:r>
    </w:p>
    <w:p w14:paraId="45C94B69">
      <w:pPr>
        <w:spacing w:line="400" w:lineRule="exact"/>
        <w:ind w:firstLine="420" w:firstLineChars="200"/>
        <w:rPr>
          <w:rFonts w:hint="eastAsia" w:ascii="宋体" w:hAnsi="宋体"/>
        </w:rPr>
      </w:pPr>
      <w:r>
        <w:rPr>
          <w:rFonts w:ascii="宋体" w:hAnsi="宋体"/>
        </w:rPr>
        <w:t>（7）因发包人原因导致工期延误的其他情形：</w:t>
      </w:r>
    </w:p>
    <w:p w14:paraId="6F6FFAEF">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E808D79">
      <w:pPr>
        <w:spacing w:line="400" w:lineRule="exact"/>
        <w:ind w:firstLine="420" w:firstLineChars="200"/>
        <w:rPr>
          <w:rFonts w:ascii="宋体" w:hAnsi="宋体"/>
        </w:rPr>
      </w:pPr>
      <w:r>
        <w:rPr>
          <w:rFonts w:ascii="宋体" w:hAnsi="宋体"/>
        </w:rPr>
        <w:t>7</w:t>
      </w:r>
      <w:bookmarkStart w:id="2081" w:name="_Toc312678012"/>
      <w:bookmarkStart w:id="2082" w:name="_Toc312677486"/>
      <w:bookmarkStart w:id="2083" w:name="_Toc318581169"/>
      <w:bookmarkStart w:id="2084" w:name="_Toc297123518"/>
      <w:bookmarkStart w:id="2085" w:name="_Toc303539127"/>
      <w:bookmarkStart w:id="2086" w:name="_Toc297216177"/>
      <w:bookmarkStart w:id="2087" w:name="_Toc300934970"/>
      <w:bookmarkStart w:id="2088" w:name="_Toc304295548"/>
      <w:r>
        <w:rPr>
          <w:rFonts w:ascii="宋体" w:hAnsi="宋体"/>
        </w:rPr>
        <w:t>.5.2 因承包人原因导致工期延误</w:t>
      </w:r>
    </w:p>
    <w:bookmarkEnd w:id="2081"/>
    <w:bookmarkEnd w:id="2082"/>
    <w:bookmarkEnd w:id="2083"/>
    <w:p w14:paraId="44BCE2D1">
      <w:pPr>
        <w:spacing w:line="400" w:lineRule="exact"/>
        <w:ind w:firstLine="420" w:firstLineChars="200"/>
        <w:rPr>
          <w:rFonts w:hint="eastAsia" w:ascii="宋体" w:hAnsi="宋体"/>
        </w:rPr>
      </w:pPr>
      <w:r>
        <w:rPr>
          <w:rFonts w:ascii="宋体" w:hAnsi="宋体"/>
        </w:rPr>
        <w:t>因</w:t>
      </w:r>
      <w:bookmarkStart w:id="2089" w:name="_Toc318581170"/>
      <w:bookmarkStart w:id="2090" w:name="_Toc312677487"/>
      <w:bookmarkStart w:id="2091" w:name="_Toc312678013"/>
      <w:r>
        <w:rPr>
          <w:rFonts w:ascii="宋体" w:hAnsi="宋体"/>
        </w:rPr>
        <w:t>承包人原因造成工期延误，逾期竣工违约金的计算方法为：</w:t>
      </w:r>
    </w:p>
    <w:bookmarkEnd w:id="2084"/>
    <w:bookmarkEnd w:id="2085"/>
    <w:bookmarkEnd w:id="2086"/>
    <w:bookmarkEnd w:id="2087"/>
    <w:bookmarkEnd w:id="2088"/>
    <w:bookmarkEnd w:id="2089"/>
    <w:bookmarkEnd w:id="2090"/>
    <w:bookmarkEnd w:id="2091"/>
    <w:p w14:paraId="6D8C247D">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4D89932">
      <w:pPr>
        <w:spacing w:line="400" w:lineRule="exact"/>
        <w:ind w:firstLine="420" w:firstLineChars="200"/>
        <w:rPr>
          <w:rFonts w:ascii="宋体" w:hAnsi="宋体"/>
        </w:rPr>
      </w:pPr>
      <w:r>
        <w:rPr>
          <w:rFonts w:ascii="宋体" w:hAnsi="宋体"/>
        </w:rPr>
        <w:t>因承包人原因造成工期延误，逾</w:t>
      </w:r>
      <w:bookmarkStart w:id="2092" w:name="_Toc318581171"/>
      <w:bookmarkStart w:id="2093" w:name="_Toc312678014"/>
      <w:r>
        <w:rPr>
          <w:rFonts w:ascii="宋体" w:hAnsi="宋体"/>
        </w:rPr>
        <w:t xml:space="preserve">期竣工违约金的上限：       </w:t>
      </w:r>
    </w:p>
    <w:p w14:paraId="3CEBE72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092"/>
    <w:bookmarkEnd w:id="2093"/>
    <w:p w14:paraId="5BC55EE6">
      <w:pPr>
        <w:pStyle w:val="20"/>
        <w:rPr>
          <w:b/>
        </w:rPr>
      </w:pPr>
      <w:bookmarkStart w:id="2094" w:name="_Toc108514115"/>
      <w:r>
        <w:rPr>
          <w:b/>
        </w:rPr>
        <w:t>7</w:t>
      </w:r>
      <w:bookmarkStart w:id="2095" w:name="_Toc297216178"/>
      <w:bookmarkStart w:id="2096" w:name="_Toc312678015"/>
      <w:bookmarkStart w:id="2097" w:name="_Toc297123519"/>
      <w:bookmarkStart w:id="2098" w:name="_Toc303539128"/>
      <w:bookmarkStart w:id="2099" w:name="_Toc300934971"/>
      <w:bookmarkStart w:id="2100" w:name="_Toc304295549"/>
      <w:r>
        <w:rPr>
          <w:b/>
        </w:rPr>
        <w:t>.6 不</w:t>
      </w:r>
      <w:bookmarkEnd w:id="2095"/>
      <w:bookmarkEnd w:id="2096"/>
      <w:bookmarkEnd w:id="2097"/>
      <w:bookmarkEnd w:id="2098"/>
      <w:bookmarkEnd w:id="2099"/>
      <w:bookmarkEnd w:id="2100"/>
      <w:r>
        <w:rPr>
          <w:b/>
        </w:rPr>
        <w:t>利物质条件</w:t>
      </w:r>
      <w:bookmarkEnd w:id="2094"/>
    </w:p>
    <w:p w14:paraId="233F58FB">
      <w:pPr>
        <w:spacing w:line="400" w:lineRule="exact"/>
        <w:ind w:firstLine="420" w:firstLineChars="200"/>
        <w:rPr>
          <w:rFonts w:hint="eastAsia" w:ascii="宋体" w:hAnsi="宋体"/>
        </w:rPr>
      </w:pPr>
      <w:bookmarkStart w:id="2101" w:name="_Toc304295550"/>
      <w:bookmarkStart w:id="2102" w:name="_Toc303539129"/>
      <w:bookmarkStart w:id="2103" w:name="_Toc300934972"/>
      <w:bookmarkStart w:id="2104" w:name="_Toc312678016"/>
      <w:bookmarkStart w:id="2105" w:name="_Toc297216179"/>
      <w:bookmarkStart w:id="2106" w:name="_Toc297123520"/>
      <w:bookmarkStart w:id="2107" w:name="_Toc318581172"/>
      <w:r>
        <w:rPr>
          <w:rFonts w:ascii="宋体" w:hAnsi="宋体"/>
        </w:rPr>
        <w:t>不利物质条件的其他情形和有关约定：</w:t>
      </w:r>
    </w:p>
    <w:p w14:paraId="0E5B9967">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101"/>
    <w:bookmarkEnd w:id="2102"/>
    <w:bookmarkEnd w:id="2103"/>
    <w:bookmarkEnd w:id="2104"/>
    <w:bookmarkEnd w:id="2105"/>
    <w:bookmarkEnd w:id="2106"/>
    <w:bookmarkEnd w:id="2107"/>
    <w:p w14:paraId="08FA0A3C">
      <w:pPr>
        <w:pStyle w:val="20"/>
        <w:rPr>
          <w:b/>
        </w:rPr>
      </w:pPr>
      <w:bookmarkStart w:id="2108" w:name="_Toc108514116"/>
      <w:r>
        <w:rPr>
          <w:b/>
        </w:rPr>
        <w:t>7</w:t>
      </w:r>
      <w:bookmarkStart w:id="2109" w:name="_Toc300934973"/>
      <w:bookmarkStart w:id="2110" w:name="_Toc297123521"/>
      <w:bookmarkStart w:id="2111" w:name="_Toc303539130"/>
      <w:bookmarkStart w:id="2112" w:name="_Toc297216180"/>
      <w:bookmarkStart w:id="2113" w:name="_Toc312678017"/>
      <w:bookmarkStart w:id="2114" w:name="_Toc304295551"/>
      <w:r>
        <w:rPr>
          <w:b/>
        </w:rPr>
        <w:t>.7异常恶劣的气候条件</w:t>
      </w:r>
      <w:bookmarkEnd w:id="2108"/>
    </w:p>
    <w:bookmarkEnd w:id="2109"/>
    <w:bookmarkEnd w:id="2110"/>
    <w:bookmarkEnd w:id="2111"/>
    <w:bookmarkEnd w:id="2112"/>
    <w:bookmarkEnd w:id="2113"/>
    <w:bookmarkEnd w:id="2114"/>
    <w:p w14:paraId="54B49F25">
      <w:pPr>
        <w:spacing w:line="400" w:lineRule="exact"/>
        <w:ind w:firstLine="420" w:firstLineChars="200"/>
        <w:rPr>
          <w:rFonts w:ascii="宋体" w:hAnsi="宋体"/>
        </w:rPr>
      </w:pPr>
      <w:r>
        <w:rPr>
          <w:rFonts w:ascii="宋体" w:hAnsi="宋体"/>
        </w:rPr>
        <w:t>发包人和承包人同意以下情形视为异常恶劣的气候条件：</w:t>
      </w:r>
    </w:p>
    <w:p w14:paraId="6F596E2D">
      <w:pPr>
        <w:spacing w:line="400" w:lineRule="exact"/>
        <w:ind w:firstLine="420" w:firstLineChars="200"/>
        <w:rPr>
          <w:rFonts w:ascii="宋体" w:hAnsi="宋体"/>
        </w:rPr>
      </w:pPr>
      <w:r>
        <w:rPr>
          <w:rFonts w:ascii="宋体" w:hAnsi="宋体"/>
        </w:rPr>
        <w:t>（1）</w:t>
      </w:r>
      <w:r>
        <w:rPr>
          <w:rFonts w:ascii="宋体" w:hAnsi="宋体"/>
          <w:u w:val="single"/>
        </w:rPr>
        <w:t xml:space="preserve">                                           </w:t>
      </w:r>
      <w:r>
        <w:rPr>
          <w:rFonts w:ascii="宋体" w:hAnsi="宋体"/>
        </w:rPr>
        <w:t>；</w:t>
      </w:r>
    </w:p>
    <w:p w14:paraId="551C5961">
      <w:pPr>
        <w:spacing w:line="400" w:lineRule="exact"/>
        <w:ind w:firstLine="420" w:firstLineChars="200"/>
        <w:rPr>
          <w:rFonts w:ascii="宋体" w:hAnsi="宋体"/>
        </w:rPr>
      </w:pPr>
      <w:r>
        <w:rPr>
          <w:rFonts w:ascii="宋体" w:hAnsi="宋体"/>
        </w:rPr>
        <w:t>（2）</w:t>
      </w:r>
      <w:r>
        <w:rPr>
          <w:rFonts w:ascii="宋体" w:hAnsi="宋体"/>
          <w:u w:val="single"/>
        </w:rPr>
        <w:t xml:space="preserve">                                           </w:t>
      </w:r>
      <w:r>
        <w:rPr>
          <w:rFonts w:ascii="宋体" w:hAnsi="宋体"/>
        </w:rPr>
        <w:t>；</w:t>
      </w:r>
    </w:p>
    <w:p w14:paraId="5F63EA52">
      <w:pPr>
        <w:spacing w:line="400" w:lineRule="exact"/>
        <w:ind w:firstLine="420" w:firstLineChars="200"/>
      </w:pPr>
      <w:r>
        <w:rPr>
          <w:rFonts w:ascii="宋体" w:hAnsi="宋体"/>
        </w:rPr>
        <w:t>（3）</w:t>
      </w:r>
      <w:r>
        <w:rPr>
          <w:rFonts w:ascii="宋体" w:hAnsi="宋体"/>
          <w:u w:val="single"/>
        </w:rPr>
        <w:t xml:space="preserve">                                           </w:t>
      </w:r>
      <w:r>
        <w:rPr>
          <w:rFonts w:ascii="宋体" w:hAnsi="宋体"/>
        </w:rPr>
        <w:t>。</w:t>
      </w:r>
    </w:p>
    <w:p w14:paraId="3D19B31A">
      <w:pPr>
        <w:pStyle w:val="20"/>
        <w:rPr>
          <w:b/>
        </w:rPr>
      </w:pPr>
      <w:bookmarkStart w:id="2115" w:name="_Toc108514117"/>
      <w:r>
        <w:rPr>
          <w:b/>
        </w:rPr>
        <w:t>7.9 提前竣工的奖励</w:t>
      </w:r>
      <w:bookmarkEnd w:id="2115"/>
    </w:p>
    <w:p w14:paraId="50E6B23C">
      <w:pPr>
        <w:spacing w:line="400" w:lineRule="exact"/>
        <w:ind w:firstLine="420" w:firstLineChars="200"/>
        <w:rPr>
          <w:rFonts w:hint="eastAsia" w:ascii="宋体" w:hAnsi="宋体"/>
        </w:rPr>
      </w:pPr>
      <w:r>
        <w:rPr>
          <w:rFonts w:ascii="宋体" w:hAnsi="宋体"/>
        </w:rPr>
        <w:t>7.9.2提前竣工的奖励：</w:t>
      </w:r>
    </w:p>
    <w:p w14:paraId="70824693">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D9C056F">
      <w:pPr>
        <w:pStyle w:val="18"/>
        <w:rPr>
          <w:b/>
        </w:rPr>
      </w:pPr>
      <w:bookmarkStart w:id="2116" w:name="_Toc351203640"/>
      <w:bookmarkStart w:id="2117" w:name="_Toc108514118"/>
      <w:r>
        <w:rPr>
          <w:b/>
        </w:rPr>
        <w:t>8. 材料与设备</w:t>
      </w:r>
      <w:bookmarkEnd w:id="2116"/>
      <w:bookmarkEnd w:id="2117"/>
    </w:p>
    <w:bookmarkEnd w:id="2038"/>
    <w:bookmarkEnd w:id="2039"/>
    <w:bookmarkEnd w:id="2040"/>
    <w:bookmarkEnd w:id="2041"/>
    <w:bookmarkEnd w:id="2042"/>
    <w:bookmarkEnd w:id="2043"/>
    <w:bookmarkEnd w:id="2044"/>
    <w:bookmarkEnd w:id="2045"/>
    <w:bookmarkEnd w:id="2046"/>
    <w:bookmarkEnd w:id="2047"/>
    <w:p w14:paraId="38C8D938">
      <w:pPr>
        <w:pStyle w:val="20"/>
        <w:rPr>
          <w:b/>
        </w:rPr>
      </w:pPr>
      <w:bookmarkStart w:id="2118" w:name="_Toc108514119"/>
      <w:r>
        <w:rPr>
          <w:b/>
        </w:rPr>
        <w:t>8</w:t>
      </w:r>
      <w:bookmarkStart w:id="2119" w:name="_Toc304295556"/>
      <w:bookmarkStart w:id="2120" w:name="_Toc296347166"/>
      <w:bookmarkStart w:id="2121" w:name="_Toc312678019"/>
      <w:bookmarkStart w:id="2122" w:name="_Toc292559877"/>
      <w:bookmarkStart w:id="2123" w:name="_Toc296944506"/>
      <w:bookmarkStart w:id="2124" w:name="_Toc300934979"/>
      <w:bookmarkStart w:id="2125" w:name="_Toc296891207"/>
      <w:bookmarkStart w:id="2126" w:name="_Toc303539136"/>
      <w:bookmarkStart w:id="2127" w:name="_Toc296503167"/>
      <w:bookmarkStart w:id="2128" w:name="_Toc312677493"/>
      <w:bookmarkStart w:id="2129" w:name="_Toc297123527"/>
      <w:bookmarkStart w:id="2130" w:name="_Toc297048353"/>
      <w:bookmarkStart w:id="2131" w:name="_Toc296346668"/>
      <w:bookmarkStart w:id="2132" w:name="_Toc280868654"/>
      <w:bookmarkStart w:id="2133" w:name="_Toc297120467"/>
      <w:bookmarkStart w:id="2134" w:name="_Toc296890995"/>
      <w:bookmarkStart w:id="2135" w:name="_Toc292559372"/>
      <w:bookmarkStart w:id="2136" w:name="_Toc297216186"/>
      <w:bookmarkStart w:id="2137" w:name="_Toc280868655"/>
      <w:bookmarkStart w:id="2138" w:name="_Toc267251424"/>
      <w:bookmarkStart w:id="2139" w:name="_Toc280868656"/>
      <w:r>
        <w:rPr>
          <w:b/>
        </w:rPr>
        <w:t>.4材料与工程设备的保管与使用</w:t>
      </w:r>
      <w:bookmarkEnd w:id="2118"/>
    </w:p>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p w14:paraId="203EA756">
      <w:pPr>
        <w:spacing w:line="400" w:lineRule="exact"/>
        <w:ind w:firstLine="420" w:firstLineChars="200"/>
        <w:rPr>
          <w:rFonts w:hint="eastAsia" w:ascii="宋体" w:hAnsi="宋体"/>
        </w:rPr>
      </w:pPr>
      <w:r>
        <w:rPr>
          <w:rFonts w:ascii="宋体" w:hAnsi="宋体"/>
        </w:rPr>
        <w:t>8</w:t>
      </w:r>
      <w:bookmarkStart w:id="2140" w:name="_Toc292559878"/>
      <w:bookmarkStart w:id="2141" w:name="_Toc292559373"/>
      <w:bookmarkStart w:id="2142" w:name="_Toc297123528"/>
      <w:bookmarkStart w:id="2143" w:name="_Toc296891208"/>
      <w:bookmarkStart w:id="2144" w:name="_Toc297120468"/>
      <w:bookmarkStart w:id="2145" w:name="_Toc303539137"/>
      <w:bookmarkStart w:id="2146" w:name="_Toc296890996"/>
      <w:bookmarkStart w:id="2147" w:name="_Toc304295557"/>
      <w:bookmarkStart w:id="2148" w:name="_Toc312677494"/>
      <w:bookmarkStart w:id="2149" w:name="_Toc296347167"/>
      <w:bookmarkStart w:id="2150" w:name="_Toc296944507"/>
      <w:bookmarkStart w:id="2151" w:name="_Toc312678020"/>
      <w:bookmarkStart w:id="2152" w:name="_Toc318581173"/>
      <w:bookmarkStart w:id="2153" w:name="_Toc297048354"/>
      <w:bookmarkStart w:id="2154" w:name="_Toc296503168"/>
      <w:bookmarkStart w:id="2155" w:name="_Toc297216187"/>
      <w:bookmarkStart w:id="2156" w:name="_Toc300934980"/>
      <w:bookmarkStart w:id="2157" w:name="_Toc296346669"/>
      <w:r>
        <w:rPr>
          <w:rFonts w:ascii="宋体" w:hAnsi="宋体"/>
        </w:rPr>
        <w:t>.4.1发包人供应的材料设备的保管费用的承担：</w:t>
      </w:r>
    </w:p>
    <w:bookmarkEnd w:id="2140"/>
    <w:bookmarkEnd w:id="2141"/>
    <w:p w14:paraId="549E60A9">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EFBE16C">
      <w:pPr>
        <w:pStyle w:val="20"/>
        <w:rPr>
          <w:b/>
        </w:rPr>
      </w:pPr>
      <w:bookmarkStart w:id="2158" w:name="_Toc108514120"/>
      <w:r>
        <w:rPr>
          <w:b/>
        </w:rPr>
        <w:t>8.6 样品</w:t>
      </w:r>
      <w:bookmarkEnd w:id="2158"/>
    </w:p>
    <w:p w14:paraId="6E5E6D97">
      <w:pPr>
        <w:spacing w:line="400" w:lineRule="exact"/>
        <w:ind w:firstLine="420" w:firstLineChars="200"/>
        <w:rPr>
          <w:rFonts w:ascii="宋体" w:hAnsi="宋体"/>
        </w:rPr>
      </w:pPr>
      <w:r>
        <w:rPr>
          <w:rFonts w:ascii="宋体" w:hAnsi="宋体"/>
        </w:rPr>
        <w:t>8.6.1样品的报送</w:t>
      </w:r>
      <w:r>
        <w:rPr>
          <w:rFonts w:hint="eastAsia" w:ascii="宋体" w:hAnsi="宋体"/>
        </w:rPr>
        <w:t>与封存</w:t>
      </w:r>
    </w:p>
    <w:p w14:paraId="1F001876">
      <w:pPr>
        <w:spacing w:line="400" w:lineRule="exact"/>
        <w:ind w:firstLine="420" w:firstLineChars="200"/>
        <w:rPr>
          <w:rFonts w:hint="eastAsia" w:ascii="宋体" w:hAnsi="宋体"/>
        </w:rPr>
      </w:pPr>
      <w:r>
        <w:rPr>
          <w:rFonts w:ascii="宋体" w:hAnsi="宋体"/>
        </w:rPr>
        <w:t>需要承包人报送样品的材料或工程设备，样品的种类、名称、规格、数量要求：</w:t>
      </w:r>
    </w:p>
    <w:p w14:paraId="1712DC0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C5C690F">
      <w:pPr>
        <w:pStyle w:val="20"/>
      </w:pPr>
      <w:bookmarkStart w:id="2159" w:name="_Toc108514121"/>
      <w:r>
        <w:rPr>
          <w:b/>
        </w:rPr>
        <w:t>8.8 施工设备和临时设施</w:t>
      </w:r>
      <w:bookmarkEnd w:id="2159"/>
    </w:p>
    <w:p w14:paraId="42566143">
      <w:pPr>
        <w:spacing w:line="400" w:lineRule="exact"/>
        <w:ind w:firstLine="420" w:firstLineChars="200"/>
        <w:rPr>
          <w:rFonts w:ascii="宋体" w:hAnsi="宋体"/>
        </w:rPr>
      </w:pPr>
      <w:r>
        <w:rPr>
          <w:rFonts w:ascii="宋体" w:hAnsi="宋体"/>
        </w:rPr>
        <w:t>8.8.1 承包人提供的施工设备和临时设施</w:t>
      </w:r>
    </w:p>
    <w:p w14:paraId="332950D7">
      <w:pPr>
        <w:spacing w:line="400" w:lineRule="exact"/>
        <w:ind w:firstLine="420" w:firstLineChars="200"/>
        <w:rPr>
          <w:rFonts w:hint="eastAsia" w:ascii="宋体" w:hAnsi="宋体"/>
        </w:rPr>
      </w:pPr>
      <w:r>
        <w:rPr>
          <w:rFonts w:ascii="宋体" w:hAnsi="宋体"/>
        </w:rPr>
        <w:t>关于修建临时设施费用承担的约定：</w:t>
      </w:r>
    </w:p>
    <w:p w14:paraId="08C2DCC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p w14:paraId="6BCE8CCB">
      <w:pPr>
        <w:pStyle w:val="18"/>
        <w:rPr>
          <w:b/>
        </w:rPr>
      </w:pPr>
      <w:bookmarkStart w:id="2160" w:name="_Toc108514122"/>
      <w:bookmarkStart w:id="2161" w:name="_Toc351203641"/>
      <w:r>
        <w:rPr>
          <w:b/>
        </w:rPr>
        <w:t>9</w:t>
      </w:r>
      <w:bookmarkEnd w:id="2137"/>
      <w:bookmarkEnd w:id="2138"/>
      <w:bookmarkEnd w:id="2139"/>
      <w:bookmarkStart w:id="2162" w:name="_Toc312677495"/>
      <w:bookmarkStart w:id="2163" w:name="_Toc297216192"/>
      <w:bookmarkStart w:id="2164" w:name="_Toc303539139"/>
      <w:bookmarkStart w:id="2165" w:name="_Toc300934982"/>
      <w:bookmarkStart w:id="2166" w:name="_Toc297123533"/>
      <w:bookmarkStart w:id="2167" w:name="_Toc312678021"/>
      <w:bookmarkStart w:id="2168" w:name="_Toc304295559"/>
      <w:bookmarkStart w:id="2169" w:name="_Toc292559883"/>
      <w:bookmarkStart w:id="2170" w:name="_Toc296503173"/>
      <w:bookmarkStart w:id="2171" w:name="_Toc296346674"/>
      <w:bookmarkStart w:id="2172" w:name="_Toc297120473"/>
      <w:bookmarkStart w:id="2173" w:name="_Toc267251428"/>
      <w:bookmarkStart w:id="2174" w:name="_Toc296891001"/>
      <w:bookmarkStart w:id="2175" w:name="_Toc296347172"/>
      <w:bookmarkStart w:id="2176" w:name="_Toc296891213"/>
      <w:bookmarkStart w:id="2177" w:name="_Toc297048359"/>
      <w:bookmarkStart w:id="2178" w:name="_Toc296944512"/>
      <w:bookmarkStart w:id="2179" w:name="_Toc292559378"/>
      <w:bookmarkStart w:id="2180" w:name="_Toc267251427"/>
      <w:r>
        <w:rPr>
          <w:b/>
        </w:rPr>
        <w:t>. 试验与检验</w:t>
      </w:r>
      <w:bookmarkEnd w:id="2160"/>
      <w:bookmarkEnd w:id="2161"/>
    </w:p>
    <w:bookmarkEnd w:id="2162"/>
    <w:bookmarkEnd w:id="2163"/>
    <w:bookmarkEnd w:id="2164"/>
    <w:bookmarkEnd w:id="2165"/>
    <w:bookmarkEnd w:id="2166"/>
    <w:bookmarkEnd w:id="2167"/>
    <w:bookmarkEnd w:id="2168"/>
    <w:p w14:paraId="79B6D2AF">
      <w:pPr>
        <w:pStyle w:val="20"/>
        <w:rPr>
          <w:b/>
        </w:rPr>
      </w:pPr>
      <w:bookmarkStart w:id="2181" w:name="_Toc108514123"/>
      <w:r>
        <w:rPr>
          <w:b/>
        </w:rPr>
        <w:t>9</w:t>
      </w:r>
      <w:bookmarkStart w:id="2182" w:name="_Toc297123534"/>
      <w:bookmarkStart w:id="2183" w:name="_Toc312678022"/>
      <w:bookmarkStart w:id="2184" w:name="_Toc312677496"/>
      <w:bookmarkStart w:id="2185" w:name="_Toc300934983"/>
      <w:bookmarkStart w:id="2186" w:name="_Toc303539140"/>
      <w:bookmarkStart w:id="2187" w:name="_Toc297216193"/>
      <w:bookmarkStart w:id="2188" w:name="_Toc304295560"/>
      <w:r>
        <w:rPr>
          <w:b/>
        </w:rPr>
        <w:t>.1试验设备与试验人员</w:t>
      </w:r>
      <w:bookmarkEnd w:id="2181"/>
    </w:p>
    <w:bookmarkEnd w:id="2182"/>
    <w:bookmarkEnd w:id="2183"/>
    <w:bookmarkEnd w:id="2184"/>
    <w:bookmarkEnd w:id="2185"/>
    <w:bookmarkEnd w:id="2186"/>
    <w:bookmarkEnd w:id="2187"/>
    <w:bookmarkEnd w:id="2188"/>
    <w:p w14:paraId="11CACFBC">
      <w:pPr>
        <w:spacing w:line="400" w:lineRule="exact"/>
        <w:ind w:firstLine="420" w:firstLineChars="200"/>
        <w:rPr>
          <w:rFonts w:ascii="宋体" w:hAnsi="宋体"/>
        </w:rPr>
      </w:pPr>
      <w:r>
        <w:rPr>
          <w:rFonts w:ascii="宋体" w:hAnsi="宋体"/>
        </w:rPr>
        <w:t>9</w:t>
      </w:r>
      <w:bookmarkStart w:id="2189" w:name="_Toc304295561"/>
      <w:bookmarkStart w:id="2190" w:name="_Toc297123535"/>
      <w:bookmarkStart w:id="2191" w:name="_Toc312678023"/>
      <w:bookmarkStart w:id="2192" w:name="_Toc297216194"/>
      <w:bookmarkStart w:id="2193" w:name="_Toc303539141"/>
      <w:bookmarkStart w:id="2194" w:name="_Toc312677497"/>
      <w:bookmarkStart w:id="2195" w:name="_Toc300934984"/>
      <w:bookmarkStart w:id="2196" w:name="_Toc318581174"/>
      <w:r>
        <w:rPr>
          <w:rFonts w:ascii="宋体" w:hAnsi="宋体"/>
        </w:rPr>
        <w:t>.1.2 试验设备</w:t>
      </w:r>
    </w:p>
    <w:p w14:paraId="24440AE2">
      <w:pPr>
        <w:spacing w:line="400" w:lineRule="exact"/>
        <w:ind w:firstLine="420" w:firstLineChars="200"/>
        <w:rPr>
          <w:rFonts w:hint="eastAsia" w:ascii="宋体" w:hAnsi="宋体"/>
        </w:rPr>
      </w:pPr>
      <w:r>
        <w:rPr>
          <w:rFonts w:ascii="宋体" w:hAnsi="宋体"/>
        </w:rPr>
        <w:t>施工现场需要配置的试验场所：</w:t>
      </w:r>
      <w:bookmarkEnd w:id="2189"/>
      <w:bookmarkEnd w:id="2190"/>
      <w:bookmarkEnd w:id="2191"/>
      <w:bookmarkEnd w:id="2192"/>
      <w:bookmarkEnd w:id="2193"/>
      <w:bookmarkEnd w:id="2194"/>
      <w:bookmarkEnd w:id="2195"/>
      <w:bookmarkStart w:id="2197" w:name="_Toc297216195"/>
      <w:bookmarkStart w:id="2198" w:name="_Toc303539142"/>
      <w:bookmarkStart w:id="2199" w:name="_Toc300934985"/>
      <w:bookmarkStart w:id="2200" w:name="_Toc297123536"/>
      <w:bookmarkStart w:id="2201" w:name="_Toc304295562"/>
      <w:bookmarkStart w:id="2202" w:name="_Toc312677498"/>
      <w:bookmarkStart w:id="2203" w:name="_Toc312678024"/>
    </w:p>
    <w:p w14:paraId="07F7C089">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E888747">
      <w:pPr>
        <w:spacing w:line="400" w:lineRule="exact"/>
        <w:ind w:firstLine="420" w:firstLineChars="200"/>
        <w:rPr>
          <w:rFonts w:hint="eastAsia" w:ascii="宋体" w:hAnsi="宋体"/>
        </w:rPr>
      </w:pPr>
      <w:r>
        <w:rPr>
          <w:rFonts w:ascii="宋体" w:hAnsi="宋体"/>
        </w:rPr>
        <w:t>施工现场需要配备的试验设备：</w:t>
      </w:r>
    </w:p>
    <w:p w14:paraId="7EA52F7A">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FC6E042">
      <w:pPr>
        <w:spacing w:line="400" w:lineRule="exact"/>
        <w:ind w:firstLine="420" w:firstLineChars="200"/>
        <w:rPr>
          <w:rFonts w:hint="eastAsia" w:ascii="宋体" w:hAnsi="宋体"/>
        </w:rPr>
      </w:pPr>
      <w:r>
        <w:rPr>
          <w:rFonts w:ascii="宋体" w:hAnsi="宋体"/>
        </w:rPr>
        <w:t>施工现场需要具备的其他试验条件：</w:t>
      </w:r>
    </w:p>
    <w:p w14:paraId="0F0391F0">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60F51D2">
      <w:pPr>
        <w:pStyle w:val="20"/>
        <w:rPr>
          <w:b/>
        </w:rPr>
      </w:pPr>
      <w:bookmarkStart w:id="2204" w:name="_Toc108514124"/>
      <w:r>
        <w:rPr>
          <w:b/>
        </w:rPr>
        <w:t>9.4 现场工艺试验</w:t>
      </w:r>
      <w:bookmarkEnd w:id="2204"/>
      <w:r>
        <w:rPr>
          <w:rFonts w:hint="eastAsia"/>
          <w:b/>
        </w:rPr>
        <w:t xml:space="preserve"> </w:t>
      </w:r>
    </w:p>
    <w:p w14:paraId="2C811992">
      <w:pPr>
        <w:spacing w:line="400" w:lineRule="exact"/>
        <w:ind w:firstLine="420" w:firstLineChars="200"/>
        <w:rPr>
          <w:rFonts w:hint="eastAsia" w:ascii="宋体" w:hAnsi="宋体"/>
        </w:rPr>
      </w:pPr>
      <w:r>
        <w:rPr>
          <w:rFonts w:ascii="宋体" w:hAnsi="宋体"/>
        </w:rPr>
        <w:t>现场工艺试验的有关约定：</w:t>
      </w:r>
    </w:p>
    <w:p w14:paraId="27E19CA7">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196"/>
    <w:bookmarkEnd w:id="2197"/>
    <w:bookmarkEnd w:id="2198"/>
    <w:bookmarkEnd w:id="2199"/>
    <w:bookmarkEnd w:id="2200"/>
    <w:bookmarkEnd w:id="2201"/>
    <w:bookmarkEnd w:id="2202"/>
    <w:bookmarkEnd w:id="2203"/>
    <w:p w14:paraId="76639AE3">
      <w:pPr>
        <w:pStyle w:val="18"/>
        <w:rPr>
          <w:b/>
        </w:rPr>
      </w:pPr>
      <w:bookmarkStart w:id="2205" w:name="_Toc108514125"/>
      <w:bookmarkStart w:id="2206" w:name="_Toc351203642"/>
      <w:r>
        <w:rPr>
          <w:b/>
        </w:rPr>
        <w:t>1</w:t>
      </w:r>
      <w:bookmarkEnd w:id="2169"/>
      <w:bookmarkEnd w:id="2170"/>
      <w:bookmarkEnd w:id="2171"/>
      <w:bookmarkEnd w:id="2172"/>
      <w:bookmarkEnd w:id="2173"/>
      <w:bookmarkEnd w:id="2174"/>
      <w:bookmarkEnd w:id="2175"/>
      <w:bookmarkEnd w:id="2176"/>
      <w:bookmarkEnd w:id="2177"/>
      <w:bookmarkEnd w:id="2178"/>
      <w:bookmarkEnd w:id="2179"/>
      <w:bookmarkEnd w:id="2180"/>
      <w:bookmarkStart w:id="2207" w:name="_Toc297120493"/>
      <w:bookmarkStart w:id="2208" w:name="_Toc296891233"/>
      <w:bookmarkStart w:id="2209" w:name="_Toc296503193"/>
      <w:bookmarkStart w:id="2210" w:name="_Toc296944532"/>
      <w:bookmarkStart w:id="2211" w:name="_Toc292559398"/>
      <w:bookmarkStart w:id="2212" w:name="_Toc303539146"/>
      <w:bookmarkStart w:id="2213" w:name="_Toc296346694"/>
      <w:bookmarkStart w:id="2214" w:name="_Toc296347192"/>
      <w:bookmarkStart w:id="2215" w:name="_Toc296891021"/>
      <w:bookmarkStart w:id="2216" w:name="_Toc292559903"/>
      <w:bookmarkStart w:id="2217" w:name="_Toc297123540"/>
      <w:bookmarkStart w:id="2218" w:name="_Toc297216199"/>
      <w:bookmarkStart w:id="2219" w:name="_Toc304295566"/>
      <w:bookmarkStart w:id="2220" w:name="_Toc300934989"/>
      <w:bookmarkStart w:id="2221" w:name="_Toc297048379"/>
      <w:bookmarkStart w:id="2222" w:name="_Toc312678025"/>
      <w:bookmarkStart w:id="2223" w:name="_Toc312677499"/>
      <w:bookmarkStart w:id="2224" w:name="_Toc267251437"/>
      <w:bookmarkStart w:id="2225" w:name="_Toc267251441"/>
      <w:bookmarkStart w:id="2226" w:name="_Toc267251433"/>
      <w:bookmarkStart w:id="2227" w:name="_Toc267251440"/>
      <w:bookmarkStart w:id="2228" w:name="_Toc267251435"/>
      <w:bookmarkStart w:id="2229" w:name="_Toc267251439"/>
      <w:bookmarkStart w:id="2230" w:name="_Toc267251442"/>
      <w:r>
        <w:rPr>
          <w:b/>
        </w:rPr>
        <w:t>0. 变更</w:t>
      </w:r>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p>
    <w:bookmarkEnd w:id="2222"/>
    <w:bookmarkEnd w:id="2223"/>
    <w:p w14:paraId="44852685">
      <w:pPr>
        <w:pStyle w:val="20"/>
        <w:rPr>
          <w:b/>
        </w:rPr>
      </w:pPr>
      <w:bookmarkStart w:id="2231" w:name="_Toc108514126"/>
      <w:r>
        <w:rPr>
          <w:b/>
        </w:rPr>
        <w:t>1</w:t>
      </w:r>
      <w:bookmarkStart w:id="2232" w:name="_Toc297216200"/>
      <w:bookmarkStart w:id="2233" w:name="_Toc297120494"/>
      <w:bookmarkStart w:id="2234" w:name="_Toc296503194"/>
      <w:bookmarkStart w:id="2235" w:name="_Toc296891234"/>
      <w:bookmarkStart w:id="2236" w:name="_Toc296891022"/>
      <w:bookmarkStart w:id="2237" w:name="_Toc292559399"/>
      <w:bookmarkStart w:id="2238" w:name="_Toc312678026"/>
      <w:bookmarkStart w:id="2239" w:name="_Toc312677500"/>
      <w:bookmarkStart w:id="2240" w:name="_Toc297123541"/>
      <w:bookmarkStart w:id="2241" w:name="_Toc296944533"/>
      <w:bookmarkStart w:id="2242" w:name="_Toc300934990"/>
      <w:bookmarkStart w:id="2243" w:name="_Toc297048380"/>
      <w:bookmarkStart w:id="2244" w:name="_Toc303539147"/>
      <w:bookmarkStart w:id="2245" w:name="_Toc296347193"/>
      <w:bookmarkStart w:id="2246" w:name="_Toc304295567"/>
      <w:bookmarkStart w:id="2247" w:name="_Toc292559904"/>
      <w:bookmarkStart w:id="2248" w:name="_Toc296346695"/>
      <w:r>
        <w:rPr>
          <w:b/>
        </w:rPr>
        <w:t>0.1变更的范围</w:t>
      </w:r>
      <w:bookmarkEnd w:id="2231"/>
    </w:p>
    <w:p w14:paraId="5B1C2F60">
      <w:pPr>
        <w:spacing w:line="400" w:lineRule="exact"/>
        <w:ind w:firstLine="420" w:firstLineChars="200"/>
        <w:rPr>
          <w:rFonts w:hint="eastAsia" w:ascii="宋体" w:hAnsi="宋体"/>
        </w:rPr>
      </w:pPr>
      <w:r>
        <w:rPr>
          <w:rFonts w:ascii="宋体" w:hAnsi="宋体"/>
        </w:rPr>
        <w:t>关于变更的范围的约定：</w:t>
      </w:r>
    </w:p>
    <w:p w14:paraId="67C7D48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FC692E8">
      <w:pPr>
        <w:pStyle w:val="20"/>
        <w:rPr>
          <w:b/>
        </w:rPr>
      </w:pPr>
      <w:bookmarkStart w:id="2249" w:name="_Toc108514127"/>
      <w:r>
        <w:rPr>
          <w:b/>
        </w:rPr>
        <w:t>10.4 变更估价</w:t>
      </w:r>
      <w:bookmarkEnd w:id="2249"/>
    </w:p>
    <w:p w14:paraId="7A87DF24">
      <w:pPr>
        <w:spacing w:line="400" w:lineRule="exact"/>
        <w:ind w:firstLine="420" w:firstLineChars="200"/>
        <w:rPr>
          <w:rFonts w:hint="eastAsia" w:ascii="宋体" w:hAnsi="宋体"/>
        </w:rPr>
      </w:pPr>
      <w:r>
        <w:rPr>
          <w:rFonts w:hint="eastAsia" w:ascii="宋体" w:hAnsi="宋体"/>
        </w:rPr>
        <w:t>10.4.1 变更估价原则</w:t>
      </w:r>
    </w:p>
    <w:p w14:paraId="743F5CF9">
      <w:pPr>
        <w:spacing w:line="400" w:lineRule="exact"/>
        <w:ind w:firstLine="420" w:firstLineChars="200"/>
        <w:rPr>
          <w:rFonts w:hint="eastAsia" w:ascii="宋体" w:hAnsi="宋体"/>
        </w:rPr>
      </w:pPr>
      <w:r>
        <w:rPr>
          <w:rFonts w:ascii="宋体" w:hAnsi="宋体"/>
        </w:rPr>
        <w:t xml:space="preserve">关于变更估价的约定:  </w:t>
      </w:r>
    </w:p>
    <w:p w14:paraId="54B99A75">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E17DA46">
      <w:pPr>
        <w:pStyle w:val="20"/>
        <w:rPr>
          <w:b/>
        </w:rPr>
      </w:pPr>
      <w:bookmarkStart w:id="2250" w:name="_Toc108514128"/>
      <w:r>
        <w:rPr>
          <w:b/>
        </w:rPr>
        <w:t>1</w:t>
      </w:r>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Start w:id="2251" w:name="_Toc292559402"/>
      <w:bookmarkStart w:id="2252" w:name="_Toc296503197"/>
      <w:bookmarkStart w:id="2253" w:name="_Toc297120497"/>
      <w:bookmarkStart w:id="2254" w:name="_Toc296347196"/>
      <w:bookmarkStart w:id="2255" w:name="_Toc296891025"/>
      <w:bookmarkStart w:id="2256" w:name="_Toc297048383"/>
      <w:bookmarkStart w:id="2257" w:name="_Toc297123544"/>
      <w:bookmarkStart w:id="2258" w:name="_Toc296891237"/>
      <w:bookmarkStart w:id="2259" w:name="_Toc297216203"/>
      <w:bookmarkStart w:id="2260" w:name="_Toc292559907"/>
      <w:bookmarkStart w:id="2261" w:name="_Toc300934993"/>
      <w:bookmarkStart w:id="2262" w:name="_Toc296944536"/>
      <w:bookmarkStart w:id="2263" w:name="_Toc303539150"/>
      <w:bookmarkStart w:id="2264" w:name="_Toc296346698"/>
      <w:bookmarkStart w:id="2265" w:name="_Toc304295570"/>
      <w:bookmarkStart w:id="2266" w:name="_Toc312677503"/>
      <w:bookmarkStart w:id="2267" w:name="_Toc312678029"/>
      <w:r>
        <w:rPr>
          <w:b/>
        </w:rPr>
        <w:t>0.5承</w:t>
      </w:r>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Start w:id="2268" w:name="_Toc296891031"/>
      <w:bookmarkStart w:id="2269" w:name="_Toc297123545"/>
      <w:bookmarkStart w:id="2270" w:name="_Toc303539151"/>
      <w:bookmarkStart w:id="2271" w:name="_Toc297216204"/>
      <w:bookmarkStart w:id="2272" w:name="_Toc297048389"/>
      <w:bookmarkStart w:id="2273" w:name="_Toc296503203"/>
      <w:bookmarkStart w:id="2274" w:name="_Toc296347202"/>
      <w:bookmarkStart w:id="2275" w:name="_Toc296891243"/>
      <w:bookmarkStart w:id="2276" w:name="_Toc296944542"/>
      <w:bookmarkStart w:id="2277" w:name="_Toc296346704"/>
      <w:bookmarkStart w:id="2278" w:name="_Toc300934994"/>
      <w:bookmarkStart w:id="2279" w:name="_Toc297120503"/>
      <w:bookmarkStart w:id="2280" w:name="_Toc292559913"/>
      <w:bookmarkStart w:id="2281" w:name="_Toc292559408"/>
      <w:r>
        <w:rPr>
          <w:b/>
        </w:rPr>
        <w:t>包人的合理化建议</w:t>
      </w:r>
      <w:bookmarkEnd w:id="2250"/>
    </w:p>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p w14:paraId="3970F8D0">
      <w:pPr>
        <w:spacing w:line="400" w:lineRule="exact"/>
        <w:ind w:firstLine="420" w:firstLineChars="200"/>
        <w:rPr>
          <w:rFonts w:ascii="宋体" w:hAnsi="宋体"/>
        </w:rPr>
      </w:pPr>
      <w:r>
        <w:rPr>
          <w:rFonts w:ascii="宋体" w:hAnsi="宋体"/>
        </w:rPr>
        <w:t>监理人审查承包人合理化建议的期限：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C8B7919">
      <w:pPr>
        <w:spacing w:line="400" w:lineRule="exact"/>
        <w:ind w:firstLine="420" w:firstLineChars="200"/>
        <w:rPr>
          <w:rFonts w:ascii="宋体" w:hAnsi="宋体"/>
        </w:rPr>
      </w:pPr>
      <w:r>
        <w:rPr>
          <w:rFonts w:ascii="宋体" w:hAnsi="宋体"/>
        </w:rPr>
        <w:t>发包人审批承包人合理化建议的期限：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67E36F5">
      <w:pPr>
        <w:spacing w:line="400" w:lineRule="exact"/>
        <w:ind w:firstLine="420" w:firstLineChars="200"/>
        <w:rPr>
          <w:rFonts w:hint="eastAsia" w:ascii="宋体" w:hAnsi="宋体"/>
        </w:rPr>
      </w:pPr>
      <w:r>
        <w:rPr>
          <w:rFonts w:ascii="宋体" w:hAnsi="宋体"/>
        </w:rPr>
        <w:t>承</w:t>
      </w:r>
      <w:bookmarkStart w:id="2282" w:name="_Toc296503204"/>
      <w:bookmarkStart w:id="2283" w:name="_Toc297048390"/>
      <w:bookmarkStart w:id="2284" w:name="_Toc297216205"/>
      <w:bookmarkStart w:id="2285" w:name="_Toc304295571"/>
      <w:bookmarkStart w:id="2286" w:name="_Toc318581175"/>
      <w:bookmarkStart w:id="2287" w:name="_Toc300934995"/>
      <w:bookmarkStart w:id="2288" w:name="_Toc303539152"/>
      <w:bookmarkStart w:id="2289" w:name="_Toc296944543"/>
      <w:bookmarkStart w:id="2290" w:name="_Toc292559409"/>
      <w:bookmarkStart w:id="2291" w:name="_Toc296347203"/>
      <w:bookmarkStart w:id="2292" w:name="_Toc297123546"/>
      <w:bookmarkStart w:id="2293" w:name="_Toc312678030"/>
      <w:bookmarkStart w:id="2294" w:name="_Toc296346705"/>
      <w:bookmarkStart w:id="2295" w:name="_Toc312677504"/>
      <w:bookmarkStart w:id="2296" w:name="_Toc296891244"/>
      <w:bookmarkStart w:id="2297" w:name="_Toc297120504"/>
      <w:bookmarkStart w:id="2298" w:name="_Toc292559914"/>
      <w:bookmarkStart w:id="2299" w:name="_Toc296891032"/>
      <w:r>
        <w:rPr>
          <w:rFonts w:ascii="宋体" w:hAnsi="宋体"/>
        </w:rPr>
        <w:t>包人提出的合理化建议降低了合同价格或者提高了工程经济效益的奖励的方法和金额为：</w:t>
      </w:r>
    </w:p>
    <w:p w14:paraId="6B114C4D">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p w14:paraId="7ADE7392">
      <w:pPr>
        <w:pStyle w:val="20"/>
        <w:rPr>
          <w:b/>
        </w:rPr>
      </w:pPr>
      <w:bookmarkStart w:id="2300" w:name="_Toc108514129"/>
      <w:r>
        <w:rPr>
          <w:b/>
        </w:rPr>
        <w:t>1</w:t>
      </w:r>
      <w:bookmarkStart w:id="2301" w:name="_Toc292559909"/>
      <w:bookmarkStart w:id="2302" w:name="_Toc304295574"/>
      <w:bookmarkStart w:id="2303" w:name="_Toc296891027"/>
      <w:bookmarkStart w:id="2304" w:name="_Toc297123548"/>
      <w:bookmarkStart w:id="2305" w:name="_Toc297120499"/>
      <w:bookmarkStart w:id="2306" w:name="_Toc296347198"/>
      <w:bookmarkStart w:id="2307" w:name="_Toc296944538"/>
      <w:bookmarkStart w:id="2308" w:name="_Toc297048385"/>
      <w:bookmarkStart w:id="2309" w:name="_Toc296503199"/>
      <w:bookmarkStart w:id="2310" w:name="_Toc292559404"/>
      <w:bookmarkStart w:id="2311" w:name="_Toc303539154"/>
      <w:bookmarkStart w:id="2312" w:name="_Toc297216207"/>
      <w:bookmarkStart w:id="2313" w:name="_Toc312678033"/>
      <w:bookmarkStart w:id="2314" w:name="_Toc296891239"/>
      <w:bookmarkStart w:id="2315" w:name="_Toc296346700"/>
      <w:bookmarkStart w:id="2316" w:name="_Toc312677507"/>
      <w:bookmarkStart w:id="2317" w:name="_Toc300934997"/>
      <w:r>
        <w:rPr>
          <w:b/>
        </w:rPr>
        <w:t>0.7 暂估价</w:t>
      </w:r>
      <w:bookmarkEnd w:id="2300"/>
    </w:p>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p w14:paraId="141F903E">
      <w:pPr>
        <w:spacing w:line="400" w:lineRule="exact"/>
        <w:ind w:firstLine="420" w:firstLineChars="200"/>
        <w:rPr>
          <w:rFonts w:ascii="宋体" w:hAnsi="宋体"/>
        </w:rPr>
      </w:pPr>
      <w:r>
        <w:rPr>
          <w:rFonts w:ascii="宋体" w:hAnsi="宋体"/>
        </w:rPr>
        <w:t>暂</w:t>
      </w:r>
      <w:bookmarkStart w:id="2318" w:name="_Toc312678034"/>
      <w:bookmarkStart w:id="2319" w:name="_Toc312677508"/>
      <w:bookmarkStart w:id="2320" w:name="_Toc318581176"/>
      <w:r>
        <w:rPr>
          <w:rFonts w:ascii="宋体" w:hAnsi="宋体"/>
        </w:rPr>
        <w:t>估价材料和工程设备的明细详见附件</w:t>
      </w:r>
      <w:r>
        <w:rPr>
          <w:rFonts w:hint="eastAsia" w:ascii="宋体" w:hAnsi="宋体"/>
        </w:rPr>
        <w:t>11：《</w:t>
      </w:r>
      <w:r>
        <w:rPr>
          <w:rFonts w:ascii="宋体" w:hAnsi="宋体"/>
        </w:rPr>
        <w:t>暂估价一览表</w:t>
      </w:r>
      <w:r>
        <w:rPr>
          <w:rFonts w:hint="eastAsia" w:ascii="宋体" w:hAnsi="宋体"/>
        </w:rPr>
        <w:t>》。</w:t>
      </w:r>
    </w:p>
    <w:bookmarkEnd w:id="2318"/>
    <w:bookmarkEnd w:id="2319"/>
    <w:bookmarkEnd w:id="2320"/>
    <w:p w14:paraId="315FBE13">
      <w:pPr>
        <w:spacing w:line="400" w:lineRule="exact"/>
        <w:ind w:firstLine="420" w:firstLineChars="200"/>
        <w:rPr>
          <w:rFonts w:ascii="宋体" w:hAnsi="宋体"/>
        </w:rPr>
      </w:pPr>
      <w:r>
        <w:rPr>
          <w:rFonts w:ascii="宋体" w:hAnsi="宋体"/>
        </w:rPr>
        <w:t>1</w:t>
      </w:r>
      <w:bookmarkStart w:id="2321" w:name="_Toc312677509"/>
      <w:bookmarkStart w:id="2322" w:name="_Toc318581177"/>
      <w:bookmarkStart w:id="2323" w:name="_Toc312678035"/>
      <w:r>
        <w:rPr>
          <w:rFonts w:ascii="宋体" w:hAnsi="宋体"/>
        </w:rPr>
        <w:t>0.7.1 依法必须招标的暂估价项目</w:t>
      </w:r>
    </w:p>
    <w:bookmarkEnd w:id="2321"/>
    <w:bookmarkEnd w:id="2322"/>
    <w:bookmarkEnd w:id="2323"/>
    <w:p w14:paraId="66049DD4">
      <w:pPr>
        <w:spacing w:line="400" w:lineRule="exact"/>
        <w:ind w:firstLine="420" w:firstLineChars="200"/>
        <w:rPr>
          <w:rFonts w:ascii="宋体" w:hAnsi="宋体"/>
        </w:rPr>
      </w:pPr>
      <w:r>
        <w:rPr>
          <w:rFonts w:ascii="宋体" w:hAnsi="宋体"/>
        </w:rPr>
        <w:t>对于依法必须招标的暂估价项目的确认和批准采取第</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种方式确定。</w:t>
      </w:r>
    </w:p>
    <w:p w14:paraId="1084667F">
      <w:pPr>
        <w:spacing w:line="400" w:lineRule="exact"/>
        <w:ind w:firstLine="420" w:firstLineChars="200"/>
        <w:rPr>
          <w:rFonts w:ascii="宋体" w:hAnsi="宋体"/>
        </w:rPr>
      </w:pPr>
      <w:r>
        <w:rPr>
          <w:rFonts w:ascii="宋体" w:hAnsi="宋体"/>
        </w:rPr>
        <w:t>10.7.2 不属于依法必须招标的暂估价项目</w:t>
      </w:r>
    </w:p>
    <w:p w14:paraId="4990E2CD">
      <w:pPr>
        <w:spacing w:line="400" w:lineRule="exact"/>
        <w:ind w:firstLine="420" w:firstLineChars="200"/>
        <w:rPr>
          <w:rFonts w:hint="eastAsia" w:ascii="宋体" w:hAnsi="宋体"/>
        </w:rPr>
      </w:pPr>
      <w:r>
        <w:rPr>
          <w:rFonts w:ascii="宋体" w:hAnsi="宋体"/>
        </w:rPr>
        <w:t>对于不属于依法必须招标的暂估价项目的确认和批准采取第</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种方式确定。</w:t>
      </w:r>
    </w:p>
    <w:p w14:paraId="05D8C646">
      <w:pPr>
        <w:spacing w:line="400" w:lineRule="exact"/>
        <w:ind w:firstLine="420" w:firstLineChars="200"/>
        <w:rPr>
          <w:rFonts w:ascii="宋体" w:hAnsi="宋体"/>
        </w:rPr>
      </w:pPr>
      <w:r>
        <w:rPr>
          <w:rFonts w:ascii="宋体" w:hAnsi="宋体"/>
        </w:rPr>
        <w:t>第3种方式：承包人直接实施的暂估价项目</w:t>
      </w:r>
    </w:p>
    <w:p w14:paraId="305C0CAC">
      <w:pPr>
        <w:spacing w:line="400" w:lineRule="exact"/>
        <w:ind w:firstLine="420" w:firstLineChars="200"/>
        <w:rPr>
          <w:rFonts w:hint="eastAsia" w:ascii="宋体" w:hAnsi="宋体"/>
        </w:rPr>
      </w:pPr>
      <w:r>
        <w:rPr>
          <w:rFonts w:ascii="宋体" w:hAnsi="宋体"/>
        </w:rPr>
        <w:t>承包人直接实施的暂估价项目的约定：</w:t>
      </w:r>
    </w:p>
    <w:p w14:paraId="08746788">
      <w:pPr>
        <w:spacing w:line="400" w:lineRule="exact"/>
        <w:ind w:firstLine="420" w:firstLineChars="200"/>
        <w:rPr>
          <w:rFonts w:hint="eastAsia"/>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C02129C">
      <w:pPr>
        <w:pStyle w:val="20"/>
        <w:rPr>
          <w:b/>
        </w:rPr>
      </w:pPr>
      <w:bookmarkStart w:id="2324" w:name="_Toc108514130"/>
      <w:r>
        <w:rPr>
          <w:b/>
        </w:rPr>
        <w:t>10.8 暂列金额</w:t>
      </w:r>
      <w:bookmarkEnd w:id="2324"/>
    </w:p>
    <w:p w14:paraId="551AD563">
      <w:pPr>
        <w:spacing w:line="400" w:lineRule="exact"/>
        <w:ind w:firstLine="420" w:firstLineChars="200"/>
        <w:rPr>
          <w:rFonts w:hint="eastAsia" w:ascii="宋体" w:hAnsi="宋体"/>
        </w:rPr>
      </w:pPr>
      <w:r>
        <w:rPr>
          <w:rFonts w:hint="eastAsia" w:ascii="宋体" w:hAnsi="宋体"/>
        </w:rPr>
        <w:t>合同当事人关于暂列金额使用的约定：</w:t>
      </w:r>
    </w:p>
    <w:p w14:paraId="5800AC47">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35FC355">
      <w:pPr>
        <w:pStyle w:val="18"/>
        <w:rPr>
          <w:b/>
        </w:rPr>
      </w:pPr>
      <w:bookmarkStart w:id="2325" w:name="_Toc108514131"/>
      <w:bookmarkStart w:id="2326" w:name="_Toc351203643"/>
      <w:r>
        <w:rPr>
          <w:b/>
        </w:rPr>
        <w:t>11. 价格调整</w:t>
      </w:r>
      <w:bookmarkEnd w:id="2325"/>
      <w:bookmarkEnd w:id="2326"/>
    </w:p>
    <w:p w14:paraId="5DF9FE0A">
      <w:pPr>
        <w:pStyle w:val="20"/>
        <w:rPr>
          <w:b/>
        </w:rPr>
      </w:pPr>
      <w:bookmarkStart w:id="2327" w:name="_Toc108514132"/>
      <w:bookmarkStart w:id="2328" w:name="_Toc297120501"/>
      <w:bookmarkStart w:id="2329" w:name="_Toc297216209"/>
      <w:bookmarkStart w:id="2330" w:name="_Toc300935000"/>
      <w:bookmarkStart w:id="2331" w:name="_Toc296347200"/>
      <w:bookmarkStart w:id="2332" w:name="_Toc292559911"/>
      <w:bookmarkStart w:id="2333" w:name="_Toc292559406"/>
      <w:bookmarkStart w:id="2334" w:name="_Toc312678039"/>
      <w:bookmarkStart w:id="2335" w:name="_Toc296891241"/>
      <w:bookmarkStart w:id="2336" w:name="_Toc303539157"/>
      <w:bookmarkStart w:id="2337" w:name="_Toc296346702"/>
      <w:bookmarkStart w:id="2338" w:name="_Toc296944540"/>
      <w:bookmarkStart w:id="2339" w:name="_Toc296891029"/>
      <w:bookmarkStart w:id="2340" w:name="_Toc297123550"/>
      <w:bookmarkStart w:id="2341" w:name="_Toc304295577"/>
      <w:bookmarkStart w:id="2342" w:name="_Toc296503201"/>
      <w:bookmarkStart w:id="2343" w:name="_Toc297048387"/>
      <w:r>
        <w:rPr>
          <w:b/>
        </w:rPr>
        <w:t>11.1 市场价格波动引起的调整</w:t>
      </w:r>
      <w:bookmarkEnd w:id="2327"/>
    </w:p>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p w14:paraId="2B55D681">
      <w:pPr>
        <w:spacing w:line="400" w:lineRule="exact"/>
        <w:ind w:firstLine="420" w:firstLineChars="200"/>
        <w:rPr>
          <w:rFonts w:hint="eastAsia" w:ascii="宋体" w:hAnsi="宋体"/>
        </w:rPr>
      </w:pPr>
      <w:r>
        <w:rPr>
          <w:rFonts w:ascii="宋体" w:hAnsi="宋体"/>
        </w:rPr>
        <w:t>市场价格波动是否调整合同价格的约定：</w:t>
      </w:r>
    </w:p>
    <w:p w14:paraId="09AF0347">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DD170EE">
      <w:pPr>
        <w:spacing w:line="400" w:lineRule="exact"/>
        <w:ind w:firstLine="420" w:firstLineChars="200"/>
        <w:rPr>
          <w:rFonts w:ascii="宋体" w:hAnsi="宋体"/>
        </w:rPr>
      </w:pPr>
      <w:r>
        <w:rPr>
          <w:rFonts w:ascii="宋体" w:hAnsi="宋体"/>
        </w:rPr>
        <w:t>因市场价格波动调整合同价格，采用以下第</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种方式对合同价格进行调整：</w:t>
      </w:r>
    </w:p>
    <w:p w14:paraId="3C580B45">
      <w:pPr>
        <w:spacing w:line="400" w:lineRule="exact"/>
        <w:ind w:firstLine="420" w:firstLineChars="200"/>
        <w:rPr>
          <w:rFonts w:ascii="宋体" w:hAnsi="宋体"/>
        </w:rPr>
      </w:pPr>
      <w:r>
        <w:rPr>
          <w:rFonts w:ascii="宋体" w:hAnsi="宋体"/>
        </w:rPr>
        <w:t>第1种方式：采用价格指数</w:t>
      </w:r>
      <w:r>
        <w:rPr>
          <w:rFonts w:hint="eastAsia" w:ascii="宋体" w:hAnsi="宋体"/>
        </w:rPr>
        <w:t>进行价格</w:t>
      </w:r>
      <w:r>
        <w:rPr>
          <w:rFonts w:ascii="宋体" w:hAnsi="宋体"/>
        </w:rPr>
        <w:t>调整。</w:t>
      </w:r>
    </w:p>
    <w:p w14:paraId="41311159">
      <w:pPr>
        <w:spacing w:line="400" w:lineRule="exact"/>
        <w:ind w:firstLine="420" w:firstLineChars="200"/>
        <w:rPr>
          <w:rFonts w:hint="eastAsia" w:ascii="宋体" w:hAnsi="宋体"/>
        </w:rPr>
      </w:pPr>
      <w:r>
        <w:rPr>
          <w:rFonts w:ascii="宋体" w:hAnsi="宋体"/>
        </w:rPr>
        <w:t>关于各可调因子、定值和变值权重，以及基本价格指数及其来源的约定：</w:t>
      </w:r>
    </w:p>
    <w:p w14:paraId="2194E357">
      <w:pPr>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123F69C8">
      <w:pPr>
        <w:spacing w:line="400" w:lineRule="exact"/>
        <w:ind w:firstLine="420" w:firstLineChars="200"/>
        <w:rPr>
          <w:rFonts w:ascii="宋体" w:hAnsi="宋体"/>
        </w:rPr>
      </w:pPr>
      <w:r>
        <w:rPr>
          <w:rFonts w:ascii="宋体" w:hAnsi="宋体"/>
        </w:rPr>
        <w:t>第2种方式：采用造价信息</w:t>
      </w:r>
      <w:r>
        <w:rPr>
          <w:rFonts w:hint="eastAsia" w:ascii="宋体" w:hAnsi="宋体"/>
        </w:rPr>
        <w:t>进行价格</w:t>
      </w:r>
      <w:r>
        <w:rPr>
          <w:rFonts w:ascii="宋体" w:hAnsi="宋体"/>
        </w:rPr>
        <w:t>调整。</w:t>
      </w:r>
    </w:p>
    <w:p w14:paraId="7ECBEA63">
      <w:pPr>
        <w:spacing w:line="400" w:lineRule="exact"/>
        <w:ind w:firstLine="420" w:firstLineChars="200"/>
        <w:rPr>
          <w:rFonts w:ascii="宋体" w:hAnsi="宋体"/>
        </w:rPr>
      </w:pPr>
      <w:r>
        <w:rPr>
          <w:rFonts w:ascii="宋体" w:hAnsi="宋体"/>
        </w:rPr>
        <w:t>（2）关于基准价格的约定：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48A5CC8B">
      <w:pPr>
        <w:spacing w:line="400" w:lineRule="exact"/>
        <w:ind w:firstLine="420" w:firstLineChars="200"/>
        <w:rPr>
          <w:rFonts w:ascii="宋体" w:hAnsi="宋体"/>
        </w:rPr>
      </w:pPr>
      <w:r>
        <w:rPr>
          <w:rFonts w:ascii="宋体" w:hAnsi="宋体"/>
        </w:rPr>
        <w:t>专用合同条款</w:t>
      </w:r>
      <w:r>
        <w:rPr>
          <w:rFonts w:hint="eastAsia" w:ascii="宋体" w:hAnsi="宋体"/>
        </w:rPr>
        <w:t>①</w:t>
      </w:r>
      <w:r>
        <w:rPr>
          <w:rFonts w:ascii="宋体" w:hAnsi="宋体"/>
        </w:rPr>
        <w:t>承包人在已标价工程量清单或预算书中载明的材料单价低于基准价格的：专用合同条款合同履行期间材料单价涨幅以基准价格为基础超过</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%时，或材料单价跌幅以已标价工程量清单或预算书中载明材料单价为基础超过</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%时，其超过部分据实调整。</w:t>
      </w:r>
    </w:p>
    <w:p w14:paraId="77AA0939">
      <w:pPr>
        <w:spacing w:line="400" w:lineRule="exact"/>
        <w:ind w:firstLine="420" w:firstLineChars="200"/>
        <w:rPr>
          <w:rFonts w:ascii="宋体" w:hAnsi="宋体"/>
        </w:rPr>
      </w:pPr>
      <w:r>
        <w:rPr>
          <w:rFonts w:hint="eastAsia" w:ascii="宋体" w:hAnsi="宋体"/>
        </w:rPr>
        <w:t>②</w:t>
      </w:r>
      <w:r>
        <w:rPr>
          <w:rFonts w:ascii="宋体" w:hAnsi="宋体"/>
        </w:rPr>
        <w:t>承包人在已标价工程量清单或预算书中载明的材料单价高于基准价格的：专用合同条款合同履行期间材料单价跌幅以基准价格为基础超过</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%时，材料单价涨幅以已标价工程量清单或预算书中载明材料单价为基础超过</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%时，其超过部分据实调整。</w:t>
      </w:r>
    </w:p>
    <w:p w14:paraId="02F6D70F">
      <w:pPr>
        <w:spacing w:line="400" w:lineRule="exact"/>
        <w:ind w:firstLine="420" w:firstLineChars="200"/>
        <w:rPr>
          <w:rFonts w:ascii="宋体" w:hAnsi="宋体"/>
        </w:rPr>
      </w:pPr>
      <w:r>
        <w:rPr>
          <w:rFonts w:hint="eastAsia" w:ascii="宋体" w:hAnsi="宋体"/>
        </w:rPr>
        <w:t>③</w:t>
      </w:r>
      <w:r>
        <w:rPr>
          <w:rFonts w:ascii="宋体" w:hAnsi="宋体"/>
        </w:rPr>
        <w:t>承包人在已标价工程量清单或预算书中载明的材料单价等于基准单价的：专用合同条款合同履行期间材料单价涨跌幅以基准单价为基础超过±</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%时，其超过部分据实调整。</w:t>
      </w:r>
    </w:p>
    <w:p w14:paraId="6C97BA87">
      <w:pPr>
        <w:spacing w:line="400" w:lineRule="exact"/>
        <w:ind w:firstLine="420" w:firstLineChars="200"/>
        <w:rPr>
          <w:rFonts w:hint="eastAsia" w:ascii="宋体" w:hAnsi="宋体"/>
        </w:rPr>
      </w:pPr>
      <w:r>
        <w:rPr>
          <w:rFonts w:ascii="宋体" w:hAnsi="宋体"/>
        </w:rPr>
        <w:t>第3种方式：其他价格调整方式：</w:t>
      </w:r>
    </w:p>
    <w:p w14:paraId="5EB72B03">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224"/>
    <w:bookmarkEnd w:id="2225"/>
    <w:bookmarkEnd w:id="2226"/>
    <w:bookmarkEnd w:id="2227"/>
    <w:bookmarkEnd w:id="2228"/>
    <w:bookmarkEnd w:id="2229"/>
    <w:p w14:paraId="11DED903">
      <w:pPr>
        <w:pStyle w:val="18"/>
        <w:rPr>
          <w:b/>
        </w:rPr>
      </w:pPr>
      <w:bookmarkStart w:id="2344" w:name="_Toc296347204"/>
      <w:bookmarkStart w:id="2345" w:name="_Toc297048391"/>
      <w:bookmarkStart w:id="2346" w:name="_Toc292559410"/>
      <w:bookmarkStart w:id="2347" w:name="_Toc296891245"/>
      <w:bookmarkStart w:id="2348" w:name="_Toc296346706"/>
      <w:bookmarkStart w:id="2349" w:name="_Toc296944544"/>
      <w:bookmarkStart w:id="2350" w:name="_Toc297120505"/>
      <w:bookmarkStart w:id="2351" w:name="_Toc296891033"/>
      <w:bookmarkStart w:id="2352" w:name="_Toc292559915"/>
      <w:bookmarkStart w:id="2353" w:name="_Toc296503205"/>
      <w:bookmarkStart w:id="2354" w:name="_Toc351203644"/>
      <w:bookmarkStart w:id="2355" w:name="_Toc108514133"/>
      <w:bookmarkStart w:id="2356" w:name="_Toc297216211"/>
      <w:bookmarkStart w:id="2357" w:name="_Toc303539159"/>
      <w:bookmarkStart w:id="2358" w:name="_Toc300935002"/>
      <w:bookmarkStart w:id="2359" w:name="_Toc304295579"/>
      <w:bookmarkStart w:id="2360" w:name="_Toc312678040"/>
      <w:bookmarkStart w:id="2361" w:name="_Toc297123552"/>
      <w:r>
        <w:rPr>
          <w:b/>
        </w:rPr>
        <w:t xml:space="preserve">12. </w:t>
      </w:r>
      <w:bookmarkEnd w:id="2344"/>
      <w:bookmarkEnd w:id="2345"/>
      <w:bookmarkEnd w:id="2346"/>
      <w:bookmarkEnd w:id="2347"/>
      <w:bookmarkEnd w:id="2348"/>
      <w:bookmarkEnd w:id="2349"/>
      <w:bookmarkEnd w:id="2350"/>
      <w:bookmarkEnd w:id="2351"/>
      <w:bookmarkEnd w:id="2352"/>
      <w:bookmarkEnd w:id="2353"/>
      <w:r>
        <w:rPr>
          <w:b/>
        </w:rPr>
        <w:t>合同价格、计量与支付</w:t>
      </w:r>
      <w:bookmarkEnd w:id="2354"/>
      <w:bookmarkEnd w:id="2355"/>
    </w:p>
    <w:bookmarkEnd w:id="2356"/>
    <w:bookmarkEnd w:id="2357"/>
    <w:bookmarkEnd w:id="2358"/>
    <w:bookmarkEnd w:id="2359"/>
    <w:bookmarkEnd w:id="2360"/>
    <w:bookmarkEnd w:id="2361"/>
    <w:p w14:paraId="4ADC15F3">
      <w:pPr>
        <w:pStyle w:val="20"/>
        <w:rPr>
          <w:b/>
        </w:rPr>
      </w:pPr>
      <w:bookmarkStart w:id="2362" w:name="_Toc292559411"/>
      <w:bookmarkStart w:id="2363" w:name="_Toc267251461"/>
      <w:bookmarkStart w:id="2364" w:name="_Toc292559916"/>
      <w:bookmarkStart w:id="2365" w:name="_Toc296503206"/>
      <w:bookmarkStart w:id="2366" w:name="_Toc297048392"/>
      <w:bookmarkStart w:id="2367" w:name="_Toc296346707"/>
      <w:bookmarkStart w:id="2368" w:name="_Toc296347205"/>
      <w:bookmarkStart w:id="2369" w:name="_Toc296891246"/>
      <w:bookmarkStart w:id="2370" w:name="_Toc296944545"/>
      <w:bookmarkStart w:id="2371" w:name="_Toc296891034"/>
      <w:bookmarkStart w:id="2372" w:name="_Toc297120506"/>
      <w:bookmarkStart w:id="2373" w:name="_Toc108514134"/>
      <w:bookmarkStart w:id="2374" w:name="_Toc304295580"/>
      <w:bookmarkStart w:id="2375" w:name="_Toc300935003"/>
      <w:bookmarkStart w:id="2376" w:name="_Toc312678041"/>
      <w:bookmarkStart w:id="2377" w:name="_Toc297216212"/>
      <w:bookmarkStart w:id="2378" w:name="_Toc303539160"/>
      <w:bookmarkStart w:id="2379" w:name="_Toc297123553"/>
      <w:r>
        <w:rPr>
          <w:b/>
        </w:rPr>
        <w:t>12.1 合</w:t>
      </w:r>
      <w:bookmarkEnd w:id="2362"/>
      <w:bookmarkEnd w:id="2363"/>
      <w:bookmarkEnd w:id="2364"/>
      <w:r>
        <w:rPr>
          <w:b/>
        </w:rPr>
        <w:t>同价</w:t>
      </w:r>
      <w:bookmarkEnd w:id="2365"/>
      <w:bookmarkEnd w:id="2366"/>
      <w:bookmarkEnd w:id="2367"/>
      <w:bookmarkEnd w:id="2368"/>
      <w:bookmarkEnd w:id="2369"/>
      <w:bookmarkEnd w:id="2370"/>
      <w:bookmarkEnd w:id="2371"/>
      <w:bookmarkEnd w:id="2372"/>
      <w:r>
        <w:rPr>
          <w:b/>
        </w:rPr>
        <w:t>格形式</w:t>
      </w:r>
      <w:bookmarkEnd w:id="2373"/>
    </w:p>
    <w:bookmarkEnd w:id="2374"/>
    <w:bookmarkEnd w:id="2375"/>
    <w:bookmarkEnd w:id="2376"/>
    <w:bookmarkEnd w:id="2377"/>
    <w:bookmarkEnd w:id="2378"/>
    <w:bookmarkEnd w:id="2379"/>
    <w:p w14:paraId="3F2CF0D4">
      <w:pPr>
        <w:spacing w:line="400" w:lineRule="exact"/>
        <w:ind w:firstLine="420" w:firstLineChars="200"/>
        <w:rPr>
          <w:rFonts w:ascii="宋体" w:hAnsi="宋体"/>
        </w:rPr>
      </w:pPr>
      <w:r>
        <w:rPr>
          <w:rFonts w:ascii="宋体" w:hAnsi="宋体"/>
        </w:rPr>
        <w:t>1、单价合同。</w:t>
      </w:r>
    </w:p>
    <w:p w14:paraId="1E2D80AB">
      <w:pPr>
        <w:spacing w:line="400" w:lineRule="exact"/>
        <w:ind w:firstLine="420" w:firstLineChars="200"/>
        <w:rPr>
          <w:rFonts w:hint="eastAsia" w:ascii="宋体" w:hAnsi="宋体"/>
        </w:rPr>
      </w:pPr>
      <w:r>
        <w:rPr>
          <w:rFonts w:ascii="宋体" w:hAnsi="宋体"/>
        </w:rPr>
        <w:t>综合单价包含的风险范围：</w:t>
      </w:r>
    </w:p>
    <w:p w14:paraId="796FDC0C">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A4FA98A">
      <w:pPr>
        <w:spacing w:line="400" w:lineRule="exact"/>
        <w:ind w:firstLine="420" w:firstLineChars="200"/>
        <w:rPr>
          <w:rFonts w:hint="eastAsia" w:ascii="宋体" w:hAnsi="宋体"/>
        </w:rPr>
      </w:pPr>
      <w:r>
        <w:rPr>
          <w:rFonts w:ascii="宋体" w:hAnsi="宋体"/>
        </w:rPr>
        <w:t>风险费用的计算方法：</w:t>
      </w:r>
    </w:p>
    <w:p w14:paraId="6884143C">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A8D852D">
      <w:pPr>
        <w:spacing w:line="400" w:lineRule="exact"/>
        <w:ind w:firstLine="420" w:firstLineChars="200"/>
        <w:rPr>
          <w:rFonts w:hint="eastAsia" w:ascii="宋体" w:hAnsi="宋体"/>
        </w:rPr>
      </w:pPr>
      <w:r>
        <w:rPr>
          <w:rFonts w:ascii="宋体" w:hAnsi="宋体"/>
        </w:rPr>
        <w:t>风险范围以外合同价格的调整方法：</w:t>
      </w:r>
    </w:p>
    <w:p w14:paraId="73F3D469">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17BC9C5">
      <w:pPr>
        <w:spacing w:line="400" w:lineRule="exact"/>
        <w:ind w:firstLine="420" w:firstLineChars="200"/>
        <w:rPr>
          <w:rFonts w:ascii="宋体" w:hAnsi="宋体"/>
        </w:rPr>
      </w:pPr>
      <w:r>
        <w:rPr>
          <w:rFonts w:ascii="宋体" w:hAnsi="宋体"/>
        </w:rPr>
        <w:t>2、总价合同。</w:t>
      </w:r>
    </w:p>
    <w:p w14:paraId="1EFAA0CE">
      <w:pPr>
        <w:spacing w:line="400" w:lineRule="exact"/>
        <w:ind w:firstLine="420" w:firstLineChars="200"/>
        <w:rPr>
          <w:rFonts w:hint="eastAsia" w:ascii="宋体" w:hAnsi="宋体"/>
        </w:rPr>
      </w:pPr>
      <w:r>
        <w:rPr>
          <w:rFonts w:ascii="宋体" w:hAnsi="宋体"/>
        </w:rPr>
        <w:t>总价包含的风险范围：</w:t>
      </w:r>
    </w:p>
    <w:p w14:paraId="0EE5D091">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C7CD700">
      <w:pPr>
        <w:spacing w:line="400" w:lineRule="exact"/>
        <w:ind w:firstLine="420" w:firstLineChars="200"/>
        <w:rPr>
          <w:rFonts w:hint="eastAsia" w:ascii="宋体" w:hAnsi="宋体"/>
        </w:rPr>
      </w:pPr>
      <w:r>
        <w:rPr>
          <w:rFonts w:ascii="宋体" w:hAnsi="宋体"/>
        </w:rPr>
        <w:t>风险费用的计算方法：</w:t>
      </w:r>
    </w:p>
    <w:p w14:paraId="5009D79E">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489B381">
      <w:pPr>
        <w:spacing w:line="400" w:lineRule="exact"/>
        <w:ind w:firstLine="420" w:firstLineChars="200"/>
        <w:rPr>
          <w:rFonts w:hint="eastAsia" w:ascii="宋体" w:hAnsi="宋体"/>
        </w:rPr>
      </w:pPr>
      <w:r>
        <w:rPr>
          <w:rFonts w:ascii="宋体" w:hAnsi="宋体"/>
        </w:rPr>
        <w:t>风险范围以外合同价格的调整方法：</w:t>
      </w:r>
    </w:p>
    <w:p w14:paraId="5BF5CB2F">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9EAC528">
      <w:pPr>
        <w:spacing w:line="400" w:lineRule="exact"/>
        <w:ind w:firstLine="420" w:firstLineChars="200"/>
        <w:rPr>
          <w:rFonts w:hint="eastAsia" w:ascii="宋体" w:hAnsi="宋体"/>
        </w:rPr>
      </w:pPr>
      <w:r>
        <w:rPr>
          <w:rFonts w:ascii="宋体" w:hAnsi="宋体"/>
        </w:rPr>
        <w:t>3、其他价格方式：</w:t>
      </w:r>
    </w:p>
    <w:p w14:paraId="0A37485B">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C87C706">
      <w:pPr>
        <w:pStyle w:val="20"/>
        <w:rPr>
          <w:b/>
        </w:rPr>
      </w:pPr>
      <w:bookmarkStart w:id="2380" w:name="_Toc108514135"/>
      <w:bookmarkStart w:id="2381" w:name="_Toc303539161"/>
      <w:bookmarkStart w:id="2382" w:name="_Toc304295581"/>
      <w:bookmarkStart w:id="2383" w:name="_Toc297123554"/>
      <w:bookmarkStart w:id="2384" w:name="_Toc312678042"/>
      <w:bookmarkStart w:id="2385" w:name="_Toc300935004"/>
      <w:bookmarkStart w:id="2386" w:name="_Toc297216213"/>
      <w:bookmarkStart w:id="2387" w:name="_Toc296891247"/>
      <w:bookmarkStart w:id="2388" w:name="_Toc297120507"/>
      <w:bookmarkStart w:id="2389" w:name="_Toc296503207"/>
      <w:bookmarkStart w:id="2390" w:name="_Toc297048393"/>
      <w:bookmarkStart w:id="2391" w:name="_Toc292559412"/>
      <w:bookmarkStart w:id="2392" w:name="_Toc296346708"/>
      <w:bookmarkStart w:id="2393" w:name="_Toc292559917"/>
      <w:bookmarkStart w:id="2394" w:name="_Toc296944546"/>
      <w:bookmarkStart w:id="2395" w:name="_Toc296347206"/>
      <w:bookmarkStart w:id="2396" w:name="_Toc296891035"/>
      <w:r>
        <w:rPr>
          <w:b/>
        </w:rPr>
        <w:t>12.2 预付款</w:t>
      </w:r>
      <w:bookmarkEnd w:id="2380"/>
    </w:p>
    <w:bookmarkEnd w:id="2381"/>
    <w:bookmarkEnd w:id="2382"/>
    <w:bookmarkEnd w:id="2383"/>
    <w:bookmarkEnd w:id="2384"/>
    <w:bookmarkEnd w:id="2385"/>
    <w:bookmarkEnd w:id="2386"/>
    <w:p w14:paraId="3EB827A5">
      <w:pPr>
        <w:spacing w:line="400" w:lineRule="exact"/>
        <w:ind w:firstLine="420" w:firstLineChars="200"/>
        <w:rPr>
          <w:rFonts w:ascii="宋体" w:hAnsi="宋体"/>
        </w:rPr>
      </w:pPr>
      <w:r>
        <w:rPr>
          <w:rFonts w:ascii="宋体" w:hAnsi="宋体"/>
        </w:rPr>
        <w:t>12.2.1 预付款的支付</w:t>
      </w:r>
    </w:p>
    <w:p w14:paraId="10F385D4">
      <w:pPr>
        <w:spacing w:line="400" w:lineRule="exact"/>
        <w:ind w:firstLine="420" w:firstLineChars="200"/>
        <w:rPr>
          <w:rFonts w:ascii="宋体" w:hAnsi="宋体"/>
        </w:rPr>
      </w:pPr>
      <w:r>
        <w:rPr>
          <w:rFonts w:ascii="宋体" w:hAnsi="宋体"/>
        </w:rPr>
        <w:t>预付款支付比例或金额：</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D737152">
      <w:pPr>
        <w:spacing w:line="400" w:lineRule="exact"/>
        <w:ind w:firstLine="420" w:firstLineChars="200"/>
        <w:rPr>
          <w:rFonts w:ascii="宋体" w:hAnsi="宋体"/>
        </w:rPr>
      </w:pPr>
      <w:r>
        <w:rPr>
          <w:rFonts w:ascii="宋体" w:hAnsi="宋体"/>
        </w:rPr>
        <w:t>预付款支付期限：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2581816">
      <w:pPr>
        <w:spacing w:line="400" w:lineRule="exact"/>
        <w:ind w:firstLine="420" w:firstLineChars="200"/>
        <w:rPr>
          <w:rFonts w:ascii="宋体" w:hAnsi="宋体"/>
        </w:rPr>
      </w:pPr>
      <w:r>
        <w:rPr>
          <w:rFonts w:ascii="宋体" w:hAnsi="宋体"/>
        </w:rPr>
        <w:t>预付款扣回的方式：</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8C5E956">
      <w:pPr>
        <w:spacing w:line="400" w:lineRule="exact"/>
        <w:ind w:firstLine="420" w:firstLineChars="200"/>
        <w:rPr>
          <w:rFonts w:ascii="宋体" w:hAnsi="宋体"/>
        </w:rPr>
      </w:pPr>
      <w:r>
        <w:rPr>
          <w:rFonts w:ascii="宋体" w:hAnsi="宋体"/>
        </w:rPr>
        <w:t>12.2.2 预付款担保</w:t>
      </w:r>
    </w:p>
    <w:p w14:paraId="42D7179F">
      <w:pPr>
        <w:spacing w:line="400" w:lineRule="exact"/>
        <w:ind w:firstLine="420" w:firstLineChars="200"/>
        <w:rPr>
          <w:rFonts w:ascii="宋体" w:hAnsi="宋体"/>
        </w:rPr>
      </w:pPr>
      <w:r>
        <w:rPr>
          <w:rFonts w:ascii="宋体" w:hAnsi="宋体"/>
        </w:rPr>
        <w:t>承包人提交预付款担保的期限：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87416C7">
      <w:pPr>
        <w:spacing w:line="400" w:lineRule="exact"/>
        <w:ind w:firstLine="420" w:firstLineChars="200"/>
      </w:pPr>
      <w:r>
        <w:rPr>
          <w:rFonts w:ascii="宋体" w:hAnsi="宋体"/>
        </w:rPr>
        <w:t>预付款担保的形式为：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387"/>
    <w:bookmarkEnd w:id="2388"/>
    <w:bookmarkEnd w:id="2389"/>
    <w:bookmarkEnd w:id="2390"/>
    <w:bookmarkEnd w:id="2391"/>
    <w:bookmarkEnd w:id="2392"/>
    <w:bookmarkEnd w:id="2393"/>
    <w:bookmarkEnd w:id="2394"/>
    <w:bookmarkEnd w:id="2395"/>
    <w:bookmarkEnd w:id="2396"/>
    <w:p w14:paraId="65E299B7">
      <w:pPr>
        <w:pStyle w:val="20"/>
        <w:rPr>
          <w:b/>
        </w:rPr>
      </w:pPr>
      <w:bookmarkStart w:id="2397" w:name="_Toc108514136"/>
      <w:r>
        <w:rPr>
          <w:b/>
        </w:rPr>
        <w:t>12.3 计量</w:t>
      </w:r>
      <w:bookmarkEnd w:id="2397"/>
    </w:p>
    <w:p w14:paraId="16CCA505">
      <w:pPr>
        <w:spacing w:line="400" w:lineRule="exact"/>
        <w:ind w:firstLine="420" w:firstLineChars="200"/>
        <w:rPr>
          <w:rFonts w:ascii="宋体" w:hAnsi="宋体"/>
        </w:rPr>
      </w:pPr>
      <w:r>
        <w:rPr>
          <w:rFonts w:ascii="宋体" w:hAnsi="宋体"/>
        </w:rPr>
        <w:t>12.3.1 计量原则</w:t>
      </w:r>
    </w:p>
    <w:p w14:paraId="0194C4BB">
      <w:pPr>
        <w:spacing w:line="400" w:lineRule="exact"/>
        <w:ind w:firstLine="420" w:firstLineChars="200"/>
        <w:rPr>
          <w:rFonts w:ascii="宋体" w:hAnsi="宋体"/>
        </w:rPr>
      </w:pPr>
      <w:r>
        <w:rPr>
          <w:rFonts w:ascii="宋体" w:hAnsi="宋体"/>
        </w:rPr>
        <w:t>工程量计算规则：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CE1DE95">
      <w:pPr>
        <w:spacing w:line="400" w:lineRule="exact"/>
        <w:ind w:firstLine="420" w:firstLineChars="200"/>
        <w:rPr>
          <w:rFonts w:ascii="宋体" w:hAnsi="宋体"/>
        </w:rPr>
      </w:pPr>
      <w:r>
        <w:rPr>
          <w:rFonts w:ascii="宋体" w:hAnsi="宋体"/>
        </w:rPr>
        <w:t>12.3.2 计量周期</w:t>
      </w:r>
    </w:p>
    <w:p w14:paraId="4EC49B3B">
      <w:pPr>
        <w:spacing w:line="400" w:lineRule="exact"/>
        <w:ind w:firstLine="420" w:firstLineChars="200"/>
        <w:rPr>
          <w:rFonts w:ascii="宋体" w:hAnsi="宋体"/>
        </w:rPr>
      </w:pPr>
      <w:r>
        <w:rPr>
          <w:rFonts w:ascii="宋体" w:hAnsi="宋体"/>
        </w:rPr>
        <w:t>关于计量周期的约定：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089C02C">
      <w:pPr>
        <w:spacing w:line="400" w:lineRule="exact"/>
        <w:ind w:firstLine="420" w:firstLineChars="200"/>
        <w:rPr>
          <w:rFonts w:ascii="宋体" w:hAnsi="宋体"/>
        </w:rPr>
      </w:pPr>
      <w:r>
        <w:rPr>
          <w:rFonts w:ascii="宋体" w:hAnsi="宋体"/>
        </w:rPr>
        <w:t>12.3.3 单价合同的计量</w:t>
      </w:r>
    </w:p>
    <w:p w14:paraId="7F16838E">
      <w:pPr>
        <w:spacing w:line="400" w:lineRule="exact"/>
        <w:ind w:firstLine="420" w:firstLineChars="200"/>
        <w:rPr>
          <w:rFonts w:ascii="宋体" w:hAnsi="宋体"/>
        </w:rPr>
      </w:pPr>
      <w:r>
        <w:rPr>
          <w:rFonts w:ascii="宋体" w:hAnsi="宋体"/>
        </w:rPr>
        <w:t>关于单价合同计量的约定：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93AC0A3">
      <w:pPr>
        <w:spacing w:line="400" w:lineRule="exact"/>
        <w:ind w:firstLine="420" w:firstLineChars="200"/>
        <w:rPr>
          <w:rFonts w:ascii="宋体" w:hAnsi="宋体"/>
        </w:rPr>
      </w:pPr>
      <w:r>
        <w:rPr>
          <w:rFonts w:ascii="宋体" w:hAnsi="宋体"/>
        </w:rPr>
        <w:t>12.3.4 总价合同的计量</w:t>
      </w:r>
    </w:p>
    <w:p w14:paraId="7AD71330">
      <w:pPr>
        <w:spacing w:line="400" w:lineRule="exact"/>
        <w:ind w:firstLine="420" w:firstLineChars="200"/>
        <w:rPr>
          <w:rFonts w:hint="eastAsia" w:ascii="宋体" w:hAnsi="宋体"/>
        </w:rPr>
      </w:pPr>
      <w:r>
        <w:rPr>
          <w:rFonts w:ascii="宋体" w:hAnsi="宋体"/>
        </w:rPr>
        <w:t>关于总价合同计量的约定：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A2B10C3">
      <w:pPr>
        <w:spacing w:line="400" w:lineRule="exact"/>
        <w:ind w:firstLine="420" w:firstLineChars="200"/>
        <w:rPr>
          <w:rFonts w:ascii="宋体" w:hAnsi="宋体"/>
        </w:rPr>
      </w:pPr>
      <w:r>
        <w:rPr>
          <w:rFonts w:ascii="宋体" w:hAnsi="宋体"/>
        </w:rPr>
        <w:t>12.3.5总价合同采用支付分解表计量支付的，是否适用第12.3.4 项</w:t>
      </w:r>
      <w:r>
        <w:rPr>
          <w:rFonts w:hint="eastAsia" w:ascii="宋体" w:hAnsi="宋体"/>
        </w:rPr>
        <w:t>〔</w:t>
      </w:r>
      <w:r>
        <w:rPr>
          <w:rFonts w:ascii="宋体" w:hAnsi="宋体"/>
        </w:rPr>
        <w:t>总价合同的计量</w:t>
      </w:r>
      <w:r>
        <w:rPr>
          <w:rFonts w:hint="eastAsia" w:ascii="宋体" w:hAnsi="宋体"/>
        </w:rPr>
        <w:t>〕</w:t>
      </w:r>
      <w:r>
        <w:rPr>
          <w:rFonts w:ascii="宋体" w:hAnsi="宋体"/>
        </w:rPr>
        <w:t>约定</w:t>
      </w:r>
      <w:r>
        <w:rPr>
          <w:rFonts w:hint="eastAsia" w:ascii="宋体" w:hAnsi="宋体"/>
        </w:rPr>
        <w:t>进行计量：</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w:t>
      </w:r>
    </w:p>
    <w:p w14:paraId="4D6968A7">
      <w:pPr>
        <w:spacing w:line="400" w:lineRule="exact"/>
        <w:ind w:firstLine="420" w:firstLineChars="200"/>
        <w:rPr>
          <w:rFonts w:ascii="宋体" w:hAnsi="宋体"/>
        </w:rPr>
      </w:pPr>
      <w:r>
        <w:rPr>
          <w:rFonts w:ascii="宋体" w:hAnsi="宋体"/>
        </w:rPr>
        <w:t>12.3.6 其他价格形式合同的计量</w:t>
      </w:r>
    </w:p>
    <w:p w14:paraId="6906D7E4">
      <w:pPr>
        <w:spacing w:line="400" w:lineRule="exact"/>
        <w:ind w:firstLine="420" w:firstLineChars="200"/>
        <w:rPr>
          <w:rFonts w:hint="eastAsia" w:ascii="宋体" w:hAnsi="宋体"/>
        </w:rPr>
      </w:pPr>
      <w:r>
        <w:rPr>
          <w:rFonts w:ascii="宋体" w:hAnsi="宋体"/>
        </w:rPr>
        <w:t xml:space="preserve">其他价格形式的计量方式和程序： </w:t>
      </w:r>
    </w:p>
    <w:p w14:paraId="41A3F2B0">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0691C7B">
      <w:pPr>
        <w:pStyle w:val="20"/>
        <w:rPr>
          <w:b/>
        </w:rPr>
      </w:pPr>
      <w:bookmarkStart w:id="2398" w:name="_Toc108514137"/>
      <w:r>
        <w:rPr>
          <w:b/>
        </w:rPr>
        <w:t>12.4 工程进度款支付</w:t>
      </w:r>
      <w:bookmarkEnd w:id="2398"/>
    </w:p>
    <w:p w14:paraId="555BD658">
      <w:pPr>
        <w:spacing w:line="400" w:lineRule="exact"/>
        <w:ind w:firstLine="420" w:firstLineChars="200"/>
        <w:rPr>
          <w:rFonts w:ascii="宋体" w:hAnsi="宋体"/>
        </w:rPr>
      </w:pPr>
      <w:bookmarkStart w:id="2399" w:name="_Toc296891251"/>
      <w:bookmarkStart w:id="2400" w:name="_Toc300935006"/>
      <w:bookmarkStart w:id="2401" w:name="_Toc297123556"/>
      <w:bookmarkStart w:id="2402" w:name="_Toc297120511"/>
      <w:bookmarkStart w:id="2403" w:name="_Toc297216215"/>
      <w:bookmarkStart w:id="2404" w:name="_Toc292559921"/>
      <w:bookmarkStart w:id="2405" w:name="_Toc296503211"/>
      <w:bookmarkStart w:id="2406" w:name="_Toc296891039"/>
      <w:bookmarkStart w:id="2407" w:name="_Toc296346712"/>
      <w:bookmarkStart w:id="2408" w:name="_Toc296944550"/>
      <w:bookmarkStart w:id="2409" w:name="_Toc303539163"/>
      <w:bookmarkStart w:id="2410" w:name="_Toc296347210"/>
      <w:bookmarkStart w:id="2411" w:name="_Toc297048397"/>
      <w:bookmarkStart w:id="2412" w:name="_Toc292559416"/>
      <w:r>
        <w:rPr>
          <w:rFonts w:ascii="宋体" w:hAnsi="宋体"/>
        </w:rPr>
        <w:t>12.4.1 付款周期</w:t>
      </w:r>
    </w:p>
    <w:p w14:paraId="2C7EA8A8">
      <w:pPr>
        <w:spacing w:line="400" w:lineRule="exact"/>
        <w:ind w:firstLine="420" w:firstLineChars="200"/>
        <w:rPr>
          <w:rFonts w:hint="eastAsia" w:ascii="宋体" w:hAnsi="宋体"/>
        </w:rPr>
      </w:pPr>
      <w:r>
        <w:rPr>
          <w:rFonts w:ascii="宋体" w:hAnsi="宋体"/>
        </w:rPr>
        <w:t>关于付款周期的约定：</w:t>
      </w:r>
    </w:p>
    <w:p w14:paraId="7DF5649F">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1B9368F">
      <w:pPr>
        <w:spacing w:line="400" w:lineRule="exact"/>
        <w:ind w:firstLine="420" w:firstLineChars="200"/>
        <w:rPr>
          <w:rFonts w:ascii="宋体" w:hAnsi="宋体"/>
        </w:rPr>
      </w:pPr>
      <w:r>
        <w:rPr>
          <w:rFonts w:ascii="宋体" w:hAnsi="宋体"/>
        </w:rPr>
        <w:t>12.4.2 进度付款申请单的编制</w:t>
      </w:r>
    </w:p>
    <w:p w14:paraId="7F912DB6">
      <w:pPr>
        <w:spacing w:line="400" w:lineRule="exact"/>
        <w:ind w:firstLine="420" w:firstLineChars="200"/>
        <w:rPr>
          <w:rFonts w:hint="eastAsia" w:ascii="宋体" w:hAnsi="宋体"/>
        </w:rPr>
      </w:pPr>
      <w:r>
        <w:rPr>
          <w:rFonts w:ascii="宋体" w:hAnsi="宋体"/>
        </w:rPr>
        <w:t>关于进度付款申请单编制的约定：</w:t>
      </w:r>
    </w:p>
    <w:p w14:paraId="773DFDBC">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B1B42E1">
      <w:pPr>
        <w:spacing w:line="400" w:lineRule="exact"/>
        <w:ind w:firstLine="420" w:firstLineChars="200"/>
        <w:rPr>
          <w:rFonts w:ascii="宋体" w:hAnsi="宋体"/>
        </w:rPr>
      </w:pPr>
      <w:r>
        <w:rPr>
          <w:rFonts w:ascii="宋体" w:hAnsi="宋体"/>
        </w:rPr>
        <w:t>1</w:t>
      </w:r>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r>
        <w:rPr>
          <w:rFonts w:ascii="宋体" w:hAnsi="宋体"/>
        </w:rPr>
        <w:t>2.4.3 进度付款申请单的提交</w:t>
      </w:r>
    </w:p>
    <w:p w14:paraId="1A848EAA">
      <w:pPr>
        <w:spacing w:line="400" w:lineRule="exact"/>
        <w:ind w:firstLine="420" w:firstLineChars="200"/>
        <w:rPr>
          <w:rFonts w:hint="eastAsia" w:ascii="宋体" w:hAnsi="宋体"/>
        </w:rPr>
      </w:pPr>
      <w:r>
        <w:rPr>
          <w:rFonts w:ascii="宋体" w:hAnsi="宋体"/>
        </w:rPr>
        <w:t>（1）单价合同进度付款申请单提交的约定</w:t>
      </w:r>
      <w:r>
        <w:rPr>
          <w:rFonts w:hint="eastAsia" w:ascii="宋体" w:hAnsi="宋体"/>
        </w:rPr>
        <w:t>：</w:t>
      </w:r>
    </w:p>
    <w:p w14:paraId="10B9DED9">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AB03BF7">
      <w:pPr>
        <w:spacing w:line="400" w:lineRule="exact"/>
        <w:ind w:firstLine="420" w:firstLineChars="200"/>
        <w:rPr>
          <w:rFonts w:hint="eastAsia" w:ascii="宋体" w:hAnsi="宋体"/>
        </w:rPr>
      </w:pPr>
      <w:r>
        <w:rPr>
          <w:rFonts w:ascii="宋体" w:hAnsi="宋体"/>
        </w:rPr>
        <w:t>（2）总价合同进度付款申请单提交的约定</w:t>
      </w:r>
      <w:r>
        <w:rPr>
          <w:rFonts w:hint="eastAsia" w:ascii="宋体" w:hAnsi="宋体"/>
        </w:rPr>
        <w:t>：</w:t>
      </w:r>
    </w:p>
    <w:p w14:paraId="6A1635EB">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D40489C">
      <w:pPr>
        <w:spacing w:line="400" w:lineRule="exact"/>
        <w:ind w:firstLine="420" w:firstLineChars="200"/>
        <w:rPr>
          <w:rFonts w:hint="eastAsia" w:ascii="宋体" w:hAnsi="宋体"/>
        </w:rPr>
      </w:pPr>
      <w:r>
        <w:rPr>
          <w:rFonts w:ascii="宋体" w:hAnsi="宋体"/>
        </w:rPr>
        <w:t>（3）其他价格形式合同进度付款申请单提交的约定：</w:t>
      </w:r>
    </w:p>
    <w:p w14:paraId="760D518C">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909E83B">
      <w:pPr>
        <w:spacing w:line="400" w:lineRule="exact"/>
        <w:ind w:firstLine="420" w:firstLineChars="200"/>
        <w:rPr>
          <w:rFonts w:ascii="宋体" w:hAnsi="宋体"/>
        </w:rPr>
      </w:pPr>
      <w:r>
        <w:rPr>
          <w:rFonts w:ascii="宋体" w:hAnsi="宋体"/>
        </w:rPr>
        <w:t>12.4.4 进度款审核和支付</w:t>
      </w:r>
    </w:p>
    <w:p w14:paraId="4A6BF7F1">
      <w:pPr>
        <w:spacing w:line="400" w:lineRule="exact"/>
        <w:ind w:firstLine="420" w:firstLineChars="200"/>
        <w:rPr>
          <w:rFonts w:ascii="宋体" w:hAnsi="宋体"/>
        </w:rPr>
      </w:pPr>
      <w:r>
        <w:rPr>
          <w:rFonts w:ascii="宋体" w:hAnsi="宋体"/>
        </w:rPr>
        <w:t xml:space="preserve">（1）监理人审查并报送发包人的期限： </w:t>
      </w:r>
      <w:r>
        <w:rPr>
          <w:rFonts w:ascii="宋体" w:hAnsi="宋体"/>
          <w:u w:val="single"/>
        </w:rPr>
        <w:t xml:space="preserve">      </w:t>
      </w:r>
      <w:r>
        <w:rPr>
          <w:rFonts w:hint="eastAsia" w:ascii="宋体" w:hAnsi="宋体"/>
          <w:u w:val="single"/>
        </w:rPr>
        <w:t xml:space="preserve">           </w:t>
      </w:r>
      <w:r>
        <w:rPr>
          <w:rFonts w:ascii="宋体" w:hAnsi="宋体"/>
        </w:rPr>
        <w:t>。</w:t>
      </w:r>
    </w:p>
    <w:p w14:paraId="4B9B629F">
      <w:pPr>
        <w:spacing w:line="400" w:lineRule="exact"/>
        <w:ind w:firstLine="420" w:firstLineChars="200"/>
        <w:rPr>
          <w:rFonts w:ascii="宋体" w:hAnsi="宋体"/>
          <w:u w:val="single"/>
        </w:rPr>
      </w:pPr>
      <w:r>
        <w:rPr>
          <w:rFonts w:ascii="宋体" w:hAnsi="宋体"/>
        </w:rPr>
        <w:t>发包人完成审批并签发进度款支付证书的期限：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D490B05">
      <w:pPr>
        <w:spacing w:line="400" w:lineRule="exact"/>
        <w:ind w:firstLine="420" w:firstLineChars="200"/>
        <w:rPr>
          <w:rFonts w:ascii="宋体" w:hAnsi="宋体"/>
        </w:rPr>
      </w:pPr>
      <w:r>
        <w:rPr>
          <w:rFonts w:ascii="宋体" w:hAnsi="宋体"/>
        </w:rPr>
        <w:t>（2）发包人支付进度款的期限：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34205EE">
      <w:pPr>
        <w:spacing w:line="400" w:lineRule="exact"/>
        <w:ind w:firstLine="420" w:firstLineChars="200"/>
        <w:rPr>
          <w:rFonts w:hint="eastAsia" w:ascii="宋体" w:hAnsi="宋体"/>
        </w:rPr>
      </w:pPr>
      <w:r>
        <w:rPr>
          <w:rFonts w:ascii="宋体" w:hAnsi="宋体"/>
        </w:rPr>
        <w:t xml:space="preserve">发包人逾期支付进度款的违约金的计算方式： </w:t>
      </w:r>
    </w:p>
    <w:p w14:paraId="1069AE91">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C631D99">
      <w:pPr>
        <w:spacing w:line="400" w:lineRule="exact"/>
        <w:ind w:firstLine="420" w:firstLineChars="200"/>
        <w:rPr>
          <w:rFonts w:hint="eastAsia" w:ascii="宋体" w:hAnsi="宋体"/>
        </w:rPr>
      </w:pPr>
      <w:r>
        <w:rPr>
          <w:rFonts w:ascii="宋体" w:hAnsi="宋体"/>
        </w:rPr>
        <w:t>12.4.6 支付分解表的编制</w:t>
      </w:r>
    </w:p>
    <w:p w14:paraId="5A2DD959">
      <w:pPr>
        <w:spacing w:line="400" w:lineRule="exact"/>
        <w:ind w:firstLine="420" w:firstLineChars="200"/>
        <w:rPr>
          <w:rFonts w:hint="eastAsia" w:ascii="宋体" w:hAnsi="宋体"/>
        </w:rPr>
      </w:pPr>
      <w:r>
        <w:rPr>
          <w:rFonts w:ascii="宋体" w:hAnsi="宋体"/>
        </w:rPr>
        <w:t>2、总价合同支付分解表的编制与审批：</w:t>
      </w:r>
    </w:p>
    <w:p w14:paraId="1EE86453">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F368752">
      <w:pPr>
        <w:spacing w:line="400" w:lineRule="exact"/>
        <w:ind w:firstLine="420" w:firstLineChars="200"/>
        <w:rPr>
          <w:rFonts w:hint="eastAsia" w:ascii="宋体" w:hAnsi="宋体"/>
        </w:rPr>
      </w:pPr>
      <w:r>
        <w:rPr>
          <w:rFonts w:ascii="宋体" w:hAnsi="宋体"/>
        </w:rPr>
        <w:t>3、单价合同的总价项目支付分解表的编制与审批：</w:t>
      </w:r>
    </w:p>
    <w:p w14:paraId="40B6225C">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230"/>
    <w:p w14:paraId="5122C83D">
      <w:pPr>
        <w:pStyle w:val="18"/>
        <w:rPr>
          <w:b/>
        </w:rPr>
      </w:pPr>
      <w:bookmarkStart w:id="2413" w:name="_Toc351203645"/>
      <w:bookmarkStart w:id="2414" w:name="_Toc108514138"/>
      <w:bookmarkStart w:id="2415" w:name="_Toc297120519"/>
      <w:bookmarkStart w:id="2416" w:name="_Toc296891047"/>
      <w:bookmarkStart w:id="2417" w:name="_Toc304295593"/>
      <w:bookmarkStart w:id="2418" w:name="_Toc300935015"/>
      <w:bookmarkStart w:id="2419" w:name="_Toc296346720"/>
      <w:bookmarkStart w:id="2420" w:name="_Toc312678053"/>
      <w:bookmarkStart w:id="2421" w:name="_Toc297216223"/>
      <w:bookmarkStart w:id="2422" w:name="_Toc297048405"/>
      <w:bookmarkStart w:id="2423" w:name="_Toc296347218"/>
      <w:bookmarkStart w:id="2424" w:name="_Toc292559929"/>
      <w:bookmarkStart w:id="2425" w:name="_Toc296503219"/>
      <w:bookmarkStart w:id="2426" w:name="_Toc303539172"/>
      <w:bookmarkStart w:id="2427" w:name="_Toc296944558"/>
      <w:bookmarkStart w:id="2428" w:name="_Toc297123564"/>
      <w:bookmarkStart w:id="2429" w:name="_Toc296891259"/>
      <w:bookmarkStart w:id="2430" w:name="_Toc292559424"/>
      <w:r>
        <w:rPr>
          <w:b/>
        </w:rPr>
        <w:t>13.</w:t>
      </w:r>
      <w:r>
        <w:rPr>
          <w:rFonts w:hint="eastAsia"/>
          <w:b/>
        </w:rPr>
        <w:t xml:space="preserve"> </w:t>
      </w:r>
      <w:r>
        <w:rPr>
          <w:b/>
        </w:rPr>
        <w:t>验收和工程试车</w:t>
      </w:r>
      <w:bookmarkEnd w:id="2413"/>
      <w:bookmarkEnd w:id="2414"/>
    </w:p>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p w14:paraId="7F12C383">
      <w:pPr>
        <w:pStyle w:val="20"/>
        <w:rPr>
          <w:b/>
        </w:rPr>
      </w:pPr>
      <w:bookmarkStart w:id="2431" w:name="_Toc108514139"/>
      <w:r>
        <w:rPr>
          <w:b/>
        </w:rPr>
        <w:t>13.1 分部分项工程验收</w:t>
      </w:r>
      <w:bookmarkEnd w:id="2431"/>
    </w:p>
    <w:p w14:paraId="604D5071">
      <w:pPr>
        <w:spacing w:line="400" w:lineRule="exact"/>
        <w:ind w:firstLine="420" w:firstLineChars="200"/>
        <w:rPr>
          <w:rFonts w:ascii="宋体" w:hAnsi="宋体"/>
        </w:rPr>
      </w:pPr>
      <w:r>
        <w:rPr>
          <w:rFonts w:ascii="宋体" w:hAnsi="宋体"/>
        </w:rPr>
        <w:t>13.1.2监理人不能按时进行验收时，应提前</w:t>
      </w:r>
      <w:r>
        <w:rPr>
          <w:rFonts w:ascii="宋体" w:hAnsi="宋体"/>
          <w:u w:val="single"/>
        </w:rPr>
        <w:t xml:space="preserve">       </w:t>
      </w:r>
      <w:r>
        <w:rPr>
          <w:rFonts w:ascii="宋体" w:hAnsi="宋体"/>
        </w:rPr>
        <w:t>小时提交书面延期要求。</w:t>
      </w:r>
    </w:p>
    <w:p w14:paraId="347D9E1C">
      <w:pPr>
        <w:spacing w:line="400" w:lineRule="exact"/>
        <w:ind w:firstLine="420" w:firstLineChars="200"/>
        <w:rPr>
          <w:rFonts w:ascii="宋体" w:hAnsi="宋体"/>
        </w:rPr>
      </w:pPr>
      <w:r>
        <w:rPr>
          <w:rFonts w:ascii="宋体" w:hAnsi="宋体"/>
        </w:rPr>
        <w:t>关于延期最长不得超过：</w:t>
      </w:r>
      <w:r>
        <w:rPr>
          <w:rFonts w:ascii="宋体" w:hAnsi="宋体"/>
          <w:u w:val="single"/>
        </w:rPr>
        <w:t xml:space="preserve">         </w:t>
      </w:r>
      <w:r>
        <w:rPr>
          <w:rFonts w:ascii="宋体" w:hAnsi="宋体"/>
        </w:rPr>
        <w:t>小时。</w:t>
      </w:r>
    </w:p>
    <w:p w14:paraId="5D3F6B33">
      <w:pPr>
        <w:pStyle w:val="20"/>
        <w:rPr>
          <w:b/>
        </w:rPr>
      </w:pPr>
      <w:bookmarkStart w:id="2432" w:name="_Toc108514140"/>
      <w:bookmarkStart w:id="2433" w:name="_Toc292559428"/>
      <w:bookmarkStart w:id="2434" w:name="_Toc297123565"/>
      <w:bookmarkStart w:id="2435" w:name="_Toc312678056"/>
      <w:bookmarkStart w:id="2436" w:name="_Toc296503223"/>
      <w:bookmarkStart w:id="2437" w:name="_Toc296346724"/>
      <w:bookmarkStart w:id="2438" w:name="_Toc304295596"/>
      <w:bookmarkStart w:id="2439" w:name="_Toc296891263"/>
      <w:bookmarkStart w:id="2440" w:name="_Toc297048409"/>
      <w:bookmarkStart w:id="2441" w:name="_Toc303539173"/>
      <w:bookmarkStart w:id="2442" w:name="_Toc297216224"/>
      <w:bookmarkStart w:id="2443" w:name="_Toc297120523"/>
      <w:bookmarkStart w:id="2444" w:name="_Toc300935016"/>
      <w:bookmarkStart w:id="2445" w:name="_Toc292559933"/>
      <w:bookmarkStart w:id="2446" w:name="_Toc296944562"/>
      <w:bookmarkStart w:id="2447" w:name="_Toc296891051"/>
      <w:bookmarkStart w:id="2448" w:name="_Toc296347222"/>
      <w:bookmarkStart w:id="2449" w:name="_Toc267251474"/>
      <w:bookmarkStart w:id="2450" w:name="_Toc267251471"/>
      <w:bookmarkStart w:id="2451" w:name="_Toc267251476"/>
      <w:bookmarkStart w:id="2452" w:name="_Toc267251472"/>
      <w:bookmarkStart w:id="2453" w:name="_Toc267251473"/>
      <w:bookmarkStart w:id="2454" w:name="_Toc267251475"/>
      <w:bookmarkStart w:id="2455" w:name="_Toc267251470"/>
      <w:r>
        <w:rPr>
          <w:b/>
        </w:rPr>
        <w:t>13.2 竣工验收</w:t>
      </w:r>
      <w:bookmarkEnd w:id="2432"/>
    </w:p>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p w14:paraId="4C3322EE">
      <w:pPr>
        <w:spacing w:line="400" w:lineRule="exact"/>
        <w:ind w:firstLine="420" w:firstLineChars="200"/>
        <w:rPr>
          <w:rFonts w:ascii="宋体" w:hAnsi="宋体"/>
        </w:rPr>
      </w:pPr>
      <w:bookmarkStart w:id="2456" w:name="_Toc280868704"/>
      <w:bookmarkStart w:id="2457" w:name="_Toc280868705"/>
      <w:bookmarkStart w:id="2458" w:name="_Toc280868706"/>
      <w:bookmarkStart w:id="2459" w:name="_Toc280868707"/>
      <w:bookmarkStart w:id="2460" w:name="_Toc280868708"/>
      <w:bookmarkStart w:id="2461" w:name="_Toc280868709"/>
      <w:r>
        <w:rPr>
          <w:rFonts w:ascii="宋体" w:hAnsi="宋体"/>
        </w:rPr>
        <w:t>13.2.2竣工验收程序</w:t>
      </w:r>
    </w:p>
    <w:bookmarkEnd w:id="2456"/>
    <w:p w14:paraId="3AA5A1DC">
      <w:pPr>
        <w:spacing w:line="400" w:lineRule="exact"/>
        <w:ind w:firstLine="420" w:firstLineChars="200"/>
        <w:rPr>
          <w:rFonts w:hint="eastAsia" w:ascii="宋体" w:hAnsi="宋体"/>
        </w:rPr>
      </w:pPr>
      <w:r>
        <w:rPr>
          <w:rFonts w:ascii="宋体" w:hAnsi="宋体"/>
        </w:rPr>
        <w:t>关于竣工验收程序的约定：</w:t>
      </w:r>
    </w:p>
    <w:p w14:paraId="6CBF36B5">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408B5B1">
      <w:pPr>
        <w:spacing w:line="400" w:lineRule="exact"/>
        <w:ind w:firstLine="420" w:firstLineChars="200"/>
        <w:rPr>
          <w:rFonts w:hint="eastAsia" w:ascii="宋体" w:hAnsi="宋体"/>
        </w:rPr>
      </w:pPr>
      <w:r>
        <w:rPr>
          <w:rFonts w:ascii="宋体" w:hAnsi="宋体"/>
        </w:rPr>
        <w:t>发包人不按照本项约定组织竣工验收、颁发工程接收证书的违约金的计算方法：</w:t>
      </w:r>
    </w:p>
    <w:bookmarkEnd w:id="2457"/>
    <w:p w14:paraId="1586A6F2">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A5644FA">
      <w:pPr>
        <w:spacing w:line="400" w:lineRule="exact"/>
        <w:ind w:firstLine="420" w:firstLineChars="200"/>
        <w:rPr>
          <w:rFonts w:ascii="宋体" w:hAnsi="宋体"/>
        </w:rPr>
      </w:pPr>
      <w:r>
        <w:rPr>
          <w:rFonts w:ascii="宋体" w:hAnsi="宋体"/>
        </w:rPr>
        <w:t>13.2.5移交、接收全部与部分工程</w:t>
      </w:r>
    </w:p>
    <w:bookmarkEnd w:id="2458"/>
    <w:p w14:paraId="29AC9814">
      <w:pPr>
        <w:spacing w:line="400" w:lineRule="exact"/>
        <w:ind w:firstLine="420" w:firstLineChars="200"/>
        <w:rPr>
          <w:rFonts w:hint="eastAsia" w:ascii="宋体" w:hAnsi="宋体"/>
        </w:rPr>
      </w:pPr>
      <w:r>
        <w:rPr>
          <w:rFonts w:hint="eastAsia" w:ascii="宋体" w:hAnsi="宋体"/>
        </w:rPr>
        <w:t>承包人向发包人移交工程的期限：</w:t>
      </w:r>
    </w:p>
    <w:p w14:paraId="79EFF573">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174F921">
      <w:pPr>
        <w:spacing w:line="400" w:lineRule="exact"/>
        <w:ind w:firstLine="420" w:firstLineChars="200"/>
        <w:rPr>
          <w:rFonts w:hint="eastAsia" w:ascii="宋体" w:hAnsi="宋体"/>
        </w:rPr>
      </w:pPr>
      <w:r>
        <w:rPr>
          <w:rFonts w:ascii="宋体" w:hAnsi="宋体"/>
        </w:rPr>
        <w:t>发包人未按本合同约定接收全部或部分工程的，违约金的计算方法为：</w:t>
      </w:r>
    </w:p>
    <w:bookmarkEnd w:id="2459"/>
    <w:p w14:paraId="265E03CF">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857F987">
      <w:pPr>
        <w:spacing w:line="400" w:lineRule="exact"/>
        <w:ind w:firstLine="420" w:firstLineChars="200"/>
        <w:rPr>
          <w:rFonts w:hint="eastAsia" w:ascii="宋体" w:hAnsi="宋体"/>
        </w:rPr>
      </w:pPr>
      <w:r>
        <w:rPr>
          <w:rFonts w:ascii="宋体" w:hAnsi="宋体"/>
        </w:rPr>
        <w:t>承包人未按时移交工程的，违约金的计算方法为：</w:t>
      </w:r>
    </w:p>
    <w:p w14:paraId="22F63FC8">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C05E89A">
      <w:pPr>
        <w:pStyle w:val="20"/>
      </w:pPr>
      <w:bookmarkStart w:id="2462" w:name="_Toc108514141"/>
      <w:r>
        <w:rPr>
          <w:b/>
        </w:rPr>
        <w:t>13.3 工程试车</w:t>
      </w:r>
      <w:bookmarkEnd w:id="2462"/>
    </w:p>
    <w:bookmarkEnd w:id="2460"/>
    <w:p w14:paraId="2743A883">
      <w:pPr>
        <w:spacing w:line="400" w:lineRule="exact"/>
        <w:ind w:firstLine="420" w:firstLineChars="200"/>
        <w:rPr>
          <w:rFonts w:ascii="宋体" w:hAnsi="宋体"/>
        </w:rPr>
      </w:pPr>
      <w:r>
        <w:rPr>
          <w:rFonts w:ascii="宋体" w:hAnsi="宋体"/>
        </w:rPr>
        <w:t>13.3.1 试车程序</w:t>
      </w:r>
    </w:p>
    <w:p w14:paraId="06895F74">
      <w:pPr>
        <w:spacing w:line="400" w:lineRule="exact"/>
        <w:ind w:firstLine="420" w:firstLineChars="200"/>
        <w:rPr>
          <w:rFonts w:hint="eastAsia" w:ascii="宋体" w:hAnsi="宋体"/>
        </w:rPr>
      </w:pPr>
      <w:r>
        <w:rPr>
          <w:rFonts w:ascii="宋体" w:hAnsi="宋体"/>
        </w:rPr>
        <w:t>工程试车内容：</w:t>
      </w:r>
    </w:p>
    <w:p w14:paraId="160CF38A">
      <w:pPr>
        <w:spacing w:line="400" w:lineRule="exact"/>
        <w:ind w:firstLine="420" w:firstLineChars="200"/>
        <w:rPr>
          <w:rFonts w:hint="eastAsia" w:ascii="宋体" w:hAnsi="宋体"/>
        </w:rPr>
      </w:pPr>
      <w:r>
        <w:rPr>
          <w:rFonts w:ascii="宋体" w:hAnsi="宋体"/>
        </w:rPr>
        <w:t xml:space="preserve"> </w:t>
      </w: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E8D5ED9">
      <w:pPr>
        <w:spacing w:line="400" w:lineRule="exact"/>
        <w:ind w:firstLine="420" w:firstLineChars="200"/>
        <w:rPr>
          <w:rFonts w:ascii="宋体" w:hAnsi="宋体"/>
        </w:rPr>
      </w:pPr>
      <w:r>
        <w:rPr>
          <w:rFonts w:ascii="宋体" w:hAnsi="宋体"/>
        </w:rPr>
        <w:t xml:space="preserve">（1）单机无负荷试车费用由 </w:t>
      </w:r>
      <w:r>
        <w:rPr>
          <w:rFonts w:ascii="宋体" w:hAnsi="宋体"/>
          <w:u w:val="single"/>
        </w:rPr>
        <w:t xml:space="preserve">                    </w:t>
      </w:r>
      <w:r>
        <w:rPr>
          <w:rFonts w:ascii="宋体" w:hAnsi="宋体"/>
        </w:rPr>
        <w:t>承担；</w:t>
      </w:r>
    </w:p>
    <w:p w14:paraId="20D92B1D">
      <w:pPr>
        <w:spacing w:line="400" w:lineRule="exact"/>
        <w:ind w:firstLine="420" w:firstLineChars="200"/>
        <w:rPr>
          <w:rFonts w:hint="eastAsia" w:ascii="宋体" w:hAnsi="宋体"/>
        </w:rPr>
      </w:pPr>
      <w:r>
        <w:rPr>
          <w:rFonts w:ascii="宋体" w:hAnsi="宋体"/>
        </w:rPr>
        <w:t>（2）无负荷联动试车费用由</w:t>
      </w:r>
      <w:r>
        <w:rPr>
          <w:rFonts w:ascii="宋体" w:hAnsi="宋体"/>
          <w:u w:val="single"/>
        </w:rPr>
        <w:t xml:space="preserve">                     </w:t>
      </w:r>
      <w:r>
        <w:rPr>
          <w:rFonts w:ascii="宋体" w:hAnsi="宋体"/>
        </w:rPr>
        <w:t>承担。</w:t>
      </w:r>
    </w:p>
    <w:p w14:paraId="6ECB0EF1">
      <w:pPr>
        <w:spacing w:line="400" w:lineRule="exact"/>
        <w:ind w:firstLine="420" w:firstLineChars="200"/>
        <w:rPr>
          <w:rFonts w:ascii="宋体" w:hAnsi="宋体"/>
        </w:rPr>
      </w:pPr>
      <w:r>
        <w:rPr>
          <w:rFonts w:ascii="宋体" w:hAnsi="宋体"/>
        </w:rPr>
        <w:t>13.3.3 投料试车</w:t>
      </w:r>
    </w:p>
    <w:p w14:paraId="469306DA">
      <w:pPr>
        <w:spacing w:line="400" w:lineRule="exact"/>
        <w:ind w:firstLine="420" w:firstLineChars="200"/>
        <w:rPr>
          <w:rFonts w:hint="eastAsia" w:ascii="宋体" w:hAnsi="宋体"/>
        </w:rPr>
      </w:pPr>
      <w:r>
        <w:rPr>
          <w:rFonts w:hint="eastAsia" w:ascii="宋体" w:hAnsi="宋体"/>
        </w:rPr>
        <w:t>关于投料试车相关事项的约定：</w:t>
      </w:r>
    </w:p>
    <w:p w14:paraId="046BBBA3">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5480418">
      <w:pPr>
        <w:pStyle w:val="20"/>
        <w:rPr>
          <w:b/>
        </w:rPr>
      </w:pPr>
      <w:bookmarkStart w:id="2463" w:name="_Toc108514142"/>
      <w:r>
        <w:rPr>
          <w:b/>
        </w:rPr>
        <w:t>13.6 竣工退场</w:t>
      </w:r>
      <w:bookmarkEnd w:id="2463"/>
    </w:p>
    <w:p w14:paraId="2FF72F4B">
      <w:pPr>
        <w:spacing w:line="400" w:lineRule="exact"/>
        <w:ind w:firstLine="420" w:firstLineChars="200"/>
        <w:rPr>
          <w:rFonts w:ascii="宋体" w:hAnsi="宋体"/>
        </w:rPr>
      </w:pPr>
      <w:r>
        <w:rPr>
          <w:rFonts w:ascii="宋体" w:hAnsi="宋体"/>
        </w:rPr>
        <w:t>13.6.1 竣工退场</w:t>
      </w:r>
    </w:p>
    <w:p w14:paraId="2722E99F">
      <w:pPr>
        <w:spacing w:line="400" w:lineRule="exact"/>
        <w:ind w:firstLine="420" w:firstLineChars="200"/>
        <w:rPr>
          <w:rFonts w:ascii="宋体" w:hAnsi="宋体"/>
        </w:rPr>
      </w:pPr>
      <w:r>
        <w:rPr>
          <w:rFonts w:ascii="宋体" w:hAnsi="宋体"/>
        </w:rPr>
        <w:t>承包人完成竣工退场的期限：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ADBEB90">
      <w:pPr>
        <w:pStyle w:val="18"/>
        <w:rPr>
          <w:b/>
        </w:rPr>
      </w:pPr>
      <w:bookmarkStart w:id="2464" w:name="_Toc108514143"/>
      <w:bookmarkStart w:id="2465" w:name="_Toc351203646"/>
      <w:r>
        <w:rPr>
          <w:b/>
        </w:rPr>
        <w:t>14. 竣工结算</w:t>
      </w:r>
      <w:bookmarkEnd w:id="2464"/>
      <w:bookmarkEnd w:id="2465"/>
    </w:p>
    <w:p w14:paraId="66C10B96">
      <w:pPr>
        <w:pStyle w:val="20"/>
        <w:rPr>
          <w:b/>
        </w:rPr>
      </w:pPr>
      <w:bookmarkStart w:id="2466" w:name="_Toc108514144"/>
      <w:r>
        <w:rPr>
          <w:b/>
        </w:rPr>
        <w:t>14.1 竣工</w:t>
      </w:r>
      <w:r>
        <w:rPr>
          <w:rFonts w:hint="eastAsia"/>
          <w:b/>
        </w:rPr>
        <w:t>结算</w:t>
      </w:r>
      <w:r>
        <w:rPr>
          <w:b/>
        </w:rPr>
        <w:t>申请</w:t>
      </w:r>
      <w:bookmarkEnd w:id="2466"/>
    </w:p>
    <w:p w14:paraId="04A60559">
      <w:pPr>
        <w:spacing w:line="400" w:lineRule="exact"/>
        <w:ind w:firstLine="420" w:firstLineChars="200"/>
        <w:rPr>
          <w:rFonts w:ascii="宋体" w:hAnsi="宋体"/>
        </w:rPr>
      </w:pPr>
      <w:r>
        <w:rPr>
          <w:rFonts w:ascii="宋体" w:hAnsi="宋体"/>
        </w:rPr>
        <w:t>承包人提交竣工</w:t>
      </w:r>
      <w:r>
        <w:rPr>
          <w:rFonts w:hint="eastAsia" w:ascii="宋体" w:hAnsi="宋体"/>
        </w:rPr>
        <w:t>结算</w:t>
      </w:r>
      <w:r>
        <w:rPr>
          <w:rFonts w:ascii="宋体" w:hAnsi="宋体"/>
        </w:rPr>
        <w:t>申请单的期限：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5E06CEB0">
      <w:pPr>
        <w:spacing w:line="400" w:lineRule="exact"/>
        <w:ind w:firstLine="420" w:firstLineChars="200"/>
        <w:rPr>
          <w:rFonts w:hint="eastAsia" w:ascii="宋体" w:hAnsi="宋体"/>
        </w:rPr>
      </w:pPr>
      <w:r>
        <w:rPr>
          <w:rFonts w:ascii="宋体" w:hAnsi="宋体"/>
        </w:rPr>
        <w:t>竣工</w:t>
      </w:r>
      <w:r>
        <w:rPr>
          <w:rFonts w:hint="eastAsia" w:ascii="宋体" w:hAnsi="宋体"/>
        </w:rPr>
        <w:t>结算</w:t>
      </w:r>
      <w:r>
        <w:rPr>
          <w:rFonts w:ascii="宋体" w:hAnsi="宋体"/>
        </w:rPr>
        <w:t>申请单应包括的内容：</w:t>
      </w:r>
    </w:p>
    <w:p w14:paraId="5ED454C7">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C8DE2AE">
      <w:pPr>
        <w:pStyle w:val="20"/>
        <w:rPr>
          <w:b/>
        </w:rPr>
      </w:pPr>
      <w:bookmarkStart w:id="2467" w:name="_Toc108514145"/>
      <w:r>
        <w:rPr>
          <w:b/>
        </w:rPr>
        <w:t>14.2 竣工结算审核</w:t>
      </w:r>
      <w:bookmarkEnd w:id="2467"/>
    </w:p>
    <w:p w14:paraId="334F65C8">
      <w:pPr>
        <w:spacing w:line="400" w:lineRule="exact"/>
        <w:ind w:firstLine="420" w:firstLineChars="200"/>
        <w:rPr>
          <w:rFonts w:ascii="宋体" w:hAnsi="宋体"/>
        </w:rPr>
      </w:pPr>
      <w:r>
        <w:rPr>
          <w:rFonts w:ascii="宋体" w:hAnsi="宋体"/>
        </w:rPr>
        <w:t>发包人</w:t>
      </w:r>
      <w:r>
        <w:rPr>
          <w:rFonts w:hint="eastAsia" w:ascii="宋体" w:hAnsi="宋体"/>
        </w:rPr>
        <w:t>审批</w:t>
      </w:r>
      <w:r>
        <w:rPr>
          <w:rFonts w:ascii="宋体" w:hAnsi="宋体"/>
        </w:rPr>
        <w:t>竣工付款申请单的期限：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BB9E220">
      <w:pPr>
        <w:spacing w:line="400" w:lineRule="exact"/>
        <w:ind w:firstLine="420" w:firstLineChars="200"/>
        <w:rPr>
          <w:rFonts w:hint="eastAsia" w:ascii="宋体" w:hAnsi="宋体"/>
        </w:rPr>
      </w:pPr>
      <w:r>
        <w:rPr>
          <w:rFonts w:ascii="宋体" w:hAnsi="宋体"/>
        </w:rPr>
        <w:t>发包人完成竣工付款的期限：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F831D97">
      <w:pPr>
        <w:spacing w:line="400" w:lineRule="exact"/>
        <w:ind w:firstLine="420" w:firstLineChars="200"/>
        <w:rPr>
          <w:rFonts w:hint="eastAsia" w:ascii="宋体" w:hAnsi="宋体"/>
        </w:rPr>
      </w:pPr>
      <w:r>
        <w:rPr>
          <w:rFonts w:hint="eastAsia" w:ascii="宋体" w:hAnsi="宋体"/>
        </w:rPr>
        <w:t>关于竣工付款证书异议部分复核的方式和程序：</w:t>
      </w:r>
    </w:p>
    <w:p w14:paraId="55C044BD">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9A72133">
      <w:pPr>
        <w:pStyle w:val="20"/>
        <w:rPr>
          <w:b/>
        </w:rPr>
      </w:pPr>
      <w:bookmarkStart w:id="2468" w:name="_Toc108514146"/>
      <w:r>
        <w:rPr>
          <w:b/>
        </w:rPr>
        <w:t>14.4 最终结清</w:t>
      </w:r>
      <w:bookmarkEnd w:id="2468"/>
    </w:p>
    <w:p w14:paraId="5F0B3981">
      <w:pPr>
        <w:spacing w:line="400" w:lineRule="exact"/>
        <w:ind w:firstLine="420" w:firstLineChars="200"/>
        <w:rPr>
          <w:rFonts w:ascii="宋体" w:hAnsi="宋体"/>
        </w:rPr>
      </w:pPr>
      <w:r>
        <w:rPr>
          <w:rFonts w:ascii="宋体" w:hAnsi="宋体"/>
        </w:rPr>
        <w:t>14.4.1 最终结清申请单</w:t>
      </w:r>
    </w:p>
    <w:p w14:paraId="62B7AA28">
      <w:pPr>
        <w:spacing w:line="400" w:lineRule="exact"/>
        <w:ind w:firstLine="420" w:firstLineChars="200"/>
        <w:rPr>
          <w:rFonts w:ascii="宋体" w:hAnsi="宋体"/>
        </w:rPr>
      </w:pPr>
      <w:r>
        <w:rPr>
          <w:rFonts w:ascii="宋体" w:hAnsi="宋体"/>
        </w:rPr>
        <w:t>承包人提交最终结清申请单的份数：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02ED55C">
      <w:pPr>
        <w:spacing w:line="400" w:lineRule="exact"/>
        <w:ind w:firstLine="420" w:firstLineChars="200"/>
        <w:rPr>
          <w:rFonts w:ascii="宋体" w:hAnsi="宋体"/>
        </w:rPr>
      </w:pPr>
      <w:r>
        <w:rPr>
          <w:rFonts w:ascii="宋体" w:hAnsi="宋体"/>
        </w:rPr>
        <w:t>承包人提交最终结算申请单的期限：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18AC87E6">
      <w:pPr>
        <w:spacing w:line="400" w:lineRule="exact"/>
        <w:ind w:firstLine="420" w:firstLineChars="200"/>
        <w:rPr>
          <w:rFonts w:ascii="宋体" w:hAnsi="宋体"/>
        </w:rPr>
      </w:pPr>
      <w:r>
        <w:rPr>
          <w:rFonts w:ascii="宋体" w:hAnsi="宋体"/>
        </w:rPr>
        <w:t>14.4.2 最终结清证书和支付</w:t>
      </w:r>
    </w:p>
    <w:p w14:paraId="525A3DCB">
      <w:pPr>
        <w:spacing w:line="400" w:lineRule="exact"/>
        <w:ind w:firstLine="420" w:firstLineChars="200"/>
        <w:rPr>
          <w:rFonts w:hint="eastAsia" w:ascii="宋体" w:hAnsi="宋体"/>
        </w:rPr>
      </w:pPr>
      <w:r>
        <w:rPr>
          <w:rFonts w:ascii="宋体" w:hAnsi="宋体"/>
        </w:rPr>
        <w:t>（1）发包人完成最终结清申请单的</w:t>
      </w:r>
      <w:r>
        <w:rPr>
          <w:rFonts w:hint="eastAsia" w:ascii="宋体" w:hAnsi="宋体"/>
        </w:rPr>
        <w:t>审批</w:t>
      </w:r>
      <w:r>
        <w:rPr>
          <w:rFonts w:ascii="宋体" w:hAnsi="宋体"/>
        </w:rPr>
        <w:t>并颁发最终结清证书的期限：</w:t>
      </w:r>
    </w:p>
    <w:p w14:paraId="616CF1F3">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797BA93">
      <w:pPr>
        <w:spacing w:line="400" w:lineRule="exact"/>
        <w:ind w:firstLine="420" w:firstLineChars="200"/>
        <w:rPr>
          <w:rFonts w:hint="eastAsia" w:ascii="宋体" w:hAnsi="宋体"/>
        </w:rPr>
      </w:pPr>
      <w:r>
        <w:rPr>
          <w:rFonts w:ascii="宋体" w:hAnsi="宋体"/>
        </w:rPr>
        <w:t>（2）发包人完成支付的期限：</w:t>
      </w:r>
    </w:p>
    <w:p w14:paraId="40BC2C16">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449"/>
    <w:bookmarkEnd w:id="2450"/>
    <w:bookmarkEnd w:id="2451"/>
    <w:bookmarkEnd w:id="2452"/>
    <w:bookmarkEnd w:id="2453"/>
    <w:bookmarkEnd w:id="2454"/>
    <w:bookmarkEnd w:id="2455"/>
    <w:bookmarkEnd w:id="2461"/>
    <w:p w14:paraId="68EC8D9F">
      <w:pPr>
        <w:pStyle w:val="18"/>
        <w:rPr>
          <w:b/>
        </w:rPr>
      </w:pPr>
      <w:bookmarkStart w:id="2469" w:name="_Toc108514147"/>
      <w:bookmarkStart w:id="2470" w:name="_Toc351203647"/>
      <w:bookmarkStart w:id="2471" w:name="_Toc267251483"/>
      <w:bookmarkStart w:id="2472" w:name="_Toc267251484"/>
      <w:bookmarkStart w:id="2473" w:name="_Toc267251482"/>
      <w:bookmarkStart w:id="2474" w:name="_Toc267251485"/>
      <w:bookmarkStart w:id="2475" w:name="_Toc267251490"/>
      <w:bookmarkStart w:id="2476" w:name="_Toc267251486"/>
      <w:bookmarkStart w:id="2477" w:name="_Toc267251489"/>
      <w:bookmarkStart w:id="2478" w:name="_Toc267251488"/>
      <w:bookmarkStart w:id="2479" w:name="_Toc267251492"/>
      <w:bookmarkStart w:id="2480" w:name="_Toc267251496"/>
      <w:bookmarkStart w:id="2481" w:name="_Toc267251501"/>
      <w:bookmarkStart w:id="2482" w:name="_Toc267251499"/>
      <w:bookmarkStart w:id="2483" w:name="_Toc267251491"/>
      <w:bookmarkStart w:id="2484" w:name="_Toc267251497"/>
      <w:bookmarkStart w:id="2485" w:name="_Toc267251494"/>
      <w:bookmarkStart w:id="2486" w:name="_Toc267251498"/>
      <w:bookmarkStart w:id="2487" w:name="_Toc267251502"/>
      <w:bookmarkStart w:id="2488" w:name="_Toc267251493"/>
      <w:bookmarkStart w:id="2489" w:name="_Toc267251503"/>
      <w:bookmarkStart w:id="2490" w:name="_Toc267251495"/>
      <w:bookmarkStart w:id="2491" w:name="_Toc267251506"/>
      <w:bookmarkStart w:id="2492" w:name="_Toc267251504"/>
      <w:bookmarkStart w:id="2493" w:name="_Toc267251507"/>
      <w:bookmarkStart w:id="2494" w:name="_Toc267251508"/>
      <w:bookmarkStart w:id="2495" w:name="_Toc267251509"/>
      <w:bookmarkStart w:id="2496" w:name="_Toc267251513"/>
      <w:bookmarkStart w:id="2497" w:name="_Toc267251510"/>
      <w:bookmarkStart w:id="2498" w:name="_Toc267251515"/>
      <w:bookmarkStart w:id="2499" w:name="_Toc267251511"/>
      <w:bookmarkStart w:id="2500" w:name="_Toc267251514"/>
      <w:r>
        <w:rPr>
          <w:b/>
        </w:rPr>
        <w:t>15. 缺陷责任期与保修</w:t>
      </w:r>
      <w:bookmarkEnd w:id="2469"/>
      <w:bookmarkEnd w:id="2470"/>
    </w:p>
    <w:p w14:paraId="69208A81">
      <w:pPr>
        <w:pStyle w:val="20"/>
        <w:rPr>
          <w:b/>
        </w:rPr>
      </w:pPr>
      <w:bookmarkStart w:id="2501" w:name="_Toc108514148"/>
      <w:r>
        <w:rPr>
          <w:b/>
        </w:rPr>
        <w:t>15.2缺陷责任期</w:t>
      </w:r>
      <w:bookmarkEnd w:id="2471"/>
      <w:bookmarkEnd w:id="2501"/>
    </w:p>
    <w:p w14:paraId="21BD39F1">
      <w:pPr>
        <w:spacing w:line="400" w:lineRule="exact"/>
        <w:ind w:firstLine="420" w:firstLineChars="200"/>
        <w:rPr>
          <w:rFonts w:hint="eastAsia" w:ascii="宋体" w:hAnsi="宋体"/>
        </w:rPr>
      </w:pPr>
      <w:r>
        <w:rPr>
          <w:rFonts w:ascii="宋体" w:hAnsi="宋体"/>
        </w:rPr>
        <w:t>缺陷责任期的具体期限：</w:t>
      </w:r>
    </w:p>
    <w:p w14:paraId="1A67DAB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03680C5">
      <w:pPr>
        <w:pStyle w:val="20"/>
        <w:rPr>
          <w:b/>
        </w:rPr>
      </w:pPr>
      <w:bookmarkStart w:id="2502" w:name="_Toc108514149"/>
      <w:r>
        <w:rPr>
          <w:b/>
        </w:rPr>
        <w:t>15.3 质量保证金</w:t>
      </w:r>
      <w:bookmarkEnd w:id="2502"/>
    </w:p>
    <w:p w14:paraId="6250DFF0">
      <w:pPr>
        <w:spacing w:line="400" w:lineRule="exact"/>
        <w:ind w:firstLine="420" w:firstLineChars="200"/>
        <w:rPr>
          <w:rFonts w:hint="eastAsia" w:ascii="宋体" w:hAnsi="宋体"/>
        </w:rPr>
      </w:pPr>
      <w:r>
        <w:rPr>
          <w:rFonts w:hint="eastAsia" w:ascii="宋体" w:hAnsi="宋体"/>
        </w:rPr>
        <w:t>关于是否扣留质量保证金的约定：</w:t>
      </w:r>
    </w:p>
    <w:p w14:paraId="079865F1">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3C5A13D">
      <w:pPr>
        <w:spacing w:line="400" w:lineRule="exact"/>
        <w:ind w:firstLine="420" w:firstLineChars="200"/>
        <w:rPr>
          <w:rFonts w:hint="eastAsia" w:ascii="宋体" w:hAnsi="宋体"/>
        </w:rPr>
      </w:pPr>
      <w:r>
        <w:rPr>
          <w:rFonts w:hint="eastAsia" w:ascii="宋体" w:hAnsi="宋体"/>
        </w:rPr>
        <w:t>在工程项目竣工前，承包人按专用合同条款第3.7条提供履约担保的，发包人不得同时预留工程质量保证金。</w:t>
      </w:r>
    </w:p>
    <w:p w14:paraId="730E5873">
      <w:pPr>
        <w:spacing w:line="400" w:lineRule="exact"/>
        <w:ind w:firstLine="420" w:firstLineChars="200"/>
        <w:rPr>
          <w:rFonts w:ascii="宋体" w:hAnsi="宋体"/>
        </w:rPr>
      </w:pPr>
      <w:r>
        <w:rPr>
          <w:rFonts w:ascii="宋体" w:hAnsi="宋体"/>
        </w:rPr>
        <w:t xml:space="preserve">15.3.1 </w:t>
      </w:r>
      <w:r>
        <w:rPr>
          <w:rFonts w:hint="eastAsia" w:ascii="宋体" w:hAnsi="宋体"/>
        </w:rPr>
        <w:t>承包人提供</w:t>
      </w:r>
      <w:r>
        <w:rPr>
          <w:rFonts w:ascii="宋体" w:hAnsi="宋体"/>
        </w:rPr>
        <w:t>质量保证金的</w:t>
      </w:r>
      <w:r>
        <w:rPr>
          <w:rFonts w:hint="eastAsia" w:ascii="宋体" w:hAnsi="宋体"/>
        </w:rPr>
        <w:t>方</w:t>
      </w:r>
      <w:r>
        <w:rPr>
          <w:rFonts w:ascii="宋体" w:hAnsi="宋体"/>
        </w:rPr>
        <w:t>式</w:t>
      </w:r>
    </w:p>
    <w:p w14:paraId="4CF1592A">
      <w:pPr>
        <w:spacing w:line="400" w:lineRule="exact"/>
        <w:ind w:firstLine="420" w:firstLineChars="200"/>
        <w:rPr>
          <w:rFonts w:ascii="宋体" w:hAnsi="宋体"/>
        </w:rPr>
      </w:pPr>
      <w:r>
        <w:rPr>
          <w:rFonts w:ascii="宋体" w:hAnsi="宋体"/>
        </w:rPr>
        <w:t>质量保证金采用以下第</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种方式：</w:t>
      </w:r>
    </w:p>
    <w:p w14:paraId="2950B046">
      <w:pPr>
        <w:spacing w:line="400" w:lineRule="exact"/>
        <w:ind w:firstLine="420" w:firstLineChars="200"/>
        <w:rPr>
          <w:rFonts w:ascii="宋体" w:hAnsi="宋体"/>
        </w:rPr>
      </w:pPr>
      <w:r>
        <w:rPr>
          <w:rFonts w:ascii="宋体" w:hAnsi="宋体"/>
        </w:rPr>
        <w:t>（1）质量保证金保函，保证金额为：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30A684B2">
      <w:pPr>
        <w:spacing w:line="400" w:lineRule="exact"/>
        <w:ind w:firstLine="420" w:firstLineChars="200"/>
        <w:rPr>
          <w:rFonts w:ascii="宋体" w:hAnsi="宋体"/>
        </w:rPr>
      </w:pPr>
      <w:r>
        <w:rPr>
          <w:rFonts w:ascii="宋体" w:hAnsi="宋体"/>
        </w:rPr>
        <w:t>（2）</w:t>
      </w:r>
      <w:r>
        <w:rPr>
          <w:rFonts w:ascii="宋体" w:hAnsi="宋体"/>
          <w:u w:val="single"/>
        </w:rPr>
        <w:t xml:space="preserve">    </w:t>
      </w:r>
      <w:r>
        <w:rPr>
          <w:rFonts w:hint="eastAsia" w:ascii="宋体" w:hAnsi="宋体"/>
          <w:u w:val="single"/>
        </w:rPr>
        <w:t xml:space="preserve">1.5  </w:t>
      </w:r>
      <w:r>
        <w:rPr>
          <w:rFonts w:ascii="宋体" w:hAnsi="宋体"/>
          <w:u w:val="single"/>
        </w:rPr>
        <w:t xml:space="preserve">  </w:t>
      </w:r>
      <w:r>
        <w:rPr>
          <w:rFonts w:ascii="宋体" w:hAnsi="宋体"/>
        </w:rPr>
        <w:t>%的工程款；</w:t>
      </w:r>
    </w:p>
    <w:p w14:paraId="09BACEAB">
      <w:pPr>
        <w:spacing w:line="400" w:lineRule="exact"/>
        <w:ind w:firstLine="420" w:firstLineChars="200"/>
        <w:rPr>
          <w:rFonts w:hint="eastAsia" w:ascii="宋体" w:hAnsi="宋体"/>
        </w:rPr>
      </w:pPr>
      <w:r>
        <w:rPr>
          <w:rFonts w:ascii="宋体" w:hAnsi="宋体"/>
        </w:rPr>
        <w:t>（3）其他</w:t>
      </w:r>
      <w:r>
        <w:rPr>
          <w:rFonts w:hint="eastAsia" w:ascii="宋体" w:hAnsi="宋体"/>
        </w:rPr>
        <w:t>方</w:t>
      </w:r>
      <w:r>
        <w:rPr>
          <w:rFonts w:ascii="宋体" w:hAnsi="宋体"/>
        </w:rPr>
        <w:t xml:space="preserve">式: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27434B5">
      <w:pPr>
        <w:spacing w:line="400" w:lineRule="exact"/>
        <w:ind w:firstLine="420" w:firstLineChars="200"/>
        <w:rPr>
          <w:rFonts w:ascii="宋体" w:hAnsi="宋体"/>
        </w:rPr>
      </w:pPr>
      <w:r>
        <w:rPr>
          <w:rFonts w:ascii="宋体" w:hAnsi="宋体"/>
        </w:rPr>
        <w:t xml:space="preserve">15.3.2 质量保证金的扣留 </w:t>
      </w:r>
    </w:p>
    <w:p w14:paraId="217DB7EB">
      <w:pPr>
        <w:spacing w:line="400" w:lineRule="exact"/>
        <w:ind w:firstLine="420" w:firstLineChars="200"/>
        <w:rPr>
          <w:rFonts w:ascii="宋体" w:hAnsi="宋体"/>
        </w:rPr>
      </w:pPr>
      <w:r>
        <w:rPr>
          <w:rFonts w:ascii="宋体" w:hAnsi="宋体"/>
        </w:rPr>
        <w:t>质量保证金的扣留采取以下第</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种方式：</w:t>
      </w:r>
    </w:p>
    <w:p w14:paraId="6AA08C94">
      <w:pPr>
        <w:spacing w:line="400" w:lineRule="exact"/>
        <w:ind w:firstLine="420" w:firstLineChars="200"/>
        <w:rPr>
          <w:rFonts w:ascii="宋体" w:hAnsi="宋体"/>
        </w:rPr>
      </w:pPr>
      <w:r>
        <w:rPr>
          <w:rFonts w:ascii="宋体" w:hAnsi="宋体"/>
        </w:rPr>
        <w:t>（1）在支付工程进度款时逐次扣留，在此情形下，质量保证金的计算基数不包括预付款的支付、扣回以及价格调整的金额；</w:t>
      </w:r>
    </w:p>
    <w:p w14:paraId="33149B9B">
      <w:pPr>
        <w:spacing w:line="400" w:lineRule="exact"/>
        <w:ind w:firstLine="420" w:firstLineChars="200"/>
        <w:rPr>
          <w:rFonts w:ascii="宋体" w:hAnsi="宋体"/>
        </w:rPr>
      </w:pPr>
      <w:r>
        <w:rPr>
          <w:rFonts w:ascii="宋体" w:hAnsi="宋体"/>
        </w:rPr>
        <w:t>（2）工程竣工结算时一次性扣留质量保证金；</w:t>
      </w:r>
    </w:p>
    <w:p w14:paraId="3ECEA0DF">
      <w:pPr>
        <w:spacing w:line="400" w:lineRule="exact"/>
        <w:ind w:firstLine="420" w:firstLineChars="200"/>
        <w:rPr>
          <w:rFonts w:ascii="宋体" w:hAnsi="宋体"/>
        </w:rPr>
      </w:pPr>
      <w:r>
        <w:rPr>
          <w:rFonts w:ascii="宋体" w:hAnsi="宋体"/>
        </w:rPr>
        <w:t xml:space="preserve">（3）其他扣留方式: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5956B59">
      <w:pPr>
        <w:spacing w:line="400" w:lineRule="exact"/>
        <w:ind w:firstLine="420" w:firstLineChars="200"/>
        <w:rPr>
          <w:rFonts w:hint="eastAsia" w:ascii="宋体" w:hAnsi="宋体"/>
        </w:rPr>
      </w:pPr>
      <w:r>
        <w:rPr>
          <w:rFonts w:ascii="宋体" w:hAnsi="宋体"/>
        </w:rPr>
        <w:t>关于质量保证金的补充约定：</w:t>
      </w:r>
    </w:p>
    <w:p w14:paraId="070A0BD4">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472"/>
    <w:bookmarkEnd w:id="2473"/>
    <w:p w14:paraId="2E2DC8B2">
      <w:pPr>
        <w:pStyle w:val="20"/>
        <w:rPr>
          <w:b/>
        </w:rPr>
      </w:pPr>
      <w:bookmarkStart w:id="2503" w:name="_Toc108514150"/>
      <w:r>
        <w:rPr>
          <w:b/>
        </w:rPr>
        <w:t>15.4保修</w:t>
      </w:r>
      <w:bookmarkEnd w:id="2503"/>
    </w:p>
    <w:bookmarkEnd w:id="2474"/>
    <w:p w14:paraId="5CC9C327">
      <w:pPr>
        <w:spacing w:line="400" w:lineRule="exact"/>
        <w:ind w:firstLine="420" w:firstLineChars="200"/>
        <w:rPr>
          <w:rFonts w:ascii="宋体" w:hAnsi="宋体"/>
        </w:rPr>
      </w:pPr>
      <w:r>
        <w:rPr>
          <w:rFonts w:ascii="宋体" w:hAnsi="宋体"/>
        </w:rPr>
        <w:t>15.4.1 保修责任</w:t>
      </w:r>
    </w:p>
    <w:p w14:paraId="1985C009">
      <w:pPr>
        <w:spacing w:line="400" w:lineRule="exact"/>
        <w:ind w:firstLine="420" w:firstLineChars="200"/>
        <w:rPr>
          <w:rFonts w:hint="eastAsia" w:ascii="宋体" w:hAnsi="宋体"/>
        </w:rPr>
      </w:pPr>
      <w:r>
        <w:rPr>
          <w:rFonts w:ascii="宋体" w:hAnsi="宋体"/>
        </w:rPr>
        <w:t xml:space="preserve">工程保修期为： </w:t>
      </w:r>
    </w:p>
    <w:p w14:paraId="3B072857">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0E13754">
      <w:pPr>
        <w:spacing w:line="400" w:lineRule="exact"/>
        <w:ind w:firstLine="420" w:firstLineChars="200"/>
        <w:rPr>
          <w:rFonts w:ascii="宋体" w:hAnsi="宋体"/>
        </w:rPr>
      </w:pPr>
      <w:r>
        <w:rPr>
          <w:rFonts w:ascii="宋体" w:hAnsi="宋体"/>
        </w:rPr>
        <w:t>15.4.3 修复通知</w:t>
      </w:r>
    </w:p>
    <w:p w14:paraId="48098D65">
      <w:pPr>
        <w:spacing w:line="400" w:lineRule="exact"/>
        <w:ind w:firstLine="420" w:firstLineChars="200"/>
        <w:rPr>
          <w:rFonts w:hint="eastAsia" w:ascii="宋体" w:hAnsi="宋体"/>
        </w:rPr>
      </w:pPr>
      <w:r>
        <w:rPr>
          <w:rFonts w:ascii="宋体" w:hAnsi="宋体"/>
        </w:rPr>
        <w:t xml:space="preserve">承包人收到保修通知并到达工程现场的合理时间： </w:t>
      </w:r>
    </w:p>
    <w:p w14:paraId="5928C46D">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475"/>
    <w:bookmarkEnd w:id="2476"/>
    <w:bookmarkEnd w:id="2477"/>
    <w:bookmarkEnd w:id="2478"/>
    <w:p w14:paraId="4166F3FD">
      <w:pPr>
        <w:pStyle w:val="18"/>
        <w:rPr>
          <w:b/>
        </w:rPr>
      </w:pPr>
      <w:bookmarkStart w:id="2504" w:name="_Toc108514151"/>
      <w:bookmarkStart w:id="2505" w:name="_Toc351203648"/>
      <w:bookmarkStart w:id="2506" w:name="_Toc280868717"/>
      <w:bookmarkStart w:id="2507" w:name="_Toc280868718"/>
      <w:r>
        <w:rPr>
          <w:b/>
        </w:rPr>
        <w:t>16. 违约</w:t>
      </w:r>
      <w:bookmarkEnd w:id="2504"/>
      <w:bookmarkEnd w:id="2505"/>
    </w:p>
    <w:p w14:paraId="5D43E0BE">
      <w:pPr>
        <w:pStyle w:val="20"/>
        <w:rPr>
          <w:b/>
        </w:rPr>
      </w:pPr>
      <w:bookmarkStart w:id="2508" w:name="_Toc108514152"/>
      <w:r>
        <w:rPr>
          <w:b/>
        </w:rPr>
        <w:t>16.1 发包人违约</w:t>
      </w:r>
      <w:bookmarkEnd w:id="2508"/>
    </w:p>
    <w:p w14:paraId="3EAE58CA">
      <w:pPr>
        <w:spacing w:line="400" w:lineRule="exact"/>
        <w:ind w:firstLine="420" w:firstLineChars="200"/>
        <w:rPr>
          <w:rFonts w:ascii="宋体" w:hAnsi="宋体"/>
        </w:rPr>
      </w:pPr>
      <w:r>
        <w:rPr>
          <w:rFonts w:ascii="宋体" w:hAnsi="宋体"/>
        </w:rPr>
        <w:t>16.1.1发包人违约的情形</w:t>
      </w:r>
    </w:p>
    <w:p w14:paraId="0668806A">
      <w:pPr>
        <w:spacing w:line="400" w:lineRule="exact"/>
        <w:ind w:firstLine="420" w:firstLineChars="200"/>
        <w:rPr>
          <w:rFonts w:hint="eastAsia" w:ascii="宋体" w:hAnsi="宋体"/>
        </w:rPr>
      </w:pPr>
      <w:r>
        <w:rPr>
          <w:rFonts w:ascii="宋体" w:hAnsi="宋体"/>
        </w:rPr>
        <w:t>发包人违约的其他情形：</w:t>
      </w:r>
    </w:p>
    <w:p w14:paraId="46652D08">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EC47F34">
      <w:pPr>
        <w:spacing w:line="400" w:lineRule="exact"/>
        <w:ind w:firstLine="420" w:firstLineChars="200"/>
        <w:rPr>
          <w:rFonts w:ascii="宋体" w:hAnsi="宋体"/>
        </w:rPr>
      </w:pPr>
      <w:r>
        <w:rPr>
          <w:rFonts w:ascii="宋体" w:hAnsi="宋体"/>
        </w:rPr>
        <w:t>16.1.2 发包人违约的责任</w:t>
      </w:r>
    </w:p>
    <w:p w14:paraId="433E67D0">
      <w:pPr>
        <w:spacing w:line="400" w:lineRule="exact"/>
        <w:ind w:firstLine="420" w:firstLineChars="200"/>
        <w:rPr>
          <w:rFonts w:ascii="宋体" w:hAnsi="宋体"/>
        </w:rPr>
      </w:pPr>
      <w:r>
        <w:rPr>
          <w:rFonts w:ascii="宋体" w:hAnsi="宋体"/>
        </w:rPr>
        <w:t>发包人违约责任的承担方式和计算方法：</w:t>
      </w:r>
    </w:p>
    <w:p w14:paraId="361FA066">
      <w:pPr>
        <w:spacing w:line="400" w:lineRule="exact"/>
        <w:ind w:firstLine="420" w:firstLineChars="200"/>
        <w:rPr>
          <w:rFonts w:hint="eastAsia" w:ascii="宋体" w:hAnsi="宋体"/>
        </w:rPr>
      </w:pPr>
      <w:r>
        <w:rPr>
          <w:rFonts w:ascii="宋体" w:hAnsi="宋体"/>
        </w:rPr>
        <w:t>（1）因发包人原因未能在计划开工日期前7天内下达开工通知的违约责任：</w:t>
      </w:r>
    </w:p>
    <w:p w14:paraId="79A72C53">
      <w:pPr>
        <w:spacing w:line="400" w:lineRule="exact"/>
        <w:ind w:firstLine="420" w:firstLineChars="200"/>
        <w:rPr>
          <w:rFonts w:hint="eastAsia" w:ascii="宋体" w:hAnsi="宋体"/>
        </w:rPr>
      </w:pPr>
      <w:r>
        <w:rPr>
          <w:rFonts w:ascii="宋体" w:hAnsi="宋体"/>
        </w:rPr>
        <w:t xml:space="preserve"> </w:t>
      </w: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C17FC33">
      <w:pPr>
        <w:spacing w:line="400" w:lineRule="exact"/>
        <w:ind w:firstLine="420" w:firstLineChars="200"/>
        <w:rPr>
          <w:rFonts w:hint="eastAsia" w:ascii="宋体" w:hAnsi="宋体"/>
        </w:rPr>
      </w:pPr>
      <w:r>
        <w:rPr>
          <w:rFonts w:ascii="宋体" w:hAnsi="宋体"/>
        </w:rPr>
        <w:t>（2）因发包人原因未能按合同约定支付合同价款的违约责任：</w:t>
      </w:r>
    </w:p>
    <w:p w14:paraId="09643B87">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5CDF963">
      <w:pPr>
        <w:spacing w:line="400" w:lineRule="exact"/>
        <w:ind w:firstLine="420" w:firstLineChars="200"/>
        <w:rPr>
          <w:rFonts w:hint="eastAsia" w:ascii="宋体" w:hAnsi="宋体"/>
        </w:rPr>
      </w:pPr>
      <w:r>
        <w:rPr>
          <w:rFonts w:ascii="宋体" w:hAnsi="宋体"/>
        </w:rPr>
        <w:t>（3）发包人违反第10.1款</w:t>
      </w:r>
      <w:r>
        <w:rPr>
          <w:rFonts w:hint="eastAsia" w:ascii="宋体" w:hAnsi="宋体"/>
        </w:rPr>
        <w:t>〔</w:t>
      </w:r>
      <w:r>
        <w:rPr>
          <w:rFonts w:ascii="宋体" w:hAnsi="宋体"/>
        </w:rPr>
        <w:t>变更的范围</w:t>
      </w:r>
      <w:r>
        <w:rPr>
          <w:rFonts w:hint="eastAsia" w:ascii="宋体" w:hAnsi="宋体"/>
        </w:rPr>
        <w:t>〕</w:t>
      </w:r>
      <w:r>
        <w:rPr>
          <w:rFonts w:ascii="宋体" w:hAnsi="宋体"/>
        </w:rPr>
        <w:t xml:space="preserve">第（2）项约定，自行实施被取消的工作或转由他人实施的违约责任：      </w:t>
      </w:r>
      <w:r>
        <w:rPr>
          <w:rFonts w:hint="eastAsia" w:ascii="宋体" w:hAnsi="宋体"/>
        </w:rPr>
        <w:t xml:space="preserve">        </w:t>
      </w:r>
    </w:p>
    <w:p w14:paraId="2CAD09A3">
      <w:pPr>
        <w:spacing w:line="400" w:lineRule="exact"/>
        <w:ind w:firstLine="420" w:firstLineChars="200"/>
        <w:rPr>
          <w:rFonts w:hint="eastAsia" w:ascii="宋体" w:hAnsi="宋体"/>
        </w:rPr>
      </w:pPr>
      <w:r>
        <w:rPr>
          <w:rFonts w:ascii="宋体" w:hAnsi="宋体"/>
        </w:rPr>
        <w:t xml:space="preserve"> </w:t>
      </w: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09F5A63">
      <w:pPr>
        <w:spacing w:line="400" w:lineRule="exact"/>
        <w:ind w:firstLine="420" w:firstLineChars="200"/>
        <w:rPr>
          <w:rFonts w:hint="eastAsia" w:ascii="宋体" w:hAnsi="宋体"/>
        </w:rPr>
      </w:pPr>
      <w:r>
        <w:rPr>
          <w:rFonts w:ascii="宋体" w:hAnsi="宋体"/>
        </w:rPr>
        <w:t xml:space="preserve">（4）发包人提供的材料、工程设备的规格、数量或质量不符合合同约定，或因发包人原因导致交货日期延误或交货地点变更等情况的违约责任：        </w:t>
      </w:r>
      <w:r>
        <w:rPr>
          <w:rFonts w:hint="eastAsia" w:ascii="宋体" w:hAnsi="宋体"/>
        </w:rPr>
        <w:t xml:space="preserve">          </w:t>
      </w:r>
    </w:p>
    <w:p w14:paraId="123A346B">
      <w:pPr>
        <w:spacing w:line="400" w:lineRule="exact"/>
        <w:ind w:firstLine="420" w:firstLineChars="200"/>
        <w:rPr>
          <w:rFonts w:hint="eastAsia" w:ascii="宋体" w:hAnsi="宋体"/>
        </w:rPr>
      </w:pPr>
      <w:r>
        <w:rPr>
          <w:rFonts w:ascii="宋体" w:hAnsi="宋体"/>
        </w:rPr>
        <w:t xml:space="preserve"> </w:t>
      </w: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51AB0B4">
      <w:pPr>
        <w:spacing w:line="400" w:lineRule="exact"/>
        <w:ind w:firstLine="420" w:firstLineChars="200"/>
        <w:rPr>
          <w:rFonts w:ascii="宋体" w:hAnsi="宋体"/>
        </w:rPr>
      </w:pPr>
      <w:r>
        <w:rPr>
          <w:rFonts w:ascii="宋体" w:hAnsi="宋体"/>
        </w:rPr>
        <w:t xml:space="preserve">（5）因发包人违反合同约定造成暂停施工的违约责任：     </w:t>
      </w:r>
    </w:p>
    <w:p w14:paraId="1286FB93">
      <w:pPr>
        <w:spacing w:line="400" w:lineRule="exact"/>
        <w:ind w:firstLine="420" w:firstLineChars="200"/>
        <w:rPr>
          <w:rFonts w:hint="eastAsia" w:ascii="宋体" w:hAnsi="宋体"/>
        </w:rPr>
      </w:pPr>
      <w:r>
        <w:rPr>
          <w:rFonts w:ascii="宋体" w:hAnsi="宋体"/>
        </w:rPr>
        <w:t xml:space="preserve"> </w:t>
      </w: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0F655EB">
      <w:pPr>
        <w:spacing w:line="400" w:lineRule="exact"/>
        <w:ind w:firstLine="420" w:firstLineChars="200"/>
        <w:rPr>
          <w:rFonts w:hint="eastAsia" w:ascii="宋体" w:hAnsi="宋体"/>
        </w:rPr>
      </w:pPr>
      <w:r>
        <w:rPr>
          <w:rFonts w:ascii="宋体" w:hAnsi="宋体"/>
        </w:rPr>
        <w:t xml:space="preserve">（6）发包人无正当理由没有在约定期限内发出复工指示，导致承包人无法复工的违约责任： </w:t>
      </w:r>
    </w:p>
    <w:p w14:paraId="51A85CD8">
      <w:pPr>
        <w:spacing w:line="400" w:lineRule="exact"/>
        <w:ind w:firstLine="420" w:firstLineChars="200"/>
        <w:rPr>
          <w:rFonts w:hint="eastAsia" w:ascii="宋体" w:hAnsi="宋体"/>
        </w:rPr>
      </w:pPr>
      <w:r>
        <w:rPr>
          <w:rFonts w:ascii="宋体" w:hAnsi="宋体"/>
        </w:rPr>
        <w:t xml:space="preserve"> </w:t>
      </w: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7A0263A">
      <w:pPr>
        <w:spacing w:line="400" w:lineRule="exact"/>
        <w:ind w:firstLine="420" w:firstLineChars="200"/>
        <w:rPr>
          <w:rFonts w:hint="eastAsia" w:ascii="宋体" w:hAnsi="宋体"/>
        </w:rPr>
      </w:pPr>
      <w:r>
        <w:rPr>
          <w:rFonts w:ascii="宋体" w:hAnsi="宋体"/>
        </w:rPr>
        <w:t>（7）</w:t>
      </w:r>
      <w:r>
        <w:rPr>
          <w:rFonts w:hint="eastAsia" w:ascii="宋体" w:hAnsi="宋体"/>
        </w:rPr>
        <w:t>其他：</w:t>
      </w:r>
    </w:p>
    <w:p w14:paraId="6C6A701B">
      <w:pPr>
        <w:spacing w:line="400" w:lineRule="exact"/>
        <w:ind w:firstLine="525" w:firstLineChars="25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1D4BA45">
      <w:pPr>
        <w:spacing w:line="400" w:lineRule="exact"/>
        <w:ind w:firstLine="420" w:firstLineChars="200"/>
        <w:rPr>
          <w:rFonts w:ascii="宋体" w:hAnsi="宋体"/>
        </w:rPr>
      </w:pPr>
      <w:r>
        <w:rPr>
          <w:rFonts w:ascii="宋体" w:hAnsi="宋体"/>
        </w:rPr>
        <w:t>16.1.3 因发包人违约解除合同</w:t>
      </w:r>
    </w:p>
    <w:p w14:paraId="64346DA1">
      <w:pPr>
        <w:spacing w:line="400" w:lineRule="exact"/>
        <w:ind w:firstLine="420" w:firstLineChars="200"/>
        <w:rPr>
          <w:rFonts w:hint="eastAsia"/>
        </w:rPr>
      </w:pPr>
      <w:r>
        <w:rPr>
          <w:rFonts w:ascii="宋体" w:hAnsi="宋体"/>
        </w:rPr>
        <w:t>承包人按16.1.1项</w:t>
      </w:r>
      <w:r>
        <w:rPr>
          <w:rFonts w:hint="eastAsia" w:ascii="宋体" w:hAnsi="宋体"/>
        </w:rPr>
        <w:t>〔</w:t>
      </w:r>
      <w:r>
        <w:rPr>
          <w:rFonts w:ascii="宋体" w:hAnsi="宋体"/>
        </w:rPr>
        <w:t>发包人违约的情形</w:t>
      </w:r>
      <w:r>
        <w:rPr>
          <w:rFonts w:hint="eastAsia" w:ascii="宋体" w:hAnsi="宋体"/>
        </w:rPr>
        <w:t>〕</w:t>
      </w:r>
      <w:r>
        <w:rPr>
          <w:rFonts w:ascii="宋体" w:hAnsi="宋体"/>
        </w:rPr>
        <w:t>约定暂停施工满</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天后发包人仍不纠正其违约行为并致使合同目的不能实现的，承包人有权解除合同。</w:t>
      </w:r>
    </w:p>
    <w:p w14:paraId="6E986196">
      <w:pPr>
        <w:pStyle w:val="20"/>
        <w:rPr>
          <w:b/>
        </w:rPr>
      </w:pPr>
      <w:bookmarkStart w:id="2509" w:name="_Toc108514153"/>
      <w:r>
        <w:rPr>
          <w:b/>
        </w:rPr>
        <w:t>16.2 承包人违约</w:t>
      </w:r>
      <w:bookmarkEnd w:id="2509"/>
    </w:p>
    <w:p w14:paraId="58463552">
      <w:pPr>
        <w:spacing w:line="400" w:lineRule="exact"/>
        <w:ind w:firstLine="420" w:firstLineChars="200"/>
        <w:rPr>
          <w:rFonts w:ascii="宋体" w:hAnsi="宋体"/>
        </w:rPr>
      </w:pPr>
      <w:r>
        <w:rPr>
          <w:rFonts w:ascii="宋体" w:hAnsi="宋体"/>
        </w:rPr>
        <w:t>16.2.1 承包人违约的情形</w:t>
      </w:r>
    </w:p>
    <w:p w14:paraId="51B2BD4F">
      <w:pPr>
        <w:spacing w:line="400" w:lineRule="exact"/>
        <w:ind w:firstLine="420" w:firstLineChars="200"/>
        <w:rPr>
          <w:rFonts w:hint="eastAsia" w:ascii="宋体" w:hAnsi="宋体"/>
        </w:rPr>
      </w:pPr>
      <w:r>
        <w:rPr>
          <w:rFonts w:ascii="宋体" w:hAnsi="宋体"/>
        </w:rPr>
        <w:t>承包人违约的其他情形：</w:t>
      </w:r>
    </w:p>
    <w:p w14:paraId="328F548A">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DB630ED">
      <w:pPr>
        <w:spacing w:line="400" w:lineRule="exact"/>
        <w:ind w:firstLine="420" w:firstLineChars="200"/>
        <w:rPr>
          <w:rFonts w:ascii="宋体" w:hAnsi="宋体"/>
        </w:rPr>
      </w:pPr>
      <w:r>
        <w:rPr>
          <w:rFonts w:ascii="宋体" w:hAnsi="宋体"/>
        </w:rPr>
        <w:t>16.2.2承包人违约的责任</w:t>
      </w:r>
    </w:p>
    <w:p w14:paraId="4F5F4951">
      <w:pPr>
        <w:spacing w:line="400" w:lineRule="exact"/>
        <w:ind w:firstLine="420" w:firstLineChars="200"/>
        <w:rPr>
          <w:rFonts w:hint="eastAsia" w:ascii="宋体" w:hAnsi="宋体"/>
        </w:rPr>
      </w:pPr>
      <w:r>
        <w:rPr>
          <w:rFonts w:ascii="宋体" w:hAnsi="宋体"/>
        </w:rPr>
        <w:t>承包人违约责任的承担方式和计算方法：</w:t>
      </w:r>
    </w:p>
    <w:p w14:paraId="243A3D7B">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40B5A530">
      <w:pPr>
        <w:spacing w:line="400" w:lineRule="exact"/>
        <w:ind w:firstLine="420" w:firstLineChars="200"/>
        <w:rPr>
          <w:rFonts w:ascii="宋体" w:hAnsi="宋体"/>
        </w:rPr>
      </w:pPr>
      <w:r>
        <w:rPr>
          <w:rFonts w:ascii="宋体" w:hAnsi="宋体"/>
        </w:rPr>
        <w:t>16.2.3 因承包人违约解除合同</w:t>
      </w:r>
    </w:p>
    <w:p w14:paraId="48587A9C">
      <w:pPr>
        <w:spacing w:line="400" w:lineRule="exact"/>
        <w:ind w:firstLine="420" w:firstLineChars="200"/>
        <w:rPr>
          <w:rFonts w:hint="eastAsia" w:ascii="宋体" w:hAnsi="宋体"/>
        </w:rPr>
      </w:pPr>
      <w:r>
        <w:rPr>
          <w:rFonts w:ascii="宋体" w:hAnsi="宋体"/>
        </w:rPr>
        <w:t xml:space="preserve">关于承包人违约解除合同的特别约定：        </w:t>
      </w:r>
      <w:r>
        <w:rPr>
          <w:rFonts w:hint="eastAsia" w:ascii="宋体" w:hAnsi="宋体"/>
        </w:rPr>
        <w:t xml:space="preserve">       </w:t>
      </w:r>
      <w:r>
        <w:rPr>
          <w:rFonts w:ascii="宋体" w:hAnsi="宋体"/>
        </w:rPr>
        <w:t xml:space="preserve">     </w:t>
      </w:r>
    </w:p>
    <w:p w14:paraId="5FF85F86">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8059C2E">
      <w:pPr>
        <w:spacing w:line="400" w:lineRule="exact"/>
        <w:ind w:firstLine="420" w:firstLineChars="200"/>
        <w:rPr>
          <w:rFonts w:hint="eastAsia" w:ascii="宋体" w:hAnsi="宋体"/>
        </w:rPr>
      </w:pPr>
      <w:r>
        <w:rPr>
          <w:rFonts w:ascii="宋体" w:hAnsi="宋体"/>
        </w:rPr>
        <w:t>发包人</w:t>
      </w:r>
      <w:r>
        <w:rPr>
          <w:rFonts w:hint="eastAsia" w:ascii="宋体" w:hAnsi="宋体"/>
        </w:rPr>
        <w:t>继续</w:t>
      </w:r>
      <w:r>
        <w:rPr>
          <w:rFonts w:ascii="宋体" w:hAnsi="宋体"/>
        </w:rPr>
        <w:t>使用承包人在施工现场的材料、设备、临时工程、承包人文件和由承包人或以其名义编制的其他文件</w:t>
      </w:r>
      <w:r>
        <w:rPr>
          <w:rFonts w:hint="eastAsia" w:ascii="宋体" w:hAnsi="宋体"/>
        </w:rPr>
        <w:t>的费用承担方式</w:t>
      </w:r>
      <w:r>
        <w:rPr>
          <w:rFonts w:ascii="宋体" w:hAnsi="宋体"/>
        </w:rPr>
        <w:t>：</w:t>
      </w:r>
    </w:p>
    <w:p w14:paraId="4EE57D38">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65B926D1">
      <w:pPr>
        <w:pStyle w:val="18"/>
        <w:rPr>
          <w:b/>
        </w:rPr>
      </w:pPr>
      <w:bookmarkStart w:id="2510" w:name="_Toc351203649"/>
      <w:bookmarkStart w:id="2511" w:name="_Toc108514154"/>
      <w:r>
        <w:rPr>
          <w:b/>
        </w:rPr>
        <w:t>17. 不可抗力</w:t>
      </w:r>
      <w:bookmarkEnd w:id="2510"/>
      <w:bookmarkEnd w:id="2511"/>
      <w:r>
        <w:rPr>
          <w:b/>
        </w:rPr>
        <w:t xml:space="preserve"> </w:t>
      </w:r>
      <w:bookmarkEnd w:id="2506"/>
    </w:p>
    <w:p w14:paraId="0E7281EE">
      <w:pPr>
        <w:pStyle w:val="20"/>
        <w:rPr>
          <w:b/>
        </w:rPr>
      </w:pPr>
      <w:bookmarkStart w:id="2512" w:name="_Toc108514155"/>
      <w:r>
        <w:rPr>
          <w:b/>
        </w:rPr>
        <w:t>17.1 不可抗力的确认</w:t>
      </w:r>
      <w:bookmarkEnd w:id="2512"/>
    </w:p>
    <w:p w14:paraId="1D870F44">
      <w:pPr>
        <w:spacing w:line="400" w:lineRule="exact"/>
        <w:ind w:firstLine="420" w:firstLineChars="200"/>
        <w:rPr>
          <w:rFonts w:hint="eastAsia" w:ascii="宋体" w:hAnsi="宋体"/>
        </w:rPr>
      </w:pPr>
      <w:r>
        <w:rPr>
          <w:rFonts w:ascii="宋体" w:hAnsi="宋体"/>
        </w:rPr>
        <w:t xml:space="preserve">除通用合同条款约定的不可抗力事件之外，视为不可抗力的其他情形： </w:t>
      </w:r>
    </w:p>
    <w:p w14:paraId="57721BCD">
      <w:pPr>
        <w:spacing w:line="400" w:lineRule="exact"/>
        <w:ind w:firstLine="420" w:firstLineChars="200"/>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D1BCDA6">
      <w:pPr>
        <w:pStyle w:val="20"/>
        <w:rPr>
          <w:b/>
        </w:rPr>
      </w:pPr>
      <w:bookmarkStart w:id="2513" w:name="_Toc108514156"/>
      <w:r>
        <w:rPr>
          <w:b/>
        </w:rPr>
        <w:t>17.4 因不可抗力解除合同</w:t>
      </w:r>
      <w:bookmarkEnd w:id="2513"/>
    </w:p>
    <w:p w14:paraId="302D8471">
      <w:pPr>
        <w:spacing w:line="400" w:lineRule="exact"/>
        <w:ind w:firstLine="420" w:firstLineChars="200"/>
        <w:rPr>
          <w:rFonts w:hint="eastAsia"/>
        </w:rPr>
      </w:pPr>
      <w:r>
        <w:t>合同解除后，发包人应在商定或确定发包人应支付款项后</w:t>
      </w:r>
      <w:r>
        <w:rPr>
          <w:u w:val="single"/>
        </w:rPr>
        <w:t xml:space="preserve">  </w:t>
      </w:r>
      <w:r>
        <w:rPr>
          <w:rFonts w:hint="eastAsia"/>
          <w:u w:val="single"/>
        </w:rPr>
        <w:t xml:space="preserve">  </w:t>
      </w:r>
      <w:r>
        <w:rPr>
          <w:u w:val="single"/>
        </w:rPr>
        <w:t xml:space="preserve">  </w:t>
      </w:r>
      <w:r>
        <w:t>天内完成款项的支付。</w:t>
      </w:r>
    </w:p>
    <w:p w14:paraId="11389DBC">
      <w:pPr>
        <w:pStyle w:val="18"/>
        <w:rPr>
          <w:b/>
        </w:rPr>
      </w:pPr>
      <w:bookmarkStart w:id="2514" w:name="_Toc351203650"/>
      <w:bookmarkStart w:id="2515" w:name="_Toc108514157"/>
      <w:r>
        <w:rPr>
          <w:b/>
        </w:rPr>
        <w:t>18. 保险</w:t>
      </w:r>
      <w:bookmarkEnd w:id="2514"/>
      <w:bookmarkEnd w:id="2515"/>
    </w:p>
    <w:bookmarkEnd w:id="2507"/>
    <w:p w14:paraId="110BFD65">
      <w:pPr>
        <w:pStyle w:val="20"/>
        <w:rPr>
          <w:b/>
        </w:rPr>
      </w:pPr>
      <w:bookmarkStart w:id="2516" w:name="_Toc108514158"/>
      <w:r>
        <w:rPr>
          <w:b/>
        </w:rPr>
        <w:t>18.1 工程保险</w:t>
      </w:r>
      <w:bookmarkEnd w:id="2516"/>
    </w:p>
    <w:p w14:paraId="03823563">
      <w:pPr>
        <w:spacing w:line="400" w:lineRule="exact"/>
        <w:ind w:firstLine="420" w:firstLineChars="200"/>
        <w:rPr>
          <w:rFonts w:hint="eastAsia" w:ascii="宋体" w:hAnsi="宋体"/>
        </w:rPr>
      </w:pPr>
      <w:r>
        <w:rPr>
          <w:rFonts w:ascii="宋体" w:hAnsi="宋体"/>
        </w:rPr>
        <w:t>关于工程保险的特别约定：</w:t>
      </w:r>
    </w:p>
    <w:p w14:paraId="30F7EDAB">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70FEC71B">
      <w:pPr>
        <w:pStyle w:val="20"/>
        <w:rPr>
          <w:b/>
        </w:rPr>
      </w:pPr>
      <w:bookmarkStart w:id="2517" w:name="_Toc108514159"/>
      <w:r>
        <w:rPr>
          <w:b/>
        </w:rPr>
        <w:t>18.3 其他保险</w:t>
      </w:r>
      <w:bookmarkEnd w:id="2517"/>
    </w:p>
    <w:p w14:paraId="744F72D9">
      <w:pPr>
        <w:spacing w:line="400" w:lineRule="exact"/>
        <w:ind w:firstLine="420" w:firstLineChars="200"/>
        <w:rPr>
          <w:rFonts w:hint="eastAsia" w:ascii="宋体" w:hAnsi="宋体"/>
        </w:rPr>
      </w:pPr>
      <w:r>
        <w:rPr>
          <w:rFonts w:ascii="宋体" w:hAnsi="宋体"/>
        </w:rPr>
        <w:t>关于其他保险的约定：</w:t>
      </w:r>
    </w:p>
    <w:p w14:paraId="60891D1B">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B05CC07">
      <w:pPr>
        <w:spacing w:line="400" w:lineRule="exact"/>
        <w:ind w:firstLine="420" w:firstLineChars="200"/>
        <w:rPr>
          <w:rFonts w:hint="eastAsia" w:ascii="宋体" w:hAnsi="宋体"/>
        </w:rPr>
      </w:pPr>
      <w:r>
        <w:rPr>
          <w:rFonts w:ascii="宋体" w:hAnsi="宋体"/>
        </w:rPr>
        <w:t>承包人是否应为其施工设备等办理财产保险：</w:t>
      </w:r>
    </w:p>
    <w:p w14:paraId="5CB0E571">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3A74187F">
      <w:pPr>
        <w:pStyle w:val="20"/>
        <w:rPr>
          <w:b/>
        </w:rPr>
      </w:pPr>
      <w:bookmarkStart w:id="2518" w:name="_Toc108514160"/>
      <w:r>
        <w:rPr>
          <w:b/>
        </w:rPr>
        <w:t>18.7 通知义务</w:t>
      </w:r>
      <w:bookmarkEnd w:id="2518"/>
    </w:p>
    <w:p w14:paraId="2635AC7C">
      <w:pPr>
        <w:spacing w:line="400" w:lineRule="exact"/>
        <w:ind w:firstLine="420" w:firstLineChars="200"/>
        <w:rPr>
          <w:rFonts w:hint="eastAsia" w:ascii="宋体" w:hAnsi="宋体"/>
        </w:rPr>
      </w:pPr>
      <w:r>
        <w:rPr>
          <w:rFonts w:ascii="宋体" w:hAnsi="宋体"/>
        </w:rPr>
        <w:t>关于变更保险合同时的通知义务的约定：</w:t>
      </w:r>
    </w:p>
    <w:p w14:paraId="2E038CB8">
      <w:pPr>
        <w:spacing w:line="400" w:lineRule="exact"/>
        <w:ind w:firstLine="420" w:firstLineChars="200"/>
        <w:rPr>
          <w:rFonts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479"/>
    <w:bookmarkEnd w:id="2480"/>
    <w:bookmarkEnd w:id="2481"/>
    <w:bookmarkEnd w:id="2482"/>
    <w:bookmarkEnd w:id="2483"/>
    <w:bookmarkEnd w:id="2484"/>
    <w:bookmarkEnd w:id="2485"/>
    <w:bookmarkEnd w:id="2486"/>
    <w:bookmarkEnd w:id="2487"/>
    <w:bookmarkEnd w:id="2488"/>
    <w:bookmarkEnd w:id="2489"/>
    <w:bookmarkEnd w:id="2490"/>
    <w:p w14:paraId="24BE6A40">
      <w:pPr>
        <w:pStyle w:val="18"/>
        <w:rPr>
          <w:b/>
        </w:rPr>
      </w:pPr>
      <w:bookmarkStart w:id="2519" w:name="_Toc351203651"/>
      <w:bookmarkStart w:id="2520" w:name="_Toc108514161"/>
      <w:r>
        <w:rPr>
          <w:b/>
        </w:rPr>
        <w:t>20. 争议解决</w:t>
      </w:r>
      <w:bookmarkEnd w:id="2519"/>
      <w:bookmarkEnd w:id="2520"/>
    </w:p>
    <w:bookmarkEnd w:id="2491"/>
    <w:bookmarkEnd w:id="2492"/>
    <w:p w14:paraId="7C7DEFE8">
      <w:pPr>
        <w:pStyle w:val="20"/>
        <w:rPr>
          <w:b/>
        </w:rPr>
      </w:pPr>
      <w:bookmarkStart w:id="2521" w:name="_Toc108514162"/>
      <w:r>
        <w:rPr>
          <w:b/>
        </w:rPr>
        <w:t>20.3 争</w:t>
      </w:r>
      <w:bookmarkEnd w:id="2493"/>
      <w:r>
        <w:rPr>
          <w:b/>
        </w:rPr>
        <w:t>议评审</w:t>
      </w:r>
      <w:bookmarkEnd w:id="2521"/>
    </w:p>
    <w:p w14:paraId="1C086E22">
      <w:pPr>
        <w:spacing w:line="400" w:lineRule="exact"/>
        <w:ind w:firstLine="420" w:firstLineChars="200"/>
        <w:rPr>
          <w:rFonts w:hint="eastAsia" w:ascii="宋体" w:hAnsi="宋体"/>
        </w:rPr>
      </w:pPr>
      <w:r>
        <w:rPr>
          <w:rFonts w:ascii="宋体" w:hAnsi="宋体"/>
        </w:rPr>
        <w:t>合同当事人是否同意将工程争议提交争议评审小组决</w:t>
      </w:r>
      <w:r>
        <w:rPr>
          <w:rFonts w:hint="eastAsia" w:ascii="宋体" w:hAnsi="宋体"/>
        </w:rPr>
        <w:t>定：</w:t>
      </w:r>
    </w:p>
    <w:p w14:paraId="58567AC3">
      <w:pPr>
        <w:spacing w:line="400" w:lineRule="exact"/>
        <w:ind w:firstLine="420" w:firstLineChars="200"/>
        <w:rPr>
          <w:rFonts w:hint="eastAsia" w:ascii="宋体" w:hAnsi="宋体"/>
        </w:rPr>
      </w:pPr>
      <w:r>
        <w:rPr>
          <w:rFonts w:ascii="宋体" w:hAnsi="宋体"/>
          <w:u w:val="single"/>
        </w:rPr>
        <w:t xml:space="preserve">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2CF84298">
      <w:pPr>
        <w:spacing w:line="400" w:lineRule="exact"/>
        <w:ind w:firstLine="420" w:firstLineChars="200"/>
        <w:rPr>
          <w:rFonts w:ascii="宋体" w:hAnsi="宋体"/>
        </w:rPr>
      </w:pPr>
      <w:r>
        <w:rPr>
          <w:rFonts w:ascii="宋体" w:hAnsi="宋体"/>
        </w:rPr>
        <w:t>20.3.1 争议评审小组的确定</w:t>
      </w:r>
    </w:p>
    <w:p w14:paraId="69080B39">
      <w:pPr>
        <w:spacing w:line="400" w:lineRule="exact"/>
        <w:ind w:firstLine="420" w:firstLineChars="200"/>
        <w:rPr>
          <w:rFonts w:ascii="宋体" w:hAnsi="宋体"/>
        </w:rPr>
      </w:pPr>
      <w:r>
        <w:rPr>
          <w:rFonts w:ascii="宋体" w:hAnsi="宋体"/>
        </w:rPr>
        <w:t>争议评审小组成员的确定：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0DF4322">
      <w:pPr>
        <w:spacing w:line="400" w:lineRule="exact"/>
        <w:ind w:firstLine="420" w:firstLineChars="200"/>
        <w:rPr>
          <w:rFonts w:ascii="宋体" w:hAnsi="宋体"/>
        </w:rPr>
      </w:pPr>
      <w:r>
        <w:rPr>
          <w:rFonts w:ascii="宋体" w:hAnsi="宋体"/>
        </w:rPr>
        <w:t>选定争议评审员的期限：</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0A475117">
      <w:pPr>
        <w:spacing w:line="400" w:lineRule="exact"/>
        <w:ind w:firstLine="420" w:firstLineChars="200"/>
        <w:rPr>
          <w:rFonts w:ascii="宋体" w:hAnsi="宋体"/>
        </w:rPr>
      </w:pPr>
      <w:r>
        <w:rPr>
          <w:rFonts w:ascii="宋体" w:hAnsi="宋体"/>
        </w:rPr>
        <w:t>争议评审小组成员的报酬承担方式：</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149D19E7">
      <w:pPr>
        <w:spacing w:line="400" w:lineRule="exact"/>
        <w:ind w:firstLine="420" w:firstLineChars="200"/>
        <w:rPr>
          <w:rFonts w:ascii="宋体" w:hAnsi="宋体"/>
        </w:rPr>
      </w:pPr>
      <w:r>
        <w:rPr>
          <w:rFonts w:ascii="宋体" w:hAnsi="宋体"/>
        </w:rPr>
        <w:t>其他事项的约定：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49B28C1A">
      <w:pPr>
        <w:spacing w:line="400" w:lineRule="exact"/>
        <w:ind w:firstLine="420" w:firstLineChars="200"/>
        <w:rPr>
          <w:rFonts w:ascii="宋体" w:hAnsi="宋体"/>
        </w:rPr>
      </w:pPr>
      <w:r>
        <w:rPr>
          <w:rFonts w:ascii="宋体" w:hAnsi="宋体"/>
        </w:rPr>
        <w:t>20.3.2 争议评审小组的决定</w:t>
      </w:r>
    </w:p>
    <w:p w14:paraId="0BCF37CD">
      <w:pPr>
        <w:spacing w:line="400" w:lineRule="exact"/>
        <w:ind w:firstLine="420" w:firstLineChars="200"/>
      </w:pPr>
      <w:r>
        <w:rPr>
          <w:rFonts w:ascii="宋体" w:hAnsi="宋体"/>
        </w:rPr>
        <w:t>合同当事人关于本项的约定：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14:paraId="5DA7C1E5">
      <w:pPr>
        <w:pStyle w:val="20"/>
        <w:rPr>
          <w:rFonts w:hint="eastAsia"/>
          <w:b/>
        </w:rPr>
      </w:pPr>
      <w:bookmarkStart w:id="2522" w:name="_Toc108514163"/>
      <w:r>
        <w:rPr>
          <w:b/>
        </w:rPr>
        <w:t>20.4仲裁或诉讼</w:t>
      </w:r>
      <w:bookmarkEnd w:id="2494"/>
      <w:bookmarkEnd w:id="2522"/>
    </w:p>
    <w:p w14:paraId="3100E95C">
      <w:pPr>
        <w:spacing w:line="400" w:lineRule="exact"/>
        <w:ind w:firstLine="420" w:firstLineChars="200"/>
        <w:rPr>
          <w:rFonts w:ascii="宋体" w:hAnsi="宋体"/>
        </w:rPr>
      </w:pPr>
      <w:r>
        <w:rPr>
          <w:rFonts w:ascii="宋体" w:hAnsi="宋体"/>
        </w:rPr>
        <w:t>因合同及合同有关事项发生的争议，按下列第</w:t>
      </w:r>
      <w:r>
        <w:rPr>
          <w:rFonts w:ascii="宋体" w:hAnsi="宋体"/>
          <w:u w:val="single"/>
        </w:rPr>
        <w:t xml:space="preserve">     </w:t>
      </w:r>
      <w:r>
        <w:rPr>
          <w:rFonts w:ascii="宋体" w:hAnsi="宋体"/>
        </w:rPr>
        <w:t>种方式</w:t>
      </w:r>
      <w:r>
        <w:rPr>
          <w:rFonts w:hint="eastAsia" w:ascii="宋体" w:hAnsi="宋体"/>
        </w:rPr>
        <w:t>解</w:t>
      </w:r>
      <w:r>
        <w:rPr>
          <w:rFonts w:ascii="宋体" w:hAnsi="宋体"/>
        </w:rPr>
        <w:t>决：</w:t>
      </w:r>
    </w:p>
    <w:p w14:paraId="1458EBB2">
      <w:pPr>
        <w:spacing w:line="400" w:lineRule="exact"/>
        <w:ind w:firstLine="420" w:firstLineChars="200"/>
        <w:rPr>
          <w:rFonts w:ascii="宋体" w:hAnsi="宋体"/>
        </w:rPr>
      </w:pPr>
      <w:r>
        <w:rPr>
          <w:rFonts w:ascii="宋体" w:hAnsi="宋体"/>
        </w:rPr>
        <w:t>（1）向</w:t>
      </w:r>
      <w:r>
        <w:rPr>
          <w:rFonts w:ascii="宋体" w:hAnsi="宋体"/>
          <w:u w:val="single"/>
        </w:rPr>
        <w:t xml:space="preserve">                     </w:t>
      </w:r>
      <w:r>
        <w:rPr>
          <w:rFonts w:ascii="宋体" w:hAnsi="宋体"/>
        </w:rPr>
        <w:t>仲裁委员会申请仲裁；</w:t>
      </w:r>
    </w:p>
    <w:p w14:paraId="7E901C89">
      <w:pPr>
        <w:spacing w:line="400" w:lineRule="exact"/>
        <w:ind w:firstLine="420" w:firstLineChars="200"/>
        <w:rPr>
          <w:rFonts w:ascii="宋体" w:hAnsi="宋体"/>
        </w:rPr>
      </w:pPr>
      <w:r>
        <w:rPr>
          <w:rFonts w:ascii="宋体" w:hAnsi="宋体"/>
        </w:rPr>
        <w:t>（2）向</w:t>
      </w:r>
      <w:r>
        <w:rPr>
          <w:rFonts w:ascii="宋体" w:hAnsi="宋体"/>
          <w:u w:val="single"/>
        </w:rPr>
        <w:t xml:space="preserve">                     </w:t>
      </w:r>
      <w:r>
        <w:rPr>
          <w:rFonts w:ascii="宋体" w:hAnsi="宋体"/>
        </w:rPr>
        <w:t>人民法院起诉。</w:t>
      </w:r>
      <w:bookmarkEnd w:id="2495"/>
      <w:bookmarkEnd w:id="2496"/>
      <w:bookmarkEnd w:id="2497"/>
      <w:bookmarkEnd w:id="2498"/>
      <w:bookmarkEnd w:id="2499"/>
      <w:bookmarkEnd w:id="2500"/>
    </w:p>
    <w:p w14:paraId="12B9E797">
      <w:pPr>
        <w:spacing w:line="400" w:lineRule="exact"/>
        <w:ind w:firstLine="420" w:firstLineChars="200"/>
        <w:rPr>
          <w:rFonts w:ascii="宋体" w:hAnsi="宋体"/>
        </w:rPr>
      </w:pPr>
    </w:p>
    <w:p w14:paraId="636826CC">
      <w:pPr>
        <w:spacing w:line="400" w:lineRule="exact"/>
        <w:ind w:firstLine="420" w:firstLineChars="200"/>
        <w:rPr>
          <w:rFonts w:ascii="宋体" w:hAnsi="宋体"/>
        </w:rPr>
      </w:pPr>
    </w:p>
    <w:p w14:paraId="74D85030">
      <w:pPr>
        <w:spacing w:line="400" w:lineRule="exact"/>
        <w:ind w:firstLine="420" w:firstLineChars="200"/>
        <w:rPr>
          <w:rFonts w:ascii="宋体" w:hAnsi="宋体"/>
        </w:rPr>
      </w:pPr>
    </w:p>
    <w:p w14:paraId="467541DE">
      <w:pPr>
        <w:spacing w:line="400" w:lineRule="exact"/>
        <w:ind w:firstLine="420" w:firstLineChars="200"/>
        <w:rPr>
          <w:rFonts w:ascii="宋体" w:hAnsi="宋体"/>
        </w:rPr>
      </w:pPr>
    </w:p>
    <w:p w14:paraId="424985DD">
      <w:pPr>
        <w:spacing w:line="400" w:lineRule="exact"/>
        <w:ind w:firstLine="420" w:firstLineChars="200"/>
        <w:rPr>
          <w:rFonts w:ascii="宋体" w:hAnsi="宋体"/>
        </w:rPr>
      </w:pPr>
    </w:p>
    <w:p w14:paraId="6A392F5D">
      <w:pPr>
        <w:spacing w:line="400" w:lineRule="exact"/>
        <w:ind w:firstLine="420" w:firstLineChars="200"/>
        <w:rPr>
          <w:rFonts w:ascii="宋体" w:hAnsi="宋体"/>
        </w:rPr>
      </w:pPr>
    </w:p>
    <w:p w14:paraId="2D0C39E4">
      <w:pPr>
        <w:spacing w:line="400" w:lineRule="exact"/>
        <w:ind w:firstLine="420" w:firstLineChars="200"/>
        <w:rPr>
          <w:rFonts w:ascii="宋体" w:hAnsi="宋体"/>
        </w:rPr>
      </w:pPr>
    </w:p>
    <w:p w14:paraId="4625DC24">
      <w:pPr>
        <w:spacing w:line="400" w:lineRule="exact"/>
        <w:ind w:firstLine="420" w:firstLineChars="200"/>
        <w:rPr>
          <w:rFonts w:ascii="宋体" w:hAnsi="宋体"/>
        </w:rPr>
      </w:pPr>
    </w:p>
    <w:p w14:paraId="3928922E">
      <w:pPr>
        <w:spacing w:line="400" w:lineRule="exact"/>
        <w:ind w:firstLine="420" w:firstLineChars="200"/>
        <w:rPr>
          <w:rFonts w:ascii="宋体" w:hAnsi="宋体"/>
        </w:rPr>
      </w:pPr>
    </w:p>
    <w:p w14:paraId="7561E295">
      <w:pPr>
        <w:spacing w:line="400" w:lineRule="exact"/>
        <w:ind w:firstLine="420" w:firstLineChars="200"/>
        <w:rPr>
          <w:rFonts w:ascii="宋体" w:hAnsi="宋体"/>
        </w:rPr>
      </w:pPr>
    </w:p>
    <w:p w14:paraId="5E05A880">
      <w:pPr>
        <w:spacing w:line="400" w:lineRule="exact"/>
        <w:ind w:firstLine="420" w:firstLineChars="200"/>
        <w:rPr>
          <w:rFonts w:ascii="宋体" w:hAnsi="宋体"/>
        </w:rPr>
      </w:pPr>
    </w:p>
    <w:p w14:paraId="1A3907FD">
      <w:pPr>
        <w:spacing w:line="400" w:lineRule="exact"/>
        <w:ind w:firstLine="420" w:firstLineChars="200"/>
        <w:rPr>
          <w:rFonts w:ascii="宋体" w:hAnsi="宋体"/>
        </w:rPr>
      </w:pPr>
    </w:p>
    <w:p w14:paraId="51B1AB39">
      <w:pPr>
        <w:spacing w:line="400" w:lineRule="exact"/>
        <w:ind w:firstLine="420" w:firstLineChars="200"/>
        <w:rPr>
          <w:rFonts w:ascii="宋体" w:hAnsi="宋体"/>
        </w:rPr>
      </w:pPr>
    </w:p>
    <w:p w14:paraId="621C86C3">
      <w:pPr>
        <w:spacing w:line="400" w:lineRule="exact"/>
        <w:ind w:firstLine="420" w:firstLineChars="200"/>
        <w:rPr>
          <w:rFonts w:ascii="宋体" w:hAnsi="宋体"/>
        </w:rPr>
      </w:pPr>
    </w:p>
    <w:p w14:paraId="485DDA51">
      <w:pPr>
        <w:spacing w:line="400" w:lineRule="exact"/>
        <w:ind w:firstLine="420" w:firstLineChars="200"/>
        <w:rPr>
          <w:rFonts w:ascii="宋体" w:hAnsi="宋体"/>
        </w:rPr>
      </w:pPr>
    </w:p>
    <w:p w14:paraId="6B7CEDC8">
      <w:pPr>
        <w:spacing w:line="400" w:lineRule="exact"/>
        <w:ind w:firstLine="420" w:firstLineChars="200"/>
        <w:rPr>
          <w:rFonts w:ascii="宋体" w:hAnsi="宋体"/>
        </w:rPr>
      </w:pPr>
    </w:p>
    <w:p w14:paraId="391E60FB">
      <w:pPr>
        <w:spacing w:line="400" w:lineRule="exact"/>
        <w:ind w:firstLine="420" w:firstLineChars="200"/>
        <w:rPr>
          <w:rFonts w:ascii="宋体" w:hAnsi="宋体"/>
        </w:rPr>
      </w:pPr>
    </w:p>
    <w:p w14:paraId="6EB7348A">
      <w:pPr>
        <w:spacing w:line="400" w:lineRule="exact"/>
        <w:ind w:firstLine="420" w:firstLineChars="200"/>
        <w:rPr>
          <w:rFonts w:ascii="宋体" w:hAnsi="宋体"/>
        </w:rPr>
      </w:pPr>
    </w:p>
    <w:p w14:paraId="5C2E4F4A">
      <w:pPr>
        <w:spacing w:line="400" w:lineRule="exact"/>
        <w:ind w:firstLine="420" w:firstLineChars="200"/>
        <w:rPr>
          <w:rFonts w:ascii="宋体" w:hAnsi="宋体"/>
        </w:rPr>
      </w:pPr>
    </w:p>
    <w:p w14:paraId="44D01F9C">
      <w:pPr>
        <w:spacing w:line="400" w:lineRule="exact"/>
        <w:ind w:firstLine="420" w:firstLineChars="200"/>
        <w:rPr>
          <w:rFonts w:ascii="宋体" w:hAnsi="宋体"/>
        </w:rPr>
      </w:pPr>
    </w:p>
    <w:p w14:paraId="22C1FD87">
      <w:pPr>
        <w:spacing w:line="400" w:lineRule="exact"/>
        <w:ind w:firstLine="420" w:firstLineChars="200"/>
        <w:rPr>
          <w:rFonts w:ascii="宋体" w:hAnsi="宋体"/>
        </w:rPr>
      </w:pPr>
    </w:p>
    <w:p w14:paraId="1012F70C">
      <w:pPr>
        <w:spacing w:line="400" w:lineRule="exact"/>
        <w:ind w:firstLine="420" w:firstLineChars="200"/>
        <w:rPr>
          <w:rFonts w:ascii="宋体" w:hAnsi="宋体"/>
        </w:rPr>
      </w:pPr>
    </w:p>
    <w:p w14:paraId="663863BD">
      <w:pPr>
        <w:spacing w:line="400" w:lineRule="exact"/>
        <w:ind w:firstLine="420" w:firstLineChars="200"/>
        <w:rPr>
          <w:rFonts w:ascii="宋体" w:hAnsi="宋体"/>
        </w:rPr>
      </w:pPr>
    </w:p>
    <w:p w14:paraId="694AB88C">
      <w:pPr>
        <w:spacing w:line="400" w:lineRule="exact"/>
        <w:ind w:firstLine="420" w:firstLineChars="200"/>
        <w:rPr>
          <w:rFonts w:ascii="宋体" w:hAnsi="宋体"/>
        </w:rPr>
      </w:pPr>
    </w:p>
    <w:p w14:paraId="36F3ECC5">
      <w:pPr>
        <w:spacing w:line="400" w:lineRule="exact"/>
        <w:ind w:firstLine="420" w:firstLineChars="200"/>
        <w:rPr>
          <w:rFonts w:ascii="宋体" w:hAnsi="宋体"/>
        </w:rPr>
      </w:pPr>
    </w:p>
    <w:p w14:paraId="7584E54E">
      <w:pPr>
        <w:spacing w:line="400" w:lineRule="exact"/>
        <w:ind w:firstLine="420" w:firstLineChars="200"/>
        <w:rPr>
          <w:rFonts w:ascii="宋体" w:hAnsi="宋体"/>
        </w:rPr>
      </w:pPr>
    </w:p>
    <w:p w14:paraId="71C4D70F">
      <w:pPr>
        <w:spacing w:line="400" w:lineRule="exact"/>
        <w:ind w:firstLine="420" w:firstLineChars="200"/>
        <w:rPr>
          <w:rFonts w:ascii="宋体" w:hAnsi="宋体"/>
        </w:rPr>
      </w:pPr>
    </w:p>
    <w:p w14:paraId="59FE24E4">
      <w:pPr>
        <w:spacing w:line="400" w:lineRule="exact"/>
        <w:ind w:firstLine="420" w:firstLineChars="200"/>
        <w:rPr>
          <w:rFonts w:ascii="宋体" w:hAnsi="宋体"/>
        </w:rPr>
      </w:pPr>
    </w:p>
    <w:p w14:paraId="62CEBAFF">
      <w:pPr>
        <w:spacing w:line="400" w:lineRule="exact"/>
        <w:ind w:firstLine="420" w:firstLineChars="200"/>
        <w:rPr>
          <w:rFonts w:ascii="宋体" w:hAnsi="宋体"/>
        </w:rPr>
      </w:pPr>
    </w:p>
    <w:p w14:paraId="22872D33">
      <w:pPr>
        <w:spacing w:line="400" w:lineRule="exact"/>
        <w:ind w:firstLine="420" w:firstLineChars="200"/>
        <w:rPr>
          <w:rFonts w:ascii="宋体" w:hAnsi="宋体"/>
        </w:rPr>
      </w:pPr>
    </w:p>
    <w:p w14:paraId="79138599">
      <w:pPr>
        <w:spacing w:line="400" w:lineRule="exact"/>
        <w:rPr>
          <w:rFonts w:hint="eastAsia"/>
        </w:rPr>
      </w:pPr>
    </w:p>
    <w:p w14:paraId="109249B5">
      <w:pPr>
        <w:pStyle w:val="18"/>
        <w:rPr>
          <w:b/>
          <w:sz w:val="32"/>
          <w:szCs w:val="32"/>
        </w:rPr>
      </w:pPr>
      <w:bookmarkStart w:id="2523" w:name="_Toc108514164"/>
      <w:bookmarkStart w:id="2524" w:name="_Toc351203652"/>
      <w:r>
        <w:rPr>
          <w:b/>
        </w:rPr>
        <w:t>附件</w:t>
      </w:r>
      <w:bookmarkEnd w:id="2523"/>
      <w:bookmarkEnd w:id="2524"/>
    </w:p>
    <w:p w14:paraId="44A549EE">
      <w:pPr>
        <w:spacing w:line="400" w:lineRule="exact"/>
        <w:ind w:firstLine="420" w:firstLineChars="200"/>
        <w:jc w:val="left"/>
        <w:rPr>
          <w:rFonts w:hint="eastAsia"/>
        </w:rPr>
      </w:pPr>
      <w:r>
        <w:rPr>
          <w:rFonts w:hint="eastAsia"/>
        </w:rPr>
        <w:t>协议书附件：</w:t>
      </w:r>
    </w:p>
    <w:p w14:paraId="27F43111">
      <w:pPr>
        <w:spacing w:line="400" w:lineRule="exact"/>
        <w:ind w:firstLine="420" w:firstLineChars="200"/>
        <w:jc w:val="left"/>
        <w:rPr>
          <w:rFonts w:hint="eastAsia"/>
        </w:rPr>
      </w:pPr>
      <w:r>
        <w:t>附件1：承包人承揽工程项目一览表</w:t>
      </w:r>
    </w:p>
    <w:p w14:paraId="6C9897ED">
      <w:pPr>
        <w:spacing w:line="400" w:lineRule="exact"/>
        <w:ind w:firstLine="420" w:firstLineChars="200"/>
        <w:jc w:val="left"/>
        <w:rPr>
          <w:rFonts w:hint="eastAsia"/>
        </w:rPr>
      </w:pPr>
    </w:p>
    <w:p w14:paraId="3CAB16ED">
      <w:pPr>
        <w:spacing w:line="400" w:lineRule="exact"/>
        <w:ind w:firstLine="420" w:firstLineChars="200"/>
        <w:jc w:val="left"/>
      </w:pPr>
      <w:r>
        <w:rPr>
          <w:rFonts w:hint="eastAsia"/>
        </w:rPr>
        <w:t>专用合同条款附件：</w:t>
      </w:r>
    </w:p>
    <w:p w14:paraId="0B1DA60B">
      <w:pPr>
        <w:spacing w:line="400" w:lineRule="exact"/>
        <w:ind w:firstLine="420" w:firstLineChars="200"/>
        <w:jc w:val="left"/>
      </w:pPr>
      <w:r>
        <w:t>附件2：发包人供应材料设备一览表</w:t>
      </w:r>
    </w:p>
    <w:p w14:paraId="63C0A161">
      <w:pPr>
        <w:spacing w:line="400" w:lineRule="exact"/>
        <w:ind w:firstLine="420" w:firstLineChars="200"/>
        <w:jc w:val="left"/>
      </w:pPr>
      <w:r>
        <w:t>附件3：工程质量保修书</w:t>
      </w:r>
    </w:p>
    <w:p w14:paraId="2E45B433">
      <w:pPr>
        <w:spacing w:line="400" w:lineRule="exact"/>
        <w:ind w:firstLine="420" w:firstLineChars="200"/>
        <w:jc w:val="left"/>
      </w:pPr>
      <w:r>
        <w:t>附件4：主要建设工程文件目录</w:t>
      </w:r>
    </w:p>
    <w:p w14:paraId="1306571B">
      <w:pPr>
        <w:spacing w:line="400" w:lineRule="exact"/>
        <w:ind w:firstLine="420" w:firstLineChars="200"/>
        <w:jc w:val="left"/>
      </w:pPr>
      <w:r>
        <w:t>附件5：承包人用于本工程施工的机械设备表</w:t>
      </w:r>
    </w:p>
    <w:p w14:paraId="384742D8">
      <w:pPr>
        <w:spacing w:line="400" w:lineRule="exact"/>
        <w:ind w:firstLine="420" w:firstLineChars="200"/>
        <w:jc w:val="left"/>
      </w:pPr>
      <w:r>
        <w:t>附件6：承包人主要施工管理人员表</w:t>
      </w:r>
    </w:p>
    <w:p w14:paraId="71FCF1C0">
      <w:pPr>
        <w:spacing w:line="400" w:lineRule="exact"/>
        <w:ind w:firstLine="420" w:firstLineChars="200"/>
        <w:jc w:val="left"/>
      </w:pPr>
      <w:r>
        <w:t>附件7：分包人主要施工管理人员表</w:t>
      </w:r>
    </w:p>
    <w:p w14:paraId="3CBFA1C1">
      <w:pPr>
        <w:spacing w:line="400" w:lineRule="exact"/>
        <w:ind w:firstLine="420" w:firstLineChars="200"/>
        <w:jc w:val="left"/>
      </w:pPr>
      <w:r>
        <w:t>附件8：履约担保格式</w:t>
      </w:r>
    </w:p>
    <w:p w14:paraId="40A6902D">
      <w:pPr>
        <w:spacing w:line="400" w:lineRule="exact"/>
        <w:ind w:firstLine="420" w:firstLineChars="200"/>
        <w:jc w:val="left"/>
      </w:pPr>
      <w:r>
        <w:t>附件9：预付款担保格式</w:t>
      </w:r>
    </w:p>
    <w:p w14:paraId="2306D3F2">
      <w:pPr>
        <w:spacing w:line="400" w:lineRule="exact"/>
        <w:ind w:firstLine="420" w:firstLineChars="200"/>
        <w:jc w:val="left"/>
      </w:pPr>
      <w:r>
        <w:t>附件10：支付担保格式</w:t>
      </w:r>
    </w:p>
    <w:p w14:paraId="1A3B7BE1">
      <w:pPr>
        <w:spacing w:line="400" w:lineRule="exact"/>
        <w:ind w:firstLine="420" w:firstLineChars="200"/>
        <w:jc w:val="left"/>
        <w:sectPr>
          <w:pgSz w:w="11906" w:h="16838"/>
          <w:pgMar w:top="1418" w:right="1554" w:bottom="1418" w:left="1531" w:header="851" w:footer="851" w:gutter="0"/>
          <w:cols w:space="720" w:num="1"/>
          <w:docGrid w:type="lines" w:linePitch="312" w:charSpace="0"/>
        </w:sectPr>
      </w:pPr>
      <w:r>
        <w:t>附件11：暂估价一览表</w:t>
      </w:r>
    </w:p>
    <w:p w14:paraId="0619AA60">
      <w:pPr>
        <w:spacing w:before="156" w:beforeLines="50" w:after="156" w:afterLines="50" w:line="440" w:lineRule="exact"/>
        <w:jc w:val="left"/>
        <w:rPr>
          <w:rFonts w:hint="eastAsia" w:ascii="宋体" w:hAnsi="宋体"/>
          <w:sz w:val="24"/>
        </w:rPr>
      </w:pPr>
      <w:r>
        <w:rPr>
          <w:rFonts w:hint="eastAsia" w:ascii="宋体" w:hAnsi="宋体"/>
          <w:sz w:val="24"/>
        </w:rPr>
        <w:t>附件1：</w:t>
      </w:r>
    </w:p>
    <w:p w14:paraId="6D180AEF">
      <w:pPr>
        <w:spacing w:before="156" w:beforeLines="50" w:after="156" w:afterLines="50" w:line="440" w:lineRule="exact"/>
        <w:jc w:val="center"/>
        <w:rPr>
          <w:rFonts w:hint="eastAsia" w:eastAsia="黑体"/>
          <w:sz w:val="28"/>
          <w:szCs w:val="28"/>
        </w:rPr>
      </w:pPr>
      <w:r>
        <w:rPr>
          <w:rFonts w:eastAsia="黑体"/>
          <w:sz w:val="28"/>
          <w:szCs w:val="28"/>
        </w:rPr>
        <w:t>承包人承揽工程项目一览表</w:t>
      </w:r>
    </w:p>
    <w:tbl>
      <w:tblPr>
        <w:tblStyle w:val="1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1984"/>
        <w:gridCol w:w="1418"/>
        <w:gridCol w:w="992"/>
        <w:gridCol w:w="850"/>
      </w:tblGrid>
      <w:tr w14:paraId="01983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6B16B5F7">
            <w:pPr>
              <w:pStyle w:val="6"/>
              <w:keepNext/>
              <w:spacing w:after="0" w:line="440" w:lineRule="exact"/>
              <w:ind w:left="63" w:right="63"/>
              <w:jc w:val="center"/>
              <w:rPr>
                <w:rFonts w:hint="eastAsia" w:ascii="宋体" w:hAnsi="宋体"/>
                <w:szCs w:val="21"/>
              </w:rPr>
            </w:pPr>
            <w:r>
              <w:rPr>
                <w:rFonts w:ascii="宋体" w:hAnsi="宋体"/>
                <w:szCs w:val="21"/>
              </w:rPr>
              <w:t>单位工程</w:t>
            </w:r>
          </w:p>
          <w:p w14:paraId="2D50D2D2">
            <w:pPr>
              <w:pStyle w:val="6"/>
              <w:keepNext/>
              <w:spacing w:after="0" w:line="440" w:lineRule="exact"/>
              <w:ind w:left="63" w:right="63"/>
              <w:jc w:val="center"/>
              <w:rPr>
                <w:rFonts w:ascii="宋体" w:hAnsi="宋体"/>
                <w:szCs w:val="21"/>
              </w:rPr>
            </w:pPr>
            <w:r>
              <w:rPr>
                <w:rFonts w:ascii="宋体" w:hAnsi="宋体"/>
                <w:szCs w:val="21"/>
              </w:rPr>
              <w:t>名称</w:t>
            </w:r>
          </w:p>
        </w:tc>
        <w:tc>
          <w:tcPr>
            <w:tcW w:w="1843" w:type="dxa"/>
            <w:tcBorders>
              <w:top w:val="single" w:color="auto" w:sz="12" w:space="0"/>
              <w:bottom w:val="double" w:color="auto" w:sz="6" w:space="0"/>
            </w:tcBorders>
            <w:noWrap w:val="0"/>
            <w:vAlign w:val="center"/>
          </w:tcPr>
          <w:p w14:paraId="0C2F7B02">
            <w:pPr>
              <w:pStyle w:val="6"/>
              <w:keepNext/>
              <w:spacing w:after="0" w:line="440" w:lineRule="exact"/>
              <w:ind w:left="63" w:right="63"/>
              <w:jc w:val="center"/>
              <w:rPr>
                <w:rFonts w:ascii="宋体" w:hAnsi="宋体"/>
                <w:szCs w:val="21"/>
              </w:rPr>
            </w:pPr>
            <w:r>
              <w:rPr>
                <w:rFonts w:ascii="宋体" w:hAnsi="宋体"/>
                <w:szCs w:val="21"/>
              </w:rPr>
              <w:t>建设规模</w:t>
            </w:r>
          </w:p>
        </w:tc>
        <w:tc>
          <w:tcPr>
            <w:tcW w:w="1417" w:type="dxa"/>
            <w:tcBorders>
              <w:top w:val="single" w:color="auto" w:sz="12" w:space="0"/>
              <w:bottom w:val="double" w:color="auto" w:sz="6" w:space="0"/>
            </w:tcBorders>
            <w:noWrap w:val="0"/>
            <w:vAlign w:val="center"/>
          </w:tcPr>
          <w:p w14:paraId="468C48C9">
            <w:pPr>
              <w:pStyle w:val="6"/>
              <w:keepNext/>
              <w:spacing w:after="0" w:line="440" w:lineRule="exact"/>
              <w:ind w:left="63" w:right="63"/>
              <w:jc w:val="center"/>
              <w:rPr>
                <w:rFonts w:hint="eastAsia" w:ascii="宋体" w:hAnsi="宋体"/>
                <w:szCs w:val="21"/>
              </w:rPr>
            </w:pPr>
            <w:r>
              <w:rPr>
                <w:rFonts w:ascii="宋体" w:hAnsi="宋体"/>
                <w:szCs w:val="21"/>
              </w:rPr>
              <w:t>建筑面积</w:t>
            </w:r>
          </w:p>
          <w:p w14:paraId="310A75D2">
            <w:pPr>
              <w:pStyle w:val="6"/>
              <w:keepNext/>
              <w:spacing w:after="0" w:line="440" w:lineRule="exact"/>
              <w:ind w:left="63" w:right="63"/>
              <w:jc w:val="center"/>
              <w:rPr>
                <w:rFonts w:ascii="宋体" w:hAnsi="宋体"/>
                <w:szCs w:val="21"/>
              </w:rPr>
            </w:pPr>
            <w:r>
              <w:rPr>
                <w:rFonts w:ascii="宋体" w:hAnsi="宋体"/>
                <w:szCs w:val="21"/>
              </w:rPr>
              <w:t>(平方米)</w:t>
            </w:r>
          </w:p>
        </w:tc>
        <w:tc>
          <w:tcPr>
            <w:tcW w:w="2410" w:type="dxa"/>
            <w:tcBorders>
              <w:top w:val="single" w:color="auto" w:sz="12" w:space="0"/>
              <w:bottom w:val="double" w:color="auto" w:sz="6" w:space="0"/>
            </w:tcBorders>
            <w:noWrap w:val="0"/>
            <w:vAlign w:val="center"/>
          </w:tcPr>
          <w:p w14:paraId="2B5CAC4F">
            <w:pPr>
              <w:pStyle w:val="6"/>
              <w:keepNext/>
              <w:spacing w:after="0" w:line="440" w:lineRule="exact"/>
              <w:ind w:left="63" w:right="63"/>
              <w:jc w:val="center"/>
              <w:rPr>
                <w:rFonts w:ascii="宋体" w:hAnsi="宋体"/>
                <w:szCs w:val="21"/>
              </w:rPr>
            </w:pPr>
            <w:r>
              <w:rPr>
                <w:rFonts w:ascii="宋体" w:hAnsi="宋体"/>
                <w:szCs w:val="21"/>
              </w:rPr>
              <w:t>结构</w:t>
            </w:r>
            <w:r>
              <w:rPr>
                <w:rFonts w:hint="eastAsia" w:ascii="宋体" w:hAnsi="宋体"/>
                <w:szCs w:val="21"/>
              </w:rPr>
              <w:t>形式</w:t>
            </w:r>
          </w:p>
        </w:tc>
        <w:tc>
          <w:tcPr>
            <w:tcW w:w="850" w:type="dxa"/>
            <w:tcBorders>
              <w:top w:val="single" w:color="auto" w:sz="12" w:space="0"/>
              <w:bottom w:val="double" w:color="auto" w:sz="6" w:space="0"/>
            </w:tcBorders>
            <w:noWrap w:val="0"/>
            <w:vAlign w:val="center"/>
          </w:tcPr>
          <w:p w14:paraId="6A6320AF">
            <w:pPr>
              <w:pStyle w:val="6"/>
              <w:keepNext/>
              <w:spacing w:after="0" w:line="440" w:lineRule="exact"/>
              <w:ind w:left="63" w:right="63"/>
              <w:jc w:val="center"/>
              <w:rPr>
                <w:rFonts w:ascii="宋体" w:hAnsi="宋体"/>
                <w:szCs w:val="21"/>
              </w:rPr>
            </w:pPr>
            <w:r>
              <w:rPr>
                <w:rFonts w:ascii="宋体" w:hAnsi="宋体"/>
                <w:szCs w:val="21"/>
              </w:rPr>
              <w:t>层数</w:t>
            </w:r>
          </w:p>
        </w:tc>
        <w:tc>
          <w:tcPr>
            <w:tcW w:w="1560" w:type="dxa"/>
            <w:tcBorders>
              <w:top w:val="single" w:color="auto" w:sz="12" w:space="0"/>
              <w:bottom w:val="double" w:color="auto" w:sz="6" w:space="0"/>
            </w:tcBorders>
            <w:noWrap w:val="0"/>
            <w:vAlign w:val="center"/>
          </w:tcPr>
          <w:p w14:paraId="65DDF975">
            <w:pPr>
              <w:pStyle w:val="6"/>
              <w:keepNext/>
              <w:spacing w:after="0" w:line="440" w:lineRule="exact"/>
              <w:ind w:left="63" w:right="63"/>
              <w:jc w:val="center"/>
              <w:rPr>
                <w:rFonts w:ascii="宋体" w:hAnsi="宋体"/>
                <w:szCs w:val="21"/>
              </w:rPr>
            </w:pPr>
            <w:r>
              <w:rPr>
                <w:rFonts w:ascii="宋体" w:hAnsi="宋体"/>
                <w:szCs w:val="21"/>
              </w:rPr>
              <w:t>生产能力</w:t>
            </w:r>
          </w:p>
        </w:tc>
        <w:tc>
          <w:tcPr>
            <w:tcW w:w="1984" w:type="dxa"/>
            <w:tcBorders>
              <w:top w:val="single" w:color="auto" w:sz="12" w:space="0"/>
              <w:bottom w:val="double" w:color="auto" w:sz="6" w:space="0"/>
            </w:tcBorders>
            <w:noWrap w:val="0"/>
            <w:vAlign w:val="center"/>
          </w:tcPr>
          <w:p w14:paraId="23B414E8">
            <w:pPr>
              <w:pStyle w:val="6"/>
              <w:keepNext/>
              <w:spacing w:after="0" w:line="440" w:lineRule="exact"/>
              <w:ind w:left="63" w:right="63"/>
              <w:jc w:val="center"/>
              <w:rPr>
                <w:rFonts w:ascii="宋体" w:hAnsi="宋体"/>
                <w:szCs w:val="21"/>
              </w:rPr>
            </w:pPr>
            <w:r>
              <w:rPr>
                <w:rFonts w:ascii="宋体" w:hAnsi="宋体"/>
                <w:szCs w:val="21"/>
              </w:rPr>
              <w:t>设备安装内容</w:t>
            </w:r>
          </w:p>
        </w:tc>
        <w:tc>
          <w:tcPr>
            <w:tcW w:w="1418" w:type="dxa"/>
            <w:tcBorders>
              <w:top w:val="single" w:color="auto" w:sz="12" w:space="0"/>
              <w:bottom w:val="double" w:color="auto" w:sz="6" w:space="0"/>
            </w:tcBorders>
            <w:noWrap w:val="0"/>
            <w:vAlign w:val="center"/>
          </w:tcPr>
          <w:p w14:paraId="0440B229">
            <w:pPr>
              <w:pStyle w:val="6"/>
              <w:keepNext/>
              <w:spacing w:after="0" w:line="440" w:lineRule="exact"/>
              <w:ind w:left="63" w:right="63"/>
              <w:jc w:val="center"/>
              <w:rPr>
                <w:rFonts w:hint="eastAsia" w:ascii="宋体" w:hAnsi="宋体"/>
                <w:szCs w:val="21"/>
              </w:rPr>
            </w:pPr>
            <w:r>
              <w:rPr>
                <w:rFonts w:ascii="宋体" w:hAnsi="宋体"/>
                <w:szCs w:val="21"/>
              </w:rPr>
              <w:t>合同价格</w:t>
            </w:r>
          </w:p>
          <w:p w14:paraId="5E94CFE9">
            <w:pPr>
              <w:pStyle w:val="6"/>
              <w:keepNext/>
              <w:spacing w:after="0" w:line="440" w:lineRule="exact"/>
              <w:ind w:left="63" w:right="63"/>
              <w:jc w:val="center"/>
              <w:rPr>
                <w:rFonts w:ascii="宋体" w:hAnsi="宋体"/>
                <w:szCs w:val="21"/>
              </w:rPr>
            </w:pPr>
            <w:r>
              <w:rPr>
                <w:rFonts w:ascii="宋体" w:hAnsi="宋体"/>
                <w:szCs w:val="21"/>
              </w:rPr>
              <w:t>（元）</w:t>
            </w:r>
          </w:p>
        </w:tc>
        <w:tc>
          <w:tcPr>
            <w:tcW w:w="992" w:type="dxa"/>
            <w:tcBorders>
              <w:top w:val="single" w:color="auto" w:sz="12" w:space="0"/>
              <w:bottom w:val="double" w:color="auto" w:sz="6" w:space="0"/>
            </w:tcBorders>
            <w:noWrap w:val="0"/>
            <w:vAlign w:val="center"/>
          </w:tcPr>
          <w:p w14:paraId="3A39B67B">
            <w:pPr>
              <w:pStyle w:val="6"/>
              <w:keepNext/>
              <w:spacing w:after="0" w:line="440" w:lineRule="exact"/>
              <w:ind w:left="63" w:right="63"/>
              <w:jc w:val="center"/>
              <w:rPr>
                <w:rFonts w:hint="eastAsia" w:ascii="宋体" w:hAnsi="宋体"/>
                <w:szCs w:val="21"/>
              </w:rPr>
            </w:pPr>
            <w:r>
              <w:rPr>
                <w:rFonts w:ascii="宋体" w:hAnsi="宋体"/>
                <w:szCs w:val="21"/>
              </w:rPr>
              <w:t>开工</w:t>
            </w:r>
          </w:p>
          <w:p w14:paraId="4D2969B0">
            <w:pPr>
              <w:pStyle w:val="6"/>
              <w:keepNext/>
              <w:spacing w:after="0" w:line="440" w:lineRule="exact"/>
              <w:ind w:left="63" w:right="63"/>
              <w:jc w:val="center"/>
              <w:rPr>
                <w:rFonts w:ascii="宋体" w:hAnsi="宋体"/>
                <w:szCs w:val="21"/>
              </w:rPr>
            </w:pPr>
            <w:r>
              <w:rPr>
                <w:rFonts w:ascii="宋体" w:hAnsi="宋体"/>
                <w:szCs w:val="21"/>
              </w:rPr>
              <w:t>日期</w:t>
            </w:r>
          </w:p>
        </w:tc>
        <w:tc>
          <w:tcPr>
            <w:tcW w:w="850" w:type="dxa"/>
            <w:tcBorders>
              <w:top w:val="single" w:color="auto" w:sz="12" w:space="0"/>
              <w:bottom w:val="double" w:color="auto" w:sz="6" w:space="0"/>
            </w:tcBorders>
            <w:noWrap w:val="0"/>
            <w:vAlign w:val="center"/>
          </w:tcPr>
          <w:p w14:paraId="128B7B3A">
            <w:pPr>
              <w:pStyle w:val="6"/>
              <w:keepNext/>
              <w:spacing w:after="0" w:line="440" w:lineRule="exact"/>
              <w:ind w:left="63" w:right="63"/>
              <w:jc w:val="center"/>
              <w:rPr>
                <w:rFonts w:hint="eastAsia" w:ascii="宋体" w:hAnsi="宋体"/>
                <w:szCs w:val="21"/>
              </w:rPr>
            </w:pPr>
            <w:r>
              <w:rPr>
                <w:rFonts w:ascii="宋体" w:hAnsi="宋体"/>
                <w:szCs w:val="21"/>
              </w:rPr>
              <w:t>竣工</w:t>
            </w:r>
          </w:p>
          <w:p w14:paraId="7DB2A18B">
            <w:pPr>
              <w:pStyle w:val="6"/>
              <w:keepNext/>
              <w:spacing w:after="0" w:line="440" w:lineRule="exact"/>
              <w:ind w:left="63" w:right="63"/>
              <w:jc w:val="center"/>
              <w:rPr>
                <w:rFonts w:ascii="宋体" w:hAnsi="宋体"/>
                <w:szCs w:val="21"/>
              </w:rPr>
            </w:pPr>
            <w:r>
              <w:rPr>
                <w:rFonts w:ascii="宋体" w:hAnsi="宋体"/>
                <w:szCs w:val="21"/>
              </w:rPr>
              <w:t>日期</w:t>
            </w:r>
          </w:p>
        </w:tc>
      </w:tr>
      <w:tr w14:paraId="4D4AAF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588EC8B2">
            <w:pPr>
              <w:pStyle w:val="6"/>
              <w:keepNext/>
              <w:spacing w:after="0" w:line="440" w:lineRule="exact"/>
              <w:ind w:left="63" w:right="63"/>
              <w:rPr>
                <w:rFonts w:eastAsia="仿宋_GB2312"/>
                <w:sz w:val="30"/>
                <w:szCs w:val="30"/>
              </w:rPr>
            </w:pPr>
          </w:p>
        </w:tc>
        <w:tc>
          <w:tcPr>
            <w:tcW w:w="1843" w:type="dxa"/>
            <w:tcBorders>
              <w:top w:val="double" w:color="auto" w:sz="6" w:space="0"/>
              <w:bottom w:val="single" w:color="auto" w:sz="6" w:space="0"/>
            </w:tcBorders>
            <w:noWrap w:val="0"/>
            <w:vAlign w:val="center"/>
          </w:tcPr>
          <w:p w14:paraId="15D6B3A3">
            <w:pPr>
              <w:pStyle w:val="6"/>
              <w:keepNext/>
              <w:spacing w:after="0" w:line="440" w:lineRule="exact"/>
              <w:ind w:left="63" w:right="63"/>
              <w:rPr>
                <w:rFonts w:eastAsia="仿宋_GB2312"/>
                <w:sz w:val="30"/>
                <w:szCs w:val="30"/>
              </w:rPr>
            </w:pPr>
          </w:p>
        </w:tc>
        <w:tc>
          <w:tcPr>
            <w:tcW w:w="1417" w:type="dxa"/>
            <w:tcBorders>
              <w:top w:val="double" w:color="auto" w:sz="6" w:space="0"/>
              <w:bottom w:val="single" w:color="auto" w:sz="6" w:space="0"/>
            </w:tcBorders>
            <w:noWrap w:val="0"/>
            <w:vAlign w:val="center"/>
          </w:tcPr>
          <w:p w14:paraId="641791A9">
            <w:pPr>
              <w:pStyle w:val="6"/>
              <w:keepNext/>
              <w:spacing w:after="0" w:line="440" w:lineRule="exact"/>
              <w:ind w:left="63" w:right="63"/>
              <w:rPr>
                <w:rFonts w:eastAsia="仿宋_GB2312"/>
                <w:sz w:val="30"/>
                <w:szCs w:val="30"/>
              </w:rPr>
            </w:pPr>
          </w:p>
        </w:tc>
        <w:tc>
          <w:tcPr>
            <w:tcW w:w="2410" w:type="dxa"/>
            <w:tcBorders>
              <w:top w:val="double" w:color="auto" w:sz="6" w:space="0"/>
              <w:bottom w:val="single" w:color="auto" w:sz="6" w:space="0"/>
            </w:tcBorders>
            <w:noWrap w:val="0"/>
            <w:vAlign w:val="center"/>
          </w:tcPr>
          <w:p w14:paraId="140E8E66">
            <w:pPr>
              <w:pStyle w:val="6"/>
              <w:keepNext/>
              <w:spacing w:after="0" w:line="440" w:lineRule="exact"/>
              <w:ind w:left="63" w:right="63"/>
              <w:rPr>
                <w:rFonts w:eastAsia="仿宋_GB2312"/>
                <w:sz w:val="30"/>
                <w:szCs w:val="30"/>
              </w:rPr>
            </w:pPr>
          </w:p>
        </w:tc>
        <w:tc>
          <w:tcPr>
            <w:tcW w:w="850" w:type="dxa"/>
            <w:tcBorders>
              <w:top w:val="double" w:color="auto" w:sz="6" w:space="0"/>
              <w:bottom w:val="single" w:color="auto" w:sz="6" w:space="0"/>
            </w:tcBorders>
            <w:noWrap w:val="0"/>
            <w:vAlign w:val="center"/>
          </w:tcPr>
          <w:p w14:paraId="29BF7F50">
            <w:pPr>
              <w:pStyle w:val="6"/>
              <w:keepNext/>
              <w:spacing w:after="0" w:line="440" w:lineRule="exact"/>
              <w:ind w:left="63" w:right="63"/>
              <w:rPr>
                <w:rFonts w:eastAsia="仿宋_GB2312"/>
                <w:sz w:val="30"/>
                <w:szCs w:val="30"/>
              </w:rPr>
            </w:pPr>
          </w:p>
        </w:tc>
        <w:tc>
          <w:tcPr>
            <w:tcW w:w="1560" w:type="dxa"/>
            <w:tcBorders>
              <w:top w:val="double" w:color="auto" w:sz="6" w:space="0"/>
              <w:bottom w:val="single" w:color="auto" w:sz="6" w:space="0"/>
            </w:tcBorders>
            <w:noWrap w:val="0"/>
            <w:vAlign w:val="center"/>
          </w:tcPr>
          <w:p w14:paraId="3231923E">
            <w:pPr>
              <w:pStyle w:val="6"/>
              <w:keepNext/>
              <w:spacing w:after="0" w:line="440" w:lineRule="exact"/>
              <w:ind w:left="63" w:right="63"/>
              <w:rPr>
                <w:rFonts w:eastAsia="仿宋_GB2312"/>
                <w:sz w:val="30"/>
                <w:szCs w:val="30"/>
              </w:rPr>
            </w:pPr>
          </w:p>
        </w:tc>
        <w:tc>
          <w:tcPr>
            <w:tcW w:w="1984" w:type="dxa"/>
            <w:tcBorders>
              <w:top w:val="double" w:color="auto" w:sz="6" w:space="0"/>
              <w:bottom w:val="single" w:color="auto" w:sz="6" w:space="0"/>
            </w:tcBorders>
            <w:noWrap w:val="0"/>
            <w:vAlign w:val="center"/>
          </w:tcPr>
          <w:p w14:paraId="07B0D07E">
            <w:pPr>
              <w:pStyle w:val="6"/>
              <w:keepNext/>
              <w:spacing w:after="0" w:line="440" w:lineRule="exact"/>
              <w:ind w:left="63" w:right="63"/>
              <w:rPr>
                <w:rFonts w:eastAsia="仿宋_GB2312"/>
                <w:sz w:val="30"/>
                <w:szCs w:val="30"/>
              </w:rPr>
            </w:pPr>
          </w:p>
        </w:tc>
        <w:tc>
          <w:tcPr>
            <w:tcW w:w="1418" w:type="dxa"/>
            <w:tcBorders>
              <w:top w:val="double" w:color="auto" w:sz="6" w:space="0"/>
              <w:bottom w:val="single" w:color="auto" w:sz="6" w:space="0"/>
            </w:tcBorders>
            <w:noWrap w:val="0"/>
            <w:vAlign w:val="center"/>
          </w:tcPr>
          <w:p w14:paraId="0A5A9D05">
            <w:pPr>
              <w:pStyle w:val="6"/>
              <w:keepNext/>
              <w:spacing w:after="0" w:line="440" w:lineRule="exact"/>
              <w:ind w:left="63" w:right="63"/>
              <w:rPr>
                <w:rFonts w:eastAsia="仿宋_GB2312"/>
                <w:sz w:val="30"/>
                <w:szCs w:val="30"/>
              </w:rPr>
            </w:pPr>
          </w:p>
        </w:tc>
        <w:tc>
          <w:tcPr>
            <w:tcW w:w="992" w:type="dxa"/>
            <w:tcBorders>
              <w:top w:val="double" w:color="auto" w:sz="6" w:space="0"/>
              <w:bottom w:val="single" w:color="auto" w:sz="6" w:space="0"/>
            </w:tcBorders>
            <w:noWrap w:val="0"/>
            <w:vAlign w:val="center"/>
          </w:tcPr>
          <w:p w14:paraId="43F72D35">
            <w:pPr>
              <w:pStyle w:val="6"/>
              <w:keepNext/>
              <w:spacing w:after="0" w:line="440" w:lineRule="exact"/>
              <w:ind w:left="63" w:right="63"/>
              <w:rPr>
                <w:rFonts w:eastAsia="仿宋_GB2312"/>
                <w:sz w:val="30"/>
                <w:szCs w:val="30"/>
              </w:rPr>
            </w:pPr>
          </w:p>
        </w:tc>
        <w:tc>
          <w:tcPr>
            <w:tcW w:w="850" w:type="dxa"/>
            <w:tcBorders>
              <w:top w:val="double" w:color="auto" w:sz="6" w:space="0"/>
              <w:bottom w:val="single" w:color="auto" w:sz="6" w:space="0"/>
            </w:tcBorders>
            <w:noWrap w:val="0"/>
            <w:vAlign w:val="center"/>
          </w:tcPr>
          <w:p w14:paraId="7705C0AF">
            <w:pPr>
              <w:pStyle w:val="6"/>
              <w:keepNext/>
              <w:spacing w:after="0" w:line="440" w:lineRule="exact"/>
              <w:ind w:left="63" w:right="63"/>
              <w:rPr>
                <w:rFonts w:eastAsia="仿宋_GB2312"/>
                <w:sz w:val="30"/>
                <w:szCs w:val="30"/>
              </w:rPr>
            </w:pPr>
          </w:p>
        </w:tc>
      </w:tr>
      <w:tr w14:paraId="6F7C16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E0BB43C">
            <w:pPr>
              <w:pStyle w:val="6"/>
              <w:keepNext/>
              <w:spacing w:after="0" w:line="440" w:lineRule="exact"/>
              <w:ind w:left="63" w:right="63"/>
              <w:rPr>
                <w:rFonts w:eastAsia="仿宋_GB2312"/>
                <w:sz w:val="30"/>
                <w:szCs w:val="30"/>
              </w:rPr>
            </w:pPr>
          </w:p>
        </w:tc>
        <w:tc>
          <w:tcPr>
            <w:tcW w:w="1843" w:type="dxa"/>
            <w:tcBorders>
              <w:top w:val="nil"/>
            </w:tcBorders>
            <w:noWrap w:val="0"/>
            <w:vAlign w:val="center"/>
          </w:tcPr>
          <w:p w14:paraId="610EDBFD">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1D5DB7C8">
            <w:pPr>
              <w:pStyle w:val="6"/>
              <w:keepNext/>
              <w:spacing w:after="0" w:line="440" w:lineRule="exact"/>
              <w:ind w:left="63" w:right="63"/>
              <w:rPr>
                <w:rFonts w:eastAsia="仿宋_GB2312"/>
                <w:sz w:val="30"/>
                <w:szCs w:val="30"/>
              </w:rPr>
            </w:pPr>
          </w:p>
        </w:tc>
        <w:tc>
          <w:tcPr>
            <w:tcW w:w="2410" w:type="dxa"/>
            <w:tcBorders>
              <w:top w:val="nil"/>
            </w:tcBorders>
            <w:noWrap w:val="0"/>
            <w:vAlign w:val="center"/>
          </w:tcPr>
          <w:p w14:paraId="499894AA">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04E87A3B">
            <w:pPr>
              <w:pStyle w:val="6"/>
              <w:keepNext/>
              <w:spacing w:after="0" w:line="440" w:lineRule="exact"/>
              <w:ind w:left="63" w:right="63"/>
              <w:rPr>
                <w:rFonts w:eastAsia="仿宋_GB2312"/>
                <w:sz w:val="30"/>
                <w:szCs w:val="30"/>
              </w:rPr>
            </w:pPr>
          </w:p>
        </w:tc>
        <w:tc>
          <w:tcPr>
            <w:tcW w:w="1560" w:type="dxa"/>
            <w:tcBorders>
              <w:top w:val="nil"/>
            </w:tcBorders>
            <w:noWrap w:val="0"/>
            <w:vAlign w:val="center"/>
          </w:tcPr>
          <w:p w14:paraId="6DD298E1">
            <w:pPr>
              <w:pStyle w:val="6"/>
              <w:keepNext/>
              <w:spacing w:after="0" w:line="440" w:lineRule="exact"/>
              <w:ind w:left="63" w:right="63"/>
              <w:rPr>
                <w:rFonts w:eastAsia="仿宋_GB2312"/>
                <w:sz w:val="30"/>
                <w:szCs w:val="30"/>
              </w:rPr>
            </w:pPr>
          </w:p>
        </w:tc>
        <w:tc>
          <w:tcPr>
            <w:tcW w:w="1984" w:type="dxa"/>
            <w:tcBorders>
              <w:top w:val="nil"/>
            </w:tcBorders>
            <w:noWrap w:val="0"/>
            <w:vAlign w:val="center"/>
          </w:tcPr>
          <w:p w14:paraId="7DA3D9F5">
            <w:pPr>
              <w:pStyle w:val="6"/>
              <w:keepNext/>
              <w:spacing w:after="0" w:line="440" w:lineRule="exact"/>
              <w:ind w:left="63" w:right="63"/>
              <w:rPr>
                <w:rFonts w:eastAsia="仿宋_GB2312"/>
                <w:sz w:val="30"/>
                <w:szCs w:val="30"/>
              </w:rPr>
            </w:pPr>
          </w:p>
        </w:tc>
        <w:tc>
          <w:tcPr>
            <w:tcW w:w="1418" w:type="dxa"/>
            <w:tcBorders>
              <w:top w:val="nil"/>
            </w:tcBorders>
            <w:noWrap w:val="0"/>
            <w:vAlign w:val="center"/>
          </w:tcPr>
          <w:p w14:paraId="6D38BA1D">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39688A6D">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3FB0895F">
            <w:pPr>
              <w:pStyle w:val="6"/>
              <w:keepNext/>
              <w:spacing w:after="0" w:line="440" w:lineRule="exact"/>
              <w:ind w:left="63" w:right="63"/>
              <w:rPr>
                <w:rFonts w:eastAsia="仿宋_GB2312"/>
                <w:sz w:val="30"/>
                <w:szCs w:val="30"/>
              </w:rPr>
            </w:pPr>
          </w:p>
        </w:tc>
      </w:tr>
      <w:tr w14:paraId="0A38BF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622E933">
            <w:pPr>
              <w:pStyle w:val="6"/>
              <w:keepNext/>
              <w:spacing w:after="0" w:line="440" w:lineRule="exact"/>
              <w:ind w:left="63" w:right="63"/>
              <w:rPr>
                <w:rFonts w:eastAsia="仿宋_GB2312"/>
                <w:sz w:val="30"/>
                <w:szCs w:val="30"/>
              </w:rPr>
            </w:pPr>
          </w:p>
        </w:tc>
        <w:tc>
          <w:tcPr>
            <w:tcW w:w="1843" w:type="dxa"/>
            <w:tcBorders>
              <w:top w:val="nil"/>
            </w:tcBorders>
            <w:noWrap w:val="0"/>
            <w:vAlign w:val="center"/>
          </w:tcPr>
          <w:p w14:paraId="5EE45152">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1E2010B7">
            <w:pPr>
              <w:pStyle w:val="6"/>
              <w:keepNext/>
              <w:spacing w:after="0" w:line="440" w:lineRule="exact"/>
              <w:ind w:left="63" w:right="63"/>
              <w:rPr>
                <w:rFonts w:eastAsia="仿宋_GB2312"/>
                <w:sz w:val="30"/>
                <w:szCs w:val="30"/>
              </w:rPr>
            </w:pPr>
          </w:p>
        </w:tc>
        <w:tc>
          <w:tcPr>
            <w:tcW w:w="2410" w:type="dxa"/>
            <w:tcBorders>
              <w:top w:val="nil"/>
            </w:tcBorders>
            <w:noWrap w:val="0"/>
            <w:vAlign w:val="center"/>
          </w:tcPr>
          <w:p w14:paraId="4F15D718">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7C70FBBA">
            <w:pPr>
              <w:pStyle w:val="6"/>
              <w:keepNext/>
              <w:spacing w:after="0" w:line="440" w:lineRule="exact"/>
              <w:ind w:left="63" w:right="63"/>
              <w:rPr>
                <w:rFonts w:eastAsia="仿宋_GB2312"/>
                <w:sz w:val="30"/>
                <w:szCs w:val="30"/>
              </w:rPr>
            </w:pPr>
          </w:p>
        </w:tc>
        <w:tc>
          <w:tcPr>
            <w:tcW w:w="1560" w:type="dxa"/>
            <w:tcBorders>
              <w:top w:val="nil"/>
            </w:tcBorders>
            <w:noWrap w:val="0"/>
            <w:vAlign w:val="center"/>
          </w:tcPr>
          <w:p w14:paraId="27C90036">
            <w:pPr>
              <w:pStyle w:val="6"/>
              <w:keepNext/>
              <w:spacing w:after="0" w:line="440" w:lineRule="exact"/>
              <w:ind w:left="63" w:right="63"/>
              <w:rPr>
                <w:rFonts w:eastAsia="仿宋_GB2312"/>
                <w:sz w:val="30"/>
                <w:szCs w:val="30"/>
              </w:rPr>
            </w:pPr>
          </w:p>
        </w:tc>
        <w:tc>
          <w:tcPr>
            <w:tcW w:w="1984" w:type="dxa"/>
            <w:tcBorders>
              <w:top w:val="nil"/>
            </w:tcBorders>
            <w:noWrap w:val="0"/>
            <w:vAlign w:val="center"/>
          </w:tcPr>
          <w:p w14:paraId="23220062">
            <w:pPr>
              <w:pStyle w:val="6"/>
              <w:keepNext/>
              <w:spacing w:after="0" w:line="440" w:lineRule="exact"/>
              <w:ind w:left="63" w:right="63"/>
              <w:rPr>
                <w:rFonts w:eastAsia="仿宋_GB2312"/>
                <w:sz w:val="30"/>
                <w:szCs w:val="30"/>
              </w:rPr>
            </w:pPr>
          </w:p>
        </w:tc>
        <w:tc>
          <w:tcPr>
            <w:tcW w:w="1418" w:type="dxa"/>
            <w:tcBorders>
              <w:top w:val="nil"/>
            </w:tcBorders>
            <w:noWrap w:val="0"/>
            <w:vAlign w:val="center"/>
          </w:tcPr>
          <w:p w14:paraId="29804035">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5787CBDF">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1452103E">
            <w:pPr>
              <w:pStyle w:val="6"/>
              <w:keepNext/>
              <w:spacing w:after="0" w:line="440" w:lineRule="exact"/>
              <w:ind w:left="63" w:right="63"/>
              <w:rPr>
                <w:rFonts w:eastAsia="仿宋_GB2312"/>
                <w:sz w:val="30"/>
                <w:szCs w:val="30"/>
              </w:rPr>
            </w:pPr>
          </w:p>
        </w:tc>
      </w:tr>
      <w:tr w14:paraId="79EA6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78FC2C6">
            <w:pPr>
              <w:pStyle w:val="6"/>
              <w:keepNext/>
              <w:spacing w:after="0" w:line="440" w:lineRule="exact"/>
              <w:ind w:left="63" w:right="63"/>
              <w:rPr>
                <w:rFonts w:eastAsia="仿宋_GB2312"/>
                <w:sz w:val="30"/>
                <w:szCs w:val="30"/>
              </w:rPr>
            </w:pPr>
          </w:p>
        </w:tc>
        <w:tc>
          <w:tcPr>
            <w:tcW w:w="1843" w:type="dxa"/>
            <w:noWrap w:val="0"/>
            <w:vAlign w:val="center"/>
          </w:tcPr>
          <w:p w14:paraId="2A062BE1">
            <w:pPr>
              <w:pStyle w:val="6"/>
              <w:keepNext/>
              <w:spacing w:after="0" w:line="440" w:lineRule="exact"/>
              <w:ind w:left="63" w:right="63"/>
              <w:rPr>
                <w:rFonts w:eastAsia="仿宋_GB2312"/>
                <w:sz w:val="30"/>
                <w:szCs w:val="30"/>
              </w:rPr>
            </w:pPr>
          </w:p>
        </w:tc>
        <w:tc>
          <w:tcPr>
            <w:tcW w:w="1417" w:type="dxa"/>
            <w:noWrap w:val="0"/>
            <w:vAlign w:val="center"/>
          </w:tcPr>
          <w:p w14:paraId="125DBCD0">
            <w:pPr>
              <w:pStyle w:val="6"/>
              <w:keepNext/>
              <w:spacing w:after="0" w:line="440" w:lineRule="exact"/>
              <w:ind w:left="63" w:right="63"/>
              <w:rPr>
                <w:rFonts w:eastAsia="仿宋_GB2312"/>
                <w:sz w:val="30"/>
                <w:szCs w:val="30"/>
              </w:rPr>
            </w:pPr>
          </w:p>
        </w:tc>
        <w:tc>
          <w:tcPr>
            <w:tcW w:w="2410" w:type="dxa"/>
            <w:noWrap w:val="0"/>
            <w:vAlign w:val="center"/>
          </w:tcPr>
          <w:p w14:paraId="58826B79">
            <w:pPr>
              <w:pStyle w:val="6"/>
              <w:keepNext/>
              <w:spacing w:after="0" w:line="440" w:lineRule="exact"/>
              <w:ind w:left="63" w:right="63"/>
              <w:rPr>
                <w:rFonts w:eastAsia="仿宋_GB2312"/>
                <w:sz w:val="30"/>
                <w:szCs w:val="30"/>
              </w:rPr>
            </w:pPr>
          </w:p>
        </w:tc>
        <w:tc>
          <w:tcPr>
            <w:tcW w:w="850" w:type="dxa"/>
            <w:noWrap w:val="0"/>
            <w:vAlign w:val="center"/>
          </w:tcPr>
          <w:p w14:paraId="459317F6">
            <w:pPr>
              <w:pStyle w:val="6"/>
              <w:keepNext/>
              <w:spacing w:after="0" w:line="440" w:lineRule="exact"/>
              <w:ind w:left="63" w:right="63"/>
              <w:rPr>
                <w:rFonts w:eastAsia="仿宋_GB2312"/>
                <w:sz w:val="30"/>
                <w:szCs w:val="30"/>
              </w:rPr>
            </w:pPr>
          </w:p>
        </w:tc>
        <w:tc>
          <w:tcPr>
            <w:tcW w:w="1560" w:type="dxa"/>
            <w:noWrap w:val="0"/>
            <w:vAlign w:val="center"/>
          </w:tcPr>
          <w:p w14:paraId="02AE3C07">
            <w:pPr>
              <w:pStyle w:val="6"/>
              <w:keepNext/>
              <w:spacing w:after="0" w:line="440" w:lineRule="exact"/>
              <w:ind w:left="63" w:right="63"/>
              <w:rPr>
                <w:rFonts w:eastAsia="仿宋_GB2312"/>
                <w:sz w:val="30"/>
                <w:szCs w:val="30"/>
              </w:rPr>
            </w:pPr>
          </w:p>
        </w:tc>
        <w:tc>
          <w:tcPr>
            <w:tcW w:w="1984" w:type="dxa"/>
            <w:noWrap w:val="0"/>
            <w:vAlign w:val="center"/>
          </w:tcPr>
          <w:p w14:paraId="32E17637">
            <w:pPr>
              <w:pStyle w:val="6"/>
              <w:keepNext/>
              <w:spacing w:after="0" w:line="440" w:lineRule="exact"/>
              <w:ind w:left="63" w:right="63"/>
              <w:rPr>
                <w:rFonts w:eastAsia="仿宋_GB2312"/>
                <w:sz w:val="30"/>
                <w:szCs w:val="30"/>
              </w:rPr>
            </w:pPr>
          </w:p>
        </w:tc>
        <w:tc>
          <w:tcPr>
            <w:tcW w:w="1418" w:type="dxa"/>
            <w:noWrap w:val="0"/>
            <w:vAlign w:val="center"/>
          </w:tcPr>
          <w:p w14:paraId="6E38A3B2">
            <w:pPr>
              <w:pStyle w:val="6"/>
              <w:keepNext/>
              <w:spacing w:after="0" w:line="440" w:lineRule="exact"/>
              <w:ind w:left="63" w:right="63"/>
              <w:rPr>
                <w:rFonts w:eastAsia="仿宋_GB2312"/>
                <w:sz w:val="30"/>
                <w:szCs w:val="30"/>
              </w:rPr>
            </w:pPr>
          </w:p>
        </w:tc>
        <w:tc>
          <w:tcPr>
            <w:tcW w:w="992" w:type="dxa"/>
            <w:noWrap w:val="0"/>
            <w:vAlign w:val="center"/>
          </w:tcPr>
          <w:p w14:paraId="244A1B30">
            <w:pPr>
              <w:pStyle w:val="6"/>
              <w:keepNext/>
              <w:spacing w:after="0" w:line="440" w:lineRule="exact"/>
              <w:ind w:left="63" w:right="63"/>
              <w:rPr>
                <w:rFonts w:eastAsia="仿宋_GB2312"/>
                <w:sz w:val="30"/>
                <w:szCs w:val="30"/>
              </w:rPr>
            </w:pPr>
          </w:p>
        </w:tc>
        <w:tc>
          <w:tcPr>
            <w:tcW w:w="850" w:type="dxa"/>
            <w:noWrap w:val="0"/>
            <w:vAlign w:val="center"/>
          </w:tcPr>
          <w:p w14:paraId="1124A049">
            <w:pPr>
              <w:pStyle w:val="6"/>
              <w:keepNext/>
              <w:spacing w:after="0" w:line="440" w:lineRule="exact"/>
              <w:ind w:left="63" w:right="63"/>
              <w:rPr>
                <w:rFonts w:eastAsia="仿宋_GB2312"/>
                <w:sz w:val="30"/>
                <w:szCs w:val="30"/>
              </w:rPr>
            </w:pPr>
          </w:p>
        </w:tc>
      </w:tr>
      <w:tr w14:paraId="4F941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9A94BE4">
            <w:pPr>
              <w:pStyle w:val="6"/>
              <w:keepNext/>
              <w:spacing w:after="0" w:line="440" w:lineRule="exact"/>
              <w:ind w:left="63" w:right="63"/>
              <w:rPr>
                <w:rFonts w:eastAsia="仿宋_GB2312"/>
                <w:sz w:val="30"/>
                <w:szCs w:val="30"/>
              </w:rPr>
            </w:pPr>
          </w:p>
        </w:tc>
        <w:tc>
          <w:tcPr>
            <w:tcW w:w="1843" w:type="dxa"/>
            <w:tcBorders>
              <w:top w:val="nil"/>
            </w:tcBorders>
            <w:noWrap w:val="0"/>
            <w:vAlign w:val="center"/>
          </w:tcPr>
          <w:p w14:paraId="107D86CE">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01236B68">
            <w:pPr>
              <w:pStyle w:val="6"/>
              <w:keepNext/>
              <w:spacing w:after="0" w:line="440" w:lineRule="exact"/>
              <w:ind w:left="63" w:right="63"/>
              <w:rPr>
                <w:rFonts w:eastAsia="仿宋_GB2312"/>
                <w:sz w:val="30"/>
                <w:szCs w:val="30"/>
              </w:rPr>
            </w:pPr>
          </w:p>
        </w:tc>
        <w:tc>
          <w:tcPr>
            <w:tcW w:w="2410" w:type="dxa"/>
            <w:tcBorders>
              <w:top w:val="nil"/>
            </w:tcBorders>
            <w:noWrap w:val="0"/>
            <w:vAlign w:val="center"/>
          </w:tcPr>
          <w:p w14:paraId="075DD3F1">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6DD796D0">
            <w:pPr>
              <w:pStyle w:val="6"/>
              <w:keepNext/>
              <w:spacing w:after="0" w:line="440" w:lineRule="exact"/>
              <w:ind w:left="63" w:right="63"/>
              <w:rPr>
                <w:rFonts w:eastAsia="仿宋_GB2312"/>
                <w:sz w:val="30"/>
                <w:szCs w:val="30"/>
              </w:rPr>
            </w:pPr>
          </w:p>
        </w:tc>
        <w:tc>
          <w:tcPr>
            <w:tcW w:w="1560" w:type="dxa"/>
            <w:tcBorders>
              <w:top w:val="nil"/>
            </w:tcBorders>
            <w:noWrap w:val="0"/>
            <w:vAlign w:val="center"/>
          </w:tcPr>
          <w:p w14:paraId="467E0198">
            <w:pPr>
              <w:pStyle w:val="6"/>
              <w:keepNext/>
              <w:spacing w:after="0" w:line="440" w:lineRule="exact"/>
              <w:ind w:left="63" w:right="63"/>
              <w:rPr>
                <w:rFonts w:eastAsia="仿宋_GB2312"/>
                <w:sz w:val="30"/>
                <w:szCs w:val="30"/>
              </w:rPr>
            </w:pPr>
          </w:p>
        </w:tc>
        <w:tc>
          <w:tcPr>
            <w:tcW w:w="1984" w:type="dxa"/>
            <w:tcBorders>
              <w:top w:val="nil"/>
            </w:tcBorders>
            <w:noWrap w:val="0"/>
            <w:vAlign w:val="center"/>
          </w:tcPr>
          <w:p w14:paraId="14D113C6">
            <w:pPr>
              <w:pStyle w:val="6"/>
              <w:keepNext/>
              <w:spacing w:after="0" w:line="440" w:lineRule="exact"/>
              <w:ind w:left="63" w:right="63"/>
              <w:rPr>
                <w:rFonts w:eastAsia="仿宋_GB2312"/>
                <w:sz w:val="30"/>
                <w:szCs w:val="30"/>
              </w:rPr>
            </w:pPr>
          </w:p>
        </w:tc>
        <w:tc>
          <w:tcPr>
            <w:tcW w:w="1418" w:type="dxa"/>
            <w:tcBorders>
              <w:top w:val="nil"/>
            </w:tcBorders>
            <w:noWrap w:val="0"/>
            <w:vAlign w:val="center"/>
          </w:tcPr>
          <w:p w14:paraId="4E59C3FE">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4204E492">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7BECBEE6">
            <w:pPr>
              <w:pStyle w:val="6"/>
              <w:keepNext/>
              <w:spacing w:after="0" w:line="440" w:lineRule="exact"/>
              <w:ind w:left="63" w:right="63"/>
              <w:rPr>
                <w:rFonts w:eastAsia="仿宋_GB2312"/>
                <w:sz w:val="30"/>
                <w:szCs w:val="30"/>
              </w:rPr>
            </w:pPr>
          </w:p>
        </w:tc>
      </w:tr>
      <w:tr w14:paraId="0A4CB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C6D8582">
            <w:pPr>
              <w:pStyle w:val="6"/>
              <w:keepNext/>
              <w:spacing w:after="0" w:line="440" w:lineRule="exact"/>
              <w:ind w:left="63" w:right="63"/>
              <w:rPr>
                <w:rFonts w:eastAsia="仿宋_GB2312"/>
                <w:sz w:val="30"/>
                <w:szCs w:val="30"/>
              </w:rPr>
            </w:pPr>
          </w:p>
        </w:tc>
        <w:tc>
          <w:tcPr>
            <w:tcW w:w="1843" w:type="dxa"/>
            <w:noWrap w:val="0"/>
            <w:vAlign w:val="center"/>
          </w:tcPr>
          <w:p w14:paraId="5E527632">
            <w:pPr>
              <w:pStyle w:val="6"/>
              <w:keepNext/>
              <w:spacing w:after="0" w:line="440" w:lineRule="exact"/>
              <w:ind w:left="63" w:right="63"/>
              <w:rPr>
                <w:rFonts w:eastAsia="仿宋_GB2312"/>
                <w:sz w:val="30"/>
                <w:szCs w:val="30"/>
              </w:rPr>
            </w:pPr>
          </w:p>
        </w:tc>
        <w:tc>
          <w:tcPr>
            <w:tcW w:w="1417" w:type="dxa"/>
            <w:noWrap w:val="0"/>
            <w:vAlign w:val="center"/>
          </w:tcPr>
          <w:p w14:paraId="6ECAD375">
            <w:pPr>
              <w:pStyle w:val="6"/>
              <w:keepNext/>
              <w:spacing w:after="0" w:line="440" w:lineRule="exact"/>
              <w:ind w:left="63" w:right="63"/>
              <w:rPr>
                <w:rFonts w:eastAsia="仿宋_GB2312"/>
                <w:sz w:val="30"/>
                <w:szCs w:val="30"/>
              </w:rPr>
            </w:pPr>
          </w:p>
        </w:tc>
        <w:tc>
          <w:tcPr>
            <w:tcW w:w="2410" w:type="dxa"/>
            <w:noWrap w:val="0"/>
            <w:vAlign w:val="center"/>
          </w:tcPr>
          <w:p w14:paraId="55BE6238">
            <w:pPr>
              <w:pStyle w:val="6"/>
              <w:keepNext/>
              <w:spacing w:after="0" w:line="440" w:lineRule="exact"/>
              <w:ind w:left="63" w:right="63"/>
              <w:rPr>
                <w:rFonts w:eastAsia="仿宋_GB2312"/>
                <w:sz w:val="30"/>
                <w:szCs w:val="30"/>
              </w:rPr>
            </w:pPr>
          </w:p>
        </w:tc>
        <w:tc>
          <w:tcPr>
            <w:tcW w:w="850" w:type="dxa"/>
            <w:noWrap w:val="0"/>
            <w:vAlign w:val="center"/>
          </w:tcPr>
          <w:p w14:paraId="11593D58">
            <w:pPr>
              <w:pStyle w:val="6"/>
              <w:keepNext/>
              <w:spacing w:after="0" w:line="440" w:lineRule="exact"/>
              <w:ind w:left="63" w:right="63"/>
              <w:rPr>
                <w:rFonts w:eastAsia="仿宋_GB2312"/>
                <w:sz w:val="30"/>
                <w:szCs w:val="30"/>
              </w:rPr>
            </w:pPr>
          </w:p>
        </w:tc>
        <w:tc>
          <w:tcPr>
            <w:tcW w:w="1560" w:type="dxa"/>
            <w:noWrap w:val="0"/>
            <w:vAlign w:val="center"/>
          </w:tcPr>
          <w:p w14:paraId="6D535678">
            <w:pPr>
              <w:pStyle w:val="6"/>
              <w:keepNext/>
              <w:spacing w:after="0" w:line="440" w:lineRule="exact"/>
              <w:ind w:left="63" w:right="63"/>
              <w:rPr>
                <w:rFonts w:eastAsia="仿宋_GB2312"/>
                <w:sz w:val="30"/>
                <w:szCs w:val="30"/>
              </w:rPr>
            </w:pPr>
          </w:p>
        </w:tc>
        <w:tc>
          <w:tcPr>
            <w:tcW w:w="1984" w:type="dxa"/>
            <w:noWrap w:val="0"/>
            <w:vAlign w:val="center"/>
          </w:tcPr>
          <w:p w14:paraId="322E9219">
            <w:pPr>
              <w:pStyle w:val="6"/>
              <w:keepNext/>
              <w:spacing w:after="0" w:line="440" w:lineRule="exact"/>
              <w:ind w:left="63" w:right="63"/>
              <w:rPr>
                <w:rFonts w:eastAsia="仿宋_GB2312"/>
                <w:sz w:val="30"/>
                <w:szCs w:val="30"/>
              </w:rPr>
            </w:pPr>
          </w:p>
        </w:tc>
        <w:tc>
          <w:tcPr>
            <w:tcW w:w="1418" w:type="dxa"/>
            <w:noWrap w:val="0"/>
            <w:vAlign w:val="center"/>
          </w:tcPr>
          <w:p w14:paraId="7F4FAAD8">
            <w:pPr>
              <w:pStyle w:val="6"/>
              <w:keepNext/>
              <w:spacing w:after="0" w:line="440" w:lineRule="exact"/>
              <w:ind w:left="63" w:right="63"/>
              <w:rPr>
                <w:rFonts w:eastAsia="仿宋_GB2312"/>
                <w:sz w:val="30"/>
                <w:szCs w:val="30"/>
              </w:rPr>
            </w:pPr>
          </w:p>
        </w:tc>
        <w:tc>
          <w:tcPr>
            <w:tcW w:w="992" w:type="dxa"/>
            <w:noWrap w:val="0"/>
            <w:vAlign w:val="center"/>
          </w:tcPr>
          <w:p w14:paraId="1E75BE5D">
            <w:pPr>
              <w:pStyle w:val="6"/>
              <w:keepNext/>
              <w:spacing w:after="0" w:line="440" w:lineRule="exact"/>
              <w:ind w:left="63" w:right="63"/>
              <w:rPr>
                <w:rFonts w:eastAsia="仿宋_GB2312"/>
                <w:sz w:val="30"/>
                <w:szCs w:val="30"/>
              </w:rPr>
            </w:pPr>
          </w:p>
        </w:tc>
        <w:tc>
          <w:tcPr>
            <w:tcW w:w="850" w:type="dxa"/>
            <w:noWrap w:val="0"/>
            <w:vAlign w:val="center"/>
          </w:tcPr>
          <w:p w14:paraId="3220FF3A">
            <w:pPr>
              <w:pStyle w:val="6"/>
              <w:keepNext/>
              <w:spacing w:after="0" w:line="440" w:lineRule="exact"/>
              <w:ind w:left="63" w:right="63"/>
              <w:rPr>
                <w:rFonts w:eastAsia="仿宋_GB2312"/>
                <w:sz w:val="30"/>
                <w:szCs w:val="30"/>
              </w:rPr>
            </w:pPr>
          </w:p>
        </w:tc>
      </w:tr>
      <w:tr w14:paraId="359501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7D9E90D">
            <w:pPr>
              <w:pStyle w:val="6"/>
              <w:keepNext/>
              <w:spacing w:after="0" w:line="440" w:lineRule="exact"/>
              <w:ind w:left="63" w:right="63"/>
              <w:rPr>
                <w:rFonts w:eastAsia="仿宋_GB2312"/>
                <w:sz w:val="30"/>
                <w:szCs w:val="30"/>
              </w:rPr>
            </w:pPr>
          </w:p>
        </w:tc>
        <w:tc>
          <w:tcPr>
            <w:tcW w:w="1843" w:type="dxa"/>
            <w:tcBorders>
              <w:top w:val="nil"/>
            </w:tcBorders>
            <w:noWrap w:val="0"/>
            <w:vAlign w:val="center"/>
          </w:tcPr>
          <w:p w14:paraId="3F8E3DEE">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16DB7F89">
            <w:pPr>
              <w:pStyle w:val="6"/>
              <w:keepNext/>
              <w:spacing w:after="0" w:line="440" w:lineRule="exact"/>
              <w:ind w:left="63" w:right="63"/>
              <w:rPr>
                <w:rFonts w:eastAsia="仿宋_GB2312"/>
                <w:sz w:val="30"/>
                <w:szCs w:val="30"/>
              </w:rPr>
            </w:pPr>
          </w:p>
        </w:tc>
        <w:tc>
          <w:tcPr>
            <w:tcW w:w="2410" w:type="dxa"/>
            <w:tcBorders>
              <w:top w:val="nil"/>
            </w:tcBorders>
            <w:noWrap w:val="0"/>
            <w:vAlign w:val="center"/>
          </w:tcPr>
          <w:p w14:paraId="66DCC5AE">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4DB4A860">
            <w:pPr>
              <w:pStyle w:val="6"/>
              <w:keepNext/>
              <w:spacing w:after="0" w:line="440" w:lineRule="exact"/>
              <w:ind w:left="63" w:right="63"/>
              <w:rPr>
                <w:rFonts w:eastAsia="仿宋_GB2312"/>
                <w:sz w:val="30"/>
                <w:szCs w:val="30"/>
              </w:rPr>
            </w:pPr>
          </w:p>
        </w:tc>
        <w:tc>
          <w:tcPr>
            <w:tcW w:w="1560" w:type="dxa"/>
            <w:tcBorders>
              <w:top w:val="nil"/>
            </w:tcBorders>
            <w:noWrap w:val="0"/>
            <w:vAlign w:val="center"/>
          </w:tcPr>
          <w:p w14:paraId="0CA802B0">
            <w:pPr>
              <w:pStyle w:val="6"/>
              <w:keepNext/>
              <w:spacing w:after="0" w:line="440" w:lineRule="exact"/>
              <w:ind w:left="63" w:right="63"/>
              <w:rPr>
                <w:rFonts w:eastAsia="仿宋_GB2312"/>
                <w:sz w:val="30"/>
                <w:szCs w:val="30"/>
              </w:rPr>
            </w:pPr>
          </w:p>
        </w:tc>
        <w:tc>
          <w:tcPr>
            <w:tcW w:w="1984" w:type="dxa"/>
            <w:tcBorders>
              <w:top w:val="nil"/>
            </w:tcBorders>
            <w:noWrap w:val="0"/>
            <w:vAlign w:val="center"/>
          </w:tcPr>
          <w:p w14:paraId="62B58BFD">
            <w:pPr>
              <w:pStyle w:val="6"/>
              <w:keepNext/>
              <w:spacing w:after="0" w:line="440" w:lineRule="exact"/>
              <w:ind w:left="63" w:right="63"/>
              <w:rPr>
                <w:rFonts w:eastAsia="仿宋_GB2312"/>
                <w:sz w:val="30"/>
                <w:szCs w:val="30"/>
              </w:rPr>
            </w:pPr>
          </w:p>
        </w:tc>
        <w:tc>
          <w:tcPr>
            <w:tcW w:w="1418" w:type="dxa"/>
            <w:tcBorders>
              <w:top w:val="nil"/>
            </w:tcBorders>
            <w:noWrap w:val="0"/>
            <w:vAlign w:val="center"/>
          </w:tcPr>
          <w:p w14:paraId="56D49EC7">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675FEF34">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56F5639E">
            <w:pPr>
              <w:pStyle w:val="6"/>
              <w:keepNext/>
              <w:spacing w:after="0" w:line="440" w:lineRule="exact"/>
              <w:ind w:left="63" w:right="63"/>
              <w:rPr>
                <w:rFonts w:eastAsia="仿宋_GB2312"/>
                <w:sz w:val="30"/>
                <w:szCs w:val="30"/>
              </w:rPr>
            </w:pPr>
          </w:p>
        </w:tc>
      </w:tr>
      <w:tr w14:paraId="7A8B6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B66D8A1">
            <w:pPr>
              <w:pStyle w:val="6"/>
              <w:keepNext/>
              <w:spacing w:after="0" w:line="440" w:lineRule="exact"/>
              <w:ind w:left="63" w:right="63"/>
              <w:rPr>
                <w:rFonts w:eastAsia="仿宋_GB2312"/>
                <w:sz w:val="30"/>
                <w:szCs w:val="30"/>
              </w:rPr>
            </w:pPr>
          </w:p>
        </w:tc>
        <w:tc>
          <w:tcPr>
            <w:tcW w:w="1843" w:type="dxa"/>
            <w:tcBorders>
              <w:top w:val="nil"/>
            </w:tcBorders>
            <w:noWrap w:val="0"/>
            <w:vAlign w:val="center"/>
          </w:tcPr>
          <w:p w14:paraId="6750FE98">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623BD306">
            <w:pPr>
              <w:pStyle w:val="6"/>
              <w:keepNext/>
              <w:spacing w:after="0" w:line="440" w:lineRule="exact"/>
              <w:ind w:left="63" w:right="63"/>
              <w:rPr>
                <w:rFonts w:eastAsia="仿宋_GB2312"/>
                <w:sz w:val="30"/>
                <w:szCs w:val="30"/>
              </w:rPr>
            </w:pPr>
          </w:p>
        </w:tc>
        <w:tc>
          <w:tcPr>
            <w:tcW w:w="2410" w:type="dxa"/>
            <w:tcBorders>
              <w:top w:val="nil"/>
            </w:tcBorders>
            <w:noWrap w:val="0"/>
            <w:vAlign w:val="center"/>
          </w:tcPr>
          <w:p w14:paraId="6BF62017">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3CEFBD31">
            <w:pPr>
              <w:pStyle w:val="6"/>
              <w:keepNext/>
              <w:spacing w:after="0" w:line="440" w:lineRule="exact"/>
              <w:ind w:left="63" w:right="63"/>
              <w:rPr>
                <w:rFonts w:eastAsia="仿宋_GB2312"/>
                <w:sz w:val="30"/>
                <w:szCs w:val="30"/>
              </w:rPr>
            </w:pPr>
          </w:p>
        </w:tc>
        <w:tc>
          <w:tcPr>
            <w:tcW w:w="1560" w:type="dxa"/>
            <w:tcBorders>
              <w:top w:val="nil"/>
            </w:tcBorders>
            <w:noWrap w:val="0"/>
            <w:vAlign w:val="center"/>
          </w:tcPr>
          <w:p w14:paraId="6E8EEB19">
            <w:pPr>
              <w:pStyle w:val="6"/>
              <w:keepNext/>
              <w:spacing w:after="0" w:line="440" w:lineRule="exact"/>
              <w:ind w:left="63" w:right="63"/>
              <w:rPr>
                <w:rFonts w:eastAsia="仿宋_GB2312"/>
                <w:sz w:val="30"/>
                <w:szCs w:val="30"/>
              </w:rPr>
            </w:pPr>
          </w:p>
        </w:tc>
        <w:tc>
          <w:tcPr>
            <w:tcW w:w="1984" w:type="dxa"/>
            <w:tcBorders>
              <w:top w:val="nil"/>
            </w:tcBorders>
            <w:noWrap w:val="0"/>
            <w:vAlign w:val="center"/>
          </w:tcPr>
          <w:p w14:paraId="718BE306">
            <w:pPr>
              <w:pStyle w:val="6"/>
              <w:keepNext/>
              <w:spacing w:after="0" w:line="440" w:lineRule="exact"/>
              <w:ind w:left="63" w:right="63"/>
              <w:rPr>
                <w:rFonts w:eastAsia="仿宋_GB2312"/>
                <w:sz w:val="30"/>
                <w:szCs w:val="30"/>
              </w:rPr>
            </w:pPr>
          </w:p>
        </w:tc>
        <w:tc>
          <w:tcPr>
            <w:tcW w:w="1418" w:type="dxa"/>
            <w:tcBorders>
              <w:top w:val="nil"/>
            </w:tcBorders>
            <w:noWrap w:val="0"/>
            <w:vAlign w:val="center"/>
          </w:tcPr>
          <w:p w14:paraId="013EBCB0">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139146DE">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6B89A5FB">
            <w:pPr>
              <w:pStyle w:val="6"/>
              <w:keepNext/>
              <w:spacing w:after="0" w:line="440" w:lineRule="exact"/>
              <w:ind w:left="63" w:right="63"/>
              <w:rPr>
                <w:rFonts w:eastAsia="仿宋_GB2312"/>
                <w:sz w:val="30"/>
                <w:szCs w:val="30"/>
              </w:rPr>
            </w:pPr>
          </w:p>
        </w:tc>
      </w:tr>
      <w:tr w14:paraId="1EDB6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62431D1">
            <w:pPr>
              <w:pStyle w:val="6"/>
              <w:keepNext/>
              <w:spacing w:after="0" w:line="440" w:lineRule="exact"/>
              <w:ind w:left="63" w:right="63"/>
              <w:rPr>
                <w:rFonts w:eastAsia="仿宋_GB2312"/>
                <w:sz w:val="30"/>
                <w:szCs w:val="30"/>
              </w:rPr>
            </w:pPr>
          </w:p>
        </w:tc>
        <w:tc>
          <w:tcPr>
            <w:tcW w:w="1843" w:type="dxa"/>
            <w:noWrap w:val="0"/>
            <w:vAlign w:val="center"/>
          </w:tcPr>
          <w:p w14:paraId="5C4FB39D">
            <w:pPr>
              <w:pStyle w:val="6"/>
              <w:keepNext/>
              <w:spacing w:after="0" w:line="440" w:lineRule="exact"/>
              <w:ind w:left="63" w:right="63"/>
              <w:rPr>
                <w:rFonts w:eastAsia="仿宋_GB2312"/>
                <w:sz w:val="30"/>
                <w:szCs w:val="30"/>
              </w:rPr>
            </w:pPr>
          </w:p>
        </w:tc>
        <w:tc>
          <w:tcPr>
            <w:tcW w:w="1417" w:type="dxa"/>
            <w:noWrap w:val="0"/>
            <w:vAlign w:val="center"/>
          </w:tcPr>
          <w:p w14:paraId="47BB8FBE">
            <w:pPr>
              <w:pStyle w:val="6"/>
              <w:keepNext/>
              <w:spacing w:after="0" w:line="440" w:lineRule="exact"/>
              <w:ind w:left="63" w:right="63"/>
              <w:rPr>
                <w:rFonts w:eastAsia="仿宋_GB2312"/>
                <w:sz w:val="30"/>
                <w:szCs w:val="30"/>
              </w:rPr>
            </w:pPr>
          </w:p>
        </w:tc>
        <w:tc>
          <w:tcPr>
            <w:tcW w:w="2410" w:type="dxa"/>
            <w:noWrap w:val="0"/>
            <w:vAlign w:val="center"/>
          </w:tcPr>
          <w:p w14:paraId="252C65A3">
            <w:pPr>
              <w:pStyle w:val="6"/>
              <w:keepNext/>
              <w:spacing w:after="0" w:line="440" w:lineRule="exact"/>
              <w:ind w:left="63" w:right="63"/>
              <w:rPr>
                <w:rFonts w:eastAsia="仿宋_GB2312"/>
                <w:sz w:val="30"/>
                <w:szCs w:val="30"/>
              </w:rPr>
            </w:pPr>
          </w:p>
        </w:tc>
        <w:tc>
          <w:tcPr>
            <w:tcW w:w="850" w:type="dxa"/>
            <w:noWrap w:val="0"/>
            <w:vAlign w:val="center"/>
          </w:tcPr>
          <w:p w14:paraId="5EF50EA5">
            <w:pPr>
              <w:pStyle w:val="6"/>
              <w:keepNext/>
              <w:spacing w:after="0" w:line="440" w:lineRule="exact"/>
              <w:ind w:left="63" w:right="63"/>
              <w:rPr>
                <w:rFonts w:eastAsia="仿宋_GB2312"/>
                <w:sz w:val="30"/>
                <w:szCs w:val="30"/>
              </w:rPr>
            </w:pPr>
          </w:p>
        </w:tc>
        <w:tc>
          <w:tcPr>
            <w:tcW w:w="1560" w:type="dxa"/>
            <w:noWrap w:val="0"/>
            <w:vAlign w:val="center"/>
          </w:tcPr>
          <w:p w14:paraId="3C328C4F">
            <w:pPr>
              <w:pStyle w:val="6"/>
              <w:keepNext/>
              <w:spacing w:after="0" w:line="440" w:lineRule="exact"/>
              <w:ind w:left="63" w:right="63"/>
              <w:rPr>
                <w:rFonts w:eastAsia="仿宋_GB2312"/>
                <w:sz w:val="30"/>
                <w:szCs w:val="30"/>
              </w:rPr>
            </w:pPr>
          </w:p>
        </w:tc>
        <w:tc>
          <w:tcPr>
            <w:tcW w:w="1984" w:type="dxa"/>
            <w:noWrap w:val="0"/>
            <w:vAlign w:val="center"/>
          </w:tcPr>
          <w:p w14:paraId="0C597A4C">
            <w:pPr>
              <w:pStyle w:val="6"/>
              <w:keepNext/>
              <w:spacing w:after="0" w:line="440" w:lineRule="exact"/>
              <w:ind w:left="63" w:right="63"/>
              <w:rPr>
                <w:rFonts w:eastAsia="仿宋_GB2312"/>
                <w:sz w:val="30"/>
                <w:szCs w:val="30"/>
              </w:rPr>
            </w:pPr>
          </w:p>
        </w:tc>
        <w:tc>
          <w:tcPr>
            <w:tcW w:w="1418" w:type="dxa"/>
            <w:noWrap w:val="0"/>
            <w:vAlign w:val="center"/>
          </w:tcPr>
          <w:p w14:paraId="32DAB797">
            <w:pPr>
              <w:pStyle w:val="6"/>
              <w:keepNext/>
              <w:spacing w:after="0" w:line="440" w:lineRule="exact"/>
              <w:ind w:left="63" w:right="63"/>
              <w:rPr>
                <w:rFonts w:eastAsia="仿宋_GB2312"/>
                <w:sz w:val="30"/>
                <w:szCs w:val="30"/>
              </w:rPr>
            </w:pPr>
          </w:p>
        </w:tc>
        <w:tc>
          <w:tcPr>
            <w:tcW w:w="992" w:type="dxa"/>
            <w:noWrap w:val="0"/>
            <w:vAlign w:val="center"/>
          </w:tcPr>
          <w:p w14:paraId="3E27AED5">
            <w:pPr>
              <w:pStyle w:val="6"/>
              <w:keepNext/>
              <w:spacing w:after="0" w:line="440" w:lineRule="exact"/>
              <w:ind w:left="63" w:right="63"/>
              <w:rPr>
                <w:rFonts w:eastAsia="仿宋_GB2312"/>
                <w:sz w:val="30"/>
                <w:szCs w:val="30"/>
              </w:rPr>
            </w:pPr>
          </w:p>
        </w:tc>
        <w:tc>
          <w:tcPr>
            <w:tcW w:w="850" w:type="dxa"/>
            <w:noWrap w:val="0"/>
            <w:vAlign w:val="center"/>
          </w:tcPr>
          <w:p w14:paraId="08C231B4">
            <w:pPr>
              <w:pStyle w:val="6"/>
              <w:keepNext/>
              <w:spacing w:after="0" w:line="440" w:lineRule="exact"/>
              <w:ind w:left="63" w:right="63"/>
              <w:rPr>
                <w:rFonts w:eastAsia="仿宋_GB2312"/>
                <w:sz w:val="30"/>
                <w:szCs w:val="30"/>
              </w:rPr>
            </w:pPr>
          </w:p>
        </w:tc>
      </w:tr>
      <w:tr w14:paraId="20FC4D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3E2AC12">
            <w:pPr>
              <w:pStyle w:val="6"/>
              <w:keepNext/>
              <w:spacing w:after="0" w:line="440" w:lineRule="exact"/>
              <w:ind w:left="63" w:right="63"/>
              <w:rPr>
                <w:rFonts w:eastAsia="仿宋_GB2312"/>
                <w:sz w:val="30"/>
                <w:szCs w:val="30"/>
              </w:rPr>
            </w:pPr>
          </w:p>
        </w:tc>
        <w:tc>
          <w:tcPr>
            <w:tcW w:w="1843" w:type="dxa"/>
            <w:tcBorders>
              <w:top w:val="nil"/>
            </w:tcBorders>
            <w:noWrap w:val="0"/>
            <w:vAlign w:val="center"/>
          </w:tcPr>
          <w:p w14:paraId="67D6932F">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1DB158AF">
            <w:pPr>
              <w:pStyle w:val="6"/>
              <w:keepNext/>
              <w:spacing w:after="0" w:line="440" w:lineRule="exact"/>
              <w:ind w:left="63" w:right="63"/>
              <w:rPr>
                <w:rFonts w:eastAsia="仿宋_GB2312"/>
                <w:sz w:val="30"/>
                <w:szCs w:val="30"/>
              </w:rPr>
            </w:pPr>
          </w:p>
        </w:tc>
        <w:tc>
          <w:tcPr>
            <w:tcW w:w="2410" w:type="dxa"/>
            <w:tcBorders>
              <w:top w:val="nil"/>
            </w:tcBorders>
            <w:noWrap w:val="0"/>
            <w:vAlign w:val="center"/>
          </w:tcPr>
          <w:p w14:paraId="1F8CE0AF">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56F9E6BF">
            <w:pPr>
              <w:pStyle w:val="6"/>
              <w:keepNext/>
              <w:spacing w:after="0" w:line="440" w:lineRule="exact"/>
              <w:ind w:left="63" w:right="63"/>
              <w:rPr>
                <w:rFonts w:eastAsia="仿宋_GB2312"/>
                <w:sz w:val="30"/>
                <w:szCs w:val="30"/>
              </w:rPr>
            </w:pPr>
          </w:p>
        </w:tc>
        <w:tc>
          <w:tcPr>
            <w:tcW w:w="1560" w:type="dxa"/>
            <w:tcBorders>
              <w:top w:val="nil"/>
            </w:tcBorders>
            <w:noWrap w:val="0"/>
            <w:vAlign w:val="center"/>
          </w:tcPr>
          <w:p w14:paraId="561F6CB1">
            <w:pPr>
              <w:pStyle w:val="6"/>
              <w:keepNext/>
              <w:spacing w:after="0" w:line="440" w:lineRule="exact"/>
              <w:ind w:left="63" w:right="63"/>
              <w:rPr>
                <w:rFonts w:eastAsia="仿宋_GB2312"/>
                <w:sz w:val="30"/>
                <w:szCs w:val="30"/>
              </w:rPr>
            </w:pPr>
          </w:p>
        </w:tc>
        <w:tc>
          <w:tcPr>
            <w:tcW w:w="1984" w:type="dxa"/>
            <w:tcBorders>
              <w:top w:val="nil"/>
            </w:tcBorders>
            <w:noWrap w:val="0"/>
            <w:vAlign w:val="center"/>
          </w:tcPr>
          <w:p w14:paraId="1E9A9EF1">
            <w:pPr>
              <w:pStyle w:val="6"/>
              <w:keepNext/>
              <w:spacing w:after="0" w:line="440" w:lineRule="exact"/>
              <w:ind w:left="63" w:right="63"/>
              <w:rPr>
                <w:rFonts w:eastAsia="仿宋_GB2312"/>
                <w:sz w:val="30"/>
                <w:szCs w:val="30"/>
              </w:rPr>
            </w:pPr>
          </w:p>
        </w:tc>
        <w:tc>
          <w:tcPr>
            <w:tcW w:w="1418" w:type="dxa"/>
            <w:tcBorders>
              <w:top w:val="nil"/>
            </w:tcBorders>
            <w:noWrap w:val="0"/>
            <w:vAlign w:val="center"/>
          </w:tcPr>
          <w:p w14:paraId="4F74082E">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732A76BA">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40D51D9D">
            <w:pPr>
              <w:pStyle w:val="6"/>
              <w:keepNext/>
              <w:spacing w:after="0" w:line="440" w:lineRule="exact"/>
              <w:ind w:left="63" w:right="63"/>
              <w:rPr>
                <w:rFonts w:eastAsia="仿宋_GB2312"/>
                <w:sz w:val="30"/>
                <w:szCs w:val="30"/>
              </w:rPr>
            </w:pPr>
          </w:p>
        </w:tc>
      </w:tr>
      <w:tr w14:paraId="071D9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5F506D40">
            <w:pPr>
              <w:pStyle w:val="6"/>
              <w:keepNext/>
              <w:spacing w:after="0" w:line="440" w:lineRule="exact"/>
              <w:ind w:left="63" w:right="63"/>
              <w:rPr>
                <w:rFonts w:eastAsia="仿宋_GB2312"/>
                <w:sz w:val="30"/>
                <w:szCs w:val="30"/>
              </w:rPr>
            </w:pPr>
          </w:p>
        </w:tc>
        <w:tc>
          <w:tcPr>
            <w:tcW w:w="1843" w:type="dxa"/>
            <w:noWrap w:val="0"/>
            <w:vAlign w:val="center"/>
          </w:tcPr>
          <w:p w14:paraId="64C510F6">
            <w:pPr>
              <w:pStyle w:val="6"/>
              <w:keepNext/>
              <w:spacing w:after="0" w:line="440" w:lineRule="exact"/>
              <w:ind w:left="63" w:right="63"/>
              <w:rPr>
                <w:rFonts w:eastAsia="仿宋_GB2312"/>
                <w:sz w:val="30"/>
                <w:szCs w:val="30"/>
              </w:rPr>
            </w:pPr>
          </w:p>
        </w:tc>
        <w:tc>
          <w:tcPr>
            <w:tcW w:w="1417" w:type="dxa"/>
            <w:noWrap w:val="0"/>
            <w:vAlign w:val="center"/>
          </w:tcPr>
          <w:p w14:paraId="588DDFEB">
            <w:pPr>
              <w:pStyle w:val="6"/>
              <w:keepNext/>
              <w:spacing w:after="0" w:line="440" w:lineRule="exact"/>
              <w:ind w:left="63" w:right="63"/>
              <w:rPr>
                <w:rFonts w:eastAsia="仿宋_GB2312"/>
                <w:sz w:val="30"/>
                <w:szCs w:val="30"/>
              </w:rPr>
            </w:pPr>
          </w:p>
        </w:tc>
        <w:tc>
          <w:tcPr>
            <w:tcW w:w="2410" w:type="dxa"/>
            <w:noWrap w:val="0"/>
            <w:vAlign w:val="center"/>
          </w:tcPr>
          <w:p w14:paraId="544E0D0D">
            <w:pPr>
              <w:pStyle w:val="6"/>
              <w:keepNext/>
              <w:spacing w:after="0" w:line="440" w:lineRule="exact"/>
              <w:ind w:left="63" w:right="63"/>
              <w:rPr>
                <w:rFonts w:eastAsia="仿宋_GB2312"/>
                <w:sz w:val="30"/>
                <w:szCs w:val="30"/>
              </w:rPr>
            </w:pPr>
          </w:p>
        </w:tc>
        <w:tc>
          <w:tcPr>
            <w:tcW w:w="850" w:type="dxa"/>
            <w:noWrap w:val="0"/>
            <w:vAlign w:val="center"/>
          </w:tcPr>
          <w:p w14:paraId="6599B7AA">
            <w:pPr>
              <w:pStyle w:val="6"/>
              <w:keepNext/>
              <w:spacing w:after="0" w:line="440" w:lineRule="exact"/>
              <w:ind w:left="63" w:right="63"/>
              <w:rPr>
                <w:rFonts w:eastAsia="仿宋_GB2312"/>
                <w:sz w:val="30"/>
                <w:szCs w:val="30"/>
              </w:rPr>
            </w:pPr>
          </w:p>
        </w:tc>
        <w:tc>
          <w:tcPr>
            <w:tcW w:w="1560" w:type="dxa"/>
            <w:noWrap w:val="0"/>
            <w:vAlign w:val="center"/>
          </w:tcPr>
          <w:p w14:paraId="00AF510E">
            <w:pPr>
              <w:pStyle w:val="6"/>
              <w:keepNext/>
              <w:spacing w:after="0" w:line="440" w:lineRule="exact"/>
              <w:ind w:left="63" w:right="63"/>
              <w:rPr>
                <w:rFonts w:eastAsia="仿宋_GB2312"/>
                <w:sz w:val="30"/>
                <w:szCs w:val="30"/>
              </w:rPr>
            </w:pPr>
          </w:p>
        </w:tc>
        <w:tc>
          <w:tcPr>
            <w:tcW w:w="1984" w:type="dxa"/>
            <w:noWrap w:val="0"/>
            <w:vAlign w:val="center"/>
          </w:tcPr>
          <w:p w14:paraId="0F16E464">
            <w:pPr>
              <w:pStyle w:val="6"/>
              <w:keepNext/>
              <w:spacing w:after="0" w:line="440" w:lineRule="exact"/>
              <w:ind w:left="63" w:right="63"/>
              <w:rPr>
                <w:rFonts w:eastAsia="仿宋_GB2312"/>
                <w:sz w:val="30"/>
                <w:szCs w:val="30"/>
              </w:rPr>
            </w:pPr>
          </w:p>
        </w:tc>
        <w:tc>
          <w:tcPr>
            <w:tcW w:w="1418" w:type="dxa"/>
            <w:noWrap w:val="0"/>
            <w:vAlign w:val="center"/>
          </w:tcPr>
          <w:p w14:paraId="0CE95DF6">
            <w:pPr>
              <w:pStyle w:val="6"/>
              <w:keepNext/>
              <w:spacing w:after="0" w:line="440" w:lineRule="exact"/>
              <w:ind w:left="63" w:right="63"/>
              <w:rPr>
                <w:rFonts w:eastAsia="仿宋_GB2312"/>
                <w:sz w:val="30"/>
                <w:szCs w:val="30"/>
              </w:rPr>
            </w:pPr>
          </w:p>
        </w:tc>
        <w:tc>
          <w:tcPr>
            <w:tcW w:w="992" w:type="dxa"/>
            <w:noWrap w:val="0"/>
            <w:vAlign w:val="center"/>
          </w:tcPr>
          <w:p w14:paraId="039DA5F9">
            <w:pPr>
              <w:pStyle w:val="6"/>
              <w:keepNext/>
              <w:spacing w:after="0" w:line="440" w:lineRule="exact"/>
              <w:ind w:left="63" w:right="63"/>
              <w:rPr>
                <w:rFonts w:eastAsia="仿宋_GB2312"/>
                <w:sz w:val="30"/>
                <w:szCs w:val="30"/>
              </w:rPr>
            </w:pPr>
          </w:p>
        </w:tc>
        <w:tc>
          <w:tcPr>
            <w:tcW w:w="850" w:type="dxa"/>
            <w:noWrap w:val="0"/>
            <w:vAlign w:val="center"/>
          </w:tcPr>
          <w:p w14:paraId="374187B8">
            <w:pPr>
              <w:pStyle w:val="6"/>
              <w:keepNext/>
              <w:spacing w:after="0" w:line="440" w:lineRule="exact"/>
              <w:ind w:left="63" w:right="63"/>
              <w:rPr>
                <w:rFonts w:eastAsia="仿宋_GB2312"/>
                <w:sz w:val="30"/>
                <w:szCs w:val="30"/>
              </w:rPr>
            </w:pPr>
          </w:p>
        </w:tc>
      </w:tr>
    </w:tbl>
    <w:p w14:paraId="467F2E2E">
      <w:pPr>
        <w:spacing w:line="440" w:lineRule="exact"/>
        <w:rPr>
          <w:rFonts w:eastAsia="仿宋_GB2312"/>
          <w:b/>
          <w:sz w:val="30"/>
          <w:szCs w:val="30"/>
        </w:rPr>
        <w:sectPr>
          <w:pgSz w:w="16838" w:h="11906" w:orient="landscape"/>
          <w:pgMar w:top="1554" w:right="1418" w:bottom="1531" w:left="1418" w:header="851" w:footer="992" w:gutter="0"/>
          <w:cols w:space="720" w:num="1"/>
          <w:titlePg/>
          <w:docGrid w:type="linesAndChars" w:linePitch="312" w:charSpace="0"/>
        </w:sectPr>
      </w:pPr>
    </w:p>
    <w:p w14:paraId="28FB8C12">
      <w:pPr>
        <w:spacing w:before="120" w:beforeLines="50" w:after="120" w:afterLines="50" w:line="440" w:lineRule="exact"/>
        <w:jc w:val="left"/>
        <w:rPr>
          <w:rFonts w:ascii="宋体" w:hAnsi="宋体"/>
          <w:sz w:val="24"/>
        </w:rPr>
      </w:pPr>
      <w:r>
        <w:rPr>
          <w:rFonts w:ascii="宋体" w:hAnsi="宋体"/>
          <w:sz w:val="24"/>
        </w:rPr>
        <w:t>附</w:t>
      </w:r>
      <w:bookmarkStart w:id="2525" w:name="_Toc296891053"/>
      <w:bookmarkStart w:id="2526" w:name="_Toc296944564"/>
      <w:bookmarkStart w:id="2527" w:name="_Toc296503225"/>
      <w:bookmarkStart w:id="2528" w:name="_Toc296347224"/>
      <w:bookmarkStart w:id="2529" w:name="_Toc296891265"/>
      <w:bookmarkStart w:id="2530" w:name="_Toc267261692"/>
      <w:bookmarkStart w:id="2531" w:name="_Toc296346726"/>
      <w:r>
        <w:rPr>
          <w:rFonts w:ascii="宋体" w:hAnsi="宋体"/>
          <w:sz w:val="24"/>
        </w:rPr>
        <w:t>件2：</w:t>
      </w:r>
    </w:p>
    <w:bookmarkEnd w:id="2525"/>
    <w:bookmarkEnd w:id="2526"/>
    <w:bookmarkEnd w:id="2527"/>
    <w:bookmarkEnd w:id="2528"/>
    <w:bookmarkEnd w:id="2529"/>
    <w:bookmarkEnd w:id="2530"/>
    <w:bookmarkEnd w:id="2531"/>
    <w:p w14:paraId="1D7D0F18">
      <w:pPr>
        <w:spacing w:before="120" w:beforeLines="50" w:after="120" w:afterLines="50" w:line="440" w:lineRule="exact"/>
        <w:jc w:val="center"/>
        <w:rPr>
          <w:rFonts w:hint="eastAsia" w:eastAsia="黑体"/>
          <w:sz w:val="28"/>
          <w:szCs w:val="28"/>
        </w:rPr>
      </w:pPr>
      <w:r>
        <w:rPr>
          <w:rFonts w:eastAsia="黑体"/>
          <w:sz w:val="28"/>
          <w:szCs w:val="28"/>
        </w:rPr>
        <w:t>发包人供应材料设备一览表</w:t>
      </w:r>
    </w:p>
    <w:tbl>
      <w:tblPr>
        <w:tblStyle w:val="15"/>
        <w:tblW w:w="87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66"/>
        <w:gridCol w:w="1134"/>
        <w:gridCol w:w="851"/>
        <w:gridCol w:w="708"/>
        <w:gridCol w:w="709"/>
        <w:gridCol w:w="851"/>
        <w:gridCol w:w="850"/>
        <w:gridCol w:w="803"/>
        <w:gridCol w:w="1465"/>
        <w:gridCol w:w="803"/>
      </w:tblGrid>
      <w:tr w14:paraId="32D70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66" w:type="dxa"/>
            <w:tcBorders>
              <w:top w:val="single" w:color="auto" w:sz="12" w:space="0"/>
              <w:bottom w:val="double" w:color="auto" w:sz="6" w:space="0"/>
            </w:tcBorders>
            <w:noWrap w:val="0"/>
            <w:vAlign w:val="center"/>
          </w:tcPr>
          <w:p w14:paraId="7D0365B9">
            <w:pPr>
              <w:pStyle w:val="6"/>
              <w:keepNext/>
              <w:spacing w:after="0" w:line="440" w:lineRule="exact"/>
              <w:ind w:left="63" w:right="63"/>
              <w:jc w:val="center"/>
              <w:rPr>
                <w:rFonts w:ascii="宋体" w:hAnsi="宋体"/>
                <w:szCs w:val="21"/>
              </w:rPr>
            </w:pPr>
            <w:r>
              <w:rPr>
                <w:rFonts w:ascii="宋体" w:hAnsi="宋体"/>
                <w:szCs w:val="21"/>
              </w:rPr>
              <w:t>序号</w:t>
            </w:r>
          </w:p>
        </w:tc>
        <w:tc>
          <w:tcPr>
            <w:tcW w:w="1134" w:type="dxa"/>
            <w:tcBorders>
              <w:top w:val="single" w:color="auto" w:sz="12" w:space="0"/>
              <w:bottom w:val="double" w:color="auto" w:sz="6" w:space="0"/>
            </w:tcBorders>
            <w:noWrap w:val="0"/>
            <w:vAlign w:val="center"/>
          </w:tcPr>
          <w:p w14:paraId="6D5EA2A0">
            <w:pPr>
              <w:pStyle w:val="6"/>
              <w:keepNext/>
              <w:spacing w:after="0" w:line="440" w:lineRule="exact"/>
              <w:ind w:left="63" w:right="63"/>
              <w:jc w:val="center"/>
              <w:rPr>
                <w:rFonts w:hint="eastAsia" w:ascii="宋体" w:hAnsi="宋体"/>
                <w:szCs w:val="21"/>
              </w:rPr>
            </w:pPr>
            <w:r>
              <w:rPr>
                <w:rFonts w:hint="eastAsia" w:ascii="宋体" w:hAnsi="宋体"/>
                <w:szCs w:val="21"/>
              </w:rPr>
              <w:t xml:space="preserve">  </w:t>
            </w:r>
            <w:r>
              <w:rPr>
                <w:rFonts w:ascii="宋体" w:hAnsi="宋体"/>
                <w:szCs w:val="21"/>
              </w:rPr>
              <w:t>材料、</w:t>
            </w:r>
          </w:p>
          <w:p w14:paraId="3619522D">
            <w:pPr>
              <w:pStyle w:val="6"/>
              <w:keepNext/>
              <w:spacing w:after="0" w:line="440" w:lineRule="exact"/>
              <w:ind w:right="63"/>
              <w:jc w:val="center"/>
              <w:rPr>
                <w:rFonts w:ascii="宋体" w:hAnsi="宋体"/>
                <w:szCs w:val="21"/>
              </w:rPr>
            </w:pPr>
            <w:r>
              <w:rPr>
                <w:rFonts w:ascii="宋体" w:hAnsi="宋体"/>
                <w:szCs w:val="21"/>
              </w:rPr>
              <w:t>设备品种</w:t>
            </w:r>
          </w:p>
        </w:tc>
        <w:tc>
          <w:tcPr>
            <w:tcW w:w="851" w:type="dxa"/>
            <w:tcBorders>
              <w:top w:val="single" w:color="auto" w:sz="12" w:space="0"/>
              <w:bottom w:val="double" w:color="auto" w:sz="6" w:space="0"/>
            </w:tcBorders>
            <w:noWrap w:val="0"/>
            <w:vAlign w:val="center"/>
          </w:tcPr>
          <w:p w14:paraId="5C332055">
            <w:pPr>
              <w:pStyle w:val="6"/>
              <w:keepNext/>
              <w:spacing w:after="0" w:line="440" w:lineRule="exact"/>
              <w:ind w:left="63" w:right="63"/>
              <w:jc w:val="center"/>
              <w:rPr>
                <w:rFonts w:hint="eastAsia" w:ascii="宋体" w:hAnsi="宋体"/>
                <w:szCs w:val="21"/>
              </w:rPr>
            </w:pPr>
            <w:r>
              <w:rPr>
                <w:rFonts w:ascii="宋体" w:hAnsi="宋体"/>
                <w:szCs w:val="21"/>
              </w:rPr>
              <w:t>规格</w:t>
            </w:r>
          </w:p>
          <w:p w14:paraId="1763426D">
            <w:pPr>
              <w:pStyle w:val="6"/>
              <w:keepNext/>
              <w:spacing w:after="0" w:line="440" w:lineRule="exact"/>
              <w:ind w:left="63" w:right="63"/>
              <w:jc w:val="center"/>
              <w:rPr>
                <w:rFonts w:ascii="宋体" w:hAnsi="宋体"/>
                <w:szCs w:val="21"/>
              </w:rPr>
            </w:pPr>
            <w:r>
              <w:rPr>
                <w:rFonts w:ascii="宋体" w:hAnsi="宋体"/>
                <w:szCs w:val="21"/>
              </w:rPr>
              <w:t>型号</w:t>
            </w:r>
          </w:p>
        </w:tc>
        <w:tc>
          <w:tcPr>
            <w:tcW w:w="708" w:type="dxa"/>
            <w:tcBorders>
              <w:top w:val="single" w:color="auto" w:sz="12" w:space="0"/>
              <w:bottom w:val="double" w:color="auto" w:sz="6" w:space="0"/>
            </w:tcBorders>
            <w:noWrap w:val="0"/>
            <w:vAlign w:val="center"/>
          </w:tcPr>
          <w:p w14:paraId="4BB442A6">
            <w:pPr>
              <w:pStyle w:val="6"/>
              <w:keepNext/>
              <w:spacing w:after="0" w:line="440" w:lineRule="exact"/>
              <w:ind w:left="63" w:right="63"/>
              <w:jc w:val="center"/>
              <w:rPr>
                <w:rFonts w:ascii="宋体" w:hAnsi="宋体"/>
                <w:szCs w:val="21"/>
              </w:rPr>
            </w:pPr>
            <w:r>
              <w:rPr>
                <w:rFonts w:ascii="宋体" w:hAnsi="宋体"/>
                <w:szCs w:val="21"/>
              </w:rPr>
              <w:t>单位</w:t>
            </w:r>
          </w:p>
        </w:tc>
        <w:tc>
          <w:tcPr>
            <w:tcW w:w="709" w:type="dxa"/>
            <w:tcBorders>
              <w:top w:val="single" w:color="auto" w:sz="12" w:space="0"/>
              <w:bottom w:val="double" w:color="auto" w:sz="6" w:space="0"/>
            </w:tcBorders>
            <w:noWrap w:val="0"/>
            <w:vAlign w:val="center"/>
          </w:tcPr>
          <w:p w14:paraId="4C2364C6">
            <w:pPr>
              <w:pStyle w:val="6"/>
              <w:keepNext/>
              <w:spacing w:after="0" w:line="440" w:lineRule="exact"/>
              <w:ind w:left="63" w:right="63"/>
              <w:jc w:val="center"/>
              <w:rPr>
                <w:rFonts w:ascii="宋体" w:hAnsi="宋体"/>
                <w:szCs w:val="21"/>
              </w:rPr>
            </w:pPr>
            <w:r>
              <w:rPr>
                <w:rFonts w:ascii="宋体" w:hAnsi="宋体"/>
                <w:szCs w:val="21"/>
              </w:rPr>
              <w:t>数量</w:t>
            </w:r>
          </w:p>
        </w:tc>
        <w:tc>
          <w:tcPr>
            <w:tcW w:w="851" w:type="dxa"/>
            <w:tcBorders>
              <w:top w:val="single" w:color="auto" w:sz="12" w:space="0"/>
              <w:bottom w:val="double" w:color="auto" w:sz="6" w:space="0"/>
            </w:tcBorders>
            <w:noWrap w:val="0"/>
            <w:vAlign w:val="center"/>
          </w:tcPr>
          <w:p w14:paraId="52373E04">
            <w:pPr>
              <w:pStyle w:val="6"/>
              <w:keepNext/>
              <w:spacing w:after="0" w:line="440" w:lineRule="exact"/>
              <w:ind w:left="63" w:right="63"/>
              <w:jc w:val="center"/>
              <w:rPr>
                <w:rFonts w:ascii="宋体" w:hAnsi="宋体"/>
                <w:szCs w:val="21"/>
              </w:rPr>
            </w:pPr>
            <w:r>
              <w:rPr>
                <w:rFonts w:ascii="宋体" w:hAnsi="宋体"/>
                <w:szCs w:val="21"/>
              </w:rPr>
              <w:t>单价</w:t>
            </w:r>
            <w:r>
              <w:rPr>
                <w:rFonts w:hint="eastAsia" w:ascii="宋体" w:hAnsi="宋体"/>
                <w:szCs w:val="21"/>
              </w:rPr>
              <w:t>（元）</w:t>
            </w:r>
          </w:p>
        </w:tc>
        <w:tc>
          <w:tcPr>
            <w:tcW w:w="850" w:type="dxa"/>
            <w:tcBorders>
              <w:top w:val="single" w:color="auto" w:sz="12" w:space="0"/>
              <w:bottom w:val="double" w:color="auto" w:sz="6" w:space="0"/>
            </w:tcBorders>
            <w:noWrap w:val="0"/>
            <w:vAlign w:val="center"/>
          </w:tcPr>
          <w:p w14:paraId="656518AC">
            <w:pPr>
              <w:pStyle w:val="6"/>
              <w:keepNext/>
              <w:spacing w:after="0" w:line="440" w:lineRule="exact"/>
              <w:ind w:left="63" w:right="63"/>
              <w:jc w:val="center"/>
              <w:rPr>
                <w:rFonts w:hint="eastAsia" w:ascii="宋体" w:hAnsi="宋体"/>
                <w:szCs w:val="21"/>
              </w:rPr>
            </w:pPr>
            <w:r>
              <w:rPr>
                <w:rFonts w:ascii="宋体" w:hAnsi="宋体"/>
                <w:szCs w:val="21"/>
              </w:rPr>
              <w:t>质量</w:t>
            </w:r>
          </w:p>
          <w:p w14:paraId="5563B033">
            <w:pPr>
              <w:pStyle w:val="6"/>
              <w:keepNext/>
              <w:spacing w:after="0" w:line="440" w:lineRule="exact"/>
              <w:ind w:left="63" w:right="63"/>
              <w:jc w:val="center"/>
              <w:rPr>
                <w:rFonts w:ascii="宋体" w:hAnsi="宋体"/>
                <w:szCs w:val="21"/>
              </w:rPr>
            </w:pPr>
            <w:r>
              <w:rPr>
                <w:rFonts w:ascii="宋体" w:hAnsi="宋体"/>
                <w:szCs w:val="21"/>
              </w:rPr>
              <w:t>等级</w:t>
            </w:r>
          </w:p>
        </w:tc>
        <w:tc>
          <w:tcPr>
            <w:tcW w:w="803" w:type="dxa"/>
            <w:tcBorders>
              <w:top w:val="single" w:color="auto" w:sz="12" w:space="0"/>
              <w:bottom w:val="double" w:color="auto" w:sz="6" w:space="0"/>
            </w:tcBorders>
            <w:noWrap w:val="0"/>
            <w:vAlign w:val="center"/>
          </w:tcPr>
          <w:p w14:paraId="26D64DCB">
            <w:pPr>
              <w:pStyle w:val="6"/>
              <w:keepNext/>
              <w:spacing w:after="0" w:line="440" w:lineRule="exact"/>
              <w:ind w:left="63" w:right="63"/>
              <w:jc w:val="center"/>
              <w:rPr>
                <w:rFonts w:hint="eastAsia" w:ascii="宋体" w:hAnsi="宋体"/>
                <w:szCs w:val="21"/>
              </w:rPr>
            </w:pPr>
            <w:r>
              <w:rPr>
                <w:rFonts w:ascii="宋体" w:hAnsi="宋体"/>
                <w:szCs w:val="21"/>
              </w:rPr>
              <w:t>供应</w:t>
            </w:r>
          </w:p>
          <w:p w14:paraId="0741E2B6">
            <w:pPr>
              <w:pStyle w:val="6"/>
              <w:keepNext/>
              <w:spacing w:after="0" w:line="440" w:lineRule="exact"/>
              <w:ind w:left="63" w:right="63"/>
              <w:jc w:val="center"/>
              <w:rPr>
                <w:rFonts w:ascii="宋体" w:hAnsi="宋体"/>
                <w:szCs w:val="21"/>
              </w:rPr>
            </w:pPr>
            <w:r>
              <w:rPr>
                <w:rFonts w:ascii="宋体" w:hAnsi="宋体"/>
                <w:szCs w:val="21"/>
              </w:rPr>
              <w:t>时间</w:t>
            </w:r>
          </w:p>
        </w:tc>
        <w:tc>
          <w:tcPr>
            <w:tcW w:w="1465" w:type="dxa"/>
            <w:tcBorders>
              <w:top w:val="single" w:color="auto" w:sz="12" w:space="0"/>
              <w:bottom w:val="double" w:color="auto" w:sz="6" w:space="0"/>
            </w:tcBorders>
            <w:noWrap w:val="0"/>
            <w:vAlign w:val="center"/>
          </w:tcPr>
          <w:p w14:paraId="53B9F52A">
            <w:pPr>
              <w:pStyle w:val="6"/>
              <w:keepNext/>
              <w:spacing w:after="0" w:line="440" w:lineRule="exact"/>
              <w:ind w:left="63" w:right="63"/>
              <w:jc w:val="center"/>
              <w:rPr>
                <w:rFonts w:ascii="宋体" w:hAnsi="宋体"/>
                <w:szCs w:val="21"/>
              </w:rPr>
            </w:pPr>
            <w:r>
              <w:rPr>
                <w:rFonts w:ascii="宋体" w:hAnsi="宋体"/>
                <w:szCs w:val="21"/>
              </w:rPr>
              <w:t>送达地点</w:t>
            </w:r>
          </w:p>
        </w:tc>
        <w:tc>
          <w:tcPr>
            <w:tcW w:w="803" w:type="dxa"/>
            <w:tcBorders>
              <w:top w:val="single" w:color="auto" w:sz="12" w:space="0"/>
              <w:bottom w:val="double" w:color="auto" w:sz="6" w:space="0"/>
            </w:tcBorders>
            <w:noWrap w:val="0"/>
            <w:vAlign w:val="center"/>
          </w:tcPr>
          <w:p w14:paraId="3E5D5A7D">
            <w:pPr>
              <w:pStyle w:val="6"/>
              <w:keepNext/>
              <w:spacing w:after="0" w:line="440" w:lineRule="exact"/>
              <w:ind w:left="63" w:right="63"/>
              <w:jc w:val="center"/>
              <w:rPr>
                <w:rFonts w:ascii="宋体" w:hAnsi="宋体"/>
                <w:szCs w:val="21"/>
              </w:rPr>
            </w:pPr>
            <w:r>
              <w:rPr>
                <w:rFonts w:ascii="宋体" w:hAnsi="宋体"/>
                <w:szCs w:val="21"/>
              </w:rPr>
              <w:t>备注</w:t>
            </w:r>
          </w:p>
        </w:tc>
      </w:tr>
      <w:tr w14:paraId="47E5B8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tcBorders>
              <w:top w:val="double" w:color="auto" w:sz="6" w:space="0"/>
              <w:bottom w:val="single" w:color="auto" w:sz="6" w:space="0"/>
            </w:tcBorders>
            <w:noWrap w:val="0"/>
            <w:vAlign w:val="center"/>
          </w:tcPr>
          <w:p w14:paraId="181C37D9">
            <w:pPr>
              <w:pStyle w:val="6"/>
              <w:keepNext/>
              <w:spacing w:after="0" w:line="440" w:lineRule="exact"/>
              <w:ind w:left="63" w:right="63"/>
              <w:rPr>
                <w:rFonts w:eastAsia="仿宋_GB2312"/>
                <w:sz w:val="30"/>
                <w:szCs w:val="30"/>
              </w:rPr>
            </w:pPr>
          </w:p>
        </w:tc>
        <w:tc>
          <w:tcPr>
            <w:tcW w:w="1134" w:type="dxa"/>
            <w:tcBorders>
              <w:top w:val="double" w:color="auto" w:sz="6" w:space="0"/>
              <w:bottom w:val="single" w:color="auto" w:sz="6" w:space="0"/>
            </w:tcBorders>
            <w:noWrap w:val="0"/>
            <w:vAlign w:val="center"/>
          </w:tcPr>
          <w:p w14:paraId="115B2662">
            <w:pPr>
              <w:pStyle w:val="6"/>
              <w:keepNext/>
              <w:spacing w:after="0" w:line="440" w:lineRule="exact"/>
              <w:ind w:left="63" w:right="63"/>
              <w:rPr>
                <w:rFonts w:eastAsia="仿宋_GB2312"/>
                <w:sz w:val="30"/>
                <w:szCs w:val="30"/>
              </w:rPr>
            </w:pPr>
          </w:p>
        </w:tc>
        <w:tc>
          <w:tcPr>
            <w:tcW w:w="851" w:type="dxa"/>
            <w:tcBorders>
              <w:top w:val="double" w:color="auto" w:sz="6" w:space="0"/>
              <w:bottom w:val="single" w:color="auto" w:sz="6" w:space="0"/>
            </w:tcBorders>
            <w:noWrap w:val="0"/>
            <w:vAlign w:val="center"/>
          </w:tcPr>
          <w:p w14:paraId="783E7666">
            <w:pPr>
              <w:pStyle w:val="6"/>
              <w:keepNext/>
              <w:spacing w:after="0" w:line="440" w:lineRule="exact"/>
              <w:ind w:left="63" w:right="63"/>
              <w:rPr>
                <w:rFonts w:eastAsia="仿宋_GB2312"/>
                <w:sz w:val="30"/>
                <w:szCs w:val="30"/>
              </w:rPr>
            </w:pPr>
          </w:p>
        </w:tc>
        <w:tc>
          <w:tcPr>
            <w:tcW w:w="708" w:type="dxa"/>
            <w:tcBorders>
              <w:top w:val="double" w:color="auto" w:sz="6" w:space="0"/>
              <w:bottom w:val="single" w:color="auto" w:sz="6" w:space="0"/>
            </w:tcBorders>
            <w:noWrap w:val="0"/>
            <w:vAlign w:val="center"/>
          </w:tcPr>
          <w:p w14:paraId="207A9285">
            <w:pPr>
              <w:pStyle w:val="6"/>
              <w:keepNext/>
              <w:spacing w:after="0" w:line="440" w:lineRule="exact"/>
              <w:ind w:left="63" w:right="63"/>
              <w:rPr>
                <w:rFonts w:eastAsia="仿宋_GB2312"/>
                <w:sz w:val="30"/>
                <w:szCs w:val="30"/>
              </w:rPr>
            </w:pPr>
          </w:p>
        </w:tc>
        <w:tc>
          <w:tcPr>
            <w:tcW w:w="709" w:type="dxa"/>
            <w:tcBorders>
              <w:top w:val="double" w:color="auto" w:sz="6" w:space="0"/>
              <w:bottom w:val="single" w:color="auto" w:sz="6" w:space="0"/>
            </w:tcBorders>
            <w:noWrap w:val="0"/>
            <w:vAlign w:val="center"/>
          </w:tcPr>
          <w:p w14:paraId="01EE171B">
            <w:pPr>
              <w:pStyle w:val="6"/>
              <w:keepNext/>
              <w:spacing w:after="0" w:line="440" w:lineRule="exact"/>
              <w:ind w:left="63" w:right="63"/>
              <w:rPr>
                <w:rFonts w:eastAsia="仿宋_GB2312"/>
                <w:sz w:val="30"/>
                <w:szCs w:val="30"/>
              </w:rPr>
            </w:pPr>
          </w:p>
        </w:tc>
        <w:tc>
          <w:tcPr>
            <w:tcW w:w="851" w:type="dxa"/>
            <w:tcBorders>
              <w:top w:val="double" w:color="auto" w:sz="6" w:space="0"/>
              <w:bottom w:val="single" w:color="auto" w:sz="6" w:space="0"/>
            </w:tcBorders>
            <w:noWrap w:val="0"/>
            <w:vAlign w:val="center"/>
          </w:tcPr>
          <w:p w14:paraId="33D33D00">
            <w:pPr>
              <w:pStyle w:val="6"/>
              <w:keepNext/>
              <w:spacing w:after="0" w:line="440" w:lineRule="exact"/>
              <w:ind w:left="63" w:right="63"/>
              <w:rPr>
                <w:rFonts w:eastAsia="仿宋_GB2312"/>
                <w:sz w:val="30"/>
                <w:szCs w:val="30"/>
              </w:rPr>
            </w:pPr>
          </w:p>
        </w:tc>
        <w:tc>
          <w:tcPr>
            <w:tcW w:w="850" w:type="dxa"/>
            <w:tcBorders>
              <w:top w:val="double" w:color="auto" w:sz="6" w:space="0"/>
              <w:bottom w:val="single" w:color="auto" w:sz="6" w:space="0"/>
            </w:tcBorders>
            <w:noWrap w:val="0"/>
            <w:vAlign w:val="center"/>
          </w:tcPr>
          <w:p w14:paraId="7CD89B96">
            <w:pPr>
              <w:pStyle w:val="6"/>
              <w:keepNext/>
              <w:spacing w:after="0" w:line="440" w:lineRule="exact"/>
              <w:ind w:left="63" w:right="63"/>
              <w:rPr>
                <w:rFonts w:eastAsia="仿宋_GB2312"/>
                <w:sz w:val="30"/>
                <w:szCs w:val="30"/>
              </w:rPr>
            </w:pPr>
          </w:p>
        </w:tc>
        <w:tc>
          <w:tcPr>
            <w:tcW w:w="803" w:type="dxa"/>
            <w:tcBorders>
              <w:top w:val="double" w:color="auto" w:sz="6" w:space="0"/>
              <w:bottom w:val="single" w:color="auto" w:sz="6" w:space="0"/>
            </w:tcBorders>
            <w:noWrap w:val="0"/>
            <w:vAlign w:val="center"/>
          </w:tcPr>
          <w:p w14:paraId="1CD146A4">
            <w:pPr>
              <w:pStyle w:val="6"/>
              <w:keepNext/>
              <w:spacing w:after="0" w:line="440" w:lineRule="exact"/>
              <w:ind w:left="63" w:right="63"/>
              <w:rPr>
                <w:rFonts w:eastAsia="仿宋_GB2312"/>
                <w:sz w:val="30"/>
                <w:szCs w:val="30"/>
              </w:rPr>
            </w:pPr>
          </w:p>
        </w:tc>
        <w:tc>
          <w:tcPr>
            <w:tcW w:w="1465" w:type="dxa"/>
            <w:tcBorders>
              <w:top w:val="double" w:color="auto" w:sz="6" w:space="0"/>
              <w:bottom w:val="single" w:color="auto" w:sz="6" w:space="0"/>
            </w:tcBorders>
            <w:noWrap w:val="0"/>
            <w:vAlign w:val="center"/>
          </w:tcPr>
          <w:p w14:paraId="5DBF385D">
            <w:pPr>
              <w:pStyle w:val="6"/>
              <w:keepNext/>
              <w:spacing w:after="0" w:line="440" w:lineRule="exact"/>
              <w:ind w:left="63" w:right="63"/>
              <w:rPr>
                <w:rFonts w:eastAsia="仿宋_GB2312"/>
                <w:sz w:val="30"/>
                <w:szCs w:val="30"/>
              </w:rPr>
            </w:pPr>
          </w:p>
        </w:tc>
        <w:tc>
          <w:tcPr>
            <w:tcW w:w="803" w:type="dxa"/>
            <w:tcBorders>
              <w:top w:val="double" w:color="auto" w:sz="6" w:space="0"/>
              <w:bottom w:val="single" w:color="auto" w:sz="6" w:space="0"/>
            </w:tcBorders>
            <w:noWrap w:val="0"/>
            <w:vAlign w:val="center"/>
          </w:tcPr>
          <w:p w14:paraId="5A12593C">
            <w:pPr>
              <w:pStyle w:val="6"/>
              <w:keepNext/>
              <w:spacing w:after="0" w:line="440" w:lineRule="exact"/>
              <w:ind w:left="63" w:right="63"/>
              <w:rPr>
                <w:rFonts w:eastAsia="仿宋_GB2312"/>
                <w:sz w:val="30"/>
                <w:szCs w:val="30"/>
              </w:rPr>
            </w:pPr>
          </w:p>
        </w:tc>
      </w:tr>
      <w:tr w14:paraId="6D2F5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tcBorders>
              <w:top w:val="nil"/>
            </w:tcBorders>
            <w:noWrap w:val="0"/>
            <w:vAlign w:val="center"/>
          </w:tcPr>
          <w:p w14:paraId="1D51E789">
            <w:pPr>
              <w:pStyle w:val="6"/>
              <w:keepNext/>
              <w:spacing w:after="0" w:line="440" w:lineRule="exact"/>
              <w:ind w:left="63" w:right="63"/>
              <w:rPr>
                <w:rFonts w:eastAsia="仿宋_GB2312"/>
                <w:sz w:val="30"/>
                <w:szCs w:val="30"/>
              </w:rPr>
            </w:pPr>
          </w:p>
        </w:tc>
        <w:tc>
          <w:tcPr>
            <w:tcW w:w="1134" w:type="dxa"/>
            <w:tcBorders>
              <w:top w:val="nil"/>
            </w:tcBorders>
            <w:noWrap w:val="0"/>
            <w:vAlign w:val="center"/>
          </w:tcPr>
          <w:p w14:paraId="264B3EC1">
            <w:pPr>
              <w:pStyle w:val="6"/>
              <w:keepNext/>
              <w:spacing w:after="0" w:line="440" w:lineRule="exact"/>
              <w:ind w:left="63" w:right="63"/>
              <w:rPr>
                <w:rFonts w:eastAsia="仿宋_GB2312"/>
                <w:sz w:val="30"/>
                <w:szCs w:val="30"/>
              </w:rPr>
            </w:pPr>
          </w:p>
        </w:tc>
        <w:tc>
          <w:tcPr>
            <w:tcW w:w="851" w:type="dxa"/>
            <w:tcBorders>
              <w:top w:val="nil"/>
            </w:tcBorders>
            <w:noWrap w:val="0"/>
            <w:vAlign w:val="center"/>
          </w:tcPr>
          <w:p w14:paraId="4E173016">
            <w:pPr>
              <w:pStyle w:val="6"/>
              <w:keepNext/>
              <w:spacing w:after="0" w:line="440" w:lineRule="exact"/>
              <w:ind w:left="63" w:right="63"/>
              <w:rPr>
                <w:rFonts w:eastAsia="仿宋_GB2312"/>
                <w:sz w:val="30"/>
                <w:szCs w:val="30"/>
              </w:rPr>
            </w:pPr>
          </w:p>
        </w:tc>
        <w:tc>
          <w:tcPr>
            <w:tcW w:w="708" w:type="dxa"/>
            <w:tcBorders>
              <w:top w:val="nil"/>
            </w:tcBorders>
            <w:noWrap w:val="0"/>
            <w:vAlign w:val="center"/>
          </w:tcPr>
          <w:p w14:paraId="44093503">
            <w:pPr>
              <w:pStyle w:val="6"/>
              <w:keepNext/>
              <w:spacing w:after="0" w:line="440" w:lineRule="exact"/>
              <w:ind w:left="63" w:right="63"/>
              <w:rPr>
                <w:rFonts w:eastAsia="仿宋_GB2312"/>
                <w:sz w:val="30"/>
                <w:szCs w:val="30"/>
              </w:rPr>
            </w:pPr>
          </w:p>
        </w:tc>
        <w:tc>
          <w:tcPr>
            <w:tcW w:w="709" w:type="dxa"/>
            <w:tcBorders>
              <w:top w:val="nil"/>
            </w:tcBorders>
            <w:noWrap w:val="0"/>
            <w:vAlign w:val="center"/>
          </w:tcPr>
          <w:p w14:paraId="4D68D379">
            <w:pPr>
              <w:pStyle w:val="6"/>
              <w:keepNext/>
              <w:spacing w:after="0" w:line="440" w:lineRule="exact"/>
              <w:ind w:left="63" w:right="63"/>
              <w:rPr>
                <w:rFonts w:eastAsia="仿宋_GB2312"/>
                <w:sz w:val="30"/>
                <w:szCs w:val="30"/>
              </w:rPr>
            </w:pPr>
          </w:p>
        </w:tc>
        <w:tc>
          <w:tcPr>
            <w:tcW w:w="851" w:type="dxa"/>
            <w:tcBorders>
              <w:top w:val="nil"/>
            </w:tcBorders>
            <w:noWrap w:val="0"/>
            <w:vAlign w:val="center"/>
          </w:tcPr>
          <w:p w14:paraId="7267EB83">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483A8D6D">
            <w:pPr>
              <w:pStyle w:val="6"/>
              <w:keepNext/>
              <w:spacing w:after="0" w:line="440" w:lineRule="exact"/>
              <w:ind w:left="63" w:right="63"/>
              <w:rPr>
                <w:rFonts w:eastAsia="仿宋_GB2312"/>
                <w:sz w:val="30"/>
                <w:szCs w:val="30"/>
              </w:rPr>
            </w:pPr>
          </w:p>
        </w:tc>
        <w:tc>
          <w:tcPr>
            <w:tcW w:w="803" w:type="dxa"/>
            <w:tcBorders>
              <w:top w:val="nil"/>
            </w:tcBorders>
            <w:noWrap w:val="0"/>
            <w:vAlign w:val="center"/>
          </w:tcPr>
          <w:p w14:paraId="2EDD200E">
            <w:pPr>
              <w:pStyle w:val="6"/>
              <w:keepNext/>
              <w:spacing w:after="0" w:line="440" w:lineRule="exact"/>
              <w:ind w:left="63" w:right="63"/>
              <w:rPr>
                <w:rFonts w:eastAsia="仿宋_GB2312"/>
                <w:sz w:val="30"/>
                <w:szCs w:val="30"/>
              </w:rPr>
            </w:pPr>
          </w:p>
        </w:tc>
        <w:tc>
          <w:tcPr>
            <w:tcW w:w="1465" w:type="dxa"/>
            <w:tcBorders>
              <w:top w:val="nil"/>
            </w:tcBorders>
            <w:noWrap w:val="0"/>
            <w:vAlign w:val="center"/>
          </w:tcPr>
          <w:p w14:paraId="3AE238EB">
            <w:pPr>
              <w:pStyle w:val="6"/>
              <w:keepNext/>
              <w:spacing w:after="0" w:line="440" w:lineRule="exact"/>
              <w:ind w:left="63" w:right="63"/>
              <w:rPr>
                <w:rFonts w:eastAsia="仿宋_GB2312"/>
                <w:sz w:val="30"/>
                <w:szCs w:val="30"/>
              </w:rPr>
            </w:pPr>
          </w:p>
        </w:tc>
        <w:tc>
          <w:tcPr>
            <w:tcW w:w="803" w:type="dxa"/>
            <w:tcBorders>
              <w:top w:val="nil"/>
            </w:tcBorders>
            <w:noWrap w:val="0"/>
            <w:vAlign w:val="center"/>
          </w:tcPr>
          <w:p w14:paraId="20C36E24">
            <w:pPr>
              <w:pStyle w:val="6"/>
              <w:keepNext/>
              <w:spacing w:after="0" w:line="440" w:lineRule="exact"/>
              <w:ind w:left="63" w:right="63"/>
              <w:rPr>
                <w:rFonts w:eastAsia="仿宋_GB2312"/>
                <w:sz w:val="30"/>
                <w:szCs w:val="30"/>
              </w:rPr>
            </w:pPr>
          </w:p>
        </w:tc>
      </w:tr>
      <w:tr w14:paraId="7BEC92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5D81296">
            <w:pPr>
              <w:pStyle w:val="6"/>
              <w:keepNext/>
              <w:spacing w:after="0" w:line="440" w:lineRule="exact"/>
              <w:ind w:left="63" w:right="63"/>
              <w:rPr>
                <w:rFonts w:eastAsia="仿宋_GB2312"/>
                <w:sz w:val="30"/>
                <w:szCs w:val="30"/>
              </w:rPr>
            </w:pPr>
          </w:p>
        </w:tc>
        <w:tc>
          <w:tcPr>
            <w:tcW w:w="1134" w:type="dxa"/>
            <w:noWrap w:val="0"/>
            <w:vAlign w:val="center"/>
          </w:tcPr>
          <w:p w14:paraId="3FF28B19">
            <w:pPr>
              <w:pStyle w:val="6"/>
              <w:keepNext/>
              <w:spacing w:after="0" w:line="440" w:lineRule="exact"/>
              <w:ind w:left="63" w:right="63"/>
              <w:rPr>
                <w:rFonts w:eastAsia="仿宋_GB2312"/>
                <w:sz w:val="30"/>
                <w:szCs w:val="30"/>
              </w:rPr>
            </w:pPr>
          </w:p>
        </w:tc>
        <w:tc>
          <w:tcPr>
            <w:tcW w:w="851" w:type="dxa"/>
            <w:noWrap w:val="0"/>
            <w:vAlign w:val="center"/>
          </w:tcPr>
          <w:p w14:paraId="67E0F9FD">
            <w:pPr>
              <w:pStyle w:val="6"/>
              <w:keepNext/>
              <w:spacing w:after="0" w:line="440" w:lineRule="exact"/>
              <w:ind w:left="63" w:right="63"/>
              <w:rPr>
                <w:rFonts w:eastAsia="仿宋_GB2312"/>
                <w:sz w:val="30"/>
                <w:szCs w:val="30"/>
              </w:rPr>
            </w:pPr>
          </w:p>
        </w:tc>
        <w:tc>
          <w:tcPr>
            <w:tcW w:w="708" w:type="dxa"/>
            <w:noWrap w:val="0"/>
            <w:vAlign w:val="center"/>
          </w:tcPr>
          <w:p w14:paraId="18A05B14">
            <w:pPr>
              <w:pStyle w:val="6"/>
              <w:keepNext/>
              <w:spacing w:after="0" w:line="440" w:lineRule="exact"/>
              <w:ind w:left="63" w:right="63"/>
              <w:rPr>
                <w:rFonts w:eastAsia="仿宋_GB2312"/>
                <w:sz w:val="30"/>
                <w:szCs w:val="30"/>
              </w:rPr>
            </w:pPr>
          </w:p>
        </w:tc>
        <w:tc>
          <w:tcPr>
            <w:tcW w:w="709" w:type="dxa"/>
            <w:noWrap w:val="0"/>
            <w:vAlign w:val="center"/>
          </w:tcPr>
          <w:p w14:paraId="73EB7421">
            <w:pPr>
              <w:pStyle w:val="6"/>
              <w:keepNext/>
              <w:spacing w:after="0" w:line="440" w:lineRule="exact"/>
              <w:ind w:left="63" w:right="63"/>
              <w:rPr>
                <w:rFonts w:eastAsia="仿宋_GB2312"/>
                <w:sz w:val="30"/>
                <w:szCs w:val="30"/>
              </w:rPr>
            </w:pPr>
          </w:p>
        </w:tc>
        <w:tc>
          <w:tcPr>
            <w:tcW w:w="851" w:type="dxa"/>
            <w:noWrap w:val="0"/>
            <w:vAlign w:val="center"/>
          </w:tcPr>
          <w:p w14:paraId="21C67F6D">
            <w:pPr>
              <w:pStyle w:val="6"/>
              <w:keepNext/>
              <w:spacing w:after="0" w:line="440" w:lineRule="exact"/>
              <w:ind w:left="63" w:right="63"/>
              <w:rPr>
                <w:rFonts w:eastAsia="仿宋_GB2312"/>
                <w:sz w:val="30"/>
                <w:szCs w:val="30"/>
              </w:rPr>
            </w:pPr>
          </w:p>
        </w:tc>
        <w:tc>
          <w:tcPr>
            <w:tcW w:w="850" w:type="dxa"/>
            <w:noWrap w:val="0"/>
            <w:vAlign w:val="center"/>
          </w:tcPr>
          <w:p w14:paraId="1381FAE1">
            <w:pPr>
              <w:pStyle w:val="6"/>
              <w:keepNext/>
              <w:spacing w:after="0" w:line="440" w:lineRule="exact"/>
              <w:ind w:left="63" w:right="63"/>
              <w:rPr>
                <w:rFonts w:eastAsia="仿宋_GB2312"/>
                <w:sz w:val="30"/>
                <w:szCs w:val="30"/>
              </w:rPr>
            </w:pPr>
          </w:p>
        </w:tc>
        <w:tc>
          <w:tcPr>
            <w:tcW w:w="803" w:type="dxa"/>
            <w:noWrap w:val="0"/>
            <w:vAlign w:val="center"/>
          </w:tcPr>
          <w:p w14:paraId="39BE0B59">
            <w:pPr>
              <w:pStyle w:val="6"/>
              <w:keepNext/>
              <w:spacing w:after="0" w:line="440" w:lineRule="exact"/>
              <w:ind w:left="63" w:right="63"/>
              <w:rPr>
                <w:rFonts w:eastAsia="仿宋_GB2312"/>
                <w:sz w:val="30"/>
                <w:szCs w:val="30"/>
              </w:rPr>
            </w:pPr>
          </w:p>
        </w:tc>
        <w:tc>
          <w:tcPr>
            <w:tcW w:w="1465" w:type="dxa"/>
            <w:noWrap w:val="0"/>
            <w:vAlign w:val="center"/>
          </w:tcPr>
          <w:p w14:paraId="5C824B0D">
            <w:pPr>
              <w:pStyle w:val="6"/>
              <w:keepNext/>
              <w:spacing w:after="0" w:line="440" w:lineRule="exact"/>
              <w:ind w:left="63" w:right="63"/>
              <w:rPr>
                <w:rFonts w:eastAsia="仿宋_GB2312"/>
                <w:sz w:val="30"/>
                <w:szCs w:val="30"/>
              </w:rPr>
            </w:pPr>
          </w:p>
        </w:tc>
        <w:tc>
          <w:tcPr>
            <w:tcW w:w="803" w:type="dxa"/>
            <w:noWrap w:val="0"/>
            <w:vAlign w:val="center"/>
          </w:tcPr>
          <w:p w14:paraId="50B0B2F7">
            <w:pPr>
              <w:pStyle w:val="6"/>
              <w:keepNext/>
              <w:spacing w:after="0" w:line="440" w:lineRule="exact"/>
              <w:ind w:left="63" w:right="63"/>
              <w:rPr>
                <w:rFonts w:eastAsia="仿宋_GB2312"/>
                <w:sz w:val="30"/>
                <w:szCs w:val="30"/>
              </w:rPr>
            </w:pPr>
          </w:p>
        </w:tc>
      </w:tr>
      <w:tr w14:paraId="01A6E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5EAE9307">
            <w:pPr>
              <w:pStyle w:val="6"/>
              <w:keepNext/>
              <w:spacing w:after="0" w:line="440" w:lineRule="exact"/>
              <w:ind w:left="63" w:right="63"/>
              <w:rPr>
                <w:rFonts w:eastAsia="仿宋_GB2312"/>
                <w:sz w:val="30"/>
                <w:szCs w:val="30"/>
              </w:rPr>
            </w:pPr>
          </w:p>
        </w:tc>
        <w:tc>
          <w:tcPr>
            <w:tcW w:w="1134" w:type="dxa"/>
            <w:noWrap w:val="0"/>
            <w:vAlign w:val="center"/>
          </w:tcPr>
          <w:p w14:paraId="149E46C5">
            <w:pPr>
              <w:pStyle w:val="6"/>
              <w:keepNext/>
              <w:spacing w:after="0" w:line="440" w:lineRule="exact"/>
              <w:ind w:left="63" w:right="63"/>
              <w:rPr>
                <w:rFonts w:eastAsia="仿宋_GB2312"/>
                <w:sz w:val="30"/>
                <w:szCs w:val="30"/>
              </w:rPr>
            </w:pPr>
          </w:p>
        </w:tc>
        <w:tc>
          <w:tcPr>
            <w:tcW w:w="851" w:type="dxa"/>
            <w:noWrap w:val="0"/>
            <w:vAlign w:val="center"/>
          </w:tcPr>
          <w:p w14:paraId="69203F95">
            <w:pPr>
              <w:pStyle w:val="6"/>
              <w:keepNext/>
              <w:spacing w:after="0" w:line="440" w:lineRule="exact"/>
              <w:ind w:left="63" w:right="63"/>
              <w:rPr>
                <w:rFonts w:eastAsia="仿宋_GB2312"/>
                <w:sz w:val="30"/>
                <w:szCs w:val="30"/>
              </w:rPr>
            </w:pPr>
          </w:p>
        </w:tc>
        <w:tc>
          <w:tcPr>
            <w:tcW w:w="708" w:type="dxa"/>
            <w:noWrap w:val="0"/>
            <w:vAlign w:val="center"/>
          </w:tcPr>
          <w:p w14:paraId="58261B1B">
            <w:pPr>
              <w:pStyle w:val="6"/>
              <w:keepNext/>
              <w:spacing w:after="0" w:line="440" w:lineRule="exact"/>
              <w:ind w:left="63" w:right="63"/>
              <w:rPr>
                <w:rFonts w:eastAsia="仿宋_GB2312"/>
                <w:sz w:val="30"/>
                <w:szCs w:val="30"/>
              </w:rPr>
            </w:pPr>
          </w:p>
        </w:tc>
        <w:tc>
          <w:tcPr>
            <w:tcW w:w="709" w:type="dxa"/>
            <w:noWrap w:val="0"/>
            <w:vAlign w:val="center"/>
          </w:tcPr>
          <w:p w14:paraId="3FBE53B7">
            <w:pPr>
              <w:pStyle w:val="6"/>
              <w:keepNext/>
              <w:spacing w:after="0" w:line="440" w:lineRule="exact"/>
              <w:ind w:left="63" w:right="63"/>
              <w:rPr>
                <w:rFonts w:eastAsia="仿宋_GB2312"/>
                <w:sz w:val="30"/>
                <w:szCs w:val="30"/>
              </w:rPr>
            </w:pPr>
          </w:p>
        </w:tc>
        <w:tc>
          <w:tcPr>
            <w:tcW w:w="851" w:type="dxa"/>
            <w:noWrap w:val="0"/>
            <w:vAlign w:val="center"/>
          </w:tcPr>
          <w:p w14:paraId="5124FE25">
            <w:pPr>
              <w:pStyle w:val="6"/>
              <w:keepNext/>
              <w:spacing w:after="0" w:line="440" w:lineRule="exact"/>
              <w:ind w:left="63" w:right="63"/>
              <w:rPr>
                <w:rFonts w:eastAsia="仿宋_GB2312"/>
                <w:sz w:val="30"/>
                <w:szCs w:val="30"/>
              </w:rPr>
            </w:pPr>
          </w:p>
        </w:tc>
        <w:tc>
          <w:tcPr>
            <w:tcW w:w="850" w:type="dxa"/>
            <w:noWrap w:val="0"/>
            <w:vAlign w:val="center"/>
          </w:tcPr>
          <w:p w14:paraId="1AE46EF6">
            <w:pPr>
              <w:pStyle w:val="6"/>
              <w:keepNext/>
              <w:spacing w:after="0" w:line="440" w:lineRule="exact"/>
              <w:ind w:left="63" w:right="63"/>
              <w:rPr>
                <w:rFonts w:eastAsia="仿宋_GB2312"/>
                <w:sz w:val="30"/>
                <w:szCs w:val="30"/>
              </w:rPr>
            </w:pPr>
          </w:p>
        </w:tc>
        <w:tc>
          <w:tcPr>
            <w:tcW w:w="803" w:type="dxa"/>
            <w:noWrap w:val="0"/>
            <w:vAlign w:val="center"/>
          </w:tcPr>
          <w:p w14:paraId="71256B24">
            <w:pPr>
              <w:pStyle w:val="6"/>
              <w:keepNext/>
              <w:spacing w:after="0" w:line="440" w:lineRule="exact"/>
              <w:ind w:left="63" w:right="63"/>
              <w:rPr>
                <w:rFonts w:eastAsia="仿宋_GB2312"/>
                <w:sz w:val="30"/>
                <w:szCs w:val="30"/>
              </w:rPr>
            </w:pPr>
          </w:p>
        </w:tc>
        <w:tc>
          <w:tcPr>
            <w:tcW w:w="1465" w:type="dxa"/>
            <w:noWrap w:val="0"/>
            <w:vAlign w:val="center"/>
          </w:tcPr>
          <w:p w14:paraId="42DCF7F1">
            <w:pPr>
              <w:pStyle w:val="6"/>
              <w:keepNext/>
              <w:spacing w:after="0" w:line="440" w:lineRule="exact"/>
              <w:ind w:left="63" w:right="63"/>
              <w:rPr>
                <w:rFonts w:eastAsia="仿宋_GB2312"/>
                <w:sz w:val="30"/>
                <w:szCs w:val="30"/>
              </w:rPr>
            </w:pPr>
          </w:p>
        </w:tc>
        <w:tc>
          <w:tcPr>
            <w:tcW w:w="803" w:type="dxa"/>
            <w:noWrap w:val="0"/>
            <w:vAlign w:val="center"/>
          </w:tcPr>
          <w:p w14:paraId="0A61C787">
            <w:pPr>
              <w:pStyle w:val="6"/>
              <w:keepNext/>
              <w:spacing w:after="0" w:line="440" w:lineRule="exact"/>
              <w:ind w:left="63" w:right="63"/>
              <w:rPr>
                <w:rFonts w:eastAsia="仿宋_GB2312"/>
                <w:sz w:val="30"/>
                <w:szCs w:val="30"/>
              </w:rPr>
            </w:pPr>
          </w:p>
        </w:tc>
      </w:tr>
      <w:tr w14:paraId="6C997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7ED14D57">
            <w:pPr>
              <w:pStyle w:val="6"/>
              <w:keepNext/>
              <w:spacing w:after="0" w:line="440" w:lineRule="exact"/>
              <w:ind w:left="63" w:right="63"/>
              <w:rPr>
                <w:rFonts w:eastAsia="仿宋_GB2312"/>
                <w:sz w:val="30"/>
                <w:szCs w:val="30"/>
              </w:rPr>
            </w:pPr>
          </w:p>
        </w:tc>
        <w:tc>
          <w:tcPr>
            <w:tcW w:w="1134" w:type="dxa"/>
            <w:noWrap w:val="0"/>
            <w:vAlign w:val="center"/>
          </w:tcPr>
          <w:p w14:paraId="08F79F47">
            <w:pPr>
              <w:pStyle w:val="6"/>
              <w:keepNext/>
              <w:spacing w:after="0" w:line="440" w:lineRule="exact"/>
              <w:ind w:left="63" w:right="63"/>
              <w:rPr>
                <w:rFonts w:eastAsia="仿宋_GB2312"/>
                <w:sz w:val="30"/>
                <w:szCs w:val="30"/>
              </w:rPr>
            </w:pPr>
          </w:p>
        </w:tc>
        <w:tc>
          <w:tcPr>
            <w:tcW w:w="851" w:type="dxa"/>
            <w:noWrap w:val="0"/>
            <w:vAlign w:val="center"/>
          </w:tcPr>
          <w:p w14:paraId="5B633D15">
            <w:pPr>
              <w:pStyle w:val="6"/>
              <w:keepNext/>
              <w:spacing w:after="0" w:line="440" w:lineRule="exact"/>
              <w:ind w:left="63" w:right="63"/>
              <w:rPr>
                <w:rFonts w:eastAsia="仿宋_GB2312"/>
                <w:sz w:val="30"/>
                <w:szCs w:val="30"/>
              </w:rPr>
            </w:pPr>
          </w:p>
        </w:tc>
        <w:tc>
          <w:tcPr>
            <w:tcW w:w="708" w:type="dxa"/>
            <w:noWrap w:val="0"/>
            <w:vAlign w:val="center"/>
          </w:tcPr>
          <w:p w14:paraId="746F7470">
            <w:pPr>
              <w:pStyle w:val="6"/>
              <w:keepNext/>
              <w:spacing w:after="0" w:line="440" w:lineRule="exact"/>
              <w:ind w:left="63" w:right="63"/>
              <w:rPr>
                <w:rFonts w:eastAsia="仿宋_GB2312"/>
                <w:sz w:val="30"/>
                <w:szCs w:val="30"/>
              </w:rPr>
            </w:pPr>
          </w:p>
        </w:tc>
        <w:tc>
          <w:tcPr>
            <w:tcW w:w="709" w:type="dxa"/>
            <w:noWrap w:val="0"/>
            <w:vAlign w:val="center"/>
          </w:tcPr>
          <w:p w14:paraId="04C473C3">
            <w:pPr>
              <w:pStyle w:val="6"/>
              <w:keepNext/>
              <w:spacing w:after="0" w:line="440" w:lineRule="exact"/>
              <w:ind w:left="63" w:right="63"/>
              <w:rPr>
                <w:rFonts w:eastAsia="仿宋_GB2312"/>
                <w:sz w:val="30"/>
                <w:szCs w:val="30"/>
              </w:rPr>
            </w:pPr>
          </w:p>
        </w:tc>
        <w:tc>
          <w:tcPr>
            <w:tcW w:w="851" w:type="dxa"/>
            <w:noWrap w:val="0"/>
            <w:vAlign w:val="center"/>
          </w:tcPr>
          <w:p w14:paraId="13F6CF91">
            <w:pPr>
              <w:pStyle w:val="6"/>
              <w:keepNext/>
              <w:spacing w:after="0" w:line="440" w:lineRule="exact"/>
              <w:ind w:left="63" w:right="63"/>
              <w:rPr>
                <w:rFonts w:eastAsia="仿宋_GB2312"/>
                <w:sz w:val="30"/>
                <w:szCs w:val="30"/>
              </w:rPr>
            </w:pPr>
          </w:p>
        </w:tc>
        <w:tc>
          <w:tcPr>
            <w:tcW w:w="850" w:type="dxa"/>
            <w:noWrap w:val="0"/>
            <w:vAlign w:val="center"/>
          </w:tcPr>
          <w:p w14:paraId="0EA44FA2">
            <w:pPr>
              <w:pStyle w:val="6"/>
              <w:keepNext/>
              <w:spacing w:after="0" w:line="440" w:lineRule="exact"/>
              <w:ind w:left="63" w:right="63"/>
              <w:rPr>
                <w:rFonts w:eastAsia="仿宋_GB2312"/>
                <w:sz w:val="30"/>
                <w:szCs w:val="30"/>
              </w:rPr>
            </w:pPr>
          </w:p>
        </w:tc>
        <w:tc>
          <w:tcPr>
            <w:tcW w:w="803" w:type="dxa"/>
            <w:noWrap w:val="0"/>
            <w:vAlign w:val="center"/>
          </w:tcPr>
          <w:p w14:paraId="1866444A">
            <w:pPr>
              <w:pStyle w:val="6"/>
              <w:keepNext/>
              <w:spacing w:after="0" w:line="440" w:lineRule="exact"/>
              <w:ind w:left="63" w:right="63"/>
              <w:rPr>
                <w:rFonts w:eastAsia="仿宋_GB2312"/>
                <w:sz w:val="30"/>
                <w:szCs w:val="30"/>
              </w:rPr>
            </w:pPr>
          </w:p>
        </w:tc>
        <w:tc>
          <w:tcPr>
            <w:tcW w:w="1465" w:type="dxa"/>
            <w:noWrap w:val="0"/>
            <w:vAlign w:val="center"/>
          </w:tcPr>
          <w:p w14:paraId="5C2F42F9">
            <w:pPr>
              <w:pStyle w:val="6"/>
              <w:keepNext/>
              <w:spacing w:after="0" w:line="440" w:lineRule="exact"/>
              <w:ind w:left="63" w:right="63"/>
              <w:rPr>
                <w:rFonts w:eastAsia="仿宋_GB2312"/>
                <w:sz w:val="30"/>
                <w:szCs w:val="30"/>
              </w:rPr>
            </w:pPr>
          </w:p>
        </w:tc>
        <w:tc>
          <w:tcPr>
            <w:tcW w:w="803" w:type="dxa"/>
            <w:noWrap w:val="0"/>
            <w:vAlign w:val="center"/>
          </w:tcPr>
          <w:p w14:paraId="1A70DC38">
            <w:pPr>
              <w:pStyle w:val="6"/>
              <w:keepNext/>
              <w:spacing w:after="0" w:line="440" w:lineRule="exact"/>
              <w:ind w:left="63" w:right="63"/>
              <w:rPr>
                <w:rFonts w:eastAsia="仿宋_GB2312"/>
                <w:sz w:val="30"/>
                <w:szCs w:val="30"/>
              </w:rPr>
            </w:pPr>
          </w:p>
        </w:tc>
      </w:tr>
      <w:tr w14:paraId="3B000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66" w:type="dxa"/>
            <w:noWrap w:val="0"/>
            <w:vAlign w:val="center"/>
          </w:tcPr>
          <w:p w14:paraId="65B668EB">
            <w:pPr>
              <w:pStyle w:val="6"/>
              <w:keepNext/>
              <w:spacing w:after="0" w:line="440" w:lineRule="exact"/>
              <w:ind w:left="63" w:right="63"/>
              <w:rPr>
                <w:rFonts w:eastAsia="仿宋_GB2312"/>
                <w:sz w:val="30"/>
                <w:szCs w:val="30"/>
              </w:rPr>
            </w:pPr>
          </w:p>
        </w:tc>
        <w:tc>
          <w:tcPr>
            <w:tcW w:w="1134" w:type="dxa"/>
            <w:noWrap w:val="0"/>
            <w:vAlign w:val="center"/>
          </w:tcPr>
          <w:p w14:paraId="54233F4F">
            <w:pPr>
              <w:pStyle w:val="6"/>
              <w:keepNext/>
              <w:spacing w:after="0" w:line="440" w:lineRule="exact"/>
              <w:ind w:left="63" w:right="63"/>
              <w:rPr>
                <w:rFonts w:eastAsia="仿宋_GB2312"/>
                <w:sz w:val="30"/>
                <w:szCs w:val="30"/>
              </w:rPr>
            </w:pPr>
          </w:p>
        </w:tc>
        <w:tc>
          <w:tcPr>
            <w:tcW w:w="851" w:type="dxa"/>
            <w:noWrap w:val="0"/>
            <w:vAlign w:val="center"/>
          </w:tcPr>
          <w:p w14:paraId="1AFDE760">
            <w:pPr>
              <w:pStyle w:val="6"/>
              <w:keepNext/>
              <w:spacing w:after="0" w:line="440" w:lineRule="exact"/>
              <w:ind w:left="63" w:right="63"/>
              <w:rPr>
                <w:rFonts w:eastAsia="仿宋_GB2312"/>
                <w:sz w:val="30"/>
                <w:szCs w:val="30"/>
              </w:rPr>
            </w:pPr>
          </w:p>
        </w:tc>
        <w:tc>
          <w:tcPr>
            <w:tcW w:w="708" w:type="dxa"/>
            <w:noWrap w:val="0"/>
            <w:vAlign w:val="center"/>
          </w:tcPr>
          <w:p w14:paraId="349CFDF0">
            <w:pPr>
              <w:pStyle w:val="6"/>
              <w:keepNext/>
              <w:spacing w:after="0" w:line="440" w:lineRule="exact"/>
              <w:ind w:left="63" w:right="63"/>
              <w:rPr>
                <w:rFonts w:eastAsia="仿宋_GB2312"/>
                <w:sz w:val="30"/>
                <w:szCs w:val="30"/>
              </w:rPr>
            </w:pPr>
          </w:p>
        </w:tc>
        <w:tc>
          <w:tcPr>
            <w:tcW w:w="709" w:type="dxa"/>
            <w:noWrap w:val="0"/>
            <w:vAlign w:val="center"/>
          </w:tcPr>
          <w:p w14:paraId="5A4A4C8D">
            <w:pPr>
              <w:pStyle w:val="6"/>
              <w:keepNext/>
              <w:spacing w:after="0" w:line="440" w:lineRule="exact"/>
              <w:ind w:left="63" w:right="63"/>
              <w:rPr>
                <w:rFonts w:eastAsia="仿宋_GB2312"/>
                <w:sz w:val="30"/>
                <w:szCs w:val="30"/>
              </w:rPr>
            </w:pPr>
          </w:p>
        </w:tc>
        <w:tc>
          <w:tcPr>
            <w:tcW w:w="851" w:type="dxa"/>
            <w:noWrap w:val="0"/>
            <w:vAlign w:val="center"/>
          </w:tcPr>
          <w:p w14:paraId="3DDA93D4">
            <w:pPr>
              <w:pStyle w:val="6"/>
              <w:keepNext/>
              <w:spacing w:after="0" w:line="440" w:lineRule="exact"/>
              <w:ind w:left="63" w:right="63"/>
              <w:rPr>
                <w:rFonts w:eastAsia="仿宋_GB2312"/>
                <w:sz w:val="30"/>
                <w:szCs w:val="30"/>
              </w:rPr>
            </w:pPr>
          </w:p>
        </w:tc>
        <w:tc>
          <w:tcPr>
            <w:tcW w:w="850" w:type="dxa"/>
            <w:noWrap w:val="0"/>
            <w:vAlign w:val="center"/>
          </w:tcPr>
          <w:p w14:paraId="56C67022">
            <w:pPr>
              <w:pStyle w:val="6"/>
              <w:keepNext/>
              <w:spacing w:after="0" w:line="440" w:lineRule="exact"/>
              <w:ind w:left="63" w:right="63"/>
              <w:rPr>
                <w:rFonts w:eastAsia="仿宋_GB2312"/>
                <w:sz w:val="30"/>
                <w:szCs w:val="30"/>
              </w:rPr>
            </w:pPr>
          </w:p>
        </w:tc>
        <w:tc>
          <w:tcPr>
            <w:tcW w:w="803" w:type="dxa"/>
            <w:noWrap w:val="0"/>
            <w:vAlign w:val="center"/>
          </w:tcPr>
          <w:p w14:paraId="312F6C03">
            <w:pPr>
              <w:pStyle w:val="6"/>
              <w:keepNext/>
              <w:spacing w:after="0" w:line="440" w:lineRule="exact"/>
              <w:ind w:left="63" w:right="63"/>
              <w:rPr>
                <w:rFonts w:eastAsia="仿宋_GB2312"/>
                <w:sz w:val="30"/>
                <w:szCs w:val="30"/>
              </w:rPr>
            </w:pPr>
          </w:p>
        </w:tc>
        <w:tc>
          <w:tcPr>
            <w:tcW w:w="1465" w:type="dxa"/>
            <w:noWrap w:val="0"/>
            <w:vAlign w:val="center"/>
          </w:tcPr>
          <w:p w14:paraId="3433EA88">
            <w:pPr>
              <w:pStyle w:val="6"/>
              <w:keepNext/>
              <w:spacing w:after="0" w:line="440" w:lineRule="exact"/>
              <w:ind w:left="63" w:right="63"/>
              <w:rPr>
                <w:rFonts w:eastAsia="仿宋_GB2312"/>
                <w:sz w:val="30"/>
                <w:szCs w:val="30"/>
              </w:rPr>
            </w:pPr>
          </w:p>
        </w:tc>
        <w:tc>
          <w:tcPr>
            <w:tcW w:w="803" w:type="dxa"/>
            <w:noWrap w:val="0"/>
            <w:vAlign w:val="center"/>
          </w:tcPr>
          <w:p w14:paraId="0DC90C52">
            <w:pPr>
              <w:pStyle w:val="6"/>
              <w:keepNext/>
              <w:spacing w:after="0" w:line="440" w:lineRule="exact"/>
              <w:ind w:left="63" w:right="63"/>
              <w:rPr>
                <w:rFonts w:eastAsia="仿宋_GB2312"/>
                <w:sz w:val="30"/>
                <w:szCs w:val="30"/>
              </w:rPr>
            </w:pPr>
          </w:p>
        </w:tc>
      </w:tr>
      <w:tr w14:paraId="421C9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66" w:type="dxa"/>
            <w:noWrap w:val="0"/>
            <w:vAlign w:val="center"/>
          </w:tcPr>
          <w:p w14:paraId="5FE0718F">
            <w:pPr>
              <w:pStyle w:val="6"/>
              <w:keepNext/>
              <w:spacing w:after="0" w:line="440" w:lineRule="exact"/>
              <w:ind w:left="63" w:right="63"/>
              <w:rPr>
                <w:rFonts w:eastAsia="仿宋_GB2312"/>
                <w:sz w:val="30"/>
                <w:szCs w:val="30"/>
              </w:rPr>
            </w:pPr>
          </w:p>
        </w:tc>
        <w:tc>
          <w:tcPr>
            <w:tcW w:w="1134" w:type="dxa"/>
            <w:noWrap w:val="0"/>
            <w:vAlign w:val="center"/>
          </w:tcPr>
          <w:p w14:paraId="1EB151E1">
            <w:pPr>
              <w:pStyle w:val="6"/>
              <w:keepNext/>
              <w:spacing w:after="0" w:line="440" w:lineRule="exact"/>
              <w:ind w:left="63" w:right="63"/>
              <w:rPr>
                <w:rFonts w:eastAsia="仿宋_GB2312"/>
                <w:sz w:val="30"/>
                <w:szCs w:val="30"/>
              </w:rPr>
            </w:pPr>
          </w:p>
        </w:tc>
        <w:tc>
          <w:tcPr>
            <w:tcW w:w="851" w:type="dxa"/>
            <w:noWrap w:val="0"/>
            <w:vAlign w:val="center"/>
          </w:tcPr>
          <w:p w14:paraId="1BEA85A6">
            <w:pPr>
              <w:pStyle w:val="6"/>
              <w:keepNext/>
              <w:spacing w:after="0" w:line="440" w:lineRule="exact"/>
              <w:ind w:left="63" w:right="63"/>
              <w:rPr>
                <w:rFonts w:eastAsia="仿宋_GB2312"/>
                <w:sz w:val="30"/>
                <w:szCs w:val="30"/>
              </w:rPr>
            </w:pPr>
          </w:p>
        </w:tc>
        <w:tc>
          <w:tcPr>
            <w:tcW w:w="708" w:type="dxa"/>
            <w:noWrap w:val="0"/>
            <w:vAlign w:val="center"/>
          </w:tcPr>
          <w:p w14:paraId="2744868D">
            <w:pPr>
              <w:pStyle w:val="6"/>
              <w:keepNext/>
              <w:spacing w:after="0" w:line="440" w:lineRule="exact"/>
              <w:ind w:left="63" w:right="63"/>
              <w:rPr>
                <w:rFonts w:eastAsia="仿宋_GB2312"/>
                <w:sz w:val="30"/>
                <w:szCs w:val="30"/>
              </w:rPr>
            </w:pPr>
          </w:p>
        </w:tc>
        <w:tc>
          <w:tcPr>
            <w:tcW w:w="709" w:type="dxa"/>
            <w:noWrap w:val="0"/>
            <w:vAlign w:val="center"/>
          </w:tcPr>
          <w:p w14:paraId="5F18B00E">
            <w:pPr>
              <w:pStyle w:val="6"/>
              <w:keepNext/>
              <w:spacing w:after="0" w:line="440" w:lineRule="exact"/>
              <w:ind w:left="63" w:right="63"/>
              <w:rPr>
                <w:rFonts w:eastAsia="仿宋_GB2312"/>
                <w:sz w:val="30"/>
                <w:szCs w:val="30"/>
              </w:rPr>
            </w:pPr>
          </w:p>
        </w:tc>
        <w:tc>
          <w:tcPr>
            <w:tcW w:w="851" w:type="dxa"/>
            <w:noWrap w:val="0"/>
            <w:vAlign w:val="center"/>
          </w:tcPr>
          <w:p w14:paraId="4E9BB49E">
            <w:pPr>
              <w:pStyle w:val="6"/>
              <w:keepNext/>
              <w:spacing w:after="0" w:line="440" w:lineRule="exact"/>
              <w:ind w:left="63" w:right="63"/>
              <w:rPr>
                <w:rFonts w:eastAsia="仿宋_GB2312"/>
                <w:sz w:val="30"/>
                <w:szCs w:val="30"/>
              </w:rPr>
            </w:pPr>
          </w:p>
        </w:tc>
        <w:tc>
          <w:tcPr>
            <w:tcW w:w="850" w:type="dxa"/>
            <w:noWrap w:val="0"/>
            <w:vAlign w:val="center"/>
          </w:tcPr>
          <w:p w14:paraId="3B6E8AE5">
            <w:pPr>
              <w:pStyle w:val="6"/>
              <w:keepNext/>
              <w:spacing w:after="0" w:line="440" w:lineRule="exact"/>
              <w:ind w:left="63" w:right="63"/>
              <w:rPr>
                <w:rFonts w:eastAsia="仿宋_GB2312"/>
                <w:sz w:val="30"/>
                <w:szCs w:val="30"/>
              </w:rPr>
            </w:pPr>
          </w:p>
        </w:tc>
        <w:tc>
          <w:tcPr>
            <w:tcW w:w="803" w:type="dxa"/>
            <w:noWrap w:val="0"/>
            <w:vAlign w:val="center"/>
          </w:tcPr>
          <w:p w14:paraId="583153AE">
            <w:pPr>
              <w:pStyle w:val="6"/>
              <w:keepNext/>
              <w:spacing w:after="0" w:line="440" w:lineRule="exact"/>
              <w:ind w:left="63" w:right="63"/>
              <w:rPr>
                <w:rFonts w:eastAsia="仿宋_GB2312"/>
                <w:sz w:val="30"/>
                <w:szCs w:val="30"/>
              </w:rPr>
            </w:pPr>
          </w:p>
        </w:tc>
        <w:tc>
          <w:tcPr>
            <w:tcW w:w="1465" w:type="dxa"/>
            <w:noWrap w:val="0"/>
            <w:vAlign w:val="center"/>
          </w:tcPr>
          <w:p w14:paraId="76F1C850">
            <w:pPr>
              <w:pStyle w:val="6"/>
              <w:keepNext/>
              <w:spacing w:after="0" w:line="440" w:lineRule="exact"/>
              <w:ind w:left="63" w:right="63"/>
              <w:rPr>
                <w:rFonts w:eastAsia="仿宋_GB2312"/>
                <w:sz w:val="30"/>
                <w:szCs w:val="30"/>
              </w:rPr>
            </w:pPr>
          </w:p>
        </w:tc>
        <w:tc>
          <w:tcPr>
            <w:tcW w:w="803" w:type="dxa"/>
            <w:noWrap w:val="0"/>
            <w:vAlign w:val="center"/>
          </w:tcPr>
          <w:p w14:paraId="53760B06">
            <w:pPr>
              <w:pStyle w:val="6"/>
              <w:keepNext/>
              <w:spacing w:after="0" w:line="440" w:lineRule="exact"/>
              <w:ind w:left="63" w:right="63"/>
              <w:rPr>
                <w:rFonts w:eastAsia="仿宋_GB2312"/>
                <w:sz w:val="30"/>
                <w:szCs w:val="30"/>
              </w:rPr>
            </w:pPr>
          </w:p>
        </w:tc>
      </w:tr>
      <w:tr w14:paraId="45FDE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519A7CCB">
            <w:pPr>
              <w:pStyle w:val="6"/>
              <w:keepNext/>
              <w:spacing w:after="0" w:line="440" w:lineRule="exact"/>
              <w:ind w:left="63" w:right="63"/>
              <w:rPr>
                <w:rFonts w:eastAsia="仿宋_GB2312"/>
                <w:sz w:val="30"/>
                <w:szCs w:val="30"/>
              </w:rPr>
            </w:pPr>
          </w:p>
        </w:tc>
        <w:tc>
          <w:tcPr>
            <w:tcW w:w="1134" w:type="dxa"/>
            <w:noWrap w:val="0"/>
            <w:vAlign w:val="center"/>
          </w:tcPr>
          <w:p w14:paraId="47D7F069">
            <w:pPr>
              <w:pStyle w:val="6"/>
              <w:keepNext/>
              <w:spacing w:after="0" w:line="440" w:lineRule="exact"/>
              <w:ind w:left="63" w:right="63"/>
              <w:rPr>
                <w:rFonts w:eastAsia="仿宋_GB2312"/>
                <w:sz w:val="30"/>
                <w:szCs w:val="30"/>
              </w:rPr>
            </w:pPr>
          </w:p>
        </w:tc>
        <w:tc>
          <w:tcPr>
            <w:tcW w:w="851" w:type="dxa"/>
            <w:noWrap w:val="0"/>
            <w:vAlign w:val="center"/>
          </w:tcPr>
          <w:p w14:paraId="1FCDAA82">
            <w:pPr>
              <w:pStyle w:val="6"/>
              <w:keepNext/>
              <w:spacing w:after="0" w:line="440" w:lineRule="exact"/>
              <w:ind w:left="63" w:right="63"/>
              <w:rPr>
                <w:rFonts w:eastAsia="仿宋_GB2312"/>
                <w:sz w:val="30"/>
                <w:szCs w:val="30"/>
              </w:rPr>
            </w:pPr>
          </w:p>
        </w:tc>
        <w:tc>
          <w:tcPr>
            <w:tcW w:w="708" w:type="dxa"/>
            <w:noWrap w:val="0"/>
            <w:vAlign w:val="center"/>
          </w:tcPr>
          <w:p w14:paraId="49F16E18">
            <w:pPr>
              <w:pStyle w:val="6"/>
              <w:keepNext/>
              <w:spacing w:after="0" w:line="440" w:lineRule="exact"/>
              <w:ind w:left="63" w:right="63"/>
              <w:rPr>
                <w:rFonts w:eastAsia="仿宋_GB2312"/>
                <w:sz w:val="30"/>
                <w:szCs w:val="30"/>
              </w:rPr>
            </w:pPr>
          </w:p>
        </w:tc>
        <w:tc>
          <w:tcPr>
            <w:tcW w:w="709" w:type="dxa"/>
            <w:noWrap w:val="0"/>
            <w:vAlign w:val="center"/>
          </w:tcPr>
          <w:p w14:paraId="64B2E097">
            <w:pPr>
              <w:pStyle w:val="6"/>
              <w:keepNext/>
              <w:spacing w:after="0" w:line="440" w:lineRule="exact"/>
              <w:ind w:left="63" w:right="63"/>
              <w:rPr>
                <w:rFonts w:eastAsia="仿宋_GB2312"/>
                <w:sz w:val="30"/>
                <w:szCs w:val="30"/>
              </w:rPr>
            </w:pPr>
          </w:p>
        </w:tc>
        <w:tc>
          <w:tcPr>
            <w:tcW w:w="851" w:type="dxa"/>
            <w:noWrap w:val="0"/>
            <w:vAlign w:val="center"/>
          </w:tcPr>
          <w:p w14:paraId="50B2FAE1">
            <w:pPr>
              <w:pStyle w:val="6"/>
              <w:keepNext/>
              <w:spacing w:after="0" w:line="440" w:lineRule="exact"/>
              <w:ind w:left="63" w:right="63"/>
              <w:rPr>
                <w:rFonts w:eastAsia="仿宋_GB2312"/>
                <w:sz w:val="30"/>
                <w:szCs w:val="30"/>
              </w:rPr>
            </w:pPr>
          </w:p>
        </w:tc>
        <w:tc>
          <w:tcPr>
            <w:tcW w:w="850" w:type="dxa"/>
            <w:noWrap w:val="0"/>
            <w:vAlign w:val="center"/>
          </w:tcPr>
          <w:p w14:paraId="34B5B558">
            <w:pPr>
              <w:pStyle w:val="6"/>
              <w:keepNext/>
              <w:spacing w:after="0" w:line="440" w:lineRule="exact"/>
              <w:ind w:left="63" w:right="63"/>
              <w:rPr>
                <w:rFonts w:eastAsia="仿宋_GB2312"/>
                <w:sz w:val="30"/>
                <w:szCs w:val="30"/>
              </w:rPr>
            </w:pPr>
          </w:p>
        </w:tc>
        <w:tc>
          <w:tcPr>
            <w:tcW w:w="803" w:type="dxa"/>
            <w:noWrap w:val="0"/>
            <w:vAlign w:val="center"/>
          </w:tcPr>
          <w:p w14:paraId="6E058D86">
            <w:pPr>
              <w:pStyle w:val="6"/>
              <w:keepNext/>
              <w:spacing w:after="0" w:line="440" w:lineRule="exact"/>
              <w:ind w:left="63" w:right="63"/>
              <w:rPr>
                <w:rFonts w:eastAsia="仿宋_GB2312"/>
                <w:sz w:val="30"/>
                <w:szCs w:val="30"/>
              </w:rPr>
            </w:pPr>
          </w:p>
        </w:tc>
        <w:tc>
          <w:tcPr>
            <w:tcW w:w="1465" w:type="dxa"/>
            <w:noWrap w:val="0"/>
            <w:vAlign w:val="center"/>
          </w:tcPr>
          <w:p w14:paraId="2D79AE72">
            <w:pPr>
              <w:pStyle w:val="6"/>
              <w:keepNext/>
              <w:spacing w:after="0" w:line="440" w:lineRule="exact"/>
              <w:ind w:left="63" w:right="63"/>
              <w:rPr>
                <w:rFonts w:eastAsia="仿宋_GB2312"/>
                <w:sz w:val="30"/>
                <w:szCs w:val="30"/>
              </w:rPr>
            </w:pPr>
          </w:p>
        </w:tc>
        <w:tc>
          <w:tcPr>
            <w:tcW w:w="803" w:type="dxa"/>
            <w:noWrap w:val="0"/>
            <w:vAlign w:val="center"/>
          </w:tcPr>
          <w:p w14:paraId="23B9A028">
            <w:pPr>
              <w:pStyle w:val="6"/>
              <w:keepNext/>
              <w:spacing w:after="0" w:line="440" w:lineRule="exact"/>
              <w:ind w:left="63" w:right="63"/>
              <w:rPr>
                <w:rFonts w:eastAsia="仿宋_GB2312"/>
                <w:sz w:val="30"/>
                <w:szCs w:val="30"/>
              </w:rPr>
            </w:pPr>
          </w:p>
        </w:tc>
      </w:tr>
      <w:tr w14:paraId="2B933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0E0FE21E">
            <w:pPr>
              <w:jc w:val="center"/>
              <w:rPr>
                <w:rFonts w:eastAsia="仿宋_GB2312"/>
                <w:sz w:val="30"/>
                <w:szCs w:val="30"/>
              </w:rPr>
            </w:pPr>
          </w:p>
        </w:tc>
        <w:tc>
          <w:tcPr>
            <w:tcW w:w="1134" w:type="dxa"/>
            <w:noWrap w:val="0"/>
            <w:vAlign w:val="center"/>
          </w:tcPr>
          <w:p w14:paraId="100F7782">
            <w:pPr>
              <w:jc w:val="center"/>
              <w:rPr>
                <w:rFonts w:eastAsia="仿宋_GB2312"/>
                <w:sz w:val="30"/>
                <w:szCs w:val="30"/>
              </w:rPr>
            </w:pPr>
          </w:p>
        </w:tc>
        <w:tc>
          <w:tcPr>
            <w:tcW w:w="851" w:type="dxa"/>
            <w:noWrap w:val="0"/>
            <w:vAlign w:val="center"/>
          </w:tcPr>
          <w:p w14:paraId="19CED473">
            <w:pPr>
              <w:jc w:val="center"/>
              <w:rPr>
                <w:rFonts w:eastAsia="仿宋_GB2312"/>
                <w:sz w:val="30"/>
                <w:szCs w:val="30"/>
              </w:rPr>
            </w:pPr>
          </w:p>
        </w:tc>
        <w:tc>
          <w:tcPr>
            <w:tcW w:w="708" w:type="dxa"/>
            <w:noWrap w:val="0"/>
            <w:vAlign w:val="center"/>
          </w:tcPr>
          <w:p w14:paraId="15F43D16">
            <w:pPr>
              <w:jc w:val="center"/>
              <w:rPr>
                <w:rFonts w:eastAsia="仿宋_GB2312"/>
                <w:sz w:val="30"/>
                <w:szCs w:val="30"/>
              </w:rPr>
            </w:pPr>
          </w:p>
        </w:tc>
        <w:tc>
          <w:tcPr>
            <w:tcW w:w="709" w:type="dxa"/>
            <w:noWrap w:val="0"/>
            <w:vAlign w:val="center"/>
          </w:tcPr>
          <w:p w14:paraId="01E8DB2F">
            <w:pPr>
              <w:jc w:val="center"/>
              <w:rPr>
                <w:rFonts w:eastAsia="仿宋_GB2312"/>
                <w:sz w:val="30"/>
                <w:szCs w:val="30"/>
              </w:rPr>
            </w:pPr>
          </w:p>
        </w:tc>
        <w:tc>
          <w:tcPr>
            <w:tcW w:w="851" w:type="dxa"/>
            <w:noWrap w:val="0"/>
            <w:vAlign w:val="center"/>
          </w:tcPr>
          <w:p w14:paraId="027A2191">
            <w:pPr>
              <w:jc w:val="center"/>
              <w:rPr>
                <w:rFonts w:eastAsia="仿宋_GB2312"/>
                <w:sz w:val="30"/>
                <w:szCs w:val="30"/>
              </w:rPr>
            </w:pPr>
          </w:p>
        </w:tc>
        <w:tc>
          <w:tcPr>
            <w:tcW w:w="850" w:type="dxa"/>
            <w:noWrap w:val="0"/>
            <w:vAlign w:val="center"/>
          </w:tcPr>
          <w:p w14:paraId="45D888CD">
            <w:pPr>
              <w:jc w:val="center"/>
              <w:rPr>
                <w:rFonts w:eastAsia="仿宋_GB2312"/>
                <w:sz w:val="30"/>
                <w:szCs w:val="30"/>
              </w:rPr>
            </w:pPr>
          </w:p>
        </w:tc>
        <w:tc>
          <w:tcPr>
            <w:tcW w:w="803" w:type="dxa"/>
            <w:noWrap w:val="0"/>
            <w:vAlign w:val="center"/>
          </w:tcPr>
          <w:p w14:paraId="20D870D7">
            <w:pPr>
              <w:jc w:val="center"/>
              <w:rPr>
                <w:rFonts w:eastAsia="仿宋_GB2312"/>
                <w:sz w:val="30"/>
                <w:szCs w:val="30"/>
              </w:rPr>
            </w:pPr>
          </w:p>
        </w:tc>
        <w:tc>
          <w:tcPr>
            <w:tcW w:w="1465" w:type="dxa"/>
            <w:noWrap w:val="0"/>
            <w:vAlign w:val="center"/>
          </w:tcPr>
          <w:p w14:paraId="4C3DC208">
            <w:pPr>
              <w:jc w:val="center"/>
              <w:rPr>
                <w:rFonts w:eastAsia="仿宋_GB2312"/>
                <w:sz w:val="30"/>
                <w:szCs w:val="30"/>
              </w:rPr>
            </w:pPr>
          </w:p>
        </w:tc>
        <w:tc>
          <w:tcPr>
            <w:tcW w:w="803" w:type="dxa"/>
            <w:noWrap w:val="0"/>
            <w:vAlign w:val="center"/>
          </w:tcPr>
          <w:p w14:paraId="7D6C8EE9">
            <w:pPr>
              <w:jc w:val="center"/>
              <w:rPr>
                <w:rFonts w:eastAsia="仿宋_GB2312"/>
                <w:sz w:val="30"/>
                <w:szCs w:val="30"/>
              </w:rPr>
            </w:pPr>
          </w:p>
        </w:tc>
      </w:tr>
      <w:tr w14:paraId="7CE1BE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66" w:type="dxa"/>
            <w:noWrap w:val="0"/>
            <w:vAlign w:val="center"/>
          </w:tcPr>
          <w:p w14:paraId="7988307A">
            <w:pPr>
              <w:pStyle w:val="6"/>
              <w:keepNext/>
              <w:spacing w:after="0" w:line="440" w:lineRule="exact"/>
              <w:ind w:left="63" w:right="63"/>
              <w:rPr>
                <w:rFonts w:eastAsia="仿宋_GB2312"/>
                <w:sz w:val="30"/>
                <w:szCs w:val="30"/>
              </w:rPr>
            </w:pPr>
          </w:p>
        </w:tc>
        <w:tc>
          <w:tcPr>
            <w:tcW w:w="1134" w:type="dxa"/>
            <w:noWrap w:val="0"/>
            <w:vAlign w:val="center"/>
          </w:tcPr>
          <w:p w14:paraId="0E74A3EF">
            <w:pPr>
              <w:pStyle w:val="6"/>
              <w:keepNext/>
              <w:spacing w:after="0" w:line="440" w:lineRule="exact"/>
              <w:ind w:left="63" w:right="63"/>
              <w:rPr>
                <w:rFonts w:eastAsia="仿宋_GB2312"/>
                <w:sz w:val="30"/>
                <w:szCs w:val="30"/>
              </w:rPr>
            </w:pPr>
          </w:p>
        </w:tc>
        <w:tc>
          <w:tcPr>
            <w:tcW w:w="851" w:type="dxa"/>
            <w:noWrap w:val="0"/>
            <w:vAlign w:val="center"/>
          </w:tcPr>
          <w:p w14:paraId="3CA2C272">
            <w:pPr>
              <w:pStyle w:val="6"/>
              <w:keepNext/>
              <w:spacing w:after="0" w:line="440" w:lineRule="exact"/>
              <w:ind w:left="63" w:right="63"/>
              <w:rPr>
                <w:rFonts w:eastAsia="仿宋_GB2312"/>
                <w:sz w:val="30"/>
                <w:szCs w:val="30"/>
              </w:rPr>
            </w:pPr>
          </w:p>
        </w:tc>
        <w:tc>
          <w:tcPr>
            <w:tcW w:w="708" w:type="dxa"/>
            <w:noWrap w:val="0"/>
            <w:vAlign w:val="center"/>
          </w:tcPr>
          <w:p w14:paraId="5454A9E4">
            <w:pPr>
              <w:pStyle w:val="6"/>
              <w:keepNext/>
              <w:spacing w:after="0" w:line="440" w:lineRule="exact"/>
              <w:ind w:left="63" w:right="63"/>
              <w:rPr>
                <w:rFonts w:eastAsia="仿宋_GB2312"/>
                <w:sz w:val="30"/>
                <w:szCs w:val="30"/>
              </w:rPr>
            </w:pPr>
          </w:p>
        </w:tc>
        <w:tc>
          <w:tcPr>
            <w:tcW w:w="709" w:type="dxa"/>
            <w:noWrap w:val="0"/>
            <w:vAlign w:val="center"/>
          </w:tcPr>
          <w:p w14:paraId="1DBF63AB">
            <w:pPr>
              <w:pStyle w:val="6"/>
              <w:keepNext/>
              <w:spacing w:after="0" w:line="440" w:lineRule="exact"/>
              <w:ind w:left="63" w:right="63"/>
              <w:rPr>
                <w:rFonts w:eastAsia="仿宋_GB2312"/>
                <w:sz w:val="30"/>
                <w:szCs w:val="30"/>
              </w:rPr>
            </w:pPr>
          </w:p>
        </w:tc>
        <w:tc>
          <w:tcPr>
            <w:tcW w:w="851" w:type="dxa"/>
            <w:noWrap w:val="0"/>
            <w:vAlign w:val="center"/>
          </w:tcPr>
          <w:p w14:paraId="073886EA">
            <w:pPr>
              <w:pStyle w:val="6"/>
              <w:keepNext/>
              <w:spacing w:after="0" w:line="440" w:lineRule="exact"/>
              <w:ind w:left="63" w:right="63"/>
              <w:rPr>
                <w:rFonts w:eastAsia="仿宋_GB2312"/>
                <w:sz w:val="30"/>
                <w:szCs w:val="30"/>
              </w:rPr>
            </w:pPr>
          </w:p>
        </w:tc>
        <w:tc>
          <w:tcPr>
            <w:tcW w:w="850" w:type="dxa"/>
            <w:noWrap w:val="0"/>
            <w:vAlign w:val="center"/>
          </w:tcPr>
          <w:p w14:paraId="3753042A">
            <w:pPr>
              <w:pStyle w:val="6"/>
              <w:keepNext/>
              <w:spacing w:after="0" w:line="440" w:lineRule="exact"/>
              <w:ind w:left="63" w:right="63"/>
              <w:rPr>
                <w:rFonts w:eastAsia="仿宋_GB2312"/>
                <w:sz w:val="30"/>
                <w:szCs w:val="30"/>
              </w:rPr>
            </w:pPr>
          </w:p>
        </w:tc>
        <w:tc>
          <w:tcPr>
            <w:tcW w:w="803" w:type="dxa"/>
            <w:noWrap w:val="0"/>
            <w:vAlign w:val="center"/>
          </w:tcPr>
          <w:p w14:paraId="2541B761">
            <w:pPr>
              <w:pStyle w:val="6"/>
              <w:keepNext/>
              <w:spacing w:after="0" w:line="440" w:lineRule="exact"/>
              <w:ind w:left="63" w:right="63"/>
              <w:rPr>
                <w:rFonts w:eastAsia="仿宋_GB2312"/>
                <w:sz w:val="30"/>
                <w:szCs w:val="30"/>
              </w:rPr>
            </w:pPr>
          </w:p>
        </w:tc>
        <w:tc>
          <w:tcPr>
            <w:tcW w:w="1465" w:type="dxa"/>
            <w:noWrap w:val="0"/>
            <w:vAlign w:val="center"/>
          </w:tcPr>
          <w:p w14:paraId="5E346851">
            <w:pPr>
              <w:pStyle w:val="6"/>
              <w:keepNext/>
              <w:spacing w:after="0" w:line="440" w:lineRule="exact"/>
              <w:ind w:left="63" w:right="63"/>
              <w:rPr>
                <w:rFonts w:eastAsia="仿宋_GB2312"/>
                <w:sz w:val="30"/>
                <w:szCs w:val="30"/>
              </w:rPr>
            </w:pPr>
          </w:p>
        </w:tc>
        <w:tc>
          <w:tcPr>
            <w:tcW w:w="803" w:type="dxa"/>
            <w:noWrap w:val="0"/>
            <w:vAlign w:val="center"/>
          </w:tcPr>
          <w:p w14:paraId="57B95524">
            <w:pPr>
              <w:pStyle w:val="6"/>
              <w:keepNext/>
              <w:spacing w:after="0" w:line="440" w:lineRule="exact"/>
              <w:ind w:left="63" w:right="63"/>
              <w:rPr>
                <w:rFonts w:eastAsia="仿宋_GB2312"/>
                <w:sz w:val="30"/>
                <w:szCs w:val="30"/>
              </w:rPr>
            </w:pPr>
          </w:p>
        </w:tc>
      </w:tr>
      <w:tr w14:paraId="6B74C5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69D4219C">
            <w:pPr>
              <w:jc w:val="center"/>
              <w:rPr>
                <w:rFonts w:eastAsia="仿宋_GB2312"/>
                <w:sz w:val="30"/>
                <w:szCs w:val="30"/>
              </w:rPr>
            </w:pPr>
          </w:p>
        </w:tc>
        <w:tc>
          <w:tcPr>
            <w:tcW w:w="1134" w:type="dxa"/>
            <w:noWrap w:val="0"/>
            <w:vAlign w:val="center"/>
          </w:tcPr>
          <w:p w14:paraId="5F8A6D69">
            <w:pPr>
              <w:jc w:val="center"/>
              <w:rPr>
                <w:rFonts w:eastAsia="仿宋_GB2312"/>
                <w:sz w:val="30"/>
                <w:szCs w:val="30"/>
              </w:rPr>
            </w:pPr>
          </w:p>
        </w:tc>
        <w:tc>
          <w:tcPr>
            <w:tcW w:w="851" w:type="dxa"/>
            <w:noWrap w:val="0"/>
            <w:vAlign w:val="center"/>
          </w:tcPr>
          <w:p w14:paraId="7BC367FB">
            <w:pPr>
              <w:jc w:val="center"/>
              <w:rPr>
                <w:rFonts w:eastAsia="仿宋_GB2312"/>
                <w:sz w:val="30"/>
                <w:szCs w:val="30"/>
              </w:rPr>
            </w:pPr>
          </w:p>
        </w:tc>
        <w:tc>
          <w:tcPr>
            <w:tcW w:w="708" w:type="dxa"/>
            <w:noWrap w:val="0"/>
            <w:vAlign w:val="center"/>
          </w:tcPr>
          <w:p w14:paraId="2A9C1167">
            <w:pPr>
              <w:jc w:val="center"/>
              <w:rPr>
                <w:rFonts w:eastAsia="仿宋_GB2312"/>
                <w:sz w:val="30"/>
                <w:szCs w:val="30"/>
              </w:rPr>
            </w:pPr>
          </w:p>
        </w:tc>
        <w:tc>
          <w:tcPr>
            <w:tcW w:w="709" w:type="dxa"/>
            <w:noWrap w:val="0"/>
            <w:vAlign w:val="center"/>
          </w:tcPr>
          <w:p w14:paraId="2F66D9FE">
            <w:pPr>
              <w:jc w:val="center"/>
              <w:rPr>
                <w:rFonts w:eastAsia="仿宋_GB2312"/>
                <w:sz w:val="30"/>
                <w:szCs w:val="30"/>
              </w:rPr>
            </w:pPr>
          </w:p>
        </w:tc>
        <w:tc>
          <w:tcPr>
            <w:tcW w:w="851" w:type="dxa"/>
            <w:noWrap w:val="0"/>
            <w:vAlign w:val="center"/>
          </w:tcPr>
          <w:p w14:paraId="5282AD18">
            <w:pPr>
              <w:jc w:val="center"/>
              <w:rPr>
                <w:rFonts w:eastAsia="仿宋_GB2312"/>
                <w:sz w:val="30"/>
                <w:szCs w:val="30"/>
              </w:rPr>
            </w:pPr>
          </w:p>
        </w:tc>
        <w:tc>
          <w:tcPr>
            <w:tcW w:w="850" w:type="dxa"/>
            <w:noWrap w:val="0"/>
            <w:vAlign w:val="center"/>
          </w:tcPr>
          <w:p w14:paraId="5D2FEBA4">
            <w:pPr>
              <w:jc w:val="center"/>
              <w:rPr>
                <w:rFonts w:eastAsia="仿宋_GB2312"/>
                <w:sz w:val="30"/>
                <w:szCs w:val="30"/>
              </w:rPr>
            </w:pPr>
          </w:p>
        </w:tc>
        <w:tc>
          <w:tcPr>
            <w:tcW w:w="803" w:type="dxa"/>
            <w:noWrap w:val="0"/>
            <w:vAlign w:val="center"/>
          </w:tcPr>
          <w:p w14:paraId="244E92A5">
            <w:pPr>
              <w:jc w:val="center"/>
              <w:rPr>
                <w:rFonts w:eastAsia="仿宋_GB2312"/>
                <w:sz w:val="30"/>
                <w:szCs w:val="30"/>
              </w:rPr>
            </w:pPr>
          </w:p>
        </w:tc>
        <w:tc>
          <w:tcPr>
            <w:tcW w:w="1465" w:type="dxa"/>
            <w:noWrap w:val="0"/>
            <w:vAlign w:val="center"/>
          </w:tcPr>
          <w:p w14:paraId="643D48CC">
            <w:pPr>
              <w:jc w:val="center"/>
              <w:rPr>
                <w:rFonts w:eastAsia="仿宋_GB2312"/>
                <w:sz w:val="30"/>
                <w:szCs w:val="30"/>
              </w:rPr>
            </w:pPr>
          </w:p>
        </w:tc>
        <w:tc>
          <w:tcPr>
            <w:tcW w:w="803" w:type="dxa"/>
            <w:noWrap w:val="0"/>
            <w:vAlign w:val="center"/>
          </w:tcPr>
          <w:p w14:paraId="6E766189">
            <w:pPr>
              <w:jc w:val="center"/>
              <w:rPr>
                <w:rFonts w:eastAsia="仿宋_GB2312"/>
                <w:sz w:val="30"/>
                <w:szCs w:val="30"/>
              </w:rPr>
            </w:pPr>
          </w:p>
        </w:tc>
      </w:tr>
      <w:tr w14:paraId="5010B0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66" w:type="dxa"/>
            <w:noWrap w:val="0"/>
            <w:vAlign w:val="center"/>
          </w:tcPr>
          <w:p w14:paraId="6AC7D361">
            <w:pPr>
              <w:jc w:val="center"/>
              <w:rPr>
                <w:rFonts w:eastAsia="仿宋_GB2312"/>
                <w:sz w:val="30"/>
                <w:szCs w:val="30"/>
              </w:rPr>
            </w:pPr>
          </w:p>
        </w:tc>
        <w:tc>
          <w:tcPr>
            <w:tcW w:w="1134" w:type="dxa"/>
            <w:noWrap w:val="0"/>
            <w:vAlign w:val="center"/>
          </w:tcPr>
          <w:p w14:paraId="792BDF32">
            <w:pPr>
              <w:jc w:val="center"/>
              <w:rPr>
                <w:rFonts w:eastAsia="仿宋_GB2312"/>
                <w:sz w:val="30"/>
                <w:szCs w:val="30"/>
              </w:rPr>
            </w:pPr>
          </w:p>
        </w:tc>
        <w:tc>
          <w:tcPr>
            <w:tcW w:w="851" w:type="dxa"/>
            <w:noWrap w:val="0"/>
            <w:vAlign w:val="center"/>
          </w:tcPr>
          <w:p w14:paraId="77966E3B">
            <w:pPr>
              <w:jc w:val="center"/>
              <w:rPr>
                <w:rFonts w:eastAsia="仿宋_GB2312"/>
                <w:sz w:val="30"/>
                <w:szCs w:val="30"/>
              </w:rPr>
            </w:pPr>
          </w:p>
        </w:tc>
        <w:tc>
          <w:tcPr>
            <w:tcW w:w="708" w:type="dxa"/>
            <w:noWrap w:val="0"/>
            <w:vAlign w:val="center"/>
          </w:tcPr>
          <w:p w14:paraId="0F4C29EB">
            <w:pPr>
              <w:jc w:val="center"/>
              <w:rPr>
                <w:rFonts w:eastAsia="仿宋_GB2312"/>
                <w:sz w:val="30"/>
                <w:szCs w:val="30"/>
              </w:rPr>
            </w:pPr>
          </w:p>
        </w:tc>
        <w:tc>
          <w:tcPr>
            <w:tcW w:w="709" w:type="dxa"/>
            <w:noWrap w:val="0"/>
            <w:vAlign w:val="center"/>
          </w:tcPr>
          <w:p w14:paraId="6A6ED194">
            <w:pPr>
              <w:jc w:val="center"/>
              <w:rPr>
                <w:rFonts w:eastAsia="仿宋_GB2312"/>
                <w:sz w:val="30"/>
                <w:szCs w:val="30"/>
              </w:rPr>
            </w:pPr>
          </w:p>
        </w:tc>
        <w:tc>
          <w:tcPr>
            <w:tcW w:w="851" w:type="dxa"/>
            <w:noWrap w:val="0"/>
            <w:vAlign w:val="center"/>
          </w:tcPr>
          <w:p w14:paraId="6C77EE9C">
            <w:pPr>
              <w:jc w:val="center"/>
              <w:rPr>
                <w:rFonts w:eastAsia="仿宋_GB2312"/>
                <w:sz w:val="30"/>
                <w:szCs w:val="30"/>
              </w:rPr>
            </w:pPr>
          </w:p>
        </w:tc>
        <w:tc>
          <w:tcPr>
            <w:tcW w:w="850" w:type="dxa"/>
            <w:noWrap w:val="0"/>
            <w:vAlign w:val="center"/>
          </w:tcPr>
          <w:p w14:paraId="02CE4A83">
            <w:pPr>
              <w:jc w:val="center"/>
              <w:rPr>
                <w:rFonts w:eastAsia="仿宋_GB2312"/>
                <w:sz w:val="30"/>
                <w:szCs w:val="30"/>
              </w:rPr>
            </w:pPr>
          </w:p>
        </w:tc>
        <w:tc>
          <w:tcPr>
            <w:tcW w:w="803" w:type="dxa"/>
            <w:noWrap w:val="0"/>
            <w:vAlign w:val="center"/>
          </w:tcPr>
          <w:p w14:paraId="531CD96D">
            <w:pPr>
              <w:jc w:val="center"/>
              <w:rPr>
                <w:rFonts w:eastAsia="仿宋_GB2312"/>
                <w:sz w:val="30"/>
                <w:szCs w:val="30"/>
              </w:rPr>
            </w:pPr>
          </w:p>
        </w:tc>
        <w:tc>
          <w:tcPr>
            <w:tcW w:w="1465" w:type="dxa"/>
            <w:noWrap w:val="0"/>
            <w:vAlign w:val="center"/>
          </w:tcPr>
          <w:p w14:paraId="734BA7B4">
            <w:pPr>
              <w:jc w:val="center"/>
              <w:rPr>
                <w:rFonts w:eastAsia="仿宋_GB2312"/>
                <w:sz w:val="30"/>
                <w:szCs w:val="30"/>
              </w:rPr>
            </w:pPr>
          </w:p>
        </w:tc>
        <w:tc>
          <w:tcPr>
            <w:tcW w:w="803" w:type="dxa"/>
            <w:noWrap w:val="0"/>
            <w:vAlign w:val="center"/>
          </w:tcPr>
          <w:p w14:paraId="09D099C5">
            <w:pPr>
              <w:jc w:val="center"/>
              <w:rPr>
                <w:rFonts w:eastAsia="仿宋_GB2312"/>
                <w:sz w:val="30"/>
                <w:szCs w:val="30"/>
              </w:rPr>
            </w:pPr>
          </w:p>
        </w:tc>
      </w:tr>
      <w:tr w14:paraId="3EE083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748B011A">
            <w:pPr>
              <w:jc w:val="center"/>
              <w:rPr>
                <w:rFonts w:eastAsia="仿宋_GB2312"/>
                <w:sz w:val="30"/>
                <w:szCs w:val="30"/>
              </w:rPr>
            </w:pPr>
          </w:p>
        </w:tc>
        <w:tc>
          <w:tcPr>
            <w:tcW w:w="1134" w:type="dxa"/>
            <w:noWrap w:val="0"/>
            <w:vAlign w:val="center"/>
          </w:tcPr>
          <w:p w14:paraId="53B07411">
            <w:pPr>
              <w:jc w:val="center"/>
              <w:rPr>
                <w:rFonts w:eastAsia="仿宋_GB2312"/>
                <w:sz w:val="30"/>
                <w:szCs w:val="30"/>
              </w:rPr>
            </w:pPr>
          </w:p>
        </w:tc>
        <w:tc>
          <w:tcPr>
            <w:tcW w:w="851" w:type="dxa"/>
            <w:noWrap w:val="0"/>
            <w:vAlign w:val="center"/>
          </w:tcPr>
          <w:p w14:paraId="4AD1AB84">
            <w:pPr>
              <w:jc w:val="center"/>
              <w:rPr>
                <w:rFonts w:eastAsia="仿宋_GB2312"/>
                <w:sz w:val="30"/>
                <w:szCs w:val="30"/>
              </w:rPr>
            </w:pPr>
          </w:p>
        </w:tc>
        <w:tc>
          <w:tcPr>
            <w:tcW w:w="708" w:type="dxa"/>
            <w:noWrap w:val="0"/>
            <w:vAlign w:val="center"/>
          </w:tcPr>
          <w:p w14:paraId="132F7CEA">
            <w:pPr>
              <w:jc w:val="center"/>
              <w:rPr>
                <w:rFonts w:eastAsia="仿宋_GB2312"/>
                <w:sz w:val="30"/>
                <w:szCs w:val="30"/>
              </w:rPr>
            </w:pPr>
          </w:p>
        </w:tc>
        <w:tc>
          <w:tcPr>
            <w:tcW w:w="709" w:type="dxa"/>
            <w:noWrap w:val="0"/>
            <w:vAlign w:val="center"/>
          </w:tcPr>
          <w:p w14:paraId="748DD637">
            <w:pPr>
              <w:jc w:val="center"/>
              <w:rPr>
                <w:rFonts w:eastAsia="仿宋_GB2312"/>
                <w:sz w:val="30"/>
                <w:szCs w:val="30"/>
              </w:rPr>
            </w:pPr>
          </w:p>
        </w:tc>
        <w:tc>
          <w:tcPr>
            <w:tcW w:w="851" w:type="dxa"/>
            <w:noWrap w:val="0"/>
            <w:vAlign w:val="center"/>
          </w:tcPr>
          <w:p w14:paraId="2437B0A5">
            <w:pPr>
              <w:jc w:val="center"/>
              <w:rPr>
                <w:rFonts w:eastAsia="仿宋_GB2312"/>
                <w:sz w:val="30"/>
                <w:szCs w:val="30"/>
              </w:rPr>
            </w:pPr>
          </w:p>
        </w:tc>
        <w:tc>
          <w:tcPr>
            <w:tcW w:w="850" w:type="dxa"/>
            <w:noWrap w:val="0"/>
            <w:vAlign w:val="center"/>
          </w:tcPr>
          <w:p w14:paraId="3A0B09E7">
            <w:pPr>
              <w:jc w:val="center"/>
              <w:rPr>
                <w:rFonts w:eastAsia="仿宋_GB2312"/>
                <w:sz w:val="30"/>
                <w:szCs w:val="30"/>
              </w:rPr>
            </w:pPr>
          </w:p>
        </w:tc>
        <w:tc>
          <w:tcPr>
            <w:tcW w:w="803" w:type="dxa"/>
            <w:noWrap w:val="0"/>
            <w:vAlign w:val="center"/>
          </w:tcPr>
          <w:p w14:paraId="340D1D25">
            <w:pPr>
              <w:jc w:val="center"/>
              <w:rPr>
                <w:rFonts w:eastAsia="仿宋_GB2312"/>
                <w:sz w:val="30"/>
                <w:szCs w:val="30"/>
              </w:rPr>
            </w:pPr>
          </w:p>
        </w:tc>
        <w:tc>
          <w:tcPr>
            <w:tcW w:w="1465" w:type="dxa"/>
            <w:noWrap w:val="0"/>
            <w:vAlign w:val="center"/>
          </w:tcPr>
          <w:p w14:paraId="6851C034">
            <w:pPr>
              <w:jc w:val="center"/>
              <w:rPr>
                <w:rFonts w:eastAsia="仿宋_GB2312"/>
                <w:sz w:val="30"/>
                <w:szCs w:val="30"/>
              </w:rPr>
            </w:pPr>
          </w:p>
        </w:tc>
        <w:tc>
          <w:tcPr>
            <w:tcW w:w="803" w:type="dxa"/>
            <w:noWrap w:val="0"/>
            <w:vAlign w:val="center"/>
          </w:tcPr>
          <w:p w14:paraId="7CCD5760">
            <w:pPr>
              <w:jc w:val="center"/>
              <w:rPr>
                <w:rFonts w:eastAsia="仿宋_GB2312"/>
                <w:sz w:val="30"/>
                <w:szCs w:val="30"/>
              </w:rPr>
            </w:pPr>
          </w:p>
        </w:tc>
      </w:tr>
      <w:tr w14:paraId="17E4B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7A29D97C">
            <w:pPr>
              <w:jc w:val="center"/>
              <w:rPr>
                <w:rFonts w:eastAsia="仿宋_GB2312"/>
                <w:sz w:val="30"/>
                <w:szCs w:val="30"/>
              </w:rPr>
            </w:pPr>
          </w:p>
        </w:tc>
        <w:tc>
          <w:tcPr>
            <w:tcW w:w="1134" w:type="dxa"/>
            <w:noWrap w:val="0"/>
            <w:vAlign w:val="center"/>
          </w:tcPr>
          <w:p w14:paraId="2B04C2CD">
            <w:pPr>
              <w:jc w:val="center"/>
              <w:rPr>
                <w:rFonts w:eastAsia="仿宋_GB2312"/>
                <w:sz w:val="30"/>
                <w:szCs w:val="30"/>
              </w:rPr>
            </w:pPr>
          </w:p>
        </w:tc>
        <w:tc>
          <w:tcPr>
            <w:tcW w:w="851" w:type="dxa"/>
            <w:noWrap w:val="0"/>
            <w:vAlign w:val="center"/>
          </w:tcPr>
          <w:p w14:paraId="3F87311A">
            <w:pPr>
              <w:jc w:val="center"/>
              <w:rPr>
                <w:rFonts w:eastAsia="仿宋_GB2312"/>
                <w:sz w:val="30"/>
                <w:szCs w:val="30"/>
              </w:rPr>
            </w:pPr>
          </w:p>
        </w:tc>
        <w:tc>
          <w:tcPr>
            <w:tcW w:w="708" w:type="dxa"/>
            <w:noWrap w:val="0"/>
            <w:vAlign w:val="center"/>
          </w:tcPr>
          <w:p w14:paraId="6A09A851">
            <w:pPr>
              <w:jc w:val="center"/>
              <w:rPr>
                <w:rFonts w:eastAsia="仿宋_GB2312"/>
                <w:sz w:val="30"/>
                <w:szCs w:val="30"/>
              </w:rPr>
            </w:pPr>
          </w:p>
        </w:tc>
        <w:tc>
          <w:tcPr>
            <w:tcW w:w="709" w:type="dxa"/>
            <w:noWrap w:val="0"/>
            <w:vAlign w:val="center"/>
          </w:tcPr>
          <w:p w14:paraId="5665C216">
            <w:pPr>
              <w:jc w:val="center"/>
              <w:rPr>
                <w:rFonts w:eastAsia="仿宋_GB2312"/>
                <w:sz w:val="30"/>
                <w:szCs w:val="30"/>
              </w:rPr>
            </w:pPr>
          </w:p>
        </w:tc>
        <w:tc>
          <w:tcPr>
            <w:tcW w:w="851" w:type="dxa"/>
            <w:noWrap w:val="0"/>
            <w:vAlign w:val="center"/>
          </w:tcPr>
          <w:p w14:paraId="0EDB2427">
            <w:pPr>
              <w:jc w:val="center"/>
              <w:rPr>
                <w:rFonts w:eastAsia="仿宋_GB2312"/>
                <w:sz w:val="30"/>
                <w:szCs w:val="30"/>
              </w:rPr>
            </w:pPr>
          </w:p>
        </w:tc>
        <w:tc>
          <w:tcPr>
            <w:tcW w:w="850" w:type="dxa"/>
            <w:noWrap w:val="0"/>
            <w:vAlign w:val="center"/>
          </w:tcPr>
          <w:p w14:paraId="63FC929F">
            <w:pPr>
              <w:jc w:val="center"/>
              <w:rPr>
                <w:rFonts w:eastAsia="仿宋_GB2312"/>
                <w:sz w:val="30"/>
                <w:szCs w:val="30"/>
              </w:rPr>
            </w:pPr>
          </w:p>
        </w:tc>
        <w:tc>
          <w:tcPr>
            <w:tcW w:w="803" w:type="dxa"/>
            <w:noWrap w:val="0"/>
            <w:vAlign w:val="center"/>
          </w:tcPr>
          <w:p w14:paraId="2B793C7E">
            <w:pPr>
              <w:jc w:val="center"/>
              <w:rPr>
                <w:rFonts w:eastAsia="仿宋_GB2312"/>
                <w:sz w:val="30"/>
                <w:szCs w:val="30"/>
              </w:rPr>
            </w:pPr>
          </w:p>
        </w:tc>
        <w:tc>
          <w:tcPr>
            <w:tcW w:w="1465" w:type="dxa"/>
            <w:noWrap w:val="0"/>
            <w:vAlign w:val="center"/>
          </w:tcPr>
          <w:p w14:paraId="2D477741">
            <w:pPr>
              <w:jc w:val="center"/>
              <w:rPr>
                <w:rFonts w:eastAsia="仿宋_GB2312"/>
                <w:sz w:val="30"/>
                <w:szCs w:val="30"/>
              </w:rPr>
            </w:pPr>
          </w:p>
        </w:tc>
        <w:tc>
          <w:tcPr>
            <w:tcW w:w="803" w:type="dxa"/>
            <w:noWrap w:val="0"/>
            <w:vAlign w:val="center"/>
          </w:tcPr>
          <w:p w14:paraId="58128E5D">
            <w:pPr>
              <w:jc w:val="center"/>
              <w:rPr>
                <w:rFonts w:eastAsia="仿宋_GB2312"/>
                <w:sz w:val="30"/>
                <w:szCs w:val="30"/>
              </w:rPr>
            </w:pPr>
          </w:p>
        </w:tc>
      </w:tr>
      <w:tr w14:paraId="40871F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321797A6">
            <w:pPr>
              <w:jc w:val="center"/>
              <w:rPr>
                <w:rFonts w:eastAsia="仿宋_GB2312"/>
                <w:sz w:val="30"/>
                <w:szCs w:val="30"/>
              </w:rPr>
            </w:pPr>
          </w:p>
        </w:tc>
        <w:tc>
          <w:tcPr>
            <w:tcW w:w="1134" w:type="dxa"/>
            <w:noWrap w:val="0"/>
            <w:vAlign w:val="center"/>
          </w:tcPr>
          <w:p w14:paraId="613345AF">
            <w:pPr>
              <w:jc w:val="center"/>
              <w:rPr>
                <w:rFonts w:eastAsia="仿宋_GB2312"/>
                <w:sz w:val="30"/>
                <w:szCs w:val="30"/>
              </w:rPr>
            </w:pPr>
          </w:p>
        </w:tc>
        <w:tc>
          <w:tcPr>
            <w:tcW w:w="851" w:type="dxa"/>
            <w:noWrap w:val="0"/>
            <w:vAlign w:val="center"/>
          </w:tcPr>
          <w:p w14:paraId="708F7178">
            <w:pPr>
              <w:jc w:val="center"/>
              <w:rPr>
                <w:rFonts w:eastAsia="仿宋_GB2312"/>
                <w:sz w:val="30"/>
                <w:szCs w:val="30"/>
              </w:rPr>
            </w:pPr>
          </w:p>
        </w:tc>
        <w:tc>
          <w:tcPr>
            <w:tcW w:w="708" w:type="dxa"/>
            <w:noWrap w:val="0"/>
            <w:vAlign w:val="center"/>
          </w:tcPr>
          <w:p w14:paraId="0F1C3F11">
            <w:pPr>
              <w:jc w:val="center"/>
              <w:rPr>
                <w:rFonts w:eastAsia="仿宋_GB2312"/>
                <w:sz w:val="30"/>
                <w:szCs w:val="30"/>
              </w:rPr>
            </w:pPr>
          </w:p>
        </w:tc>
        <w:tc>
          <w:tcPr>
            <w:tcW w:w="709" w:type="dxa"/>
            <w:noWrap w:val="0"/>
            <w:vAlign w:val="center"/>
          </w:tcPr>
          <w:p w14:paraId="23376A4D">
            <w:pPr>
              <w:jc w:val="center"/>
              <w:rPr>
                <w:rFonts w:eastAsia="仿宋_GB2312"/>
                <w:sz w:val="30"/>
                <w:szCs w:val="30"/>
              </w:rPr>
            </w:pPr>
          </w:p>
        </w:tc>
        <w:tc>
          <w:tcPr>
            <w:tcW w:w="851" w:type="dxa"/>
            <w:noWrap w:val="0"/>
            <w:vAlign w:val="center"/>
          </w:tcPr>
          <w:p w14:paraId="35F98C4D">
            <w:pPr>
              <w:jc w:val="center"/>
              <w:rPr>
                <w:rFonts w:eastAsia="仿宋_GB2312"/>
                <w:sz w:val="30"/>
                <w:szCs w:val="30"/>
              </w:rPr>
            </w:pPr>
          </w:p>
        </w:tc>
        <w:tc>
          <w:tcPr>
            <w:tcW w:w="850" w:type="dxa"/>
            <w:noWrap w:val="0"/>
            <w:vAlign w:val="center"/>
          </w:tcPr>
          <w:p w14:paraId="55DAE8B0">
            <w:pPr>
              <w:jc w:val="center"/>
              <w:rPr>
                <w:rFonts w:eastAsia="仿宋_GB2312"/>
                <w:sz w:val="30"/>
                <w:szCs w:val="30"/>
              </w:rPr>
            </w:pPr>
          </w:p>
        </w:tc>
        <w:tc>
          <w:tcPr>
            <w:tcW w:w="803" w:type="dxa"/>
            <w:noWrap w:val="0"/>
            <w:vAlign w:val="center"/>
          </w:tcPr>
          <w:p w14:paraId="1296C73D">
            <w:pPr>
              <w:jc w:val="center"/>
              <w:rPr>
                <w:rFonts w:eastAsia="仿宋_GB2312"/>
                <w:sz w:val="30"/>
                <w:szCs w:val="30"/>
              </w:rPr>
            </w:pPr>
          </w:p>
        </w:tc>
        <w:tc>
          <w:tcPr>
            <w:tcW w:w="1465" w:type="dxa"/>
            <w:noWrap w:val="0"/>
            <w:vAlign w:val="center"/>
          </w:tcPr>
          <w:p w14:paraId="60158C7A">
            <w:pPr>
              <w:jc w:val="center"/>
              <w:rPr>
                <w:rFonts w:eastAsia="仿宋_GB2312"/>
                <w:sz w:val="30"/>
                <w:szCs w:val="30"/>
              </w:rPr>
            </w:pPr>
          </w:p>
        </w:tc>
        <w:tc>
          <w:tcPr>
            <w:tcW w:w="803" w:type="dxa"/>
            <w:noWrap w:val="0"/>
            <w:vAlign w:val="center"/>
          </w:tcPr>
          <w:p w14:paraId="46B1E4FB">
            <w:pPr>
              <w:jc w:val="center"/>
              <w:rPr>
                <w:rFonts w:eastAsia="仿宋_GB2312"/>
                <w:sz w:val="30"/>
                <w:szCs w:val="30"/>
              </w:rPr>
            </w:pPr>
          </w:p>
        </w:tc>
      </w:tr>
      <w:tr w14:paraId="6FE63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0E12D456">
            <w:pPr>
              <w:jc w:val="center"/>
              <w:rPr>
                <w:rFonts w:eastAsia="仿宋_GB2312"/>
                <w:sz w:val="30"/>
                <w:szCs w:val="30"/>
              </w:rPr>
            </w:pPr>
          </w:p>
        </w:tc>
        <w:tc>
          <w:tcPr>
            <w:tcW w:w="1134" w:type="dxa"/>
            <w:noWrap w:val="0"/>
            <w:vAlign w:val="center"/>
          </w:tcPr>
          <w:p w14:paraId="070047CC">
            <w:pPr>
              <w:jc w:val="center"/>
              <w:rPr>
                <w:rFonts w:eastAsia="仿宋_GB2312"/>
                <w:sz w:val="30"/>
                <w:szCs w:val="30"/>
              </w:rPr>
            </w:pPr>
          </w:p>
        </w:tc>
        <w:tc>
          <w:tcPr>
            <w:tcW w:w="851" w:type="dxa"/>
            <w:noWrap w:val="0"/>
            <w:vAlign w:val="center"/>
          </w:tcPr>
          <w:p w14:paraId="652E1737">
            <w:pPr>
              <w:jc w:val="center"/>
              <w:rPr>
                <w:rFonts w:eastAsia="仿宋_GB2312"/>
                <w:sz w:val="30"/>
                <w:szCs w:val="30"/>
              </w:rPr>
            </w:pPr>
          </w:p>
        </w:tc>
        <w:tc>
          <w:tcPr>
            <w:tcW w:w="708" w:type="dxa"/>
            <w:noWrap w:val="0"/>
            <w:vAlign w:val="center"/>
          </w:tcPr>
          <w:p w14:paraId="176AF96F">
            <w:pPr>
              <w:jc w:val="center"/>
              <w:rPr>
                <w:rFonts w:eastAsia="仿宋_GB2312"/>
                <w:sz w:val="30"/>
                <w:szCs w:val="30"/>
              </w:rPr>
            </w:pPr>
          </w:p>
        </w:tc>
        <w:tc>
          <w:tcPr>
            <w:tcW w:w="709" w:type="dxa"/>
            <w:noWrap w:val="0"/>
            <w:vAlign w:val="center"/>
          </w:tcPr>
          <w:p w14:paraId="11680A9D">
            <w:pPr>
              <w:jc w:val="center"/>
              <w:rPr>
                <w:rFonts w:eastAsia="仿宋_GB2312"/>
                <w:sz w:val="30"/>
                <w:szCs w:val="30"/>
              </w:rPr>
            </w:pPr>
          </w:p>
        </w:tc>
        <w:tc>
          <w:tcPr>
            <w:tcW w:w="851" w:type="dxa"/>
            <w:noWrap w:val="0"/>
            <w:vAlign w:val="center"/>
          </w:tcPr>
          <w:p w14:paraId="6B8455FE">
            <w:pPr>
              <w:jc w:val="center"/>
              <w:rPr>
                <w:rFonts w:eastAsia="仿宋_GB2312"/>
                <w:sz w:val="30"/>
                <w:szCs w:val="30"/>
              </w:rPr>
            </w:pPr>
          </w:p>
        </w:tc>
        <w:tc>
          <w:tcPr>
            <w:tcW w:w="850" w:type="dxa"/>
            <w:noWrap w:val="0"/>
            <w:vAlign w:val="center"/>
          </w:tcPr>
          <w:p w14:paraId="7CBF1247">
            <w:pPr>
              <w:jc w:val="center"/>
              <w:rPr>
                <w:rFonts w:eastAsia="仿宋_GB2312"/>
                <w:sz w:val="30"/>
                <w:szCs w:val="30"/>
              </w:rPr>
            </w:pPr>
          </w:p>
        </w:tc>
        <w:tc>
          <w:tcPr>
            <w:tcW w:w="803" w:type="dxa"/>
            <w:noWrap w:val="0"/>
            <w:vAlign w:val="center"/>
          </w:tcPr>
          <w:p w14:paraId="7A531DE4">
            <w:pPr>
              <w:jc w:val="center"/>
              <w:rPr>
                <w:rFonts w:eastAsia="仿宋_GB2312"/>
                <w:sz w:val="30"/>
                <w:szCs w:val="30"/>
              </w:rPr>
            </w:pPr>
          </w:p>
        </w:tc>
        <w:tc>
          <w:tcPr>
            <w:tcW w:w="1465" w:type="dxa"/>
            <w:noWrap w:val="0"/>
            <w:vAlign w:val="center"/>
          </w:tcPr>
          <w:p w14:paraId="6C75472B">
            <w:pPr>
              <w:jc w:val="center"/>
              <w:rPr>
                <w:rFonts w:eastAsia="仿宋_GB2312"/>
                <w:sz w:val="30"/>
                <w:szCs w:val="30"/>
              </w:rPr>
            </w:pPr>
          </w:p>
        </w:tc>
        <w:tc>
          <w:tcPr>
            <w:tcW w:w="803" w:type="dxa"/>
            <w:noWrap w:val="0"/>
            <w:vAlign w:val="center"/>
          </w:tcPr>
          <w:p w14:paraId="33C44E39">
            <w:pPr>
              <w:jc w:val="center"/>
              <w:rPr>
                <w:rFonts w:eastAsia="仿宋_GB2312"/>
                <w:sz w:val="30"/>
                <w:szCs w:val="30"/>
              </w:rPr>
            </w:pPr>
          </w:p>
        </w:tc>
      </w:tr>
      <w:tr w14:paraId="1BB229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69E6E9A8">
            <w:pPr>
              <w:jc w:val="center"/>
              <w:rPr>
                <w:rFonts w:eastAsia="仿宋_GB2312"/>
                <w:sz w:val="30"/>
                <w:szCs w:val="30"/>
              </w:rPr>
            </w:pPr>
          </w:p>
        </w:tc>
        <w:tc>
          <w:tcPr>
            <w:tcW w:w="1134" w:type="dxa"/>
            <w:noWrap w:val="0"/>
            <w:vAlign w:val="center"/>
          </w:tcPr>
          <w:p w14:paraId="5CAD1233">
            <w:pPr>
              <w:jc w:val="center"/>
              <w:rPr>
                <w:rFonts w:eastAsia="仿宋_GB2312"/>
                <w:sz w:val="30"/>
                <w:szCs w:val="30"/>
              </w:rPr>
            </w:pPr>
          </w:p>
        </w:tc>
        <w:tc>
          <w:tcPr>
            <w:tcW w:w="851" w:type="dxa"/>
            <w:noWrap w:val="0"/>
            <w:vAlign w:val="center"/>
          </w:tcPr>
          <w:p w14:paraId="67AFB584">
            <w:pPr>
              <w:jc w:val="center"/>
              <w:rPr>
                <w:rFonts w:eastAsia="仿宋_GB2312"/>
                <w:sz w:val="30"/>
                <w:szCs w:val="30"/>
              </w:rPr>
            </w:pPr>
          </w:p>
        </w:tc>
        <w:tc>
          <w:tcPr>
            <w:tcW w:w="708" w:type="dxa"/>
            <w:noWrap w:val="0"/>
            <w:vAlign w:val="center"/>
          </w:tcPr>
          <w:p w14:paraId="05BFE73C">
            <w:pPr>
              <w:jc w:val="center"/>
              <w:rPr>
                <w:rFonts w:eastAsia="仿宋_GB2312"/>
                <w:sz w:val="30"/>
                <w:szCs w:val="30"/>
              </w:rPr>
            </w:pPr>
          </w:p>
        </w:tc>
        <w:tc>
          <w:tcPr>
            <w:tcW w:w="709" w:type="dxa"/>
            <w:noWrap w:val="0"/>
            <w:vAlign w:val="center"/>
          </w:tcPr>
          <w:p w14:paraId="795DF063">
            <w:pPr>
              <w:jc w:val="center"/>
              <w:rPr>
                <w:rFonts w:eastAsia="仿宋_GB2312"/>
                <w:sz w:val="30"/>
                <w:szCs w:val="30"/>
              </w:rPr>
            </w:pPr>
          </w:p>
        </w:tc>
        <w:tc>
          <w:tcPr>
            <w:tcW w:w="851" w:type="dxa"/>
            <w:noWrap w:val="0"/>
            <w:vAlign w:val="center"/>
          </w:tcPr>
          <w:p w14:paraId="5F5387F4">
            <w:pPr>
              <w:jc w:val="center"/>
              <w:rPr>
                <w:rFonts w:eastAsia="仿宋_GB2312"/>
                <w:sz w:val="30"/>
                <w:szCs w:val="30"/>
              </w:rPr>
            </w:pPr>
          </w:p>
        </w:tc>
        <w:tc>
          <w:tcPr>
            <w:tcW w:w="850" w:type="dxa"/>
            <w:noWrap w:val="0"/>
            <w:vAlign w:val="center"/>
          </w:tcPr>
          <w:p w14:paraId="21746F3B">
            <w:pPr>
              <w:jc w:val="center"/>
              <w:rPr>
                <w:rFonts w:eastAsia="仿宋_GB2312"/>
                <w:sz w:val="30"/>
                <w:szCs w:val="30"/>
              </w:rPr>
            </w:pPr>
          </w:p>
        </w:tc>
        <w:tc>
          <w:tcPr>
            <w:tcW w:w="803" w:type="dxa"/>
            <w:noWrap w:val="0"/>
            <w:vAlign w:val="center"/>
          </w:tcPr>
          <w:p w14:paraId="061FCECB">
            <w:pPr>
              <w:jc w:val="center"/>
              <w:rPr>
                <w:rFonts w:eastAsia="仿宋_GB2312"/>
                <w:sz w:val="30"/>
                <w:szCs w:val="30"/>
              </w:rPr>
            </w:pPr>
          </w:p>
        </w:tc>
        <w:tc>
          <w:tcPr>
            <w:tcW w:w="1465" w:type="dxa"/>
            <w:noWrap w:val="0"/>
            <w:vAlign w:val="center"/>
          </w:tcPr>
          <w:p w14:paraId="1C6EF546">
            <w:pPr>
              <w:jc w:val="center"/>
              <w:rPr>
                <w:rFonts w:eastAsia="仿宋_GB2312"/>
                <w:sz w:val="30"/>
                <w:szCs w:val="30"/>
              </w:rPr>
            </w:pPr>
          </w:p>
        </w:tc>
        <w:tc>
          <w:tcPr>
            <w:tcW w:w="803" w:type="dxa"/>
            <w:noWrap w:val="0"/>
            <w:vAlign w:val="center"/>
          </w:tcPr>
          <w:p w14:paraId="63F0F3EF">
            <w:pPr>
              <w:jc w:val="center"/>
              <w:rPr>
                <w:rFonts w:eastAsia="仿宋_GB2312"/>
                <w:sz w:val="30"/>
                <w:szCs w:val="30"/>
              </w:rPr>
            </w:pPr>
          </w:p>
        </w:tc>
      </w:tr>
      <w:tr w14:paraId="5893F5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6" w:type="dxa"/>
            <w:noWrap w:val="0"/>
            <w:vAlign w:val="center"/>
          </w:tcPr>
          <w:p w14:paraId="171E382E">
            <w:pPr>
              <w:jc w:val="center"/>
              <w:rPr>
                <w:rFonts w:eastAsia="仿宋_GB2312"/>
                <w:sz w:val="30"/>
                <w:szCs w:val="30"/>
              </w:rPr>
            </w:pPr>
          </w:p>
        </w:tc>
        <w:tc>
          <w:tcPr>
            <w:tcW w:w="1134" w:type="dxa"/>
            <w:noWrap w:val="0"/>
            <w:vAlign w:val="center"/>
          </w:tcPr>
          <w:p w14:paraId="214D7AE9">
            <w:pPr>
              <w:jc w:val="center"/>
              <w:rPr>
                <w:rFonts w:eastAsia="仿宋_GB2312"/>
                <w:sz w:val="30"/>
                <w:szCs w:val="30"/>
              </w:rPr>
            </w:pPr>
          </w:p>
        </w:tc>
        <w:tc>
          <w:tcPr>
            <w:tcW w:w="851" w:type="dxa"/>
            <w:noWrap w:val="0"/>
            <w:vAlign w:val="center"/>
          </w:tcPr>
          <w:p w14:paraId="78984573">
            <w:pPr>
              <w:jc w:val="center"/>
              <w:rPr>
                <w:rFonts w:eastAsia="仿宋_GB2312"/>
                <w:sz w:val="30"/>
                <w:szCs w:val="30"/>
              </w:rPr>
            </w:pPr>
          </w:p>
        </w:tc>
        <w:tc>
          <w:tcPr>
            <w:tcW w:w="708" w:type="dxa"/>
            <w:noWrap w:val="0"/>
            <w:vAlign w:val="center"/>
          </w:tcPr>
          <w:p w14:paraId="48754DF0">
            <w:pPr>
              <w:jc w:val="center"/>
              <w:rPr>
                <w:rFonts w:eastAsia="仿宋_GB2312"/>
                <w:sz w:val="30"/>
                <w:szCs w:val="30"/>
              </w:rPr>
            </w:pPr>
          </w:p>
        </w:tc>
        <w:tc>
          <w:tcPr>
            <w:tcW w:w="709" w:type="dxa"/>
            <w:noWrap w:val="0"/>
            <w:vAlign w:val="center"/>
          </w:tcPr>
          <w:p w14:paraId="36F65441">
            <w:pPr>
              <w:jc w:val="center"/>
              <w:rPr>
                <w:rFonts w:eastAsia="仿宋_GB2312"/>
                <w:sz w:val="30"/>
                <w:szCs w:val="30"/>
              </w:rPr>
            </w:pPr>
          </w:p>
        </w:tc>
        <w:tc>
          <w:tcPr>
            <w:tcW w:w="851" w:type="dxa"/>
            <w:noWrap w:val="0"/>
            <w:vAlign w:val="center"/>
          </w:tcPr>
          <w:p w14:paraId="6DDCBDBF">
            <w:pPr>
              <w:jc w:val="center"/>
              <w:rPr>
                <w:rFonts w:eastAsia="仿宋_GB2312"/>
                <w:sz w:val="30"/>
                <w:szCs w:val="30"/>
              </w:rPr>
            </w:pPr>
          </w:p>
        </w:tc>
        <w:tc>
          <w:tcPr>
            <w:tcW w:w="850" w:type="dxa"/>
            <w:noWrap w:val="0"/>
            <w:vAlign w:val="center"/>
          </w:tcPr>
          <w:p w14:paraId="31DF2D43">
            <w:pPr>
              <w:jc w:val="center"/>
              <w:rPr>
                <w:rFonts w:eastAsia="仿宋_GB2312"/>
                <w:sz w:val="30"/>
                <w:szCs w:val="30"/>
              </w:rPr>
            </w:pPr>
          </w:p>
        </w:tc>
        <w:tc>
          <w:tcPr>
            <w:tcW w:w="803" w:type="dxa"/>
            <w:noWrap w:val="0"/>
            <w:vAlign w:val="center"/>
          </w:tcPr>
          <w:p w14:paraId="64000D79">
            <w:pPr>
              <w:jc w:val="center"/>
              <w:rPr>
                <w:rFonts w:eastAsia="仿宋_GB2312"/>
                <w:sz w:val="30"/>
                <w:szCs w:val="30"/>
              </w:rPr>
            </w:pPr>
          </w:p>
        </w:tc>
        <w:tc>
          <w:tcPr>
            <w:tcW w:w="1465" w:type="dxa"/>
            <w:noWrap w:val="0"/>
            <w:vAlign w:val="center"/>
          </w:tcPr>
          <w:p w14:paraId="3585F769">
            <w:pPr>
              <w:jc w:val="center"/>
              <w:rPr>
                <w:rFonts w:eastAsia="仿宋_GB2312"/>
                <w:sz w:val="30"/>
                <w:szCs w:val="30"/>
              </w:rPr>
            </w:pPr>
          </w:p>
        </w:tc>
        <w:tc>
          <w:tcPr>
            <w:tcW w:w="803" w:type="dxa"/>
            <w:noWrap w:val="0"/>
            <w:vAlign w:val="center"/>
          </w:tcPr>
          <w:p w14:paraId="726AF1D5">
            <w:pPr>
              <w:jc w:val="center"/>
              <w:rPr>
                <w:rFonts w:eastAsia="仿宋_GB2312"/>
                <w:sz w:val="30"/>
                <w:szCs w:val="30"/>
              </w:rPr>
            </w:pPr>
          </w:p>
        </w:tc>
      </w:tr>
    </w:tbl>
    <w:p w14:paraId="330DEAE1">
      <w:pPr>
        <w:spacing w:line="440" w:lineRule="exact"/>
        <w:rPr>
          <w:rFonts w:eastAsia="仿宋_GB2312"/>
          <w:sz w:val="30"/>
          <w:szCs w:val="30"/>
        </w:rPr>
      </w:pPr>
    </w:p>
    <w:p w14:paraId="26C9376C">
      <w:pPr>
        <w:spacing w:before="120" w:beforeLines="50" w:after="120" w:afterLines="50" w:line="440" w:lineRule="exact"/>
        <w:jc w:val="left"/>
        <w:rPr>
          <w:rFonts w:ascii="宋体" w:hAnsi="宋体"/>
          <w:sz w:val="24"/>
        </w:rPr>
      </w:pPr>
      <w:r>
        <w:rPr>
          <w:rFonts w:ascii="宋体" w:hAnsi="宋体"/>
          <w:sz w:val="24"/>
        </w:rPr>
        <w:t>附</w:t>
      </w:r>
      <w:bookmarkStart w:id="2532" w:name="_Toc296346727"/>
      <w:bookmarkStart w:id="2533" w:name="_Toc296347225"/>
      <w:bookmarkStart w:id="2534" w:name="_Toc296503226"/>
      <w:bookmarkStart w:id="2535" w:name="_Toc296891054"/>
      <w:bookmarkStart w:id="2536" w:name="_Toc296944565"/>
      <w:bookmarkStart w:id="2537" w:name="_Toc296891266"/>
      <w:bookmarkStart w:id="2538" w:name="_Toc267261693"/>
      <w:r>
        <w:rPr>
          <w:rFonts w:ascii="宋体" w:hAnsi="宋体"/>
          <w:sz w:val="24"/>
        </w:rPr>
        <w:t>件3：</w:t>
      </w:r>
      <w:bookmarkEnd w:id="2532"/>
      <w:bookmarkEnd w:id="2533"/>
      <w:bookmarkEnd w:id="2534"/>
      <w:bookmarkEnd w:id="2535"/>
      <w:bookmarkEnd w:id="2536"/>
      <w:bookmarkEnd w:id="2537"/>
      <w:bookmarkEnd w:id="2538"/>
      <w:r>
        <w:rPr>
          <w:rFonts w:ascii="宋体" w:hAnsi="宋体"/>
          <w:sz w:val="24"/>
        </w:rPr>
        <w:t xml:space="preserve">    </w:t>
      </w:r>
    </w:p>
    <w:p w14:paraId="6A12A247">
      <w:pPr>
        <w:spacing w:before="120" w:beforeLines="50" w:after="120" w:afterLines="50" w:line="440" w:lineRule="exact"/>
        <w:jc w:val="center"/>
        <w:rPr>
          <w:rFonts w:eastAsia="黑体"/>
          <w:sz w:val="28"/>
          <w:szCs w:val="28"/>
        </w:rPr>
      </w:pPr>
      <w:r>
        <w:rPr>
          <w:rFonts w:eastAsia="黑体"/>
          <w:sz w:val="28"/>
          <w:szCs w:val="28"/>
        </w:rPr>
        <w:t>工程质量保修书</w:t>
      </w:r>
    </w:p>
    <w:p w14:paraId="0972D1DD">
      <w:pPr>
        <w:spacing w:line="440" w:lineRule="exact"/>
        <w:ind w:firstLine="420" w:firstLineChars="200"/>
        <w:rPr>
          <w:rFonts w:ascii="宋体" w:hAnsi="宋体"/>
          <w:szCs w:val="21"/>
        </w:rPr>
      </w:pPr>
      <w:r>
        <w:rPr>
          <w:rFonts w:ascii="宋体" w:hAnsi="宋体"/>
          <w:szCs w:val="21"/>
        </w:rPr>
        <w:t>发包人（全称）：</w:t>
      </w:r>
      <w:r>
        <w:rPr>
          <w:rFonts w:ascii="宋体" w:hAnsi="宋体"/>
          <w:szCs w:val="21"/>
          <w:u w:val="single"/>
        </w:rPr>
        <w:t xml:space="preserve">                                </w:t>
      </w:r>
      <w:r>
        <w:rPr>
          <w:rFonts w:ascii="宋体" w:hAnsi="宋体"/>
          <w:szCs w:val="21"/>
        </w:rPr>
        <w:t xml:space="preserve"> </w:t>
      </w:r>
    </w:p>
    <w:p w14:paraId="5755FF92">
      <w:pPr>
        <w:spacing w:line="440" w:lineRule="exact"/>
        <w:rPr>
          <w:rFonts w:ascii="宋体" w:hAnsi="宋体"/>
          <w:szCs w:val="21"/>
        </w:rPr>
      </w:pPr>
      <w:r>
        <w:rPr>
          <w:rFonts w:ascii="宋体" w:hAnsi="宋体"/>
          <w:szCs w:val="21"/>
        </w:rPr>
        <w:t>　　承包人（全称）：</w:t>
      </w:r>
      <w:r>
        <w:rPr>
          <w:rFonts w:ascii="宋体" w:hAnsi="宋体"/>
          <w:szCs w:val="21"/>
          <w:u w:val="single"/>
        </w:rPr>
        <w:t xml:space="preserve">                                </w:t>
      </w:r>
      <w:r>
        <w:rPr>
          <w:rFonts w:ascii="宋体" w:hAnsi="宋体"/>
          <w:szCs w:val="21"/>
        </w:rPr>
        <w:t xml:space="preserve"> </w:t>
      </w:r>
    </w:p>
    <w:p w14:paraId="25D5A054">
      <w:pPr>
        <w:spacing w:line="440" w:lineRule="exact"/>
        <w:rPr>
          <w:rFonts w:ascii="宋体" w:hAnsi="宋体"/>
          <w:szCs w:val="21"/>
        </w:rPr>
      </w:pPr>
    </w:p>
    <w:p w14:paraId="188D8321">
      <w:pPr>
        <w:spacing w:line="360" w:lineRule="auto"/>
        <w:rPr>
          <w:rFonts w:ascii="宋体" w:hAnsi="宋体"/>
          <w:szCs w:val="21"/>
        </w:rPr>
      </w:pPr>
      <w:r>
        <w:rPr>
          <w:rFonts w:ascii="宋体" w:hAnsi="宋体"/>
          <w:szCs w:val="21"/>
        </w:rPr>
        <w:t>　　发包人和承包人根据《中华人民共和国建筑法》和《建设工程质量管理条例》，经协商一致就</w:t>
      </w:r>
      <w:r>
        <w:rPr>
          <w:rFonts w:ascii="宋体" w:hAnsi="宋体"/>
          <w:szCs w:val="21"/>
          <w:u w:val="single"/>
        </w:rPr>
        <w:t xml:space="preserve">                </w:t>
      </w:r>
      <w:r>
        <w:rPr>
          <w:rFonts w:ascii="宋体" w:hAnsi="宋体"/>
          <w:szCs w:val="21"/>
        </w:rPr>
        <w:t>（工程全称）签订工程质量保修书。</w:t>
      </w:r>
    </w:p>
    <w:p w14:paraId="61F8363E">
      <w:pPr>
        <w:spacing w:line="360" w:lineRule="auto"/>
        <w:outlineLvl w:val="0"/>
        <w:rPr>
          <w:rFonts w:eastAsia="黑体"/>
          <w:szCs w:val="21"/>
        </w:rPr>
      </w:pPr>
      <w:r>
        <w:rPr>
          <w:rFonts w:eastAsia="黑体"/>
          <w:szCs w:val="21"/>
        </w:rPr>
        <w:t>　　一、工程质量保修范围和内容</w:t>
      </w:r>
    </w:p>
    <w:p w14:paraId="7931D20D">
      <w:pPr>
        <w:spacing w:line="360" w:lineRule="auto"/>
        <w:rPr>
          <w:rFonts w:ascii="宋体" w:hAnsi="宋体"/>
          <w:szCs w:val="21"/>
        </w:rPr>
      </w:pPr>
      <w:r>
        <w:rPr>
          <w:rFonts w:eastAsia="仿宋_GB2312"/>
          <w:szCs w:val="21"/>
        </w:rPr>
        <w:t>　</w:t>
      </w:r>
      <w:r>
        <w:rPr>
          <w:rFonts w:ascii="宋体" w:hAnsi="宋体"/>
          <w:szCs w:val="21"/>
        </w:rPr>
        <w:t>　承包人在质量保修期内，按照有关法律规定和合同约定，承担工程质量保修责任。</w:t>
      </w:r>
    </w:p>
    <w:p w14:paraId="741AC53A">
      <w:pPr>
        <w:spacing w:line="360" w:lineRule="auto"/>
        <w:rPr>
          <w:rFonts w:ascii="宋体" w:hAnsi="宋体"/>
          <w:szCs w:val="21"/>
        </w:rPr>
      </w:pPr>
      <w:r>
        <w:rPr>
          <w:rFonts w:ascii="宋体" w:hAnsi="宋体"/>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CEB90D3">
      <w:pPr>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9148807">
      <w:pPr>
        <w:spacing w:line="360" w:lineRule="auto"/>
        <w:outlineLvl w:val="0"/>
        <w:rPr>
          <w:rFonts w:eastAsia="黑体"/>
          <w:szCs w:val="21"/>
        </w:rPr>
      </w:pPr>
      <w:r>
        <w:rPr>
          <w:rFonts w:eastAsia="仿宋_GB2312"/>
          <w:b/>
          <w:szCs w:val="21"/>
        </w:rPr>
        <w:t>　　</w:t>
      </w:r>
      <w:r>
        <w:rPr>
          <w:rFonts w:eastAsia="黑体"/>
          <w:szCs w:val="21"/>
        </w:rPr>
        <w:t>二、质量保修期</w:t>
      </w:r>
    </w:p>
    <w:p w14:paraId="1ECEC611">
      <w:pPr>
        <w:spacing w:line="360" w:lineRule="auto"/>
        <w:ind w:firstLine="420" w:firstLineChars="200"/>
        <w:rPr>
          <w:rFonts w:ascii="宋体" w:hAnsi="宋体"/>
          <w:szCs w:val="21"/>
        </w:rPr>
      </w:pPr>
      <w:r>
        <w:rPr>
          <w:rFonts w:ascii="宋体" w:hAnsi="宋体"/>
          <w:szCs w:val="21"/>
        </w:rPr>
        <w:t>根据《建设工程质量管理条例》及有关规定，工程的质量保修期如下：</w:t>
      </w:r>
    </w:p>
    <w:p w14:paraId="70E4DC18">
      <w:pPr>
        <w:spacing w:line="360" w:lineRule="auto"/>
        <w:ind w:firstLine="420" w:firstLineChars="200"/>
        <w:rPr>
          <w:rFonts w:hint="eastAsia" w:ascii="宋体" w:hAnsi="宋体"/>
          <w:szCs w:val="21"/>
        </w:rPr>
      </w:pPr>
      <w:r>
        <w:rPr>
          <w:rFonts w:hint="eastAsia" w:ascii="宋体" w:hAnsi="宋体"/>
          <w:szCs w:val="21"/>
        </w:rPr>
        <w:t>1．地基基础工程和主体结构工程为设计文件规定的工程合理使用年限；</w:t>
      </w:r>
    </w:p>
    <w:p w14:paraId="1F70F4EA">
      <w:pPr>
        <w:spacing w:line="360" w:lineRule="auto"/>
        <w:ind w:firstLine="420" w:firstLineChars="200"/>
        <w:rPr>
          <w:rFonts w:ascii="宋体" w:hAnsi="宋体"/>
          <w:szCs w:val="21"/>
        </w:rPr>
      </w:pPr>
      <w:r>
        <w:rPr>
          <w:rFonts w:hint="eastAsia" w:ascii="宋体" w:hAnsi="宋体"/>
          <w:szCs w:val="21"/>
        </w:rPr>
        <w:t>2．</w:t>
      </w:r>
      <w:r>
        <w:rPr>
          <w:rFonts w:ascii="宋体" w:hAnsi="宋体"/>
          <w:szCs w:val="21"/>
        </w:rPr>
        <w:t>屋面防水工程、有防水要求的卫生间、房间和外墙面的防渗</w:t>
      </w:r>
      <w:r>
        <w:rPr>
          <w:rFonts w:hint="eastAsia" w:ascii="宋体" w:hAnsi="宋体"/>
          <w:szCs w:val="21"/>
        </w:rPr>
        <w:t>为</w:t>
      </w:r>
      <w:r>
        <w:rPr>
          <w:rFonts w:hint="eastAsia" w:ascii="宋体" w:hAnsi="宋体"/>
          <w:szCs w:val="21"/>
          <w:u w:val="single"/>
        </w:rPr>
        <w:t xml:space="preserve">        </w:t>
      </w:r>
      <w:r>
        <w:rPr>
          <w:rFonts w:ascii="宋体" w:hAnsi="宋体"/>
          <w:szCs w:val="21"/>
        </w:rPr>
        <w:t>年；</w:t>
      </w:r>
    </w:p>
    <w:p w14:paraId="44EE2AA4">
      <w:pPr>
        <w:spacing w:line="360" w:lineRule="auto"/>
        <w:ind w:firstLine="420" w:firstLineChars="200"/>
        <w:rPr>
          <w:rFonts w:ascii="宋体" w:hAnsi="宋体"/>
          <w:szCs w:val="21"/>
        </w:rPr>
      </w:pPr>
      <w:r>
        <w:rPr>
          <w:rFonts w:hint="eastAsia" w:ascii="宋体" w:hAnsi="宋体"/>
          <w:szCs w:val="21"/>
        </w:rPr>
        <w:t>3．</w:t>
      </w:r>
      <w:r>
        <w:rPr>
          <w:rFonts w:ascii="宋体" w:hAnsi="宋体"/>
          <w:szCs w:val="21"/>
        </w:rPr>
        <w:t>装修工程为</w:t>
      </w:r>
      <w:r>
        <w:rPr>
          <w:rFonts w:ascii="宋体" w:hAnsi="宋体"/>
          <w:szCs w:val="21"/>
          <w:u w:val="single"/>
        </w:rPr>
        <w:t xml:space="preserve">         </w:t>
      </w:r>
      <w:r>
        <w:rPr>
          <w:rFonts w:ascii="宋体" w:hAnsi="宋体"/>
          <w:szCs w:val="21"/>
        </w:rPr>
        <w:t>年；</w:t>
      </w:r>
    </w:p>
    <w:p w14:paraId="6D20ED5A">
      <w:pPr>
        <w:spacing w:line="360" w:lineRule="auto"/>
        <w:ind w:firstLine="420" w:firstLineChars="200"/>
        <w:rPr>
          <w:rFonts w:ascii="宋体" w:hAnsi="宋体"/>
          <w:szCs w:val="21"/>
        </w:rPr>
      </w:pPr>
      <w:r>
        <w:rPr>
          <w:rFonts w:hint="eastAsia" w:ascii="宋体" w:hAnsi="宋体"/>
          <w:szCs w:val="21"/>
        </w:rPr>
        <w:t>4．</w:t>
      </w:r>
      <w:r>
        <w:rPr>
          <w:rFonts w:ascii="宋体" w:hAnsi="宋体"/>
          <w:szCs w:val="21"/>
        </w:rPr>
        <w:t>电气管线、给排水管道、设备安装工程为</w:t>
      </w:r>
      <w:r>
        <w:rPr>
          <w:rFonts w:ascii="宋体" w:hAnsi="宋体"/>
          <w:szCs w:val="21"/>
          <w:u w:val="single"/>
        </w:rPr>
        <w:t xml:space="preserve">         </w:t>
      </w:r>
      <w:r>
        <w:rPr>
          <w:rFonts w:ascii="宋体" w:hAnsi="宋体"/>
          <w:szCs w:val="21"/>
        </w:rPr>
        <w:t>年；</w:t>
      </w:r>
    </w:p>
    <w:p w14:paraId="595FF7E5">
      <w:pPr>
        <w:spacing w:line="360" w:lineRule="auto"/>
        <w:ind w:firstLine="420" w:firstLineChars="200"/>
        <w:rPr>
          <w:rFonts w:ascii="宋体" w:hAnsi="宋体"/>
          <w:szCs w:val="21"/>
        </w:rPr>
      </w:pPr>
      <w:r>
        <w:rPr>
          <w:rFonts w:hint="eastAsia" w:ascii="宋体" w:hAnsi="宋体"/>
          <w:szCs w:val="21"/>
        </w:rPr>
        <w:t>5．</w:t>
      </w:r>
      <w:r>
        <w:rPr>
          <w:rFonts w:ascii="宋体" w:hAnsi="宋体"/>
          <w:szCs w:val="21"/>
        </w:rPr>
        <w:t>供热与供冷系统为</w:t>
      </w:r>
      <w:r>
        <w:rPr>
          <w:rFonts w:ascii="宋体" w:hAnsi="宋体"/>
          <w:szCs w:val="21"/>
          <w:u w:val="single"/>
        </w:rPr>
        <w:t xml:space="preserve">         </w:t>
      </w:r>
      <w:r>
        <w:rPr>
          <w:rFonts w:ascii="宋体" w:hAnsi="宋体"/>
          <w:szCs w:val="21"/>
        </w:rPr>
        <w:t>个采暖期、供冷期；</w:t>
      </w:r>
    </w:p>
    <w:p w14:paraId="256A3772">
      <w:pPr>
        <w:spacing w:line="360" w:lineRule="auto"/>
        <w:ind w:firstLine="420" w:firstLineChars="200"/>
        <w:rPr>
          <w:rFonts w:ascii="宋体" w:hAnsi="宋体"/>
          <w:szCs w:val="21"/>
        </w:rPr>
      </w:pPr>
      <w:r>
        <w:rPr>
          <w:rFonts w:hint="eastAsia" w:ascii="宋体" w:hAnsi="宋体"/>
          <w:szCs w:val="21"/>
        </w:rPr>
        <w:t>6．</w:t>
      </w:r>
      <w:r>
        <w:rPr>
          <w:rFonts w:ascii="宋体" w:hAnsi="宋体"/>
          <w:szCs w:val="21"/>
        </w:rPr>
        <w:t>住宅小区内的给排水设施、道路等配套工程为</w:t>
      </w:r>
      <w:r>
        <w:rPr>
          <w:rFonts w:ascii="宋体" w:hAnsi="宋体"/>
          <w:szCs w:val="21"/>
          <w:u w:val="single"/>
        </w:rPr>
        <w:t xml:space="preserve">         </w:t>
      </w:r>
      <w:r>
        <w:rPr>
          <w:rFonts w:ascii="宋体" w:hAnsi="宋体"/>
          <w:szCs w:val="21"/>
        </w:rPr>
        <w:t>年；</w:t>
      </w:r>
    </w:p>
    <w:p w14:paraId="20263267">
      <w:pPr>
        <w:spacing w:line="360" w:lineRule="auto"/>
        <w:ind w:firstLine="420" w:firstLineChars="200"/>
        <w:rPr>
          <w:rFonts w:ascii="宋体" w:hAnsi="宋体"/>
          <w:szCs w:val="21"/>
        </w:rPr>
      </w:pPr>
      <w:r>
        <w:rPr>
          <w:rFonts w:hint="eastAsia" w:ascii="宋体" w:hAnsi="宋体"/>
          <w:szCs w:val="21"/>
        </w:rPr>
        <w:t>7．</w:t>
      </w:r>
      <w:r>
        <w:rPr>
          <w:rFonts w:ascii="宋体" w:hAnsi="宋体"/>
          <w:szCs w:val="21"/>
        </w:rPr>
        <w:t>其他项目保修期限约定如下：</w:t>
      </w:r>
    </w:p>
    <w:p w14:paraId="424690DD">
      <w:pPr>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269CE">
      <w:pPr>
        <w:spacing w:line="360" w:lineRule="auto"/>
        <w:rPr>
          <w:rFonts w:ascii="宋体" w:hAnsi="宋体"/>
          <w:szCs w:val="21"/>
        </w:rPr>
      </w:pPr>
      <w:r>
        <w:rPr>
          <w:rFonts w:eastAsia="仿宋_GB2312"/>
          <w:szCs w:val="21"/>
        </w:rPr>
        <w:t>　</w:t>
      </w:r>
      <w:r>
        <w:rPr>
          <w:rFonts w:ascii="宋体" w:hAnsi="宋体"/>
          <w:szCs w:val="21"/>
        </w:rPr>
        <w:t>　质量保修期自工程竣工验收合格之日起计算。</w:t>
      </w:r>
    </w:p>
    <w:p w14:paraId="5AA66FB5">
      <w:pPr>
        <w:spacing w:line="360" w:lineRule="auto"/>
        <w:ind w:firstLine="420" w:firstLineChars="200"/>
        <w:outlineLvl w:val="0"/>
        <w:rPr>
          <w:rFonts w:eastAsia="黑体"/>
          <w:szCs w:val="21"/>
        </w:rPr>
      </w:pPr>
      <w:r>
        <w:rPr>
          <w:rFonts w:eastAsia="黑体"/>
          <w:szCs w:val="21"/>
        </w:rPr>
        <w:t>三、缺陷责任期</w:t>
      </w:r>
    </w:p>
    <w:p w14:paraId="381383BD">
      <w:pPr>
        <w:spacing w:line="360" w:lineRule="auto"/>
        <w:ind w:firstLine="420" w:firstLineChars="200"/>
        <w:rPr>
          <w:rFonts w:ascii="宋体" w:hAnsi="宋体"/>
          <w:szCs w:val="21"/>
        </w:rPr>
      </w:pPr>
      <w:r>
        <w:rPr>
          <w:rFonts w:ascii="宋体" w:hAnsi="宋体"/>
          <w:szCs w:val="21"/>
        </w:rPr>
        <w:t>工程缺陷责任期为</w:t>
      </w:r>
      <w:r>
        <w:rPr>
          <w:rFonts w:ascii="宋体" w:hAnsi="宋体"/>
          <w:szCs w:val="21"/>
          <w:u w:val="single"/>
        </w:rPr>
        <w:t xml:space="preserve">         </w:t>
      </w:r>
      <w:r>
        <w:rPr>
          <w:rFonts w:ascii="宋体" w:hAnsi="宋体"/>
          <w:szCs w:val="21"/>
        </w:rPr>
        <w:t>个月，缺陷责任期自工程</w:t>
      </w:r>
      <w:r>
        <w:rPr>
          <w:rFonts w:hint="eastAsia" w:ascii="宋体" w:hAnsi="宋体"/>
          <w:szCs w:val="21"/>
        </w:rPr>
        <w:t>通过竣工验收</w:t>
      </w:r>
      <w:r>
        <w:rPr>
          <w:rFonts w:ascii="宋体" w:hAnsi="宋体"/>
          <w:szCs w:val="21"/>
        </w:rPr>
        <w:t>之日起计算。单位工程先于全部工程进行验收，单位工程缺陷责任期自单位工程验收合格之日起算。</w:t>
      </w:r>
    </w:p>
    <w:p w14:paraId="2E9C04AF">
      <w:pPr>
        <w:spacing w:line="360" w:lineRule="auto"/>
        <w:ind w:firstLine="420" w:firstLineChars="200"/>
        <w:rPr>
          <w:rFonts w:ascii="宋体" w:hAnsi="宋体"/>
          <w:szCs w:val="21"/>
        </w:rPr>
      </w:pPr>
      <w:r>
        <w:rPr>
          <w:rFonts w:ascii="宋体" w:hAnsi="宋体"/>
          <w:szCs w:val="21"/>
        </w:rPr>
        <w:t>缺陷责任期终止后，发包人应退还剩余的质量保证金。</w:t>
      </w:r>
    </w:p>
    <w:p w14:paraId="27D09A7F">
      <w:pPr>
        <w:spacing w:line="360" w:lineRule="auto"/>
        <w:outlineLvl w:val="0"/>
        <w:rPr>
          <w:rFonts w:eastAsia="黑体"/>
          <w:szCs w:val="21"/>
        </w:rPr>
      </w:pPr>
      <w:r>
        <w:rPr>
          <w:rFonts w:eastAsia="黑体"/>
          <w:szCs w:val="21"/>
        </w:rPr>
        <w:t xml:space="preserve">    四、质量保修责任</w:t>
      </w:r>
    </w:p>
    <w:p w14:paraId="513F228E">
      <w:pPr>
        <w:spacing w:line="360" w:lineRule="auto"/>
        <w:ind w:left="105" w:leftChars="50" w:firstLine="430" w:firstLineChars="205"/>
        <w:rPr>
          <w:rFonts w:ascii="宋体" w:hAnsi="宋体"/>
          <w:szCs w:val="21"/>
        </w:rPr>
      </w:pPr>
      <w:r>
        <w:rPr>
          <w:rFonts w:hint="eastAsia" w:ascii="宋体" w:hAnsi="宋体"/>
          <w:szCs w:val="21"/>
        </w:rPr>
        <w:t>1．</w:t>
      </w:r>
      <w:r>
        <w:rPr>
          <w:rFonts w:ascii="宋体" w:hAnsi="宋体"/>
          <w:szCs w:val="21"/>
        </w:rPr>
        <w:t>属于保修范围、内容的项目，承包人应当在接到保修通知之日起7天内派人保修。承包人不在约定期限内派人保修的，发包人可以委托他人修理。</w:t>
      </w:r>
    </w:p>
    <w:p w14:paraId="59A0BF62">
      <w:pPr>
        <w:spacing w:line="360" w:lineRule="auto"/>
        <w:ind w:left="105" w:leftChars="50" w:firstLine="430" w:firstLineChars="205"/>
        <w:rPr>
          <w:rFonts w:ascii="宋体" w:hAnsi="宋体"/>
          <w:szCs w:val="21"/>
        </w:rPr>
      </w:pPr>
      <w:r>
        <w:rPr>
          <w:rFonts w:hint="eastAsia" w:ascii="宋体" w:hAnsi="宋体"/>
          <w:szCs w:val="21"/>
        </w:rPr>
        <w:t>2．</w:t>
      </w:r>
      <w:r>
        <w:rPr>
          <w:rFonts w:ascii="宋体" w:hAnsi="宋体"/>
          <w:szCs w:val="21"/>
        </w:rPr>
        <w:t>发生紧急事故需抢修的，承包人在接到事故通知后，应当立即到达事故现场抢修。</w:t>
      </w:r>
    </w:p>
    <w:p w14:paraId="43C5A80C">
      <w:pPr>
        <w:spacing w:line="360" w:lineRule="auto"/>
        <w:ind w:left="105" w:leftChars="50" w:firstLine="430" w:firstLineChars="205"/>
        <w:rPr>
          <w:rFonts w:ascii="宋体" w:hAnsi="宋体"/>
          <w:szCs w:val="21"/>
        </w:rPr>
      </w:pPr>
      <w:r>
        <w:rPr>
          <w:rFonts w:hint="eastAsia" w:ascii="宋体" w:hAnsi="宋体"/>
          <w:szCs w:val="21"/>
        </w:rPr>
        <w:t>3．</w:t>
      </w:r>
      <w:r>
        <w:rPr>
          <w:rFonts w:ascii="宋体" w:hAnsi="宋体"/>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9FC1AA">
      <w:pPr>
        <w:spacing w:line="360" w:lineRule="auto"/>
        <w:ind w:left="420" w:leftChars="200" w:firstLine="105" w:firstLineChars="50"/>
        <w:rPr>
          <w:rFonts w:ascii="宋体" w:hAnsi="宋体"/>
          <w:szCs w:val="21"/>
        </w:rPr>
      </w:pPr>
      <w:r>
        <w:rPr>
          <w:rFonts w:hint="eastAsia" w:ascii="宋体" w:hAnsi="宋体"/>
          <w:szCs w:val="21"/>
        </w:rPr>
        <w:t>4．</w:t>
      </w:r>
      <w:r>
        <w:rPr>
          <w:rFonts w:ascii="宋体" w:hAnsi="宋体"/>
          <w:szCs w:val="21"/>
        </w:rPr>
        <w:t>质量保修完成后，由发包人组织验收。</w:t>
      </w:r>
    </w:p>
    <w:p w14:paraId="7508E8E0">
      <w:pPr>
        <w:spacing w:line="360" w:lineRule="auto"/>
        <w:outlineLvl w:val="0"/>
        <w:rPr>
          <w:rFonts w:eastAsia="黑体"/>
          <w:szCs w:val="21"/>
        </w:rPr>
      </w:pPr>
      <w:r>
        <w:rPr>
          <w:rFonts w:eastAsia="黑体"/>
          <w:szCs w:val="21"/>
        </w:rPr>
        <w:t>　　五、保修费用</w:t>
      </w:r>
    </w:p>
    <w:p w14:paraId="32B213BE">
      <w:pPr>
        <w:spacing w:line="360" w:lineRule="auto"/>
        <w:rPr>
          <w:rFonts w:ascii="宋体" w:hAnsi="宋体"/>
          <w:szCs w:val="21"/>
        </w:rPr>
      </w:pPr>
      <w:r>
        <w:rPr>
          <w:rFonts w:eastAsia="仿宋_GB2312"/>
          <w:szCs w:val="21"/>
        </w:rPr>
        <w:t>　</w:t>
      </w:r>
      <w:r>
        <w:rPr>
          <w:rFonts w:ascii="宋体" w:hAnsi="宋体"/>
          <w:szCs w:val="21"/>
        </w:rPr>
        <w:t>　保修费用由造成质量缺陷的责任方承担。</w:t>
      </w:r>
    </w:p>
    <w:p w14:paraId="65846EE5">
      <w:pPr>
        <w:spacing w:line="360" w:lineRule="auto"/>
        <w:ind w:firstLine="420" w:firstLineChars="200"/>
        <w:outlineLvl w:val="0"/>
        <w:rPr>
          <w:rFonts w:hint="eastAsia" w:eastAsia="黑体"/>
          <w:szCs w:val="21"/>
        </w:rPr>
      </w:pPr>
      <w:r>
        <w:rPr>
          <w:rFonts w:eastAsia="黑体"/>
          <w:szCs w:val="21"/>
        </w:rPr>
        <w:t>六、双方约定的其他工程质量保修事项：</w:t>
      </w:r>
    </w:p>
    <w:p w14:paraId="3956AB2C">
      <w:pPr>
        <w:spacing w:line="360" w:lineRule="auto"/>
        <w:jc w:val="left"/>
        <w:outlineLvl w:val="0"/>
        <w:rPr>
          <w:rFonts w:eastAsia="仿宋_GB2312"/>
          <w:szCs w:val="21"/>
        </w:rPr>
      </w:pP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14:paraId="39B23690">
      <w:pPr>
        <w:spacing w:line="360" w:lineRule="auto"/>
        <w:ind w:firstLine="399" w:firstLineChars="190"/>
        <w:rPr>
          <w:rFonts w:hint="eastAsia" w:ascii="宋体" w:hAnsi="宋体"/>
          <w:szCs w:val="21"/>
        </w:rPr>
      </w:pPr>
      <w:r>
        <w:rPr>
          <w:rFonts w:ascii="宋体" w:hAnsi="宋体"/>
          <w:szCs w:val="21"/>
        </w:rPr>
        <w:t>工程质量保修书由发包人、承包人在工程竣工验收前共同签署，作为施工合同附件，其有效期限至保修期满。</w:t>
      </w:r>
    </w:p>
    <w:p w14:paraId="76A2A341">
      <w:pPr>
        <w:spacing w:line="360" w:lineRule="auto"/>
        <w:ind w:firstLine="399" w:firstLineChars="190"/>
        <w:rPr>
          <w:rFonts w:hint="eastAsia" w:ascii="宋体" w:hAnsi="宋体"/>
          <w:szCs w:val="21"/>
        </w:rPr>
      </w:pPr>
    </w:p>
    <w:p w14:paraId="15055CBC">
      <w:pPr>
        <w:spacing w:line="360" w:lineRule="auto"/>
        <w:ind w:firstLine="399" w:firstLineChars="190"/>
        <w:rPr>
          <w:rFonts w:ascii="宋体" w:hAnsi="宋体"/>
          <w:szCs w:val="21"/>
        </w:rPr>
      </w:pPr>
    </w:p>
    <w:p w14:paraId="4D43F562">
      <w:pPr>
        <w:spacing w:line="360" w:lineRule="auto"/>
        <w:ind w:firstLine="420"/>
        <w:rPr>
          <w:rFonts w:ascii="宋体" w:hAnsi="宋体"/>
          <w:szCs w:val="21"/>
        </w:rPr>
      </w:pPr>
    </w:p>
    <w:p w14:paraId="18B731B3">
      <w:pPr>
        <w:spacing w:line="360" w:lineRule="auto"/>
        <w:ind w:firstLine="630" w:firstLineChars="300"/>
        <w:rPr>
          <w:rFonts w:ascii="宋体" w:hAnsi="宋体"/>
          <w:szCs w:val="21"/>
        </w:rPr>
      </w:pPr>
      <w:r>
        <w:rPr>
          <w:rFonts w:ascii="宋体" w:hAnsi="宋体"/>
          <w:szCs w:val="21"/>
        </w:rPr>
        <w:t>发包人(公章)：</w:t>
      </w:r>
      <w:r>
        <w:rPr>
          <w:rFonts w:ascii="宋体" w:hAnsi="宋体"/>
          <w:szCs w:val="21"/>
          <w:u w:val="single"/>
        </w:rPr>
        <w:t xml:space="preserve">        </w:t>
      </w:r>
      <w:r>
        <w:rPr>
          <w:rFonts w:ascii="宋体" w:hAnsi="宋体"/>
          <w:szCs w:val="21"/>
        </w:rPr>
        <w:t xml:space="preserve"> </w:t>
      </w:r>
      <w:r>
        <w:rPr>
          <w:rFonts w:hint="eastAsia" w:ascii="宋体" w:hAnsi="宋体"/>
          <w:szCs w:val="21"/>
        </w:rPr>
        <w:t xml:space="preserve">          </w:t>
      </w:r>
      <w:r>
        <w:rPr>
          <w:rFonts w:ascii="宋体" w:hAnsi="宋体"/>
          <w:szCs w:val="21"/>
        </w:rPr>
        <w:t>承包人(公章)：</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p>
    <w:p w14:paraId="2C2688AF">
      <w:pPr>
        <w:spacing w:line="360" w:lineRule="auto"/>
        <w:ind w:firstLine="630" w:firstLineChars="300"/>
        <w:rPr>
          <w:rFonts w:ascii="宋体" w:hAnsi="宋体"/>
          <w:szCs w:val="21"/>
        </w:rPr>
      </w:pPr>
      <w:r>
        <w:rPr>
          <w:rFonts w:ascii="宋体" w:hAnsi="宋体"/>
          <w:szCs w:val="21"/>
        </w:rPr>
        <w:t>地  址：</w:t>
      </w:r>
      <w:r>
        <w:rPr>
          <w:rFonts w:ascii="宋体" w:hAnsi="宋体"/>
          <w:szCs w:val="21"/>
          <w:u w:val="single"/>
        </w:rPr>
        <w:t xml:space="preserve">     </w:t>
      </w:r>
      <w:r>
        <w:rPr>
          <w:rFonts w:hint="eastAsia" w:ascii="宋体" w:hAnsi="宋体"/>
          <w:szCs w:val="21"/>
        </w:rPr>
        <w:t xml:space="preserve">            </w:t>
      </w:r>
      <w:r>
        <w:rPr>
          <w:rFonts w:ascii="宋体" w:hAnsi="宋体"/>
          <w:szCs w:val="21"/>
        </w:rPr>
        <w:t>地  址：</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C86CC61">
      <w:pPr>
        <w:spacing w:line="360" w:lineRule="auto"/>
        <w:ind w:firstLine="630" w:firstLineChars="300"/>
        <w:rPr>
          <w:rFonts w:ascii="宋体" w:hAnsi="宋体"/>
          <w:szCs w:val="21"/>
        </w:rPr>
      </w:pPr>
      <w:r>
        <w:rPr>
          <w:rFonts w:ascii="宋体" w:hAnsi="宋体"/>
          <w:szCs w:val="21"/>
        </w:rPr>
        <w:t>法定代表人(签字)：</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法定代表人(签字)：</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p>
    <w:p w14:paraId="18C552E1">
      <w:pPr>
        <w:spacing w:line="360" w:lineRule="auto"/>
        <w:ind w:firstLine="630" w:firstLineChars="300"/>
        <w:rPr>
          <w:rFonts w:ascii="宋体" w:hAnsi="宋体"/>
          <w:szCs w:val="21"/>
        </w:rPr>
      </w:pPr>
      <w:r>
        <w:rPr>
          <w:rFonts w:ascii="宋体" w:hAnsi="宋体"/>
          <w:szCs w:val="21"/>
        </w:rPr>
        <w:t>委托代理人(签字)：</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委托代理人(签字)：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3F8FD822">
      <w:pPr>
        <w:spacing w:line="360" w:lineRule="auto"/>
        <w:ind w:firstLine="630" w:firstLineChars="300"/>
        <w:rPr>
          <w:rFonts w:ascii="宋体" w:hAnsi="宋体"/>
          <w:szCs w:val="21"/>
        </w:rPr>
      </w:pPr>
      <w:r>
        <w:rPr>
          <w:rFonts w:ascii="宋体" w:hAnsi="宋体"/>
          <w:szCs w:val="21"/>
        </w:rPr>
        <w:t>电  话：</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p>
    <w:p w14:paraId="77D107BC">
      <w:pPr>
        <w:spacing w:line="360" w:lineRule="auto"/>
        <w:ind w:firstLine="630" w:firstLineChars="300"/>
        <w:rPr>
          <w:rFonts w:ascii="宋体" w:hAnsi="宋体"/>
          <w:szCs w:val="21"/>
        </w:rPr>
      </w:pPr>
      <w:r>
        <w:rPr>
          <w:rFonts w:ascii="宋体" w:hAnsi="宋体"/>
          <w:szCs w:val="21"/>
        </w:rPr>
        <w:t>传  真：</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传  真：</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p>
    <w:p w14:paraId="316DD17A">
      <w:pPr>
        <w:spacing w:line="360" w:lineRule="auto"/>
        <w:ind w:firstLine="630" w:firstLineChars="300"/>
        <w:rPr>
          <w:rFonts w:ascii="宋体" w:hAnsi="宋体"/>
          <w:szCs w:val="21"/>
        </w:rPr>
      </w:pPr>
      <w:r>
        <w:rPr>
          <w:rFonts w:ascii="宋体" w:hAnsi="宋体"/>
          <w:szCs w:val="21"/>
        </w:rPr>
        <w:t>开户银行：</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开户银行：</w:t>
      </w:r>
      <w:r>
        <w:rPr>
          <w:rFonts w:ascii="宋体" w:hAnsi="宋体"/>
          <w:szCs w:val="21"/>
          <w:u w:val="single"/>
        </w:rPr>
        <w:t xml:space="preserve">   </w:t>
      </w:r>
    </w:p>
    <w:p w14:paraId="1F64C0CE">
      <w:pPr>
        <w:spacing w:line="360" w:lineRule="auto"/>
        <w:ind w:firstLine="630" w:firstLineChars="300"/>
        <w:rPr>
          <w:rFonts w:ascii="宋体" w:hAnsi="宋体"/>
          <w:szCs w:val="21"/>
        </w:rPr>
      </w:pPr>
      <w:r>
        <w:rPr>
          <w:rFonts w:ascii="宋体" w:hAnsi="宋体"/>
          <w:szCs w:val="21"/>
        </w:rPr>
        <w:t>账  号：</w:t>
      </w:r>
      <w:r>
        <w:rPr>
          <w:rFonts w:ascii="宋体" w:hAnsi="宋体"/>
          <w:szCs w:val="21"/>
          <w:u w:val="single"/>
        </w:rPr>
        <w:t xml:space="preserve">       </w:t>
      </w:r>
      <w:r>
        <w:rPr>
          <w:rFonts w:hint="eastAsia" w:ascii="宋体" w:hAnsi="宋体"/>
          <w:szCs w:val="21"/>
        </w:rPr>
        <w:t xml:space="preserve">            </w:t>
      </w:r>
      <w:r>
        <w:rPr>
          <w:rFonts w:ascii="宋体" w:hAnsi="宋体"/>
          <w:szCs w:val="21"/>
        </w:rPr>
        <w:t>账</w:t>
      </w:r>
      <w:r>
        <w:rPr>
          <w:rFonts w:hint="eastAsia" w:ascii="宋体" w:hAnsi="宋体"/>
          <w:szCs w:val="21"/>
        </w:rPr>
        <w:t xml:space="preserve"> </w:t>
      </w:r>
      <w:r>
        <w:rPr>
          <w:rFonts w:ascii="宋体" w:hAnsi="宋体"/>
          <w:szCs w:val="21"/>
        </w:rPr>
        <w:t xml:space="preserve"> 号：</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26F0FB7A">
      <w:pPr>
        <w:spacing w:line="360" w:lineRule="auto"/>
        <w:ind w:firstLine="630" w:firstLineChars="300"/>
        <w:rPr>
          <w:rFonts w:ascii="宋体" w:hAnsi="宋体"/>
          <w:szCs w:val="21"/>
        </w:rPr>
      </w:pPr>
      <w:r>
        <w:rPr>
          <w:rFonts w:ascii="宋体" w:hAnsi="宋体"/>
          <w:szCs w:val="21"/>
        </w:rPr>
        <w:t>邮政编码：</w:t>
      </w:r>
      <w:r>
        <w:rPr>
          <w:rFonts w:ascii="宋体" w:hAnsi="宋体"/>
          <w:szCs w:val="21"/>
          <w:u w:val="single"/>
        </w:rPr>
        <w:t xml:space="preserve">     </w:t>
      </w:r>
      <w:r>
        <w:rPr>
          <w:rFonts w:ascii="宋体" w:hAnsi="宋体"/>
          <w:szCs w:val="21"/>
        </w:rPr>
        <w:t xml:space="preserve"> </w:t>
      </w:r>
      <w:r>
        <w:rPr>
          <w:rFonts w:hint="eastAsia" w:ascii="宋体" w:hAnsi="宋体"/>
          <w:szCs w:val="21"/>
        </w:rPr>
        <w:t xml:space="preserve">           </w:t>
      </w:r>
      <w:r>
        <w:rPr>
          <w:rFonts w:ascii="宋体" w:hAnsi="宋体"/>
          <w:szCs w:val="21"/>
        </w:rPr>
        <w:t>邮政编码：</w:t>
      </w:r>
      <w:r>
        <w:rPr>
          <w:rFonts w:ascii="宋体" w:hAnsi="宋体"/>
          <w:szCs w:val="21"/>
          <w:u w:val="single"/>
        </w:rPr>
        <w:t xml:space="preserve">   </w:t>
      </w:r>
    </w:p>
    <w:p w14:paraId="2934D994">
      <w:pPr>
        <w:spacing w:before="120" w:beforeLines="50" w:after="120" w:afterLines="50" w:line="440" w:lineRule="exact"/>
        <w:jc w:val="left"/>
        <w:rPr>
          <w:rFonts w:eastAsia="黑体"/>
          <w:sz w:val="30"/>
          <w:szCs w:val="30"/>
        </w:rPr>
      </w:pPr>
      <w:r>
        <w:rPr>
          <w:rFonts w:eastAsia="仿宋_GB2312"/>
          <w:b/>
          <w:szCs w:val="21"/>
        </w:rPr>
        <w:br w:type="page"/>
      </w:r>
      <w:r>
        <w:rPr>
          <w:rFonts w:ascii="宋体" w:hAnsi="宋体"/>
          <w:sz w:val="24"/>
        </w:rPr>
        <w:t>附件4：</w:t>
      </w:r>
    </w:p>
    <w:p w14:paraId="2C14EC53">
      <w:pPr>
        <w:spacing w:before="120" w:beforeLines="50" w:after="120" w:afterLines="50" w:line="440" w:lineRule="exact"/>
        <w:jc w:val="center"/>
        <w:rPr>
          <w:rFonts w:eastAsia="黑体"/>
          <w:sz w:val="28"/>
          <w:szCs w:val="28"/>
        </w:rPr>
      </w:pPr>
      <w:r>
        <w:rPr>
          <w:rFonts w:eastAsia="黑体"/>
          <w:sz w:val="28"/>
          <w:szCs w:val="28"/>
        </w:rPr>
        <w:t>主要建设工程文件目录</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C850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32827757">
            <w:pPr>
              <w:pStyle w:val="6"/>
              <w:keepNext/>
              <w:spacing w:after="0" w:line="440" w:lineRule="exact"/>
              <w:ind w:left="63" w:right="63"/>
              <w:rPr>
                <w:rFonts w:ascii="宋体" w:hAnsi="宋体"/>
                <w:szCs w:val="21"/>
              </w:rPr>
            </w:pPr>
            <w:r>
              <w:rPr>
                <w:rFonts w:ascii="宋体" w:hAnsi="宋体"/>
                <w:szCs w:val="21"/>
              </w:rPr>
              <w:t>文件名称</w:t>
            </w:r>
          </w:p>
        </w:tc>
        <w:tc>
          <w:tcPr>
            <w:tcW w:w="1276" w:type="dxa"/>
            <w:tcBorders>
              <w:top w:val="single" w:color="auto" w:sz="12" w:space="0"/>
              <w:bottom w:val="double" w:color="auto" w:sz="6" w:space="0"/>
            </w:tcBorders>
            <w:noWrap w:val="0"/>
            <w:vAlign w:val="center"/>
          </w:tcPr>
          <w:p w14:paraId="574C8C01">
            <w:pPr>
              <w:pStyle w:val="6"/>
              <w:keepNext/>
              <w:spacing w:after="0" w:line="440" w:lineRule="exact"/>
              <w:ind w:left="63" w:right="63"/>
              <w:rPr>
                <w:rFonts w:ascii="宋体" w:hAnsi="宋体"/>
                <w:szCs w:val="21"/>
              </w:rPr>
            </w:pPr>
            <w:r>
              <w:rPr>
                <w:rFonts w:ascii="宋体" w:hAnsi="宋体"/>
                <w:szCs w:val="21"/>
              </w:rPr>
              <w:t>套数</w:t>
            </w:r>
          </w:p>
        </w:tc>
        <w:tc>
          <w:tcPr>
            <w:tcW w:w="1450" w:type="dxa"/>
            <w:tcBorders>
              <w:top w:val="single" w:color="auto" w:sz="12" w:space="0"/>
              <w:bottom w:val="double" w:color="auto" w:sz="6" w:space="0"/>
            </w:tcBorders>
            <w:noWrap w:val="0"/>
            <w:vAlign w:val="center"/>
          </w:tcPr>
          <w:p w14:paraId="7D6E8DDE">
            <w:pPr>
              <w:pStyle w:val="6"/>
              <w:keepNext/>
              <w:spacing w:after="0" w:line="440" w:lineRule="exact"/>
              <w:ind w:left="63" w:right="63"/>
              <w:rPr>
                <w:rFonts w:ascii="宋体" w:hAnsi="宋体"/>
                <w:szCs w:val="21"/>
              </w:rPr>
            </w:pPr>
            <w:r>
              <w:rPr>
                <w:rFonts w:ascii="宋体" w:hAnsi="宋体"/>
                <w:szCs w:val="21"/>
              </w:rPr>
              <w:t>费用</w:t>
            </w:r>
            <w:r>
              <w:rPr>
                <w:rFonts w:hint="eastAsia" w:ascii="宋体" w:hAnsi="宋体"/>
                <w:szCs w:val="21"/>
              </w:rPr>
              <w:t>（元）</w:t>
            </w:r>
          </w:p>
        </w:tc>
        <w:tc>
          <w:tcPr>
            <w:tcW w:w="1243" w:type="dxa"/>
            <w:tcBorders>
              <w:top w:val="single" w:color="auto" w:sz="12" w:space="0"/>
              <w:bottom w:val="double" w:color="auto" w:sz="6" w:space="0"/>
            </w:tcBorders>
            <w:noWrap w:val="0"/>
            <w:vAlign w:val="center"/>
          </w:tcPr>
          <w:p w14:paraId="2BB2407F">
            <w:pPr>
              <w:pStyle w:val="6"/>
              <w:keepNext/>
              <w:spacing w:after="0" w:line="440" w:lineRule="exact"/>
              <w:ind w:left="63" w:right="63"/>
              <w:rPr>
                <w:rFonts w:ascii="宋体" w:hAnsi="宋体"/>
                <w:szCs w:val="21"/>
              </w:rPr>
            </w:pPr>
            <w:r>
              <w:rPr>
                <w:rFonts w:ascii="宋体" w:hAnsi="宋体"/>
                <w:szCs w:val="21"/>
              </w:rPr>
              <w:t>质量</w:t>
            </w:r>
          </w:p>
        </w:tc>
        <w:tc>
          <w:tcPr>
            <w:tcW w:w="1450" w:type="dxa"/>
            <w:tcBorders>
              <w:top w:val="single" w:color="auto" w:sz="12" w:space="0"/>
              <w:bottom w:val="double" w:color="auto" w:sz="6" w:space="0"/>
            </w:tcBorders>
            <w:noWrap w:val="0"/>
            <w:vAlign w:val="top"/>
          </w:tcPr>
          <w:p w14:paraId="5739BA20">
            <w:pPr>
              <w:spacing w:line="440" w:lineRule="exact"/>
              <w:jc w:val="center"/>
              <w:rPr>
                <w:rFonts w:ascii="宋体" w:hAnsi="宋体"/>
                <w:szCs w:val="21"/>
              </w:rPr>
            </w:pPr>
            <w:r>
              <w:rPr>
                <w:rFonts w:ascii="宋体" w:hAnsi="宋体"/>
                <w:szCs w:val="21"/>
              </w:rPr>
              <w:t>移交时间</w:t>
            </w:r>
          </w:p>
        </w:tc>
        <w:tc>
          <w:tcPr>
            <w:tcW w:w="1667" w:type="dxa"/>
            <w:tcBorders>
              <w:top w:val="single" w:color="auto" w:sz="12" w:space="0"/>
              <w:bottom w:val="double" w:color="auto" w:sz="6" w:space="0"/>
            </w:tcBorders>
            <w:noWrap w:val="0"/>
            <w:vAlign w:val="top"/>
          </w:tcPr>
          <w:p w14:paraId="17B50BFB">
            <w:pPr>
              <w:spacing w:line="440" w:lineRule="exact"/>
              <w:jc w:val="center"/>
              <w:rPr>
                <w:rFonts w:ascii="宋体" w:hAnsi="宋体"/>
                <w:szCs w:val="21"/>
              </w:rPr>
            </w:pPr>
            <w:r>
              <w:rPr>
                <w:rFonts w:ascii="宋体" w:hAnsi="宋体"/>
                <w:szCs w:val="21"/>
              </w:rPr>
              <w:t>责任人</w:t>
            </w:r>
          </w:p>
        </w:tc>
      </w:tr>
      <w:tr w14:paraId="3A8CC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D1C14F4">
            <w:pPr>
              <w:pStyle w:val="6"/>
              <w:keepNext/>
              <w:spacing w:after="0" w:line="440" w:lineRule="exact"/>
              <w:ind w:left="63" w:right="63"/>
              <w:rPr>
                <w:rFonts w:eastAsia="仿宋_GB2312"/>
                <w:sz w:val="30"/>
                <w:szCs w:val="30"/>
              </w:rPr>
            </w:pPr>
          </w:p>
        </w:tc>
        <w:tc>
          <w:tcPr>
            <w:tcW w:w="1276" w:type="dxa"/>
            <w:tcBorders>
              <w:top w:val="double" w:color="auto" w:sz="6" w:space="0"/>
              <w:bottom w:val="single" w:color="auto" w:sz="6" w:space="0"/>
            </w:tcBorders>
            <w:noWrap w:val="0"/>
            <w:vAlign w:val="center"/>
          </w:tcPr>
          <w:p w14:paraId="0941CD65">
            <w:pPr>
              <w:pStyle w:val="6"/>
              <w:keepNext/>
              <w:spacing w:after="0" w:line="440" w:lineRule="exact"/>
              <w:ind w:left="63" w:right="63"/>
              <w:rPr>
                <w:rFonts w:eastAsia="仿宋_GB2312"/>
                <w:sz w:val="30"/>
                <w:szCs w:val="30"/>
              </w:rPr>
            </w:pPr>
          </w:p>
        </w:tc>
        <w:tc>
          <w:tcPr>
            <w:tcW w:w="1450" w:type="dxa"/>
            <w:tcBorders>
              <w:top w:val="double" w:color="auto" w:sz="6" w:space="0"/>
              <w:bottom w:val="single" w:color="auto" w:sz="6" w:space="0"/>
            </w:tcBorders>
            <w:noWrap w:val="0"/>
            <w:vAlign w:val="center"/>
          </w:tcPr>
          <w:p w14:paraId="1328ABB4">
            <w:pPr>
              <w:pStyle w:val="6"/>
              <w:keepNext/>
              <w:spacing w:after="0" w:line="440" w:lineRule="exact"/>
              <w:ind w:left="63" w:right="63"/>
              <w:rPr>
                <w:rFonts w:eastAsia="仿宋_GB2312"/>
                <w:sz w:val="30"/>
                <w:szCs w:val="30"/>
              </w:rPr>
            </w:pPr>
          </w:p>
        </w:tc>
        <w:tc>
          <w:tcPr>
            <w:tcW w:w="1243" w:type="dxa"/>
            <w:tcBorders>
              <w:top w:val="double" w:color="auto" w:sz="6" w:space="0"/>
              <w:bottom w:val="single" w:color="auto" w:sz="6" w:space="0"/>
            </w:tcBorders>
            <w:noWrap w:val="0"/>
            <w:vAlign w:val="center"/>
          </w:tcPr>
          <w:p w14:paraId="4B1A2B11">
            <w:pPr>
              <w:pStyle w:val="6"/>
              <w:keepNext/>
              <w:spacing w:after="0" w:line="440" w:lineRule="exact"/>
              <w:ind w:left="63" w:right="63"/>
              <w:rPr>
                <w:rFonts w:eastAsia="仿宋_GB2312"/>
                <w:sz w:val="30"/>
                <w:szCs w:val="30"/>
              </w:rPr>
            </w:pPr>
          </w:p>
        </w:tc>
        <w:tc>
          <w:tcPr>
            <w:tcW w:w="1450" w:type="dxa"/>
            <w:tcBorders>
              <w:top w:val="double" w:color="auto" w:sz="6" w:space="0"/>
              <w:bottom w:val="single" w:color="auto" w:sz="6" w:space="0"/>
            </w:tcBorders>
            <w:noWrap w:val="0"/>
            <w:vAlign w:val="center"/>
          </w:tcPr>
          <w:p w14:paraId="7AD3A040">
            <w:pPr>
              <w:pStyle w:val="6"/>
              <w:keepNext/>
              <w:spacing w:after="0" w:line="440" w:lineRule="exact"/>
              <w:ind w:left="63" w:right="63"/>
              <w:rPr>
                <w:rFonts w:eastAsia="仿宋_GB2312"/>
                <w:sz w:val="30"/>
                <w:szCs w:val="30"/>
              </w:rPr>
            </w:pPr>
          </w:p>
        </w:tc>
        <w:tc>
          <w:tcPr>
            <w:tcW w:w="1667" w:type="dxa"/>
            <w:tcBorders>
              <w:top w:val="double" w:color="auto" w:sz="6" w:space="0"/>
              <w:bottom w:val="single" w:color="auto" w:sz="6" w:space="0"/>
            </w:tcBorders>
            <w:noWrap w:val="0"/>
            <w:vAlign w:val="center"/>
          </w:tcPr>
          <w:p w14:paraId="5395A392">
            <w:pPr>
              <w:pStyle w:val="6"/>
              <w:keepNext/>
              <w:spacing w:after="0" w:line="440" w:lineRule="exact"/>
              <w:ind w:left="63" w:right="63"/>
              <w:rPr>
                <w:rFonts w:eastAsia="仿宋_GB2312"/>
                <w:sz w:val="30"/>
                <w:szCs w:val="30"/>
              </w:rPr>
            </w:pPr>
          </w:p>
        </w:tc>
      </w:tr>
      <w:tr w14:paraId="1047A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3EEC425B">
            <w:pPr>
              <w:pStyle w:val="6"/>
              <w:keepNext/>
              <w:spacing w:after="0" w:line="440" w:lineRule="exact"/>
              <w:ind w:left="63" w:right="63"/>
              <w:rPr>
                <w:rFonts w:eastAsia="仿宋_GB2312"/>
                <w:sz w:val="30"/>
                <w:szCs w:val="30"/>
              </w:rPr>
            </w:pPr>
          </w:p>
        </w:tc>
        <w:tc>
          <w:tcPr>
            <w:tcW w:w="1276" w:type="dxa"/>
            <w:tcBorders>
              <w:top w:val="nil"/>
            </w:tcBorders>
            <w:noWrap w:val="0"/>
            <w:vAlign w:val="center"/>
          </w:tcPr>
          <w:p w14:paraId="5B387EBD">
            <w:pPr>
              <w:pStyle w:val="6"/>
              <w:keepNext/>
              <w:spacing w:after="0" w:line="440" w:lineRule="exact"/>
              <w:ind w:left="63" w:right="63"/>
              <w:rPr>
                <w:rFonts w:eastAsia="仿宋_GB2312"/>
                <w:sz w:val="30"/>
                <w:szCs w:val="30"/>
              </w:rPr>
            </w:pPr>
          </w:p>
        </w:tc>
        <w:tc>
          <w:tcPr>
            <w:tcW w:w="1450" w:type="dxa"/>
            <w:tcBorders>
              <w:top w:val="nil"/>
            </w:tcBorders>
            <w:noWrap w:val="0"/>
            <w:vAlign w:val="center"/>
          </w:tcPr>
          <w:p w14:paraId="236099BB">
            <w:pPr>
              <w:pStyle w:val="6"/>
              <w:keepNext/>
              <w:spacing w:after="0" w:line="440" w:lineRule="exact"/>
              <w:ind w:left="63" w:right="63"/>
              <w:rPr>
                <w:rFonts w:eastAsia="仿宋_GB2312"/>
                <w:sz w:val="30"/>
                <w:szCs w:val="30"/>
              </w:rPr>
            </w:pPr>
          </w:p>
        </w:tc>
        <w:tc>
          <w:tcPr>
            <w:tcW w:w="1243" w:type="dxa"/>
            <w:tcBorders>
              <w:top w:val="nil"/>
            </w:tcBorders>
            <w:noWrap w:val="0"/>
            <w:vAlign w:val="center"/>
          </w:tcPr>
          <w:p w14:paraId="4199E168">
            <w:pPr>
              <w:pStyle w:val="6"/>
              <w:keepNext/>
              <w:spacing w:after="0" w:line="440" w:lineRule="exact"/>
              <w:ind w:left="63" w:right="63"/>
              <w:rPr>
                <w:rFonts w:eastAsia="仿宋_GB2312"/>
                <w:sz w:val="30"/>
                <w:szCs w:val="30"/>
              </w:rPr>
            </w:pPr>
          </w:p>
        </w:tc>
        <w:tc>
          <w:tcPr>
            <w:tcW w:w="1450" w:type="dxa"/>
            <w:tcBorders>
              <w:top w:val="nil"/>
            </w:tcBorders>
            <w:noWrap w:val="0"/>
            <w:vAlign w:val="center"/>
          </w:tcPr>
          <w:p w14:paraId="4FDC357C">
            <w:pPr>
              <w:pStyle w:val="6"/>
              <w:keepNext/>
              <w:spacing w:after="0" w:line="440" w:lineRule="exact"/>
              <w:ind w:left="63" w:right="63"/>
              <w:rPr>
                <w:rFonts w:eastAsia="仿宋_GB2312"/>
                <w:sz w:val="30"/>
                <w:szCs w:val="30"/>
              </w:rPr>
            </w:pPr>
          </w:p>
        </w:tc>
        <w:tc>
          <w:tcPr>
            <w:tcW w:w="1667" w:type="dxa"/>
            <w:tcBorders>
              <w:top w:val="nil"/>
            </w:tcBorders>
            <w:noWrap w:val="0"/>
            <w:vAlign w:val="center"/>
          </w:tcPr>
          <w:p w14:paraId="0DBED766">
            <w:pPr>
              <w:pStyle w:val="6"/>
              <w:keepNext/>
              <w:spacing w:after="0" w:line="440" w:lineRule="exact"/>
              <w:ind w:left="63" w:right="63"/>
              <w:rPr>
                <w:rFonts w:eastAsia="仿宋_GB2312"/>
                <w:sz w:val="30"/>
                <w:szCs w:val="30"/>
              </w:rPr>
            </w:pPr>
          </w:p>
        </w:tc>
      </w:tr>
      <w:tr w14:paraId="00E19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30B2699">
            <w:pPr>
              <w:pStyle w:val="6"/>
              <w:keepNext/>
              <w:spacing w:after="0" w:line="440" w:lineRule="exact"/>
              <w:ind w:left="63" w:right="63"/>
              <w:rPr>
                <w:rFonts w:eastAsia="仿宋_GB2312"/>
                <w:sz w:val="30"/>
                <w:szCs w:val="30"/>
              </w:rPr>
            </w:pPr>
          </w:p>
        </w:tc>
        <w:tc>
          <w:tcPr>
            <w:tcW w:w="1276" w:type="dxa"/>
            <w:noWrap w:val="0"/>
            <w:vAlign w:val="center"/>
          </w:tcPr>
          <w:p w14:paraId="4233D1A5">
            <w:pPr>
              <w:pStyle w:val="6"/>
              <w:keepNext/>
              <w:spacing w:after="0" w:line="440" w:lineRule="exact"/>
              <w:ind w:left="63" w:right="63"/>
              <w:rPr>
                <w:rFonts w:eastAsia="仿宋_GB2312"/>
                <w:sz w:val="30"/>
                <w:szCs w:val="30"/>
              </w:rPr>
            </w:pPr>
          </w:p>
        </w:tc>
        <w:tc>
          <w:tcPr>
            <w:tcW w:w="1450" w:type="dxa"/>
            <w:noWrap w:val="0"/>
            <w:vAlign w:val="center"/>
          </w:tcPr>
          <w:p w14:paraId="1DC0D749">
            <w:pPr>
              <w:pStyle w:val="6"/>
              <w:keepNext/>
              <w:spacing w:after="0" w:line="440" w:lineRule="exact"/>
              <w:ind w:left="63" w:right="63"/>
              <w:rPr>
                <w:rFonts w:eastAsia="仿宋_GB2312"/>
                <w:sz w:val="30"/>
                <w:szCs w:val="30"/>
              </w:rPr>
            </w:pPr>
          </w:p>
        </w:tc>
        <w:tc>
          <w:tcPr>
            <w:tcW w:w="1243" w:type="dxa"/>
            <w:noWrap w:val="0"/>
            <w:vAlign w:val="center"/>
          </w:tcPr>
          <w:p w14:paraId="10EE7A89">
            <w:pPr>
              <w:pStyle w:val="6"/>
              <w:keepNext/>
              <w:spacing w:after="0" w:line="440" w:lineRule="exact"/>
              <w:ind w:left="63" w:right="63"/>
              <w:rPr>
                <w:rFonts w:eastAsia="仿宋_GB2312"/>
                <w:sz w:val="30"/>
                <w:szCs w:val="30"/>
              </w:rPr>
            </w:pPr>
          </w:p>
        </w:tc>
        <w:tc>
          <w:tcPr>
            <w:tcW w:w="1450" w:type="dxa"/>
            <w:noWrap w:val="0"/>
            <w:vAlign w:val="center"/>
          </w:tcPr>
          <w:p w14:paraId="197F324C">
            <w:pPr>
              <w:pStyle w:val="6"/>
              <w:keepNext/>
              <w:spacing w:after="0" w:line="440" w:lineRule="exact"/>
              <w:ind w:left="63" w:right="63"/>
              <w:rPr>
                <w:rFonts w:eastAsia="仿宋_GB2312"/>
                <w:sz w:val="30"/>
                <w:szCs w:val="30"/>
              </w:rPr>
            </w:pPr>
          </w:p>
        </w:tc>
        <w:tc>
          <w:tcPr>
            <w:tcW w:w="1667" w:type="dxa"/>
            <w:noWrap w:val="0"/>
            <w:vAlign w:val="center"/>
          </w:tcPr>
          <w:p w14:paraId="4AA678FA">
            <w:pPr>
              <w:pStyle w:val="6"/>
              <w:keepNext/>
              <w:spacing w:after="0" w:line="440" w:lineRule="exact"/>
              <w:ind w:left="63" w:right="63"/>
              <w:rPr>
                <w:rFonts w:eastAsia="仿宋_GB2312"/>
                <w:sz w:val="30"/>
                <w:szCs w:val="30"/>
              </w:rPr>
            </w:pPr>
          </w:p>
        </w:tc>
      </w:tr>
      <w:tr w14:paraId="1EE1B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3F78CB8">
            <w:pPr>
              <w:pStyle w:val="6"/>
              <w:keepNext/>
              <w:spacing w:after="0" w:line="440" w:lineRule="exact"/>
              <w:ind w:left="63" w:right="63"/>
              <w:rPr>
                <w:rFonts w:eastAsia="仿宋_GB2312"/>
                <w:sz w:val="30"/>
                <w:szCs w:val="30"/>
              </w:rPr>
            </w:pPr>
          </w:p>
        </w:tc>
        <w:tc>
          <w:tcPr>
            <w:tcW w:w="1276" w:type="dxa"/>
            <w:noWrap w:val="0"/>
            <w:vAlign w:val="center"/>
          </w:tcPr>
          <w:p w14:paraId="35A13310">
            <w:pPr>
              <w:pStyle w:val="6"/>
              <w:keepNext/>
              <w:spacing w:after="0" w:line="440" w:lineRule="exact"/>
              <w:ind w:left="63" w:right="63"/>
              <w:rPr>
                <w:rFonts w:eastAsia="仿宋_GB2312"/>
                <w:sz w:val="30"/>
                <w:szCs w:val="30"/>
              </w:rPr>
            </w:pPr>
          </w:p>
        </w:tc>
        <w:tc>
          <w:tcPr>
            <w:tcW w:w="1450" w:type="dxa"/>
            <w:noWrap w:val="0"/>
            <w:vAlign w:val="center"/>
          </w:tcPr>
          <w:p w14:paraId="0C5216B8">
            <w:pPr>
              <w:pStyle w:val="6"/>
              <w:keepNext/>
              <w:spacing w:after="0" w:line="440" w:lineRule="exact"/>
              <w:ind w:left="63" w:right="63"/>
              <w:rPr>
                <w:rFonts w:eastAsia="仿宋_GB2312"/>
                <w:sz w:val="30"/>
                <w:szCs w:val="30"/>
              </w:rPr>
            </w:pPr>
          </w:p>
        </w:tc>
        <w:tc>
          <w:tcPr>
            <w:tcW w:w="1243" w:type="dxa"/>
            <w:noWrap w:val="0"/>
            <w:vAlign w:val="center"/>
          </w:tcPr>
          <w:p w14:paraId="61B81F8B">
            <w:pPr>
              <w:pStyle w:val="6"/>
              <w:keepNext/>
              <w:spacing w:after="0" w:line="440" w:lineRule="exact"/>
              <w:ind w:left="63" w:right="63"/>
              <w:rPr>
                <w:rFonts w:eastAsia="仿宋_GB2312"/>
                <w:sz w:val="30"/>
                <w:szCs w:val="30"/>
              </w:rPr>
            </w:pPr>
          </w:p>
        </w:tc>
        <w:tc>
          <w:tcPr>
            <w:tcW w:w="1450" w:type="dxa"/>
            <w:noWrap w:val="0"/>
            <w:vAlign w:val="center"/>
          </w:tcPr>
          <w:p w14:paraId="7C328FF9">
            <w:pPr>
              <w:pStyle w:val="6"/>
              <w:keepNext/>
              <w:spacing w:after="0" w:line="440" w:lineRule="exact"/>
              <w:ind w:left="63" w:right="63"/>
              <w:rPr>
                <w:rFonts w:eastAsia="仿宋_GB2312"/>
                <w:sz w:val="30"/>
                <w:szCs w:val="30"/>
              </w:rPr>
            </w:pPr>
          </w:p>
        </w:tc>
        <w:tc>
          <w:tcPr>
            <w:tcW w:w="1667" w:type="dxa"/>
            <w:noWrap w:val="0"/>
            <w:vAlign w:val="center"/>
          </w:tcPr>
          <w:p w14:paraId="0F9FF211">
            <w:pPr>
              <w:pStyle w:val="6"/>
              <w:keepNext/>
              <w:spacing w:after="0" w:line="440" w:lineRule="exact"/>
              <w:ind w:left="63" w:right="63"/>
              <w:rPr>
                <w:rFonts w:eastAsia="仿宋_GB2312"/>
                <w:sz w:val="30"/>
                <w:szCs w:val="30"/>
              </w:rPr>
            </w:pPr>
          </w:p>
        </w:tc>
      </w:tr>
      <w:tr w14:paraId="71F97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1B46FD5">
            <w:pPr>
              <w:pStyle w:val="6"/>
              <w:keepNext/>
              <w:spacing w:after="0" w:line="440" w:lineRule="exact"/>
              <w:ind w:left="63" w:right="63"/>
              <w:rPr>
                <w:rFonts w:eastAsia="仿宋_GB2312"/>
                <w:sz w:val="30"/>
                <w:szCs w:val="30"/>
              </w:rPr>
            </w:pPr>
          </w:p>
        </w:tc>
        <w:tc>
          <w:tcPr>
            <w:tcW w:w="1276" w:type="dxa"/>
            <w:noWrap w:val="0"/>
            <w:vAlign w:val="center"/>
          </w:tcPr>
          <w:p w14:paraId="26729908">
            <w:pPr>
              <w:pStyle w:val="6"/>
              <w:keepNext/>
              <w:spacing w:after="0" w:line="440" w:lineRule="exact"/>
              <w:ind w:left="63" w:right="63"/>
              <w:rPr>
                <w:rFonts w:eastAsia="仿宋_GB2312"/>
                <w:sz w:val="30"/>
                <w:szCs w:val="30"/>
              </w:rPr>
            </w:pPr>
          </w:p>
        </w:tc>
        <w:tc>
          <w:tcPr>
            <w:tcW w:w="1450" w:type="dxa"/>
            <w:noWrap w:val="0"/>
            <w:vAlign w:val="center"/>
          </w:tcPr>
          <w:p w14:paraId="5ED3B60F">
            <w:pPr>
              <w:pStyle w:val="6"/>
              <w:keepNext/>
              <w:spacing w:after="0" w:line="440" w:lineRule="exact"/>
              <w:ind w:left="63" w:right="63"/>
              <w:rPr>
                <w:rFonts w:eastAsia="仿宋_GB2312"/>
                <w:sz w:val="30"/>
                <w:szCs w:val="30"/>
              </w:rPr>
            </w:pPr>
          </w:p>
        </w:tc>
        <w:tc>
          <w:tcPr>
            <w:tcW w:w="1243" w:type="dxa"/>
            <w:noWrap w:val="0"/>
            <w:vAlign w:val="center"/>
          </w:tcPr>
          <w:p w14:paraId="7F352D22">
            <w:pPr>
              <w:pStyle w:val="6"/>
              <w:keepNext/>
              <w:spacing w:after="0" w:line="440" w:lineRule="exact"/>
              <w:ind w:left="63" w:right="63"/>
              <w:rPr>
                <w:rFonts w:eastAsia="仿宋_GB2312"/>
                <w:sz w:val="30"/>
                <w:szCs w:val="30"/>
              </w:rPr>
            </w:pPr>
          </w:p>
        </w:tc>
        <w:tc>
          <w:tcPr>
            <w:tcW w:w="1450" w:type="dxa"/>
            <w:noWrap w:val="0"/>
            <w:vAlign w:val="center"/>
          </w:tcPr>
          <w:p w14:paraId="0DF6CF42">
            <w:pPr>
              <w:pStyle w:val="6"/>
              <w:keepNext/>
              <w:spacing w:after="0" w:line="440" w:lineRule="exact"/>
              <w:ind w:left="63" w:right="63"/>
              <w:rPr>
                <w:rFonts w:eastAsia="仿宋_GB2312"/>
                <w:sz w:val="30"/>
                <w:szCs w:val="30"/>
              </w:rPr>
            </w:pPr>
          </w:p>
        </w:tc>
        <w:tc>
          <w:tcPr>
            <w:tcW w:w="1667" w:type="dxa"/>
            <w:noWrap w:val="0"/>
            <w:vAlign w:val="center"/>
          </w:tcPr>
          <w:p w14:paraId="44C14DC7">
            <w:pPr>
              <w:pStyle w:val="6"/>
              <w:keepNext/>
              <w:spacing w:after="0" w:line="440" w:lineRule="exact"/>
              <w:ind w:left="63" w:right="63"/>
              <w:rPr>
                <w:rFonts w:eastAsia="仿宋_GB2312"/>
                <w:sz w:val="30"/>
                <w:szCs w:val="30"/>
              </w:rPr>
            </w:pPr>
          </w:p>
        </w:tc>
      </w:tr>
      <w:tr w14:paraId="784DE2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7666633">
            <w:pPr>
              <w:pStyle w:val="6"/>
              <w:keepNext/>
              <w:spacing w:after="0" w:line="440" w:lineRule="exact"/>
              <w:ind w:left="63" w:right="63"/>
              <w:rPr>
                <w:rFonts w:eastAsia="仿宋_GB2312"/>
                <w:sz w:val="30"/>
                <w:szCs w:val="30"/>
              </w:rPr>
            </w:pPr>
          </w:p>
        </w:tc>
        <w:tc>
          <w:tcPr>
            <w:tcW w:w="1276" w:type="dxa"/>
            <w:noWrap w:val="0"/>
            <w:vAlign w:val="center"/>
          </w:tcPr>
          <w:p w14:paraId="04790E7B">
            <w:pPr>
              <w:pStyle w:val="6"/>
              <w:keepNext/>
              <w:spacing w:after="0" w:line="440" w:lineRule="exact"/>
              <w:ind w:left="63" w:right="63"/>
              <w:rPr>
                <w:rFonts w:eastAsia="仿宋_GB2312"/>
                <w:sz w:val="30"/>
                <w:szCs w:val="30"/>
              </w:rPr>
            </w:pPr>
          </w:p>
        </w:tc>
        <w:tc>
          <w:tcPr>
            <w:tcW w:w="1450" w:type="dxa"/>
            <w:noWrap w:val="0"/>
            <w:vAlign w:val="center"/>
          </w:tcPr>
          <w:p w14:paraId="11732E0B">
            <w:pPr>
              <w:pStyle w:val="6"/>
              <w:keepNext/>
              <w:spacing w:after="0" w:line="440" w:lineRule="exact"/>
              <w:ind w:left="63" w:right="63"/>
              <w:rPr>
                <w:rFonts w:eastAsia="仿宋_GB2312"/>
                <w:sz w:val="30"/>
                <w:szCs w:val="30"/>
              </w:rPr>
            </w:pPr>
          </w:p>
        </w:tc>
        <w:tc>
          <w:tcPr>
            <w:tcW w:w="1243" w:type="dxa"/>
            <w:noWrap w:val="0"/>
            <w:vAlign w:val="center"/>
          </w:tcPr>
          <w:p w14:paraId="4FDE0FA8">
            <w:pPr>
              <w:pStyle w:val="6"/>
              <w:keepNext/>
              <w:spacing w:after="0" w:line="440" w:lineRule="exact"/>
              <w:ind w:left="63" w:right="63"/>
              <w:rPr>
                <w:rFonts w:eastAsia="仿宋_GB2312"/>
                <w:sz w:val="30"/>
                <w:szCs w:val="30"/>
              </w:rPr>
            </w:pPr>
          </w:p>
        </w:tc>
        <w:tc>
          <w:tcPr>
            <w:tcW w:w="1450" w:type="dxa"/>
            <w:noWrap w:val="0"/>
            <w:vAlign w:val="center"/>
          </w:tcPr>
          <w:p w14:paraId="0AB202AE">
            <w:pPr>
              <w:pStyle w:val="6"/>
              <w:keepNext/>
              <w:spacing w:after="0" w:line="440" w:lineRule="exact"/>
              <w:ind w:left="63" w:right="63"/>
              <w:rPr>
                <w:rFonts w:eastAsia="仿宋_GB2312"/>
                <w:sz w:val="30"/>
                <w:szCs w:val="30"/>
              </w:rPr>
            </w:pPr>
          </w:p>
        </w:tc>
        <w:tc>
          <w:tcPr>
            <w:tcW w:w="1667" w:type="dxa"/>
            <w:noWrap w:val="0"/>
            <w:vAlign w:val="center"/>
          </w:tcPr>
          <w:p w14:paraId="3AA4EB2C">
            <w:pPr>
              <w:pStyle w:val="6"/>
              <w:keepNext/>
              <w:spacing w:after="0" w:line="440" w:lineRule="exact"/>
              <w:ind w:left="63" w:right="63"/>
              <w:rPr>
                <w:rFonts w:eastAsia="仿宋_GB2312"/>
                <w:sz w:val="30"/>
                <w:szCs w:val="30"/>
              </w:rPr>
            </w:pPr>
          </w:p>
        </w:tc>
      </w:tr>
      <w:tr w14:paraId="775ED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27A7C41">
            <w:pPr>
              <w:pStyle w:val="6"/>
              <w:keepNext/>
              <w:spacing w:after="0" w:line="440" w:lineRule="exact"/>
              <w:ind w:left="63" w:right="63"/>
              <w:rPr>
                <w:rFonts w:eastAsia="仿宋_GB2312"/>
                <w:sz w:val="30"/>
                <w:szCs w:val="30"/>
              </w:rPr>
            </w:pPr>
          </w:p>
        </w:tc>
        <w:tc>
          <w:tcPr>
            <w:tcW w:w="1276" w:type="dxa"/>
            <w:noWrap w:val="0"/>
            <w:vAlign w:val="center"/>
          </w:tcPr>
          <w:p w14:paraId="62FD4927">
            <w:pPr>
              <w:pStyle w:val="6"/>
              <w:keepNext/>
              <w:spacing w:after="0" w:line="440" w:lineRule="exact"/>
              <w:ind w:left="63" w:right="63"/>
              <w:rPr>
                <w:rFonts w:eastAsia="仿宋_GB2312"/>
                <w:sz w:val="30"/>
                <w:szCs w:val="30"/>
              </w:rPr>
            </w:pPr>
          </w:p>
        </w:tc>
        <w:tc>
          <w:tcPr>
            <w:tcW w:w="1450" w:type="dxa"/>
            <w:noWrap w:val="0"/>
            <w:vAlign w:val="center"/>
          </w:tcPr>
          <w:p w14:paraId="5CF3C133">
            <w:pPr>
              <w:pStyle w:val="6"/>
              <w:keepNext/>
              <w:spacing w:after="0" w:line="440" w:lineRule="exact"/>
              <w:ind w:left="63" w:right="63"/>
              <w:rPr>
                <w:rFonts w:eastAsia="仿宋_GB2312"/>
                <w:sz w:val="30"/>
                <w:szCs w:val="30"/>
              </w:rPr>
            </w:pPr>
          </w:p>
        </w:tc>
        <w:tc>
          <w:tcPr>
            <w:tcW w:w="1243" w:type="dxa"/>
            <w:noWrap w:val="0"/>
            <w:vAlign w:val="center"/>
          </w:tcPr>
          <w:p w14:paraId="1C9DCC18">
            <w:pPr>
              <w:pStyle w:val="6"/>
              <w:keepNext/>
              <w:spacing w:after="0" w:line="440" w:lineRule="exact"/>
              <w:ind w:left="63" w:right="63"/>
              <w:rPr>
                <w:rFonts w:eastAsia="仿宋_GB2312"/>
                <w:sz w:val="30"/>
                <w:szCs w:val="30"/>
              </w:rPr>
            </w:pPr>
          </w:p>
        </w:tc>
        <w:tc>
          <w:tcPr>
            <w:tcW w:w="1450" w:type="dxa"/>
            <w:noWrap w:val="0"/>
            <w:vAlign w:val="center"/>
          </w:tcPr>
          <w:p w14:paraId="0D3C3E8F">
            <w:pPr>
              <w:pStyle w:val="6"/>
              <w:keepNext/>
              <w:spacing w:after="0" w:line="440" w:lineRule="exact"/>
              <w:ind w:left="63" w:right="63"/>
              <w:rPr>
                <w:rFonts w:eastAsia="仿宋_GB2312"/>
                <w:sz w:val="30"/>
                <w:szCs w:val="30"/>
              </w:rPr>
            </w:pPr>
          </w:p>
        </w:tc>
        <w:tc>
          <w:tcPr>
            <w:tcW w:w="1667" w:type="dxa"/>
            <w:noWrap w:val="0"/>
            <w:vAlign w:val="center"/>
          </w:tcPr>
          <w:p w14:paraId="781FD419">
            <w:pPr>
              <w:pStyle w:val="6"/>
              <w:keepNext/>
              <w:spacing w:after="0" w:line="440" w:lineRule="exact"/>
              <w:ind w:left="63" w:right="63"/>
              <w:rPr>
                <w:rFonts w:eastAsia="仿宋_GB2312"/>
                <w:sz w:val="30"/>
                <w:szCs w:val="30"/>
              </w:rPr>
            </w:pPr>
          </w:p>
        </w:tc>
      </w:tr>
      <w:tr w14:paraId="36FE2A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D06A29D">
            <w:pPr>
              <w:pStyle w:val="6"/>
              <w:keepNext/>
              <w:spacing w:after="0" w:line="440" w:lineRule="exact"/>
              <w:ind w:left="63" w:right="63"/>
              <w:rPr>
                <w:rFonts w:eastAsia="仿宋_GB2312"/>
                <w:sz w:val="30"/>
                <w:szCs w:val="30"/>
              </w:rPr>
            </w:pPr>
          </w:p>
        </w:tc>
        <w:tc>
          <w:tcPr>
            <w:tcW w:w="1276" w:type="dxa"/>
            <w:noWrap w:val="0"/>
            <w:vAlign w:val="center"/>
          </w:tcPr>
          <w:p w14:paraId="1D3250A1">
            <w:pPr>
              <w:pStyle w:val="6"/>
              <w:keepNext/>
              <w:spacing w:after="0" w:line="440" w:lineRule="exact"/>
              <w:ind w:left="63" w:right="63"/>
              <w:rPr>
                <w:rFonts w:eastAsia="仿宋_GB2312"/>
                <w:sz w:val="30"/>
                <w:szCs w:val="30"/>
              </w:rPr>
            </w:pPr>
          </w:p>
        </w:tc>
        <w:tc>
          <w:tcPr>
            <w:tcW w:w="1450" w:type="dxa"/>
            <w:noWrap w:val="0"/>
            <w:vAlign w:val="center"/>
          </w:tcPr>
          <w:p w14:paraId="4452DEAE">
            <w:pPr>
              <w:pStyle w:val="6"/>
              <w:keepNext/>
              <w:spacing w:after="0" w:line="440" w:lineRule="exact"/>
              <w:ind w:left="63" w:right="63"/>
              <w:rPr>
                <w:rFonts w:eastAsia="仿宋_GB2312"/>
                <w:sz w:val="30"/>
                <w:szCs w:val="30"/>
              </w:rPr>
            </w:pPr>
          </w:p>
        </w:tc>
        <w:tc>
          <w:tcPr>
            <w:tcW w:w="1243" w:type="dxa"/>
            <w:noWrap w:val="0"/>
            <w:vAlign w:val="center"/>
          </w:tcPr>
          <w:p w14:paraId="4C01D4E5">
            <w:pPr>
              <w:pStyle w:val="6"/>
              <w:keepNext/>
              <w:spacing w:after="0" w:line="440" w:lineRule="exact"/>
              <w:ind w:left="63" w:right="63"/>
              <w:rPr>
                <w:rFonts w:eastAsia="仿宋_GB2312"/>
                <w:sz w:val="30"/>
                <w:szCs w:val="30"/>
              </w:rPr>
            </w:pPr>
          </w:p>
        </w:tc>
        <w:tc>
          <w:tcPr>
            <w:tcW w:w="1450" w:type="dxa"/>
            <w:noWrap w:val="0"/>
            <w:vAlign w:val="center"/>
          </w:tcPr>
          <w:p w14:paraId="12961287">
            <w:pPr>
              <w:pStyle w:val="6"/>
              <w:keepNext/>
              <w:spacing w:after="0" w:line="440" w:lineRule="exact"/>
              <w:ind w:left="63" w:right="63"/>
              <w:rPr>
                <w:rFonts w:eastAsia="仿宋_GB2312"/>
                <w:sz w:val="30"/>
                <w:szCs w:val="30"/>
              </w:rPr>
            </w:pPr>
          </w:p>
        </w:tc>
        <w:tc>
          <w:tcPr>
            <w:tcW w:w="1667" w:type="dxa"/>
            <w:noWrap w:val="0"/>
            <w:vAlign w:val="center"/>
          </w:tcPr>
          <w:p w14:paraId="2AEA3D87">
            <w:pPr>
              <w:pStyle w:val="6"/>
              <w:keepNext/>
              <w:spacing w:after="0" w:line="440" w:lineRule="exact"/>
              <w:ind w:left="63" w:right="63"/>
              <w:rPr>
                <w:rFonts w:eastAsia="仿宋_GB2312"/>
                <w:sz w:val="30"/>
                <w:szCs w:val="30"/>
              </w:rPr>
            </w:pPr>
          </w:p>
        </w:tc>
      </w:tr>
      <w:tr w14:paraId="3E6DB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74089C6">
            <w:pPr>
              <w:rPr>
                <w:rFonts w:eastAsia="仿宋_GB2312"/>
                <w:sz w:val="30"/>
                <w:szCs w:val="30"/>
              </w:rPr>
            </w:pPr>
          </w:p>
        </w:tc>
        <w:tc>
          <w:tcPr>
            <w:tcW w:w="1276" w:type="dxa"/>
            <w:noWrap w:val="0"/>
            <w:vAlign w:val="top"/>
          </w:tcPr>
          <w:p w14:paraId="1270B403">
            <w:pPr>
              <w:rPr>
                <w:rFonts w:eastAsia="仿宋_GB2312"/>
                <w:sz w:val="30"/>
                <w:szCs w:val="30"/>
              </w:rPr>
            </w:pPr>
          </w:p>
        </w:tc>
        <w:tc>
          <w:tcPr>
            <w:tcW w:w="1450" w:type="dxa"/>
            <w:noWrap w:val="0"/>
            <w:vAlign w:val="top"/>
          </w:tcPr>
          <w:p w14:paraId="581ED45B">
            <w:pPr>
              <w:rPr>
                <w:rFonts w:eastAsia="仿宋_GB2312"/>
                <w:sz w:val="30"/>
                <w:szCs w:val="30"/>
              </w:rPr>
            </w:pPr>
          </w:p>
        </w:tc>
        <w:tc>
          <w:tcPr>
            <w:tcW w:w="1243" w:type="dxa"/>
            <w:noWrap w:val="0"/>
            <w:vAlign w:val="top"/>
          </w:tcPr>
          <w:p w14:paraId="3D71172D">
            <w:pPr>
              <w:rPr>
                <w:rFonts w:eastAsia="仿宋_GB2312"/>
                <w:sz w:val="30"/>
                <w:szCs w:val="30"/>
              </w:rPr>
            </w:pPr>
          </w:p>
        </w:tc>
        <w:tc>
          <w:tcPr>
            <w:tcW w:w="1450" w:type="dxa"/>
            <w:noWrap w:val="0"/>
            <w:vAlign w:val="top"/>
          </w:tcPr>
          <w:p w14:paraId="13F0E7A3">
            <w:pPr>
              <w:rPr>
                <w:rFonts w:eastAsia="仿宋_GB2312"/>
                <w:sz w:val="30"/>
                <w:szCs w:val="30"/>
              </w:rPr>
            </w:pPr>
          </w:p>
        </w:tc>
        <w:tc>
          <w:tcPr>
            <w:tcW w:w="1667" w:type="dxa"/>
            <w:noWrap w:val="0"/>
            <w:vAlign w:val="top"/>
          </w:tcPr>
          <w:p w14:paraId="764C232D">
            <w:pPr>
              <w:rPr>
                <w:rFonts w:eastAsia="仿宋_GB2312"/>
                <w:sz w:val="30"/>
                <w:szCs w:val="30"/>
              </w:rPr>
            </w:pPr>
          </w:p>
        </w:tc>
      </w:tr>
      <w:tr w14:paraId="276420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1D0A0AD">
            <w:pPr>
              <w:pStyle w:val="6"/>
              <w:keepNext/>
              <w:spacing w:after="0" w:line="440" w:lineRule="exact"/>
              <w:ind w:left="63" w:right="63"/>
              <w:rPr>
                <w:rFonts w:eastAsia="仿宋_GB2312"/>
                <w:sz w:val="30"/>
                <w:szCs w:val="30"/>
              </w:rPr>
            </w:pPr>
          </w:p>
        </w:tc>
        <w:tc>
          <w:tcPr>
            <w:tcW w:w="1276" w:type="dxa"/>
            <w:noWrap w:val="0"/>
            <w:vAlign w:val="center"/>
          </w:tcPr>
          <w:p w14:paraId="0EF4AA1D">
            <w:pPr>
              <w:pStyle w:val="6"/>
              <w:keepNext/>
              <w:spacing w:after="0" w:line="440" w:lineRule="exact"/>
              <w:ind w:left="63" w:right="63"/>
              <w:rPr>
                <w:rFonts w:eastAsia="仿宋_GB2312"/>
                <w:sz w:val="30"/>
                <w:szCs w:val="30"/>
              </w:rPr>
            </w:pPr>
          </w:p>
        </w:tc>
        <w:tc>
          <w:tcPr>
            <w:tcW w:w="1450" w:type="dxa"/>
            <w:noWrap w:val="0"/>
            <w:vAlign w:val="center"/>
          </w:tcPr>
          <w:p w14:paraId="001F99DE">
            <w:pPr>
              <w:pStyle w:val="6"/>
              <w:keepNext/>
              <w:spacing w:after="0" w:line="440" w:lineRule="exact"/>
              <w:ind w:left="63" w:right="63"/>
              <w:rPr>
                <w:rFonts w:eastAsia="仿宋_GB2312"/>
                <w:sz w:val="30"/>
                <w:szCs w:val="30"/>
              </w:rPr>
            </w:pPr>
          </w:p>
        </w:tc>
        <w:tc>
          <w:tcPr>
            <w:tcW w:w="1243" w:type="dxa"/>
            <w:noWrap w:val="0"/>
            <w:vAlign w:val="center"/>
          </w:tcPr>
          <w:p w14:paraId="7BA2A4C7">
            <w:pPr>
              <w:pStyle w:val="6"/>
              <w:keepNext/>
              <w:spacing w:after="0" w:line="440" w:lineRule="exact"/>
              <w:ind w:left="63" w:right="63"/>
              <w:rPr>
                <w:rFonts w:eastAsia="仿宋_GB2312"/>
                <w:sz w:val="30"/>
                <w:szCs w:val="30"/>
              </w:rPr>
            </w:pPr>
          </w:p>
        </w:tc>
        <w:tc>
          <w:tcPr>
            <w:tcW w:w="1450" w:type="dxa"/>
            <w:noWrap w:val="0"/>
            <w:vAlign w:val="center"/>
          </w:tcPr>
          <w:p w14:paraId="20AE1546">
            <w:pPr>
              <w:pStyle w:val="6"/>
              <w:keepNext/>
              <w:spacing w:after="0" w:line="440" w:lineRule="exact"/>
              <w:ind w:left="63" w:right="63"/>
              <w:rPr>
                <w:rFonts w:eastAsia="仿宋_GB2312"/>
                <w:sz w:val="30"/>
                <w:szCs w:val="30"/>
              </w:rPr>
            </w:pPr>
          </w:p>
        </w:tc>
        <w:tc>
          <w:tcPr>
            <w:tcW w:w="1667" w:type="dxa"/>
            <w:noWrap w:val="0"/>
            <w:vAlign w:val="center"/>
          </w:tcPr>
          <w:p w14:paraId="31BDD659">
            <w:pPr>
              <w:pStyle w:val="6"/>
              <w:keepNext/>
              <w:spacing w:after="0" w:line="440" w:lineRule="exact"/>
              <w:ind w:left="63" w:right="63"/>
              <w:rPr>
                <w:rFonts w:eastAsia="仿宋_GB2312"/>
                <w:sz w:val="30"/>
                <w:szCs w:val="30"/>
              </w:rPr>
            </w:pPr>
          </w:p>
        </w:tc>
      </w:tr>
      <w:tr w14:paraId="4A577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069B451">
            <w:pPr>
              <w:rPr>
                <w:rFonts w:eastAsia="仿宋_GB2312"/>
                <w:sz w:val="30"/>
                <w:szCs w:val="30"/>
              </w:rPr>
            </w:pPr>
          </w:p>
        </w:tc>
        <w:tc>
          <w:tcPr>
            <w:tcW w:w="1276" w:type="dxa"/>
            <w:noWrap w:val="0"/>
            <w:vAlign w:val="top"/>
          </w:tcPr>
          <w:p w14:paraId="1CEB007F">
            <w:pPr>
              <w:rPr>
                <w:rFonts w:eastAsia="仿宋_GB2312"/>
                <w:sz w:val="30"/>
                <w:szCs w:val="30"/>
              </w:rPr>
            </w:pPr>
          </w:p>
        </w:tc>
        <w:tc>
          <w:tcPr>
            <w:tcW w:w="1450" w:type="dxa"/>
            <w:noWrap w:val="0"/>
            <w:vAlign w:val="top"/>
          </w:tcPr>
          <w:p w14:paraId="56C1DB75">
            <w:pPr>
              <w:rPr>
                <w:rFonts w:eastAsia="仿宋_GB2312"/>
                <w:sz w:val="30"/>
                <w:szCs w:val="30"/>
              </w:rPr>
            </w:pPr>
          </w:p>
        </w:tc>
        <w:tc>
          <w:tcPr>
            <w:tcW w:w="1243" w:type="dxa"/>
            <w:noWrap w:val="0"/>
            <w:vAlign w:val="top"/>
          </w:tcPr>
          <w:p w14:paraId="2356B922">
            <w:pPr>
              <w:rPr>
                <w:rFonts w:eastAsia="仿宋_GB2312"/>
                <w:sz w:val="30"/>
                <w:szCs w:val="30"/>
              </w:rPr>
            </w:pPr>
          </w:p>
        </w:tc>
        <w:tc>
          <w:tcPr>
            <w:tcW w:w="1450" w:type="dxa"/>
            <w:noWrap w:val="0"/>
            <w:vAlign w:val="top"/>
          </w:tcPr>
          <w:p w14:paraId="6DEA59AA">
            <w:pPr>
              <w:rPr>
                <w:rFonts w:eastAsia="仿宋_GB2312"/>
                <w:sz w:val="30"/>
                <w:szCs w:val="30"/>
              </w:rPr>
            </w:pPr>
          </w:p>
        </w:tc>
        <w:tc>
          <w:tcPr>
            <w:tcW w:w="1667" w:type="dxa"/>
            <w:noWrap w:val="0"/>
            <w:vAlign w:val="top"/>
          </w:tcPr>
          <w:p w14:paraId="03551795">
            <w:pPr>
              <w:rPr>
                <w:rFonts w:eastAsia="仿宋_GB2312"/>
                <w:sz w:val="30"/>
                <w:szCs w:val="30"/>
              </w:rPr>
            </w:pPr>
          </w:p>
        </w:tc>
      </w:tr>
      <w:tr w14:paraId="014347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AEFC708">
            <w:pPr>
              <w:rPr>
                <w:rFonts w:eastAsia="仿宋_GB2312"/>
                <w:sz w:val="30"/>
                <w:szCs w:val="30"/>
              </w:rPr>
            </w:pPr>
          </w:p>
        </w:tc>
        <w:tc>
          <w:tcPr>
            <w:tcW w:w="1276" w:type="dxa"/>
            <w:noWrap w:val="0"/>
            <w:vAlign w:val="top"/>
          </w:tcPr>
          <w:p w14:paraId="237DA973">
            <w:pPr>
              <w:rPr>
                <w:rFonts w:eastAsia="仿宋_GB2312"/>
                <w:sz w:val="30"/>
                <w:szCs w:val="30"/>
              </w:rPr>
            </w:pPr>
          </w:p>
        </w:tc>
        <w:tc>
          <w:tcPr>
            <w:tcW w:w="1450" w:type="dxa"/>
            <w:noWrap w:val="0"/>
            <w:vAlign w:val="top"/>
          </w:tcPr>
          <w:p w14:paraId="28DDAF97">
            <w:pPr>
              <w:rPr>
                <w:rFonts w:eastAsia="仿宋_GB2312"/>
                <w:sz w:val="30"/>
                <w:szCs w:val="30"/>
              </w:rPr>
            </w:pPr>
          </w:p>
        </w:tc>
        <w:tc>
          <w:tcPr>
            <w:tcW w:w="1243" w:type="dxa"/>
            <w:noWrap w:val="0"/>
            <w:vAlign w:val="top"/>
          </w:tcPr>
          <w:p w14:paraId="29DF0E62">
            <w:pPr>
              <w:rPr>
                <w:rFonts w:eastAsia="仿宋_GB2312"/>
                <w:sz w:val="30"/>
                <w:szCs w:val="30"/>
              </w:rPr>
            </w:pPr>
          </w:p>
        </w:tc>
        <w:tc>
          <w:tcPr>
            <w:tcW w:w="1450" w:type="dxa"/>
            <w:noWrap w:val="0"/>
            <w:vAlign w:val="top"/>
          </w:tcPr>
          <w:p w14:paraId="002E63DD">
            <w:pPr>
              <w:rPr>
                <w:rFonts w:eastAsia="仿宋_GB2312"/>
                <w:sz w:val="30"/>
                <w:szCs w:val="30"/>
              </w:rPr>
            </w:pPr>
          </w:p>
        </w:tc>
        <w:tc>
          <w:tcPr>
            <w:tcW w:w="1667" w:type="dxa"/>
            <w:noWrap w:val="0"/>
            <w:vAlign w:val="top"/>
          </w:tcPr>
          <w:p w14:paraId="6048025D">
            <w:pPr>
              <w:rPr>
                <w:rFonts w:eastAsia="仿宋_GB2312"/>
                <w:sz w:val="30"/>
                <w:szCs w:val="30"/>
              </w:rPr>
            </w:pPr>
          </w:p>
        </w:tc>
      </w:tr>
      <w:tr w14:paraId="122072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510760C">
            <w:pPr>
              <w:rPr>
                <w:rFonts w:eastAsia="仿宋_GB2312"/>
                <w:sz w:val="30"/>
                <w:szCs w:val="30"/>
              </w:rPr>
            </w:pPr>
          </w:p>
        </w:tc>
        <w:tc>
          <w:tcPr>
            <w:tcW w:w="1276" w:type="dxa"/>
            <w:noWrap w:val="0"/>
            <w:vAlign w:val="top"/>
          </w:tcPr>
          <w:p w14:paraId="1020987B">
            <w:pPr>
              <w:rPr>
                <w:rFonts w:eastAsia="仿宋_GB2312"/>
                <w:sz w:val="30"/>
                <w:szCs w:val="30"/>
              </w:rPr>
            </w:pPr>
          </w:p>
        </w:tc>
        <w:tc>
          <w:tcPr>
            <w:tcW w:w="1450" w:type="dxa"/>
            <w:noWrap w:val="0"/>
            <w:vAlign w:val="top"/>
          </w:tcPr>
          <w:p w14:paraId="1C95BAD3">
            <w:pPr>
              <w:rPr>
                <w:rFonts w:eastAsia="仿宋_GB2312"/>
                <w:sz w:val="30"/>
                <w:szCs w:val="30"/>
              </w:rPr>
            </w:pPr>
          </w:p>
        </w:tc>
        <w:tc>
          <w:tcPr>
            <w:tcW w:w="1243" w:type="dxa"/>
            <w:noWrap w:val="0"/>
            <w:vAlign w:val="top"/>
          </w:tcPr>
          <w:p w14:paraId="750B7E49">
            <w:pPr>
              <w:rPr>
                <w:rFonts w:eastAsia="仿宋_GB2312"/>
                <w:sz w:val="30"/>
                <w:szCs w:val="30"/>
              </w:rPr>
            </w:pPr>
          </w:p>
        </w:tc>
        <w:tc>
          <w:tcPr>
            <w:tcW w:w="1450" w:type="dxa"/>
            <w:noWrap w:val="0"/>
            <w:vAlign w:val="top"/>
          </w:tcPr>
          <w:p w14:paraId="03FD63C4">
            <w:pPr>
              <w:rPr>
                <w:rFonts w:eastAsia="仿宋_GB2312"/>
                <w:sz w:val="30"/>
                <w:szCs w:val="30"/>
              </w:rPr>
            </w:pPr>
          </w:p>
        </w:tc>
        <w:tc>
          <w:tcPr>
            <w:tcW w:w="1667" w:type="dxa"/>
            <w:noWrap w:val="0"/>
            <w:vAlign w:val="top"/>
          </w:tcPr>
          <w:p w14:paraId="52F43C66">
            <w:pPr>
              <w:rPr>
                <w:rFonts w:eastAsia="仿宋_GB2312"/>
                <w:sz w:val="30"/>
                <w:szCs w:val="30"/>
              </w:rPr>
            </w:pPr>
          </w:p>
        </w:tc>
      </w:tr>
      <w:tr w14:paraId="2BA65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91BBB2">
            <w:pPr>
              <w:rPr>
                <w:rFonts w:eastAsia="仿宋_GB2312"/>
                <w:sz w:val="30"/>
                <w:szCs w:val="30"/>
              </w:rPr>
            </w:pPr>
          </w:p>
        </w:tc>
        <w:tc>
          <w:tcPr>
            <w:tcW w:w="1276" w:type="dxa"/>
            <w:noWrap w:val="0"/>
            <w:vAlign w:val="top"/>
          </w:tcPr>
          <w:p w14:paraId="52E46197">
            <w:pPr>
              <w:rPr>
                <w:rFonts w:eastAsia="仿宋_GB2312"/>
                <w:sz w:val="30"/>
                <w:szCs w:val="30"/>
              </w:rPr>
            </w:pPr>
          </w:p>
        </w:tc>
        <w:tc>
          <w:tcPr>
            <w:tcW w:w="1450" w:type="dxa"/>
            <w:noWrap w:val="0"/>
            <w:vAlign w:val="top"/>
          </w:tcPr>
          <w:p w14:paraId="75688BD2">
            <w:pPr>
              <w:rPr>
                <w:rFonts w:eastAsia="仿宋_GB2312"/>
                <w:sz w:val="30"/>
                <w:szCs w:val="30"/>
              </w:rPr>
            </w:pPr>
          </w:p>
        </w:tc>
        <w:tc>
          <w:tcPr>
            <w:tcW w:w="1243" w:type="dxa"/>
            <w:noWrap w:val="0"/>
            <w:vAlign w:val="top"/>
          </w:tcPr>
          <w:p w14:paraId="5B6F5567">
            <w:pPr>
              <w:rPr>
                <w:rFonts w:eastAsia="仿宋_GB2312"/>
                <w:sz w:val="30"/>
                <w:szCs w:val="30"/>
              </w:rPr>
            </w:pPr>
          </w:p>
        </w:tc>
        <w:tc>
          <w:tcPr>
            <w:tcW w:w="1450" w:type="dxa"/>
            <w:noWrap w:val="0"/>
            <w:vAlign w:val="top"/>
          </w:tcPr>
          <w:p w14:paraId="4C60953F">
            <w:pPr>
              <w:rPr>
                <w:rFonts w:eastAsia="仿宋_GB2312"/>
                <w:sz w:val="30"/>
                <w:szCs w:val="30"/>
              </w:rPr>
            </w:pPr>
          </w:p>
        </w:tc>
        <w:tc>
          <w:tcPr>
            <w:tcW w:w="1667" w:type="dxa"/>
            <w:noWrap w:val="0"/>
            <w:vAlign w:val="top"/>
          </w:tcPr>
          <w:p w14:paraId="5D7F01C4">
            <w:pPr>
              <w:rPr>
                <w:rFonts w:eastAsia="仿宋_GB2312"/>
                <w:sz w:val="30"/>
                <w:szCs w:val="30"/>
              </w:rPr>
            </w:pPr>
          </w:p>
        </w:tc>
      </w:tr>
      <w:tr w14:paraId="3B13E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C5DD70F">
            <w:pPr>
              <w:rPr>
                <w:rFonts w:eastAsia="仿宋_GB2312"/>
                <w:sz w:val="30"/>
                <w:szCs w:val="30"/>
              </w:rPr>
            </w:pPr>
          </w:p>
        </w:tc>
        <w:tc>
          <w:tcPr>
            <w:tcW w:w="1276" w:type="dxa"/>
            <w:noWrap w:val="0"/>
            <w:vAlign w:val="top"/>
          </w:tcPr>
          <w:p w14:paraId="7750BDDF">
            <w:pPr>
              <w:rPr>
                <w:rFonts w:eastAsia="仿宋_GB2312"/>
                <w:sz w:val="30"/>
                <w:szCs w:val="30"/>
              </w:rPr>
            </w:pPr>
          </w:p>
        </w:tc>
        <w:tc>
          <w:tcPr>
            <w:tcW w:w="1450" w:type="dxa"/>
            <w:noWrap w:val="0"/>
            <w:vAlign w:val="top"/>
          </w:tcPr>
          <w:p w14:paraId="0212C67A">
            <w:pPr>
              <w:rPr>
                <w:rFonts w:eastAsia="仿宋_GB2312"/>
                <w:sz w:val="30"/>
                <w:szCs w:val="30"/>
              </w:rPr>
            </w:pPr>
          </w:p>
        </w:tc>
        <w:tc>
          <w:tcPr>
            <w:tcW w:w="1243" w:type="dxa"/>
            <w:noWrap w:val="0"/>
            <w:vAlign w:val="top"/>
          </w:tcPr>
          <w:p w14:paraId="72BAC6BB">
            <w:pPr>
              <w:rPr>
                <w:rFonts w:eastAsia="仿宋_GB2312"/>
                <w:sz w:val="30"/>
                <w:szCs w:val="30"/>
              </w:rPr>
            </w:pPr>
          </w:p>
        </w:tc>
        <w:tc>
          <w:tcPr>
            <w:tcW w:w="1450" w:type="dxa"/>
            <w:noWrap w:val="0"/>
            <w:vAlign w:val="top"/>
          </w:tcPr>
          <w:p w14:paraId="01BBDDD5">
            <w:pPr>
              <w:rPr>
                <w:rFonts w:eastAsia="仿宋_GB2312"/>
                <w:sz w:val="30"/>
                <w:szCs w:val="30"/>
              </w:rPr>
            </w:pPr>
          </w:p>
        </w:tc>
        <w:tc>
          <w:tcPr>
            <w:tcW w:w="1667" w:type="dxa"/>
            <w:noWrap w:val="0"/>
            <w:vAlign w:val="top"/>
          </w:tcPr>
          <w:p w14:paraId="1A47D748">
            <w:pPr>
              <w:rPr>
                <w:rFonts w:eastAsia="仿宋_GB2312"/>
                <w:sz w:val="30"/>
                <w:szCs w:val="30"/>
              </w:rPr>
            </w:pPr>
          </w:p>
        </w:tc>
      </w:tr>
      <w:tr w14:paraId="01459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1D8D6A">
            <w:pPr>
              <w:rPr>
                <w:rFonts w:eastAsia="仿宋_GB2312"/>
                <w:sz w:val="30"/>
                <w:szCs w:val="30"/>
              </w:rPr>
            </w:pPr>
          </w:p>
        </w:tc>
        <w:tc>
          <w:tcPr>
            <w:tcW w:w="1276" w:type="dxa"/>
            <w:noWrap w:val="0"/>
            <w:vAlign w:val="top"/>
          </w:tcPr>
          <w:p w14:paraId="45525F81">
            <w:pPr>
              <w:rPr>
                <w:rFonts w:eastAsia="仿宋_GB2312"/>
                <w:sz w:val="30"/>
                <w:szCs w:val="30"/>
              </w:rPr>
            </w:pPr>
          </w:p>
        </w:tc>
        <w:tc>
          <w:tcPr>
            <w:tcW w:w="1450" w:type="dxa"/>
            <w:noWrap w:val="0"/>
            <w:vAlign w:val="top"/>
          </w:tcPr>
          <w:p w14:paraId="46768DDB">
            <w:pPr>
              <w:rPr>
                <w:rFonts w:eastAsia="仿宋_GB2312"/>
                <w:sz w:val="30"/>
                <w:szCs w:val="30"/>
              </w:rPr>
            </w:pPr>
          </w:p>
        </w:tc>
        <w:tc>
          <w:tcPr>
            <w:tcW w:w="1243" w:type="dxa"/>
            <w:noWrap w:val="0"/>
            <w:vAlign w:val="top"/>
          </w:tcPr>
          <w:p w14:paraId="0BD698EA">
            <w:pPr>
              <w:rPr>
                <w:rFonts w:eastAsia="仿宋_GB2312"/>
                <w:sz w:val="30"/>
                <w:szCs w:val="30"/>
              </w:rPr>
            </w:pPr>
          </w:p>
        </w:tc>
        <w:tc>
          <w:tcPr>
            <w:tcW w:w="1450" w:type="dxa"/>
            <w:noWrap w:val="0"/>
            <w:vAlign w:val="top"/>
          </w:tcPr>
          <w:p w14:paraId="7540AC19">
            <w:pPr>
              <w:rPr>
                <w:rFonts w:eastAsia="仿宋_GB2312"/>
                <w:sz w:val="30"/>
                <w:szCs w:val="30"/>
              </w:rPr>
            </w:pPr>
          </w:p>
        </w:tc>
        <w:tc>
          <w:tcPr>
            <w:tcW w:w="1667" w:type="dxa"/>
            <w:noWrap w:val="0"/>
            <w:vAlign w:val="top"/>
          </w:tcPr>
          <w:p w14:paraId="5F8E2FAE">
            <w:pPr>
              <w:rPr>
                <w:rFonts w:eastAsia="仿宋_GB2312"/>
                <w:sz w:val="30"/>
                <w:szCs w:val="30"/>
              </w:rPr>
            </w:pPr>
          </w:p>
        </w:tc>
      </w:tr>
      <w:tr w14:paraId="6794AA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BDB4B2">
            <w:pPr>
              <w:rPr>
                <w:rFonts w:eastAsia="仿宋_GB2312"/>
                <w:sz w:val="30"/>
                <w:szCs w:val="30"/>
              </w:rPr>
            </w:pPr>
          </w:p>
        </w:tc>
        <w:tc>
          <w:tcPr>
            <w:tcW w:w="1276" w:type="dxa"/>
            <w:noWrap w:val="0"/>
            <w:vAlign w:val="top"/>
          </w:tcPr>
          <w:p w14:paraId="24FCFC0E">
            <w:pPr>
              <w:rPr>
                <w:rFonts w:eastAsia="仿宋_GB2312"/>
                <w:sz w:val="30"/>
                <w:szCs w:val="30"/>
              </w:rPr>
            </w:pPr>
          </w:p>
        </w:tc>
        <w:tc>
          <w:tcPr>
            <w:tcW w:w="1450" w:type="dxa"/>
            <w:noWrap w:val="0"/>
            <w:vAlign w:val="top"/>
          </w:tcPr>
          <w:p w14:paraId="47832F50">
            <w:pPr>
              <w:rPr>
                <w:rFonts w:eastAsia="仿宋_GB2312"/>
                <w:sz w:val="30"/>
                <w:szCs w:val="30"/>
              </w:rPr>
            </w:pPr>
          </w:p>
        </w:tc>
        <w:tc>
          <w:tcPr>
            <w:tcW w:w="1243" w:type="dxa"/>
            <w:noWrap w:val="0"/>
            <w:vAlign w:val="top"/>
          </w:tcPr>
          <w:p w14:paraId="3DB925C8">
            <w:pPr>
              <w:rPr>
                <w:rFonts w:eastAsia="仿宋_GB2312"/>
                <w:sz w:val="30"/>
                <w:szCs w:val="30"/>
              </w:rPr>
            </w:pPr>
          </w:p>
        </w:tc>
        <w:tc>
          <w:tcPr>
            <w:tcW w:w="1450" w:type="dxa"/>
            <w:noWrap w:val="0"/>
            <w:vAlign w:val="top"/>
          </w:tcPr>
          <w:p w14:paraId="3BB6BF78">
            <w:pPr>
              <w:rPr>
                <w:rFonts w:eastAsia="仿宋_GB2312"/>
                <w:sz w:val="30"/>
                <w:szCs w:val="30"/>
              </w:rPr>
            </w:pPr>
          </w:p>
        </w:tc>
        <w:tc>
          <w:tcPr>
            <w:tcW w:w="1667" w:type="dxa"/>
            <w:noWrap w:val="0"/>
            <w:vAlign w:val="top"/>
          </w:tcPr>
          <w:p w14:paraId="5CEDFA56">
            <w:pPr>
              <w:rPr>
                <w:rFonts w:eastAsia="仿宋_GB2312"/>
                <w:sz w:val="30"/>
                <w:szCs w:val="30"/>
              </w:rPr>
            </w:pPr>
          </w:p>
        </w:tc>
      </w:tr>
      <w:tr w14:paraId="3BBBD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99FAF4">
            <w:pPr>
              <w:rPr>
                <w:rFonts w:eastAsia="仿宋_GB2312"/>
                <w:sz w:val="30"/>
                <w:szCs w:val="30"/>
              </w:rPr>
            </w:pPr>
          </w:p>
        </w:tc>
        <w:tc>
          <w:tcPr>
            <w:tcW w:w="1276" w:type="dxa"/>
            <w:noWrap w:val="0"/>
            <w:vAlign w:val="top"/>
          </w:tcPr>
          <w:p w14:paraId="18357D95">
            <w:pPr>
              <w:rPr>
                <w:rFonts w:eastAsia="仿宋_GB2312"/>
                <w:sz w:val="30"/>
                <w:szCs w:val="30"/>
              </w:rPr>
            </w:pPr>
          </w:p>
        </w:tc>
        <w:tc>
          <w:tcPr>
            <w:tcW w:w="1450" w:type="dxa"/>
            <w:noWrap w:val="0"/>
            <w:vAlign w:val="top"/>
          </w:tcPr>
          <w:p w14:paraId="7A4A0FAE">
            <w:pPr>
              <w:rPr>
                <w:rFonts w:eastAsia="仿宋_GB2312"/>
                <w:sz w:val="30"/>
                <w:szCs w:val="30"/>
              </w:rPr>
            </w:pPr>
          </w:p>
        </w:tc>
        <w:tc>
          <w:tcPr>
            <w:tcW w:w="1243" w:type="dxa"/>
            <w:noWrap w:val="0"/>
            <w:vAlign w:val="top"/>
          </w:tcPr>
          <w:p w14:paraId="1FF927F1">
            <w:pPr>
              <w:rPr>
                <w:rFonts w:eastAsia="仿宋_GB2312"/>
                <w:sz w:val="30"/>
                <w:szCs w:val="30"/>
              </w:rPr>
            </w:pPr>
          </w:p>
        </w:tc>
        <w:tc>
          <w:tcPr>
            <w:tcW w:w="1450" w:type="dxa"/>
            <w:noWrap w:val="0"/>
            <w:vAlign w:val="top"/>
          </w:tcPr>
          <w:p w14:paraId="26B12B3F">
            <w:pPr>
              <w:rPr>
                <w:rFonts w:eastAsia="仿宋_GB2312"/>
                <w:sz w:val="30"/>
                <w:szCs w:val="30"/>
              </w:rPr>
            </w:pPr>
          </w:p>
        </w:tc>
        <w:tc>
          <w:tcPr>
            <w:tcW w:w="1667" w:type="dxa"/>
            <w:noWrap w:val="0"/>
            <w:vAlign w:val="top"/>
          </w:tcPr>
          <w:p w14:paraId="687D8216">
            <w:pPr>
              <w:rPr>
                <w:rFonts w:eastAsia="仿宋_GB2312"/>
                <w:sz w:val="30"/>
                <w:szCs w:val="30"/>
              </w:rPr>
            </w:pPr>
          </w:p>
        </w:tc>
      </w:tr>
      <w:tr w14:paraId="50AB9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E23FD9">
            <w:pPr>
              <w:rPr>
                <w:rFonts w:eastAsia="仿宋_GB2312"/>
                <w:sz w:val="30"/>
                <w:szCs w:val="30"/>
              </w:rPr>
            </w:pPr>
          </w:p>
        </w:tc>
        <w:tc>
          <w:tcPr>
            <w:tcW w:w="1276" w:type="dxa"/>
            <w:noWrap w:val="0"/>
            <w:vAlign w:val="top"/>
          </w:tcPr>
          <w:p w14:paraId="3C468D06">
            <w:pPr>
              <w:rPr>
                <w:rFonts w:eastAsia="仿宋_GB2312"/>
                <w:sz w:val="30"/>
                <w:szCs w:val="30"/>
              </w:rPr>
            </w:pPr>
          </w:p>
        </w:tc>
        <w:tc>
          <w:tcPr>
            <w:tcW w:w="1450" w:type="dxa"/>
            <w:noWrap w:val="0"/>
            <w:vAlign w:val="top"/>
          </w:tcPr>
          <w:p w14:paraId="590223A6">
            <w:pPr>
              <w:rPr>
                <w:rFonts w:eastAsia="仿宋_GB2312"/>
                <w:sz w:val="30"/>
                <w:szCs w:val="30"/>
              </w:rPr>
            </w:pPr>
          </w:p>
        </w:tc>
        <w:tc>
          <w:tcPr>
            <w:tcW w:w="1243" w:type="dxa"/>
            <w:noWrap w:val="0"/>
            <w:vAlign w:val="top"/>
          </w:tcPr>
          <w:p w14:paraId="0726C0E4">
            <w:pPr>
              <w:rPr>
                <w:rFonts w:eastAsia="仿宋_GB2312"/>
                <w:sz w:val="30"/>
                <w:szCs w:val="30"/>
              </w:rPr>
            </w:pPr>
          </w:p>
        </w:tc>
        <w:tc>
          <w:tcPr>
            <w:tcW w:w="1450" w:type="dxa"/>
            <w:noWrap w:val="0"/>
            <w:vAlign w:val="top"/>
          </w:tcPr>
          <w:p w14:paraId="5E1B3825">
            <w:pPr>
              <w:rPr>
                <w:rFonts w:eastAsia="仿宋_GB2312"/>
                <w:sz w:val="30"/>
                <w:szCs w:val="30"/>
              </w:rPr>
            </w:pPr>
          </w:p>
        </w:tc>
        <w:tc>
          <w:tcPr>
            <w:tcW w:w="1667" w:type="dxa"/>
            <w:noWrap w:val="0"/>
            <w:vAlign w:val="top"/>
          </w:tcPr>
          <w:p w14:paraId="7CE5AAFC">
            <w:pPr>
              <w:rPr>
                <w:rFonts w:eastAsia="仿宋_GB2312"/>
                <w:sz w:val="30"/>
                <w:szCs w:val="30"/>
              </w:rPr>
            </w:pPr>
          </w:p>
        </w:tc>
      </w:tr>
    </w:tbl>
    <w:p w14:paraId="56E8638C">
      <w:pPr>
        <w:spacing w:line="440" w:lineRule="exact"/>
        <w:rPr>
          <w:rFonts w:hint="eastAsia" w:eastAsia="仿宋_GB2312"/>
          <w:sz w:val="30"/>
          <w:szCs w:val="30"/>
        </w:rPr>
      </w:pPr>
    </w:p>
    <w:p w14:paraId="1BB7D5D2">
      <w:pPr>
        <w:spacing w:before="120" w:beforeLines="50" w:after="120" w:afterLines="50" w:line="440" w:lineRule="exact"/>
        <w:jc w:val="left"/>
        <w:rPr>
          <w:rFonts w:eastAsia="黑体"/>
          <w:sz w:val="30"/>
          <w:szCs w:val="30"/>
        </w:rPr>
      </w:pPr>
      <w:r>
        <w:rPr>
          <w:rFonts w:eastAsia="仿宋_GB2312"/>
          <w:sz w:val="30"/>
          <w:szCs w:val="30"/>
        </w:rPr>
        <w:br w:type="page"/>
      </w:r>
      <w:r>
        <w:rPr>
          <w:rFonts w:ascii="宋体" w:hAnsi="宋体"/>
          <w:sz w:val="24"/>
        </w:rPr>
        <w:t>附</w:t>
      </w:r>
      <w:bookmarkStart w:id="2539" w:name="_Toc267261698"/>
      <w:bookmarkStart w:id="2540" w:name="_Toc296347226"/>
      <w:bookmarkStart w:id="2541" w:name="_Toc296891055"/>
      <w:bookmarkStart w:id="2542" w:name="_Toc296944566"/>
      <w:bookmarkStart w:id="2543" w:name="_Toc296346728"/>
      <w:bookmarkStart w:id="2544" w:name="_Toc296891267"/>
      <w:bookmarkStart w:id="2545" w:name="_Toc296503227"/>
      <w:r>
        <w:rPr>
          <w:rFonts w:ascii="宋体" w:hAnsi="宋体"/>
          <w:sz w:val="24"/>
        </w:rPr>
        <w:t>件5：</w:t>
      </w:r>
    </w:p>
    <w:bookmarkEnd w:id="2539"/>
    <w:bookmarkEnd w:id="2540"/>
    <w:bookmarkEnd w:id="2541"/>
    <w:bookmarkEnd w:id="2542"/>
    <w:bookmarkEnd w:id="2543"/>
    <w:bookmarkEnd w:id="2544"/>
    <w:bookmarkEnd w:id="2545"/>
    <w:p w14:paraId="6CB9D043">
      <w:pPr>
        <w:spacing w:before="120" w:beforeLines="50" w:after="120" w:afterLines="50" w:line="440" w:lineRule="exact"/>
        <w:jc w:val="center"/>
        <w:rPr>
          <w:rFonts w:eastAsia="黑体"/>
          <w:sz w:val="28"/>
          <w:szCs w:val="28"/>
        </w:rPr>
      </w:pPr>
      <w:r>
        <w:rPr>
          <w:rFonts w:eastAsia="黑体"/>
          <w:sz w:val="28"/>
          <w:szCs w:val="28"/>
        </w:rPr>
        <w:t>承包人用于本工程施工的机械设备表</w:t>
      </w:r>
    </w:p>
    <w:tbl>
      <w:tblPr>
        <w:tblStyle w:val="15"/>
        <w:tblW w:w="89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417"/>
        <w:gridCol w:w="851"/>
        <w:gridCol w:w="709"/>
        <w:gridCol w:w="850"/>
        <w:gridCol w:w="851"/>
        <w:gridCol w:w="1276"/>
        <w:gridCol w:w="1275"/>
        <w:gridCol w:w="992"/>
      </w:tblGrid>
      <w:tr w14:paraId="40813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38" w:type="dxa"/>
            <w:tcBorders>
              <w:top w:val="single" w:color="auto" w:sz="12" w:space="0"/>
              <w:bottom w:val="double" w:color="auto" w:sz="6" w:space="0"/>
            </w:tcBorders>
            <w:noWrap w:val="0"/>
            <w:vAlign w:val="center"/>
          </w:tcPr>
          <w:p w14:paraId="707A950A">
            <w:pPr>
              <w:pStyle w:val="6"/>
              <w:keepNext/>
              <w:spacing w:after="0" w:line="440" w:lineRule="exact"/>
              <w:ind w:left="63" w:right="63"/>
              <w:jc w:val="center"/>
              <w:rPr>
                <w:rFonts w:ascii="宋体" w:hAnsi="宋体"/>
                <w:szCs w:val="21"/>
              </w:rPr>
            </w:pPr>
            <w:r>
              <w:rPr>
                <w:rFonts w:ascii="宋体" w:hAnsi="宋体"/>
                <w:szCs w:val="21"/>
              </w:rPr>
              <w:t>序号</w:t>
            </w:r>
          </w:p>
        </w:tc>
        <w:tc>
          <w:tcPr>
            <w:tcW w:w="1417" w:type="dxa"/>
            <w:tcBorders>
              <w:top w:val="single" w:color="auto" w:sz="12" w:space="0"/>
              <w:bottom w:val="double" w:color="auto" w:sz="6" w:space="0"/>
            </w:tcBorders>
            <w:noWrap w:val="0"/>
            <w:vAlign w:val="center"/>
          </w:tcPr>
          <w:p w14:paraId="19136C42">
            <w:pPr>
              <w:pStyle w:val="6"/>
              <w:keepNext/>
              <w:spacing w:after="0" w:line="440" w:lineRule="exact"/>
              <w:ind w:left="63" w:right="63"/>
              <w:jc w:val="center"/>
              <w:rPr>
                <w:rFonts w:ascii="宋体" w:hAnsi="宋体"/>
                <w:szCs w:val="21"/>
              </w:rPr>
            </w:pPr>
            <w:r>
              <w:rPr>
                <w:rFonts w:ascii="宋体" w:hAnsi="宋体"/>
                <w:szCs w:val="21"/>
              </w:rPr>
              <w:t>机械或设备名称</w:t>
            </w:r>
          </w:p>
        </w:tc>
        <w:tc>
          <w:tcPr>
            <w:tcW w:w="851" w:type="dxa"/>
            <w:tcBorders>
              <w:top w:val="single" w:color="auto" w:sz="12" w:space="0"/>
              <w:bottom w:val="double" w:color="auto" w:sz="6" w:space="0"/>
            </w:tcBorders>
            <w:noWrap w:val="0"/>
            <w:vAlign w:val="center"/>
          </w:tcPr>
          <w:p w14:paraId="43E27F58">
            <w:pPr>
              <w:pStyle w:val="6"/>
              <w:keepNext/>
              <w:spacing w:after="0" w:line="440" w:lineRule="exact"/>
              <w:ind w:left="63" w:right="63"/>
              <w:jc w:val="center"/>
              <w:rPr>
                <w:rFonts w:hint="eastAsia" w:ascii="宋体" w:hAnsi="宋体"/>
                <w:szCs w:val="21"/>
              </w:rPr>
            </w:pPr>
            <w:r>
              <w:rPr>
                <w:rFonts w:ascii="宋体" w:hAnsi="宋体"/>
                <w:szCs w:val="21"/>
              </w:rPr>
              <w:t>规格</w:t>
            </w:r>
          </w:p>
          <w:p w14:paraId="250435AB">
            <w:pPr>
              <w:pStyle w:val="6"/>
              <w:keepNext/>
              <w:spacing w:after="0" w:line="440" w:lineRule="exact"/>
              <w:ind w:left="63" w:right="63"/>
              <w:jc w:val="center"/>
              <w:rPr>
                <w:rFonts w:ascii="宋体" w:hAnsi="宋体"/>
                <w:szCs w:val="21"/>
              </w:rPr>
            </w:pPr>
            <w:r>
              <w:rPr>
                <w:rFonts w:ascii="宋体" w:hAnsi="宋体"/>
                <w:szCs w:val="21"/>
              </w:rPr>
              <w:t>型号</w:t>
            </w:r>
          </w:p>
        </w:tc>
        <w:tc>
          <w:tcPr>
            <w:tcW w:w="709" w:type="dxa"/>
            <w:tcBorders>
              <w:top w:val="single" w:color="auto" w:sz="12" w:space="0"/>
              <w:bottom w:val="double" w:color="auto" w:sz="6" w:space="0"/>
            </w:tcBorders>
            <w:noWrap w:val="0"/>
            <w:vAlign w:val="center"/>
          </w:tcPr>
          <w:p w14:paraId="4FC6839E">
            <w:pPr>
              <w:pStyle w:val="6"/>
              <w:keepNext/>
              <w:spacing w:after="0" w:line="440" w:lineRule="exact"/>
              <w:ind w:left="63" w:right="63"/>
              <w:jc w:val="center"/>
              <w:rPr>
                <w:rFonts w:ascii="宋体" w:hAnsi="宋体"/>
                <w:szCs w:val="21"/>
              </w:rPr>
            </w:pPr>
            <w:r>
              <w:rPr>
                <w:rFonts w:ascii="宋体" w:hAnsi="宋体"/>
                <w:szCs w:val="21"/>
              </w:rPr>
              <w:t>数量</w:t>
            </w:r>
          </w:p>
        </w:tc>
        <w:tc>
          <w:tcPr>
            <w:tcW w:w="850" w:type="dxa"/>
            <w:tcBorders>
              <w:top w:val="single" w:color="auto" w:sz="12" w:space="0"/>
              <w:bottom w:val="double" w:color="auto" w:sz="6" w:space="0"/>
            </w:tcBorders>
            <w:noWrap w:val="0"/>
            <w:vAlign w:val="center"/>
          </w:tcPr>
          <w:p w14:paraId="2617316C">
            <w:pPr>
              <w:pStyle w:val="6"/>
              <w:keepNext/>
              <w:spacing w:after="0" w:line="440" w:lineRule="exact"/>
              <w:ind w:left="63" w:right="63"/>
              <w:jc w:val="center"/>
              <w:rPr>
                <w:rFonts w:ascii="宋体" w:hAnsi="宋体"/>
                <w:szCs w:val="21"/>
              </w:rPr>
            </w:pPr>
            <w:r>
              <w:rPr>
                <w:rFonts w:ascii="宋体" w:hAnsi="宋体"/>
                <w:szCs w:val="21"/>
              </w:rPr>
              <w:t>产地</w:t>
            </w:r>
          </w:p>
        </w:tc>
        <w:tc>
          <w:tcPr>
            <w:tcW w:w="851" w:type="dxa"/>
            <w:tcBorders>
              <w:top w:val="single" w:color="auto" w:sz="12" w:space="0"/>
              <w:bottom w:val="double" w:color="auto" w:sz="6" w:space="0"/>
            </w:tcBorders>
            <w:noWrap w:val="0"/>
            <w:vAlign w:val="center"/>
          </w:tcPr>
          <w:p w14:paraId="52C42336">
            <w:pPr>
              <w:pStyle w:val="6"/>
              <w:keepNext/>
              <w:spacing w:after="0" w:line="440" w:lineRule="exact"/>
              <w:ind w:left="63" w:right="63"/>
              <w:jc w:val="center"/>
              <w:rPr>
                <w:rFonts w:hint="eastAsia" w:ascii="宋体" w:hAnsi="宋体"/>
                <w:szCs w:val="21"/>
              </w:rPr>
            </w:pPr>
            <w:r>
              <w:rPr>
                <w:rFonts w:ascii="宋体" w:hAnsi="宋体"/>
                <w:szCs w:val="21"/>
              </w:rPr>
              <w:t>制造</w:t>
            </w:r>
          </w:p>
          <w:p w14:paraId="3039A712">
            <w:pPr>
              <w:pStyle w:val="6"/>
              <w:keepNext/>
              <w:spacing w:after="0" w:line="440" w:lineRule="exact"/>
              <w:ind w:left="63" w:right="63"/>
              <w:jc w:val="center"/>
              <w:rPr>
                <w:rFonts w:ascii="宋体" w:hAnsi="宋体"/>
                <w:szCs w:val="21"/>
              </w:rPr>
            </w:pPr>
            <w:r>
              <w:rPr>
                <w:rFonts w:ascii="宋体" w:hAnsi="宋体"/>
                <w:szCs w:val="21"/>
              </w:rPr>
              <w:t>年份</w:t>
            </w:r>
          </w:p>
        </w:tc>
        <w:tc>
          <w:tcPr>
            <w:tcW w:w="1276" w:type="dxa"/>
            <w:tcBorders>
              <w:top w:val="single" w:color="auto" w:sz="12" w:space="0"/>
              <w:bottom w:val="double" w:color="auto" w:sz="6" w:space="0"/>
            </w:tcBorders>
            <w:noWrap w:val="0"/>
            <w:vAlign w:val="center"/>
          </w:tcPr>
          <w:p w14:paraId="46EAA722">
            <w:pPr>
              <w:pStyle w:val="6"/>
              <w:keepNext/>
              <w:spacing w:after="0" w:line="440" w:lineRule="exact"/>
              <w:ind w:left="63" w:right="63"/>
              <w:jc w:val="center"/>
              <w:rPr>
                <w:rFonts w:ascii="宋体" w:hAnsi="宋体"/>
                <w:szCs w:val="21"/>
              </w:rPr>
            </w:pPr>
            <w:r>
              <w:rPr>
                <w:rFonts w:ascii="宋体" w:hAnsi="宋体"/>
                <w:szCs w:val="21"/>
              </w:rPr>
              <w:t>额定功率(kW)</w:t>
            </w:r>
          </w:p>
        </w:tc>
        <w:tc>
          <w:tcPr>
            <w:tcW w:w="1275" w:type="dxa"/>
            <w:tcBorders>
              <w:top w:val="single" w:color="auto" w:sz="12" w:space="0"/>
              <w:bottom w:val="double" w:color="auto" w:sz="6" w:space="0"/>
            </w:tcBorders>
            <w:noWrap w:val="0"/>
            <w:vAlign w:val="center"/>
          </w:tcPr>
          <w:p w14:paraId="3BBFC808">
            <w:pPr>
              <w:pStyle w:val="6"/>
              <w:keepNext/>
              <w:spacing w:after="0" w:line="440" w:lineRule="exact"/>
              <w:ind w:left="63" w:right="63"/>
              <w:jc w:val="center"/>
              <w:rPr>
                <w:rFonts w:ascii="宋体" w:hAnsi="宋体"/>
                <w:szCs w:val="21"/>
              </w:rPr>
            </w:pPr>
            <w:r>
              <w:rPr>
                <w:rFonts w:ascii="宋体" w:hAnsi="宋体"/>
                <w:szCs w:val="21"/>
              </w:rPr>
              <w:t>生产能力</w:t>
            </w:r>
          </w:p>
        </w:tc>
        <w:tc>
          <w:tcPr>
            <w:tcW w:w="992" w:type="dxa"/>
            <w:tcBorders>
              <w:top w:val="single" w:color="auto" w:sz="12" w:space="0"/>
              <w:bottom w:val="double" w:color="auto" w:sz="6" w:space="0"/>
            </w:tcBorders>
            <w:noWrap w:val="0"/>
            <w:vAlign w:val="center"/>
          </w:tcPr>
          <w:p w14:paraId="6991C526">
            <w:pPr>
              <w:pStyle w:val="6"/>
              <w:keepNext/>
              <w:spacing w:after="0" w:line="440" w:lineRule="exact"/>
              <w:ind w:left="63" w:right="63"/>
              <w:jc w:val="center"/>
              <w:rPr>
                <w:rFonts w:ascii="宋体" w:hAnsi="宋体"/>
                <w:szCs w:val="21"/>
              </w:rPr>
            </w:pPr>
            <w:r>
              <w:rPr>
                <w:rFonts w:ascii="宋体" w:hAnsi="宋体"/>
                <w:szCs w:val="21"/>
              </w:rPr>
              <w:t>备注</w:t>
            </w:r>
          </w:p>
        </w:tc>
      </w:tr>
      <w:tr w14:paraId="65B3D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tcBorders>
              <w:top w:val="double" w:color="auto" w:sz="6" w:space="0"/>
              <w:bottom w:val="single" w:color="auto" w:sz="6" w:space="0"/>
            </w:tcBorders>
            <w:noWrap w:val="0"/>
            <w:vAlign w:val="center"/>
          </w:tcPr>
          <w:p w14:paraId="58C387EB">
            <w:pPr>
              <w:pStyle w:val="6"/>
              <w:keepNext/>
              <w:spacing w:after="0" w:line="440" w:lineRule="exact"/>
              <w:ind w:left="63" w:right="63"/>
              <w:rPr>
                <w:rFonts w:eastAsia="仿宋_GB2312"/>
                <w:sz w:val="30"/>
                <w:szCs w:val="30"/>
              </w:rPr>
            </w:pPr>
          </w:p>
        </w:tc>
        <w:tc>
          <w:tcPr>
            <w:tcW w:w="1417" w:type="dxa"/>
            <w:tcBorders>
              <w:top w:val="double" w:color="auto" w:sz="6" w:space="0"/>
              <w:bottom w:val="single" w:color="auto" w:sz="6" w:space="0"/>
            </w:tcBorders>
            <w:noWrap w:val="0"/>
            <w:vAlign w:val="center"/>
          </w:tcPr>
          <w:p w14:paraId="7FDAE040">
            <w:pPr>
              <w:pStyle w:val="6"/>
              <w:keepNext/>
              <w:spacing w:after="0" w:line="440" w:lineRule="exact"/>
              <w:ind w:left="63" w:right="63"/>
              <w:rPr>
                <w:rFonts w:eastAsia="仿宋_GB2312"/>
                <w:sz w:val="30"/>
                <w:szCs w:val="30"/>
              </w:rPr>
            </w:pPr>
          </w:p>
        </w:tc>
        <w:tc>
          <w:tcPr>
            <w:tcW w:w="851" w:type="dxa"/>
            <w:tcBorders>
              <w:top w:val="double" w:color="auto" w:sz="6" w:space="0"/>
              <w:bottom w:val="single" w:color="auto" w:sz="6" w:space="0"/>
            </w:tcBorders>
            <w:noWrap w:val="0"/>
            <w:vAlign w:val="center"/>
          </w:tcPr>
          <w:p w14:paraId="497E7058">
            <w:pPr>
              <w:pStyle w:val="6"/>
              <w:keepNext/>
              <w:spacing w:after="0" w:line="440" w:lineRule="exact"/>
              <w:ind w:left="63" w:right="63"/>
              <w:rPr>
                <w:rFonts w:eastAsia="仿宋_GB2312"/>
                <w:sz w:val="30"/>
                <w:szCs w:val="30"/>
              </w:rPr>
            </w:pPr>
          </w:p>
        </w:tc>
        <w:tc>
          <w:tcPr>
            <w:tcW w:w="709" w:type="dxa"/>
            <w:tcBorders>
              <w:top w:val="double" w:color="auto" w:sz="6" w:space="0"/>
              <w:bottom w:val="single" w:color="auto" w:sz="6" w:space="0"/>
            </w:tcBorders>
            <w:noWrap w:val="0"/>
            <w:vAlign w:val="center"/>
          </w:tcPr>
          <w:p w14:paraId="44AE4D3C">
            <w:pPr>
              <w:pStyle w:val="6"/>
              <w:keepNext/>
              <w:spacing w:after="0" w:line="440" w:lineRule="exact"/>
              <w:ind w:left="63" w:right="63"/>
              <w:rPr>
                <w:rFonts w:eastAsia="仿宋_GB2312"/>
                <w:sz w:val="30"/>
                <w:szCs w:val="30"/>
              </w:rPr>
            </w:pPr>
          </w:p>
        </w:tc>
        <w:tc>
          <w:tcPr>
            <w:tcW w:w="850" w:type="dxa"/>
            <w:tcBorders>
              <w:top w:val="double" w:color="auto" w:sz="6" w:space="0"/>
              <w:bottom w:val="single" w:color="auto" w:sz="6" w:space="0"/>
            </w:tcBorders>
            <w:noWrap w:val="0"/>
            <w:vAlign w:val="center"/>
          </w:tcPr>
          <w:p w14:paraId="7F021C89">
            <w:pPr>
              <w:pStyle w:val="6"/>
              <w:keepNext/>
              <w:spacing w:after="0" w:line="440" w:lineRule="exact"/>
              <w:ind w:left="63" w:right="63"/>
              <w:rPr>
                <w:rFonts w:eastAsia="仿宋_GB2312"/>
                <w:sz w:val="30"/>
                <w:szCs w:val="30"/>
              </w:rPr>
            </w:pPr>
          </w:p>
        </w:tc>
        <w:tc>
          <w:tcPr>
            <w:tcW w:w="851" w:type="dxa"/>
            <w:tcBorders>
              <w:top w:val="double" w:color="auto" w:sz="6" w:space="0"/>
              <w:bottom w:val="single" w:color="auto" w:sz="6" w:space="0"/>
            </w:tcBorders>
            <w:noWrap w:val="0"/>
            <w:vAlign w:val="center"/>
          </w:tcPr>
          <w:p w14:paraId="02BFE754">
            <w:pPr>
              <w:pStyle w:val="6"/>
              <w:keepNext/>
              <w:spacing w:after="0" w:line="440" w:lineRule="exact"/>
              <w:ind w:left="63" w:right="63"/>
              <w:rPr>
                <w:rFonts w:eastAsia="仿宋_GB2312"/>
                <w:sz w:val="30"/>
                <w:szCs w:val="30"/>
              </w:rPr>
            </w:pPr>
          </w:p>
        </w:tc>
        <w:tc>
          <w:tcPr>
            <w:tcW w:w="1276" w:type="dxa"/>
            <w:tcBorders>
              <w:top w:val="double" w:color="auto" w:sz="6" w:space="0"/>
              <w:bottom w:val="single" w:color="auto" w:sz="6" w:space="0"/>
            </w:tcBorders>
            <w:noWrap w:val="0"/>
            <w:vAlign w:val="center"/>
          </w:tcPr>
          <w:p w14:paraId="51CF6255">
            <w:pPr>
              <w:pStyle w:val="6"/>
              <w:keepNext/>
              <w:spacing w:after="0" w:line="440" w:lineRule="exact"/>
              <w:ind w:left="63" w:right="63"/>
              <w:rPr>
                <w:rFonts w:eastAsia="仿宋_GB2312"/>
                <w:sz w:val="30"/>
                <w:szCs w:val="30"/>
              </w:rPr>
            </w:pPr>
          </w:p>
        </w:tc>
        <w:tc>
          <w:tcPr>
            <w:tcW w:w="1275" w:type="dxa"/>
            <w:tcBorders>
              <w:top w:val="double" w:color="auto" w:sz="6" w:space="0"/>
              <w:bottom w:val="single" w:color="auto" w:sz="6" w:space="0"/>
            </w:tcBorders>
            <w:noWrap w:val="0"/>
            <w:vAlign w:val="center"/>
          </w:tcPr>
          <w:p w14:paraId="4DDE393A">
            <w:pPr>
              <w:pStyle w:val="6"/>
              <w:keepNext/>
              <w:spacing w:after="0" w:line="440" w:lineRule="exact"/>
              <w:ind w:left="63" w:right="63"/>
              <w:rPr>
                <w:rFonts w:eastAsia="仿宋_GB2312"/>
                <w:sz w:val="30"/>
                <w:szCs w:val="30"/>
              </w:rPr>
            </w:pPr>
          </w:p>
        </w:tc>
        <w:tc>
          <w:tcPr>
            <w:tcW w:w="992" w:type="dxa"/>
            <w:tcBorders>
              <w:top w:val="double" w:color="auto" w:sz="6" w:space="0"/>
              <w:bottom w:val="single" w:color="auto" w:sz="6" w:space="0"/>
            </w:tcBorders>
            <w:noWrap w:val="0"/>
            <w:vAlign w:val="center"/>
          </w:tcPr>
          <w:p w14:paraId="4D63875A">
            <w:pPr>
              <w:pStyle w:val="6"/>
              <w:keepNext/>
              <w:spacing w:after="0" w:line="440" w:lineRule="exact"/>
              <w:ind w:left="63" w:right="63"/>
              <w:rPr>
                <w:rFonts w:eastAsia="仿宋_GB2312"/>
                <w:sz w:val="30"/>
                <w:szCs w:val="30"/>
              </w:rPr>
            </w:pPr>
          </w:p>
        </w:tc>
      </w:tr>
      <w:tr w14:paraId="6ADC2E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tcBorders>
              <w:top w:val="nil"/>
            </w:tcBorders>
            <w:noWrap w:val="0"/>
            <w:vAlign w:val="center"/>
          </w:tcPr>
          <w:p w14:paraId="0C45DBAE">
            <w:pPr>
              <w:pStyle w:val="6"/>
              <w:keepNext/>
              <w:spacing w:after="0" w:line="440" w:lineRule="exact"/>
              <w:ind w:left="63" w:right="63"/>
              <w:rPr>
                <w:rFonts w:eastAsia="仿宋_GB2312"/>
                <w:sz w:val="30"/>
                <w:szCs w:val="30"/>
              </w:rPr>
            </w:pPr>
          </w:p>
        </w:tc>
        <w:tc>
          <w:tcPr>
            <w:tcW w:w="1417" w:type="dxa"/>
            <w:tcBorders>
              <w:top w:val="nil"/>
            </w:tcBorders>
            <w:noWrap w:val="0"/>
            <w:vAlign w:val="center"/>
          </w:tcPr>
          <w:p w14:paraId="57C13140">
            <w:pPr>
              <w:pStyle w:val="6"/>
              <w:keepNext/>
              <w:spacing w:after="0" w:line="440" w:lineRule="exact"/>
              <w:ind w:left="63" w:right="63"/>
              <w:rPr>
                <w:rFonts w:eastAsia="仿宋_GB2312"/>
                <w:sz w:val="30"/>
                <w:szCs w:val="30"/>
              </w:rPr>
            </w:pPr>
          </w:p>
        </w:tc>
        <w:tc>
          <w:tcPr>
            <w:tcW w:w="851" w:type="dxa"/>
            <w:tcBorders>
              <w:top w:val="nil"/>
            </w:tcBorders>
            <w:noWrap w:val="0"/>
            <w:vAlign w:val="center"/>
          </w:tcPr>
          <w:p w14:paraId="04F80A0C">
            <w:pPr>
              <w:pStyle w:val="6"/>
              <w:keepNext/>
              <w:spacing w:after="0" w:line="440" w:lineRule="exact"/>
              <w:ind w:left="63" w:right="63"/>
              <w:rPr>
                <w:rFonts w:eastAsia="仿宋_GB2312"/>
                <w:sz w:val="30"/>
                <w:szCs w:val="30"/>
              </w:rPr>
            </w:pPr>
          </w:p>
        </w:tc>
        <w:tc>
          <w:tcPr>
            <w:tcW w:w="709" w:type="dxa"/>
            <w:tcBorders>
              <w:top w:val="nil"/>
            </w:tcBorders>
            <w:noWrap w:val="0"/>
            <w:vAlign w:val="center"/>
          </w:tcPr>
          <w:p w14:paraId="6D497D3F">
            <w:pPr>
              <w:pStyle w:val="6"/>
              <w:keepNext/>
              <w:spacing w:after="0" w:line="440" w:lineRule="exact"/>
              <w:ind w:left="63" w:right="63"/>
              <w:rPr>
                <w:rFonts w:eastAsia="仿宋_GB2312"/>
                <w:sz w:val="30"/>
                <w:szCs w:val="30"/>
              </w:rPr>
            </w:pPr>
          </w:p>
        </w:tc>
        <w:tc>
          <w:tcPr>
            <w:tcW w:w="850" w:type="dxa"/>
            <w:tcBorders>
              <w:top w:val="nil"/>
            </w:tcBorders>
            <w:noWrap w:val="0"/>
            <w:vAlign w:val="center"/>
          </w:tcPr>
          <w:p w14:paraId="040743FF">
            <w:pPr>
              <w:pStyle w:val="6"/>
              <w:keepNext/>
              <w:spacing w:after="0" w:line="440" w:lineRule="exact"/>
              <w:ind w:left="63" w:right="63"/>
              <w:rPr>
                <w:rFonts w:eastAsia="仿宋_GB2312"/>
                <w:sz w:val="30"/>
                <w:szCs w:val="30"/>
              </w:rPr>
            </w:pPr>
          </w:p>
        </w:tc>
        <w:tc>
          <w:tcPr>
            <w:tcW w:w="851" w:type="dxa"/>
            <w:tcBorders>
              <w:top w:val="nil"/>
            </w:tcBorders>
            <w:noWrap w:val="0"/>
            <w:vAlign w:val="center"/>
          </w:tcPr>
          <w:p w14:paraId="33766895">
            <w:pPr>
              <w:pStyle w:val="6"/>
              <w:keepNext/>
              <w:spacing w:after="0" w:line="440" w:lineRule="exact"/>
              <w:ind w:left="63" w:right="63"/>
              <w:rPr>
                <w:rFonts w:eastAsia="仿宋_GB2312"/>
                <w:sz w:val="30"/>
                <w:szCs w:val="30"/>
              </w:rPr>
            </w:pPr>
          </w:p>
        </w:tc>
        <w:tc>
          <w:tcPr>
            <w:tcW w:w="1276" w:type="dxa"/>
            <w:tcBorders>
              <w:top w:val="nil"/>
            </w:tcBorders>
            <w:noWrap w:val="0"/>
            <w:vAlign w:val="center"/>
          </w:tcPr>
          <w:p w14:paraId="551E539A">
            <w:pPr>
              <w:pStyle w:val="6"/>
              <w:keepNext/>
              <w:spacing w:after="0" w:line="440" w:lineRule="exact"/>
              <w:ind w:left="63" w:right="63"/>
              <w:rPr>
                <w:rFonts w:eastAsia="仿宋_GB2312"/>
                <w:sz w:val="30"/>
                <w:szCs w:val="30"/>
              </w:rPr>
            </w:pPr>
          </w:p>
        </w:tc>
        <w:tc>
          <w:tcPr>
            <w:tcW w:w="1275" w:type="dxa"/>
            <w:tcBorders>
              <w:top w:val="nil"/>
            </w:tcBorders>
            <w:noWrap w:val="0"/>
            <w:vAlign w:val="center"/>
          </w:tcPr>
          <w:p w14:paraId="5DBCF9A4">
            <w:pPr>
              <w:pStyle w:val="6"/>
              <w:keepNext/>
              <w:spacing w:after="0" w:line="440" w:lineRule="exact"/>
              <w:ind w:left="63" w:right="63"/>
              <w:rPr>
                <w:rFonts w:eastAsia="仿宋_GB2312"/>
                <w:sz w:val="30"/>
                <w:szCs w:val="30"/>
              </w:rPr>
            </w:pPr>
          </w:p>
        </w:tc>
        <w:tc>
          <w:tcPr>
            <w:tcW w:w="992" w:type="dxa"/>
            <w:tcBorders>
              <w:top w:val="nil"/>
            </w:tcBorders>
            <w:noWrap w:val="0"/>
            <w:vAlign w:val="center"/>
          </w:tcPr>
          <w:p w14:paraId="5964A46C">
            <w:pPr>
              <w:pStyle w:val="6"/>
              <w:keepNext/>
              <w:spacing w:after="0" w:line="440" w:lineRule="exact"/>
              <w:ind w:left="63" w:right="63"/>
              <w:rPr>
                <w:rFonts w:eastAsia="仿宋_GB2312"/>
                <w:sz w:val="30"/>
                <w:szCs w:val="30"/>
              </w:rPr>
            </w:pPr>
          </w:p>
        </w:tc>
      </w:tr>
      <w:tr w14:paraId="42AA87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3E2DC3C2">
            <w:pPr>
              <w:pStyle w:val="6"/>
              <w:keepNext/>
              <w:spacing w:after="0" w:line="440" w:lineRule="exact"/>
              <w:ind w:left="63" w:right="63"/>
              <w:rPr>
                <w:rFonts w:eastAsia="仿宋_GB2312"/>
                <w:sz w:val="30"/>
                <w:szCs w:val="30"/>
              </w:rPr>
            </w:pPr>
          </w:p>
        </w:tc>
        <w:tc>
          <w:tcPr>
            <w:tcW w:w="1417" w:type="dxa"/>
            <w:noWrap w:val="0"/>
            <w:vAlign w:val="center"/>
          </w:tcPr>
          <w:p w14:paraId="0EAB2F3D">
            <w:pPr>
              <w:pStyle w:val="6"/>
              <w:keepNext/>
              <w:spacing w:after="0" w:line="440" w:lineRule="exact"/>
              <w:ind w:left="63" w:right="63"/>
              <w:rPr>
                <w:rFonts w:eastAsia="仿宋_GB2312"/>
                <w:sz w:val="30"/>
                <w:szCs w:val="30"/>
              </w:rPr>
            </w:pPr>
          </w:p>
        </w:tc>
        <w:tc>
          <w:tcPr>
            <w:tcW w:w="851" w:type="dxa"/>
            <w:noWrap w:val="0"/>
            <w:vAlign w:val="center"/>
          </w:tcPr>
          <w:p w14:paraId="096ABCEE">
            <w:pPr>
              <w:pStyle w:val="6"/>
              <w:keepNext/>
              <w:spacing w:after="0" w:line="440" w:lineRule="exact"/>
              <w:ind w:left="63" w:right="63"/>
              <w:rPr>
                <w:rFonts w:eastAsia="仿宋_GB2312"/>
                <w:sz w:val="30"/>
                <w:szCs w:val="30"/>
              </w:rPr>
            </w:pPr>
          </w:p>
        </w:tc>
        <w:tc>
          <w:tcPr>
            <w:tcW w:w="709" w:type="dxa"/>
            <w:noWrap w:val="0"/>
            <w:vAlign w:val="center"/>
          </w:tcPr>
          <w:p w14:paraId="6885E8E2">
            <w:pPr>
              <w:pStyle w:val="6"/>
              <w:keepNext/>
              <w:spacing w:after="0" w:line="440" w:lineRule="exact"/>
              <w:ind w:left="63" w:right="63"/>
              <w:rPr>
                <w:rFonts w:eastAsia="仿宋_GB2312"/>
                <w:sz w:val="30"/>
                <w:szCs w:val="30"/>
              </w:rPr>
            </w:pPr>
          </w:p>
        </w:tc>
        <w:tc>
          <w:tcPr>
            <w:tcW w:w="850" w:type="dxa"/>
            <w:noWrap w:val="0"/>
            <w:vAlign w:val="center"/>
          </w:tcPr>
          <w:p w14:paraId="74F74ADA">
            <w:pPr>
              <w:pStyle w:val="6"/>
              <w:keepNext/>
              <w:spacing w:after="0" w:line="440" w:lineRule="exact"/>
              <w:ind w:left="63" w:right="63"/>
              <w:rPr>
                <w:rFonts w:eastAsia="仿宋_GB2312"/>
                <w:sz w:val="30"/>
                <w:szCs w:val="30"/>
              </w:rPr>
            </w:pPr>
          </w:p>
        </w:tc>
        <w:tc>
          <w:tcPr>
            <w:tcW w:w="851" w:type="dxa"/>
            <w:noWrap w:val="0"/>
            <w:vAlign w:val="center"/>
          </w:tcPr>
          <w:p w14:paraId="03D57D9D">
            <w:pPr>
              <w:pStyle w:val="6"/>
              <w:keepNext/>
              <w:spacing w:after="0" w:line="440" w:lineRule="exact"/>
              <w:ind w:left="63" w:right="63"/>
              <w:rPr>
                <w:rFonts w:eastAsia="仿宋_GB2312"/>
                <w:sz w:val="30"/>
                <w:szCs w:val="30"/>
              </w:rPr>
            </w:pPr>
          </w:p>
        </w:tc>
        <w:tc>
          <w:tcPr>
            <w:tcW w:w="1276" w:type="dxa"/>
            <w:noWrap w:val="0"/>
            <w:vAlign w:val="center"/>
          </w:tcPr>
          <w:p w14:paraId="0928B739">
            <w:pPr>
              <w:pStyle w:val="6"/>
              <w:keepNext/>
              <w:spacing w:after="0" w:line="440" w:lineRule="exact"/>
              <w:ind w:left="63" w:right="63"/>
              <w:rPr>
                <w:rFonts w:eastAsia="仿宋_GB2312"/>
                <w:sz w:val="30"/>
                <w:szCs w:val="30"/>
              </w:rPr>
            </w:pPr>
          </w:p>
        </w:tc>
        <w:tc>
          <w:tcPr>
            <w:tcW w:w="1275" w:type="dxa"/>
            <w:noWrap w:val="0"/>
            <w:vAlign w:val="center"/>
          </w:tcPr>
          <w:p w14:paraId="5D3ECA8D">
            <w:pPr>
              <w:pStyle w:val="6"/>
              <w:keepNext/>
              <w:spacing w:after="0" w:line="440" w:lineRule="exact"/>
              <w:ind w:left="63" w:right="63"/>
              <w:rPr>
                <w:rFonts w:eastAsia="仿宋_GB2312"/>
                <w:sz w:val="30"/>
                <w:szCs w:val="30"/>
              </w:rPr>
            </w:pPr>
          </w:p>
        </w:tc>
        <w:tc>
          <w:tcPr>
            <w:tcW w:w="992" w:type="dxa"/>
            <w:noWrap w:val="0"/>
            <w:vAlign w:val="center"/>
          </w:tcPr>
          <w:p w14:paraId="5C28E7E0">
            <w:pPr>
              <w:pStyle w:val="6"/>
              <w:keepNext/>
              <w:spacing w:after="0" w:line="440" w:lineRule="exact"/>
              <w:ind w:left="63" w:right="63"/>
              <w:rPr>
                <w:rFonts w:eastAsia="仿宋_GB2312"/>
                <w:sz w:val="30"/>
                <w:szCs w:val="30"/>
              </w:rPr>
            </w:pPr>
          </w:p>
        </w:tc>
      </w:tr>
      <w:tr w14:paraId="06B6D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2705B558">
            <w:pPr>
              <w:pStyle w:val="6"/>
              <w:keepNext/>
              <w:spacing w:after="0" w:line="440" w:lineRule="exact"/>
              <w:ind w:left="63" w:right="63"/>
              <w:rPr>
                <w:rFonts w:eastAsia="仿宋_GB2312"/>
                <w:sz w:val="30"/>
                <w:szCs w:val="30"/>
              </w:rPr>
            </w:pPr>
          </w:p>
        </w:tc>
        <w:tc>
          <w:tcPr>
            <w:tcW w:w="1417" w:type="dxa"/>
            <w:noWrap w:val="0"/>
            <w:vAlign w:val="center"/>
          </w:tcPr>
          <w:p w14:paraId="7D5C5462">
            <w:pPr>
              <w:pStyle w:val="6"/>
              <w:keepNext/>
              <w:spacing w:after="0" w:line="440" w:lineRule="exact"/>
              <w:ind w:left="63" w:right="63"/>
              <w:rPr>
                <w:rFonts w:eastAsia="仿宋_GB2312"/>
                <w:sz w:val="30"/>
                <w:szCs w:val="30"/>
              </w:rPr>
            </w:pPr>
          </w:p>
        </w:tc>
        <w:tc>
          <w:tcPr>
            <w:tcW w:w="851" w:type="dxa"/>
            <w:noWrap w:val="0"/>
            <w:vAlign w:val="center"/>
          </w:tcPr>
          <w:p w14:paraId="620F2105">
            <w:pPr>
              <w:pStyle w:val="6"/>
              <w:keepNext/>
              <w:spacing w:after="0" w:line="440" w:lineRule="exact"/>
              <w:ind w:left="63" w:right="63"/>
              <w:rPr>
                <w:rFonts w:eastAsia="仿宋_GB2312"/>
                <w:sz w:val="30"/>
                <w:szCs w:val="30"/>
              </w:rPr>
            </w:pPr>
          </w:p>
        </w:tc>
        <w:tc>
          <w:tcPr>
            <w:tcW w:w="709" w:type="dxa"/>
            <w:noWrap w:val="0"/>
            <w:vAlign w:val="center"/>
          </w:tcPr>
          <w:p w14:paraId="637A7414">
            <w:pPr>
              <w:pStyle w:val="6"/>
              <w:keepNext/>
              <w:spacing w:after="0" w:line="440" w:lineRule="exact"/>
              <w:ind w:left="63" w:right="63"/>
              <w:rPr>
                <w:rFonts w:eastAsia="仿宋_GB2312"/>
                <w:sz w:val="30"/>
                <w:szCs w:val="30"/>
              </w:rPr>
            </w:pPr>
          </w:p>
        </w:tc>
        <w:tc>
          <w:tcPr>
            <w:tcW w:w="850" w:type="dxa"/>
            <w:noWrap w:val="0"/>
            <w:vAlign w:val="center"/>
          </w:tcPr>
          <w:p w14:paraId="6986B4DB">
            <w:pPr>
              <w:pStyle w:val="6"/>
              <w:keepNext/>
              <w:spacing w:after="0" w:line="440" w:lineRule="exact"/>
              <w:ind w:left="63" w:right="63"/>
              <w:rPr>
                <w:rFonts w:eastAsia="仿宋_GB2312"/>
                <w:sz w:val="30"/>
                <w:szCs w:val="30"/>
              </w:rPr>
            </w:pPr>
          </w:p>
        </w:tc>
        <w:tc>
          <w:tcPr>
            <w:tcW w:w="851" w:type="dxa"/>
            <w:noWrap w:val="0"/>
            <w:vAlign w:val="center"/>
          </w:tcPr>
          <w:p w14:paraId="2C660F1F">
            <w:pPr>
              <w:pStyle w:val="6"/>
              <w:keepNext/>
              <w:spacing w:after="0" w:line="440" w:lineRule="exact"/>
              <w:ind w:left="63" w:right="63"/>
              <w:rPr>
                <w:rFonts w:eastAsia="仿宋_GB2312"/>
                <w:sz w:val="30"/>
                <w:szCs w:val="30"/>
              </w:rPr>
            </w:pPr>
          </w:p>
        </w:tc>
        <w:tc>
          <w:tcPr>
            <w:tcW w:w="1276" w:type="dxa"/>
            <w:noWrap w:val="0"/>
            <w:vAlign w:val="center"/>
          </w:tcPr>
          <w:p w14:paraId="15C43262">
            <w:pPr>
              <w:pStyle w:val="6"/>
              <w:keepNext/>
              <w:spacing w:after="0" w:line="440" w:lineRule="exact"/>
              <w:ind w:left="63" w:right="63"/>
              <w:rPr>
                <w:rFonts w:eastAsia="仿宋_GB2312"/>
                <w:sz w:val="30"/>
                <w:szCs w:val="30"/>
              </w:rPr>
            </w:pPr>
          </w:p>
        </w:tc>
        <w:tc>
          <w:tcPr>
            <w:tcW w:w="1275" w:type="dxa"/>
            <w:noWrap w:val="0"/>
            <w:vAlign w:val="center"/>
          </w:tcPr>
          <w:p w14:paraId="288DF6A2">
            <w:pPr>
              <w:pStyle w:val="6"/>
              <w:keepNext/>
              <w:spacing w:after="0" w:line="440" w:lineRule="exact"/>
              <w:ind w:left="63" w:right="63"/>
              <w:rPr>
                <w:rFonts w:eastAsia="仿宋_GB2312"/>
                <w:sz w:val="30"/>
                <w:szCs w:val="30"/>
              </w:rPr>
            </w:pPr>
          </w:p>
        </w:tc>
        <w:tc>
          <w:tcPr>
            <w:tcW w:w="992" w:type="dxa"/>
            <w:noWrap w:val="0"/>
            <w:vAlign w:val="center"/>
          </w:tcPr>
          <w:p w14:paraId="30BE2259">
            <w:pPr>
              <w:pStyle w:val="6"/>
              <w:keepNext/>
              <w:spacing w:after="0" w:line="440" w:lineRule="exact"/>
              <w:ind w:left="63" w:right="63"/>
              <w:rPr>
                <w:rFonts w:eastAsia="仿宋_GB2312"/>
                <w:sz w:val="30"/>
                <w:szCs w:val="30"/>
              </w:rPr>
            </w:pPr>
          </w:p>
        </w:tc>
      </w:tr>
      <w:tr w14:paraId="2748A9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041F3BA7">
            <w:pPr>
              <w:pStyle w:val="6"/>
              <w:keepNext/>
              <w:spacing w:after="0" w:line="440" w:lineRule="exact"/>
              <w:ind w:left="63" w:right="63"/>
              <w:rPr>
                <w:rFonts w:eastAsia="仿宋_GB2312"/>
                <w:sz w:val="30"/>
                <w:szCs w:val="30"/>
              </w:rPr>
            </w:pPr>
          </w:p>
        </w:tc>
        <w:tc>
          <w:tcPr>
            <w:tcW w:w="1417" w:type="dxa"/>
            <w:noWrap w:val="0"/>
            <w:vAlign w:val="center"/>
          </w:tcPr>
          <w:p w14:paraId="6D13E6EA">
            <w:pPr>
              <w:pStyle w:val="6"/>
              <w:keepNext/>
              <w:spacing w:after="0" w:line="440" w:lineRule="exact"/>
              <w:ind w:left="63" w:right="63"/>
              <w:rPr>
                <w:rFonts w:eastAsia="仿宋_GB2312"/>
                <w:sz w:val="30"/>
                <w:szCs w:val="30"/>
              </w:rPr>
            </w:pPr>
          </w:p>
        </w:tc>
        <w:tc>
          <w:tcPr>
            <w:tcW w:w="851" w:type="dxa"/>
            <w:noWrap w:val="0"/>
            <w:vAlign w:val="center"/>
          </w:tcPr>
          <w:p w14:paraId="15FA3B35">
            <w:pPr>
              <w:pStyle w:val="6"/>
              <w:keepNext/>
              <w:spacing w:after="0" w:line="440" w:lineRule="exact"/>
              <w:ind w:left="63" w:right="63"/>
              <w:rPr>
                <w:rFonts w:eastAsia="仿宋_GB2312"/>
                <w:sz w:val="30"/>
                <w:szCs w:val="30"/>
              </w:rPr>
            </w:pPr>
          </w:p>
        </w:tc>
        <w:tc>
          <w:tcPr>
            <w:tcW w:w="709" w:type="dxa"/>
            <w:noWrap w:val="0"/>
            <w:vAlign w:val="center"/>
          </w:tcPr>
          <w:p w14:paraId="4FB74A4F">
            <w:pPr>
              <w:pStyle w:val="6"/>
              <w:keepNext/>
              <w:spacing w:after="0" w:line="440" w:lineRule="exact"/>
              <w:ind w:left="63" w:right="63"/>
              <w:rPr>
                <w:rFonts w:eastAsia="仿宋_GB2312"/>
                <w:sz w:val="30"/>
                <w:szCs w:val="30"/>
              </w:rPr>
            </w:pPr>
          </w:p>
        </w:tc>
        <w:tc>
          <w:tcPr>
            <w:tcW w:w="850" w:type="dxa"/>
            <w:noWrap w:val="0"/>
            <w:vAlign w:val="center"/>
          </w:tcPr>
          <w:p w14:paraId="48A6F0FE">
            <w:pPr>
              <w:pStyle w:val="6"/>
              <w:keepNext/>
              <w:spacing w:after="0" w:line="440" w:lineRule="exact"/>
              <w:ind w:left="63" w:right="63"/>
              <w:rPr>
                <w:rFonts w:eastAsia="仿宋_GB2312"/>
                <w:sz w:val="30"/>
                <w:szCs w:val="30"/>
              </w:rPr>
            </w:pPr>
          </w:p>
        </w:tc>
        <w:tc>
          <w:tcPr>
            <w:tcW w:w="851" w:type="dxa"/>
            <w:noWrap w:val="0"/>
            <w:vAlign w:val="center"/>
          </w:tcPr>
          <w:p w14:paraId="02877902">
            <w:pPr>
              <w:pStyle w:val="6"/>
              <w:keepNext/>
              <w:spacing w:after="0" w:line="440" w:lineRule="exact"/>
              <w:ind w:left="63" w:right="63"/>
              <w:rPr>
                <w:rFonts w:eastAsia="仿宋_GB2312"/>
                <w:sz w:val="30"/>
                <w:szCs w:val="30"/>
              </w:rPr>
            </w:pPr>
          </w:p>
        </w:tc>
        <w:tc>
          <w:tcPr>
            <w:tcW w:w="1276" w:type="dxa"/>
            <w:noWrap w:val="0"/>
            <w:vAlign w:val="center"/>
          </w:tcPr>
          <w:p w14:paraId="726EA4C9">
            <w:pPr>
              <w:pStyle w:val="6"/>
              <w:keepNext/>
              <w:spacing w:after="0" w:line="440" w:lineRule="exact"/>
              <w:ind w:left="63" w:right="63"/>
              <w:rPr>
                <w:rFonts w:eastAsia="仿宋_GB2312"/>
                <w:sz w:val="30"/>
                <w:szCs w:val="30"/>
              </w:rPr>
            </w:pPr>
          </w:p>
        </w:tc>
        <w:tc>
          <w:tcPr>
            <w:tcW w:w="1275" w:type="dxa"/>
            <w:noWrap w:val="0"/>
            <w:vAlign w:val="center"/>
          </w:tcPr>
          <w:p w14:paraId="422A1C77">
            <w:pPr>
              <w:pStyle w:val="6"/>
              <w:keepNext/>
              <w:spacing w:after="0" w:line="440" w:lineRule="exact"/>
              <w:ind w:left="63" w:right="63"/>
              <w:rPr>
                <w:rFonts w:eastAsia="仿宋_GB2312"/>
                <w:sz w:val="30"/>
                <w:szCs w:val="30"/>
              </w:rPr>
            </w:pPr>
          </w:p>
        </w:tc>
        <w:tc>
          <w:tcPr>
            <w:tcW w:w="992" w:type="dxa"/>
            <w:noWrap w:val="0"/>
            <w:vAlign w:val="center"/>
          </w:tcPr>
          <w:p w14:paraId="18A1B73C">
            <w:pPr>
              <w:pStyle w:val="6"/>
              <w:keepNext/>
              <w:spacing w:after="0" w:line="440" w:lineRule="exact"/>
              <w:ind w:left="63" w:right="63"/>
              <w:rPr>
                <w:rFonts w:eastAsia="仿宋_GB2312"/>
                <w:sz w:val="30"/>
                <w:szCs w:val="30"/>
              </w:rPr>
            </w:pPr>
          </w:p>
        </w:tc>
      </w:tr>
      <w:tr w14:paraId="290B5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6944DD6E">
            <w:pPr>
              <w:pStyle w:val="6"/>
              <w:keepNext/>
              <w:spacing w:after="0" w:line="440" w:lineRule="exact"/>
              <w:ind w:left="63" w:right="63"/>
              <w:rPr>
                <w:rFonts w:eastAsia="仿宋_GB2312"/>
                <w:sz w:val="30"/>
                <w:szCs w:val="30"/>
              </w:rPr>
            </w:pPr>
          </w:p>
        </w:tc>
        <w:tc>
          <w:tcPr>
            <w:tcW w:w="1417" w:type="dxa"/>
            <w:noWrap w:val="0"/>
            <w:vAlign w:val="center"/>
          </w:tcPr>
          <w:p w14:paraId="38687EE4">
            <w:pPr>
              <w:pStyle w:val="6"/>
              <w:keepNext/>
              <w:spacing w:after="0" w:line="440" w:lineRule="exact"/>
              <w:ind w:left="63" w:right="63"/>
              <w:rPr>
                <w:rFonts w:eastAsia="仿宋_GB2312"/>
                <w:sz w:val="30"/>
                <w:szCs w:val="30"/>
              </w:rPr>
            </w:pPr>
          </w:p>
        </w:tc>
        <w:tc>
          <w:tcPr>
            <w:tcW w:w="851" w:type="dxa"/>
            <w:noWrap w:val="0"/>
            <w:vAlign w:val="center"/>
          </w:tcPr>
          <w:p w14:paraId="7FD716E3">
            <w:pPr>
              <w:pStyle w:val="6"/>
              <w:keepNext/>
              <w:spacing w:after="0" w:line="440" w:lineRule="exact"/>
              <w:ind w:left="63" w:right="63"/>
              <w:rPr>
                <w:rFonts w:eastAsia="仿宋_GB2312"/>
                <w:sz w:val="30"/>
                <w:szCs w:val="30"/>
              </w:rPr>
            </w:pPr>
          </w:p>
        </w:tc>
        <w:tc>
          <w:tcPr>
            <w:tcW w:w="709" w:type="dxa"/>
            <w:noWrap w:val="0"/>
            <w:vAlign w:val="center"/>
          </w:tcPr>
          <w:p w14:paraId="5F65845B">
            <w:pPr>
              <w:pStyle w:val="6"/>
              <w:keepNext/>
              <w:spacing w:after="0" w:line="440" w:lineRule="exact"/>
              <w:ind w:left="63" w:right="63"/>
              <w:rPr>
                <w:rFonts w:eastAsia="仿宋_GB2312"/>
                <w:sz w:val="30"/>
                <w:szCs w:val="30"/>
              </w:rPr>
            </w:pPr>
          </w:p>
        </w:tc>
        <w:tc>
          <w:tcPr>
            <w:tcW w:w="850" w:type="dxa"/>
            <w:noWrap w:val="0"/>
            <w:vAlign w:val="center"/>
          </w:tcPr>
          <w:p w14:paraId="20D0C2AF">
            <w:pPr>
              <w:pStyle w:val="6"/>
              <w:keepNext/>
              <w:spacing w:after="0" w:line="440" w:lineRule="exact"/>
              <w:ind w:left="63" w:right="63"/>
              <w:rPr>
                <w:rFonts w:eastAsia="仿宋_GB2312"/>
                <w:sz w:val="30"/>
                <w:szCs w:val="30"/>
              </w:rPr>
            </w:pPr>
          </w:p>
        </w:tc>
        <w:tc>
          <w:tcPr>
            <w:tcW w:w="851" w:type="dxa"/>
            <w:noWrap w:val="0"/>
            <w:vAlign w:val="center"/>
          </w:tcPr>
          <w:p w14:paraId="40896630">
            <w:pPr>
              <w:pStyle w:val="6"/>
              <w:keepNext/>
              <w:spacing w:after="0" w:line="440" w:lineRule="exact"/>
              <w:ind w:left="63" w:right="63"/>
              <w:rPr>
                <w:rFonts w:eastAsia="仿宋_GB2312"/>
                <w:sz w:val="30"/>
                <w:szCs w:val="30"/>
              </w:rPr>
            </w:pPr>
          </w:p>
        </w:tc>
        <w:tc>
          <w:tcPr>
            <w:tcW w:w="1276" w:type="dxa"/>
            <w:noWrap w:val="0"/>
            <w:vAlign w:val="center"/>
          </w:tcPr>
          <w:p w14:paraId="17DEF70C">
            <w:pPr>
              <w:pStyle w:val="6"/>
              <w:keepNext/>
              <w:spacing w:after="0" w:line="440" w:lineRule="exact"/>
              <w:ind w:left="63" w:right="63"/>
              <w:rPr>
                <w:rFonts w:eastAsia="仿宋_GB2312"/>
                <w:sz w:val="30"/>
                <w:szCs w:val="30"/>
              </w:rPr>
            </w:pPr>
          </w:p>
        </w:tc>
        <w:tc>
          <w:tcPr>
            <w:tcW w:w="1275" w:type="dxa"/>
            <w:noWrap w:val="0"/>
            <w:vAlign w:val="center"/>
          </w:tcPr>
          <w:p w14:paraId="34632849">
            <w:pPr>
              <w:pStyle w:val="6"/>
              <w:keepNext/>
              <w:spacing w:after="0" w:line="440" w:lineRule="exact"/>
              <w:ind w:left="63" w:right="63"/>
              <w:rPr>
                <w:rFonts w:eastAsia="仿宋_GB2312"/>
                <w:sz w:val="30"/>
                <w:szCs w:val="30"/>
              </w:rPr>
            </w:pPr>
          </w:p>
        </w:tc>
        <w:tc>
          <w:tcPr>
            <w:tcW w:w="992" w:type="dxa"/>
            <w:noWrap w:val="0"/>
            <w:vAlign w:val="center"/>
          </w:tcPr>
          <w:p w14:paraId="55593516">
            <w:pPr>
              <w:pStyle w:val="6"/>
              <w:keepNext/>
              <w:spacing w:after="0" w:line="440" w:lineRule="exact"/>
              <w:ind w:left="63" w:right="63"/>
              <w:rPr>
                <w:rFonts w:eastAsia="仿宋_GB2312"/>
                <w:sz w:val="30"/>
                <w:szCs w:val="30"/>
              </w:rPr>
            </w:pPr>
          </w:p>
        </w:tc>
      </w:tr>
      <w:tr w14:paraId="2EF04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0BAFF8BE">
            <w:pPr>
              <w:pStyle w:val="6"/>
              <w:keepNext/>
              <w:spacing w:after="0" w:line="440" w:lineRule="exact"/>
              <w:ind w:left="63" w:right="63"/>
              <w:rPr>
                <w:rFonts w:eastAsia="仿宋_GB2312"/>
                <w:sz w:val="30"/>
                <w:szCs w:val="30"/>
              </w:rPr>
            </w:pPr>
          </w:p>
        </w:tc>
        <w:tc>
          <w:tcPr>
            <w:tcW w:w="1417" w:type="dxa"/>
            <w:noWrap w:val="0"/>
            <w:vAlign w:val="center"/>
          </w:tcPr>
          <w:p w14:paraId="61F27E24">
            <w:pPr>
              <w:pStyle w:val="6"/>
              <w:keepNext/>
              <w:spacing w:after="0" w:line="440" w:lineRule="exact"/>
              <w:ind w:left="63" w:right="63"/>
              <w:rPr>
                <w:rFonts w:eastAsia="仿宋_GB2312"/>
                <w:sz w:val="30"/>
                <w:szCs w:val="30"/>
              </w:rPr>
            </w:pPr>
          </w:p>
        </w:tc>
        <w:tc>
          <w:tcPr>
            <w:tcW w:w="851" w:type="dxa"/>
            <w:noWrap w:val="0"/>
            <w:vAlign w:val="center"/>
          </w:tcPr>
          <w:p w14:paraId="7F65212B">
            <w:pPr>
              <w:pStyle w:val="6"/>
              <w:keepNext/>
              <w:spacing w:after="0" w:line="440" w:lineRule="exact"/>
              <w:ind w:left="63" w:right="63"/>
              <w:rPr>
                <w:rFonts w:eastAsia="仿宋_GB2312"/>
                <w:sz w:val="30"/>
                <w:szCs w:val="30"/>
              </w:rPr>
            </w:pPr>
          </w:p>
        </w:tc>
        <w:tc>
          <w:tcPr>
            <w:tcW w:w="709" w:type="dxa"/>
            <w:noWrap w:val="0"/>
            <w:vAlign w:val="center"/>
          </w:tcPr>
          <w:p w14:paraId="1780B2B6">
            <w:pPr>
              <w:pStyle w:val="6"/>
              <w:keepNext/>
              <w:spacing w:after="0" w:line="440" w:lineRule="exact"/>
              <w:ind w:left="63" w:right="63"/>
              <w:rPr>
                <w:rFonts w:eastAsia="仿宋_GB2312"/>
                <w:sz w:val="30"/>
                <w:szCs w:val="30"/>
              </w:rPr>
            </w:pPr>
          </w:p>
        </w:tc>
        <w:tc>
          <w:tcPr>
            <w:tcW w:w="850" w:type="dxa"/>
            <w:noWrap w:val="0"/>
            <w:vAlign w:val="center"/>
          </w:tcPr>
          <w:p w14:paraId="4E073BD3">
            <w:pPr>
              <w:pStyle w:val="6"/>
              <w:keepNext/>
              <w:spacing w:after="0" w:line="440" w:lineRule="exact"/>
              <w:ind w:left="63" w:right="63"/>
              <w:rPr>
                <w:rFonts w:eastAsia="仿宋_GB2312"/>
                <w:sz w:val="30"/>
                <w:szCs w:val="30"/>
              </w:rPr>
            </w:pPr>
          </w:p>
        </w:tc>
        <w:tc>
          <w:tcPr>
            <w:tcW w:w="851" w:type="dxa"/>
            <w:noWrap w:val="0"/>
            <w:vAlign w:val="center"/>
          </w:tcPr>
          <w:p w14:paraId="6916E15A">
            <w:pPr>
              <w:pStyle w:val="6"/>
              <w:keepNext/>
              <w:spacing w:after="0" w:line="440" w:lineRule="exact"/>
              <w:ind w:left="63" w:right="63"/>
              <w:rPr>
                <w:rFonts w:eastAsia="仿宋_GB2312"/>
                <w:sz w:val="30"/>
                <w:szCs w:val="30"/>
              </w:rPr>
            </w:pPr>
          </w:p>
        </w:tc>
        <w:tc>
          <w:tcPr>
            <w:tcW w:w="1276" w:type="dxa"/>
            <w:noWrap w:val="0"/>
            <w:vAlign w:val="center"/>
          </w:tcPr>
          <w:p w14:paraId="6C29C949">
            <w:pPr>
              <w:pStyle w:val="6"/>
              <w:keepNext/>
              <w:spacing w:after="0" w:line="440" w:lineRule="exact"/>
              <w:ind w:left="63" w:right="63"/>
              <w:rPr>
                <w:rFonts w:eastAsia="仿宋_GB2312"/>
                <w:sz w:val="30"/>
                <w:szCs w:val="30"/>
              </w:rPr>
            </w:pPr>
          </w:p>
        </w:tc>
        <w:tc>
          <w:tcPr>
            <w:tcW w:w="1275" w:type="dxa"/>
            <w:noWrap w:val="0"/>
            <w:vAlign w:val="center"/>
          </w:tcPr>
          <w:p w14:paraId="700534AB">
            <w:pPr>
              <w:pStyle w:val="6"/>
              <w:keepNext/>
              <w:spacing w:after="0" w:line="440" w:lineRule="exact"/>
              <w:ind w:left="63" w:right="63"/>
              <w:rPr>
                <w:rFonts w:eastAsia="仿宋_GB2312"/>
                <w:sz w:val="30"/>
                <w:szCs w:val="30"/>
              </w:rPr>
            </w:pPr>
          </w:p>
        </w:tc>
        <w:tc>
          <w:tcPr>
            <w:tcW w:w="992" w:type="dxa"/>
            <w:noWrap w:val="0"/>
            <w:vAlign w:val="center"/>
          </w:tcPr>
          <w:p w14:paraId="21F29C44">
            <w:pPr>
              <w:pStyle w:val="6"/>
              <w:keepNext/>
              <w:spacing w:after="0" w:line="440" w:lineRule="exact"/>
              <w:ind w:left="63" w:right="63"/>
              <w:rPr>
                <w:rFonts w:eastAsia="仿宋_GB2312"/>
                <w:sz w:val="30"/>
                <w:szCs w:val="30"/>
              </w:rPr>
            </w:pPr>
          </w:p>
        </w:tc>
      </w:tr>
      <w:tr w14:paraId="5153F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028C4FE0">
            <w:pPr>
              <w:pStyle w:val="6"/>
              <w:keepNext/>
              <w:spacing w:after="0" w:line="440" w:lineRule="exact"/>
              <w:ind w:left="63" w:right="63"/>
              <w:rPr>
                <w:rFonts w:eastAsia="仿宋_GB2312"/>
                <w:sz w:val="30"/>
                <w:szCs w:val="30"/>
              </w:rPr>
            </w:pPr>
          </w:p>
        </w:tc>
        <w:tc>
          <w:tcPr>
            <w:tcW w:w="1417" w:type="dxa"/>
            <w:noWrap w:val="0"/>
            <w:vAlign w:val="center"/>
          </w:tcPr>
          <w:p w14:paraId="2D9B74B2">
            <w:pPr>
              <w:pStyle w:val="6"/>
              <w:keepNext/>
              <w:spacing w:after="0" w:line="440" w:lineRule="exact"/>
              <w:ind w:left="63" w:right="63"/>
              <w:rPr>
                <w:rFonts w:eastAsia="仿宋_GB2312"/>
                <w:sz w:val="30"/>
                <w:szCs w:val="30"/>
              </w:rPr>
            </w:pPr>
          </w:p>
        </w:tc>
        <w:tc>
          <w:tcPr>
            <w:tcW w:w="851" w:type="dxa"/>
            <w:noWrap w:val="0"/>
            <w:vAlign w:val="center"/>
          </w:tcPr>
          <w:p w14:paraId="21DEA595">
            <w:pPr>
              <w:pStyle w:val="6"/>
              <w:keepNext/>
              <w:spacing w:after="0" w:line="440" w:lineRule="exact"/>
              <w:ind w:left="63" w:right="63"/>
              <w:rPr>
                <w:rFonts w:eastAsia="仿宋_GB2312"/>
                <w:sz w:val="30"/>
                <w:szCs w:val="30"/>
              </w:rPr>
            </w:pPr>
          </w:p>
        </w:tc>
        <w:tc>
          <w:tcPr>
            <w:tcW w:w="709" w:type="dxa"/>
            <w:noWrap w:val="0"/>
            <w:vAlign w:val="center"/>
          </w:tcPr>
          <w:p w14:paraId="3C63D28F">
            <w:pPr>
              <w:pStyle w:val="6"/>
              <w:keepNext/>
              <w:spacing w:after="0" w:line="440" w:lineRule="exact"/>
              <w:ind w:left="63" w:right="63"/>
              <w:rPr>
                <w:rFonts w:eastAsia="仿宋_GB2312"/>
                <w:sz w:val="30"/>
                <w:szCs w:val="30"/>
              </w:rPr>
            </w:pPr>
          </w:p>
        </w:tc>
        <w:tc>
          <w:tcPr>
            <w:tcW w:w="850" w:type="dxa"/>
            <w:noWrap w:val="0"/>
            <w:vAlign w:val="center"/>
          </w:tcPr>
          <w:p w14:paraId="1FD076F5">
            <w:pPr>
              <w:pStyle w:val="6"/>
              <w:keepNext/>
              <w:spacing w:after="0" w:line="440" w:lineRule="exact"/>
              <w:ind w:left="63" w:right="63"/>
              <w:rPr>
                <w:rFonts w:eastAsia="仿宋_GB2312"/>
                <w:sz w:val="30"/>
                <w:szCs w:val="30"/>
              </w:rPr>
            </w:pPr>
          </w:p>
        </w:tc>
        <w:tc>
          <w:tcPr>
            <w:tcW w:w="851" w:type="dxa"/>
            <w:noWrap w:val="0"/>
            <w:vAlign w:val="center"/>
          </w:tcPr>
          <w:p w14:paraId="08B7D956">
            <w:pPr>
              <w:pStyle w:val="6"/>
              <w:keepNext/>
              <w:spacing w:after="0" w:line="440" w:lineRule="exact"/>
              <w:ind w:left="63" w:right="63"/>
              <w:rPr>
                <w:rFonts w:eastAsia="仿宋_GB2312"/>
                <w:sz w:val="30"/>
                <w:szCs w:val="30"/>
              </w:rPr>
            </w:pPr>
          </w:p>
        </w:tc>
        <w:tc>
          <w:tcPr>
            <w:tcW w:w="1276" w:type="dxa"/>
            <w:noWrap w:val="0"/>
            <w:vAlign w:val="center"/>
          </w:tcPr>
          <w:p w14:paraId="670CAE7B">
            <w:pPr>
              <w:pStyle w:val="6"/>
              <w:keepNext/>
              <w:spacing w:after="0" w:line="440" w:lineRule="exact"/>
              <w:ind w:left="63" w:right="63"/>
              <w:rPr>
                <w:rFonts w:eastAsia="仿宋_GB2312"/>
                <w:sz w:val="30"/>
                <w:szCs w:val="30"/>
              </w:rPr>
            </w:pPr>
          </w:p>
        </w:tc>
        <w:tc>
          <w:tcPr>
            <w:tcW w:w="1275" w:type="dxa"/>
            <w:noWrap w:val="0"/>
            <w:vAlign w:val="center"/>
          </w:tcPr>
          <w:p w14:paraId="5B67E53A">
            <w:pPr>
              <w:pStyle w:val="6"/>
              <w:keepNext/>
              <w:spacing w:after="0" w:line="440" w:lineRule="exact"/>
              <w:ind w:left="63" w:right="63"/>
              <w:rPr>
                <w:rFonts w:eastAsia="仿宋_GB2312"/>
                <w:sz w:val="30"/>
                <w:szCs w:val="30"/>
              </w:rPr>
            </w:pPr>
          </w:p>
        </w:tc>
        <w:tc>
          <w:tcPr>
            <w:tcW w:w="992" w:type="dxa"/>
            <w:noWrap w:val="0"/>
            <w:vAlign w:val="center"/>
          </w:tcPr>
          <w:p w14:paraId="588773C9">
            <w:pPr>
              <w:pStyle w:val="6"/>
              <w:keepNext/>
              <w:spacing w:after="0" w:line="440" w:lineRule="exact"/>
              <w:ind w:left="63" w:right="63"/>
              <w:rPr>
                <w:rFonts w:eastAsia="仿宋_GB2312"/>
                <w:sz w:val="30"/>
                <w:szCs w:val="30"/>
              </w:rPr>
            </w:pPr>
          </w:p>
        </w:tc>
      </w:tr>
      <w:tr w14:paraId="1F0AAF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55566BFD">
            <w:pPr>
              <w:rPr>
                <w:rFonts w:eastAsia="仿宋_GB2312"/>
                <w:sz w:val="30"/>
                <w:szCs w:val="30"/>
              </w:rPr>
            </w:pPr>
          </w:p>
        </w:tc>
        <w:tc>
          <w:tcPr>
            <w:tcW w:w="1417" w:type="dxa"/>
            <w:noWrap w:val="0"/>
            <w:vAlign w:val="top"/>
          </w:tcPr>
          <w:p w14:paraId="4BF3D1ED">
            <w:pPr>
              <w:rPr>
                <w:rFonts w:eastAsia="仿宋_GB2312"/>
                <w:sz w:val="30"/>
                <w:szCs w:val="30"/>
              </w:rPr>
            </w:pPr>
          </w:p>
        </w:tc>
        <w:tc>
          <w:tcPr>
            <w:tcW w:w="851" w:type="dxa"/>
            <w:noWrap w:val="0"/>
            <w:vAlign w:val="top"/>
          </w:tcPr>
          <w:p w14:paraId="1F2338D3">
            <w:pPr>
              <w:rPr>
                <w:rFonts w:eastAsia="仿宋_GB2312"/>
                <w:sz w:val="30"/>
                <w:szCs w:val="30"/>
              </w:rPr>
            </w:pPr>
          </w:p>
        </w:tc>
        <w:tc>
          <w:tcPr>
            <w:tcW w:w="709" w:type="dxa"/>
            <w:noWrap w:val="0"/>
            <w:vAlign w:val="top"/>
          </w:tcPr>
          <w:p w14:paraId="77552FAC">
            <w:pPr>
              <w:rPr>
                <w:rFonts w:eastAsia="仿宋_GB2312"/>
                <w:sz w:val="30"/>
                <w:szCs w:val="30"/>
              </w:rPr>
            </w:pPr>
          </w:p>
        </w:tc>
        <w:tc>
          <w:tcPr>
            <w:tcW w:w="850" w:type="dxa"/>
            <w:noWrap w:val="0"/>
            <w:vAlign w:val="top"/>
          </w:tcPr>
          <w:p w14:paraId="1BCBC6C1">
            <w:pPr>
              <w:rPr>
                <w:rFonts w:eastAsia="仿宋_GB2312"/>
                <w:sz w:val="30"/>
                <w:szCs w:val="30"/>
              </w:rPr>
            </w:pPr>
          </w:p>
        </w:tc>
        <w:tc>
          <w:tcPr>
            <w:tcW w:w="851" w:type="dxa"/>
            <w:noWrap w:val="0"/>
            <w:vAlign w:val="top"/>
          </w:tcPr>
          <w:p w14:paraId="1238B67D">
            <w:pPr>
              <w:rPr>
                <w:rFonts w:eastAsia="仿宋_GB2312"/>
                <w:sz w:val="30"/>
                <w:szCs w:val="30"/>
              </w:rPr>
            </w:pPr>
          </w:p>
        </w:tc>
        <w:tc>
          <w:tcPr>
            <w:tcW w:w="1276" w:type="dxa"/>
            <w:noWrap w:val="0"/>
            <w:vAlign w:val="top"/>
          </w:tcPr>
          <w:p w14:paraId="7DBA39BD">
            <w:pPr>
              <w:rPr>
                <w:rFonts w:eastAsia="仿宋_GB2312"/>
                <w:sz w:val="30"/>
                <w:szCs w:val="30"/>
              </w:rPr>
            </w:pPr>
          </w:p>
        </w:tc>
        <w:tc>
          <w:tcPr>
            <w:tcW w:w="1275" w:type="dxa"/>
            <w:noWrap w:val="0"/>
            <w:vAlign w:val="top"/>
          </w:tcPr>
          <w:p w14:paraId="36BC1E12">
            <w:pPr>
              <w:rPr>
                <w:rFonts w:eastAsia="仿宋_GB2312"/>
                <w:sz w:val="30"/>
                <w:szCs w:val="30"/>
              </w:rPr>
            </w:pPr>
          </w:p>
        </w:tc>
        <w:tc>
          <w:tcPr>
            <w:tcW w:w="992" w:type="dxa"/>
            <w:noWrap w:val="0"/>
            <w:vAlign w:val="top"/>
          </w:tcPr>
          <w:p w14:paraId="454EDAD9">
            <w:pPr>
              <w:rPr>
                <w:rFonts w:eastAsia="仿宋_GB2312"/>
                <w:sz w:val="30"/>
                <w:szCs w:val="30"/>
              </w:rPr>
            </w:pPr>
          </w:p>
        </w:tc>
      </w:tr>
      <w:tr w14:paraId="42A87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center"/>
          </w:tcPr>
          <w:p w14:paraId="6723A1AB">
            <w:pPr>
              <w:pStyle w:val="6"/>
              <w:keepNext/>
              <w:spacing w:after="0" w:line="440" w:lineRule="exact"/>
              <w:ind w:left="63" w:right="63"/>
              <w:rPr>
                <w:rFonts w:eastAsia="仿宋_GB2312"/>
                <w:sz w:val="30"/>
                <w:szCs w:val="30"/>
              </w:rPr>
            </w:pPr>
          </w:p>
        </w:tc>
        <w:tc>
          <w:tcPr>
            <w:tcW w:w="1417" w:type="dxa"/>
            <w:noWrap w:val="0"/>
            <w:vAlign w:val="center"/>
          </w:tcPr>
          <w:p w14:paraId="5C9AA484">
            <w:pPr>
              <w:pStyle w:val="6"/>
              <w:keepNext/>
              <w:spacing w:after="0" w:line="440" w:lineRule="exact"/>
              <w:ind w:left="63" w:right="63"/>
              <w:rPr>
                <w:rFonts w:eastAsia="仿宋_GB2312"/>
                <w:sz w:val="30"/>
                <w:szCs w:val="30"/>
              </w:rPr>
            </w:pPr>
          </w:p>
        </w:tc>
        <w:tc>
          <w:tcPr>
            <w:tcW w:w="851" w:type="dxa"/>
            <w:noWrap w:val="0"/>
            <w:vAlign w:val="center"/>
          </w:tcPr>
          <w:p w14:paraId="19EE3755">
            <w:pPr>
              <w:pStyle w:val="6"/>
              <w:keepNext/>
              <w:spacing w:after="0" w:line="440" w:lineRule="exact"/>
              <w:ind w:left="63" w:right="63"/>
              <w:rPr>
                <w:rFonts w:eastAsia="仿宋_GB2312"/>
                <w:sz w:val="30"/>
                <w:szCs w:val="30"/>
              </w:rPr>
            </w:pPr>
          </w:p>
        </w:tc>
        <w:tc>
          <w:tcPr>
            <w:tcW w:w="709" w:type="dxa"/>
            <w:noWrap w:val="0"/>
            <w:vAlign w:val="center"/>
          </w:tcPr>
          <w:p w14:paraId="5307FD5F">
            <w:pPr>
              <w:pStyle w:val="6"/>
              <w:keepNext/>
              <w:spacing w:after="0" w:line="440" w:lineRule="exact"/>
              <w:ind w:left="63" w:right="63"/>
              <w:rPr>
                <w:rFonts w:eastAsia="仿宋_GB2312"/>
                <w:sz w:val="30"/>
                <w:szCs w:val="30"/>
              </w:rPr>
            </w:pPr>
          </w:p>
        </w:tc>
        <w:tc>
          <w:tcPr>
            <w:tcW w:w="850" w:type="dxa"/>
            <w:noWrap w:val="0"/>
            <w:vAlign w:val="center"/>
          </w:tcPr>
          <w:p w14:paraId="1DFB6AB3">
            <w:pPr>
              <w:pStyle w:val="6"/>
              <w:keepNext/>
              <w:spacing w:after="0" w:line="440" w:lineRule="exact"/>
              <w:ind w:left="63" w:right="63"/>
              <w:rPr>
                <w:rFonts w:eastAsia="仿宋_GB2312"/>
                <w:sz w:val="30"/>
                <w:szCs w:val="30"/>
              </w:rPr>
            </w:pPr>
          </w:p>
        </w:tc>
        <w:tc>
          <w:tcPr>
            <w:tcW w:w="851" w:type="dxa"/>
            <w:noWrap w:val="0"/>
            <w:vAlign w:val="center"/>
          </w:tcPr>
          <w:p w14:paraId="086AC31A">
            <w:pPr>
              <w:pStyle w:val="6"/>
              <w:keepNext/>
              <w:spacing w:after="0" w:line="440" w:lineRule="exact"/>
              <w:ind w:left="63" w:right="63"/>
              <w:rPr>
                <w:rFonts w:eastAsia="仿宋_GB2312"/>
                <w:sz w:val="30"/>
                <w:szCs w:val="30"/>
              </w:rPr>
            </w:pPr>
          </w:p>
        </w:tc>
        <w:tc>
          <w:tcPr>
            <w:tcW w:w="1276" w:type="dxa"/>
            <w:noWrap w:val="0"/>
            <w:vAlign w:val="center"/>
          </w:tcPr>
          <w:p w14:paraId="6FA245BA">
            <w:pPr>
              <w:pStyle w:val="6"/>
              <w:keepNext/>
              <w:spacing w:after="0" w:line="440" w:lineRule="exact"/>
              <w:ind w:left="63" w:right="63"/>
              <w:rPr>
                <w:rFonts w:eastAsia="仿宋_GB2312"/>
                <w:sz w:val="30"/>
                <w:szCs w:val="30"/>
              </w:rPr>
            </w:pPr>
          </w:p>
        </w:tc>
        <w:tc>
          <w:tcPr>
            <w:tcW w:w="1275" w:type="dxa"/>
            <w:noWrap w:val="0"/>
            <w:vAlign w:val="center"/>
          </w:tcPr>
          <w:p w14:paraId="7BD809E0">
            <w:pPr>
              <w:pStyle w:val="6"/>
              <w:keepNext/>
              <w:spacing w:after="0" w:line="440" w:lineRule="exact"/>
              <w:ind w:left="63" w:right="63"/>
              <w:rPr>
                <w:rFonts w:eastAsia="仿宋_GB2312"/>
                <w:sz w:val="30"/>
                <w:szCs w:val="30"/>
              </w:rPr>
            </w:pPr>
          </w:p>
        </w:tc>
        <w:tc>
          <w:tcPr>
            <w:tcW w:w="992" w:type="dxa"/>
            <w:noWrap w:val="0"/>
            <w:vAlign w:val="center"/>
          </w:tcPr>
          <w:p w14:paraId="6A2E98A1">
            <w:pPr>
              <w:pStyle w:val="6"/>
              <w:keepNext/>
              <w:spacing w:after="0" w:line="440" w:lineRule="exact"/>
              <w:ind w:left="63" w:right="63"/>
              <w:rPr>
                <w:rFonts w:eastAsia="仿宋_GB2312"/>
                <w:sz w:val="30"/>
                <w:szCs w:val="30"/>
              </w:rPr>
            </w:pPr>
          </w:p>
        </w:tc>
      </w:tr>
      <w:tr w14:paraId="0A836F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23B81367">
            <w:pPr>
              <w:rPr>
                <w:rFonts w:eastAsia="仿宋_GB2312"/>
                <w:sz w:val="30"/>
                <w:szCs w:val="30"/>
              </w:rPr>
            </w:pPr>
          </w:p>
        </w:tc>
        <w:tc>
          <w:tcPr>
            <w:tcW w:w="1417" w:type="dxa"/>
            <w:noWrap w:val="0"/>
            <w:vAlign w:val="top"/>
          </w:tcPr>
          <w:p w14:paraId="20DB1696">
            <w:pPr>
              <w:rPr>
                <w:rFonts w:eastAsia="仿宋_GB2312"/>
                <w:sz w:val="30"/>
                <w:szCs w:val="30"/>
              </w:rPr>
            </w:pPr>
          </w:p>
        </w:tc>
        <w:tc>
          <w:tcPr>
            <w:tcW w:w="851" w:type="dxa"/>
            <w:noWrap w:val="0"/>
            <w:vAlign w:val="top"/>
          </w:tcPr>
          <w:p w14:paraId="563729D5">
            <w:pPr>
              <w:rPr>
                <w:rFonts w:eastAsia="仿宋_GB2312"/>
                <w:sz w:val="30"/>
                <w:szCs w:val="30"/>
              </w:rPr>
            </w:pPr>
          </w:p>
        </w:tc>
        <w:tc>
          <w:tcPr>
            <w:tcW w:w="709" w:type="dxa"/>
            <w:noWrap w:val="0"/>
            <w:vAlign w:val="top"/>
          </w:tcPr>
          <w:p w14:paraId="365E1915">
            <w:pPr>
              <w:rPr>
                <w:rFonts w:eastAsia="仿宋_GB2312"/>
                <w:sz w:val="30"/>
                <w:szCs w:val="30"/>
              </w:rPr>
            </w:pPr>
          </w:p>
        </w:tc>
        <w:tc>
          <w:tcPr>
            <w:tcW w:w="850" w:type="dxa"/>
            <w:noWrap w:val="0"/>
            <w:vAlign w:val="top"/>
          </w:tcPr>
          <w:p w14:paraId="59046AE2">
            <w:pPr>
              <w:rPr>
                <w:rFonts w:eastAsia="仿宋_GB2312"/>
                <w:sz w:val="30"/>
                <w:szCs w:val="30"/>
              </w:rPr>
            </w:pPr>
          </w:p>
        </w:tc>
        <w:tc>
          <w:tcPr>
            <w:tcW w:w="851" w:type="dxa"/>
            <w:noWrap w:val="0"/>
            <w:vAlign w:val="top"/>
          </w:tcPr>
          <w:p w14:paraId="632EC715">
            <w:pPr>
              <w:rPr>
                <w:rFonts w:eastAsia="仿宋_GB2312"/>
                <w:sz w:val="30"/>
                <w:szCs w:val="30"/>
              </w:rPr>
            </w:pPr>
          </w:p>
        </w:tc>
        <w:tc>
          <w:tcPr>
            <w:tcW w:w="1276" w:type="dxa"/>
            <w:noWrap w:val="0"/>
            <w:vAlign w:val="top"/>
          </w:tcPr>
          <w:p w14:paraId="43A4C52B">
            <w:pPr>
              <w:rPr>
                <w:rFonts w:eastAsia="仿宋_GB2312"/>
                <w:sz w:val="30"/>
                <w:szCs w:val="30"/>
              </w:rPr>
            </w:pPr>
          </w:p>
        </w:tc>
        <w:tc>
          <w:tcPr>
            <w:tcW w:w="1275" w:type="dxa"/>
            <w:noWrap w:val="0"/>
            <w:vAlign w:val="top"/>
          </w:tcPr>
          <w:p w14:paraId="0491FB41">
            <w:pPr>
              <w:rPr>
                <w:rFonts w:eastAsia="仿宋_GB2312"/>
                <w:sz w:val="30"/>
                <w:szCs w:val="30"/>
              </w:rPr>
            </w:pPr>
          </w:p>
        </w:tc>
        <w:tc>
          <w:tcPr>
            <w:tcW w:w="992" w:type="dxa"/>
            <w:noWrap w:val="0"/>
            <w:vAlign w:val="top"/>
          </w:tcPr>
          <w:p w14:paraId="6E4FF32E">
            <w:pPr>
              <w:rPr>
                <w:rFonts w:eastAsia="仿宋_GB2312"/>
                <w:sz w:val="30"/>
                <w:szCs w:val="30"/>
              </w:rPr>
            </w:pPr>
          </w:p>
        </w:tc>
      </w:tr>
      <w:tr w14:paraId="7E7767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3782EFCB">
            <w:pPr>
              <w:rPr>
                <w:rFonts w:eastAsia="仿宋_GB2312"/>
                <w:sz w:val="30"/>
                <w:szCs w:val="30"/>
              </w:rPr>
            </w:pPr>
          </w:p>
        </w:tc>
        <w:tc>
          <w:tcPr>
            <w:tcW w:w="1417" w:type="dxa"/>
            <w:noWrap w:val="0"/>
            <w:vAlign w:val="top"/>
          </w:tcPr>
          <w:p w14:paraId="19ACF2C3">
            <w:pPr>
              <w:rPr>
                <w:rFonts w:eastAsia="仿宋_GB2312"/>
                <w:sz w:val="30"/>
                <w:szCs w:val="30"/>
              </w:rPr>
            </w:pPr>
          </w:p>
        </w:tc>
        <w:tc>
          <w:tcPr>
            <w:tcW w:w="851" w:type="dxa"/>
            <w:noWrap w:val="0"/>
            <w:vAlign w:val="top"/>
          </w:tcPr>
          <w:p w14:paraId="469E05DB">
            <w:pPr>
              <w:rPr>
                <w:rFonts w:eastAsia="仿宋_GB2312"/>
                <w:sz w:val="30"/>
                <w:szCs w:val="30"/>
              </w:rPr>
            </w:pPr>
          </w:p>
        </w:tc>
        <w:tc>
          <w:tcPr>
            <w:tcW w:w="709" w:type="dxa"/>
            <w:noWrap w:val="0"/>
            <w:vAlign w:val="top"/>
          </w:tcPr>
          <w:p w14:paraId="5ABB7D8B">
            <w:pPr>
              <w:rPr>
                <w:rFonts w:eastAsia="仿宋_GB2312"/>
                <w:sz w:val="30"/>
                <w:szCs w:val="30"/>
              </w:rPr>
            </w:pPr>
          </w:p>
        </w:tc>
        <w:tc>
          <w:tcPr>
            <w:tcW w:w="850" w:type="dxa"/>
            <w:noWrap w:val="0"/>
            <w:vAlign w:val="top"/>
          </w:tcPr>
          <w:p w14:paraId="5D5AB216">
            <w:pPr>
              <w:rPr>
                <w:rFonts w:eastAsia="仿宋_GB2312"/>
                <w:sz w:val="30"/>
                <w:szCs w:val="30"/>
              </w:rPr>
            </w:pPr>
          </w:p>
        </w:tc>
        <w:tc>
          <w:tcPr>
            <w:tcW w:w="851" w:type="dxa"/>
            <w:noWrap w:val="0"/>
            <w:vAlign w:val="top"/>
          </w:tcPr>
          <w:p w14:paraId="46EF82C0">
            <w:pPr>
              <w:rPr>
                <w:rFonts w:eastAsia="仿宋_GB2312"/>
                <w:sz w:val="30"/>
                <w:szCs w:val="30"/>
              </w:rPr>
            </w:pPr>
          </w:p>
        </w:tc>
        <w:tc>
          <w:tcPr>
            <w:tcW w:w="1276" w:type="dxa"/>
            <w:noWrap w:val="0"/>
            <w:vAlign w:val="top"/>
          </w:tcPr>
          <w:p w14:paraId="3F9A7A6D">
            <w:pPr>
              <w:rPr>
                <w:rFonts w:eastAsia="仿宋_GB2312"/>
                <w:sz w:val="30"/>
                <w:szCs w:val="30"/>
              </w:rPr>
            </w:pPr>
          </w:p>
        </w:tc>
        <w:tc>
          <w:tcPr>
            <w:tcW w:w="1275" w:type="dxa"/>
            <w:noWrap w:val="0"/>
            <w:vAlign w:val="top"/>
          </w:tcPr>
          <w:p w14:paraId="57A17ED7">
            <w:pPr>
              <w:rPr>
                <w:rFonts w:eastAsia="仿宋_GB2312"/>
                <w:sz w:val="30"/>
                <w:szCs w:val="30"/>
              </w:rPr>
            </w:pPr>
          </w:p>
        </w:tc>
        <w:tc>
          <w:tcPr>
            <w:tcW w:w="992" w:type="dxa"/>
            <w:noWrap w:val="0"/>
            <w:vAlign w:val="top"/>
          </w:tcPr>
          <w:p w14:paraId="0472BA6B">
            <w:pPr>
              <w:rPr>
                <w:rFonts w:eastAsia="仿宋_GB2312"/>
                <w:sz w:val="30"/>
                <w:szCs w:val="30"/>
              </w:rPr>
            </w:pPr>
          </w:p>
        </w:tc>
      </w:tr>
      <w:tr w14:paraId="237E1E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1DC91C3C">
            <w:pPr>
              <w:rPr>
                <w:rFonts w:eastAsia="仿宋_GB2312"/>
                <w:sz w:val="30"/>
                <w:szCs w:val="30"/>
              </w:rPr>
            </w:pPr>
          </w:p>
        </w:tc>
        <w:tc>
          <w:tcPr>
            <w:tcW w:w="1417" w:type="dxa"/>
            <w:noWrap w:val="0"/>
            <w:vAlign w:val="top"/>
          </w:tcPr>
          <w:p w14:paraId="52CABEDB">
            <w:pPr>
              <w:rPr>
                <w:rFonts w:eastAsia="仿宋_GB2312"/>
                <w:sz w:val="30"/>
                <w:szCs w:val="30"/>
              </w:rPr>
            </w:pPr>
          </w:p>
        </w:tc>
        <w:tc>
          <w:tcPr>
            <w:tcW w:w="851" w:type="dxa"/>
            <w:noWrap w:val="0"/>
            <w:vAlign w:val="top"/>
          </w:tcPr>
          <w:p w14:paraId="0F589F21">
            <w:pPr>
              <w:rPr>
                <w:rFonts w:eastAsia="仿宋_GB2312"/>
                <w:sz w:val="30"/>
                <w:szCs w:val="30"/>
              </w:rPr>
            </w:pPr>
          </w:p>
        </w:tc>
        <w:tc>
          <w:tcPr>
            <w:tcW w:w="709" w:type="dxa"/>
            <w:noWrap w:val="0"/>
            <w:vAlign w:val="top"/>
          </w:tcPr>
          <w:p w14:paraId="0EF58161">
            <w:pPr>
              <w:rPr>
                <w:rFonts w:eastAsia="仿宋_GB2312"/>
                <w:sz w:val="30"/>
                <w:szCs w:val="30"/>
              </w:rPr>
            </w:pPr>
          </w:p>
        </w:tc>
        <w:tc>
          <w:tcPr>
            <w:tcW w:w="850" w:type="dxa"/>
            <w:noWrap w:val="0"/>
            <w:vAlign w:val="top"/>
          </w:tcPr>
          <w:p w14:paraId="46907B22">
            <w:pPr>
              <w:rPr>
                <w:rFonts w:eastAsia="仿宋_GB2312"/>
                <w:sz w:val="30"/>
                <w:szCs w:val="30"/>
              </w:rPr>
            </w:pPr>
          </w:p>
        </w:tc>
        <w:tc>
          <w:tcPr>
            <w:tcW w:w="851" w:type="dxa"/>
            <w:noWrap w:val="0"/>
            <w:vAlign w:val="top"/>
          </w:tcPr>
          <w:p w14:paraId="7FA311F9">
            <w:pPr>
              <w:rPr>
                <w:rFonts w:eastAsia="仿宋_GB2312"/>
                <w:sz w:val="30"/>
                <w:szCs w:val="30"/>
              </w:rPr>
            </w:pPr>
          </w:p>
        </w:tc>
        <w:tc>
          <w:tcPr>
            <w:tcW w:w="1276" w:type="dxa"/>
            <w:noWrap w:val="0"/>
            <w:vAlign w:val="top"/>
          </w:tcPr>
          <w:p w14:paraId="75B5E121">
            <w:pPr>
              <w:rPr>
                <w:rFonts w:eastAsia="仿宋_GB2312"/>
                <w:sz w:val="30"/>
                <w:szCs w:val="30"/>
              </w:rPr>
            </w:pPr>
          </w:p>
        </w:tc>
        <w:tc>
          <w:tcPr>
            <w:tcW w:w="1275" w:type="dxa"/>
            <w:noWrap w:val="0"/>
            <w:vAlign w:val="top"/>
          </w:tcPr>
          <w:p w14:paraId="08EEDEA7">
            <w:pPr>
              <w:rPr>
                <w:rFonts w:eastAsia="仿宋_GB2312"/>
                <w:sz w:val="30"/>
                <w:szCs w:val="30"/>
              </w:rPr>
            </w:pPr>
          </w:p>
        </w:tc>
        <w:tc>
          <w:tcPr>
            <w:tcW w:w="992" w:type="dxa"/>
            <w:noWrap w:val="0"/>
            <w:vAlign w:val="top"/>
          </w:tcPr>
          <w:p w14:paraId="3887238F">
            <w:pPr>
              <w:rPr>
                <w:rFonts w:eastAsia="仿宋_GB2312"/>
                <w:sz w:val="30"/>
                <w:szCs w:val="30"/>
              </w:rPr>
            </w:pPr>
          </w:p>
        </w:tc>
      </w:tr>
      <w:tr w14:paraId="1E0B4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6849A2E6">
            <w:pPr>
              <w:rPr>
                <w:rFonts w:eastAsia="仿宋_GB2312"/>
                <w:sz w:val="30"/>
                <w:szCs w:val="30"/>
              </w:rPr>
            </w:pPr>
          </w:p>
        </w:tc>
        <w:tc>
          <w:tcPr>
            <w:tcW w:w="1417" w:type="dxa"/>
            <w:noWrap w:val="0"/>
            <w:vAlign w:val="top"/>
          </w:tcPr>
          <w:p w14:paraId="3D7309F3">
            <w:pPr>
              <w:rPr>
                <w:rFonts w:eastAsia="仿宋_GB2312"/>
                <w:sz w:val="30"/>
                <w:szCs w:val="30"/>
              </w:rPr>
            </w:pPr>
          </w:p>
        </w:tc>
        <w:tc>
          <w:tcPr>
            <w:tcW w:w="851" w:type="dxa"/>
            <w:noWrap w:val="0"/>
            <w:vAlign w:val="top"/>
          </w:tcPr>
          <w:p w14:paraId="2DC9B8A5">
            <w:pPr>
              <w:rPr>
                <w:rFonts w:eastAsia="仿宋_GB2312"/>
                <w:sz w:val="30"/>
                <w:szCs w:val="30"/>
              </w:rPr>
            </w:pPr>
          </w:p>
        </w:tc>
        <w:tc>
          <w:tcPr>
            <w:tcW w:w="709" w:type="dxa"/>
            <w:noWrap w:val="0"/>
            <w:vAlign w:val="top"/>
          </w:tcPr>
          <w:p w14:paraId="0D3B2129">
            <w:pPr>
              <w:rPr>
                <w:rFonts w:eastAsia="仿宋_GB2312"/>
                <w:sz w:val="30"/>
                <w:szCs w:val="30"/>
              </w:rPr>
            </w:pPr>
          </w:p>
        </w:tc>
        <w:tc>
          <w:tcPr>
            <w:tcW w:w="850" w:type="dxa"/>
            <w:noWrap w:val="0"/>
            <w:vAlign w:val="top"/>
          </w:tcPr>
          <w:p w14:paraId="664586FB">
            <w:pPr>
              <w:rPr>
                <w:rFonts w:eastAsia="仿宋_GB2312"/>
                <w:sz w:val="30"/>
                <w:szCs w:val="30"/>
              </w:rPr>
            </w:pPr>
          </w:p>
        </w:tc>
        <w:tc>
          <w:tcPr>
            <w:tcW w:w="851" w:type="dxa"/>
            <w:noWrap w:val="0"/>
            <w:vAlign w:val="top"/>
          </w:tcPr>
          <w:p w14:paraId="33FF79E6">
            <w:pPr>
              <w:rPr>
                <w:rFonts w:eastAsia="仿宋_GB2312"/>
                <w:sz w:val="30"/>
                <w:szCs w:val="30"/>
              </w:rPr>
            </w:pPr>
          </w:p>
        </w:tc>
        <w:tc>
          <w:tcPr>
            <w:tcW w:w="1276" w:type="dxa"/>
            <w:noWrap w:val="0"/>
            <w:vAlign w:val="top"/>
          </w:tcPr>
          <w:p w14:paraId="70AB7CDB">
            <w:pPr>
              <w:rPr>
                <w:rFonts w:eastAsia="仿宋_GB2312"/>
                <w:sz w:val="30"/>
                <w:szCs w:val="30"/>
              </w:rPr>
            </w:pPr>
          </w:p>
        </w:tc>
        <w:tc>
          <w:tcPr>
            <w:tcW w:w="1275" w:type="dxa"/>
            <w:noWrap w:val="0"/>
            <w:vAlign w:val="top"/>
          </w:tcPr>
          <w:p w14:paraId="514D3AB9">
            <w:pPr>
              <w:rPr>
                <w:rFonts w:eastAsia="仿宋_GB2312"/>
                <w:sz w:val="30"/>
                <w:szCs w:val="30"/>
              </w:rPr>
            </w:pPr>
          </w:p>
        </w:tc>
        <w:tc>
          <w:tcPr>
            <w:tcW w:w="992" w:type="dxa"/>
            <w:noWrap w:val="0"/>
            <w:vAlign w:val="top"/>
          </w:tcPr>
          <w:p w14:paraId="55D3CC69">
            <w:pPr>
              <w:rPr>
                <w:rFonts w:eastAsia="仿宋_GB2312"/>
                <w:sz w:val="30"/>
                <w:szCs w:val="30"/>
              </w:rPr>
            </w:pPr>
          </w:p>
        </w:tc>
      </w:tr>
      <w:tr w14:paraId="68B416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0E7DF1AA">
            <w:pPr>
              <w:rPr>
                <w:rFonts w:eastAsia="仿宋_GB2312"/>
                <w:sz w:val="30"/>
                <w:szCs w:val="30"/>
              </w:rPr>
            </w:pPr>
          </w:p>
        </w:tc>
        <w:tc>
          <w:tcPr>
            <w:tcW w:w="1417" w:type="dxa"/>
            <w:noWrap w:val="0"/>
            <w:vAlign w:val="top"/>
          </w:tcPr>
          <w:p w14:paraId="2E4982D8">
            <w:pPr>
              <w:rPr>
                <w:rFonts w:eastAsia="仿宋_GB2312"/>
                <w:sz w:val="30"/>
                <w:szCs w:val="30"/>
              </w:rPr>
            </w:pPr>
          </w:p>
        </w:tc>
        <w:tc>
          <w:tcPr>
            <w:tcW w:w="851" w:type="dxa"/>
            <w:noWrap w:val="0"/>
            <w:vAlign w:val="top"/>
          </w:tcPr>
          <w:p w14:paraId="1CCDB9C5">
            <w:pPr>
              <w:rPr>
                <w:rFonts w:eastAsia="仿宋_GB2312"/>
                <w:sz w:val="30"/>
                <w:szCs w:val="30"/>
              </w:rPr>
            </w:pPr>
          </w:p>
        </w:tc>
        <w:tc>
          <w:tcPr>
            <w:tcW w:w="709" w:type="dxa"/>
            <w:noWrap w:val="0"/>
            <w:vAlign w:val="top"/>
          </w:tcPr>
          <w:p w14:paraId="7489896A">
            <w:pPr>
              <w:rPr>
                <w:rFonts w:eastAsia="仿宋_GB2312"/>
                <w:sz w:val="30"/>
                <w:szCs w:val="30"/>
              </w:rPr>
            </w:pPr>
          </w:p>
        </w:tc>
        <w:tc>
          <w:tcPr>
            <w:tcW w:w="850" w:type="dxa"/>
            <w:noWrap w:val="0"/>
            <w:vAlign w:val="top"/>
          </w:tcPr>
          <w:p w14:paraId="02EA63AC">
            <w:pPr>
              <w:rPr>
                <w:rFonts w:eastAsia="仿宋_GB2312"/>
                <w:sz w:val="30"/>
                <w:szCs w:val="30"/>
              </w:rPr>
            </w:pPr>
          </w:p>
        </w:tc>
        <w:tc>
          <w:tcPr>
            <w:tcW w:w="851" w:type="dxa"/>
            <w:noWrap w:val="0"/>
            <w:vAlign w:val="top"/>
          </w:tcPr>
          <w:p w14:paraId="014CE0C6">
            <w:pPr>
              <w:rPr>
                <w:rFonts w:eastAsia="仿宋_GB2312"/>
                <w:sz w:val="30"/>
                <w:szCs w:val="30"/>
              </w:rPr>
            </w:pPr>
          </w:p>
        </w:tc>
        <w:tc>
          <w:tcPr>
            <w:tcW w:w="1276" w:type="dxa"/>
            <w:noWrap w:val="0"/>
            <w:vAlign w:val="top"/>
          </w:tcPr>
          <w:p w14:paraId="4A2125D2">
            <w:pPr>
              <w:rPr>
                <w:rFonts w:eastAsia="仿宋_GB2312"/>
                <w:sz w:val="30"/>
                <w:szCs w:val="30"/>
              </w:rPr>
            </w:pPr>
          </w:p>
        </w:tc>
        <w:tc>
          <w:tcPr>
            <w:tcW w:w="1275" w:type="dxa"/>
            <w:noWrap w:val="0"/>
            <w:vAlign w:val="top"/>
          </w:tcPr>
          <w:p w14:paraId="3322F3FE">
            <w:pPr>
              <w:rPr>
                <w:rFonts w:eastAsia="仿宋_GB2312"/>
                <w:sz w:val="30"/>
                <w:szCs w:val="30"/>
              </w:rPr>
            </w:pPr>
          </w:p>
        </w:tc>
        <w:tc>
          <w:tcPr>
            <w:tcW w:w="992" w:type="dxa"/>
            <w:noWrap w:val="0"/>
            <w:vAlign w:val="top"/>
          </w:tcPr>
          <w:p w14:paraId="62E3BBB3">
            <w:pPr>
              <w:rPr>
                <w:rFonts w:eastAsia="仿宋_GB2312"/>
                <w:sz w:val="30"/>
                <w:szCs w:val="30"/>
              </w:rPr>
            </w:pPr>
          </w:p>
        </w:tc>
      </w:tr>
      <w:tr w14:paraId="1BCEC1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644C69DC">
            <w:pPr>
              <w:rPr>
                <w:rFonts w:eastAsia="仿宋_GB2312"/>
                <w:sz w:val="30"/>
                <w:szCs w:val="30"/>
              </w:rPr>
            </w:pPr>
          </w:p>
        </w:tc>
        <w:tc>
          <w:tcPr>
            <w:tcW w:w="1417" w:type="dxa"/>
            <w:noWrap w:val="0"/>
            <w:vAlign w:val="top"/>
          </w:tcPr>
          <w:p w14:paraId="7B6B6D23">
            <w:pPr>
              <w:rPr>
                <w:rFonts w:eastAsia="仿宋_GB2312"/>
                <w:sz w:val="30"/>
                <w:szCs w:val="30"/>
              </w:rPr>
            </w:pPr>
          </w:p>
        </w:tc>
        <w:tc>
          <w:tcPr>
            <w:tcW w:w="851" w:type="dxa"/>
            <w:noWrap w:val="0"/>
            <w:vAlign w:val="top"/>
          </w:tcPr>
          <w:p w14:paraId="74F1C27F">
            <w:pPr>
              <w:rPr>
                <w:rFonts w:eastAsia="仿宋_GB2312"/>
                <w:sz w:val="30"/>
                <w:szCs w:val="30"/>
              </w:rPr>
            </w:pPr>
          </w:p>
        </w:tc>
        <w:tc>
          <w:tcPr>
            <w:tcW w:w="709" w:type="dxa"/>
            <w:noWrap w:val="0"/>
            <w:vAlign w:val="top"/>
          </w:tcPr>
          <w:p w14:paraId="656C8297">
            <w:pPr>
              <w:rPr>
                <w:rFonts w:eastAsia="仿宋_GB2312"/>
                <w:sz w:val="30"/>
                <w:szCs w:val="30"/>
              </w:rPr>
            </w:pPr>
          </w:p>
        </w:tc>
        <w:tc>
          <w:tcPr>
            <w:tcW w:w="850" w:type="dxa"/>
            <w:noWrap w:val="0"/>
            <w:vAlign w:val="top"/>
          </w:tcPr>
          <w:p w14:paraId="7AFC43A7">
            <w:pPr>
              <w:rPr>
                <w:rFonts w:eastAsia="仿宋_GB2312"/>
                <w:sz w:val="30"/>
                <w:szCs w:val="30"/>
              </w:rPr>
            </w:pPr>
          </w:p>
        </w:tc>
        <w:tc>
          <w:tcPr>
            <w:tcW w:w="851" w:type="dxa"/>
            <w:noWrap w:val="0"/>
            <w:vAlign w:val="top"/>
          </w:tcPr>
          <w:p w14:paraId="5DB7C350">
            <w:pPr>
              <w:rPr>
                <w:rFonts w:eastAsia="仿宋_GB2312"/>
                <w:sz w:val="30"/>
                <w:szCs w:val="30"/>
              </w:rPr>
            </w:pPr>
          </w:p>
        </w:tc>
        <w:tc>
          <w:tcPr>
            <w:tcW w:w="1276" w:type="dxa"/>
            <w:noWrap w:val="0"/>
            <w:vAlign w:val="top"/>
          </w:tcPr>
          <w:p w14:paraId="0F900260">
            <w:pPr>
              <w:rPr>
                <w:rFonts w:eastAsia="仿宋_GB2312"/>
                <w:sz w:val="30"/>
                <w:szCs w:val="30"/>
              </w:rPr>
            </w:pPr>
          </w:p>
        </w:tc>
        <w:tc>
          <w:tcPr>
            <w:tcW w:w="1275" w:type="dxa"/>
            <w:noWrap w:val="0"/>
            <w:vAlign w:val="top"/>
          </w:tcPr>
          <w:p w14:paraId="6B0BF578">
            <w:pPr>
              <w:rPr>
                <w:rFonts w:eastAsia="仿宋_GB2312"/>
                <w:sz w:val="30"/>
                <w:szCs w:val="30"/>
              </w:rPr>
            </w:pPr>
          </w:p>
        </w:tc>
        <w:tc>
          <w:tcPr>
            <w:tcW w:w="992" w:type="dxa"/>
            <w:noWrap w:val="0"/>
            <w:vAlign w:val="top"/>
          </w:tcPr>
          <w:p w14:paraId="1170EF9A">
            <w:pPr>
              <w:rPr>
                <w:rFonts w:eastAsia="仿宋_GB2312"/>
                <w:sz w:val="30"/>
                <w:szCs w:val="30"/>
              </w:rPr>
            </w:pPr>
          </w:p>
        </w:tc>
      </w:tr>
      <w:tr w14:paraId="5FB1F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73944A54">
            <w:pPr>
              <w:rPr>
                <w:rFonts w:eastAsia="仿宋_GB2312"/>
                <w:sz w:val="30"/>
                <w:szCs w:val="30"/>
              </w:rPr>
            </w:pPr>
          </w:p>
        </w:tc>
        <w:tc>
          <w:tcPr>
            <w:tcW w:w="1417" w:type="dxa"/>
            <w:noWrap w:val="0"/>
            <w:vAlign w:val="top"/>
          </w:tcPr>
          <w:p w14:paraId="0728478A">
            <w:pPr>
              <w:rPr>
                <w:rFonts w:eastAsia="仿宋_GB2312"/>
                <w:sz w:val="30"/>
                <w:szCs w:val="30"/>
              </w:rPr>
            </w:pPr>
          </w:p>
        </w:tc>
        <w:tc>
          <w:tcPr>
            <w:tcW w:w="851" w:type="dxa"/>
            <w:noWrap w:val="0"/>
            <w:vAlign w:val="top"/>
          </w:tcPr>
          <w:p w14:paraId="76CEF53B">
            <w:pPr>
              <w:rPr>
                <w:rFonts w:eastAsia="仿宋_GB2312"/>
                <w:sz w:val="30"/>
                <w:szCs w:val="30"/>
              </w:rPr>
            </w:pPr>
          </w:p>
        </w:tc>
        <w:tc>
          <w:tcPr>
            <w:tcW w:w="709" w:type="dxa"/>
            <w:noWrap w:val="0"/>
            <w:vAlign w:val="top"/>
          </w:tcPr>
          <w:p w14:paraId="423A5D0D">
            <w:pPr>
              <w:rPr>
                <w:rFonts w:eastAsia="仿宋_GB2312"/>
                <w:sz w:val="30"/>
                <w:szCs w:val="30"/>
              </w:rPr>
            </w:pPr>
          </w:p>
        </w:tc>
        <w:tc>
          <w:tcPr>
            <w:tcW w:w="850" w:type="dxa"/>
            <w:noWrap w:val="0"/>
            <w:vAlign w:val="top"/>
          </w:tcPr>
          <w:p w14:paraId="21A68BF1">
            <w:pPr>
              <w:rPr>
                <w:rFonts w:eastAsia="仿宋_GB2312"/>
                <w:sz w:val="30"/>
                <w:szCs w:val="30"/>
              </w:rPr>
            </w:pPr>
          </w:p>
        </w:tc>
        <w:tc>
          <w:tcPr>
            <w:tcW w:w="851" w:type="dxa"/>
            <w:noWrap w:val="0"/>
            <w:vAlign w:val="top"/>
          </w:tcPr>
          <w:p w14:paraId="239CBCD1">
            <w:pPr>
              <w:rPr>
                <w:rFonts w:eastAsia="仿宋_GB2312"/>
                <w:sz w:val="30"/>
                <w:szCs w:val="30"/>
              </w:rPr>
            </w:pPr>
          </w:p>
        </w:tc>
        <w:tc>
          <w:tcPr>
            <w:tcW w:w="1276" w:type="dxa"/>
            <w:noWrap w:val="0"/>
            <w:vAlign w:val="top"/>
          </w:tcPr>
          <w:p w14:paraId="156413E9">
            <w:pPr>
              <w:rPr>
                <w:rFonts w:eastAsia="仿宋_GB2312"/>
                <w:sz w:val="30"/>
                <w:szCs w:val="30"/>
              </w:rPr>
            </w:pPr>
          </w:p>
        </w:tc>
        <w:tc>
          <w:tcPr>
            <w:tcW w:w="1275" w:type="dxa"/>
            <w:noWrap w:val="0"/>
            <w:vAlign w:val="top"/>
          </w:tcPr>
          <w:p w14:paraId="0CC3784A">
            <w:pPr>
              <w:rPr>
                <w:rFonts w:eastAsia="仿宋_GB2312"/>
                <w:sz w:val="30"/>
                <w:szCs w:val="30"/>
              </w:rPr>
            </w:pPr>
          </w:p>
        </w:tc>
        <w:tc>
          <w:tcPr>
            <w:tcW w:w="992" w:type="dxa"/>
            <w:noWrap w:val="0"/>
            <w:vAlign w:val="top"/>
          </w:tcPr>
          <w:p w14:paraId="5932B8D8">
            <w:pPr>
              <w:rPr>
                <w:rFonts w:eastAsia="仿宋_GB2312"/>
                <w:sz w:val="30"/>
                <w:szCs w:val="30"/>
              </w:rPr>
            </w:pPr>
          </w:p>
        </w:tc>
      </w:tr>
      <w:tr w14:paraId="57D5E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4D7168E0">
            <w:pPr>
              <w:rPr>
                <w:rFonts w:eastAsia="仿宋_GB2312"/>
                <w:sz w:val="30"/>
                <w:szCs w:val="30"/>
              </w:rPr>
            </w:pPr>
          </w:p>
        </w:tc>
        <w:tc>
          <w:tcPr>
            <w:tcW w:w="1417" w:type="dxa"/>
            <w:noWrap w:val="0"/>
            <w:vAlign w:val="top"/>
          </w:tcPr>
          <w:p w14:paraId="68D672B6">
            <w:pPr>
              <w:rPr>
                <w:rFonts w:eastAsia="仿宋_GB2312"/>
                <w:sz w:val="30"/>
                <w:szCs w:val="30"/>
              </w:rPr>
            </w:pPr>
          </w:p>
        </w:tc>
        <w:tc>
          <w:tcPr>
            <w:tcW w:w="851" w:type="dxa"/>
            <w:noWrap w:val="0"/>
            <w:vAlign w:val="top"/>
          </w:tcPr>
          <w:p w14:paraId="64BD862F">
            <w:pPr>
              <w:rPr>
                <w:rFonts w:eastAsia="仿宋_GB2312"/>
                <w:sz w:val="30"/>
                <w:szCs w:val="30"/>
              </w:rPr>
            </w:pPr>
          </w:p>
        </w:tc>
        <w:tc>
          <w:tcPr>
            <w:tcW w:w="709" w:type="dxa"/>
            <w:noWrap w:val="0"/>
            <w:vAlign w:val="top"/>
          </w:tcPr>
          <w:p w14:paraId="7A6C7EA6">
            <w:pPr>
              <w:rPr>
                <w:rFonts w:eastAsia="仿宋_GB2312"/>
                <w:sz w:val="30"/>
                <w:szCs w:val="30"/>
              </w:rPr>
            </w:pPr>
          </w:p>
        </w:tc>
        <w:tc>
          <w:tcPr>
            <w:tcW w:w="850" w:type="dxa"/>
            <w:noWrap w:val="0"/>
            <w:vAlign w:val="top"/>
          </w:tcPr>
          <w:p w14:paraId="546A7CE9">
            <w:pPr>
              <w:rPr>
                <w:rFonts w:eastAsia="仿宋_GB2312"/>
                <w:sz w:val="30"/>
                <w:szCs w:val="30"/>
              </w:rPr>
            </w:pPr>
          </w:p>
        </w:tc>
        <w:tc>
          <w:tcPr>
            <w:tcW w:w="851" w:type="dxa"/>
            <w:noWrap w:val="0"/>
            <w:vAlign w:val="top"/>
          </w:tcPr>
          <w:p w14:paraId="288B58A7">
            <w:pPr>
              <w:rPr>
                <w:rFonts w:eastAsia="仿宋_GB2312"/>
                <w:sz w:val="30"/>
                <w:szCs w:val="30"/>
              </w:rPr>
            </w:pPr>
          </w:p>
        </w:tc>
        <w:tc>
          <w:tcPr>
            <w:tcW w:w="1276" w:type="dxa"/>
            <w:noWrap w:val="0"/>
            <w:vAlign w:val="top"/>
          </w:tcPr>
          <w:p w14:paraId="5A50C895">
            <w:pPr>
              <w:rPr>
                <w:rFonts w:eastAsia="仿宋_GB2312"/>
                <w:sz w:val="30"/>
                <w:szCs w:val="30"/>
              </w:rPr>
            </w:pPr>
          </w:p>
        </w:tc>
        <w:tc>
          <w:tcPr>
            <w:tcW w:w="1275" w:type="dxa"/>
            <w:noWrap w:val="0"/>
            <w:vAlign w:val="top"/>
          </w:tcPr>
          <w:p w14:paraId="6A391BC8">
            <w:pPr>
              <w:rPr>
                <w:rFonts w:eastAsia="仿宋_GB2312"/>
                <w:sz w:val="30"/>
                <w:szCs w:val="30"/>
              </w:rPr>
            </w:pPr>
          </w:p>
        </w:tc>
        <w:tc>
          <w:tcPr>
            <w:tcW w:w="992" w:type="dxa"/>
            <w:noWrap w:val="0"/>
            <w:vAlign w:val="top"/>
          </w:tcPr>
          <w:p w14:paraId="77F333CD">
            <w:pPr>
              <w:rPr>
                <w:rFonts w:eastAsia="仿宋_GB2312"/>
                <w:sz w:val="30"/>
                <w:szCs w:val="30"/>
              </w:rPr>
            </w:pPr>
          </w:p>
        </w:tc>
      </w:tr>
      <w:tr w14:paraId="24A789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38" w:type="dxa"/>
            <w:noWrap w:val="0"/>
            <w:vAlign w:val="top"/>
          </w:tcPr>
          <w:p w14:paraId="226E0A1F">
            <w:pPr>
              <w:rPr>
                <w:rFonts w:eastAsia="仿宋_GB2312"/>
                <w:sz w:val="30"/>
                <w:szCs w:val="30"/>
              </w:rPr>
            </w:pPr>
          </w:p>
        </w:tc>
        <w:tc>
          <w:tcPr>
            <w:tcW w:w="1417" w:type="dxa"/>
            <w:noWrap w:val="0"/>
            <w:vAlign w:val="top"/>
          </w:tcPr>
          <w:p w14:paraId="11AFB438">
            <w:pPr>
              <w:rPr>
                <w:rFonts w:eastAsia="仿宋_GB2312"/>
                <w:sz w:val="30"/>
                <w:szCs w:val="30"/>
              </w:rPr>
            </w:pPr>
          </w:p>
        </w:tc>
        <w:tc>
          <w:tcPr>
            <w:tcW w:w="851" w:type="dxa"/>
            <w:noWrap w:val="0"/>
            <w:vAlign w:val="top"/>
          </w:tcPr>
          <w:p w14:paraId="2B787A62">
            <w:pPr>
              <w:rPr>
                <w:rFonts w:eastAsia="仿宋_GB2312"/>
                <w:sz w:val="30"/>
                <w:szCs w:val="30"/>
              </w:rPr>
            </w:pPr>
          </w:p>
        </w:tc>
        <w:tc>
          <w:tcPr>
            <w:tcW w:w="709" w:type="dxa"/>
            <w:noWrap w:val="0"/>
            <w:vAlign w:val="top"/>
          </w:tcPr>
          <w:p w14:paraId="40397417">
            <w:pPr>
              <w:rPr>
                <w:rFonts w:eastAsia="仿宋_GB2312"/>
                <w:sz w:val="30"/>
                <w:szCs w:val="30"/>
              </w:rPr>
            </w:pPr>
          </w:p>
        </w:tc>
        <w:tc>
          <w:tcPr>
            <w:tcW w:w="850" w:type="dxa"/>
            <w:noWrap w:val="0"/>
            <w:vAlign w:val="top"/>
          </w:tcPr>
          <w:p w14:paraId="788CC9F0">
            <w:pPr>
              <w:rPr>
                <w:rFonts w:eastAsia="仿宋_GB2312"/>
                <w:sz w:val="30"/>
                <w:szCs w:val="30"/>
              </w:rPr>
            </w:pPr>
          </w:p>
        </w:tc>
        <w:tc>
          <w:tcPr>
            <w:tcW w:w="851" w:type="dxa"/>
            <w:noWrap w:val="0"/>
            <w:vAlign w:val="top"/>
          </w:tcPr>
          <w:p w14:paraId="50F50CFD">
            <w:pPr>
              <w:rPr>
                <w:rFonts w:eastAsia="仿宋_GB2312"/>
                <w:sz w:val="30"/>
                <w:szCs w:val="30"/>
              </w:rPr>
            </w:pPr>
          </w:p>
        </w:tc>
        <w:tc>
          <w:tcPr>
            <w:tcW w:w="1276" w:type="dxa"/>
            <w:noWrap w:val="0"/>
            <w:vAlign w:val="top"/>
          </w:tcPr>
          <w:p w14:paraId="1901440C">
            <w:pPr>
              <w:rPr>
                <w:rFonts w:eastAsia="仿宋_GB2312"/>
                <w:sz w:val="30"/>
                <w:szCs w:val="30"/>
              </w:rPr>
            </w:pPr>
          </w:p>
        </w:tc>
        <w:tc>
          <w:tcPr>
            <w:tcW w:w="1275" w:type="dxa"/>
            <w:noWrap w:val="0"/>
            <w:vAlign w:val="top"/>
          </w:tcPr>
          <w:p w14:paraId="706921BA">
            <w:pPr>
              <w:rPr>
                <w:rFonts w:eastAsia="仿宋_GB2312"/>
                <w:sz w:val="30"/>
                <w:szCs w:val="30"/>
              </w:rPr>
            </w:pPr>
          </w:p>
        </w:tc>
        <w:tc>
          <w:tcPr>
            <w:tcW w:w="992" w:type="dxa"/>
            <w:noWrap w:val="0"/>
            <w:vAlign w:val="top"/>
          </w:tcPr>
          <w:p w14:paraId="5C49EEFA">
            <w:pPr>
              <w:rPr>
                <w:rFonts w:eastAsia="仿宋_GB2312"/>
                <w:sz w:val="30"/>
                <w:szCs w:val="30"/>
              </w:rPr>
            </w:pPr>
          </w:p>
        </w:tc>
      </w:tr>
    </w:tbl>
    <w:p w14:paraId="248F6EE0">
      <w:pPr>
        <w:spacing w:before="120" w:beforeLines="50" w:after="120" w:afterLines="50" w:line="440" w:lineRule="exact"/>
        <w:jc w:val="left"/>
        <w:rPr>
          <w:rFonts w:ascii="宋体" w:hAnsi="宋体"/>
          <w:sz w:val="24"/>
        </w:rPr>
      </w:pPr>
      <w:r>
        <w:rPr>
          <w:rFonts w:ascii="宋体" w:hAnsi="宋体"/>
          <w:sz w:val="24"/>
        </w:rPr>
        <w:t>附</w:t>
      </w:r>
      <w:bookmarkStart w:id="2546" w:name="_Toc296944567"/>
      <w:bookmarkStart w:id="2547" w:name="_Toc296891056"/>
      <w:bookmarkStart w:id="2548" w:name="_Toc296891268"/>
      <w:bookmarkStart w:id="2549" w:name="_Toc267261699"/>
      <w:bookmarkStart w:id="2550" w:name="_Toc296346729"/>
      <w:bookmarkStart w:id="2551" w:name="_Toc296503228"/>
      <w:bookmarkStart w:id="2552" w:name="_Toc296347227"/>
      <w:r>
        <w:rPr>
          <w:rFonts w:ascii="宋体" w:hAnsi="宋体"/>
          <w:sz w:val="24"/>
        </w:rPr>
        <w:t>件6：</w:t>
      </w:r>
    </w:p>
    <w:bookmarkEnd w:id="2546"/>
    <w:bookmarkEnd w:id="2547"/>
    <w:bookmarkEnd w:id="2548"/>
    <w:bookmarkEnd w:id="2549"/>
    <w:bookmarkEnd w:id="2550"/>
    <w:bookmarkEnd w:id="2551"/>
    <w:bookmarkEnd w:id="2552"/>
    <w:p w14:paraId="01C866A2">
      <w:pPr>
        <w:spacing w:before="120" w:beforeLines="50" w:after="120" w:afterLines="50" w:line="440" w:lineRule="exact"/>
        <w:jc w:val="center"/>
        <w:rPr>
          <w:rFonts w:eastAsia="黑体"/>
          <w:sz w:val="28"/>
          <w:szCs w:val="28"/>
        </w:rPr>
      </w:pPr>
      <w:r>
        <w:rPr>
          <w:rFonts w:eastAsia="黑体"/>
          <w:sz w:val="28"/>
          <w:szCs w:val="28"/>
        </w:rPr>
        <w:t>承包人主要施工管理人员表</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6DF3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DF93655">
            <w:pPr>
              <w:pStyle w:val="6"/>
              <w:keepNext/>
              <w:spacing w:after="0" w:line="440" w:lineRule="exact"/>
              <w:ind w:left="63" w:right="63"/>
              <w:jc w:val="center"/>
              <w:rPr>
                <w:rFonts w:ascii="宋体" w:hAnsi="宋体"/>
                <w:szCs w:val="21"/>
              </w:rPr>
            </w:pPr>
            <w:r>
              <w:rPr>
                <w:rFonts w:ascii="宋体" w:hAnsi="宋体"/>
                <w:szCs w:val="21"/>
              </w:rPr>
              <w:t>名    称</w:t>
            </w:r>
          </w:p>
        </w:tc>
        <w:tc>
          <w:tcPr>
            <w:tcW w:w="1418" w:type="dxa"/>
            <w:tcBorders>
              <w:top w:val="single" w:color="auto" w:sz="12" w:space="0"/>
              <w:bottom w:val="double" w:color="auto" w:sz="6" w:space="0"/>
            </w:tcBorders>
            <w:noWrap w:val="0"/>
            <w:vAlign w:val="center"/>
          </w:tcPr>
          <w:p w14:paraId="2794A3EE">
            <w:pPr>
              <w:pStyle w:val="6"/>
              <w:keepNext/>
              <w:spacing w:after="0" w:line="440" w:lineRule="exact"/>
              <w:ind w:left="63" w:right="63"/>
              <w:jc w:val="center"/>
              <w:rPr>
                <w:rFonts w:ascii="宋体" w:hAnsi="宋体"/>
                <w:szCs w:val="21"/>
              </w:rPr>
            </w:pPr>
            <w:r>
              <w:rPr>
                <w:rFonts w:ascii="宋体" w:hAnsi="宋体"/>
                <w:szCs w:val="21"/>
              </w:rPr>
              <w:t>姓名</w:t>
            </w:r>
          </w:p>
        </w:tc>
        <w:tc>
          <w:tcPr>
            <w:tcW w:w="1134" w:type="dxa"/>
            <w:tcBorders>
              <w:top w:val="single" w:color="auto" w:sz="12" w:space="0"/>
              <w:bottom w:val="double" w:color="auto" w:sz="6" w:space="0"/>
            </w:tcBorders>
            <w:noWrap w:val="0"/>
            <w:vAlign w:val="center"/>
          </w:tcPr>
          <w:p w14:paraId="1D262095">
            <w:pPr>
              <w:pStyle w:val="6"/>
              <w:keepNext/>
              <w:spacing w:after="0" w:line="440" w:lineRule="exact"/>
              <w:ind w:left="63" w:right="63"/>
              <w:jc w:val="center"/>
              <w:rPr>
                <w:rFonts w:ascii="宋体" w:hAnsi="宋体"/>
                <w:szCs w:val="21"/>
              </w:rPr>
            </w:pPr>
            <w:r>
              <w:rPr>
                <w:rFonts w:ascii="宋体" w:hAnsi="宋体"/>
                <w:szCs w:val="21"/>
              </w:rPr>
              <w:t>职务</w:t>
            </w:r>
          </w:p>
        </w:tc>
        <w:tc>
          <w:tcPr>
            <w:tcW w:w="1134" w:type="dxa"/>
            <w:tcBorders>
              <w:top w:val="single" w:color="auto" w:sz="12" w:space="0"/>
              <w:bottom w:val="double" w:color="auto" w:sz="6" w:space="0"/>
            </w:tcBorders>
            <w:noWrap w:val="0"/>
            <w:vAlign w:val="center"/>
          </w:tcPr>
          <w:p w14:paraId="39EFA0A9">
            <w:pPr>
              <w:pStyle w:val="6"/>
              <w:keepNext/>
              <w:spacing w:after="0" w:line="440" w:lineRule="exact"/>
              <w:ind w:left="63" w:right="63"/>
              <w:jc w:val="center"/>
              <w:rPr>
                <w:rFonts w:ascii="宋体" w:hAnsi="宋体"/>
                <w:szCs w:val="21"/>
              </w:rPr>
            </w:pPr>
            <w:r>
              <w:rPr>
                <w:rFonts w:ascii="宋体" w:hAnsi="宋体"/>
                <w:szCs w:val="21"/>
              </w:rPr>
              <w:t>职称</w:t>
            </w:r>
          </w:p>
        </w:tc>
        <w:tc>
          <w:tcPr>
            <w:tcW w:w="4252" w:type="dxa"/>
            <w:tcBorders>
              <w:top w:val="single" w:color="auto" w:sz="12" w:space="0"/>
              <w:bottom w:val="double" w:color="auto" w:sz="6" w:space="0"/>
            </w:tcBorders>
            <w:noWrap w:val="0"/>
            <w:vAlign w:val="center"/>
          </w:tcPr>
          <w:p w14:paraId="23156779">
            <w:pPr>
              <w:pStyle w:val="6"/>
              <w:keepNext/>
              <w:spacing w:after="0" w:line="440" w:lineRule="exact"/>
              <w:ind w:left="63" w:right="63"/>
              <w:jc w:val="center"/>
              <w:rPr>
                <w:rFonts w:ascii="宋体" w:hAnsi="宋体"/>
                <w:szCs w:val="21"/>
              </w:rPr>
            </w:pPr>
            <w:r>
              <w:rPr>
                <w:rFonts w:ascii="宋体" w:hAnsi="宋体"/>
                <w:szCs w:val="21"/>
              </w:rPr>
              <w:t>主要资历、经验及承担过的项目</w:t>
            </w:r>
          </w:p>
        </w:tc>
      </w:tr>
      <w:tr w14:paraId="276E6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30333A6">
            <w:pPr>
              <w:pStyle w:val="6"/>
              <w:keepNext/>
              <w:spacing w:after="0" w:line="440" w:lineRule="exact"/>
              <w:ind w:left="63" w:right="63"/>
              <w:jc w:val="center"/>
              <w:rPr>
                <w:rFonts w:ascii="宋体" w:hAnsi="宋体"/>
                <w:szCs w:val="21"/>
              </w:rPr>
            </w:pPr>
            <w:r>
              <w:rPr>
                <w:rFonts w:ascii="宋体" w:hAnsi="宋体"/>
                <w:szCs w:val="21"/>
              </w:rPr>
              <w:t>一、总部人员</w:t>
            </w:r>
          </w:p>
        </w:tc>
      </w:tr>
      <w:tr w14:paraId="1EA6C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FCD4A4E">
            <w:pPr>
              <w:pStyle w:val="6"/>
              <w:keepNext/>
              <w:spacing w:after="0" w:line="440" w:lineRule="exact"/>
              <w:ind w:left="63" w:right="63"/>
              <w:jc w:val="center"/>
              <w:rPr>
                <w:rFonts w:ascii="宋体" w:hAnsi="宋体"/>
                <w:szCs w:val="21"/>
              </w:rPr>
            </w:pPr>
            <w:r>
              <w:rPr>
                <w:rFonts w:ascii="宋体" w:hAnsi="宋体"/>
                <w:szCs w:val="21"/>
              </w:rPr>
              <w:t>项目主管</w:t>
            </w:r>
          </w:p>
        </w:tc>
        <w:tc>
          <w:tcPr>
            <w:tcW w:w="1418" w:type="dxa"/>
            <w:tcBorders>
              <w:top w:val="nil"/>
            </w:tcBorders>
            <w:noWrap w:val="0"/>
            <w:vAlign w:val="center"/>
          </w:tcPr>
          <w:p w14:paraId="37E64182">
            <w:pPr>
              <w:pStyle w:val="6"/>
              <w:keepNext/>
              <w:spacing w:after="0" w:line="440" w:lineRule="exact"/>
              <w:ind w:left="63" w:right="63"/>
              <w:jc w:val="center"/>
              <w:rPr>
                <w:rFonts w:ascii="宋体" w:hAnsi="宋体"/>
                <w:szCs w:val="21"/>
              </w:rPr>
            </w:pPr>
          </w:p>
        </w:tc>
        <w:tc>
          <w:tcPr>
            <w:tcW w:w="1134" w:type="dxa"/>
            <w:tcBorders>
              <w:top w:val="nil"/>
            </w:tcBorders>
            <w:noWrap w:val="0"/>
            <w:vAlign w:val="center"/>
          </w:tcPr>
          <w:p w14:paraId="1B94C379">
            <w:pPr>
              <w:pStyle w:val="6"/>
              <w:keepNext/>
              <w:spacing w:after="0" w:line="440" w:lineRule="exact"/>
              <w:ind w:left="63" w:right="63"/>
              <w:jc w:val="center"/>
              <w:rPr>
                <w:rFonts w:ascii="宋体" w:hAnsi="宋体"/>
                <w:szCs w:val="21"/>
              </w:rPr>
            </w:pPr>
          </w:p>
        </w:tc>
        <w:tc>
          <w:tcPr>
            <w:tcW w:w="1134" w:type="dxa"/>
            <w:tcBorders>
              <w:top w:val="nil"/>
            </w:tcBorders>
            <w:noWrap w:val="0"/>
            <w:vAlign w:val="center"/>
          </w:tcPr>
          <w:p w14:paraId="2D58BE8A">
            <w:pPr>
              <w:pStyle w:val="6"/>
              <w:keepNext/>
              <w:spacing w:after="0" w:line="440" w:lineRule="exact"/>
              <w:ind w:left="63" w:right="63"/>
              <w:jc w:val="center"/>
              <w:rPr>
                <w:rFonts w:ascii="宋体" w:hAnsi="宋体"/>
                <w:szCs w:val="21"/>
              </w:rPr>
            </w:pPr>
          </w:p>
        </w:tc>
        <w:tc>
          <w:tcPr>
            <w:tcW w:w="4252" w:type="dxa"/>
            <w:tcBorders>
              <w:top w:val="nil"/>
            </w:tcBorders>
            <w:noWrap w:val="0"/>
            <w:vAlign w:val="center"/>
          </w:tcPr>
          <w:p w14:paraId="1891D707">
            <w:pPr>
              <w:pStyle w:val="6"/>
              <w:keepNext/>
              <w:spacing w:after="0" w:line="440" w:lineRule="exact"/>
              <w:ind w:left="63" w:right="63"/>
              <w:jc w:val="center"/>
              <w:rPr>
                <w:rFonts w:ascii="宋体" w:hAnsi="宋体"/>
                <w:szCs w:val="21"/>
              </w:rPr>
            </w:pPr>
          </w:p>
        </w:tc>
      </w:tr>
      <w:tr w14:paraId="6EC29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60ABEB0">
            <w:pPr>
              <w:pStyle w:val="6"/>
              <w:keepNext/>
              <w:spacing w:after="0" w:line="440" w:lineRule="exact"/>
              <w:ind w:left="63" w:right="63"/>
              <w:jc w:val="center"/>
              <w:rPr>
                <w:rFonts w:ascii="宋体" w:hAnsi="宋体"/>
                <w:szCs w:val="21"/>
              </w:rPr>
            </w:pPr>
          </w:p>
        </w:tc>
        <w:tc>
          <w:tcPr>
            <w:tcW w:w="1418" w:type="dxa"/>
            <w:noWrap w:val="0"/>
            <w:vAlign w:val="center"/>
          </w:tcPr>
          <w:p w14:paraId="3742192E">
            <w:pPr>
              <w:pStyle w:val="6"/>
              <w:keepNext/>
              <w:spacing w:after="0" w:line="440" w:lineRule="exact"/>
              <w:ind w:left="63" w:right="63"/>
              <w:jc w:val="center"/>
              <w:rPr>
                <w:rFonts w:ascii="宋体" w:hAnsi="宋体"/>
                <w:szCs w:val="21"/>
              </w:rPr>
            </w:pPr>
          </w:p>
        </w:tc>
        <w:tc>
          <w:tcPr>
            <w:tcW w:w="1134" w:type="dxa"/>
            <w:noWrap w:val="0"/>
            <w:vAlign w:val="center"/>
          </w:tcPr>
          <w:p w14:paraId="4ECB8F4B">
            <w:pPr>
              <w:pStyle w:val="6"/>
              <w:keepNext/>
              <w:spacing w:after="0" w:line="440" w:lineRule="exact"/>
              <w:ind w:left="63" w:right="63"/>
              <w:jc w:val="center"/>
              <w:rPr>
                <w:rFonts w:ascii="宋体" w:hAnsi="宋体"/>
                <w:szCs w:val="21"/>
              </w:rPr>
            </w:pPr>
          </w:p>
        </w:tc>
        <w:tc>
          <w:tcPr>
            <w:tcW w:w="1134" w:type="dxa"/>
            <w:noWrap w:val="0"/>
            <w:vAlign w:val="center"/>
          </w:tcPr>
          <w:p w14:paraId="51EA3D41">
            <w:pPr>
              <w:pStyle w:val="6"/>
              <w:keepNext/>
              <w:spacing w:after="0" w:line="440" w:lineRule="exact"/>
              <w:ind w:left="63" w:right="63"/>
              <w:jc w:val="center"/>
              <w:rPr>
                <w:rFonts w:ascii="宋体" w:hAnsi="宋体"/>
                <w:szCs w:val="21"/>
              </w:rPr>
            </w:pPr>
          </w:p>
        </w:tc>
        <w:tc>
          <w:tcPr>
            <w:tcW w:w="4252" w:type="dxa"/>
            <w:noWrap w:val="0"/>
            <w:vAlign w:val="center"/>
          </w:tcPr>
          <w:p w14:paraId="6157AEA6">
            <w:pPr>
              <w:pStyle w:val="6"/>
              <w:keepNext/>
              <w:spacing w:after="0" w:line="440" w:lineRule="exact"/>
              <w:ind w:left="63" w:right="63"/>
              <w:jc w:val="center"/>
              <w:rPr>
                <w:rFonts w:ascii="宋体" w:hAnsi="宋体"/>
                <w:szCs w:val="21"/>
              </w:rPr>
            </w:pPr>
          </w:p>
        </w:tc>
      </w:tr>
      <w:tr w14:paraId="5C1E2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E9D24C6">
            <w:pPr>
              <w:pStyle w:val="6"/>
              <w:keepNext/>
              <w:spacing w:after="0" w:line="440" w:lineRule="exact"/>
              <w:ind w:left="63" w:right="63"/>
              <w:jc w:val="center"/>
              <w:rPr>
                <w:rFonts w:ascii="宋体" w:hAnsi="宋体"/>
                <w:szCs w:val="21"/>
              </w:rPr>
            </w:pPr>
            <w:r>
              <w:rPr>
                <w:rFonts w:ascii="宋体" w:hAnsi="宋体"/>
                <w:szCs w:val="21"/>
              </w:rPr>
              <w:t>其他人员</w:t>
            </w:r>
          </w:p>
        </w:tc>
        <w:tc>
          <w:tcPr>
            <w:tcW w:w="1418" w:type="dxa"/>
            <w:noWrap w:val="0"/>
            <w:vAlign w:val="center"/>
          </w:tcPr>
          <w:p w14:paraId="4B694A35">
            <w:pPr>
              <w:pStyle w:val="6"/>
              <w:keepNext/>
              <w:spacing w:after="0" w:line="440" w:lineRule="exact"/>
              <w:ind w:left="63" w:right="63"/>
              <w:jc w:val="center"/>
              <w:rPr>
                <w:rFonts w:ascii="宋体" w:hAnsi="宋体"/>
                <w:szCs w:val="21"/>
              </w:rPr>
            </w:pPr>
          </w:p>
        </w:tc>
        <w:tc>
          <w:tcPr>
            <w:tcW w:w="1134" w:type="dxa"/>
            <w:noWrap w:val="0"/>
            <w:vAlign w:val="center"/>
          </w:tcPr>
          <w:p w14:paraId="372AAE90">
            <w:pPr>
              <w:pStyle w:val="6"/>
              <w:keepNext/>
              <w:spacing w:after="0" w:line="440" w:lineRule="exact"/>
              <w:ind w:left="63" w:right="63"/>
              <w:jc w:val="center"/>
              <w:rPr>
                <w:rFonts w:ascii="宋体" w:hAnsi="宋体"/>
                <w:szCs w:val="21"/>
              </w:rPr>
            </w:pPr>
          </w:p>
        </w:tc>
        <w:tc>
          <w:tcPr>
            <w:tcW w:w="1134" w:type="dxa"/>
            <w:noWrap w:val="0"/>
            <w:vAlign w:val="center"/>
          </w:tcPr>
          <w:p w14:paraId="335EB289">
            <w:pPr>
              <w:pStyle w:val="6"/>
              <w:keepNext/>
              <w:spacing w:after="0" w:line="440" w:lineRule="exact"/>
              <w:ind w:left="63" w:right="63"/>
              <w:jc w:val="center"/>
              <w:rPr>
                <w:rFonts w:ascii="宋体" w:hAnsi="宋体"/>
                <w:szCs w:val="21"/>
              </w:rPr>
            </w:pPr>
          </w:p>
        </w:tc>
        <w:tc>
          <w:tcPr>
            <w:tcW w:w="4252" w:type="dxa"/>
            <w:noWrap w:val="0"/>
            <w:vAlign w:val="center"/>
          </w:tcPr>
          <w:p w14:paraId="635C51E8">
            <w:pPr>
              <w:pStyle w:val="6"/>
              <w:keepNext/>
              <w:spacing w:after="0" w:line="440" w:lineRule="exact"/>
              <w:ind w:left="63" w:right="63"/>
              <w:jc w:val="center"/>
              <w:rPr>
                <w:rFonts w:ascii="宋体" w:hAnsi="宋体"/>
                <w:szCs w:val="21"/>
              </w:rPr>
            </w:pPr>
          </w:p>
        </w:tc>
      </w:tr>
      <w:tr w14:paraId="7470F4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2DA1E4F">
            <w:pPr>
              <w:pStyle w:val="6"/>
              <w:keepNext/>
              <w:spacing w:after="0" w:line="440" w:lineRule="exact"/>
              <w:ind w:left="63" w:right="63"/>
              <w:jc w:val="center"/>
              <w:rPr>
                <w:rFonts w:ascii="宋体" w:hAnsi="宋体"/>
                <w:szCs w:val="21"/>
              </w:rPr>
            </w:pPr>
          </w:p>
        </w:tc>
        <w:tc>
          <w:tcPr>
            <w:tcW w:w="1418" w:type="dxa"/>
            <w:noWrap w:val="0"/>
            <w:vAlign w:val="center"/>
          </w:tcPr>
          <w:p w14:paraId="25F25A11">
            <w:pPr>
              <w:pStyle w:val="6"/>
              <w:keepNext/>
              <w:spacing w:after="0" w:line="440" w:lineRule="exact"/>
              <w:ind w:left="63" w:right="63"/>
              <w:jc w:val="center"/>
              <w:rPr>
                <w:rFonts w:ascii="宋体" w:hAnsi="宋体"/>
                <w:szCs w:val="21"/>
              </w:rPr>
            </w:pPr>
          </w:p>
        </w:tc>
        <w:tc>
          <w:tcPr>
            <w:tcW w:w="1134" w:type="dxa"/>
            <w:noWrap w:val="0"/>
            <w:vAlign w:val="center"/>
          </w:tcPr>
          <w:p w14:paraId="79AA76C5">
            <w:pPr>
              <w:pStyle w:val="6"/>
              <w:keepNext/>
              <w:spacing w:after="0" w:line="440" w:lineRule="exact"/>
              <w:ind w:left="63" w:right="63"/>
              <w:jc w:val="center"/>
              <w:rPr>
                <w:rFonts w:ascii="宋体" w:hAnsi="宋体"/>
                <w:szCs w:val="21"/>
              </w:rPr>
            </w:pPr>
          </w:p>
        </w:tc>
        <w:tc>
          <w:tcPr>
            <w:tcW w:w="1134" w:type="dxa"/>
            <w:noWrap w:val="0"/>
            <w:vAlign w:val="center"/>
          </w:tcPr>
          <w:p w14:paraId="04910C10">
            <w:pPr>
              <w:pStyle w:val="6"/>
              <w:keepNext/>
              <w:spacing w:after="0" w:line="440" w:lineRule="exact"/>
              <w:ind w:left="63" w:right="63"/>
              <w:jc w:val="center"/>
              <w:rPr>
                <w:rFonts w:ascii="宋体" w:hAnsi="宋体"/>
                <w:szCs w:val="21"/>
              </w:rPr>
            </w:pPr>
          </w:p>
        </w:tc>
        <w:tc>
          <w:tcPr>
            <w:tcW w:w="4252" w:type="dxa"/>
            <w:noWrap w:val="0"/>
            <w:vAlign w:val="center"/>
          </w:tcPr>
          <w:p w14:paraId="403E25B1">
            <w:pPr>
              <w:pStyle w:val="6"/>
              <w:keepNext/>
              <w:spacing w:after="0" w:line="440" w:lineRule="exact"/>
              <w:ind w:left="63" w:right="63"/>
              <w:jc w:val="center"/>
              <w:rPr>
                <w:rFonts w:ascii="宋体" w:hAnsi="宋体"/>
                <w:szCs w:val="21"/>
              </w:rPr>
            </w:pPr>
          </w:p>
        </w:tc>
      </w:tr>
      <w:tr w14:paraId="0DABF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6FF079D">
            <w:pPr>
              <w:pStyle w:val="6"/>
              <w:keepNext/>
              <w:spacing w:after="0" w:line="440" w:lineRule="exact"/>
              <w:ind w:left="63" w:right="63"/>
              <w:jc w:val="center"/>
              <w:rPr>
                <w:rFonts w:ascii="宋体" w:hAnsi="宋体"/>
                <w:szCs w:val="21"/>
              </w:rPr>
            </w:pPr>
            <w:r>
              <w:rPr>
                <w:rFonts w:ascii="宋体" w:hAnsi="宋体"/>
                <w:szCs w:val="21"/>
              </w:rPr>
              <w:t>二、现场人员</w:t>
            </w:r>
          </w:p>
        </w:tc>
      </w:tr>
      <w:tr w14:paraId="4A54B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35A6D72">
            <w:pPr>
              <w:pStyle w:val="6"/>
              <w:keepNext/>
              <w:spacing w:after="0" w:line="440" w:lineRule="exact"/>
              <w:ind w:left="63" w:right="63"/>
              <w:jc w:val="center"/>
              <w:rPr>
                <w:rFonts w:ascii="宋体" w:hAnsi="宋体"/>
                <w:szCs w:val="21"/>
              </w:rPr>
            </w:pPr>
            <w:r>
              <w:rPr>
                <w:rFonts w:ascii="宋体" w:hAnsi="宋体"/>
                <w:szCs w:val="21"/>
              </w:rPr>
              <w:t>项目经理</w:t>
            </w:r>
          </w:p>
        </w:tc>
        <w:tc>
          <w:tcPr>
            <w:tcW w:w="1418" w:type="dxa"/>
            <w:noWrap w:val="0"/>
            <w:vAlign w:val="center"/>
          </w:tcPr>
          <w:p w14:paraId="3EB295F1">
            <w:pPr>
              <w:pStyle w:val="6"/>
              <w:keepNext/>
              <w:spacing w:after="0" w:line="440" w:lineRule="exact"/>
              <w:ind w:left="63" w:right="63"/>
              <w:jc w:val="center"/>
              <w:rPr>
                <w:rFonts w:ascii="宋体" w:hAnsi="宋体"/>
                <w:szCs w:val="21"/>
              </w:rPr>
            </w:pPr>
          </w:p>
        </w:tc>
        <w:tc>
          <w:tcPr>
            <w:tcW w:w="1134" w:type="dxa"/>
            <w:noWrap w:val="0"/>
            <w:vAlign w:val="center"/>
          </w:tcPr>
          <w:p w14:paraId="351B7AD1">
            <w:pPr>
              <w:pStyle w:val="6"/>
              <w:keepNext/>
              <w:spacing w:after="0" w:line="440" w:lineRule="exact"/>
              <w:ind w:left="63" w:right="63"/>
              <w:jc w:val="center"/>
              <w:rPr>
                <w:rFonts w:ascii="宋体" w:hAnsi="宋体"/>
                <w:szCs w:val="21"/>
              </w:rPr>
            </w:pPr>
          </w:p>
        </w:tc>
        <w:tc>
          <w:tcPr>
            <w:tcW w:w="1134" w:type="dxa"/>
            <w:noWrap w:val="0"/>
            <w:vAlign w:val="center"/>
          </w:tcPr>
          <w:p w14:paraId="74510E09">
            <w:pPr>
              <w:pStyle w:val="6"/>
              <w:keepNext/>
              <w:spacing w:after="0" w:line="440" w:lineRule="exact"/>
              <w:ind w:left="63" w:right="63"/>
              <w:jc w:val="center"/>
              <w:rPr>
                <w:rFonts w:ascii="宋体" w:hAnsi="宋体"/>
                <w:szCs w:val="21"/>
              </w:rPr>
            </w:pPr>
          </w:p>
        </w:tc>
        <w:tc>
          <w:tcPr>
            <w:tcW w:w="4252" w:type="dxa"/>
            <w:noWrap w:val="0"/>
            <w:vAlign w:val="center"/>
          </w:tcPr>
          <w:p w14:paraId="09153AC4">
            <w:pPr>
              <w:pStyle w:val="6"/>
              <w:keepNext/>
              <w:spacing w:after="0" w:line="440" w:lineRule="exact"/>
              <w:ind w:left="63" w:right="63"/>
              <w:jc w:val="center"/>
              <w:rPr>
                <w:rFonts w:ascii="宋体" w:hAnsi="宋体"/>
                <w:szCs w:val="21"/>
              </w:rPr>
            </w:pPr>
          </w:p>
        </w:tc>
      </w:tr>
      <w:tr w14:paraId="08B6E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14:paraId="45CE1C8F">
            <w:pPr>
              <w:pStyle w:val="6"/>
              <w:keepNext/>
              <w:spacing w:after="0" w:line="440" w:lineRule="exact"/>
              <w:ind w:left="63" w:right="63"/>
              <w:jc w:val="center"/>
              <w:rPr>
                <w:rFonts w:ascii="宋体" w:hAnsi="宋体"/>
                <w:szCs w:val="21"/>
              </w:rPr>
            </w:pPr>
            <w:r>
              <w:rPr>
                <w:rFonts w:ascii="宋体" w:hAnsi="宋体"/>
                <w:szCs w:val="21"/>
              </w:rPr>
              <w:t>项目副经理</w:t>
            </w:r>
          </w:p>
        </w:tc>
        <w:tc>
          <w:tcPr>
            <w:tcW w:w="1418" w:type="dxa"/>
            <w:noWrap w:val="0"/>
            <w:vAlign w:val="center"/>
          </w:tcPr>
          <w:p w14:paraId="125C79D8">
            <w:pPr>
              <w:pStyle w:val="6"/>
              <w:keepNext/>
              <w:spacing w:after="0" w:line="440" w:lineRule="exact"/>
              <w:ind w:left="63" w:right="63"/>
              <w:jc w:val="center"/>
              <w:rPr>
                <w:rFonts w:ascii="宋体" w:hAnsi="宋体"/>
                <w:szCs w:val="21"/>
              </w:rPr>
            </w:pPr>
          </w:p>
        </w:tc>
        <w:tc>
          <w:tcPr>
            <w:tcW w:w="1134" w:type="dxa"/>
            <w:noWrap w:val="0"/>
            <w:vAlign w:val="center"/>
          </w:tcPr>
          <w:p w14:paraId="3B2FD5A4">
            <w:pPr>
              <w:pStyle w:val="6"/>
              <w:keepNext/>
              <w:spacing w:after="0" w:line="440" w:lineRule="exact"/>
              <w:ind w:left="63" w:right="63"/>
              <w:jc w:val="center"/>
              <w:rPr>
                <w:rFonts w:ascii="宋体" w:hAnsi="宋体"/>
                <w:szCs w:val="21"/>
              </w:rPr>
            </w:pPr>
          </w:p>
        </w:tc>
        <w:tc>
          <w:tcPr>
            <w:tcW w:w="1134" w:type="dxa"/>
            <w:noWrap w:val="0"/>
            <w:vAlign w:val="center"/>
          </w:tcPr>
          <w:p w14:paraId="7B093E2E">
            <w:pPr>
              <w:pStyle w:val="6"/>
              <w:keepNext/>
              <w:spacing w:after="0" w:line="440" w:lineRule="exact"/>
              <w:ind w:left="63" w:right="63"/>
              <w:jc w:val="center"/>
              <w:rPr>
                <w:rFonts w:ascii="宋体" w:hAnsi="宋体"/>
                <w:szCs w:val="21"/>
              </w:rPr>
            </w:pPr>
          </w:p>
        </w:tc>
        <w:tc>
          <w:tcPr>
            <w:tcW w:w="4252" w:type="dxa"/>
            <w:noWrap w:val="0"/>
            <w:vAlign w:val="center"/>
          </w:tcPr>
          <w:p w14:paraId="078D0CF7">
            <w:pPr>
              <w:pStyle w:val="6"/>
              <w:keepNext/>
              <w:spacing w:after="0" w:line="440" w:lineRule="exact"/>
              <w:ind w:left="63" w:right="63"/>
              <w:jc w:val="center"/>
              <w:rPr>
                <w:rFonts w:ascii="宋体" w:hAnsi="宋体"/>
                <w:szCs w:val="21"/>
              </w:rPr>
            </w:pPr>
          </w:p>
        </w:tc>
      </w:tr>
      <w:tr w14:paraId="139B7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3468953">
            <w:pPr>
              <w:pStyle w:val="6"/>
              <w:keepNext/>
              <w:spacing w:after="0" w:line="440" w:lineRule="exact"/>
              <w:ind w:left="63" w:right="63"/>
              <w:jc w:val="center"/>
              <w:rPr>
                <w:rFonts w:ascii="宋体" w:hAnsi="宋体"/>
                <w:szCs w:val="21"/>
              </w:rPr>
            </w:pPr>
            <w:r>
              <w:rPr>
                <w:rFonts w:ascii="宋体" w:hAnsi="宋体"/>
                <w:szCs w:val="21"/>
              </w:rPr>
              <w:t>技术负责人</w:t>
            </w:r>
          </w:p>
        </w:tc>
        <w:tc>
          <w:tcPr>
            <w:tcW w:w="1418" w:type="dxa"/>
            <w:noWrap w:val="0"/>
            <w:vAlign w:val="center"/>
          </w:tcPr>
          <w:p w14:paraId="13460141">
            <w:pPr>
              <w:pStyle w:val="6"/>
              <w:keepNext/>
              <w:spacing w:after="0" w:line="440" w:lineRule="exact"/>
              <w:ind w:left="63" w:right="63"/>
              <w:jc w:val="center"/>
              <w:rPr>
                <w:rFonts w:ascii="宋体" w:hAnsi="宋体"/>
                <w:szCs w:val="21"/>
              </w:rPr>
            </w:pPr>
          </w:p>
        </w:tc>
        <w:tc>
          <w:tcPr>
            <w:tcW w:w="1134" w:type="dxa"/>
            <w:noWrap w:val="0"/>
            <w:vAlign w:val="center"/>
          </w:tcPr>
          <w:p w14:paraId="740621E9">
            <w:pPr>
              <w:pStyle w:val="6"/>
              <w:keepNext/>
              <w:spacing w:after="0" w:line="440" w:lineRule="exact"/>
              <w:ind w:left="63" w:right="63"/>
              <w:jc w:val="center"/>
              <w:rPr>
                <w:rFonts w:ascii="宋体" w:hAnsi="宋体"/>
                <w:szCs w:val="21"/>
              </w:rPr>
            </w:pPr>
          </w:p>
        </w:tc>
        <w:tc>
          <w:tcPr>
            <w:tcW w:w="1134" w:type="dxa"/>
            <w:noWrap w:val="0"/>
            <w:vAlign w:val="center"/>
          </w:tcPr>
          <w:p w14:paraId="66080422">
            <w:pPr>
              <w:pStyle w:val="6"/>
              <w:keepNext/>
              <w:spacing w:after="0" w:line="440" w:lineRule="exact"/>
              <w:ind w:left="63" w:right="63"/>
              <w:jc w:val="center"/>
              <w:rPr>
                <w:rFonts w:ascii="宋体" w:hAnsi="宋体"/>
                <w:szCs w:val="21"/>
              </w:rPr>
            </w:pPr>
          </w:p>
        </w:tc>
        <w:tc>
          <w:tcPr>
            <w:tcW w:w="4252" w:type="dxa"/>
            <w:noWrap w:val="0"/>
            <w:vAlign w:val="center"/>
          </w:tcPr>
          <w:p w14:paraId="1ADB0541">
            <w:pPr>
              <w:pStyle w:val="6"/>
              <w:keepNext/>
              <w:spacing w:after="0" w:line="440" w:lineRule="exact"/>
              <w:ind w:left="63" w:right="63"/>
              <w:jc w:val="center"/>
              <w:rPr>
                <w:rFonts w:ascii="宋体" w:hAnsi="宋体"/>
                <w:szCs w:val="21"/>
              </w:rPr>
            </w:pPr>
          </w:p>
        </w:tc>
      </w:tr>
      <w:tr w14:paraId="725CA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14:paraId="4999C32D">
            <w:pPr>
              <w:pStyle w:val="6"/>
              <w:keepNext/>
              <w:spacing w:after="0" w:line="440" w:lineRule="exact"/>
              <w:ind w:left="63" w:right="63"/>
              <w:jc w:val="center"/>
              <w:rPr>
                <w:rFonts w:ascii="宋体" w:hAnsi="宋体"/>
                <w:szCs w:val="21"/>
              </w:rPr>
            </w:pPr>
            <w:r>
              <w:rPr>
                <w:rFonts w:ascii="宋体" w:hAnsi="宋体"/>
                <w:szCs w:val="21"/>
              </w:rPr>
              <w:t>造价管理</w:t>
            </w:r>
          </w:p>
        </w:tc>
        <w:tc>
          <w:tcPr>
            <w:tcW w:w="1418" w:type="dxa"/>
            <w:noWrap w:val="0"/>
            <w:vAlign w:val="center"/>
          </w:tcPr>
          <w:p w14:paraId="489E406C">
            <w:pPr>
              <w:pStyle w:val="6"/>
              <w:keepNext/>
              <w:spacing w:after="0" w:line="440" w:lineRule="exact"/>
              <w:ind w:left="63" w:right="63"/>
              <w:jc w:val="center"/>
              <w:rPr>
                <w:rFonts w:ascii="宋体" w:hAnsi="宋体"/>
                <w:szCs w:val="21"/>
              </w:rPr>
            </w:pPr>
          </w:p>
        </w:tc>
        <w:tc>
          <w:tcPr>
            <w:tcW w:w="1134" w:type="dxa"/>
            <w:noWrap w:val="0"/>
            <w:vAlign w:val="center"/>
          </w:tcPr>
          <w:p w14:paraId="521A8E40">
            <w:pPr>
              <w:pStyle w:val="6"/>
              <w:keepNext/>
              <w:spacing w:after="0" w:line="440" w:lineRule="exact"/>
              <w:ind w:left="63" w:right="63"/>
              <w:jc w:val="center"/>
              <w:rPr>
                <w:rFonts w:ascii="宋体" w:hAnsi="宋体"/>
                <w:szCs w:val="21"/>
              </w:rPr>
            </w:pPr>
          </w:p>
        </w:tc>
        <w:tc>
          <w:tcPr>
            <w:tcW w:w="1134" w:type="dxa"/>
            <w:noWrap w:val="0"/>
            <w:vAlign w:val="center"/>
          </w:tcPr>
          <w:p w14:paraId="13A97711">
            <w:pPr>
              <w:pStyle w:val="6"/>
              <w:keepNext/>
              <w:spacing w:after="0" w:line="440" w:lineRule="exact"/>
              <w:ind w:left="63" w:right="63"/>
              <w:jc w:val="center"/>
              <w:rPr>
                <w:rFonts w:ascii="宋体" w:hAnsi="宋体"/>
                <w:szCs w:val="21"/>
              </w:rPr>
            </w:pPr>
          </w:p>
        </w:tc>
        <w:tc>
          <w:tcPr>
            <w:tcW w:w="4252" w:type="dxa"/>
            <w:noWrap w:val="0"/>
            <w:vAlign w:val="center"/>
          </w:tcPr>
          <w:p w14:paraId="09CB2344">
            <w:pPr>
              <w:pStyle w:val="6"/>
              <w:keepNext/>
              <w:spacing w:after="0" w:line="440" w:lineRule="exact"/>
              <w:ind w:left="63" w:right="63"/>
              <w:jc w:val="center"/>
              <w:rPr>
                <w:rFonts w:ascii="宋体" w:hAnsi="宋体"/>
                <w:szCs w:val="21"/>
              </w:rPr>
            </w:pPr>
          </w:p>
        </w:tc>
      </w:tr>
      <w:tr w14:paraId="3AC6C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F9E4950">
            <w:pPr>
              <w:pStyle w:val="6"/>
              <w:keepNext/>
              <w:spacing w:after="0" w:line="440" w:lineRule="exact"/>
              <w:ind w:left="63" w:right="63"/>
              <w:jc w:val="center"/>
              <w:rPr>
                <w:rFonts w:ascii="宋体" w:hAnsi="宋体"/>
                <w:szCs w:val="21"/>
              </w:rPr>
            </w:pPr>
            <w:r>
              <w:rPr>
                <w:rFonts w:ascii="宋体" w:hAnsi="宋体"/>
                <w:szCs w:val="21"/>
              </w:rPr>
              <w:t>质量管理</w:t>
            </w:r>
          </w:p>
        </w:tc>
        <w:tc>
          <w:tcPr>
            <w:tcW w:w="1418" w:type="dxa"/>
            <w:noWrap w:val="0"/>
            <w:vAlign w:val="center"/>
          </w:tcPr>
          <w:p w14:paraId="161FE56E">
            <w:pPr>
              <w:pStyle w:val="6"/>
              <w:keepNext/>
              <w:spacing w:after="0" w:line="440" w:lineRule="exact"/>
              <w:ind w:left="63" w:right="63"/>
              <w:jc w:val="center"/>
              <w:rPr>
                <w:rFonts w:ascii="宋体" w:hAnsi="宋体"/>
                <w:szCs w:val="21"/>
              </w:rPr>
            </w:pPr>
          </w:p>
        </w:tc>
        <w:tc>
          <w:tcPr>
            <w:tcW w:w="1134" w:type="dxa"/>
            <w:noWrap w:val="0"/>
            <w:vAlign w:val="center"/>
          </w:tcPr>
          <w:p w14:paraId="59B59CC6">
            <w:pPr>
              <w:pStyle w:val="6"/>
              <w:keepNext/>
              <w:spacing w:after="0" w:line="440" w:lineRule="exact"/>
              <w:ind w:left="63" w:right="63"/>
              <w:jc w:val="center"/>
              <w:rPr>
                <w:rFonts w:ascii="宋体" w:hAnsi="宋体"/>
                <w:szCs w:val="21"/>
              </w:rPr>
            </w:pPr>
          </w:p>
        </w:tc>
        <w:tc>
          <w:tcPr>
            <w:tcW w:w="1134" w:type="dxa"/>
            <w:noWrap w:val="0"/>
            <w:vAlign w:val="center"/>
          </w:tcPr>
          <w:p w14:paraId="3697D5B2">
            <w:pPr>
              <w:pStyle w:val="6"/>
              <w:keepNext/>
              <w:spacing w:after="0" w:line="440" w:lineRule="exact"/>
              <w:ind w:left="63" w:right="63"/>
              <w:jc w:val="center"/>
              <w:rPr>
                <w:rFonts w:ascii="宋体" w:hAnsi="宋体"/>
                <w:szCs w:val="21"/>
              </w:rPr>
            </w:pPr>
          </w:p>
        </w:tc>
        <w:tc>
          <w:tcPr>
            <w:tcW w:w="4252" w:type="dxa"/>
            <w:noWrap w:val="0"/>
            <w:vAlign w:val="center"/>
          </w:tcPr>
          <w:p w14:paraId="47D5FD81">
            <w:pPr>
              <w:pStyle w:val="6"/>
              <w:keepNext/>
              <w:spacing w:after="0" w:line="440" w:lineRule="exact"/>
              <w:ind w:left="63" w:right="63"/>
              <w:jc w:val="center"/>
              <w:rPr>
                <w:rFonts w:ascii="宋体" w:hAnsi="宋体"/>
                <w:szCs w:val="21"/>
              </w:rPr>
            </w:pPr>
          </w:p>
        </w:tc>
      </w:tr>
      <w:tr w14:paraId="5CE788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5EB621E">
            <w:pPr>
              <w:pStyle w:val="6"/>
              <w:keepNext/>
              <w:spacing w:after="0" w:line="440" w:lineRule="exact"/>
              <w:ind w:left="63" w:right="63"/>
              <w:jc w:val="center"/>
              <w:rPr>
                <w:rFonts w:ascii="宋体" w:hAnsi="宋体"/>
                <w:szCs w:val="21"/>
              </w:rPr>
            </w:pPr>
            <w:r>
              <w:rPr>
                <w:rFonts w:ascii="宋体" w:hAnsi="宋体"/>
                <w:szCs w:val="21"/>
              </w:rPr>
              <w:t>材料管理</w:t>
            </w:r>
          </w:p>
        </w:tc>
        <w:tc>
          <w:tcPr>
            <w:tcW w:w="1418" w:type="dxa"/>
            <w:noWrap w:val="0"/>
            <w:vAlign w:val="center"/>
          </w:tcPr>
          <w:p w14:paraId="079328D7">
            <w:pPr>
              <w:pStyle w:val="6"/>
              <w:keepNext/>
              <w:spacing w:after="0" w:line="440" w:lineRule="exact"/>
              <w:ind w:left="63" w:right="63"/>
              <w:jc w:val="center"/>
              <w:rPr>
                <w:rFonts w:ascii="宋体" w:hAnsi="宋体"/>
                <w:szCs w:val="21"/>
              </w:rPr>
            </w:pPr>
          </w:p>
        </w:tc>
        <w:tc>
          <w:tcPr>
            <w:tcW w:w="1134" w:type="dxa"/>
            <w:noWrap w:val="0"/>
            <w:vAlign w:val="center"/>
          </w:tcPr>
          <w:p w14:paraId="11DBC6B6">
            <w:pPr>
              <w:pStyle w:val="6"/>
              <w:keepNext/>
              <w:spacing w:after="0" w:line="440" w:lineRule="exact"/>
              <w:ind w:left="63" w:right="63"/>
              <w:jc w:val="center"/>
              <w:rPr>
                <w:rFonts w:ascii="宋体" w:hAnsi="宋体"/>
                <w:szCs w:val="21"/>
              </w:rPr>
            </w:pPr>
          </w:p>
        </w:tc>
        <w:tc>
          <w:tcPr>
            <w:tcW w:w="1134" w:type="dxa"/>
            <w:noWrap w:val="0"/>
            <w:vAlign w:val="center"/>
          </w:tcPr>
          <w:p w14:paraId="6586D51E">
            <w:pPr>
              <w:pStyle w:val="6"/>
              <w:keepNext/>
              <w:spacing w:after="0" w:line="440" w:lineRule="exact"/>
              <w:ind w:left="63" w:right="63"/>
              <w:jc w:val="center"/>
              <w:rPr>
                <w:rFonts w:ascii="宋体" w:hAnsi="宋体"/>
                <w:szCs w:val="21"/>
              </w:rPr>
            </w:pPr>
          </w:p>
        </w:tc>
        <w:tc>
          <w:tcPr>
            <w:tcW w:w="4252" w:type="dxa"/>
            <w:noWrap w:val="0"/>
            <w:vAlign w:val="center"/>
          </w:tcPr>
          <w:p w14:paraId="68A6B54D">
            <w:pPr>
              <w:pStyle w:val="6"/>
              <w:keepNext/>
              <w:spacing w:after="0" w:line="440" w:lineRule="exact"/>
              <w:ind w:left="63" w:right="63"/>
              <w:jc w:val="center"/>
              <w:rPr>
                <w:rFonts w:ascii="宋体" w:hAnsi="宋体"/>
                <w:szCs w:val="21"/>
              </w:rPr>
            </w:pPr>
          </w:p>
        </w:tc>
      </w:tr>
      <w:tr w14:paraId="35FDFC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BFE8B28">
            <w:pPr>
              <w:pStyle w:val="6"/>
              <w:keepNext/>
              <w:spacing w:after="0" w:line="440" w:lineRule="exact"/>
              <w:ind w:left="63" w:right="63"/>
              <w:jc w:val="center"/>
              <w:rPr>
                <w:rFonts w:ascii="宋体" w:hAnsi="宋体"/>
                <w:szCs w:val="21"/>
              </w:rPr>
            </w:pPr>
            <w:r>
              <w:rPr>
                <w:rFonts w:ascii="宋体" w:hAnsi="宋体"/>
                <w:szCs w:val="21"/>
              </w:rPr>
              <w:t>计划管理</w:t>
            </w:r>
          </w:p>
        </w:tc>
        <w:tc>
          <w:tcPr>
            <w:tcW w:w="1418" w:type="dxa"/>
            <w:noWrap w:val="0"/>
            <w:vAlign w:val="center"/>
          </w:tcPr>
          <w:p w14:paraId="23EDEE28">
            <w:pPr>
              <w:pStyle w:val="6"/>
              <w:keepNext/>
              <w:spacing w:after="0" w:line="440" w:lineRule="exact"/>
              <w:ind w:left="63" w:right="63"/>
              <w:jc w:val="center"/>
              <w:rPr>
                <w:rFonts w:ascii="宋体" w:hAnsi="宋体"/>
                <w:szCs w:val="21"/>
              </w:rPr>
            </w:pPr>
          </w:p>
        </w:tc>
        <w:tc>
          <w:tcPr>
            <w:tcW w:w="1134" w:type="dxa"/>
            <w:noWrap w:val="0"/>
            <w:vAlign w:val="center"/>
          </w:tcPr>
          <w:p w14:paraId="0C5E0D59">
            <w:pPr>
              <w:pStyle w:val="6"/>
              <w:keepNext/>
              <w:spacing w:after="0" w:line="440" w:lineRule="exact"/>
              <w:ind w:left="63" w:right="63"/>
              <w:jc w:val="center"/>
              <w:rPr>
                <w:rFonts w:ascii="宋体" w:hAnsi="宋体"/>
                <w:szCs w:val="21"/>
              </w:rPr>
            </w:pPr>
          </w:p>
        </w:tc>
        <w:tc>
          <w:tcPr>
            <w:tcW w:w="1134" w:type="dxa"/>
            <w:noWrap w:val="0"/>
            <w:vAlign w:val="center"/>
          </w:tcPr>
          <w:p w14:paraId="010E61EF">
            <w:pPr>
              <w:pStyle w:val="6"/>
              <w:keepNext/>
              <w:spacing w:after="0" w:line="440" w:lineRule="exact"/>
              <w:ind w:left="63" w:right="63"/>
              <w:jc w:val="center"/>
              <w:rPr>
                <w:rFonts w:ascii="宋体" w:hAnsi="宋体"/>
                <w:szCs w:val="21"/>
              </w:rPr>
            </w:pPr>
          </w:p>
        </w:tc>
        <w:tc>
          <w:tcPr>
            <w:tcW w:w="4252" w:type="dxa"/>
            <w:noWrap w:val="0"/>
            <w:vAlign w:val="center"/>
          </w:tcPr>
          <w:p w14:paraId="0748C90F">
            <w:pPr>
              <w:pStyle w:val="6"/>
              <w:keepNext/>
              <w:spacing w:after="0" w:line="440" w:lineRule="exact"/>
              <w:ind w:left="63" w:right="63"/>
              <w:jc w:val="center"/>
              <w:rPr>
                <w:rFonts w:ascii="宋体" w:hAnsi="宋体"/>
                <w:szCs w:val="21"/>
              </w:rPr>
            </w:pPr>
          </w:p>
        </w:tc>
      </w:tr>
      <w:tr w14:paraId="55AAA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73D8B1A">
            <w:pPr>
              <w:pStyle w:val="6"/>
              <w:keepNext/>
              <w:spacing w:after="0" w:line="440" w:lineRule="exact"/>
              <w:ind w:left="63" w:right="63"/>
              <w:jc w:val="center"/>
              <w:rPr>
                <w:rFonts w:ascii="宋体" w:hAnsi="宋体"/>
                <w:szCs w:val="21"/>
              </w:rPr>
            </w:pPr>
            <w:r>
              <w:rPr>
                <w:rFonts w:ascii="宋体" w:hAnsi="宋体"/>
                <w:szCs w:val="21"/>
              </w:rPr>
              <w:t>安全管理</w:t>
            </w:r>
          </w:p>
        </w:tc>
        <w:tc>
          <w:tcPr>
            <w:tcW w:w="1418" w:type="dxa"/>
            <w:noWrap w:val="0"/>
            <w:vAlign w:val="center"/>
          </w:tcPr>
          <w:p w14:paraId="13ABC276">
            <w:pPr>
              <w:pStyle w:val="6"/>
              <w:keepNext/>
              <w:spacing w:after="0" w:line="440" w:lineRule="exact"/>
              <w:ind w:left="63" w:right="63"/>
              <w:jc w:val="center"/>
              <w:rPr>
                <w:rFonts w:ascii="宋体" w:hAnsi="宋体"/>
                <w:szCs w:val="21"/>
              </w:rPr>
            </w:pPr>
          </w:p>
        </w:tc>
        <w:tc>
          <w:tcPr>
            <w:tcW w:w="1134" w:type="dxa"/>
            <w:noWrap w:val="0"/>
            <w:vAlign w:val="center"/>
          </w:tcPr>
          <w:p w14:paraId="308BC78D">
            <w:pPr>
              <w:pStyle w:val="6"/>
              <w:keepNext/>
              <w:spacing w:after="0" w:line="440" w:lineRule="exact"/>
              <w:ind w:left="63" w:right="63"/>
              <w:jc w:val="center"/>
              <w:rPr>
                <w:rFonts w:ascii="宋体" w:hAnsi="宋体"/>
                <w:szCs w:val="21"/>
              </w:rPr>
            </w:pPr>
          </w:p>
        </w:tc>
        <w:tc>
          <w:tcPr>
            <w:tcW w:w="1134" w:type="dxa"/>
            <w:noWrap w:val="0"/>
            <w:vAlign w:val="center"/>
          </w:tcPr>
          <w:p w14:paraId="31C9FBF5">
            <w:pPr>
              <w:pStyle w:val="6"/>
              <w:keepNext/>
              <w:spacing w:after="0" w:line="440" w:lineRule="exact"/>
              <w:ind w:left="63" w:right="63"/>
              <w:jc w:val="center"/>
              <w:rPr>
                <w:rFonts w:ascii="宋体" w:hAnsi="宋体"/>
                <w:szCs w:val="21"/>
              </w:rPr>
            </w:pPr>
          </w:p>
        </w:tc>
        <w:tc>
          <w:tcPr>
            <w:tcW w:w="4252" w:type="dxa"/>
            <w:noWrap w:val="0"/>
            <w:vAlign w:val="center"/>
          </w:tcPr>
          <w:p w14:paraId="0B3CB0BC">
            <w:pPr>
              <w:pStyle w:val="6"/>
              <w:keepNext/>
              <w:spacing w:after="0" w:line="440" w:lineRule="exact"/>
              <w:ind w:left="63" w:right="63"/>
              <w:jc w:val="center"/>
              <w:rPr>
                <w:rFonts w:ascii="宋体" w:hAnsi="宋体"/>
                <w:szCs w:val="21"/>
              </w:rPr>
            </w:pPr>
          </w:p>
        </w:tc>
      </w:tr>
      <w:tr w14:paraId="0F121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334586C">
            <w:pPr>
              <w:pStyle w:val="6"/>
              <w:keepNext/>
              <w:spacing w:after="0" w:line="440" w:lineRule="exact"/>
              <w:ind w:left="63" w:right="63"/>
              <w:jc w:val="center"/>
              <w:rPr>
                <w:rFonts w:ascii="宋体" w:hAnsi="宋体"/>
                <w:szCs w:val="21"/>
              </w:rPr>
            </w:pPr>
            <w:r>
              <w:rPr>
                <w:rFonts w:ascii="宋体" w:hAnsi="宋体"/>
                <w:szCs w:val="21"/>
              </w:rPr>
              <w:t>其他人员</w:t>
            </w:r>
          </w:p>
        </w:tc>
        <w:tc>
          <w:tcPr>
            <w:tcW w:w="1418" w:type="dxa"/>
            <w:noWrap w:val="0"/>
            <w:vAlign w:val="center"/>
          </w:tcPr>
          <w:p w14:paraId="7ABCDBB1">
            <w:pPr>
              <w:pStyle w:val="6"/>
              <w:keepNext/>
              <w:spacing w:after="0" w:line="440" w:lineRule="exact"/>
              <w:ind w:left="63" w:right="63"/>
              <w:jc w:val="center"/>
              <w:rPr>
                <w:rFonts w:ascii="宋体" w:hAnsi="宋体"/>
                <w:szCs w:val="21"/>
              </w:rPr>
            </w:pPr>
          </w:p>
        </w:tc>
        <w:tc>
          <w:tcPr>
            <w:tcW w:w="1134" w:type="dxa"/>
            <w:noWrap w:val="0"/>
            <w:vAlign w:val="center"/>
          </w:tcPr>
          <w:p w14:paraId="7A2B0833">
            <w:pPr>
              <w:pStyle w:val="6"/>
              <w:keepNext/>
              <w:spacing w:after="0" w:line="440" w:lineRule="exact"/>
              <w:ind w:left="63" w:right="63"/>
              <w:jc w:val="center"/>
              <w:rPr>
                <w:rFonts w:ascii="宋体" w:hAnsi="宋体"/>
                <w:szCs w:val="21"/>
              </w:rPr>
            </w:pPr>
          </w:p>
        </w:tc>
        <w:tc>
          <w:tcPr>
            <w:tcW w:w="1134" w:type="dxa"/>
            <w:noWrap w:val="0"/>
            <w:vAlign w:val="center"/>
          </w:tcPr>
          <w:p w14:paraId="7B252BA3">
            <w:pPr>
              <w:pStyle w:val="6"/>
              <w:keepNext/>
              <w:spacing w:after="0" w:line="440" w:lineRule="exact"/>
              <w:ind w:left="63" w:right="63"/>
              <w:jc w:val="center"/>
              <w:rPr>
                <w:rFonts w:ascii="宋体" w:hAnsi="宋体"/>
                <w:szCs w:val="21"/>
              </w:rPr>
            </w:pPr>
          </w:p>
        </w:tc>
        <w:tc>
          <w:tcPr>
            <w:tcW w:w="4252" w:type="dxa"/>
            <w:noWrap w:val="0"/>
            <w:vAlign w:val="center"/>
          </w:tcPr>
          <w:p w14:paraId="1B1AAA2C">
            <w:pPr>
              <w:pStyle w:val="6"/>
              <w:keepNext/>
              <w:spacing w:after="0" w:line="440" w:lineRule="exact"/>
              <w:ind w:left="63" w:right="63"/>
              <w:jc w:val="center"/>
              <w:rPr>
                <w:rFonts w:ascii="宋体" w:hAnsi="宋体"/>
                <w:szCs w:val="21"/>
              </w:rPr>
            </w:pPr>
          </w:p>
        </w:tc>
      </w:tr>
      <w:tr w14:paraId="4A2AB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F90ED40">
            <w:pPr>
              <w:pStyle w:val="6"/>
              <w:keepNext/>
              <w:spacing w:after="0" w:line="440" w:lineRule="exact"/>
              <w:ind w:left="63" w:right="63"/>
              <w:jc w:val="center"/>
              <w:rPr>
                <w:rFonts w:ascii="宋体" w:hAnsi="宋体"/>
                <w:szCs w:val="21"/>
              </w:rPr>
            </w:pPr>
          </w:p>
        </w:tc>
        <w:tc>
          <w:tcPr>
            <w:tcW w:w="1418" w:type="dxa"/>
            <w:tcBorders>
              <w:bottom w:val="nil"/>
            </w:tcBorders>
            <w:noWrap w:val="0"/>
            <w:vAlign w:val="center"/>
          </w:tcPr>
          <w:p w14:paraId="412BC543">
            <w:pPr>
              <w:pStyle w:val="6"/>
              <w:keepNext/>
              <w:spacing w:after="0" w:line="440" w:lineRule="exact"/>
              <w:ind w:left="63" w:right="63"/>
              <w:jc w:val="center"/>
              <w:rPr>
                <w:rFonts w:ascii="宋体" w:hAnsi="宋体"/>
                <w:szCs w:val="21"/>
              </w:rPr>
            </w:pPr>
          </w:p>
        </w:tc>
        <w:tc>
          <w:tcPr>
            <w:tcW w:w="1134" w:type="dxa"/>
            <w:tcBorders>
              <w:bottom w:val="nil"/>
            </w:tcBorders>
            <w:noWrap w:val="0"/>
            <w:vAlign w:val="center"/>
          </w:tcPr>
          <w:p w14:paraId="0E39970E">
            <w:pPr>
              <w:pStyle w:val="6"/>
              <w:keepNext/>
              <w:spacing w:after="0" w:line="440" w:lineRule="exact"/>
              <w:ind w:left="63" w:right="63"/>
              <w:jc w:val="center"/>
              <w:rPr>
                <w:rFonts w:ascii="宋体" w:hAnsi="宋体"/>
                <w:szCs w:val="21"/>
              </w:rPr>
            </w:pPr>
          </w:p>
        </w:tc>
        <w:tc>
          <w:tcPr>
            <w:tcW w:w="1134" w:type="dxa"/>
            <w:tcBorders>
              <w:bottom w:val="nil"/>
            </w:tcBorders>
            <w:noWrap w:val="0"/>
            <w:vAlign w:val="center"/>
          </w:tcPr>
          <w:p w14:paraId="5455FAA6">
            <w:pPr>
              <w:pStyle w:val="6"/>
              <w:keepNext/>
              <w:spacing w:after="0" w:line="440" w:lineRule="exact"/>
              <w:ind w:left="63" w:right="63"/>
              <w:jc w:val="center"/>
              <w:rPr>
                <w:rFonts w:ascii="宋体" w:hAnsi="宋体"/>
                <w:szCs w:val="21"/>
              </w:rPr>
            </w:pPr>
          </w:p>
        </w:tc>
        <w:tc>
          <w:tcPr>
            <w:tcW w:w="4252" w:type="dxa"/>
            <w:tcBorders>
              <w:bottom w:val="nil"/>
            </w:tcBorders>
            <w:noWrap w:val="0"/>
            <w:vAlign w:val="center"/>
          </w:tcPr>
          <w:p w14:paraId="19562EEF">
            <w:pPr>
              <w:pStyle w:val="6"/>
              <w:keepNext/>
              <w:spacing w:after="0" w:line="440" w:lineRule="exact"/>
              <w:ind w:left="63" w:right="63"/>
              <w:jc w:val="center"/>
              <w:rPr>
                <w:rFonts w:ascii="宋体" w:hAnsi="宋体"/>
                <w:szCs w:val="21"/>
              </w:rPr>
            </w:pPr>
          </w:p>
        </w:tc>
      </w:tr>
      <w:tr w14:paraId="060F99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033EC42">
            <w:pPr>
              <w:pStyle w:val="6"/>
              <w:keepNext/>
              <w:spacing w:after="0" w:line="440" w:lineRule="exact"/>
              <w:ind w:left="63" w:right="63"/>
              <w:jc w:val="center"/>
              <w:rPr>
                <w:rFonts w:ascii="宋体" w:hAnsi="宋体"/>
                <w:szCs w:val="21"/>
              </w:rPr>
            </w:pPr>
          </w:p>
        </w:tc>
        <w:tc>
          <w:tcPr>
            <w:tcW w:w="1418" w:type="dxa"/>
            <w:noWrap w:val="0"/>
            <w:vAlign w:val="center"/>
          </w:tcPr>
          <w:p w14:paraId="079249D3">
            <w:pPr>
              <w:pStyle w:val="6"/>
              <w:keepNext/>
              <w:spacing w:after="0" w:line="440" w:lineRule="exact"/>
              <w:ind w:left="63" w:right="63"/>
              <w:jc w:val="center"/>
              <w:rPr>
                <w:rFonts w:ascii="宋体" w:hAnsi="宋体"/>
                <w:szCs w:val="21"/>
              </w:rPr>
            </w:pPr>
          </w:p>
        </w:tc>
        <w:tc>
          <w:tcPr>
            <w:tcW w:w="1134" w:type="dxa"/>
            <w:noWrap w:val="0"/>
            <w:vAlign w:val="center"/>
          </w:tcPr>
          <w:p w14:paraId="4FF4D6B5">
            <w:pPr>
              <w:pStyle w:val="6"/>
              <w:keepNext/>
              <w:spacing w:after="0" w:line="440" w:lineRule="exact"/>
              <w:ind w:left="63" w:right="63"/>
              <w:jc w:val="center"/>
              <w:rPr>
                <w:rFonts w:ascii="宋体" w:hAnsi="宋体"/>
                <w:szCs w:val="21"/>
              </w:rPr>
            </w:pPr>
          </w:p>
        </w:tc>
        <w:tc>
          <w:tcPr>
            <w:tcW w:w="1134" w:type="dxa"/>
            <w:noWrap w:val="0"/>
            <w:vAlign w:val="center"/>
          </w:tcPr>
          <w:p w14:paraId="162721BF">
            <w:pPr>
              <w:pStyle w:val="6"/>
              <w:keepNext/>
              <w:spacing w:after="0" w:line="440" w:lineRule="exact"/>
              <w:ind w:left="63" w:right="63"/>
              <w:jc w:val="center"/>
              <w:rPr>
                <w:rFonts w:ascii="宋体" w:hAnsi="宋体"/>
                <w:szCs w:val="21"/>
              </w:rPr>
            </w:pPr>
          </w:p>
        </w:tc>
        <w:tc>
          <w:tcPr>
            <w:tcW w:w="4252" w:type="dxa"/>
            <w:noWrap w:val="0"/>
            <w:vAlign w:val="center"/>
          </w:tcPr>
          <w:p w14:paraId="5A4909B6">
            <w:pPr>
              <w:pStyle w:val="6"/>
              <w:keepNext/>
              <w:spacing w:after="0" w:line="440" w:lineRule="exact"/>
              <w:ind w:left="63" w:right="63"/>
              <w:jc w:val="center"/>
              <w:rPr>
                <w:rFonts w:ascii="宋体" w:hAnsi="宋体"/>
                <w:szCs w:val="21"/>
              </w:rPr>
            </w:pPr>
          </w:p>
        </w:tc>
      </w:tr>
      <w:tr w14:paraId="08D3B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vMerge w:val="continue"/>
            <w:noWrap w:val="0"/>
            <w:vAlign w:val="center"/>
          </w:tcPr>
          <w:p w14:paraId="393FD77A">
            <w:pPr>
              <w:pStyle w:val="6"/>
              <w:keepNext/>
              <w:spacing w:after="0" w:line="440" w:lineRule="exact"/>
              <w:ind w:left="63" w:right="63"/>
              <w:jc w:val="center"/>
              <w:rPr>
                <w:rFonts w:ascii="宋体" w:hAnsi="宋体"/>
                <w:szCs w:val="21"/>
              </w:rPr>
            </w:pPr>
          </w:p>
        </w:tc>
        <w:tc>
          <w:tcPr>
            <w:tcW w:w="1418" w:type="dxa"/>
            <w:noWrap w:val="0"/>
            <w:vAlign w:val="center"/>
          </w:tcPr>
          <w:p w14:paraId="4CC13912">
            <w:pPr>
              <w:pStyle w:val="6"/>
              <w:keepNext/>
              <w:spacing w:after="0" w:line="440" w:lineRule="exact"/>
              <w:ind w:left="63" w:right="63"/>
              <w:jc w:val="center"/>
              <w:rPr>
                <w:rFonts w:ascii="宋体" w:hAnsi="宋体"/>
                <w:szCs w:val="21"/>
              </w:rPr>
            </w:pPr>
          </w:p>
        </w:tc>
        <w:tc>
          <w:tcPr>
            <w:tcW w:w="1134" w:type="dxa"/>
            <w:noWrap w:val="0"/>
            <w:vAlign w:val="center"/>
          </w:tcPr>
          <w:p w14:paraId="48465272">
            <w:pPr>
              <w:pStyle w:val="6"/>
              <w:keepNext/>
              <w:spacing w:after="0" w:line="440" w:lineRule="exact"/>
              <w:ind w:left="63" w:right="63"/>
              <w:jc w:val="center"/>
              <w:rPr>
                <w:rFonts w:ascii="宋体" w:hAnsi="宋体"/>
                <w:szCs w:val="21"/>
              </w:rPr>
            </w:pPr>
          </w:p>
        </w:tc>
        <w:tc>
          <w:tcPr>
            <w:tcW w:w="1134" w:type="dxa"/>
            <w:noWrap w:val="0"/>
            <w:vAlign w:val="center"/>
          </w:tcPr>
          <w:p w14:paraId="0727AFC2">
            <w:pPr>
              <w:pStyle w:val="6"/>
              <w:keepNext/>
              <w:spacing w:after="0" w:line="440" w:lineRule="exact"/>
              <w:ind w:left="63" w:right="63"/>
              <w:jc w:val="center"/>
              <w:rPr>
                <w:rFonts w:ascii="宋体" w:hAnsi="宋体"/>
                <w:szCs w:val="21"/>
              </w:rPr>
            </w:pPr>
          </w:p>
        </w:tc>
        <w:tc>
          <w:tcPr>
            <w:tcW w:w="4252" w:type="dxa"/>
            <w:noWrap w:val="0"/>
            <w:vAlign w:val="center"/>
          </w:tcPr>
          <w:p w14:paraId="68316A80">
            <w:pPr>
              <w:pStyle w:val="6"/>
              <w:keepNext/>
              <w:spacing w:after="0" w:line="440" w:lineRule="exact"/>
              <w:ind w:left="63" w:right="63"/>
              <w:jc w:val="center"/>
              <w:rPr>
                <w:rFonts w:ascii="宋体" w:hAnsi="宋体"/>
                <w:szCs w:val="21"/>
              </w:rPr>
            </w:pPr>
          </w:p>
        </w:tc>
      </w:tr>
      <w:tr w14:paraId="38A66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C80C75E">
            <w:pPr>
              <w:pStyle w:val="6"/>
              <w:keepNext/>
              <w:spacing w:after="0" w:line="440" w:lineRule="exact"/>
              <w:ind w:left="63" w:right="63"/>
              <w:jc w:val="center"/>
              <w:rPr>
                <w:rFonts w:ascii="宋体" w:hAnsi="宋体"/>
                <w:szCs w:val="21"/>
              </w:rPr>
            </w:pPr>
          </w:p>
        </w:tc>
        <w:tc>
          <w:tcPr>
            <w:tcW w:w="1418" w:type="dxa"/>
            <w:noWrap w:val="0"/>
            <w:vAlign w:val="center"/>
          </w:tcPr>
          <w:p w14:paraId="5C633FAC">
            <w:pPr>
              <w:pStyle w:val="6"/>
              <w:keepNext/>
              <w:spacing w:after="0" w:line="440" w:lineRule="exact"/>
              <w:ind w:left="63" w:right="63"/>
              <w:jc w:val="center"/>
              <w:rPr>
                <w:rFonts w:ascii="宋体" w:hAnsi="宋体"/>
                <w:szCs w:val="21"/>
              </w:rPr>
            </w:pPr>
          </w:p>
        </w:tc>
        <w:tc>
          <w:tcPr>
            <w:tcW w:w="1134" w:type="dxa"/>
            <w:noWrap w:val="0"/>
            <w:vAlign w:val="center"/>
          </w:tcPr>
          <w:p w14:paraId="02A8E657">
            <w:pPr>
              <w:pStyle w:val="6"/>
              <w:keepNext/>
              <w:spacing w:after="0" w:line="440" w:lineRule="exact"/>
              <w:ind w:left="63" w:right="63"/>
              <w:jc w:val="center"/>
              <w:rPr>
                <w:rFonts w:ascii="宋体" w:hAnsi="宋体"/>
                <w:szCs w:val="21"/>
              </w:rPr>
            </w:pPr>
          </w:p>
        </w:tc>
        <w:tc>
          <w:tcPr>
            <w:tcW w:w="1134" w:type="dxa"/>
            <w:noWrap w:val="0"/>
            <w:vAlign w:val="center"/>
          </w:tcPr>
          <w:p w14:paraId="72B0BD24">
            <w:pPr>
              <w:pStyle w:val="6"/>
              <w:keepNext/>
              <w:spacing w:after="0" w:line="440" w:lineRule="exact"/>
              <w:ind w:left="63" w:right="63"/>
              <w:jc w:val="center"/>
              <w:rPr>
                <w:rFonts w:ascii="宋体" w:hAnsi="宋体"/>
                <w:szCs w:val="21"/>
              </w:rPr>
            </w:pPr>
          </w:p>
        </w:tc>
        <w:tc>
          <w:tcPr>
            <w:tcW w:w="4252" w:type="dxa"/>
            <w:noWrap w:val="0"/>
            <w:vAlign w:val="center"/>
          </w:tcPr>
          <w:p w14:paraId="13B6A1FF">
            <w:pPr>
              <w:pStyle w:val="6"/>
              <w:keepNext/>
              <w:spacing w:after="0" w:line="440" w:lineRule="exact"/>
              <w:ind w:left="63" w:right="63"/>
              <w:jc w:val="center"/>
              <w:rPr>
                <w:rFonts w:ascii="宋体" w:hAnsi="宋体"/>
                <w:szCs w:val="21"/>
              </w:rPr>
            </w:pPr>
          </w:p>
        </w:tc>
      </w:tr>
      <w:tr w14:paraId="46E2B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25E39BA">
            <w:pPr>
              <w:pStyle w:val="6"/>
              <w:keepNext/>
              <w:spacing w:after="0" w:line="440" w:lineRule="exact"/>
              <w:ind w:left="63" w:right="63"/>
              <w:jc w:val="center"/>
              <w:rPr>
                <w:rFonts w:ascii="宋体" w:hAnsi="宋体"/>
                <w:szCs w:val="21"/>
              </w:rPr>
            </w:pPr>
          </w:p>
        </w:tc>
        <w:tc>
          <w:tcPr>
            <w:tcW w:w="1418" w:type="dxa"/>
            <w:tcBorders>
              <w:bottom w:val="single" w:color="auto" w:sz="12" w:space="0"/>
            </w:tcBorders>
            <w:noWrap w:val="0"/>
            <w:vAlign w:val="center"/>
          </w:tcPr>
          <w:p w14:paraId="43BBA443">
            <w:pPr>
              <w:pStyle w:val="6"/>
              <w:keepNext/>
              <w:spacing w:after="0" w:line="440" w:lineRule="exact"/>
              <w:ind w:left="63" w:right="63"/>
              <w:jc w:val="center"/>
              <w:rPr>
                <w:rFonts w:ascii="宋体" w:hAnsi="宋体"/>
                <w:szCs w:val="21"/>
              </w:rPr>
            </w:pPr>
          </w:p>
        </w:tc>
        <w:tc>
          <w:tcPr>
            <w:tcW w:w="1134" w:type="dxa"/>
            <w:tcBorders>
              <w:bottom w:val="single" w:color="auto" w:sz="12" w:space="0"/>
            </w:tcBorders>
            <w:noWrap w:val="0"/>
            <w:vAlign w:val="center"/>
          </w:tcPr>
          <w:p w14:paraId="78807D89">
            <w:pPr>
              <w:pStyle w:val="6"/>
              <w:keepNext/>
              <w:spacing w:after="0" w:line="440" w:lineRule="exact"/>
              <w:ind w:left="63" w:right="63"/>
              <w:jc w:val="center"/>
              <w:rPr>
                <w:rFonts w:ascii="宋体" w:hAnsi="宋体"/>
                <w:szCs w:val="21"/>
              </w:rPr>
            </w:pPr>
          </w:p>
        </w:tc>
        <w:tc>
          <w:tcPr>
            <w:tcW w:w="1134" w:type="dxa"/>
            <w:tcBorders>
              <w:bottom w:val="single" w:color="auto" w:sz="12" w:space="0"/>
            </w:tcBorders>
            <w:noWrap w:val="0"/>
            <w:vAlign w:val="center"/>
          </w:tcPr>
          <w:p w14:paraId="1A54951B">
            <w:pPr>
              <w:pStyle w:val="6"/>
              <w:keepNext/>
              <w:spacing w:after="0" w:line="440" w:lineRule="exact"/>
              <w:ind w:left="63" w:right="63"/>
              <w:jc w:val="center"/>
              <w:rPr>
                <w:rFonts w:ascii="宋体" w:hAnsi="宋体"/>
                <w:szCs w:val="21"/>
              </w:rPr>
            </w:pPr>
          </w:p>
        </w:tc>
        <w:tc>
          <w:tcPr>
            <w:tcW w:w="4252" w:type="dxa"/>
            <w:tcBorders>
              <w:bottom w:val="single" w:color="auto" w:sz="12" w:space="0"/>
            </w:tcBorders>
            <w:noWrap w:val="0"/>
            <w:vAlign w:val="center"/>
          </w:tcPr>
          <w:p w14:paraId="2D2D9B28">
            <w:pPr>
              <w:pStyle w:val="6"/>
              <w:keepNext/>
              <w:spacing w:after="0" w:line="440" w:lineRule="exact"/>
              <w:ind w:left="63" w:right="63"/>
              <w:jc w:val="center"/>
              <w:rPr>
                <w:rFonts w:ascii="宋体" w:hAnsi="宋体"/>
                <w:szCs w:val="21"/>
              </w:rPr>
            </w:pPr>
          </w:p>
        </w:tc>
      </w:tr>
    </w:tbl>
    <w:p w14:paraId="36CC3F52">
      <w:pPr>
        <w:spacing w:before="120" w:beforeLines="50" w:after="120" w:afterLines="50" w:line="440" w:lineRule="exact"/>
        <w:jc w:val="left"/>
        <w:rPr>
          <w:rFonts w:eastAsia="黑体"/>
          <w:sz w:val="30"/>
          <w:szCs w:val="30"/>
        </w:rPr>
      </w:pPr>
      <w:r>
        <w:rPr>
          <w:rFonts w:eastAsia="仿宋_GB2312"/>
          <w:sz w:val="30"/>
          <w:szCs w:val="30"/>
        </w:rPr>
        <w:br w:type="page"/>
      </w:r>
      <w:r>
        <w:rPr>
          <w:rFonts w:ascii="宋体" w:hAnsi="宋体"/>
          <w:sz w:val="24"/>
        </w:rPr>
        <w:t>附</w:t>
      </w:r>
      <w:bookmarkStart w:id="2553" w:name="_Toc296944568"/>
      <w:bookmarkStart w:id="2554" w:name="_Toc296891057"/>
      <w:bookmarkStart w:id="2555" w:name="_Toc296347228"/>
      <w:bookmarkStart w:id="2556" w:name="_Toc296503229"/>
      <w:bookmarkStart w:id="2557" w:name="_Toc296891269"/>
      <w:bookmarkStart w:id="2558" w:name="_Toc296346730"/>
      <w:r>
        <w:rPr>
          <w:rFonts w:ascii="宋体" w:hAnsi="宋体"/>
          <w:sz w:val="24"/>
        </w:rPr>
        <w:t>件7：</w:t>
      </w:r>
    </w:p>
    <w:bookmarkEnd w:id="2553"/>
    <w:bookmarkEnd w:id="2554"/>
    <w:bookmarkEnd w:id="2555"/>
    <w:bookmarkEnd w:id="2556"/>
    <w:bookmarkEnd w:id="2557"/>
    <w:bookmarkEnd w:id="2558"/>
    <w:p w14:paraId="0BCDD242">
      <w:pPr>
        <w:spacing w:before="120" w:beforeLines="50" w:after="120" w:afterLines="50" w:line="440" w:lineRule="exact"/>
        <w:jc w:val="center"/>
        <w:rPr>
          <w:rFonts w:eastAsia="黑体"/>
          <w:sz w:val="28"/>
          <w:szCs w:val="28"/>
        </w:rPr>
      </w:pPr>
      <w:r>
        <w:rPr>
          <w:rFonts w:eastAsia="黑体"/>
          <w:sz w:val="28"/>
          <w:szCs w:val="28"/>
        </w:rPr>
        <w:t>分包人主要施工管理人员表</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A4269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2EAF54A">
            <w:pPr>
              <w:pStyle w:val="6"/>
              <w:keepNext/>
              <w:spacing w:after="0" w:line="440" w:lineRule="exact"/>
              <w:ind w:left="63" w:right="63"/>
              <w:jc w:val="center"/>
              <w:rPr>
                <w:rFonts w:ascii="宋体" w:hAnsi="宋体"/>
                <w:szCs w:val="21"/>
              </w:rPr>
            </w:pPr>
            <w:r>
              <w:rPr>
                <w:rFonts w:ascii="宋体" w:hAnsi="宋体"/>
                <w:szCs w:val="21"/>
              </w:rPr>
              <w:t>名    称</w:t>
            </w:r>
          </w:p>
        </w:tc>
        <w:tc>
          <w:tcPr>
            <w:tcW w:w="1418" w:type="dxa"/>
            <w:tcBorders>
              <w:top w:val="single" w:color="auto" w:sz="12" w:space="0"/>
              <w:bottom w:val="double" w:color="auto" w:sz="6" w:space="0"/>
            </w:tcBorders>
            <w:noWrap w:val="0"/>
            <w:vAlign w:val="center"/>
          </w:tcPr>
          <w:p w14:paraId="7B65E4CF">
            <w:pPr>
              <w:pStyle w:val="6"/>
              <w:keepNext/>
              <w:spacing w:after="0" w:line="440" w:lineRule="exact"/>
              <w:ind w:left="63" w:right="63"/>
              <w:jc w:val="center"/>
              <w:rPr>
                <w:rFonts w:ascii="宋体" w:hAnsi="宋体"/>
                <w:szCs w:val="21"/>
              </w:rPr>
            </w:pPr>
            <w:r>
              <w:rPr>
                <w:rFonts w:ascii="宋体" w:hAnsi="宋体"/>
                <w:szCs w:val="21"/>
              </w:rPr>
              <w:t>姓名</w:t>
            </w:r>
          </w:p>
        </w:tc>
        <w:tc>
          <w:tcPr>
            <w:tcW w:w="1134" w:type="dxa"/>
            <w:tcBorders>
              <w:top w:val="single" w:color="auto" w:sz="12" w:space="0"/>
              <w:bottom w:val="double" w:color="auto" w:sz="6" w:space="0"/>
            </w:tcBorders>
            <w:noWrap w:val="0"/>
            <w:vAlign w:val="center"/>
          </w:tcPr>
          <w:p w14:paraId="3AFBF726">
            <w:pPr>
              <w:pStyle w:val="6"/>
              <w:keepNext/>
              <w:spacing w:after="0" w:line="440" w:lineRule="exact"/>
              <w:ind w:left="63" w:right="63"/>
              <w:jc w:val="center"/>
              <w:rPr>
                <w:rFonts w:ascii="宋体" w:hAnsi="宋体"/>
                <w:szCs w:val="21"/>
              </w:rPr>
            </w:pPr>
            <w:r>
              <w:rPr>
                <w:rFonts w:ascii="宋体" w:hAnsi="宋体"/>
                <w:szCs w:val="21"/>
              </w:rPr>
              <w:t>职务</w:t>
            </w:r>
          </w:p>
        </w:tc>
        <w:tc>
          <w:tcPr>
            <w:tcW w:w="1134" w:type="dxa"/>
            <w:tcBorders>
              <w:top w:val="single" w:color="auto" w:sz="12" w:space="0"/>
              <w:bottom w:val="double" w:color="auto" w:sz="6" w:space="0"/>
            </w:tcBorders>
            <w:noWrap w:val="0"/>
            <w:vAlign w:val="center"/>
          </w:tcPr>
          <w:p w14:paraId="5438FE29">
            <w:pPr>
              <w:pStyle w:val="6"/>
              <w:keepNext/>
              <w:spacing w:after="0" w:line="440" w:lineRule="exact"/>
              <w:ind w:left="63" w:right="63"/>
              <w:jc w:val="center"/>
              <w:rPr>
                <w:rFonts w:ascii="宋体" w:hAnsi="宋体"/>
                <w:szCs w:val="21"/>
              </w:rPr>
            </w:pPr>
            <w:r>
              <w:rPr>
                <w:rFonts w:ascii="宋体" w:hAnsi="宋体"/>
                <w:szCs w:val="21"/>
              </w:rPr>
              <w:t>职称</w:t>
            </w:r>
          </w:p>
        </w:tc>
        <w:tc>
          <w:tcPr>
            <w:tcW w:w="4252" w:type="dxa"/>
            <w:tcBorders>
              <w:top w:val="single" w:color="auto" w:sz="12" w:space="0"/>
              <w:bottom w:val="double" w:color="auto" w:sz="6" w:space="0"/>
            </w:tcBorders>
            <w:noWrap w:val="0"/>
            <w:vAlign w:val="center"/>
          </w:tcPr>
          <w:p w14:paraId="149CAE63">
            <w:pPr>
              <w:pStyle w:val="6"/>
              <w:keepNext/>
              <w:spacing w:after="0" w:line="440" w:lineRule="exact"/>
              <w:ind w:left="63" w:right="63"/>
              <w:jc w:val="center"/>
              <w:rPr>
                <w:rFonts w:ascii="宋体" w:hAnsi="宋体"/>
                <w:szCs w:val="21"/>
              </w:rPr>
            </w:pPr>
            <w:r>
              <w:rPr>
                <w:rFonts w:ascii="宋体" w:hAnsi="宋体"/>
                <w:szCs w:val="21"/>
              </w:rPr>
              <w:t>主要资历、经验及承担过的项目</w:t>
            </w:r>
          </w:p>
        </w:tc>
      </w:tr>
      <w:tr w14:paraId="3FAA03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5A2263">
            <w:pPr>
              <w:pStyle w:val="6"/>
              <w:keepNext/>
              <w:spacing w:after="0" w:line="440" w:lineRule="exact"/>
              <w:ind w:left="63" w:right="63"/>
              <w:jc w:val="center"/>
              <w:rPr>
                <w:rFonts w:ascii="宋体" w:hAnsi="宋体"/>
                <w:szCs w:val="21"/>
              </w:rPr>
            </w:pPr>
            <w:r>
              <w:rPr>
                <w:rFonts w:ascii="宋体" w:hAnsi="宋体"/>
                <w:szCs w:val="21"/>
              </w:rPr>
              <w:t>一、总部人员</w:t>
            </w:r>
          </w:p>
        </w:tc>
      </w:tr>
      <w:tr w14:paraId="7AA7A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2395EDC">
            <w:pPr>
              <w:pStyle w:val="6"/>
              <w:keepNext/>
              <w:spacing w:after="0" w:line="440" w:lineRule="exact"/>
              <w:ind w:left="63" w:right="63"/>
              <w:jc w:val="center"/>
              <w:rPr>
                <w:rFonts w:ascii="宋体" w:hAnsi="宋体"/>
                <w:szCs w:val="21"/>
              </w:rPr>
            </w:pPr>
            <w:r>
              <w:rPr>
                <w:rFonts w:ascii="宋体" w:hAnsi="宋体"/>
                <w:szCs w:val="21"/>
              </w:rPr>
              <w:t>项目主管</w:t>
            </w:r>
          </w:p>
        </w:tc>
        <w:tc>
          <w:tcPr>
            <w:tcW w:w="1418" w:type="dxa"/>
            <w:tcBorders>
              <w:top w:val="nil"/>
            </w:tcBorders>
            <w:noWrap w:val="0"/>
            <w:vAlign w:val="center"/>
          </w:tcPr>
          <w:p w14:paraId="4EE8527B">
            <w:pPr>
              <w:pStyle w:val="6"/>
              <w:keepNext/>
              <w:spacing w:after="0" w:line="440" w:lineRule="exact"/>
              <w:ind w:left="63" w:right="63"/>
              <w:jc w:val="center"/>
              <w:rPr>
                <w:rFonts w:ascii="宋体" w:hAnsi="宋体"/>
                <w:szCs w:val="21"/>
              </w:rPr>
            </w:pPr>
          </w:p>
        </w:tc>
        <w:tc>
          <w:tcPr>
            <w:tcW w:w="1134" w:type="dxa"/>
            <w:tcBorders>
              <w:top w:val="nil"/>
            </w:tcBorders>
            <w:noWrap w:val="0"/>
            <w:vAlign w:val="center"/>
          </w:tcPr>
          <w:p w14:paraId="6A8AC738">
            <w:pPr>
              <w:pStyle w:val="6"/>
              <w:keepNext/>
              <w:spacing w:after="0" w:line="440" w:lineRule="exact"/>
              <w:ind w:left="63" w:right="63"/>
              <w:jc w:val="center"/>
              <w:rPr>
                <w:rFonts w:ascii="宋体" w:hAnsi="宋体"/>
                <w:szCs w:val="21"/>
              </w:rPr>
            </w:pPr>
          </w:p>
        </w:tc>
        <w:tc>
          <w:tcPr>
            <w:tcW w:w="1134" w:type="dxa"/>
            <w:tcBorders>
              <w:top w:val="nil"/>
            </w:tcBorders>
            <w:noWrap w:val="0"/>
            <w:vAlign w:val="center"/>
          </w:tcPr>
          <w:p w14:paraId="3EB8711E">
            <w:pPr>
              <w:pStyle w:val="6"/>
              <w:keepNext/>
              <w:spacing w:after="0" w:line="440" w:lineRule="exact"/>
              <w:ind w:left="63" w:right="63"/>
              <w:jc w:val="center"/>
              <w:rPr>
                <w:rFonts w:ascii="宋体" w:hAnsi="宋体"/>
                <w:szCs w:val="21"/>
              </w:rPr>
            </w:pPr>
          </w:p>
        </w:tc>
        <w:tc>
          <w:tcPr>
            <w:tcW w:w="4252" w:type="dxa"/>
            <w:tcBorders>
              <w:top w:val="nil"/>
            </w:tcBorders>
            <w:noWrap w:val="0"/>
            <w:vAlign w:val="center"/>
          </w:tcPr>
          <w:p w14:paraId="534BC782">
            <w:pPr>
              <w:pStyle w:val="6"/>
              <w:keepNext/>
              <w:spacing w:after="0" w:line="440" w:lineRule="exact"/>
              <w:ind w:left="63" w:right="63"/>
              <w:jc w:val="center"/>
              <w:rPr>
                <w:rFonts w:ascii="宋体" w:hAnsi="宋体"/>
                <w:szCs w:val="21"/>
              </w:rPr>
            </w:pPr>
          </w:p>
        </w:tc>
      </w:tr>
      <w:tr w14:paraId="6307E1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E97BF96">
            <w:pPr>
              <w:pStyle w:val="6"/>
              <w:keepNext/>
              <w:spacing w:after="0" w:line="440" w:lineRule="exact"/>
              <w:ind w:left="63" w:right="63"/>
              <w:jc w:val="center"/>
              <w:rPr>
                <w:rFonts w:ascii="宋体" w:hAnsi="宋体"/>
                <w:szCs w:val="21"/>
              </w:rPr>
            </w:pPr>
          </w:p>
        </w:tc>
        <w:tc>
          <w:tcPr>
            <w:tcW w:w="1418" w:type="dxa"/>
            <w:noWrap w:val="0"/>
            <w:vAlign w:val="center"/>
          </w:tcPr>
          <w:p w14:paraId="167C503A">
            <w:pPr>
              <w:pStyle w:val="6"/>
              <w:keepNext/>
              <w:spacing w:after="0" w:line="440" w:lineRule="exact"/>
              <w:ind w:left="63" w:right="63"/>
              <w:jc w:val="center"/>
              <w:rPr>
                <w:rFonts w:ascii="宋体" w:hAnsi="宋体"/>
                <w:szCs w:val="21"/>
              </w:rPr>
            </w:pPr>
          </w:p>
        </w:tc>
        <w:tc>
          <w:tcPr>
            <w:tcW w:w="1134" w:type="dxa"/>
            <w:noWrap w:val="0"/>
            <w:vAlign w:val="center"/>
          </w:tcPr>
          <w:p w14:paraId="4A37E315">
            <w:pPr>
              <w:pStyle w:val="6"/>
              <w:keepNext/>
              <w:spacing w:after="0" w:line="440" w:lineRule="exact"/>
              <w:ind w:left="63" w:right="63"/>
              <w:jc w:val="center"/>
              <w:rPr>
                <w:rFonts w:ascii="宋体" w:hAnsi="宋体"/>
                <w:szCs w:val="21"/>
              </w:rPr>
            </w:pPr>
          </w:p>
        </w:tc>
        <w:tc>
          <w:tcPr>
            <w:tcW w:w="1134" w:type="dxa"/>
            <w:noWrap w:val="0"/>
            <w:vAlign w:val="center"/>
          </w:tcPr>
          <w:p w14:paraId="2CE04B3C">
            <w:pPr>
              <w:pStyle w:val="6"/>
              <w:keepNext/>
              <w:spacing w:after="0" w:line="440" w:lineRule="exact"/>
              <w:ind w:left="63" w:right="63"/>
              <w:jc w:val="center"/>
              <w:rPr>
                <w:rFonts w:ascii="宋体" w:hAnsi="宋体"/>
                <w:szCs w:val="21"/>
              </w:rPr>
            </w:pPr>
          </w:p>
        </w:tc>
        <w:tc>
          <w:tcPr>
            <w:tcW w:w="4252" w:type="dxa"/>
            <w:noWrap w:val="0"/>
            <w:vAlign w:val="center"/>
          </w:tcPr>
          <w:p w14:paraId="6941FA4D">
            <w:pPr>
              <w:pStyle w:val="6"/>
              <w:keepNext/>
              <w:spacing w:after="0" w:line="440" w:lineRule="exact"/>
              <w:ind w:left="63" w:right="63"/>
              <w:jc w:val="center"/>
              <w:rPr>
                <w:rFonts w:ascii="宋体" w:hAnsi="宋体"/>
                <w:szCs w:val="21"/>
              </w:rPr>
            </w:pPr>
          </w:p>
        </w:tc>
      </w:tr>
      <w:tr w14:paraId="0AFDE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C0B3137">
            <w:pPr>
              <w:pStyle w:val="6"/>
              <w:keepNext/>
              <w:spacing w:after="0" w:line="440" w:lineRule="exact"/>
              <w:ind w:left="63" w:right="63"/>
              <w:jc w:val="center"/>
              <w:rPr>
                <w:rFonts w:ascii="宋体" w:hAnsi="宋体"/>
                <w:szCs w:val="21"/>
              </w:rPr>
            </w:pPr>
            <w:r>
              <w:rPr>
                <w:rFonts w:ascii="宋体" w:hAnsi="宋体"/>
                <w:szCs w:val="21"/>
              </w:rPr>
              <w:t>其他人员</w:t>
            </w:r>
          </w:p>
        </w:tc>
        <w:tc>
          <w:tcPr>
            <w:tcW w:w="1418" w:type="dxa"/>
            <w:noWrap w:val="0"/>
            <w:vAlign w:val="center"/>
          </w:tcPr>
          <w:p w14:paraId="0929C918">
            <w:pPr>
              <w:pStyle w:val="6"/>
              <w:keepNext/>
              <w:spacing w:after="0" w:line="440" w:lineRule="exact"/>
              <w:ind w:left="63" w:right="63"/>
              <w:jc w:val="center"/>
              <w:rPr>
                <w:rFonts w:ascii="宋体" w:hAnsi="宋体"/>
                <w:szCs w:val="21"/>
              </w:rPr>
            </w:pPr>
          </w:p>
        </w:tc>
        <w:tc>
          <w:tcPr>
            <w:tcW w:w="1134" w:type="dxa"/>
            <w:noWrap w:val="0"/>
            <w:vAlign w:val="center"/>
          </w:tcPr>
          <w:p w14:paraId="4ED6D1D2">
            <w:pPr>
              <w:pStyle w:val="6"/>
              <w:keepNext/>
              <w:spacing w:after="0" w:line="440" w:lineRule="exact"/>
              <w:ind w:left="63" w:right="63"/>
              <w:jc w:val="center"/>
              <w:rPr>
                <w:rFonts w:ascii="宋体" w:hAnsi="宋体"/>
                <w:szCs w:val="21"/>
              </w:rPr>
            </w:pPr>
          </w:p>
        </w:tc>
        <w:tc>
          <w:tcPr>
            <w:tcW w:w="1134" w:type="dxa"/>
            <w:noWrap w:val="0"/>
            <w:vAlign w:val="center"/>
          </w:tcPr>
          <w:p w14:paraId="50A2A612">
            <w:pPr>
              <w:pStyle w:val="6"/>
              <w:keepNext/>
              <w:spacing w:after="0" w:line="440" w:lineRule="exact"/>
              <w:ind w:left="63" w:right="63"/>
              <w:jc w:val="center"/>
              <w:rPr>
                <w:rFonts w:ascii="宋体" w:hAnsi="宋体"/>
                <w:szCs w:val="21"/>
              </w:rPr>
            </w:pPr>
          </w:p>
        </w:tc>
        <w:tc>
          <w:tcPr>
            <w:tcW w:w="4252" w:type="dxa"/>
            <w:noWrap w:val="0"/>
            <w:vAlign w:val="center"/>
          </w:tcPr>
          <w:p w14:paraId="25CD969B">
            <w:pPr>
              <w:pStyle w:val="6"/>
              <w:keepNext/>
              <w:spacing w:after="0" w:line="440" w:lineRule="exact"/>
              <w:ind w:left="63" w:right="63"/>
              <w:jc w:val="center"/>
              <w:rPr>
                <w:rFonts w:ascii="宋体" w:hAnsi="宋体"/>
                <w:szCs w:val="21"/>
              </w:rPr>
            </w:pPr>
          </w:p>
        </w:tc>
      </w:tr>
      <w:tr w14:paraId="091BDC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DC6844F">
            <w:pPr>
              <w:pStyle w:val="6"/>
              <w:keepNext/>
              <w:spacing w:after="0" w:line="440" w:lineRule="exact"/>
              <w:ind w:left="63" w:right="63"/>
              <w:jc w:val="center"/>
              <w:rPr>
                <w:rFonts w:ascii="宋体" w:hAnsi="宋体"/>
                <w:szCs w:val="21"/>
              </w:rPr>
            </w:pPr>
          </w:p>
        </w:tc>
        <w:tc>
          <w:tcPr>
            <w:tcW w:w="1418" w:type="dxa"/>
            <w:noWrap w:val="0"/>
            <w:vAlign w:val="center"/>
          </w:tcPr>
          <w:p w14:paraId="34F6B470">
            <w:pPr>
              <w:pStyle w:val="6"/>
              <w:keepNext/>
              <w:spacing w:after="0" w:line="440" w:lineRule="exact"/>
              <w:ind w:left="63" w:right="63"/>
              <w:jc w:val="center"/>
              <w:rPr>
                <w:rFonts w:ascii="宋体" w:hAnsi="宋体"/>
                <w:szCs w:val="21"/>
              </w:rPr>
            </w:pPr>
          </w:p>
        </w:tc>
        <w:tc>
          <w:tcPr>
            <w:tcW w:w="1134" w:type="dxa"/>
            <w:noWrap w:val="0"/>
            <w:vAlign w:val="center"/>
          </w:tcPr>
          <w:p w14:paraId="78E424DA">
            <w:pPr>
              <w:pStyle w:val="6"/>
              <w:keepNext/>
              <w:spacing w:after="0" w:line="440" w:lineRule="exact"/>
              <w:ind w:left="63" w:right="63"/>
              <w:jc w:val="center"/>
              <w:rPr>
                <w:rFonts w:ascii="宋体" w:hAnsi="宋体"/>
                <w:szCs w:val="21"/>
              </w:rPr>
            </w:pPr>
          </w:p>
        </w:tc>
        <w:tc>
          <w:tcPr>
            <w:tcW w:w="1134" w:type="dxa"/>
            <w:noWrap w:val="0"/>
            <w:vAlign w:val="center"/>
          </w:tcPr>
          <w:p w14:paraId="43D7BA1F">
            <w:pPr>
              <w:pStyle w:val="6"/>
              <w:keepNext/>
              <w:spacing w:after="0" w:line="440" w:lineRule="exact"/>
              <w:ind w:left="63" w:right="63"/>
              <w:jc w:val="center"/>
              <w:rPr>
                <w:rFonts w:ascii="宋体" w:hAnsi="宋体"/>
                <w:szCs w:val="21"/>
              </w:rPr>
            </w:pPr>
          </w:p>
        </w:tc>
        <w:tc>
          <w:tcPr>
            <w:tcW w:w="4252" w:type="dxa"/>
            <w:noWrap w:val="0"/>
            <w:vAlign w:val="center"/>
          </w:tcPr>
          <w:p w14:paraId="00D77376">
            <w:pPr>
              <w:pStyle w:val="6"/>
              <w:keepNext/>
              <w:spacing w:after="0" w:line="440" w:lineRule="exact"/>
              <w:ind w:left="63" w:right="63"/>
              <w:jc w:val="center"/>
              <w:rPr>
                <w:rFonts w:ascii="宋体" w:hAnsi="宋体"/>
                <w:szCs w:val="21"/>
              </w:rPr>
            </w:pPr>
          </w:p>
        </w:tc>
      </w:tr>
      <w:tr w14:paraId="1C9004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B60104D">
            <w:pPr>
              <w:pStyle w:val="6"/>
              <w:keepNext/>
              <w:spacing w:after="0" w:line="440" w:lineRule="exact"/>
              <w:ind w:left="63" w:right="63"/>
              <w:jc w:val="center"/>
              <w:rPr>
                <w:rFonts w:ascii="宋体" w:hAnsi="宋体"/>
                <w:szCs w:val="21"/>
              </w:rPr>
            </w:pPr>
            <w:r>
              <w:rPr>
                <w:rFonts w:ascii="宋体" w:hAnsi="宋体"/>
                <w:szCs w:val="21"/>
              </w:rPr>
              <w:t>二、现场人员</w:t>
            </w:r>
          </w:p>
        </w:tc>
      </w:tr>
      <w:tr w14:paraId="18DF09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E2FF917">
            <w:pPr>
              <w:pStyle w:val="6"/>
              <w:keepNext/>
              <w:spacing w:after="0" w:line="440" w:lineRule="exact"/>
              <w:ind w:left="63" w:right="63"/>
              <w:jc w:val="center"/>
              <w:rPr>
                <w:rFonts w:ascii="宋体" w:hAnsi="宋体"/>
                <w:szCs w:val="21"/>
              </w:rPr>
            </w:pPr>
            <w:r>
              <w:rPr>
                <w:rFonts w:ascii="宋体" w:hAnsi="宋体"/>
                <w:szCs w:val="21"/>
              </w:rPr>
              <w:t>项目经理</w:t>
            </w:r>
          </w:p>
        </w:tc>
        <w:tc>
          <w:tcPr>
            <w:tcW w:w="1418" w:type="dxa"/>
            <w:noWrap w:val="0"/>
            <w:vAlign w:val="center"/>
          </w:tcPr>
          <w:p w14:paraId="16A2E49D">
            <w:pPr>
              <w:pStyle w:val="6"/>
              <w:keepNext/>
              <w:spacing w:after="0" w:line="440" w:lineRule="exact"/>
              <w:ind w:left="63" w:right="63"/>
              <w:jc w:val="center"/>
              <w:rPr>
                <w:rFonts w:ascii="宋体" w:hAnsi="宋体"/>
                <w:szCs w:val="21"/>
              </w:rPr>
            </w:pPr>
          </w:p>
        </w:tc>
        <w:tc>
          <w:tcPr>
            <w:tcW w:w="1134" w:type="dxa"/>
            <w:noWrap w:val="0"/>
            <w:vAlign w:val="center"/>
          </w:tcPr>
          <w:p w14:paraId="21E3E830">
            <w:pPr>
              <w:pStyle w:val="6"/>
              <w:keepNext/>
              <w:spacing w:after="0" w:line="440" w:lineRule="exact"/>
              <w:ind w:left="63" w:right="63"/>
              <w:jc w:val="center"/>
              <w:rPr>
                <w:rFonts w:ascii="宋体" w:hAnsi="宋体"/>
                <w:szCs w:val="21"/>
              </w:rPr>
            </w:pPr>
          </w:p>
        </w:tc>
        <w:tc>
          <w:tcPr>
            <w:tcW w:w="1134" w:type="dxa"/>
            <w:noWrap w:val="0"/>
            <w:vAlign w:val="center"/>
          </w:tcPr>
          <w:p w14:paraId="5439F9F6">
            <w:pPr>
              <w:pStyle w:val="6"/>
              <w:keepNext/>
              <w:spacing w:after="0" w:line="440" w:lineRule="exact"/>
              <w:ind w:left="63" w:right="63"/>
              <w:jc w:val="center"/>
              <w:rPr>
                <w:rFonts w:ascii="宋体" w:hAnsi="宋体"/>
                <w:szCs w:val="21"/>
              </w:rPr>
            </w:pPr>
          </w:p>
        </w:tc>
        <w:tc>
          <w:tcPr>
            <w:tcW w:w="4252" w:type="dxa"/>
            <w:noWrap w:val="0"/>
            <w:vAlign w:val="center"/>
          </w:tcPr>
          <w:p w14:paraId="142F76F4">
            <w:pPr>
              <w:pStyle w:val="6"/>
              <w:keepNext/>
              <w:spacing w:after="0" w:line="440" w:lineRule="exact"/>
              <w:ind w:left="63" w:right="63"/>
              <w:jc w:val="center"/>
              <w:rPr>
                <w:rFonts w:ascii="宋体" w:hAnsi="宋体"/>
                <w:szCs w:val="21"/>
              </w:rPr>
            </w:pPr>
          </w:p>
        </w:tc>
      </w:tr>
      <w:tr w14:paraId="371C5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0B91689">
            <w:pPr>
              <w:pStyle w:val="6"/>
              <w:keepNext/>
              <w:spacing w:after="0" w:line="440" w:lineRule="exact"/>
              <w:ind w:left="63" w:right="63"/>
              <w:jc w:val="center"/>
              <w:rPr>
                <w:rFonts w:ascii="宋体" w:hAnsi="宋体"/>
                <w:szCs w:val="21"/>
              </w:rPr>
            </w:pPr>
            <w:r>
              <w:rPr>
                <w:rFonts w:ascii="宋体" w:hAnsi="宋体"/>
                <w:szCs w:val="21"/>
              </w:rPr>
              <w:t>项目副经理</w:t>
            </w:r>
          </w:p>
        </w:tc>
        <w:tc>
          <w:tcPr>
            <w:tcW w:w="1418" w:type="dxa"/>
            <w:noWrap w:val="0"/>
            <w:vAlign w:val="center"/>
          </w:tcPr>
          <w:p w14:paraId="61FCEFDA">
            <w:pPr>
              <w:pStyle w:val="6"/>
              <w:keepNext/>
              <w:spacing w:after="0" w:line="440" w:lineRule="exact"/>
              <w:ind w:left="63" w:right="63"/>
              <w:jc w:val="center"/>
              <w:rPr>
                <w:rFonts w:ascii="宋体" w:hAnsi="宋体"/>
                <w:szCs w:val="21"/>
              </w:rPr>
            </w:pPr>
          </w:p>
        </w:tc>
        <w:tc>
          <w:tcPr>
            <w:tcW w:w="1134" w:type="dxa"/>
            <w:noWrap w:val="0"/>
            <w:vAlign w:val="center"/>
          </w:tcPr>
          <w:p w14:paraId="3A08DE3A">
            <w:pPr>
              <w:pStyle w:val="6"/>
              <w:keepNext/>
              <w:spacing w:after="0" w:line="440" w:lineRule="exact"/>
              <w:ind w:left="63" w:right="63"/>
              <w:jc w:val="center"/>
              <w:rPr>
                <w:rFonts w:ascii="宋体" w:hAnsi="宋体"/>
                <w:szCs w:val="21"/>
              </w:rPr>
            </w:pPr>
          </w:p>
        </w:tc>
        <w:tc>
          <w:tcPr>
            <w:tcW w:w="1134" w:type="dxa"/>
            <w:noWrap w:val="0"/>
            <w:vAlign w:val="center"/>
          </w:tcPr>
          <w:p w14:paraId="5DCA35F0">
            <w:pPr>
              <w:pStyle w:val="6"/>
              <w:keepNext/>
              <w:spacing w:after="0" w:line="440" w:lineRule="exact"/>
              <w:ind w:left="63" w:right="63"/>
              <w:jc w:val="center"/>
              <w:rPr>
                <w:rFonts w:ascii="宋体" w:hAnsi="宋体"/>
                <w:szCs w:val="21"/>
              </w:rPr>
            </w:pPr>
          </w:p>
        </w:tc>
        <w:tc>
          <w:tcPr>
            <w:tcW w:w="4252" w:type="dxa"/>
            <w:noWrap w:val="0"/>
            <w:vAlign w:val="center"/>
          </w:tcPr>
          <w:p w14:paraId="5C231C79">
            <w:pPr>
              <w:pStyle w:val="6"/>
              <w:keepNext/>
              <w:spacing w:after="0" w:line="440" w:lineRule="exact"/>
              <w:ind w:left="63" w:right="63"/>
              <w:jc w:val="center"/>
              <w:rPr>
                <w:rFonts w:ascii="宋体" w:hAnsi="宋体"/>
                <w:szCs w:val="21"/>
              </w:rPr>
            </w:pPr>
          </w:p>
        </w:tc>
      </w:tr>
      <w:tr w14:paraId="609AE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DA84F50">
            <w:pPr>
              <w:pStyle w:val="6"/>
              <w:keepNext/>
              <w:spacing w:after="0" w:line="440" w:lineRule="exact"/>
              <w:ind w:left="63" w:right="63"/>
              <w:jc w:val="center"/>
              <w:rPr>
                <w:rFonts w:ascii="宋体" w:hAnsi="宋体"/>
                <w:szCs w:val="21"/>
              </w:rPr>
            </w:pPr>
            <w:r>
              <w:rPr>
                <w:rFonts w:ascii="宋体" w:hAnsi="宋体"/>
                <w:szCs w:val="21"/>
              </w:rPr>
              <w:t>技术负责人</w:t>
            </w:r>
          </w:p>
        </w:tc>
        <w:tc>
          <w:tcPr>
            <w:tcW w:w="1418" w:type="dxa"/>
            <w:noWrap w:val="0"/>
            <w:vAlign w:val="center"/>
          </w:tcPr>
          <w:p w14:paraId="3AC1C208">
            <w:pPr>
              <w:pStyle w:val="6"/>
              <w:keepNext/>
              <w:spacing w:after="0" w:line="440" w:lineRule="exact"/>
              <w:ind w:left="63" w:right="63"/>
              <w:jc w:val="center"/>
              <w:rPr>
                <w:rFonts w:ascii="宋体" w:hAnsi="宋体"/>
                <w:szCs w:val="21"/>
              </w:rPr>
            </w:pPr>
          </w:p>
        </w:tc>
        <w:tc>
          <w:tcPr>
            <w:tcW w:w="1134" w:type="dxa"/>
            <w:noWrap w:val="0"/>
            <w:vAlign w:val="center"/>
          </w:tcPr>
          <w:p w14:paraId="1EDB1278">
            <w:pPr>
              <w:pStyle w:val="6"/>
              <w:keepNext/>
              <w:spacing w:after="0" w:line="440" w:lineRule="exact"/>
              <w:ind w:left="63" w:right="63"/>
              <w:jc w:val="center"/>
              <w:rPr>
                <w:rFonts w:ascii="宋体" w:hAnsi="宋体"/>
                <w:szCs w:val="21"/>
              </w:rPr>
            </w:pPr>
          </w:p>
        </w:tc>
        <w:tc>
          <w:tcPr>
            <w:tcW w:w="1134" w:type="dxa"/>
            <w:noWrap w:val="0"/>
            <w:vAlign w:val="center"/>
          </w:tcPr>
          <w:p w14:paraId="3C52E375">
            <w:pPr>
              <w:pStyle w:val="6"/>
              <w:keepNext/>
              <w:spacing w:after="0" w:line="440" w:lineRule="exact"/>
              <w:ind w:left="63" w:right="63"/>
              <w:jc w:val="center"/>
              <w:rPr>
                <w:rFonts w:ascii="宋体" w:hAnsi="宋体"/>
                <w:szCs w:val="21"/>
              </w:rPr>
            </w:pPr>
          </w:p>
        </w:tc>
        <w:tc>
          <w:tcPr>
            <w:tcW w:w="4252" w:type="dxa"/>
            <w:noWrap w:val="0"/>
            <w:vAlign w:val="center"/>
          </w:tcPr>
          <w:p w14:paraId="0E443983">
            <w:pPr>
              <w:pStyle w:val="6"/>
              <w:keepNext/>
              <w:spacing w:after="0" w:line="440" w:lineRule="exact"/>
              <w:ind w:left="63" w:right="63"/>
              <w:jc w:val="center"/>
              <w:rPr>
                <w:rFonts w:ascii="宋体" w:hAnsi="宋体"/>
                <w:szCs w:val="21"/>
              </w:rPr>
            </w:pPr>
          </w:p>
        </w:tc>
      </w:tr>
      <w:tr w14:paraId="3C557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D495058">
            <w:pPr>
              <w:pStyle w:val="6"/>
              <w:keepNext/>
              <w:spacing w:after="0" w:line="440" w:lineRule="exact"/>
              <w:ind w:left="63" w:right="63"/>
              <w:jc w:val="center"/>
              <w:rPr>
                <w:rFonts w:ascii="宋体" w:hAnsi="宋体"/>
                <w:szCs w:val="21"/>
              </w:rPr>
            </w:pPr>
            <w:r>
              <w:rPr>
                <w:rFonts w:ascii="宋体" w:hAnsi="宋体"/>
                <w:szCs w:val="21"/>
              </w:rPr>
              <w:t>造价管理</w:t>
            </w:r>
          </w:p>
        </w:tc>
        <w:tc>
          <w:tcPr>
            <w:tcW w:w="1418" w:type="dxa"/>
            <w:noWrap w:val="0"/>
            <w:vAlign w:val="center"/>
          </w:tcPr>
          <w:p w14:paraId="786B0A14">
            <w:pPr>
              <w:pStyle w:val="6"/>
              <w:keepNext/>
              <w:spacing w:after="0" w:line="440" w:lineRule="exact"/>
              <w:ind w:left="63" w:right="63"/>
              <w:jc w:val="center"/>
              <w:rPr>
                <w:rFonts w:ascii="宋体" w:hAnsi="宋体"/>
                <w:szCs w:val="21"/>
              </w:rPr>
            </w:pPr>
          </w:p>
        </w:tc>
        <w:tc>
          <w:tcPr>
            <w:tcW w:w="1134" w:type="dxa"/>
            <w:noWrap w:val="0"/>
            <w:vAlign w:val="center"/>
          </w:tcPr>
          <w:p w14:paraId="46868941">
            <w:pPr>
              <w:pStyle w:val="6"/>
              <w:keepNext/>
              <w:spacing w:after="0" w:line="440" w:lineRule="exact"/>
              <w:ind w:left="63" w:right="63"/>
              <w:jc w:val="center"/>
              <w:rPr>
                <w:rFonts w:ascii="宋体" w:hAnsi="宋体"/>
                <w:szCs w:val="21"/>
              </w:rPr>
            </w:pPr>
          </w:p>
        </w:tc>
        <w:tc>
          <w:tcPr>
            <w:tcW w:w="1134" w:type="dxa"/>
            <w:noWrap w:val="0"/>
            <w:vAlign w:val="center"/>
          </w:tcPr>
          <w:p w14:paraId="48263665">
            <w:pPr>
              <w:pStyle w:val="6"/>
              <w:keepNext/>
              <w:spacing w:after="0" w:line="440" w:lineRule="exact"/>
              <w:ind w:left="63" w:right="63"/>
              <w:jc w:val="center"/>
              <w:rPr>
                <w:rFonts w:ascii="宋体" w:hAnsi="宋体"/>
                <w:szCs w:val="21"/>
              </w:rPr>
            </w:pPr>
          </w:p>
        </w:tc>
        <w:tc>
          <w:tcPr>
            <w:tcW w:w="4252" w:type="dxa"/>
            <w:noWrap w:val="0"/>
            <w:vAlign w:val="center"/>
          </w:tcPr>
          <w:p w14:paraId="5A9AED9D">
            <w:pPr>
              <w:pStyle w:val="6"/>
              <w:keepNext/>
              <w:spacing w:after="0" w:line="440" w:lineRule="exact"/>
              <w:ind w:left="63" w:right="63"/>
              <w:jc w:val="center"/>
              <w:rPr>
                <w:rFonts w:ascii="宋体" w:hAnsi="宋体"/>
                <w:szCs w:val="21"/>
              </w:rPr>
            </w:pPr>
          </w:p>
        </w:tc>
      </w:tr>
      <w:tr w14:paraId="6807E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8DD7A67">
            <w:pPr>
              <w:pStyle w:val="6"/>
              <w:keepNext/>
              <w:spacing w:after="0" w:line="440" w:lineRule="exact"/>
              <w:ind w:left="63" w:right="63"/>
              <w:jc w:val="center"/>
              <w:rPr>
                <w:rFonts w:ascii="宋体" w:hAnsi="宋体"/>
                <w:szCs w:val="21"/>
              </w:rPr>
            </w:pPr>
            <w:r>
              <w:rPr>
                <w:rFonts w:ascii="宋体" w:hAnsi="宋体"/>
                <w:szCs w:val="21"/>
              </w:rPr>
              <w:t>质量管理</w:t>
            </w:r>
          </w:p>
        </w:tc>
        <w:tc>
          <w:tcPr>
            <w:tcW w:w="1418" w:type="dxa"/>
            <w:noWrap w:val="0"/>
            <w:vAlign w:val="center"/>
          </w:tcPr>
          <w:p w14:paraId="7F886E6C">
            <w:pPr>
              <w:pStyle w:val="6"/>
              <w:keepNext/>
              <w:spacing w:after="0" w:line="440" w:lineRule="exact"/>
              <w:ind w:left="63" w:right="63"/>
              <w:jc w:val="center"/>
              <w:rPr>
                <w:rFonts w:ascii="宋体" w:hAnsi="宋体"/>
                <w:szCs w:val="21"/>
              </w:rPr>
            </w:pPr>
          </w:p>
        </w:tc>
        <w:tc>
          <w:tcPr>
            <w:tcW w:w="1134" w:type="dxa"/>
            <w:noWrap w:val="0"/>
            <w:vAlign w:val="center"/>
          </w:tcPr>
          <w:p w14:paraId="7E9FF5DF">
            <w:pPr>
              <w:pStyle w:val="6"/>
              <w:keepNext/>
              <w:spacing w:after="0" w:line="440" w:lineRule="exact"/>
              <w:ind w:left="63" w:right="63"/>
              <w:jc w:val="center"/>
              <w:rPr>
                <w:rFonts w:ascii="宋体" w:hAnsi="宋体"/>
                <w:szCs w:val="21"/>
              </w:rPr>
            </w:pPr>
          </w:p>
        </w:tc>
        <w:tc>
          <w:tcPr>
            <w:tcW w:w="1134" w:type="dxa"/>
            <w:noWrap w:val="0"/>
            <w:vAlign w:val="center"/>
          </w:tcPr>
          <w:p w14:paraId="5C3850D3">
            <w:pPr>
              <w:pStyle w:val="6"/>
              <w:keepNext/>
              <w:spacing w:after="0" w:line="440" w:lineRule="exact"/>
              <w:ind w:left="63" w:right="63"/>
              <w:jc w:val="center"/>
              <w:rPr>
                <w:rFonts w:ascii="宋体" w:hAnsi="宋体"/>
                <w:szCs w:val="21"/>
              </w:rPr>
            </w:pPr>
          </w:p>
        </w:tc>
        <w:tc>
          <w:tcPr>
            <w:tcW w:w="4252" w:type="dxa"/>
            <w:noWrap w:val="0"/>
            <w:vAlign w:val="center"/>
          </w:tcPr>
          <w:p w14:paraId="19067F85">
            <w:pPr>
              <w:pStyle w:val="6"/>
              <w:keepNext/>
              <w:spacing w:after="0" w:line="440" w:lineRule="exact"/>
              <w:ind w:left="63" w:right="63"/>
              <w:jc w:val="center"/>
              <w:rPr>
                <w:rFonts w:ascii="宋体" w:hAnsi="宋体"/>
                <w:szCs w:val="21"/>
              </w:rPr>
            </w:pPr>
          </w:p>
        </w:tc>
      </w:tr>
      <w:tr w14:paraId="27A4EC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045DB70">
            <w:pPr>
              <w:pStyle w:val="6"/>
              <w:keepNext/>
              <w:spacing w:after="0" w:line="440" w:lineRule="exact"/>
              <w:ind w:left="63" w:right="63"/>
              <w:jc w:val="center"/>
              <w:rPr>
                <w:rFonts w:ascii="宋体" w:hAnsi="宋体"/>
                <w:szCs w:val="21"/>
              </w:rPr>
            </w:pPr>
            <w:r>
              <w:rPr>
                <w:rFonts w:ascii="宋体" w:hAnsi="宋体"/>
                <w:szCs w:val="21"/>
              </w:rPr>
              <w:t>材料管理</w:t>
            </w:r>
          </w:p>
        </w:tc>
        <w:tc>
          <w:tcPr>
            <w:tcW w:w="1418" w:type="dxa"/>
            <w:noWrap w:val="0"/>
            <w:vAlign w:val="center"/>
          </w:tcPr>
          <w:p w14:paraId="54279D40">
            <w:pPr>
              <w:pStyle w:val="6"/>
              <w:keepNext/>
              <w:spacing w:after="0" w:line="440" w:lineRule="exact"/>
              <w:ind w:left="63" w:right="63"/>
              <w:jc w:val="center"/>
              <w:rPr>
                <w:rFonts w:ascii="宋体" w:hAnsi="宋体"/>
                <w:szCs w:val="21"/>
              </w:rPr>
            </w:pPr>
          </w:p>
        </w:tc>
        <w:tc>
          <w:tcPr>
            <w:tcW w:w="1134" w:type="dxa"/>
            <w:noWrap w:val="0"/>
            <w:vAlign w:val="center"/>
          </w:tcPr>
          <w:p w14:paraId="2742B87C">
            <w:pPr>
              <w:pStyle w:val="6"/>
              <w:keepNext/>
              <w:spacing w:after="0" w:line="440" w:lineRule="exact"/>
              <w:ind w:left="63" w:right="63"/>
              <w:jc w:val="center"/>
              <w:rPr>
                <w:rFonts w:ascii="宋体" w:hAnsi="宋体"/>
                <w:szCs w:val="21"/>
              </w:rPr>
            </w:pPr>
          </w:p>
        </w:tc>
        <w:tc>
          <w:tcPr>
            <w:tcW w:w="1134" w:type="dxa"/>
            <w:noWrap w:val="0"/>
            <w:vAlign w:val="center"/>
          </w:tcPr>
          <w:p w14:paraId="32F9FB3B">
            <w:pPr>
              <w:pStyle w:val="6"/>
              <w:keepNext/>
              <w:spacing w:after="0" w:line="440" w:lineRule="exact"/>
              <w:ind w:left="63" w:right="63"/>
              <w:jc w:val="center"/>
              <w:rPr>
                <w:rFonts w:ascii="宋体" w:hAnsi="宋体"/>
                <w:szCs w:val="21"/>
              </w:rPr>
            </w:pPr>
          </w:p>
        </w:tc>
        <w:tc>
          <w:tcPr>
            <w:tcW w:w="4252" w:type="dxa"/>
            <w:noWrap w:val="0"/>
            <w:vAlign w:val="center"/>
          </w:tcPr>
          <w:p w14:paraId="38E50E20">
            <w:pPr>
              <w:pStyle w:val="6"/>
              <w:keepNext/>
              <w:spacing w:after="0" w:line="440" w:lineRule="exact"/>
              <w:ind w:left="63" w:right="63"/>
              <w:jc w:val="center"/>
              <w:rPr>
                <w:rFonts w:ascii="宋体" w:hAnsi="宋体"/>
                <w:szCs w:val="21"/>
              </w:rPr>
            </w:pPr>
          </w:p>
        </w:tc>
      </w:tr>
      <w:tr w14:paraId="47F5C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14C8B52">
            <w:pPr>
              <w:pStyle w:val="6"/>
              <w:keepNext/>
              <w:spacing w:after="0" w:line="440" w:lineRule="exact"/>
              <w:ind w:left="63" w:right="63"/>
              <w:jc w:val="center"/>
              <w:rPr>
                <w:rFonts w:ascii="宋体" w:hAnsi="宋体"/>
                <w:szCs w:val="21"/>
              </w:rPr>
            </w:pPr>
            <w:r>
              <w:rPr>
                <w:rFonts w:ascii="宋体" w:hAnsi="宋体"/>
                <w:szCs w:val="21"/>
              </w:rPr>
              <w:t>计划管理</w:t>
            </w:r>
          </w:p>
        </w:tc>
        <w:tc>
          <w:tcPr>
            <w:tcW w:w="1418" w:type="dxa"/>
            <w:noWrap w:val="0"/>
            <w:vAlign w:val="center"/>
          </w:tcPr>
          <w:p w14:paraId="62B7472D">
            <w:pPr>
              <w:pStyle w:val="6"/>
              <w:keepNext/>
              <w:spacing w:after="0" w:line="440" w:lineRule="exact"/>
              <w:ind w:left="63" w:right="63"/>
              <w:jc w:val="center"/>
              <w:rPr>
                <w:rFonts w:ascii="宋体" w:hAnsi="宋体"/>
                <w:szCs w:val="21"/>
              </w:rPr>
            </w:pPr>
          </w:p>
        </w:tc>
        <w:tc>
          <w:tcPr>
            <w:tcW w:w="1134" w:type="dxa"/>
            <w:noWrap w:val="0"/>
            <w:vAlign w:val="center"/>
          </w:tcPr>
          <w:p w14:paraId="4AAE345D">
            <w:pPr>
              <w:pStyle w:val="6"/>
              <w:keepNext/>
              <w:spacing w:after="0" w:line="440" w:lineRule="exact"/>
              <w:ind w:left="63" w:right="63"/>
              <w:jc w:val="center"/>
              <w:rPr>
                <w:rFonts w:ascii="宋体" w:hAnsi="宋体"/>
                <w:szCs w:val="21"/>
              </w:rPr>
            </w:pPr>
          </w:p>
        </w:tc>
        <w:tc>
          <w:tcPr>
            <w:tcW w:w="1134" w:type="dxa"/>
            <w:noWrap w:val="0"/>
            <w:vAlign w:val="center"/>
          </w:tcPr>
          <w:p w14:paraId="44E27BD2">
            <w:pPr>
              <w:pStyle w:val="6"/>
              <w:keepNext/>
              <w:spacing w:after="0" w:line="440" w:lineRule="exact"/>
              <w:ind w:left="63" w:right="63"/>
              <w:jc w:val="center"/>
              <w:rPr>
                <w:rFonts w:ascii="宋体" w:hAnsi="宋体"/>
                <w:szCs w:val="21"/>
              </w:rPr>
            </w:pPr>
          </w:p>
        </w:tc>
        <w:tc>
          <w:tcPr>
            <w:tcW w:w="4252" w:type="dxa"/>
            <w:noWrap w:val="0"/>
            <w:vAlign w:val="center"/>
          </w:tcPr>
          <w:p w14:paraId="6EBE6A60">
            <w:pPr>
              <w:pStyle w:val="6"/>
              <w:keepNext/>
              <w:spacing w:after="0" w:line="440" w:lineRule="exact"/>
              <w:ind w:left="63" w:right="63"/>
              <w:jc w:val="center"/>
              <w:rPr>
                <w:rFonts w:ascii="宋体" w:hAnsi="宋体"/>
                <w:szCs w:val="21"/>
              </w:rPr>
            </w:pPr>
          </w:p>
        </w:tc>
      </w:tr>
      <w:tr w14:paraId="6F33F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660BF58">
            <w:pPr>
              <w:pStyle w:val="6"/>
              <w:keepNext/>
              <w:spacing w:after="0" w:line="440" w:lineRule="exact"/>
              <w:ind w:left="63" w:right="63"/>
              <w:jc w:val="center"/>
              <w:rPr>
                <w:rFonts w:ascii="宋体" w:hAnsi="宋体"/>
                <w:szCs w:val="21"/>
              </w:rPr>
            </w:pPr>
            <w:r>
              <w:rPr>
                <w:rFonts w:ascii="宋体" w:hAnsi="宋体"/>
                <w:szCs w:val="21"/>
              </w:rPr>
              <w:t>安全管理</w:t>
            </w:r>
          </w:p>
        </w:tc>
        <w:tc>
          <w:tcPr>
            <w:tcW w:w="1418" w:type="dxa"/>
            <w:noWrap w:val="0"/>
            <w:vAlign w:val="center"/>
          </w:tcPr>
          <w:p w14:paraId="39316A36">
            <w:pPr>
              <w:pStyle w:val="6"/>
              <w:keepNext/>
              <w:spacing w:after="0" w:line="440" w:lineRule="exact"/>
              <w:ind w:left="63" w:right="63"/>
              <w:jc w:val="center"/>
              <w:rPr>
                <w:rFonts w:ascii="宋体" w:hAnsi="宋体"/>
                <w:szCs w:val="21"/>
              </w:rPr>
            </w:pPr>
          </w:p>
        </w:tc>
        <w:tc>
          <w:tcPr>
            <w:tcW w:w="1134" w:type="dxa"/>
            <w:noWrap w:val="0"/>
            <w:vAlign w:val="center"/>
          </w:tcPr>
          <w:p w14:paraId="4A5FCDDF">
            <w:pPr>
              <w:pStyle w:val="6"/>
              <w:keepNext/>
              <w:spacing w:after="0" w:line="440" w:lineRule="exact"/>
              <w:ind w:left="63" w:right="63"/>
              <w:jc w:val="center"/>
              <w:rPr>
                <w:rFonts w:ascii="宋体" w:hAnsi="宋体"/>
                <w:szCs w:val="21"/>
              </w:rPr>
            </w:pPr>
          </w:p>
        </w:tc>
        <w:tc>
          <w:tcPr>
            <w:tcW w:w="1134" w:type="dxa"/>
            <w:noWrap w:val="0"/>
            <w:vAlign w:val="center"/>
          </w:tcPr>
          <w:p w14:paraId="01EAB54F">
            <w:pPr>
              <w:pStyle w:val="6"/>
              <w:keepNext/>
              <w:spacing w:after="0" w:line="440" w:lineRule="exact"/>
              <w:ind w:left="63" w:right="63"/>
              <w:jc w:val="center"/>
              <w:rPr>
                <w:rFonts w:ascii="宋体" w:hAnsi="宋体"/>
                <w:szCs w:val="21"/>
              </w:rPr>
            </w:pPr>
          </w:p>
        </w:tc>
        <w:tc>
          <w:tcPr>
            <w:tcW w:w="4252" w:type="dxa"/>
            <w:noWrap w:val="0"/>
            <w:vAlign w:val="center"/>
          </w:tcPr>
          <w:p w14:paraId="1FC37673">
            <w:pPr>
              <w:pStyle w:val="6"/>
              <w:keepNext/>
              <w:spacing w:after="0" w:line="440" w:lineRule="exact"/>
              <w:ind w:left="63" w:right="63"/>
              <w:jc w:val="center"/>
              <w:rPr>
                <w:rFonts w:ascii="宋体" w:hAnsi="宋体"/>
                <w:szCs w:val="21"/>
              </w:rPr>
            </w:pPr>
          </w:p>
        </w:tc>
      </w:tr>
      <w:tr w14:paraId="56369A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D8C4721">
            <w:pPr>
              <w:pStyle w:val="6"/>
              <w:keepNext/>
              <w:spacing w:after="0" w:line="440" w:lineRule="exact"/>
              <w:ind w:left="63" w:right="63"/>
              <w:jc w:val="center"/>
              <w:rPr>
                <w:rFonts w:ascii="宋体" w:hAnsi="宋体"/>
                <w:szCs w:val="21"/>
              </w:rPr>
            </w:pPr>
            <w:r>
              <w:rPr>
                <w:rFonts w:ascii="宋体" w:hAnsi="宋体"/>
                <w:szCs w:val="21"/>
              </w:rPr>
              <w:t>其他人员</w:t>
            </w:r>
          </w:p>
        </w:tc>
        <w:tc>
          <w:tcPr>
            <w:tcW w:w="1418" w:type="dxa"/>
            <w:noWrap w:val="0"/>
            <w:vAlign w:val="center"/>
          </w:tcPr>
          <w:p w14:paraId="72B318C9">
            <w:pPr>
              <w:pStyle w:val="6"/>
              <w:keepNext/>
              <w:spacing w:after="0" w:line="440" w:lineRule="exact"/>
              <w:ind w:left="63" w:right="63"/>
              <w:jc w:val="center"/>
              <w:rPr>
                <w:rFonts w:ascii="宋体" w:hAnsi="宋体"/>
                <w:szCs w:val="21"/>
              </w:rPr>
            </w:pPr>
          </w:p>
        </w:tc>
        <w:tc>
          <w:tcPr>
            <w:tcW w:w="1134" w:type="dxa"/>
            <w:noWrap w:val="0"/>
            <w:vAlign w:val="center"/>
          </w:tcPr>
          <w:p w14:paraId="72E6D7F8">
            <w:pPr>
              <w:pStyle w:val="6"/>
              <w:keepNext/>
              <w:spacing w:after="0" w:line="440" w:lineRule="exact"/>
              <w:ind w:left="63" w:right="63"/>
              <w:jc w:val="center"/>
              <w:rPr>
                <w:rFonts w:ascii="宋体" w:hAnsi="宋体"/>
                <w:szCs w:val="21"/>
              </w:rPr>
            </w:pPr>
          </w:p>
        </w:tc>
        <w:tc>
          <w:tcPr>
            <w:tcW w:w="1134" w:type="dxa"/>
            <w:noWrap w:val="0"/>
            <w:vAlign w:val="center"/>
          </w:tcPr>
          <w:p w14:paraId="55898F1E">
            <w:pPr>
              <w:pStyle w:val="6"/>
              <w:keepNext/>
              <w:spacing w:after="0" w:line="440" w:lineRule="exact"/>
              <w:ind w:left="63" w:right="63"/>
              <w:jc w:val="center"/>
              <w:rPr>
                <w:rFonts w:ascii="宋体" w:hAnsi="宋体"/>
                <w:szCs w:val="21"/>
              </w:rPr>
            </w:pPr>
          </w:p>
        </w:tc>
        <w:tc>
          <w:tcPr>
            <w:tcW w:w="4252" w:type="dxa"/>
            <w:noWrap w:val="0"/>
            <w:vAlign w:val="center"/>
          </w:tcPr>
          <w:p w14:paraId="53D44B9A">
            <w:pPr>
              <w:pStyle w:val="6"/>
              <w:keepNext/>
              <w:spacing w:after="0" w:line="440" w:lineRule="exact"/>
              <w:ind w:left="63" w:right="63"/>
              <w:jc w:val="center"/>
              <w:rPr>
                <w:rFonts w:ascii="宋体" w:hAnsi="宋体"/>
                <w:szCs w:val="21"/>
              </w:rPr>
            </w:pPr>
          </w:p>
        </w:tc>
      </w:tr>
      <w:tr w14:paraId="1D21C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C3C9115">
            <w:pPr>
              <w:pStyle w:val="6"/>
              <w:keepNext/>
              <w:spacing w:after="0" w:line="440" w:lineRule="exact"/>
              <w:ind w:left="63" w:right="63"/>
              <w:jc w:val="center"/>
              <w:rPr>
                <w:rFonts w:ascii="宋体" w:hAnsi="宋体"/>
                <w:szCs w:val="21"/>
              </w:rPr>
            </w:pPr>
          </w:p>
        </w:tc>
        <w:tc>
          <w:tcPr>
            <w:tcW w:w="1418" w:type="dxa"/>
            <w:tcBorders>
              <w:bottom w:val="nil"/>
            </w:tcBorders>
            <w:noWrap w:val="0"/>
            <w:vAlign w:val="center"/>
          </w:tcPr>
          <w:p w14:paraId="21CA61BA">
            <w:pPr>
              <w:pStyle w:val="6"/>
              <w:keepNext/>
              <w:spacing w:after="0" w:line="440" w:lineRule="exact"/>
              <w:ind w:left="63" w:right="63"/>
              <w:jc w:val="center"/>
              <w:rPr>
                <w:rFonts w:ascii="宋体" w:hAnsi="宋体"/>
                <w:szCs w:val="21"/>
              </w:rPr>
            </w:pPr>
          </w:p>
        </w:tc>
        <w:tc>
          <w:tcPr>
            <w:tcW w:w="1134" w:type="dxa"/>
            <w:tcBorders>
              <w:bottom w:val="nil"/>
            </w:tcBorders>
            <w:noWrap w:val="0"/>
            <w:vAlign w:val="center"/>
          </w:tcPr>
          <w:p w14:paraId="598A1254">
            <w:pPr>
              <w:pStyle w:val="6"/>
              <w:keepNext/>
              <w:spacing w:after="0" w:line="440" w:lineRule="exact"/>
              <w:ind w:left="63" w:right="63"/>
              <w:jc w:val="center"/>
              <w:rPr>
                <w:rFonts w:ascii="宋体" w:hAnsi="宋体"/>
                <w:szCs w:val="21"/>
              </w:rPr>
            </w:pPr>
          </w:p>
        </w:tc>
        <w:tc>
          <w:tcPr>
            <w:tcW w:w="1134" w:type="dxa"/>
            <w:tcBorders>
              <w:bottom w:val="nil"/>
            </w:tcBorders>
            <w:noWrap w:val="0"/>
            <w:vAlign w:val="center"/>
          </w:tcPr>
          <w:p w14:paraId="30501374">
            <w:pPr>
              <w:pStyle w:val="6"/>
              <w:keepNext/>
              <w:spacing w:after="0" w:line="440" w:lineRule="exact"/>
              <w:ind w:left="63" w:right="63"/>
              <w:jc w:val="center"/>
              <w:rPr>
                <w:rFonts w:ascii="宋体" w:hAnsi="宋体"/>
                <w:szCs w:val="21"/>
              </w:rPr>
            </w:pPr>
          </w:p>
        </w:tc>
        <w:tc>
          <w:tcPr>
            <w:tcW w:w="4252" w:type="dxa"/>
            <w:tcBorders>
              <w:bottom w:val="nil"/>
            </w:tcBorders>
            <w:noWrap w:val="0"/>
            <w:vAlign w:val="center"/>
          </w:tcPr>
          <w:p w14:paraId="6FAB74B0">
            <w:pPr>
              <w:pStyle w:val="6"/>
              <w:keepNext/>
              <w:spacing w:after="0" w:line="440" w:lineRule="exact"/>
              <w:ind w:left="63" w:right="63"/>
              <w:jc w:val="center"/>
              <w:rPr>
                <w:rFonts w:ascii="宋体" w:hAnsi="宋体"/>
                <w:szCs w:val="21"/>
              </w:rPr>
            </w:pPr>
          </w:p>
        </w:tc>
      </w:tr>
      <w:tr w14:paraId="4BB32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EA8F493">
            <w:pPr>
              <w:pStyle w:val="6"/>
              <w:keepNext/>
              <w:spacing w:after="0" w:line="440" w:lineRule="exact"/>
              <w:ind w:left="63" w:right="63"/>
              <w:jc w:val="center"/>
              <w:rPr>
                <w:rFonts w:ascii="宋体" w:hAnsi="宋体"/>
                <w:szCs w:val="21"/>
              </w:rPr>
            </w:pPr>
          </w:p>
        </w:tc>
        <w:tc>
          <w:tcPr>
            <w:tcW w:w="1418" w:type="dxa"/>
            <w:noWrap w:val="0"/>
            <w:vAlign w:val="center"/>
          </w:tcPr>
          <w:p w14:paraId="410928CC">
            <w:pPr>
              <w:pStyle w:val="6"/>
              <w:keepNext/>
              <w:spacing w:after="0" w:line="440" w:lineRule="exact"/>
              <w:ind w:left="63" w:right="63"/>
              <w:jc w:val="center"/>
              <w:rPr>
                <w:rFonts w:ascii="宋体" w:hAnsi="宋体"/>
                <w:szCs w:val="21"/>
              </w:rPr>
            </w:pPr>
          </w:p>
        </w:tc>
        <w:tc>
          <w:tcPr>
            <w:tcW w:w="1134" w:type="dxa"/>
            <w:noWrap w:val="0"/>
            <w:vAlign w:val="center"/>
          </w:tcPr>
          <w:p w14:paraId="07E8A439">
            <w:pPr>
              <w:pStyle w:val="6"/>
              <w:keepNext/>
              <w:spacing w:after="0" w:line="440" w:lineRule="exact"/>
              <w:ind w:left="63" w:right="63"/>
              <w:jc w:val="center"/>
              <w:rPr>
                <w:rFonts w:ascii="宋体" w:hAnsi="宋体"/>
                <w:szCs w:val="21"/>
              </w:rPr>
            </w:pPr>
          </w:p>
        </w:tc>
        <w:tc>
          <w:tcPr>
            <w:tcW w:w="1134" w:type="dxa"/>
            <w:noWrap w:val="0"/>
            <w:vAlign w:val="center"/>
          </w:tcPr>
          <w:p w14:paraId="18A55AD6">
            <w:pPr>
              <w:pStyle w:val="6"/>
              <w:keepNext/>
              <w:spacing w:after="0" w:line="440" w:lineRule="exact"/>
              <w:ind w:left="63" w:right="63"/>
              <w:jc w:val="center"/>
              <w:rPr>
                <w:rFonts w:ascii="宋体" w:hAnsi="宋体"/>
                <w:szCs w:val="21"/>
              </w:rPr>
            </w:pPr>
          </w:p>
        </w:tc>
        <w:tc>
          <w:tcPr>
            <w:tcW w:w="4252" w:type="dxa"/>
            <w:noWrap w:val="0"/>
            <w:vAlign w:val="center"/>
          </w:tcPr>
          <w:p w14:paraId="17348E6D">
            <w:pPr>
              <w:pStyle w:val="6"/>
              <w:keepNext/>
              <w:spacing w:after="0" w:line="440" w:lineRule="exact"/>
              <w:ind w:left="63" w:right="63"/>
              <w:jc w:val="center"/>
              <w:rPr>
                <w:rFonts w:ascii="宋体" w:hAnsi="宋体"/>
                <w:szCs w:val="21"/>
              </w:rPr>
            </w:pPr>
          </w:p>
        </w:tc>
      </w:tr>
      <w:tr w14:paraId="257494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7D90939">
            <w:pPr>
              <w:pStyle w:val="6"/>
              <w:keepNext/>
              <w:spacing w:after="0" w:line="440" w:lineRule="exact"/>
              <w:ind w:left="63" w:right="63"/>
              <w:jc w:val="center"/>
              <w:rPr>
                <w:rFonts w:ascii="宋体" w:hAnsi="宋体"/>
                <w:szCs w:val="21"/>
              </w:rPr>
            </w:pPr>
          </w:p>
        </w:tc>
        <w:tc>
          <w:tcPr>
            <w:tcW w:w="1418" w:type="dxa"/>
            <w:noWrap w:val="0"/>
            <w:vAlign w:val="center"/>
          </w:tcPr>
          <w:p w14:paraId="40ACCD89">
            <w:pPr>
              <w:pStyle w:val="6"/>
              <w:keepNext/>
              <w:spacing w:after="0" w:line="440" w:lineRule="exact"/>
              <w:ind w:left="63" w:right="63"/>
              <w:jc w:val="center"/>
              <w:rPr>
                <w:rFonts w:ascii="宋体" w:hAnsi="宋体"/>
                <w:szCs w:val="21"/>
              </w:rPr>
            </w:pPr>
          </w:p>
        </w:tc>
        <w:tc>
          <w:tcPr>
            <w:tcW w:w="1134" w:type="dxa"/>
            <w:noWrap w:val="0"/>
            <w:vAlign w:val="center"/>
          </w:tcPr>
          <w:p w14:paraId="6AAAD54B">
            <w:pPr>
              <w:pStyle w:val="6"/>
              <w:keepNext/>
              <w:spacing w:after="0" w:line="440" w:lineRule="exact"/>
              <w:ind w:left="63" w:right="63"/>
              <w:jc w:val="center"/>
              <w:rPr>
                <w:rFonts w:ascii="宋体" w:hAnsi="宋体"/>
                <w:szCs w:val="21"/>
              </w:rPr>
            </w:pPr>
          </w:p>
        </w:tc>
        <w:tc>
          <w:tcPr>
            <w:tcW w:w="1134" w:type="dxa"/>
            <w:noWrap w:val="0"/>
            <w:vAlign w:val="center"/>
          </w:tcPr>
          <w:p w14:paraId="349F357F">
            <w:pPr>
              <w:pStyle w:val="6"/>
              <w:keepNext/>
              <w:spacing w:after="0" w:line="440" w:lineRule="exact"/>
              <w:ind w:left="63" w:right="63"/>
              <w:jc w:val="center"/>
              <w:rPr>
                <w:rFonts w:ascii="宋体" w:hAnsi="宋体"/>
                <w:szCs w:val="21"/>
              </w:rPr>
            </w:pPr>
          </w:p>
        </w:tc>
        <w:tc>
          <w:tcPr>
            <w:tcW w:w="4252" w:type="dxa"/>
            <w:noWrap w:val="0"/>
            <w:vAlign w:val="center"/>
          </w:tcPr>
          <w:p w14:paraId="5A0F6046">
            <w:pPr>
              <w:pStyle w:val="6"/>
              <w:keepNext/>
              <w:spacing w:after="0" w:line="440" w:lineRule="exact"/>
              <w:ind w:left="63" w:right="63"/>
              <w:jc w:val="center"/>
              <w:rPr>
                <w:rFonts w:ascii="宋体" w:hAnsi="宋体"/>
                <w:szCs w:val="21"/>
              </w:rPr>
            </w:pPr>
          </w:p>
        </w:tc>
      </w:tr>
      <w:tr w14:paraId="563EA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B7CF7C9">
            <w:pPr>
              <w:pStyle w:val="6"/>
              <w:keepNext/>
              <w:spacing w:after="0" w:line="440" w:lineRule="exact"/>
              <w:ind w:left="63" w:right="63"/>
              <w:jc w:val="center"/>
              <w:rPr>
                <w:rFonts w:ascii="宋体" w:hAnsi="宋体"/>
                <w:szCs w:val="21"/>
              </w:rPr>
            </w:pPr>
          </w:p>
        </w:tc>
        <w:tc>
          <w:tcPr>
            <w:tcW w:w="1418" w:type="dxa"/>
            <w:noWrap w:val="0"/>
            <w:vAlign w:val="center"/>
          </w:tcPr>
          <w:p w14:paraId="2B54A845">
            <w:pPr>
              <w:pStyle w:val="6"/>
              <w:keepNext/>
              <w:spacing w:after="0" w:line="440" w:lineRule="exact"/>
              <w:ind w:left="63" w:right="63"/>
              <w:jc w:val="center"/>
              <w:rPr>
                <w:rFonts w:ascii="宋体" w:hAnsi="宋体"/>
                <w:szCs w:val="21"/>
              </w:rPr>
            </w:pPr>
          </w:p>
        </w:tc>
        <w:tc>
          <w:tcPr>
            <w:tcW w:w="1134" w:type="dxa"/>
            <w:noWrap w:val="0"/>
            <w:vAlign w:val="center"/>
          </w:tcPr>
          <w:p w14:paraId="7312338F">
            <w:pPr>
              <w:pStyle w:val="6"/>
              <w:keepNext/>
              <w:spacing w:after="0" w:line="440" w:lineRule="exact"/>
              <w:ind w:left="63" w:right="63"/>
              <w:jc w:val="center"/>
              <w:rPr>
                <w:rFonts w:ascii="宋体" w:hAnsi="宋体"/>
                <w:szCs w:val="21"/>
              </w:rPr>
            </w:pPr>
          </w:p>
        </w:tc>
        <w:tc>
          <w:tcPr>
            <w:tcW w:w="1134" w:type="dxa"/>
            <w:noWrap w:val="0"/>
            <w:vAlign w:val="center"/>
          </w:tcPr>
          <w:p w14:paraId="6A5061BA">
            <w:pPr>
              <w:pStyle w:val="6"/>
              <w:keepNext/>
              <w:spacing w:after="0" w:line="440" w:lineRule="exact"/>
              <w:ind w:left="63" w:right="63"/>
              <w:jc w:val="center"/>
              <w:rPr>
                <w:rFonts w:ascii="宋体" w:hAnsi="宋体"/>
                <w:szCs w:val="21"/>
              </w:rPr>
            </w:pPr>
          </w:p>
        </w:tc>
        <w:tc>
          <w:tcPr>
            <w:tcW w:w="4252" w:type="dxa"/>
            <w:noWrap w:val="0"/>
            <w:vAlign w:val="center"/>
          </w:tcPr>
          <w:p w14:paraId="2C53BFB4">
            <w:pPr>
              <w:pStyle w:val="6"/>
              <w:keepNext/>
              <w:spacing w:after="0" w:line="440" w:lineRule="exact"/>
              <w:ind w:left="63" w:right="63"/>
              <w:jc w:val="center"/>
              <w:rPr>
                <w:rFonts w:ascii="宋体" w:hAnsi="宋体"/>
                <w:szCs w:val="21"/>
              </w:rPr>
            </w:pPr>
          </w:p>
        </w:tc>
      </w:tr>
      <w:tr w14:paraId="369D3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304E2B3">
            <w:pPr>
              <w:pStyle w:val="6"/>
              <w:keepNext/>
              <w:spacing w:after="0" w:line="440" w:lineRule="exact"/>
              <w:ind w:left="63" w:right="63"/>
              <w:jc w:val="center"/>
              <w:rPr>
                <w:rFonts w:ascii="宋体" w:hAnsi="宋体"/>
                <w:szCs w:val="21"/>
              </w:rPr>
            </w:pPr>
          </w:p>
        </w:tc>
        <w:tc>
          <w:tcPr>
            <w:tcW w:w="1418" w:type="dxa"/>
            <w:tcBorders>
              <w:bottom w:val="single" w:color="auto" w:sz="12" w:space="0"/>
            </w:tcBorders>
            <w:noWrap w:val="0"/>
            <w:vAlign w:val="center"/>
          </w:tcPr>
          <w:p w14:paraId="66DD7D88">
            <w:pPr>
              <w:pStyle w:val="6"/>
              <w:keepNext/>
              <w:spacing w:after="0" w:line="440" w:lineRule="exact"/>
              <w:ind w:left="63" w:right="63"/>
              <w:jc w:val="center"/>
              <w:rPr>
                <w:rFonts w:ascii="宋体" w:hAnsi="宋体"/>
                <w:szCs w:val="21"/>
              </w:rPr>
            </w:pPr>
          </w:p>
        </w:tc>
        <w:tc>
          <w:tcPr>
            <w:tcW w:w="1134" w:type="dxa"/>
            <w:tcBorders>
              <w:bottom w:val="single" w:color="auto" w:sz="12" w:space="0"/>
            </w:tcBorders>
            <w:noWrap w:val="0"/>
            <w:vAlign w:val="center"/>
          </w:tcPr>
          <w:p w14:paraId="2B3ABE1D">
            <w:pPr>
              <w:pStyle w:val="6"/>
              <w:keepNext/>
              <w:spacing w:after="0" w:line="440" w:lineRule="exact"/>
              <w:ind w:left="63" w:right="63"/>
              <w:jc w:val="center"/>
              <w:rPr>
                <w:rFonts w:ascii="宋体" w:hAnsi="宋体"/>
                <w:szCs w:val="21"/>
              </w:rPr>
            </w:pPr>
          </w:p>
        </w:tc>
        <w:tc>
          <w:tcPr>
            <w:tcW w:w="1134" w:type="dxa"/>
            <w:tcBorders>
              <w:bottom w:val="single" w:color="auto" w:sz="12" w:space="0"/>
            </w:tcBorders>
            <w:noWrap w:val="0"/>
            <w:vAlign w:val="center"/>
          </w:tcPr>
          <w:p w14:paraId="6C9A1A6D">
            <w:pPr>
              <w:pStyle w:val="6"/>
              <w:keepNext/>
              <w:spacing w:after="0" w:line="440" w:lineRule="exact"/>
              <w:ind w:left="63" w:right="63"/>
              <w:jc w:val="center"/>
              <w:rPr>
                <w:rFonts w:ascii="宋体" w:hAnsi="宋体"/>
                <w:szCs w:val="21"/>
              </w:rPr>
            </w:pPr>
          </w:p>
        </w:tc>
        <w:tc>
          <w:tcPr>
            <w:tcW w:w="4252" w:type="dxa"/>
            <w:tcBorders>
              <w:bottom w:val="single" w:color="auto" w:sz="12" w:space="0"/>
            </w:tcBorders>
            <w:noWrap w:val="0"/>
            <w:vAlign w:val="center"/>
          </w:tcPr>
          <w:p w14:paraId="7DA4E03C">
            <w:pPr>
              <w:pStyle w:val="6"/>
              <w:keepNext/>
              <w:spacing w:after="0" w:line="440" w:lineRule="exact"/>
              <w:ind w:left="63" w:right="63"/>
              <w:jc w:val="center"/>
              <w:rPr>
                <w:rFonts w:ascii="宋体" w:hAnsi="宋体"/>
                <w:szCs w:val="21"/>
              </w:rPr>
            </w:pPr>
          </w:p>
        </w:tc>
      </w:tr>
    </w:tbl>
    <w:p w14:paraId="2737F87E">
      <w:pPr>
        <w:spacing w:before="120" w:beforeLines="50" w:after="120" w:afterLines="50" w:line="440" w:lineRule="exact"/>
        <w:jc w:val="left"/>
        <w:rPr>
          <w:rFonts w:eastAsia="黑体"/>
          <w:sz w:val="30"/>
          <w:szCs w:val="30"/>
        </w:rPr>
      </w:pPr>
      <w:r>
        <w:rPr>
          <w:rFonts w:eastAsia="仿宋_GB2312"/>
          <w:sz w:val="30"/>
          <w:szCs w:val="30"/>
        </w:rPr>
        <w:br w:type="page"/>
      </w:r>
      <w:bookmarkStart w:id="2559" w:name="_Toc267261701"/>
      <w:r>
        <w:rPr>
          <w:rFonts w:ascii="宋体" w:hAnsi="宋体"/>
          <w:sz w:val="24"/>
        </w:rPr>
        <w:t>附</w:t>
      </w:r>
      <w:bookmarkStart w:id="2560" w:name="_Toc296944570"/>
      <w:bookmarkStart w:id="2561" w:name="_Toc296347230"/>
      <w:bookmarkStart w:id="2562" w:name="_Toc296891059"/>
      <w:bookmarkStart w:id="2563" w:name="_Toc296891271"/>
      <w:bookmarkStart w:id="2564" w:name="_Toc296503231"/>
      <w:bookmarkStart w:id="2565" w:name="_Toc296346732"/>
      <w:r>
        <w:rPr>
          <w:rFonts w:ascii="宋体" w:hAnsi="宋体"/>
          <w:sz w:val="24"/>
        </w:rPr>
        <w:t>件8：</w:t>
      </w:r>
    </w:p>
    <w:bookmarkEnd w:id="2559"/>
    <w:bookmarkEnd w:id="2560"/>
    <w:bookmarkEnd w:id="2561"/>
    <w:bookmarkEnd w:id="2562"/>
    <w:bookmarkEnd w:id="2563"/>
    <w:bookmarkEnd w:id="2564"/>
    <w:bookmarkEnd w:id="2565"/>
    <w:p w14:paraId="5D173DD1">
      <w:pPr>
        <w:spacing w:before="120" w:beforeLines="50" w:after="120" w:afterLines="50" w:line="440" w:lineRule="exact"/>
        <w:jc w:val="center"/>
        <w:rPr>
          <w:rFonts w:eastAsia="黑体"/>
          <w:sz w:val="28"/>
          <w:szCs w:val="28"/>
        </w:rPr>
      </w:pPr>
      <w:r>
        <w:rPr>
          <w:rFonts w:eastAsia="黑体"/>
          <w:sz w:val="28"/>
          <w:szCs w:val="28"/>
        </w:rPr>
        <w:t>履约担保</w:t>
      </w:r>
    </w:p>
    <w:p w14:paraId="69FBEDD0">
      <w:pPr>
        <w:spacing w:line="440" w:lineRule="exact"/>
        <w:rPr>
          <w:rFonts w:hint="eastAsia" w:ascii="宋体" w:hAnsi="宋体"/>
          <w:szCs w:val="21"/>
          <w:u w:val="single"/>
        </w:rPr>
      </w:pPr>
    </w:p>
    <w:p w14:paraId="593E4B3F">
      <w:pPr>
        <w:spacing w:line="440" w:lineRule="exact"/>
        <w:rPr>
          <w:rFonts w:ascii="宋体" w:hAnsi="宋体"/>
          <w:szCs w:val="21"/>
        </w:rPr>
      </w:pPr>
      <w:r>
        <w:rPr>
          <w:rFonts w:ascii="宋体" w:hAnsi="宋体"/>
          <w:szCs w:val="21"/>
          <w:u w:val="single"/>
        </w:rPr>
        <w:t xml:space="preserve">             </w:t>
      </w:r>
      <w:r>
        <w:rPr>
          <w:rFonts w:ascii="宋体" w:hAnsi="宋体"/>
          <w:szCs w:val="21"/>
          <w:u w:val="single"/>
        </w:rPr>
        <w:tab/>
      </w:r>
      <w:r>
        <w:rPr>
          <w:rFonts w:ascii="宋体" w:hAnsi="宋体"/>
          <w:szCs w:val="21"/>
        </w:rPr>
        <w:t>（发包人名称）：</w:t>
      </w:r>
    </w:p>
    <w:p w14:paraId="1F216314">
      <w:pPr>
        <w:spacing w:line="440" w:lineRule="exact"/>
        <w:rPr>
          <w:rFonts w:ascii="宋体" w:hAnsi="宋体"/>
          <w:szCs w:val="21"/>
        </w:rPr>
      </w:pPr>
    </w:p>
    <w:p w14:paraId="69360884">
      <w:pPr>
        <w:spacing w:line="360" w:lineRule="auto"/>
        <w:ind w:firstLine="420" w:firstLineChars="200"/>
        <w:rPr>
          <w:rFonts w:ascii="宋体" w:hAnsi="宋体"/>
          <w:szCs w:val="21"/>
        </w:rPr>
      </w:pPr>
      <w:r>
        <w:rPr>
          <w:rFonts w:ascii="宋体" w:hAnsi="宋体"/>
          <w:szCs w:val="21"/>
        </w:rPr>
        <w:t>鉴于</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（发包人名称，以下简称“发包人”）与</w:t>
      </w:r>
      <w:r>
        <w:rPr>
          <w:rFonts w:ascii="宋体" w:hAnsi="宋体"/>
          <w:szCs w:val="21"/>
          <w:u w:val="single"/>
        </w:rPr>
        <w:t xml:space="preserve">                 </w:t>
      </w:r>
      <w:r>
        <w:rPr>
          <w:rFonts w:ascii="宋体" w:hAnsi="宋体"/>
          <w:szCs w:val="21"/>
        </w:rPr>
        <w:t>（承包人名称）（以下称“承包人”）于</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日就</w:t>
      </w:r>
      <w:r>
        <w:rPr>
          <w:rFonts w:ascii="宋体" w:hAnsi="宋体"/>
          <w:szCs w:val="21"/>
          <w:u w:val="single"/>
        </w:rPr>
        <w:t xml:space="preserve">                      </w:t>
      </w:r>
      <w:r>
        <w:rPr>
          <w:rFonts w:ascii="宋体" w:hAnsi="宋体"/>
          <w:szCs w:val="21"/>
        </w:rPr>
        <w:t xml:space="preserve">（工程名称）施工及有关事项协商一致共同签订《建设工程施工合同》。我方愿意无条件地、不可撤销地就承包人履行与你方签订的合同，向你方提供连带责任担保。 </w:t>
      </w:r>
    </w:p>
    <w:p w14:paraId="257DC5FC">
      <w:pPr>
        <w:spacing w:line="360" w:lineRule="auto"/>
        <w:ind w:firstLine="420" w:firstLineChars="200"/>
        <w:rPr>
          <w:rFonts w:ascii="宋体" w:hAnsi="宋体"/>
          <w:szCs w:val="21"/>
        </w:rPr>
      </w:pPr>
      <w:r>
        <w:rPr>
          <w:rFonts w:ascii="宋体" w:hAnsi="宋体"/>
          <w:szCs w:val="21"/>
        </w:rPr>
        <w:t>1. 担保金额人民币（大写）</w:t>
      </w:r>
      <w:r>
        <w:rPr>
          <w:rFonts w:ascii="宋体" w:hAnsi="宋体"/>
          <w:szCs w:val="21"/>
          <w:u w:val="single"/>
        </w:rPr>
        <w:t xml:space="preserve">                 </w:t>
      </w:r>
      <w:r>
        <w:rPr>
          <w:rFonts w:ascii="宋体" w:hAnsi="宋体"/>
          <w:szCs w:val="21"/>
        </w:rPr>
        <w:t>元（¥</w:t>
      </w:r>
      <w:r>
        <w:rPr>
          <w:rFonts w:ascii="宋体" w:hAnsi="宋体"/>
          <w:szCs w:val="21"/>
          <w:u w:val="single"/>
        </w:rPr>
        <w:t xml:space="preserve">             </w:t>
      </w:r>
      <w:r>
        <w:rPr>
          <w:rFonts w:ascii="宋体" w:hAnsi="宋体"/>
          <w:szCs w:val="21"/>
        </w:rPr>
        <w:t>）。</w:t>
      </w:r>
    </w:p>
    <w:p w14:paraId="0E93A068">
      <w:pPr>
        <w:spacing w:line="360" w:lineRule="auto"/>
        <w:ind w:firstLine="420" w:firstLineChars="200"/>
        <w:rPr>
          <w:rFonts w:ascii="宋体" w:hAnsi="宋体"/>
          <w:szCs w:val="21"/>
        </w:rPr>
      </w:pPr>
      <w:r>
        <w:rPr>
          <w:rFonts w:ascii="宋体" w:hAnsi="宋体"/>
          <w:szCs w:val="21"/>
        </w:rPr>
        <w:t>2. 担保有效期自你方与承包人签订的合同生效之日起至你方签发或应签发工程接收证书之日止。</w:t>
      </w:r>
    </w:p>
    <w:p w14:paraId="5C778BCB">
      <w:pPr>
        <w:spacing w:line="360" w:lineRule="auto"/>
        <w:ind w:firstLine="420" w:firstLineChars="200"/>
        <w:rPr>
          <w:rFonts w:ascii="宋体" w:hAnsi="宋体"/>
          <w:szCs w:val="21"/>
        </w:rPr>
      </w:pPr>
      <w:r>
        <w:rPr>
          <w:rFonts w:ascii="宋体" w:hAnsi="宋体"/>
          <w:szCs w:val="21"/>
        </w:rPr>
        <w:t>3. 在本担保有效期内，因承包人违反合同约定的义务给你方造成经济损失时，我方在收到你方以书面形式提出的在担保金额内的赔偿要求后，在7天内无条件支付。</w:t>
      </w:r>
    </w:p>
    <w:p w14:paraId="111B7A5F">
      <w:pPr>
        <w:spacing w:line="360" w:lineRule="auto"/>
        <w:ind w:firstLine="420" w:firstLineChars="200"/>
        <w:rPr>
          <w:rFonts w:ascii="宋体" w:hAnsi="宋体"/>
          <w:szCs w:val="21"/>
        </w:rPr>
      </w:pPr>
      <w:r>
        <w:rPr>
          <w:rFonts w:ascii="宋体" w:hAnsi="宋体"/>
          <w:szCs w:val="21"/>
        </w:rPr>
        <w:t>4. 你方和承包人按合同约定变更合同时，我方承担本担保规定的义务不变。</w:t>
      </w:r>
    </w:p>
    <w:p w14:paraId="4D6C2D03">
      <w:pPr>
        <w:spacing w:line="360" w:lineRule="auto"/>
        <w:ind w:firstLine="420" w:firstLineChars="200"/>
        <w:rPr>
          <w:rFonts w:ascii="宋体" w:hAnsi="宋体"/>
          <w:szCs w:val="21"/>
        </w:rPr>
      </w:pPr>
      <w:r>
        <w:rPr>
          <w:rFonts w:ascii="宋体" w:hAnsi="宋体"/>
          <w:szCs w:val="21"/>
        </w:rPr>
        <w:t>5. 因本保函发生的纠纷，可由双方协商解决，协商不成的，任何一方均可提请</w:t>
      </w:r>
      <w:r>
        <w:rPr>
          <w:rFonts w:ascii="宋体" w:hAnsi="宋体"/>
          <w:szCs w:val="21"/>
          <w:u w:val="single"/>
        </w:rPr>
        <w:t xml:space="preserve">        </w:t>
      </w:r>
      <w:r>
        <w:rPr>
          <w:rFonts w:ascii="宋体" w:hAnsi="宋体"/>
          <w:szCs w:val="21"/>
        </w:rPr>
        <w:t>仲裁委员会仲裁。</w:t>
      </w:r>
    </w:p>
    <w:p w14:paraId="44AB3DCA">
      <w:pPr>
        <w:spacing w:line="360" w:lineRule="auto"/>
        <w:ind w:firstLine="420" w:firstLineChars="200"/>
        <w:rPr>
          <w:rFonts w:hint="eastAsia" w:ascii="宋体" w:hAnsi="宋体"/>
          <w:szCs w:val="21"/>
        </w:rPr>
      </w:pPr>
      <w:r>
        <w:rPr>
          <w:rFonts w:ascii="宋体" w:hAnsi="宋体"/>
          <w:szCs w:val="21"/>
        </w:rPr>
        <w:t>6. 本保函自我方法定代表人（或其授权代理人）签字并加盖公章之日起生效。</w:t>
      </w:r>
    </w:p>
    <w:p w14:paraId="389FB518">
      <w:pPr>
        <w:spacing w:line="360" w:lineRule="auto"/>
        <w:rPr>
          <w:rFonts w:hint="eastAsia" w:ascii="宋体" w:hAnsi="宋体"/>
          <w:szCs w:val="21"/>
        </w:rPr>
      </w:pPr>
    </w:p>
    <w:p w14:paraId="29C28A44">
      <w:pPr>
        <w:spacing w:line="360" w:lineRule="auto"/>
        <w:ind w:firstLine="2835" w:firstLineChars="1350"/>
        <w:rPr>
          <w:rFonts w:hint="eastAsia" w:ascii="宋体" w:hAnsi="宋体"/>
          <w:szCs w:val="21"/>
        </w:rPr>
      </w:pPr>
    </w:p>
    <w:p w14:paraId="08564D02">
      <w:pPr>
        <w:spacing w:line="360" w:lineRule="auto"/>
        <w:ind w:firstLine="2835" w:firstLineChars="1350"/>
        <w:rPr>
          <w:rFonts w:hint="eastAsia" w:ascii="宋体" w:hAnsi="宋体"/>
          <w:szCs w:val="21"/>
        </w:rPr>
      </w:pPr>
    </w:p>
    <w:p w14:paraId="41742D92">
      <w:pPr>
        <w:spacing w:line="360" w:lineRule="auto"/>
        <w:ind w:firstLine="2835" w:firstLineChars="1350"/>
        <w:rPr>
          <w:rFonts w:ascii="宋体" w:hAnsi="宋体"/>
          <w:szCs w:val="21"/>
        </w:rPr>
      </w:pPr>
      <w:r>
        <w:rPr>
          <w:rFonts w:ascii="宋体" w:hAnsi="宋体"/>
          <w:szCs w:val="21"/>
        </w:rPr>
        <w:t>担 保 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（盖单位章）</w:t>
      </w:r>
    </w:p>
    <w:p w14:paraId="6FB148D8">
      <w:pPr>
        <w:spacing w:line="360" w:lineRule="auto"/>
        <w:ind w:firstLine="2835" w:firstLineChars="1350"/>
        <w:rPr>
          <w:rFonts w:ascii="宋体" w:hAnsi="宋体"/>
          <w:szCs w:val="21"/>
        </w:rPr>
      </w:pPr>
      <w:r>
        <w:rPr>
          <w:rFonts w:ascii="宋体" w:hAnsi="宋体"/>
          <w:szCs w:val="21"/>
        </w:rPr>
        <w:t>法定代表人或其委托代理人：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（签字）</w:t>
      </w:r>
    </w:p>
    <w:p w14:paraId="1F4038E5">
      <w:pPr>
        <w:spacing w:line="360" w:lineRule="auto"/>
        <w:ind w:firstLine="2835" w:firstLineChars="1350"/>
        <w:rPr>
          <w:rFonts w:ascii="宋体" w:hAnsi="宋体"/>
          <w:szCs w:val="21"/>
        </w:rPr>
      </w:pPr>
      <w:r>
        <w:rPr>
          <w:rFonts w:ascii="宋体" w:hAnsi="宋体"/>
          <w:szCs w:val="21"/>
        </w:rPr>
        <w:t>地    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2CAC43EF">
      <w:pPr>
        <w:spacing w:line="360" w:lineRule="auto"/>
        <w:ind w:firstLine="2835" w:firstLineChars="1350"/>
        <w:rPr>
          <w:rFonts w:ascii="宋体" w:hAnsi="宋体"/>
          <w:szCs w:val="21"/>
        </w:rPr>
      </w:pPr>
      <w:r>
        <w:rPr>
          <w:rFonts w:ascii="宋体" w:hAnsi="宋体"/>
          <w:szCs w:val="21"/>
        </w:rPr>
        <w:t>邮政编码：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32C2D2C8">
      <w:pPr>
        <w:spacing w:line="360" w:lineRule="auto"/>
        <w:ind w:firstLine="2835" w:firstLineChars="1350"/>
        <w:rPr>
          <w:rFonts w:ascii="宋体" w:hAnsi="宋体"/>
          <w:szCs w:val="21"/>
          <w:u w:val="single"/>
        </w:rPr>
      </w:pPr>
      <w:r>
        <w:rPr>
          <w:rFonts w:ascii="宋体" w:hAnsi="宋体"/>
          <w:szCs w:val="21"/>
        </w:rPr>
        <w:t>电    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C7439A7">
      <w:pPr>
        <w:spacing w:line="360" w:lineRule="auto"/>
        <w:ind w:firstLine="2835" w:firstLineChars="1350"/>
        <w:rPr>
          <w:rFonts w:ascii="宋体" w:hAnsi="宋体"/>
          <w:szCs w:val="21"/>
        </w:rPr>
      </w:pPr>
      <w:r>
        <w:rPr>
          <w:rFonts w:ascii="宋体" w:hAnsi="宋体"/>
          <w:szCs w:val="21"/>
        </w:rPr>
        <w:t>传    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54237755">
      <w:pPr>
        <w:spacing w:line="360" w:lineRule="auto"/>
        <w:jc w:val="left"/>
        <w:rPr>
          <w:rFonts w:ascii="宋体" w:hAnsi="宋体"/>
          <w:szCs w:val="21"/>
          <w:u w:val="single"/>
        </w:rPr>
      </w:pPr>
    </w:p>
    <w:p w14:paraId="0A433D92">
      <w:pPr>
        <w:spacing w:line="360" w:lineRule="auto"/>
        <w:ind w:left="1329" w:hanging="1329" w:hangingChars="633"/>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507B73DF">
      <w:pPr>
        <w:spacing w:line="360" w:lineRule="auto"/>
        <w:ind w:left="1329" w:hanging="1329" w:hangingChars="633"/>
        <w:rPr>
          <w:rFonts w:ascii="宋体" w:hAnsi="宋体"/>
          <w:szCs w:val="21"/>
        </w:rPr>
      </w:pPr>
    </w:p>
    <w:p w14:paraId="7353C40C">
      <w:pPr>
        <w:spacing w:line="360" w:lineRule="auto"/>
        <w:ind w:left="1329" w:hanging="1329" w:hangingChars="633"/>
        <w:rPr>
          <w:rFonts w:ascii="宋体" w:hAnsi="宋体"/>
          <w:szCs w:val="21"/>
        </w:rPr>
      </w:pPr>
    </w:p>
    <w:p w14:paraId="3451544F">
      <w:pPr>
        <w:spacing w:line="360" w:lineRule="auto"/>
        <w:ind w:left="1899" w:hanging="1899" w:hangingChars="633"/>
        <w:rPr>
          <w:rFonts w:eastAsia="仿宋_GB2312"/>
          <w:sz w:val="30"/>
          <w:szCs w:val="30"/>
        </w:rPr>
      </w:pPr>
    </w:p>
    <w:p w14:paraId="4A1A9FE5">
      <w:pPr>
        <w:spacing w:before="120" w:beforeLines="50" w:after="120" w:afterLines="50" w:line="440" w:lineRule="exact"/>
        <w:jc w:val="left"/>
        <w:rPr>
          <w:rFonts w:ascii="宋体" w:hAnsi="宋体"/>
          <w:sz w:val="24"/>
        </w:rPr>
      </w:pPr>
      <w:r>
        <w:rPr>
          <w:rFonts w:ascii="宋体" w:hAnsi="宋体"/>
          <w:sz w:val="24"/>
        </w:rPr>
        <w:t>附</w:t>
      </w:r>
      <w:bookmarkStart w:id="2566" w:name="_Toc296891060"/>
      <w:bookmarkStart w:id="2567" w:name="_Toc296346733"/>
      <w:bookmarkStart w:id="2568" w:name="_Toc296347231"/>
      <w:bookmarkStart w:id="2569" w:name="_Toc296503232"/>
      <w:bookmarkStart w:id="2570" w:name="_Toc267261702"/>
      <w:bookmarkStart w:id="2571" w:name="_Toc296944571"/>
      <w:bookmarkStart w:id="2572" w:name="_Toc296891272"/>
      <w:r>
        <w:rPr>
          <w:rFonts w:ascii="宋体" w:hAnsi="宋体"/>
          <w:sz w:val="24"/>
        </w:rPr>
        <w:t>件9 ：</w:t>
      </w:r>
    </w:p>
    <w:bookmarkEnd w:id="2566"/>
    <w:bookmarkEnd w:id="2567"/>
    <w:bookmarkEnd w:id="2568"/>
    <w:bookmarkEnd w:id="2569"/>
    <w:bookmarkEnd w:id="2570"/>
    <w:bookmarkEnd w:id="2571"/>
    <w:bookmarkEnd w:id="2572"/>
    <w:p w14:paraId="6E55682A">
      <w:pPr>
        <w:spacing w:before="120" w:beforeLines="50" w:after="120" w:afterLines="50" w:line="440" w:lineRule="exact"/>
        <w:jc w:val="center"/>
        <w:rPr>
          <w:rFonts w:eastAsia="黑体"/>
          <w:sz w:val="28"/>
          <w:szCs w:val="28"/>
        </w:rPr>
      </w:pPr>
      <w:r>
        <w:rPr>
          <w:rFonts w:eastAsia="黑体"/>
          <w:sz w:val="28"/>
          <w:szCs w:val="28"/>
        </w:rPr>
        <w:t>预付款担保</w:t>
      </w:r>
    </w:p>
    <w:p w14:paraId="15A4E48F">
      <w:pPr>
        <w:spacing w:line="360" w:lineRule="auto"/>
        <w:rPr>
          <w:rFonts w:hint="eastAsia" w:ascii="宋体" w:hAnsi="宋体"/>
          <w:szCs w:val="21"/>
          <w:u w:val="single"/>
        </w:rPr>
      </w:pPr>
    </w:p>
    <w:p w14:paraId="11012B63">
      <w:pPr>
        <w:spacing w:line="360" w:lineRule="auto"/>
        <w:rPr>
          <w:rFonts w:ascii="宋体" w:hAnsi="宋体"/>
          <w:szCs w:val="21"/>
        </w:rPr>
      </w:pPr>
      <w:r>
        <w:rPr>
          <w:rFonts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rPr>
        <w:t xml:space="preserve"> （发包人名称）：</w:t>
      </w:r>
    </w:p>
    <w:p w14:paraId="488D51FA">
      <w:pPr>
        <w:spacing w:line="360" w:lineRule="auto"/>
        <w:rPr>
          <w:rFonts w:ascii="宋体" w:hAnsi="宋体"/>
          <w:szCs w:val="21"/>
        </w:rPr>
      </w:pPr>
    </w:p>
    <w:p w14:paraId="44D648E4">
      <w:pPr>
        <w:spacing w:line="360" w:lineRule="auto"/>
        <w:ind w:firstLine="420" w:firstLineChars="200"/>
        <w:rPr>
          <w:rFonts w:ascii="宋体" w:hAnsi="宋体"/>
          <w:szCs w:val="21"/>
        </w:rPr>
      </w:pPr>
      <w:r>
        <w:rPr>
          <w:rFonts w:ascii="宋体" w:hAnsi="宋体"/>
          <w:szCs w:val="21"/>
        </w:rPr>
        <w:t>根据</w:t>
      </w:r>
      <w:r>
        <w:rPr>
          <w:rFonts w:ascii="宋体" w:hAnsi="宋体"/>
          <w:szCs w:val="21"/>
          <w:u w:val="single"/>
        </w:rPr>
        <w:t xml:space="preserve">                 </w:t>
      </w:r>
      <w:r>
        <w:rPr>
          <w:rFonts w:ascii="宋体" w:hAnsi="宋体"/>
          <w:szCs w:val="21"/>
        </w:rPr>
        <w:t>（承包人名称）（以下称</w:t>
      </w:r>
      <w:r>
        <w:rPr>
          <w:rFonts w:hint="eastAsia" w:ascii="宋体" w:hAnsi="宋体"/>
          <w:szCs w:val="21"/>
        </w:rPr>
        <w:t>“</w:t>
      </w:r>
      <w:r>
        <w:rPr>
          <w:rFonts w:ascii="宋体" w:hAnsi="宋体"/>
          <w:szCs w:val="21"/>
        </w:rPr>
        <w:t>承包人</w:t>
      </w:r>
      <w:r>
        <w:rPr>
          <w:rFonts w:hint="eastAsia" w:ascii="宋体" w:hAnsi="宋体"/>
          <w:szCs w:val="21"/>
        </w:rPr>
        <w:t>”</w:t>
      </w:r>
      <w:r>
        <w:rPr>
          <w:rFonts w:ascii="宋体" w:hAnsi="宋体"/>
          <w:szCs w:val="21"/>
        </w:rPr>
        <w:t>）与</w:t>
      </w:r>
      <w:r>
        <w:rPr>
          <w:rFonts w:ascii="宋体" w:hAnsi="宋体"/>
          <w:szCs w:val="21"/>
          <w:u w:val="single"/>
        </w:rPr>
        <w:t xml:space="preserve">                        </w:t>
      </w:r>
      <w:r>
        <w:rPr>
          <w:rFonts w:ascii="宋体" w:hAnsi="宋体"/>
          <w:szCs w:val="21"/>
        </w:rPr>
        <w:t>（发包人名称）（以下简称</w:t>
      </w:r>
      <w:r>
        <w:rPr>
          <w:rFonts w:hint="eastAsia" w:ascii="宋体" w:hAnsi="宋体"/>
          <w:szCs w:val="21"/>
        </w:rPr>
        <w:t>“</w:t>
      </w:r>
      <w:r>
        <w:rPr>
          <w:rFonts w:ascii="宋体" w:hAnsi="宋体"/>
          <w:szCs w:val="21"/>
        </w:rPr>
        <w:t>发包人</w:t>
      </w:r>
      <w:r>
        <w:rPr>
          <w:rFonts w:hint="eastAsia" w:ascii="宋体" w:hAnsi="宋体"/>
          <w:szCs w:val="21"/>
        </w:rPr>
        <w:t>”</w:t>
      </w:r>
      <w:r>
        <w:rPr>
          <w:rFonts w:ascii="宋体" w:hAnsi="宋体"/>
          <w:szCs w:val="21"/>
        </w:rPr>
        <w:t>）于</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日签订的</w:t>
      </w:r>
      <w:r>
        <w:rPr>
          <w:rFonts w:ascii="宋体" w:hAnsi="宋体"/>
          <w:szCs w:val="21"/>
          <w:u w:val="single"/>
        </w:rPr>
        <w:t xml:space="preserve">                   </w:t>
      </w:r>
      <w:r>
        <w:rPr>
          <w:rFonts w:ascii="宋体" w:hAnsi="宋体"/>
          <w:szCs w:val="21"/>
        </w:rPr>
        <w:t>（工程名称）《建设工程施工合同》，承包人按约定的金额向</w:t>
      </w:r>
      <w:r>
        <w:rPr>
          <w:rFonts w:hint="eastAsia" w:ascii="宋体" w:hAnsi="宋体"/>
          <w:szCs w:val="21"/>
        </w:rPr>
        <w:t>你方</w:t>
      </w:r>
      <w:r>
        <w:rPr>
          <w:rFonts w:ascii="宋体" w:hAnsi="宋体"/>
          <w:szCs w:val="21"/>
        </w:rPr>
        <w:t>提交一份预付款担保，即有权得到</w:t>
      </w:r>
      <w:r>
        <w:rPr>
          <w:rFonts w:hint="eastAsia" w:ascii="宋体" w:hAnsi="宋体"/>
          <w:szCs w:val="21"/>
        </w:rPr>
        <w:t>你方</w:t>
      </w:r>
      <w:r>
        <w:rPr>
          <w:rFonts w:ascii="宋体" w:hAnsi="宋体"/>
          <w:szCs w:val="21"/>
        </w:rPr>
        <w:t>支付相等金额的预付款。我方愿意就你方提供给承包人的预付款</w:t>
      </w:r>
      <w:r>
        <w:rPr>
          <w:rFonts w:hint="eastAsia" w:ascii="宋体" w:hAnsi="宋体"/>
          <w:szCs w:val="21"/>
        </w:rPr>
        <w:t>为承包人</w:t>
      </w:r>
      <w:r>
        <w:rPr>
          <w:rFonts w:ascii="宋体" w:hAnsi="宋体"/>
          <w:szCs w:val="21"/>
        </w:rPr>
        <w:t>提供连带责任担保。</w:t>
      </w:r>
    </w:p>
    <w:p w14:paraId="4873FFEF">
      <w:pPr>
        <w:spacing w:line="360" w:lineRule="auto"/>
        <w:ind w:firstLine="420" w:firstLineChars="200"/>
        <w:rPr>
          <w:rFonts w:ascii="宋体" w:hAnsi="宋体"/>
          <w:szCs w:val="21"/>
        </w:rPr>
      </w:pPr>
      <w:r>
        <w:rPr>
          <w:rFonts w:hint="eastAsia" w:ascii="宋体" w:hAnsi="宋体"/>
          <w:szCs w:val="21"/>
        </w:rPr>
        <w:t xml:space="preserve">1. </w:t>
      </w:r>
      <w:r>
        <w:rPr>
          <w:rFonts w:ascii="宋体" w:hAnsi="宋体"/>
          <w:szCs w:val="21"/>
        </w:rPr>
        <w:t>担保金额人民币（大写）</w:t>
      </w:r>
      <w:r>
        <w:rPr>
          <w:rFonts w:ascii="宋体" w:hAnsi="宋体"/>
          <w:szCs w:val="21"/>
          <w:u w:val="single"/>
        </w:rPr>
        <w:t xml:space="preserve">                </w:t>
      </w:r>
      <w:r>
        <w:rPr>
          <w:rFonts w:hint="eastAsia" w:ascii="宋体" w:hAnsi="宋体"/>
          <w:szCs w:val="21"/>
        </w:rPr>
        <w:t>元</w:t>
      </w:r>
      <w:r>
        <w:rPr>
          <w:rFonts w:ascii="宋体" w:hAnsi="宋体"/>
          <w:szCs w:val="21"/>
        </w:rPr>
        <w:t>（¥</w:t>
      </w:r>
      <w:r>
        <w:rPr>
          <w:rFonts w:ascii="宋体" w:hAnsi="宋体"/>
          <w:szCs w:val="21"/>
          <w:u w:val="single"/>
        </w:rPr>
        <w:t xml:space="preserve">             </w:t>
      </w:r>
      <w:r>
        <w:rPr>
          <w:rFonts w:ascii="宋体" w:hAnsi="宋体"/>
          <w:szCs w:val="21"/>
        </w:rPr>
        <w:t>）。</w:t>
      </w:r>
    </w:p>
    <w:p w14:paraId="74D89014">
      <w:pPr>
        <w:spacing w:line="360" w:lineRule="auto"/>
        <w:ind w:firstLine="420" w:firstLineChars="200"/>
        <w:rPr>
          <w:rFonts w:ascii="宋体" w:hAnsi="宋体"/>
          <w:szCs w:val="21"/>
        </w:rPr>
      </w:pPr>
      <w:r>
        <w:rPr>
          <w:rFonts w:hint="eastAsia" w:ascii="宋体" w:hAnsi="宋体"/>
          <w:szCs w:val="21"/>
        </w:rPr>
        <w:t xml:space="preserve">2. </w:t>
      </w:r>
      <w:r>
        <w:rPr>
          <w:rFonts w:ascii="宋体" w:hAnsi="宋体"/>
          <w:szCs w:val="21"/>
        </w:rPr>
        <w:t>担保有效期自预付款支付给承包人起生效，至</w:t>
      </w:r>
      <w:r>
        <w:rPr>
          <w:rFonts w:hint="eastAsia" w:ascii="宋体" w:hAnsi="宋体"/>
          <w:szCs w:val="21"/>
        </w:rPr>
        <w:t>你方</w:t>
      </w:r>
      <w:r>
        <w:rPr>
          <w:rFonts w:ascii="宋体" w:hAnsi="宋体"/>
          <w:szCs w:val="21"/>
        </w:rPr>
        <w:t>签发的</w:t>
      </w:r>
      <w:r>
        <w:rPr>
          <w:rFonts w:hint="eastAsia" w:ascii="宋体" w:hAnsi="宋体"/>
          <w:szCs w:val="21"/>
        </w:rPr>
        <w:t>进</w:t>
      </w:r>
      <w:r>
        <w:rPr>
          <w:rFonts w:ascii="宋体" w:hAnsi="宋体"/>
          <w:szCs w:val="21"/>
        </w:rPr>
        <w:t>度款支付证书说明已完全扣清止。</w:t>
      </w:r>
    </w:p>
    <w:p w14:paraId="46395237">
      <w:pPr>
        <w:spacing w:line="360" w:lineRule="auto"/>
        <w:ind w:firstLine="420" w:firstLineChars="200"/>
        <w:rPr>
          <w:rFonts w:ascii="宋体" w:hAnsi="宋体"/>
          <w:szCs w:val="21"/>
        </w:rPr>
      </w:pPr>
      <w:r>
        <w:rPr>
          <w:rFonts w:hint="eastAsia" w:ascii="宋体" w:hAnsi="宋体"/>
          <w:szCs w:val="21"/>
        </w:rPr>
        <w:t xml:space="preserve">3. </w:t>
      </w:r>
      <w:r>
        <w:rPr>
          <w:rFonts w:ascii="宋体" w:hAnsi="宋体"/>
          <w:szCs w:val="21"/>
        </w:rPr>
        <w:t>在本保函有效期内，因承包人违反合同约定的义务而要求</w:t>
      </w:r>
      <w:r>
        <w:rPr>
          <w:rFonts w:hint="eastAsia" w:ascii="宋体" w:hAnsi="宋体"/>
          <w:szCs w:val="21"/>
        </w:rPr>
        <w:t>收</w:t>
      </w:r>
      <w:r>
        <w:rPr>
          <w:rFonts w:ascii="宋体" w:hAnsi="宋体"/>
          <w:szCs w:val="21"/>
        </w:rPr>
        <w:t>回预付款时，我方在收到你方的书面通知后，在７天内无条件支付。但本保函的担保金额，在任何时候不应超过预付款金额减去</w:t>
      </w:r>
      <w:r>
        <w:rPr>
          <w:rFonts w:hint="eastAsia" w:ascii="宋体" w:hAnsi="宋体"/>
          <w:szCs w:val="21"/>
        </w:rPr>
        <w:t>你方</w:t>
      </w:r>
      <w:r>
        <w:rPr>
          <w:rFonts w:ascii="宋体" w:hAnsi="宋体"/>
          <w:szCs w:val="21"/>
        </w:rPr>
        <w:t>按合同约定在向承包人签发的进度款支付证书中扣除的金额。</w:t>
      </w:r>
    </w:p>
    <w:p w14:paraId="054CD9E2">
      <w:pPr>
        <w:spacing w:line="360" w:lineRule="auto"/>
        <w:ind w:firstLine="420" w:firstLineChars="200"/>
        <w:rPr>
          <w:rFonts w:hint="eastAsia" w:ascii="宋体" w:hAnsi="宋体"/>
          <w:szCs w:val="21"/>
        </w:rPr>
      </w:pPr>
      <w:r>
        <w:rPr>
          <w:rFonts w:hint="eastAsia" w:ascii="宋体" w:hAnsi="宋体"/>
          <w:szCs w:val="21"/>
        </w:rPr>
        <w:t>4. 你方</w:t>
      </w:r>
      <w:r>
        <w:rPr>
          <w:rFonts w:ascii="宋体" w:hAnsi="宋体"/>
          <w:szCs w:val="21"/>
        </w:rPr>
        <w:t>和承包人按合同约定变更合同时，我方承担本保函规定的义务不变。</w:t>
      </w:r>
    </w:p>
    <w:p w14:paraId="01A5BFCB">
      <w:pPr>
        <w:spacing w:line="360" w:lineRule="auto"/>
        <w:ind w:firstLine="420" w:firstLineChars="200"/>
        <w:jc w:val="left"/>
        <w:rPr>
          <w:rFonts w:ascii="宋体" w:hAnsi="宋体"/>
          <w:szCs w:val="21"/>
        </w:rPr>
      </w:pPr>
      <w:r>
        <w:rPr>
          <w:rFonts w:hint="eastAsia" w:ascii="宋体" w:hAnsi="宋体"/>
          <w:szCs w:val="21"/>
        </w:rPr>
        <w:t xml:space="preserve">5. </w:t>
      </w:r>
      <w:r>
        <w:rPr>
          <w:rFonts w:ascii="宋体" w:hAnsi="宋体"/>
          <w:szCs w:val="21"/>
        </w:rPr>
        <w:t>因本保函发生的纠纷，可由双方协商解决，协商不成的，任何一方均可提请</w:t>
      </w:r>
      <w:r>
        <w:rPr>
          <w:rFonts w:ascii="宋体" w:hAnsi="宋体"/>
          <w:szCs w:val="21"/>
          <w:u w:val="single"/>
        </w:rPr>
        <w:t xml:space="preserve">        </w:t>
      </w:r>
      <w:r>
        <w:rPr>
          <w:rFonts w:ascii="宋体" w:hAnsi="宋体"/>
          <w:szCs w:val="21"/>
        </w:rPr>
        <w:t>仲裁委员会仲裁。</w:t>
      </w:r>
    </w:p>
    <w:p w14:paraId="7A057226">
      <w:pPr>
        <w:spacing w:line="360" w:lineRule="auto"/>
        <w:ind w:firstLine="420" w:firstLineChars="200"/>
        <w:jc w:val="left"/>
        <w:rPr>
          <w:rFonts w:ascii="宋体" w:hAnsi="宋体"/>
          <w:szCs w:val="21"/>
        </w:rPr>
      </w:pPr>
      <w:r>
        <w:rPr>
          <w:rFonts w:hint="eastAsia" w:ascii="宋体" w:hAnsi="宋体"/>
          <w:szCs w:val="21"/>
        </w:rPr>
        <w:t xml:space="preserve">6. </w:t>
      </w:r>
      <w:r>
        <w:rPr>
          <w:rFonts w:ascii="宋体" w:hAnsi="宋体"/>
          <w:szCs w:val="21"/>
        </w:rPr>
        <w:t>本保函自我方法定代表人（或其授权代理人）签字并加盖公章之日起生效。</w:t>
      </w:r>
    </w:p>
    <w:p w14:paraId="295B2A16">
      <w:pPr>
        <w:spacing w:line="360" w:lineRule="auto"/>
        <w:rPr>
          <w:rFonts w:hint="eastAsia" w:ascii="宋体" w:hAnsi="宋体"/>
          <w:szCs w:val="21"/>
        </w:rPr>
      </w:pPr>
    </w:p>
    <w:p w14:paraId="0DDBDCBB">
      <w:pPr>
        <w:spacing w:line="360" w:lineRule="auto"/>
        <w:rPr>
          <w:rFonts w:hint="eastAsia" w:ascii="宋体" w:hAnsi="宋体"/>
          <w:szCs w:val="21"/>
        </w:rPr>
      </w:pPr>
    </w:p>
    <w:p w14:paraId="3EED42B0">
      <w:pPr>
        <w:spacing w:line="360" w:lineRule="auto"/>
        <w:ind w:firstLine="3045" w:firstLineChars="1450"/>
        <w:rPr>
          <w:rFonts w:ascii="宋体" w:hAnsi="宋体"/>
          <w:szCs w:val="21"/>
        </w:rPr>
      </w:pPr>
      <w:r>
        <w:rPr>
          <w:rFonts w:ascii="宋体" w:hAnsi="宋体"/>
          <w:szCs w:val="21"/>
        </w:rPr>
        <w:t>担保人：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（盖单位章）</w:t>
      </w:r>
    </w:p>
    <w:p w14:paraId="0F56F08B">
      <w:pPr>
        <w:spacing w:line="360" w:lineRule="auto"/>
        <w:ind w:firstLine="3045" w:firstLineChars="1450"/>
        <w:rPr>
          <w:rFonts w:ascii="宋体" w:hAnsi="宋体"/>
          <w:szCs w:val="21"/>
        </w:rPr>
      </w:pPr>
      <w:r>
        <w:rPr>
          <w:rFonts w:ascii="宋体" w:hAnsi="宋体"/>
          <w:szCs w:val="21"/>
        </w:rPr>
        <w:t>法定代表人或其委托代理人：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（签字）</w:t>
      </w:r>
    </w:p>
    <w:p w14:paraId="4E380AEE">
      <w:pPr>
        <w:spacing w:line="360" w:lineRule="auto"/>
        <w:ind w:firstLine="3045" w:firstLineChars="1450"/>
        <w:rPr>
          <w:rFonts w:ascii="宋体" w:hAnsi="宋体"/>
          <w:szCs w:val="21"/>
        </w:rPr>
      </w:pPr>
      <w:r>
        <w:rPr>
          <w:rFonts w:ascii="宋体" w:hAnsi="宋体"/>
          <w:szCs w:val="21"/>
        </w:rPr>
        <w:t>地    址：</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p>
    <w:p w14:paraId="4C9B6721">
      <w:pPr>
        <w:spacing w:line="360" w:lineRule="auto"/>
        <w:ind w:firstLine="3045" w:firstLineChars="1450"/>
        <w:rPr>
          <w:rFonts w:ascii="宋体" w:hAnsi="宋体"/>
          <w:szCs w:val="21"/>
          <w:u w:val="single"/>
        </w:rPr>
      </w:pPr>
      <w:r>
        <w:rPr>
          <w:rFonts w:ascii="宋体" w:hAnsi="宋体"/>
          <w:szCs w:val="21"/>
        </w:rPr>
        <w:t>邮政编码：</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p>
    <w:p w14:paraId="51C1A442">
      <w:pPr>
        <w:spacing w:line="360" w:lineRule="auto"/>
        <w:ind w:firstLine="3045" w:firstLineChars="1450"/>
        <w:rPr>
          <w:rFonts w:ascii="宋体" w:hAnsi="宋体"/>
          <w:szCs w:val="21"/>
          <w:u w:val="single"/>
        </w:rPr>
      </w:pPr>
      <w:r>
        <w:rPr>
          <w:rFonts w:ascii="宋体" w:hAnsi="宋体"/>
          <w:szCs w:val="21"/>
        </w:rPr>
        <w:t>电    话：</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p>
    <w:p w14:paraId="04A58CF3">
      <w:pPr>
        <w:spacing w:line="360" w:lineRule="auto"/>
        <w:ind w:firstLine="3045" w:firstLineChars="1450"/>
        <w:rPr>
          <w:rFonts w:ascii="宋体" w:hAnsi="宋体"/>
          <w:szCs w:val="21"/>
          <w:u w:val="single"/>
        </w:rPr>
      </w:pPr>
      <w:r>
        <w:rPr>
          <w:rFonts w:ascii="宋体" w:hAnsi="宋体"/>
          <w:szCs w:val="21"/>
        </w:rPr>
        <w:t>传    真：</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hint="eastAsia"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p>
    <w:p w14:paraId="5F5D8E7A">
      <w:pPr>
        <w:spacing w:line="360" w:lineRule="auto"/>
        <w:rPr>
          <w:rFonts w:ascii="宋体" w:hAnsi="宋体"/>
          <w:szCs w:val="21"/>
        </w:rPr>
      </w:pPr>
      <w:r>
        <w:rPr>
          <w:rFonts w:ascii="宋体" w:hAnsi="宋体"/>
          <w:szCs w:val="21"/>
        </w:rPr>
        <w:t xml:space="preserve">  </w:t>
      </w:r>
    </w:p>
    <w:p w14:paraId="6BC9BFA4">
      <w:pPr>
        <w:spacing w:line="360" w:lineRule="auto"/>
        <w:rPr>
          <w:rFonts w:ascii="宋体" w:hAnsi="宋体"/>
          <w:szCs w:val="21"/>
          <w:u w:val="single"/>
        </w:rPr>
      </w:pPr>
    </w:p>
    <w:p w14:paraId="64DA3755">
      <w:pPr>
        <w:spacing w:line="360" w:lineRule="auto"/>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342B7E06">
      <w:pPr>
        <w:spacing w:before="120" w:beforeLines="50" w:after="120" w:afterLines="50" w:line="440" w:lineRule="exact"/>
        <w:jc w:val="left"/>
        <w:rPr>
          <w:rFonts w:eastAsia="黑体"/>
          <w:sz w:val="30"/>
          <w:szCs w:val="30"/>
        </w:rPr>
      </w:pPr>
      <w:r>
        <w:rPr>
          <w:rFonts w:eastAsia="仿宋_GB2312"/>
          <w:b/>
          <w:sz w:val="30"/>
          <w:szCs w:val="30"/>
        </w:rPr>
        <w:br w:type="page"/>
      </w:r>
      <w:r>
        <w:rPr>
          <w:rFonts w:ascii="宋体" w:hAnsi="宋体"/>
          <w:sz w:val="24"/>
        </w:rPr>
        <w:t>附</w:t>
      </w:r>
      <w:bookmarkStart w:id="2573" w:name="_Toc296891061"/>
      <w:bookmarkStart w:id="2574" w:name="_Toc296944572"/>
      <w:bookmarkStart w:id="2575" w:name="_Toc296891273"/>
      <w:bookmarkStart w:id="2576" w:name="_Toc296347232"/>
      <w:bookmarkStart w:id="2577" w:name="_Toc296346734"/>
      <w:bookmarkStart w:id="2578" w:name="_Toc296503233"/>
      <w:r>
        <w:rPr>
          <w:rFonts w:ascii="宋体" w:hAnsi="宋体"/>
          <w:sz w:val="24"/>
        </w:rPr>
        <w:t xml:space="preserve">件10:  </w:t>
      </w:r>
    </w:p>
    <w:bookmarkEnd w:id="2573"/>
    <w:bookmarkEnd w:id="2574"/>
    <w:bookmarkEnd w:id="2575"/>
    <w:bookmarkEnd w:id="2576"/>
    <w:bookmarkEnd w:id="2577"/>
    <w:bookmarkEnd w:id="2578"/>
    <w:p w14:paraId="72F1AC55">
      <w:pPr>
        <w:spacing w:before="120" w:beforeLines="50" w:after="120" w:afterLines="50" w:line="440" w:lineRule="exact"/>
        <w:jc w:val="center"/>
        <w:rPr>
          <w:rFonts w:eastAsia="黑体"/>
          <w:sz w:val="28"/>
          <w:szCs w:val="28"/>
        </w:rPr>
      </w:pPr>
      <w:r>
        <w:rPr>
          <w:rFonts w:eastAsia="黑体"/>
          <w:sz w:val="28"/>
          <w:szCs w:val="28"/>
        </w:rPr>
        <w:t>支付担保</w:t>
      </w:r>
    </w:p>
    <w:p w14:paraId="13C6093C">
      <w:pPr>
        <w:spacing w:line="440" w:lineRule="exact"/>
        <w:jc w:val="left"/>
        <w:rPr>
          <w:rFonts w:ascii="宋体" w:hAnsi="宋体"/>
          <w:szCs w:val="21"/>
        </w:rPr>
      </w:pPr>
      <w:r>
        <w:rPr>
          <w:rFonts w:ascii="宋体" w:hAnsi="宋体"/>
          <w:szCs w:val="21"/>
          <w:u w:val="single"/>
        </w:rPr>
        <w:t xml:space="preserve">             </w:t>
      </w:r>
      <w:r>
        <w:rPr>
          <w:rFonts w:ascii="宋体" w:hAnsi="宋体"/>
          <w:szCs w:val="21"/>
        </w:rPr>
        <w:t>（承包人）：</w:t>
      </w:r>
    </w:p>
    <w:p w14:paraId="6ED91C99">
      <w:pPr>
        <w:spacing w:line="440" w:lineRule="exact"/>
        <w:jc w:val="left"/>
        <w:rPr>
          <w:rFonts w:ascii="宋体" w:hAnsi="宋体"/>
          <w:szCs w:val="21"/>
        </w:rPr>
      </w:pPr>
    </w:p>
    <w:p w14:paraId="74F8BD1D">
      <w:pPr>
        <w:spacing w:line="360" w:lineRule="auto"/>
        <w:ind w:firstLine="420" w:firstLineChars="200"/>
        <w:jc w:val="left"/>
        <w:rPr>
          <w:rFonts w:ascii="宋体" w:hAnsi="宋体"/>
          <w:szCs w:val="21"/>
        </w:rPr>
      </w:pPr>
      <w:r>
        <w:rPr>
          <w:rFonts w:ascii="宋体" w:hAnsi="宋体"/>
          <w:szCs w:val="21"/>
        </w:rPr>
        <w:t>鉴于你方作为承包人已经与</w:t>
      </w:r>
      <w:r>
        <w:rPr>
          <w:rFonts w:ascii="宋体" w:hAnsi="宋体"/>
          <w:szCs w:val="21"/>
          <w:u w:val="single"/>
        </w:rPr>
        <w:t xml:space="preserve">          </w:t>
      </w:r>
      <w:r>
        <w:rPr>
          <w:rFonts w:ascii="宋体" w:hAnsi="宋体"/>
          <w:szCs w:val="21"/>
        </w:rPr>
        <w:t>（发包人名称）（以下称</w:t>
      </w:r>
      <w:r>
        <w:rPr>
          <w:rFonts w:hint="eastAsia" w:ascii="宋体" w:hAnsi="宋体"/>
          <w:szCs w:val="21"/>
        </w:rPr>
        <w:t>“</w:t>
      </w:r>
      <w:r>
        <w:rPr>
          <w:rFonts w:ascii="宋体" w:hAnsi="宋体"/>
          <w:szCs w:val="21"/>
        </w:rPr>
        <w:t>发包人</w:t>
      </w:r>
      <w:r>
        <w:rPr>
          <w:rFonts w:hint="eastAsia" w:ascii="宋体" w:hAnsi="宋体"/>
          <w:szCs w:val="21"/>
        </w:rPr>
        <w:t>”</w:t>
      </w:r>
      <w:r>
        <w:rPr>
          <w:rFonts w:ascii="宋体" w:hAnsi="宋体"/>
          <w:szCs w:val="21"/>
        </w:rPr>
        <w:t>）于</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日签订了</w:t>
      </w:r>
      <w:r>
        <w:rPr>
          <w:rFonts w:ascii="宋体" w:hAnsi="宋体"/>
          <w:szCs w:val="21"/>
          <w:u w:val="single"/>
        </w:rPr>
        <w:t xml:space="preserve">             </w:t>
      </w:r>
      <w:r>
        <w:rPr>
          <w:rFonts w:ascii="宋体" w:hAnsi="宋体"/>
          <w:szCs w:val="21"/>
        </w:rPr>
        <w:t>（工程名称）《建设工程施工合同》（以下称</w:t>
      </w:r>
      <w:r>
        <w:rPr>
          <w:rFonts w:hint="eastAsia" w:ascii="宋体" w:hAnsi="宋体"/>
          <w:szCs w:val="21"/>
        </w:rPr>
        <w:t>“</w:t>
      </w:r>
      <w:r>
        <w:rPr>
          <w:rFonts w:ascii="宋体" w:hAnsi="宋体"/>
          <w:szCs w:val="21"/>
        </w:rPr>
        <w:t>主合同</w:t>
      </w:r>
      <w:r>
        <w:rPr>
          <w:rFonts w:hint="eastAsia" w:ascii="宋体" w:hAnsi="宋体"/>
          <w:szCs w:val="21"/>
        </w:rPr>
        <w:t>”</w:t>
      </w:r>
      <w:r>
        <w:rPr>
          <w:rFonts w:ascii="宋体" w:hAnsi="宋体"/>
          <w:szCs w:val="21"/>
        </w:rPr>
        <w:t>），应发包人的申请，我方愿就发包人履行主合同约定的工程款支付义务以保证的方式向你方提供如下担保：</w:t>
      </w:r>
    </w:p>
    <w:p w14:paraId="4EEE9FFE">
      <w:pPr>
        <w:spacing w:line="360" w:lineRule="auto"/>
        <w:ind w:firstLine="420" w:firstLineChars="200"/>
        <w:jc w:val="left"/>
        <w:outlineLvl w:val="0"/>
        <w:rPr>
          <w:rFonts w:ascii="黑体" w:hAnsi="黑体" w:eastAsia="黑体"/>
          <w:szCs w:val="21"/>
        </w:rPr>
      </w:pPr>
      <w:r>
        <w:rPr>
          <w:rFonts w:ascii="黑体" w:hAnsi="黑体" w:eastAsia="黑体"/>
          <w:szCs w:val="21"/>
        </w:rPr>
        <w:t>一、保证的范围及保证金额</w:t>
      </w:r>
    </w:p>
    <w:p w14:paraId="67032F20">
      <w:pPr>
        <w:spacing w:line="360" w:lineRule="auto"/>
        <w:ind w:firstLine="420" w:firstLineChars="200"/>
        <w:jc w:val="left"/>
        <w:rPr>
          <w:rFonts w:ascii="宋体" w:hAnsi="宋体"/>
          <w:szCs w:val="21"/>
        </w:rPr>
      </w:pPr>
      <w:r>
        <w:rPr>
          <w:rFonts w:hint="eastAsia" w:ascii="宋体" w:hAnsi="宋体"/>
          <w:szCs w:val="21"/>
        </w:rPr>
        <w:t xml:space="preserve">1. </w:t>
      </w:r>
      <w:r>
        <w:rPr>
          <w:rFonts w:ascii="宋体" w:hAnsi="宋体"/>
          <w:szCs w:val="21"/>
        </w:rPr>
        <w:t>我方的保证范围是主合同约定的工程款。</w:t>
      </w:r>
    </w:p>
    <w:p w14:paraId="2827502B">
      <w:pPr>
        <w:spacing w:line="360" w:lineRule="auto"/>
        <w:ind w:firstLine="420" w:firstLineChars="200"/>
        <w:jc w:val="left"/>
        <w:rPr>
          <w:rFonts w:hint="eastAsia" w:ascii="宋体" w:hAnsi="宋体"/>
          <w:szCs w:val="21"/>
        </w:rPr>
      </w:pPr>
      <w:r>
        <w:rPr>
          <w:rFonts w:hint="eastAsia" w:ascii="宋体" w:hAnsi="宋体"/>
          <w:szCs w:val="21"/>
        </w:rPr>
        <w:t xml:space="preserve">2. </w:t>
      </w:r>
      <w:r>
        <w:rPr>
          <w:rFonts w:ascii="宋体" w:hAnsi="宋体"/>
          <w:szCs w:val="21"/>
        </w:rPr>
        <w:t>本保函所称主合同约定的工程款是指主合同约定的除工程质量保证金以外的合同价款。</w:t>
      </w:r>
    </w:p>
    <w:p w14:paraId="7CC65F72">
      <w:pPr>
        <w:spacing w:line="360" w:lineRule="auto"/>
        <w:ind w:firstLine="420" w:firstLineChars="200"/>
        <w:jc w:val="left"/>
        <w:rPr>
          <w:rFonts w:ascii="宋体" w:hAnsi="宋体"/>
          <w:szCs w:val="21"/>
        </w:rPr>
      </w:pPr>
      <w:r>
        <w:rPr>
          <w:rFonts w:hint="eastAsia" w:ascii="宋体" w:hAnsi="宋体"/>
          <w:szCs w:val="21"/>
        </w:rPr>
        <w:t xml:space="preserve">3. </w:t>
      </w:r>
      <w:r>
        <w:rPr>
          <w:rFonts w:ascii="宋体" w:hAnsi="宋体"/>
          <w:szCs w:val="21"/>
        </w:rPr>
        <w:t>我方保证的金额是主合同约定的工程款的</w:t>
      </w:r>
      <w:r>
        <w:rPr>
          <w:rFonts w:ascii="宋体" w:hAnsi="宋体"/>
          <w:szCs w:val="21"/>
          <w:u w:val="single"/>
        </w:rPr>
        <w:t xml:space="preserve">      </w:t>
      </w:r>
      <w:r>
        <w:rPr>
          <w:rFonts w:ascii="宋体" w:hAnsi="宋体"/>
          <w:szCs w:val="21"/>
        </w:rPr>
        <w:t>%，数额最高不超过人民币元（大写：</w:t>
      </w:r>
      <w:r>
        <w:rPr>
          <w:rFonts w:ascii="宋体" w:hAnsi="宋体"/>
          <w:szCs w:val="21"/>
          <w:u w:val="single"/>
        </w:rPr>
        <w:t xml:space="preserve">        </w:t>
      </w:r>
      <w:r>
        <w:rPr>
          <w:rFonts w:ascii="宋体" w:hAnsi="宋体"/>
          <w:szCs w:val="21"/>
        </w:rPr>
        <w:t>）。</w:t>
      </w:r>
    </w:p>
    <w:p w14:paraId="3780683A">
      <w:pPr>
        <w:spacing w:line="360" w:lineRule="auto"/>
        <w:ind w:firstLine="420" w:firstLineChars="200"/>
        <w:jc w:val="left"/>
        <w:outlineLvl w:val="0"/>
        <w:rPr>
          <w:rFonts w:ascii="黑体" w:hAnsi="黑体" w:eastAsia="黑体"/>
          <w:szCs w:val="21"/>
        </w:rPr>
      </w:pPr>
      <w:r>
        <w:rPr>
          <w:rFonts w:ascii="黑体" w:hAnsi="黑体" w:eastAsia="黑体"/>
          <w:szCs w:val="21"/>
        </w:rPr>
        <w:t>二、保证的方式及保证期间</w:t>
      </w:r>
    </w:p>
    <w:p w14:paraId="4319BC83">
      <w:pPr>
        <w:spacing w:line="360" w:lineRule="auto"/>
        <w:ind w:firstLine="420" w:firstLineChars="200"/>
        <w:jc w:val="left"/>
        <w:rPr>
          <w:rFonts w:hint="eastAsia" w:ascii="宋体" w:hAnsi="宋体"/>
          <w:szCs w:val="21"/>
        </w:rPr>
      </w:pPr>
      <w:r>
        <w:rPr>
          <w:rFonts w:hint="eastAsia" w:ascii="宋体" w:hAnsi="宋体"/>
          <w:szCs w:val="21"/>
        </w:rPr>
        <w:t xml:space="preserve">1. </w:t>
      </w:r>
      <w:r>
        <w:rPr>
          <w:rFonts w:ascii="宋体" w:hAnsi="宋体"/>
          <w:szCs w:val="21"/>
        </w:rPr>
        <w:t>我方保证的方式为：连带责任保证。</w:t>
      </w:r>
    </w:p>
    <w:p w14:paraId="515A3344">
      <w:pPr>
        <w:spacing w:line="360" w:lineRule="auto"/>
        <w:ind w:firstLine="420" w:firstLineChars="200"/>
        <w:jc w:val="left"/>
        <w:rPr>
          <w:rFonts w:ascii="宋体" w:hAnsi="宋体"/>
          <w:szCs w:val="21"/>
        </w:rPr>
      </w:pPr>
      <w:r>
        <w:rPr>
          <w:rFonts w:hint="eastAsia" w:ascii="宋体" w:hAnsi="宋体"/>
          <w:szCs w:val="21"/>
        </w:rPr>
        <w:t xml:space="preserve">2. </w:t>
      </w:r>
      <w:r>
        <w:rPr>
          <w:rFonts w:ascii="宋体" w:hAnsi="宋体"/>
          <w:szCs w:val="21"/>
        </w:rPr>
        <w:t>我方保证的期间为：自本合同生效之日起至主合同约定的工程款支付完毕之日后</w:t>
      </w:r>
      <w:r>
        <w:rPr>
          <w:rFonts w:ascii="宋体" w:hAnsi="宋体"/>
          <w:szCs w:val="21"/>
          <w:u w:val="single"/>
        </w:rPr>
        <w:t xml:space="preserve">    </w:t>
      </w:r>
      <w:r>
        <w:rPr>
          <w:rFonts w:ascii="宋体" w:hAnsi="宋体"/>
          <w:szCs w:val="21"/>
        </w:rPr>
        <w:t>日内。</w:t>
      </w:r>
    </w:p>
    <w:p w14:paraId="78949FEF">
      <w:pPr>
        <w:spacing w:line="360" w:lineRule="auto"/>
        <w:ind w:firstLine="420" w:firstLineChars="200"/>
        <w:jc w:val="left"/>
        <w:rPr>
          <w:rFonts w:hint="eastAsia" w:ascii="宋体" w:hAnsi="宋体"/>
          <w:szCs w:val="21"/>
        </w:rPr>
      </w:pPr>
      <w:r>
        <w:rPr>
          <w:rFonts w:hint="eastAsia" w:ascii="宋体" w:hAnsi="宋体"/>
          <w:szCs w:val="21"/>
        </w:rPr>
        <w:t xml:space="preserve">3. </w:t>
      </w:r>
      <w:r>
        <w:rPr>
          <w:rFonts w:ascii="宋体" w:hAnsi="宋体"/>
          <w:szCs w:val="21"/>
        </w:rPr>
        <w:t>你方与发包人协议变更工程款支付日期的，经我方书面同意后，保证期间按照变更后的支付日期做相应调整。</w:t>
      </w:r>
    </w:p>
    <w:p w14:paraId="41E2FBE1">
      <w:pPr>
        <w:spacing w:line="360" w:lineRule="auto"/>
        <w:ind w:firstLine="420" w:firstLineChars="200"/>
        <w:jc w:val="left"/>
        <w:outlineLvl w:val="0"/>
        <w:rPr>
          <w:rFonts w:ascii="黑体" w:hAnsi="黑体" w:eastAsia="黑体"/>
          <w:szCs w:val="21"/>
        </w:rPr>
      </w:pPr>
      <w:r>
        <w:rPr>
          <w:rFonts w:ascii="黑体" w:hAnsi="黑体" w:eastAsia="黑体"/>
          <w:szCs w:val="21"/>
        </w:rPr>
        <w:t>三、承担保证责任的形式</w:t>
      </w:r>
    </w:p>
    <w:p w14:paraId="5F8B2B7B">
      <w:pPr>
        <w:spacing w:line="360" w:lineRule="auto"/>
        <w:ind w:firstLine="420" w:firstLineChars="200"/>
        <w:jc w:val="left"/>
        <w:rPr>
          <w:rFonts w:ascii="宋体" w:hAnsi="宋体"/>
          <w:szCs w:val="21"/>
        </w:rPr>
      </w:pPr>
      <w:r>
        <w:rPr>
          <w:rFonts w:ascii="宋体" w:hAnsi="宋体"/>
          <w:szCs w:val="21"/>
        </w:rPr>
        <w:t>我方承担保证责任的形式是代为支付。发包人未按主合同约定向你方支付工程款的，由我方在保证金额内代为支付。</w:t>
      </w:r>
    </w:p>
    <w:p w14:paraId="02A00DDD">
      <w:pPr>
        <w:spacing w:line="360" w:lineRule="auto"/>
        <w:ind w:firstLine="420" w:firstLineChars="200"/>
        <w:jc w:val="left"/>
        <w:outlineLvl w:val="0"/>
        <w:rPr>
          <w:rFonts w:ascii="黑体" w:hAnsi="黑体" w:eastAsia="黑体"/>
          <w:szCs w:val="21"/>
        </w:rPr>
      </w:pPr>
      <w:r>
        <w:rPr>
          <w:rFonts w:ascii="黑体" w:hAnsi="黑体" w:eastAsia="黑体"/>
          <w:szCs w:val="21"/>
        </w:rPr>
        <w:t>四、代偿的安排</w:t>
      </w:r>
    </w:p>
    <w:p w14:paraId="2270B0E2">
      <w:pPr>
        <w:spacing w:line="360" w:lineRule="auto"/>
        <w:ind w:firstLine="420" w:firstLineChars="200"/>
        <w:jc w:val="left"/>
        <w:rPr>
          <w:rFonts w:ascii="宋体" w:hAnsi="宋体"/>
          <w:szCs w:val="21"/>
        </w:rPr>
      </w:pPr>
      <w:r>
        <w:rPr>
          <w:rFonts w:hint="eastAsia" w:ascii="宋体" w:hAnsi="宋体"/>
          <w:szCs w:val="21"/>
        </w:rPr>
        <w:t xml:space="preserve">1. </w:t>
      </w:r>
      <w:r>
        <w:rPr>
          <w:rFonts w:ascii="宋体" w:hAnsi="宋体"/>
          <w:szCs w:val="21"/>
        </w:rPr>
        <w:t>你方要求我方承担保证责任的，应向我方发出书面索赔通知及发包人未支付主合同约定工程款的证明材料。索赔通知应写明要求索赔的金额，支付款项应到达的账号。</w:t>
      </w:r>
    </w:p>
    <w:p w14:paraId="62868C2A">
      <w:pPr>
        <w:spacing w:line="360" w:lineRule="auto"/>
        <w:ind w:firstLine="420" w:firstLineChars="200"/>
        <w:jc w:val="left"/>
        <w:rPr>
          <w:rFonts w:ascii="宋体" w:hAnsi="宋体"/>
          <w:szCs w:val="21"/>
        </w:rPr>
      </w:pPr>
      <w:r>
        <w:rPr>
          <w:rFonts w:hint="eastAsia" w:ascii="宋体" w:hAnsi="宋体"/>
          <w:szCs w:val="21"/>
        </w:rPr>
        <w:t xml:space="preserve">2. </w:t>
      </w:r>
      <w:r>
        <w:rPr>
          <w:rFonts w:ascii="宋体" w:hAnsi="宋体"/>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2683FB29">
      <w:pPr>
        <w:spacing w:line="360" w:lineRule="auto"/>
        <w:ind w:firstLine="420" w:firstLineChars="200"/>
        <w:jc w:val="left"/>
        <w:rPr>
          <w:rFonts w:ascii="宋体" w:hAnsi="宋体"/>
          <w:szCs w:val="21"/>
        </w:rPr>
      </w:pPr>
      <w:r>
        <w:rPr>
          <w:rFonts w:hint="eastAsia" w:ascii="宋体" w:hAnsi="宋体"/>
          <w:szCs w:val="21"/>
        </w:rPr>
        <w:t xml:space="preserve">3. </w:t>
      </w:r>
      <w:r>
        <w:rPr>
          <w:rFonts w:ascii="宋体" w:hAnsi="宋体"/>
          <w:szCs w:val="21"/>
        </w:rPr>
        <w:t>我方收到你方的书面索赔通知及相应的证明材料后７天内无条件支付。</w:t>
      </w:r>
    </w:p>
    <w:p w14:paraId="648DE8DB">
      <w:pPr>
        <w:spacing w:line="360" w:lineRule="auto"/>
        <w:ind w:firstLine="420" w:firstLineChars="200"/>
        <w:jc w:val="left"/>
        <w:outlineLvl w:val="0"/>
        <w:rPr>
          <w:rFonts w:ascii="黑体" w:hAnsi="黑体" w:eastAsia="黑体"/>
          <w:szCs w:val="21"/>
        </w:rPr>
      </w:pPr>
      <w:r>
        <w:rPr>
          <w:rFonts w:ascii="黑体" w:hAnsi="黑体" w:eastAsia="黑体"/>
          <w:szCs w:val="21"/>
        </w:rPr>
        <w:t>五、保证责任的解除</w:t>
      </w:r>
    </w:p>
    <w:p w14:paraId="4B7568E8">
      <w:pPr>
        <w:spacing w:line="360" w:lineRule="auto"/>
        <w:ind w:firstLine="420" w:firstLineChars="200"/>
        <w:jc w:val="left"/>
        <w:rPr>
          <w:rFonts w:ascii="宋体" w:hAnsi="宋体"/>
          <w:szCs w:val="21"/>
        </w:rPr>
      </w:pPr>
      <w:r>
        <w:rPr>
          <w:rFonts w:hint="eastAsia" w:ascii="宋体" w:hAnsi="宋体"/>
          <w:szCs w:val="21"/>
        </w:rPr>
        <w:t xml:space="preserve">1. </w:t>
      </w:r>
      <w:r>
        <w:rPr>
          <w:rFonts w:ascii="宋体" w:hAnsi="宋体"/>
          <w:szCs w:val="21"/>
        </w:rPr>
        <w:t>在本保函承诺的保证期间内，你方未书面向我方主张保证责任的，自保证期间届满次日起，我方保证责任解除。</w:t>
      </w:r>
    </w:p>
    <w:p w14:paraId="65227E37">
      <w:pPr>
        <w:spacing w:line="360" w:lineRule="auto"/>
        <w:ind w:firstLine="420" w:firstLineChars="200"/>
        <w:jc w:val="left"/>
        <w:rPr>
          <w:rFonts w:ascii="宋体" w:hAnsi="宋体"/>
          <w:szCs w:val="21"/>
        </w:rPr>
      </w:pPr>
      <w:r>
        <w:rPr>
          <w:rFonts w:hint="eastAsia" w:ascii="宋体" w:hAnsi="宋体"/>
          <w:szCs w:val="21"/>
        </w:rPr>
        <w:t xml:space="preserve">2. </w:t>
      </w:r>
      <w:r>
        <w:rPr>
          <w:rFonts w:ascii="宋体" w:hAnsi="宋体"/>
          <w:szCs w:val="21"/>
        </w:rPr>
        <w:t>发包人按主合同约定履行了工程款的全部支付义务的，自本保函承诺的保证期间届满次日起，我方保证责任解除。</w:t>
      </w:r>
    </w:p>
    <w:p w14:paraId="6CE34037">
      <w:pPr>
        <w:spacing w:line="360" w:lineRule="auto"/>
        <w:ind w:firstLine="420" w:firstLineChars="200"/>
        <w:jc w:val="left"/>
        <w:rPr>
          <w:rFonts w:hint="eastAsia" w:ascii="宋体" w:hAnsi="宋体"/>
          <w:szCs w:val="21"/>
        </w:rPr>
      </w:pPr>
      <w:r>
        <w:rPr>
          <w:rFonts w:hint="eastAsia" w:ascii="宋体" w:hAnsi="宋体"/>
          <w:szCs w:val="21"/>
        </w:rPr>
        <w:t xml:space="preserve">3. </w:t>
      </w:r>
      <w:r>
        <w:rPr>
          <w:rFonts w:ascii="宋体" w:hAnsi="宋体"/>
          <w:szCs w:val="21"/>
        </w:rPr>
        <w:t>我方按照本保函向你方履行保证责任所支付金额达到本保函保证金额时，自我方向你方支付（支付款项从我方账户划出）之日起，保证责任即解除。</w:t>
      </w:r>
    </w:p>
    <w:p w14:paraId="18DA9E36">
      <w:pPr>
        <w:spacing w:line="360" w:lineRule="auto"/>
        <w:ind w:firstLine="420" w:firstLineChars="200"/>
        <w:jc w:val="left"/>
        <w:rPr>
          <w:rFonts w:hint="eastAsia" w:ascii="宋体" w:hAnsi="宋体"/>
          <w:szCs w:val="21"/>
        </w:rPr>
      </w:pPr>
      <w:r>
        <w:rPr>
          <w:rFonts w:hint="eastAsia" w:ascii="宋体" w:hAnsi="宋体"/>
          <w:szCs w:val="21"/>
        </w:rPr>
        <w:t xml:space="preserve">4. </w:t>
      </w:r>
      <w:r>
        <w:rPr>
          <w:rFonts w:ascii="宋体" w:hAnsi="宋体"/>
          <w:szCs w:val="21"/>
        </w:rPr>
        <w:t>按照法律法规的规定或出现应解除我方保证责任的其他情形的，我方在本保函项下的保证责任亦解除。</w:t>
      </w:r>
    </w:p>
    <w:p w14:paraId="14F98420">
      <w:pPr>
        <w:spacing w:line="360" w:lineRule="auto"/>
        <w:jc w:val="left"/>
        <w:rPr>
          <w:rFonts w:hint="eastAsia" w:ascii="宋体" w:hAnsi="宋体"/>
          <w:szCs w:val="21"/>
        </w:rPr>
      </w:pPr>
    </w:p>
    <w:p w14:paraId="5FEBDD56">
      <w:pPr>
        <w:spacing w:line="360" w:lineRule="auto"/>
        <w:ind w:firstLine="420" w:firstLineChars="200"/>
        <w:jc w:val="left"/>
        <w:rPr>
          <w:rFonts w:ascii="宋体" w:hAnsi="宋体"/>
          <w:szCs w:val="21"/>
        </w:rPr>
      </w:pPr>
      <w:r>
        <w:rPr>
          <w:rFonts w:hint="eastAsia" w:ascii="宋体" w:hAnsi="宋体"/>
          <w:szCs w:val="21"/>
        </w:rPr>
        <w:t xml:space="preserve">5. </w:t>
      </w:r>
      <w:r>
        <w:rPr>
          <w:rFonts w:ascii="宋体" w:hAnsi="宋体"/>
          <w:szCs w:val="21"/>
        </w:rPr>
        <w:t>我方解除保证责任后，你方应自我方保证责任解除之日起</w:t>
      </w:r>
      <w:r>
        <w:rPr>
          <w:rFonts w:hint="eastAsia" w:ascii="宋体" w:hAnsi="宋体"/>
          <w:szCs w:val="21"/>
          <w:u w:val="single"/>
        </w:rPr>
        <w:t xml:space="preserve">  </w:t>
      </w:r>
      <w:r>
        <w:rPr>
          <w:rFonts w:ascii="宋体" w:hAnsi="宋体"/>
          <w:szCs w:val="21"/>
        </w:rPr>
        <w:t>个工作日内，将本保函原件返还我方。</w:t>
      </w:r>
    </w:p>
    <w:p w14:paraId="68053742">
      <w:pPr>
        <w:spacing w:line="360" w:lineRule="auto"/>
        <w:ind w:firstLine="420" w:firstLineChars="200"/>
        <w:jc w:val="left"/>
        <w:outlineLvl w:val="0"/>
        <w:rPr>
          <w:rFonts w:ascii="黑体" w:hAnsi="黑体" w:eastAsia="黑体"/>
          <w:szCs w:val="21"/>
        </w:rPr>
      </w:pPr>
      <w:r>
        <w:rPr>
          <w:rFonts w:ascii="黑体" w:hAnsi="黑体" w:eastAsia="黑体"/>
          <w:szCs w:val="21"/>
        </w:rPr>
        <w:t>六、免责条款</w:t>
      </w:r>
    </w:p>
    <w:p w14:paraId="0951E675">
      <w:pPr>
        <w:spacing w:line="360" w:lineRule="auto"/>
        <w:ind w:firstLine="420" w:firstLineChars="200"/>
        <w:jc w:val="left"/>
        <w:rPr>
          <w:rFonts w:ascii="宋体" w:hAnsi="宋体"/>
          <w:szCs w:val="21"/>
        </w:rPr>
      </w:pPr>
      <w:r>
        <w:rPr>
          <w:rFonts w:hint="eastAsia" w:ascii="宋体" w:hAnsi="宋体"/>
          <w:szCs w:val="21"/>
        </w:rPr>
        <w:t xml:space="preserve">1. </w:t>
      </w:r>
      <w:r>
        <w:rPr>
          <w:rFonts w:ascii="宋体" w:hAnsi="宋体"/>
          <w:szCs w:val="21"/>
        </w:rPr>
        <w:t>因你方违约致使发包人不能履行义务的，我方不承担保证责任。</w:t>
      </w:r>
    </w:p>
    <w:p w14:paraId="532EE105">
      <w:pPr>
        <w:spacing w:line="360" w:lineRule="auto"/>
        <w:ind w:firstLine="420" w:firstLineChars="200"/>
        <w:jc w:val="left"/>
        <w:rPr>
          <w:rFonts w:ascii="宋体" w:hAnsi="宋体"/>
          <w:szCs w:val="21"/>
        </w:rPr>
      </w:pPr>
      <w:r>
        <w:rPr>
          <w:rFonts w:hint="eastAsia" w:ascii="宋体" w:hAnsi="宋体"/>
          <w:szCs w:val="21"/>
        </w:rPr>
        <w:t xml:space="preserve">2. </w:t>
      </w:r>
      <w:r>
        <w:rPr>
          <w:rFonts w:ascii="宋体" w:hAnsi="宋体"/>
          <w:szCs w:val="21"/>
        </w:rPr>
        <w:t>依照法律法规的规定或你方与发包人的另行约定，免除发包人部分或全部义务的，我方亦免除其相应的保证责任。</w:t>
      </w:r>
    </w:p>
    <w:p w14:paraId="7C29311E">
      <w:pPr>
        <w:spacing w:line="360" w:lineRule="auto"/>
        <w:ind w:firstLine="420" w:firstLineChars="200"/>
        <w:jc w:val="left"/>
        <w:rPr>
          <w:rFonts w:ascii="宋体" w:hAnsi="宋体"/>
          <w:szCs w:val="21"/>
        </w:rPr>
      </w:pPr>
      <w:r>
        <w:rPr>
          <w:rFonts w:hint="eastAsia" w:ascii="宋体" w:hAnsi="宋体"/>
          <w:szCs w:val="21"/>
        </w:rPr>
        <w:t xml:space="preserve">3. </w:t>
      </w:r>
      <w:r>
        <w:rPr>
          <w:rFonts w:ascii="宋体" w:hAnsi="宋体"/>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szCs w:val="21"/>
        </w:rPr>
        <w:t>〔</w:t>
      </w:r>
      <w:r>
        <w:rPr>
          <w:rFonts w:ascii="宋体" w:hAnsi="宋体"/>
          <w:szCs w:val="21"/>
        </w:rPr>
        <w:t>变更</w:t>
      </w:r>
      <w:r>
        <w:rPr>
          <w:rFonts w:hint="eastAsia" w:ascii="宋体" w:hAnsi="宋体"/>
          <w:szCs w:val="21"/>
        </w:rPr>
        <w:t>〕</w:t>
      </w:r>
      <w:r>
        <w:rPr>
          <w:rFonts w:ascii="宋体" w:hAnsi="宋体"/>
          <w:szCs w:val="21"/>
        </w:rPr>
        <w:t>约定的变更不受本款限制。</w:t>
      </w:r>
    </w:p>
    <w:p w14:paraId="6A1D06CC">
      <w:pPr>
        <w:spacing w:line="360" w:lineRule="auto"/>
        <w:ind w:firstLine="420" w:firstLineChars="200"/>
        <w:jc w:val="left"/>
        <w:rPr>
          <w:rFonts w:ascii="宋体" w:hAnsi="宋体"/>
          <w:szCs w:val="21"/>
        </w:rPr>
      </w:pPr>
      <w:r>
        <w:rPr>
          <w:rFonts w:hint="eastAsia" w:ascii="宋体" w:hAnsi="宋体"/>
          <w:szCs w:val="21"/>
        </w:rPr>
        <w:t xml:space="preserve">4. </w:t>
      </w:r>
      <w:r>
        <w:rPr>
          <w:rFonts w:ascii="宋体" w:hAnsi="宋体"/>
          <w:szCs w:val="21"/>
        </w:rPr>
        <w:t>因不可抗力造成发包人不能履行义务的，我方不承担保证责任。</w:t>
      </w:r>
    </w:p>
    <w:p w14:paraId="6EA8C6CF">
      <w:pPr>
        <w:spacing w:line="360" w:lineRule="auto"/>
        <w:ind w:firstLine="420" w:firstLineChars="200"/>
        <w:jc w:val="left"/>
        <w:outlineLvl w:val="0"/>
        <w:rPr>
          <w:rFonts w:ascii="黑体" w:hAnsi="黑体" w:eastAsia="黑体"/>
          <w:szCs w:val="21"/>
        </w:rPr>
      </w:pPr>
      <w:r>
        <w:rPr>
          <w:rFonts w:ascii="黑体" w:hAnsi="黑体" w:eastAsia="黑体"/>
          <w:szCs w:val="21"/>
        </w:rPr>
        <w:t>七、争议解决</w:t>
      </w:r>
    </w:p>
    <w:p w14:paraId="73380A99">
      <w:pPr>
        <w:spacing w:after="120" w:line="360" w:lineRule="auto"/>
        <w:ind w:firstLine="420" w:firstLineChars="200"/>
        <w:rPr>
          <w:rFonts w:ascii="宋体" w:hAnsi="宋体"/>
          <w:szCs w:val="21"/>
        </w:rPr>
      </w:pPr>
      <w:r>
        <w:rPr>
          <w:rFonts w:ascii="宋体" w:hAnsi="宋体"/>
          <w:szCs w:val="21"/>
        </w:rPr>
        <w:t>因本保函</w:t>
      </w:r>
      <w:r>
        <w:rPr>
          <w:rFonts w:hint="eastAsia" w:ascii="宋体" w:hAnsi="宋体"/>
          <w:szCs w:val="21"/>
        </w:rPr>
        <w:t>或本保函相关事项</w:t>
      </w:r>
      <w:r>
        <w:rPr>
          <w:rFonts w:ascii="宋体" w:hAnsi="宋体"/>
          <w:szCs w:val="21"/>
        </w:rPr>
        <w:t>发生的纠纷，可由双方协商解决，协商不成的，按下列第</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52CD0447">
      <w:pPr>
        <w:spacing w:line="360" w:lineRule="auto"/>
        <w:ind w:firstLine="420" w:firstLineChars="200"/>
        <w:jc w:val="left"/>
        <w:rPr>
          <w:rFonts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58F1E6DF">
      <w:pPr>
        <w:spacing w:line="360" w:lineRule="auto"/>
        <w:ind w:firstLine="420" w:firstLineChars="200"/>
        <w:jc w:val="left"/>
        <w:rPr>
          <w:rFonts w:ascii="宋体" w:hAnsi="宋体"/>
          <w:szCs w:val="21"/>
        </w:rPr>
      </w:pPr>
      <w:r>
        <w:rPr>
          <w:rFonts w:ascii="宋体" w:hAnsi="宋体"/>
          <w:szCs w:val="21"/>
        </w:rPr>
        <w:t>（2）向</w:t>
      </w:r>
      <w:r>
        <w:rPr>
          <w:rFonts w:ascii="宋体" w:hAnsi="宋体"/>
          <w:szCs w:val="21"/>
          <w:u w:val="single"/>
        </w:rPr>
        <w:t xml:space="preserve">                     </w:t>
      </w:r>
      <w:r>
        <w:rPr>
          <w:rFonts w:ascii="宋体" w:hAnsi="宋体"/>
          <w:szCs w:val="21"/>
        </w:rPr>
        <w:t>人民法院起诉。</w:t>
      </w:r>
    </w:p>
    <w:p w14:paraId="0627B660">
      <w:pPr>
        <w:spacing w:line="360" w:lineRule="auto"/>
        <w:ind w:firstLine="420" w:firstLineChars="200"/>
        <w:jc w:val="left"/>
        <w:outlineLvl w:val="0"/>
        <w:rPr>
          <w:rFonts w:ascii="黑体" w:hAnsi="黑体" w:eastAsia="黑体"/>
          <w:szCs w:val="21"/>
        </w:rPr>
      </w:pPr>
      <w:r>
        <w:rPr>
          <w:rFonts w:ascii="黑体" w:hAnsi="黑体" w:eastAsia="黑体"/>
          <w:szCs w:val="21"/>
        </w:rPr>
        <w:t>八、保函的生效</w:t>
      </w:r>
    </w:p>
    <w:p w14:paraId="717507A9">
      <w:pPr>
        <w:spacing w:line="360" w:lineRule="auto"/>
        <w:ind w:firstLine="420" w:firstLineChars="200"/>
        <w:jc w:val="left"/>
        <w:rPr>
          <w:rFonts w:ascii="宋体" w:hAnsi="宋体"/>
          <w:szCs w:val="21"/>
        </w:rPr>
      </w:pPr>
      <w:r>
        <w:rPr>
          <w:rFonts w:ascii="宋体" w:hAnsi="宋体"/>
          <w:szCs w:val="21"/>
        </w:rPr>
        <w:t>本保函自我方法定代表人（或其授权代理人）签字并加盖公章之日起生效。</w:t>
      </w:r>
    </w:p>
    <w:p w14:paraId="6FBE4614">
      <w:pPr>
        <w:spacing w:line="360" w:lineRule="auto"/>
        <w:ind w:firstLine="420" w:firstLineChars="200"/>
        <w:jc w:val="left"/>
        <w:rPr>
          <w:rFonts w:hint="eastAsia" w:ascii="宋体" w:hAnsi="宋体"/>
          <w:szCs w:val="21"/>
        </w:rPr>
      </w:pPr>
    </w:p>
    <w:p w14:paraId="7D4FE81F">
      <w:pPr>
        <w:spacing w:line="360" w:lineRule="auto"/>
        <w:ind w:right="600"/>
        <w:jc w:val="left"/>
        <w:rPr>
          <w:rFonts w:hint="eastAsia" w:ascii="宋体" w:hAnsi="宋体"/>
          <w:szCs w:val="21"/>
        </w:rPr>
      </w:pPr>
    </w:p>
    <w:p w14:paraId="0B5F22FC">
      <w:pPr>
        <w:spacing w:line="360" w:lineRule="auto"/>
        <w:ind w:right="600" w:firstLine="2625" w:firstLineChars="1250"/>
        <w:jc w:val="left"/>
        <w:rPr>
          <w:rFonts w:ascii="宋体" w:hAnsi="宋体"/>
          <w:szCs w:val="21"/>
        </w:rPr>
      </w:pPr>
      <w:r>
        <w:rPr>
          <w:rFonts w:ascii="宋体" w:hAnsi="宋体"/>
          <w:szCs w:val="21"/>
        </w:rPr>
        <w:t>担保人：</w:t>
      </w:r>
      <w:r>
        <w:rPr>
          <w:rFonts w:ascii="宋体" w:hAnsi="宋体"/>
          <w:szCs w:val="21"/>
          <w:u w:val="single"/>
        </w:rPr>
        <w:t xml:space="preserve">                                   </w:t>
      </w:r>
      <w:r>
        <w:rPr>
          <w:rFonts w:ascii="宋体" w:hAnsi="宋体"/>
          <w:szCs w:val="21"/>
        </w:rPr>
        <w:t>（盖章）</w:t>
      </w:r>
    </w:p>
    <w:p w14:paraId="34B853F9">
      <w:pPr>
        <w:spacing w:line="360" w:lineRule="auto"/>
        <w:ind w:right="1200" w:firstLine="2625" w:firstLineChars="1250"/>
        <w:rPr>
          <w:rFonts w:ascii="宋体" w:hAnsi="宋体"/>
          <w:szCs w:val="21"/>
        </w:rPr>
      </w:pPr>
      <w:r>
        <w:rPr>
          <w:rFonts w:ascii="宋体" w:hAnsi="宋体"/>
          <w:szCs w:val="21"/>
        </w:rPr>
        <w:t>法定代表人或委托代理人：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（签字）</w:t>
      </w:r>
    </w:p>
    <w:p w14:paraId="3115C424">
      <w:pPr>
        <w:spacing w:line="360" w:lineRule="auto"/>
        <w:ind w:firstLine="2625" w:firstLineChars="1250"/>
        <w:jc w:val="left"/>
        <w:rPr>
          <w:rFonts w:ascii="宋体" w:hAnsi="宋体"/>
          <w:szCs w:val="21"/>
        </w:rPr>
      </w:pPr>
      <w:r>
        <w:rPr>
          <w:rFonts w:ascii="宋体" w:hAnsi="宋体"/>
          <w:szCs w:val="21"/>
        </w:rPr>
        <w:t>地    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9E03848">
      <w:pPr>
        <w:spacing w:line="360" w:lineRule="auto"/>
        <w:ind w:firstLine="2625" w:firstLineChars="1250"/>
        <w:jc w:val="left"/>
        <w:rPr>
          <w:rFonts w:ascii="宋体" w:hAnsi="宋体"/>
          <w:szCs w:val="21"/>
        </w:rPr>
      </w:pPr>
      <w:r>
        <w:rPr>
          <w:rFonts w:ascii="宋体" w:hAnsi="宋体"/>
          <w:szCs w:val="21"/>
        </w:rPr>
        <w:t>邮政编码：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5EB36562">
      <w:pPr>
        <w:spacing w:line="360" w:lineRule="auto"/>
        <w:ind w:firstLine="2625" w:firstLineChars="1250"/>
        <w:jc w:val="left"/>
        <w:rPr>
          <w:rFonts w:ascii="宋体" w:hAnsi="宋体"/>
          <w:szCs w:val="21"/>
        </w:rPr>
      </w:pPr>
      <w:r>
        <w:rPr>
          <w:rFonts w:ascii="宋体" w:hAnsi="宋体"/>
          <w:szCs w:val="21"/>
        </w:rPr>
        <w:t>传    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1BF120FF">
      <w:pPr>
        <w:spacing w:line="360" w:lineRule="auto"/>
        <w:ind w:right="150" w:firstLine="420" w:firstLineChars="200"/>
        <w:jc w:val="left"/>
        <w:rPr>
          <w:rFonts w:ascii="宋体" w:hAnsi="宋体"/>
          <w:szCs w:val="21"/>
          <w:u w:val="single"/>
        </w:rPr>
      </w:pPr>
    </w:p>
    <w:p w14:paraId="1795E0D4">
      <w:pPr>
        <w:spacing w:line="360" w:lineRule="auto"/>
        <w:ind w:right="150" w:firstLine="420" w:firstLineChars="200"/>
        <w:jc w:val="left"/>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427BE18E">
      <w:pPr>
        <w:spacing w:before="120" w:beforeLines="50" w:after="120" w:afterLines="50" w:line="440" w:lineRule="exact"/>
        <w:jc w:val="left"/>
        <w:rPr>
          <w:rFonts w:eastAsia="黑体"/>
          <w:sz w:val="30"/>
          <w:szCs w:val="30"/>
        </w:rPr>
      </w:pPr>
      <w:r>
        <w:rPr>
          <w:rFonts w:eastAsia="仿宋_GB2312"/>
          <w:sz w:val="30"/>
          <w:szCs w:val="30"/>
        </w:rPr>
        <w:br w:type="page"/>
      </w:r>
      <w:r>
        <w:rPr>
          <w:rFonts w:ascii="宋体" w:hAnsi="宋体"/>
          <w:sz w:val="24"/>
        </w:rPr>
        <w:t>附件11：</w:t>
      </w:r>
    </w:p>
    <w:p w14:paraId="5FFE305D">
      <w:pPr>
        <w:spacing w:before="120" w:beforeLines="50" w:after="120" w:afterLines="50" w:line="440" w:lineRule="exact"/>
        <w:jc w:val="center"/>
        <w:rPr>
          <w:rFonts w:eastAsia="黑体"/>
          <w:sz w:val="28"/>
          <w:szCs w:val="28"/>
        </w:rPr>
      </w:pPr>
      <w:r>
        <w:rPr>
          <w:rFonts w:eastAsia="黑体"/>
          <w:sz w:val="28"/>
          <w:szCs w:val="28"/>
        </w:rPr>
        <w:t>11-1：材料暂估价表</w:t>
      </w:r>
    </w:p>
    <w:tbl>
      <w:tblPr>
        <w:tblStyle w:val="15"/>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4844F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5591B258">
            <w:pPr>
              <w:pStyle w:val="6"/>
              <w:keepNext/>
              <w:spacing w:after="0" w:line="440" w:lineRule="exact"/>
              <w:ind w:left="63" w:right="63"/>
              <w:jc w:val="center"/>
              <w:rPr>
                <w:rFonts w:ascii="宋体" w:hAnsi="宋体"/>
                <w:szCs w:val="21"/>
              </w:rPr>
            </w:pPr>
            <w:r>
              <w:rPr>
                <w:rFonts w:ascii="宋体" w:hAnsi="宋体"/>
                <w:szCs w:val="21"/>
              </w:rPr>
              <w:t>序号</w:t>
            </w:r>
          </w:p>
        </w:tc>
        <w:tc>
          <w:tcPr>
            <w:tcW w:w="1984" w:type="dxa"/>
            <w:tcBorders>
              <w:top w:val="single" w:color="auto" w:sz="12" w:space="0"/>
              <w:bottom w:val="double" w:color="auto" w:sz="6" w:space="0"/>
            </w:tcBorders>
            <w:noWrap w:val="0"/>
            <w:vAlign w:val="center"/>
          </w:tcPr>
          <w:p w14:paraId="44DF22D5">
            <w:pPr>
              <w:pStyle w:val="6"/>
              <w:keepNext/>
              <w:spacing w:after="0" w:line="440" w:lineRule="exact"/>
              <w:ind w:left="63" w:right="63"/>
              <w:jc w:val="center"/>
              <w:rPr>
                <w:rFonts w:ascii="宋体" w:hAnsi="宋体"/>
                <w:szCs w:val="21"/>
              </w:rPr>
            </w:pPr>
            <w:r>
              <w:rPr>
                <w:rFonts w:ascii="宋体" w:hAnsi="宋体"/>
                <w:szCs w:val="21"/>
              </w:rPr>
              <w:t>名称</w:t>
            </w:r>
          </w:p>
        </w:tc>
        <w:tc>
          <w:tcPr>
            <w:tcW w:w="851" w:type="dxa"/>
            <w:tcBorders>
              <w:top w:val="single" w:color="auto" w:sz="12" w:space="0"/>
              <w:bottom w:val="double" w:color="auto" w:sz="6" w:space="0"/>
            </w:tcBorders>
            <w:noWrap w:val="0"/>
            <w:vAlign w:val="center"/>
          </w:tcPr>
          <w:p w14:paraId="05C3E9C6">
            <w:pPr>
              <w:pStyle w:val="6"/>
              <w:keepNext/>
              <w:spacing w:after="0" w:line="440" w:lineRule="exact"/>
              <w:ind w:left="63" w:right="63"/>
              <w:jc w:val="center"/>
              <w:rPr>
                <w:rFonts w:ascii="宋体" w:hAnsi="宋体"/>
                <w:szCs w:val="21"/>
              </w:rPr>
            </w:pPr>
            <w:r>
              <w:rPr>
                <w:rFonts w:ascii="宋体" w:hAnsi="宋体"/>
                <w:szCs w:val="21"/>
              </w:rPr>
              <w:t>单位</w:t>
            </w:r>
          </w:p>
        </w:tc>
        <w:tc>
          <w:tcPr>
            <w:tcW w:w="774" w:type="dxa"/>
            <w:tcBorders>
              <w:top w:val="single" w:color="auto" w:sz="12" w:space="0"/>
              <w:bottom w:val="double" w:color="auto" w:sz="6" w:space="0"/>
            </w:tcBorders>
            <w:noWrap w:val="0"/>
            <w:vAlign w:val="center"/>
          </w:tcPr>
          <w:p w14:paraId="4DFE88A7">
            <w:pPr>
              <w:pStyle w:val="6"/>
              <w:keepNext/>
              <w:spacing w:after="0" w:line="440" w:lineRule="exact"/>
              <w:ind w:left="63" w:right="63"/>
              <w:jc w:val="center"/>
              <w:rPr>
                <w:rFonts w:ascii="宋体" w:hAnsi="宋体"/>
                <w:szCs w:val="21"/>
              </w:rPr>
            </w:pPr>
            <w:r>
              <w:rPr>
                <w:rFonts w:ascii="宋体" w:hAnsi="宋体"/>
                <w:szCs w:val="21"/>
              </w:rPr>
              <w:t>数量</w:t>
            </w:r>
          </w:p>
        </w:tc>
        <w:tc>
          <w:tcPr>
            <w:tcW w:w="1352" w:type="dxa"/>
            <w:tcBorders>
              <w:top w:val="single" w:color="auto" w:sz="12" w:space="0"/>
              <w:bottom w:val="double" w:color="auto" w:sz="6" w:space="0"/>
            </w:tcBorders>
            <w:noWrap w:val="0"/>
            <w:vAlign w:val="center"/>
          </w:tcPr>
          <w:p w14:paraId="2AB6DFA2">
            <w:pPr>
              <w:pStyle w:val="6"/>
              <w:keepNext/>
              <w:spacing w:after="0" w:line="440" w:lineRule="exact"/>
              <w:ind w:left="63" w:right="63"/>
              <w:jc w:val="center"/>
              <w:rPr>
                <w:rFonts w:ascii="宋体" w:hAnsi="宋体"/>
                <w:szCs w:val="21"/>
              </w:rPr>
            </w:pPr>
            <w:r>
              <w:rPr>
                <w:rFonts w:ascii="宋体" w:hAnsi="宋体"/>
                <w:szCs w:val="21"/>
              </w:rPr>
              <w:t>单价</w:t>
            </w:r>
            <w:r>
              <w:rPr>
                <w:rFonts w:hint="eastAsia" w:ascii="宋体" w:hAnsi="宋体"/>
                <w:szCs w:val="21"/>
              </w:rPr>
              <w:t>（元）</w:t>
            </w:r>
          </w:p>
        </w:tc>
        <w:tc>
          <w:tcPr>
            <w:tcW w:w="1418" w:type="dxa"/>
            <w:tcBorders>
              <w:top w:val="single" w:color="auto" w:sz="12" w:space="0"/>
              <w:bottom w:val="double" w:color="auto" w:sz="6" w:space="0"/>
            </w:tcBorders>
            <w:noWrap w:val="0"/>
            <w:vAlign w:val="center"/>
          </w:tcPr>
          <w:p w14:paraId="046BA851">
            <w:pPr>
              <w:pStyle w:val="6"/>
              <w:keepNext/>
              <w:spacing w:after="0" w:line="440" w:lineRule="exact"/>
              <w:ind w:left="63" w:right="63"/>
              <w:jc w:val="center"/>
              <w:rPr>
                <w:rFonts w:ascii="宋体" w:hAnsi="宋体"/>
                <w:szCs w:val="21"/>
              </w:rPr>
            </w:pPr>
            <w:r>
              <w:rPr>
                <w:rFonts w:ascii="宋体" w:hAnsi="宋体"/>
                <w:szCs w:val="21"/>
              </w:rPr>
              <w:t>合价</w:t>
            </w:r>
            <w:r>
              <w:rPr>
                <w:rFonts w:hint="eastAsia" w:ascii="宋体" w:hAnsi="宋体"/>
                <w:szCs w:val="21"/>
              </w:rPr>
              <w:t>（元）</w:t>
            </w:r>
          </w:p>
        </w:tc>
        <w:tc>
          <w:tcPr>
            <w:tcW w:w="1701" w:type="dxa"/>
            <w:tcBorders>
              <w:top w:val="single" w:color="auto" w:sz="12" w:space="0"/>
              <w:bottom w:val="double" w:color="auto" w:sz="6" w:space="0"/>
            </w:tcBorders>
            <w:noWrap w:val="0"/>
            <w:vAlign w:val="center"/>
          </w:tcPr>
          <w:p w14:paraId="0C4AEC8F">
            <w:pPr>
              <w:pStyle w:val="6"/>
              <w:keepNext/>
              <w:spacing w:after="0" w:line="440" w:lineRule="exact"/>
              <w:ind w:left="63" w:right="63"/>
              <w:jc w:val="center"/>
              <w:rPr>
                <w:rFonts w:ascii="宋体" w:hAnsi="宋体"/>
                <w:szCs w:val="21"/>
              </w:rPr>
            </w:pPr>
            <w:r>
              <w:rPr>
                <w:rFonts w:ascii="宋体" w:hAnsi="宋体"/>
                <w:szCs w:val="21"/>
              </w:rPr>
              <w:t>备注</w:t>
            </w:r>
          </w:p>
        </w:tc>
      </w:tr>
      <w:tr w14:paraId="7D92B0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0C377B14">
            <w:pPr>
              <w:pStyle w:val="6"/>
              <w:keepNext/>
              <w:spacing w:after="0" w:line="440" w:lineRule="exact"/>
              <w:ind w:left="63" w:right="63"/>
              <w:rPr>
                <w:rFonts w:eastAsia="仿宋_GB2312"/>
                <w:sz w:val="28"/>
                <w:szCs w:val="30"/>
              </w:rPr>
            </w:pPr>
          </w:p>
        </w:tc>
        <w:tc>
          <w:tcPr>
            <w:tcW w:w="1984" w:type="dxa"/>
            <w:tcBorders>
              <w:top w:val="double" w:color="auto" w:sz="6" w:space="0"/>
              <w:bottom w:val="single" w:color="auto" w:sz="6" w:space="0"/>
            </w:tcBorders>
            <w:noWrap w:val="0"/>
            <w:vAlign w:val="top"/>
          </w:tcPr>
          <w:p w14:paraId="45A252B9">
            <w:pPr>
              <w:pStyle w:val="6"/>
              <w:keepNext/>
              <w:spacing w:after="0" w:line="440" w:lineRule="exact"/>
              <w:ind w:left="63" w:right="63"/>
              <w:rPr>
                <w:rFonts w:eastAsia="仿宋_GB2312"/>
                <w:sz w:val="28"/>
                <w:szCs w:val="30"/>
              </w:rPr>
            </w:pPr>
          </w:p>
        </w:tc>
        <w:tc>
          <w:tcPr>
            <w:tcW w:w="851" w:type="dxa"/>
            <w:tcBorders>
              <w:top w:val="double" w:color="auto" w:sz="6" w:space="0"/>
              <w:bottom w:val="single" w:color="auto" w:sz="6" w:space="0"/>
            </w:tcBorders>
            <w:noWrap w:val="0"/>
            <w:vAlign w:val="top"/>
          </w:tcPr>
          <w:p w14:paraId="33B8E86F">
            <w:pPr>
              <w:pStyle w:val="6"/>
              <w:keepNext/>
              <w:spacing w:after="0" w:line="440" w:lineRule="exact"/>
              <w:ind w:left="63" w:right="63"/>
              <w:rPr>
                <w:rFonts w:eastAsia="仿宋_GB2312"/>
                <w:sz w:val="28"/>
                <w:szCs w:val="30"/>
              </w:rPr>
            </w:pPr>
          </w:p>
        </w:tc>
        <w:tc>
          <w:tcPr>
            <w:tcW w:w="774" w:type="dxa"/>
            <w:tcBorders>
              <w:top w:val="double" w:color="auto" w:sz="6" w:space="0"/>
              <w:bottom w:val="single" w:color="auto" w:sz="6" w:space="0"/>
            </w:tcBorders>
            <w:noWrap w:val="0"/>
            <w:vAlign w:val="top"/>
          </w:tcPr>
          <w:p w14:paraId="0D10C256">
            <w:pPr>
              <w:pStyle w:val="6"/>
              <w:keepNext/>
              <w:spacing w:after="0" w:line="440" w:lineRule="exact"/>
              <w:ind w:left="63" w:right="63"/>
              <w:rPr>
                <w:rFonts w:eastAsia="仿宋_GB2312"/>
                <w:sz w:val="28"/>
                <w:szCs w:val="30"/>
              </w:rPr>
            </w:pPr>
          </w:p>
        </w:tc>
        <w:tc>
          <w:tcPr>
            <w:tcW w:w="1352" w:type="dxa"/>
            <w:tcBorders>
              <w:top w:val="double" w:color="auto" w:sz="6" w:space="0"/>
              <w:bottom w:val="single" w:color="auto" w:sz="6" w:space="0"/>
            </w:tcBorders>
            <w:noWrap w:val="0"/>
            <w:vAlign w:val="top"/>
          </w:tcPr>
          <w:p w14:paraId="5F6E6A58">
            <w:pPr>
              <w:pStyle w:val="6"/>
              <w:keepNext/>
              <w:spacing w:after="0" w:line="440" w:lineRule="exact"/>
              <w:ind w:left="63" w:right="63"/>
              <w:rPr>
                <w:rFonts w:eastAsia="仿宋_GB2312"/>
                <w:sz w:val="28"/>
                <w:szCs w:val="30"/>
              </w:rPr>
            </w:pPr>
          </w:p>
        </w:tc>
        <w:tc>
          <w:tcPr>
            <w:tcW w:w="1418" w:type="dxa"/>
            <w:tcBorders>
              <w:top w:val="double" w:color="auto" w:sz="6" w:space="0"/>
              <w:bottom w:val="single" w:color="auto" w:sz="6" w:space="0"/>
            </w:tcBorders>
            <w:noWrap w:val="0"/>
            <w:vAlign w:val="top"/>
          </w:tcPr>
          <w:p w14:paraId="765B7381">
            <w:pPr>
              <w:pStyle w:val="6"/>
              <w:keepNext/>
              <w:spacing w:after="0" w:line="440" w:lineRule="exact"/>
              <w:ind w:left="63" w:right="63"/>
              <w:rPr>
                <w:rFonts w:eastAsia="仿宋_GB2312"/>
                <w:sz w:val="28"/>
                <w:szCs w:val="30"/>
              </w:rPr>
            </w:pPr>
          </w:p>
        </w:tc>
        <w:tc>
          <w:tcPr>
            <w:tcW w:w="1701" w:type="dxa"/>
            <w:tcBorders>
              <w:top w:val="double" w:color="auto" w:sz="6" w:space="0"/>
              <w:bottom w:val="single" w:color="auto" w:sz="6" w:space="0"/>
            </w:tcBorders>
            <w:noWrap w:val="0"/>
            <w:vAlign w:val="top"/>
          </w:tcPr>
          <w:p w14:paraId="0CCA6354">
            <w:pPr>
              <w:pStyle w:val="6"/>
              <w:keepNext/>
              <w:spacing w:after="0" w:line="440" w:lineRule="exact"/>
              <w:ind w:left="63" w:right="63"/>
              <w:rPr>
                <w:rFonts w:eastAsia="仿宋_GB2312"/>
                <w:sz w:val="28"/>
                <w:szCs w:val="30"/>
              </w:rPr>
            </w:pPr>
          </w:p>
        </w:tc>
      </w:tr>
      <w:tr w14:paraId="3408B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nil"/>
            </w:tcBorders>
            <w:noWrap w:val="0"/>
            <w:vAlign w:val="top"/>
          </w:tcPr>
          <w:p w14:paraId="6CECDC8A">
            <w:pPr>
              <w:pStyle w:val="6"/>
              <w:keepNext/>
              <w:spacing w:after="0" w:line="440" w:lineRule="exact"/>
              <w:ind w:left="63" w:right="63"/>
              <w:rPr>
                <w:rFonts w:eastAsia="仿宋_GB2312"/>
                <w:sz w:val="28"/>
                <w:szCs w:val="30"/>
              </w:rPr>
            </w:pPr>
          </w:p>
        </w:tc>
        <w:tc>
          <w:tcPr>
            <w:tcW w:w="1984" w:type="dxa"/>
            <w:tcBorders>
              <w:top w:val="nil"/>
            </w:tcBorders>
            <w:noWrap w:val="0"/>
            <w:vAlign w:val="top"/>
          </w:tcPr>
          <w:p w14:paraId="418FA0F9">
            <w:pPr>
              <w:pStyle w:val="6"/>
              <w:keepNext/>
              <w:spacing w:after="0" w:line="440" w:lineRule="exact"/>
              <w:ind w:left="63" w:right="63"/>
              <w:rPr>
                <w:rFonts w:eastAsia="仿宋_GB2312"/>
                <w:sz w:val="28"/>
                <w:szCs w:val="30"/>
              </w:rPr>
            </w:pPr>
          </w:p>
        </w:tc>
        <w:tc>
          <w:tcPr>
            <w:tcW w:w="851" w:type="dxa"/>
            <w:tcBorders>
              <w:top w:val="nil"/>
            </w:tcBorders>
            <w:noWrap w:val="0"/>
            <w:vAlign w:val="top"/>
          </w:tcPr>
          <w:p w14:paraId="36CEA560">
            <w:pPr>
              <w:pStyle w:val="6"/>
              <w:keepNext/>
              <w:spacing w:after="0" w:line="440" w:lineRule="exact"/>
              <w:ind w:left="63" w:right="63"/>
              <w:rPr>
                <w:rFonts w:eastAsia="仿宋_GB2312"/>
                <w:sz w:val="28"/>
                <w:szCs w:val="30"/>
              </w:rPr>
            </w:pPr>
          </w:p>
        </w:tc>
        <w:tc>
          <w:tcPr>
            <w:tcW w:w="774" w:type="dxa"/>
            <w:tcBorders>
              <w:top w:val="nil"/>
            </w:tcBorders>
            <w:noWrap w:val="0"/>
            <w:vAlign w:val="top"/>
          </w:tcPr>
          <w:p w14:paraId="1B1FDE9D">
            <w:pPr>
              <w:pStyle w:val="6"/>
              <w:keepNext/>
              <w:spacing w:after="0" w:line="440" w:lineRule="exact"/>
              <w:ind w:left="63" w:right="63"/>
              <w:rPr>
                <w:rFonts w:eastAsia="仿宋_GB2312"/>
                <w:sz w:val="28"/>
                <w:szCs w:val="30"/>
              </w:rPr>
            </w:pPr>
          </w:p>
        </w:tc>
        <w:tc>
          <w:tcPr>
            <w:tcW w:w="1352" w:type="dxa"/>
            <w:tcBorders>
              <w:top w:val="nil"/>
            </w:tcBorders>
            <w:noWrap w:val="0"/>
            <w:vAlign w:val="top"/>
          </w:tcPr>
          <w:p w14:paraId="36DFFACF">
            <w:pPr>
              <w:pStyle w:val="6"/>
              <w:keepNext/>
              <w:spacing w:after="0" w:line="440" w:lineRule="exact"/>
              <w:ind w:left="63" w:right="63"/>
              <w:rPr>
                <w:rFonts w:eastAsia="仿宋_GB2312"/>
                <w:sz w:val="28"/>
                <w:szCs w:val="30"/>
              </w:rPr>
            </w:pPr>
          </w:p>
        </w:tc>
        <w:tc>
          <w:tcPr>
            <w:tcW w:w="1418" w:type="dxa"/>
            <w:tcBorders>
              <w:top w:val="nil"/>
            </w:tcBorders>
            <w:noWrap w:val="0"/>
            <w:vAlign w:val="top"/>
          </w:tcPr>
          <w:p w14:paraId="291C7753">
            <w:pPr>
              <w:pStyle w:val="6"/>
              <w:keepNext/>
              <w:spacing w:after="0" w:line="440" w:lineRule="exact"/>
              <w:ind w:left="63" w:right="63"/>
              <w:rPr>
                <w:rFonts w:eastAsia="仿宋_GB2312"/>
                <w:sz w:val="28"/>
                <w:szCs w:val="30"/>
              </w:rPr>
            </w:pPr>
          </w:p>
        </w:tc>
        <w:tc>
          <w:tcPr>
            <w:tcW w:w="1701" w:type="dxa"/>
            <w:tcBorders>
              <w:top w:val="nil"/>
            </w:tcBorders>
            <w:noWrap w:val="0"/>
            <w:vAlign w:val="top"/>
          </w:tcPr>
          <w:p w14:paraId="1188FBBD">
            <w:pPr>
              <w:pStyle w:val="6"/>
              <w:keepNext/>
              <w:spacing w:after="0" w:line="440" w:lineRule="exact"/>
              <w:ind w:left="63" w:right="63"/>
              <w:rPr>
                <w:rFonts w:eastAsia="仿宋_GB2312"/>
                <w:sz w:val="28"/>
                <w:szCs w:val="30"/>
              </w:rPr>
            </w:pPr>
          </w:p>
        </w:tc>
      </w:tr>
      <w:tr w14:paraId="7DEF9D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09F672">
            <w:pPr>
              <w:pStyle w:val="6"/>
              <w:keepNext/>
              <w:spacing w:after="0" w:line="440" w:lineRule="exact"/>
              <w:ind w:left="63" w:right="63"/>
              <w:rPr>
                <w:rFonts w:eastAsia="仿宋_GB2312"/>
                <w:sz w:val="28"/>
                <w:szCs w:val="30"/>
              </w:rPr>
            </w:pPr>
          </w:p>
        </w:tc>
        <w:tc>
          <w:tcPr>
            <w:tcW w:w="1984" w:type="dxa"/>
            <w:noWrap w:val="0"/>
            <w:vAlign w:val="top"/>
          </w:tcPr>
          <w:p w14:paraId="7B3ECF62">
            <w:pPr>
              <w:pStyle w:val="6"/>
              <w:keepNext/>
              <w:spacing w:after="0" w:line="440" w:lineRule="exact"/>
              <w:ind w:left="63" w:right="63"/>
              <w:rPr>
                <w:rFonts w:eastAsia="仿宋_GB2312"/>
                <w:sz w:val="28"/>
                <w:szCs w:val="30"/>
              </w:rPr>
            </w:pPr>
          </w:p>
        </w:tc>
        <w:tc>
          <w:tcPr>
            <w:tcW w:w="851" w:type="dxa"/>
            <w:noWrap w:val="0"/>
            <w:vAlign w:val="top"/>
          </w:tcPr>
          <w:p w14:paraId="335A3984">
            <w:pPr>
              <w:pStyle w:val="6"/>
              <w:keepNext/>
              <w:spacing w:after="0" w:line="440" w:lineRule="exact"/>
              <w:ind w:left="63" w:right="63"/>
              <w:rPr>
                <w:rFonts w:eastAsia="仿宋_GB2312"/>
                <w:sz w:val="28"/>
                <w:szCs w:val="30"/>
              </w:rPr>
            </w:pPr>
          </w:p>
        </w:tc>
        <w:tc>
          <w:tcPr>
            <w:tcW w:w="774" w:type="dxa"/>
            <w:noWrap w:val="0"/>
            <w:vAlign w:val="top"/>
          </w:tcPr>
          <w:p w14:paraId="3D3F0F73">
            <w:pPr>
              <w:pStyle w:val="6"/>
              <w:keepNext/>
              <w:spacing w:after="0" w:line="440" w:lineRule="exact"/>
              <w:ind w:left="63" w:right="63"/>
              <w:rPr>
                <w:rFonts w:eastAsia="仿宋_GB2312"/>
                <w:sz w:val="28"/>
                <w:szCs w:val="30"/>
              </w:rPr>
            </w:pPr>
          </w:p>
        </w:tc>
        <w:tc>
          <w:tcPr>
            <w:tcW w:w="1352" w:type="dxa"/>
            <w:noWrap w:val="0"/>
            <w:vAlign w:val="top"/>
          </w:tcPr>
          <w:p w14:paraId="36A98EAB">
            <w:pPr>
              <w:pStyle w:val="6"/>
              <w:keepNext/>
              <w:spacing w:after="0" w:line="440" w:lineRule="exact"/>
              <w:ind w:left="63" w:right="63"/>
              <w:rPr>
                <w:rFonts w:eastAsia="仿宋_GB2312"/>
                <w:sz w:val="28"/>
                <w:szCs w:val="30"/>
              </w:rPr>
            </w:pPr>
          </w:p>
        </w:tc>
        <w:tc>
          <w:tcPr>
            <w:tcW w:w="1418" w:type="dxa"/>
            <w:noWrap w:val="0"/>
            <w:vAlign w:val="top"/>
          </w:tcPr>
          <w:p w14:paraId="430B94C0">
            <w:pPr>
              <w:pStyle w:val="6"/>
              <w:keepNext/>
              <w:spacing w:after="0" w:line="440" w:lineRule="exact"/>
              <w:ind w:left="63" w:right="63"/>
              <w:rPr>
                <w:rFonts w:eastAsia="仿宋_GB2312"/>
                <w:sz w:val="28"/>
                <w:szCs w:val="30"/>
              </w:rPr>
            </w:pPr>
          </w:p>
        </w:tc>
        <w:tc>
          <w:tcPr>
            <w:tcW w:w="1701" w:type="dxa"/>
            <w:noWrap w:val="0"/>
            <w:vAlign w:val="top"/>
          </w:tcPr>
          <w:p w14:paraId="4CD9EC14">
            <w:pPr>
              <w:pStyle w:val="6"/>
              <w:keepNext/>
              <w:spacing w:after="0" w:line="440" w:lineRule="exact"/>
              <w:ind w:left="63" w:right="63"/>
              <w:rPr>
                <w:rFonts w:eastAsia="仿宋_GB2312"/>
                <w:sz w:val="28"/>
                <w:szCs w:val="30"/>
              </w:rPr>
            </w:pPr>
          </w:p>
        </w:tc>
      </w:tr>
      <w:tr w14:paraId="02BE7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07AE3A">
            <w:pPr>
              <w:pStyle w:val="6"/>
              <w:keepNext/>
              <w:spacing w:after="0" w:line="440" w:lineRule="exact"/>
              <w:ind w:left="63" w:right="63"/>
              <w:rPr>
                <w:rFonts w:eastAsia="仿宋_GB2312"/>
                <w:sz w:val="28"/>
                <w:szCs w:val="30"/>
              </w:rPr>
            </w:pPr>
          </w:p>
        </w:tc>
        <w:tc>
          <w:tcPr>
            <w:tcW w:w="1984" w:type="dxa"/>
            <w:noWrap w:val="0"/>
            <w:vAlign w:val="top"/>
          </w:tcPr>
          <w:p w14:paraId="218FEEC3">
            <w:pPr>
              <w:pStyle w:val="6"/>
              <w:keepNext/>
              <w:spacing w:after="0" w:line="440" w:lineRule="exact"/>
              <w:ind w:left="63" w:right="63"/>
              <w:rPr>
                <w:rFonts w:eastAsia="仿宋_GB2312"/>
                <w:sz w:val="28"/>
                <w:szCs w:val="30"/>
              </w:rPr>
            </w:pPr>
          </w:p>
        </w:tc>
        <w:tc>
          <w:tcPr>
            <w:tcW w:w="851" w:type="dxa"/>
            <w:noWrap w:val="0"/>
            <w:vAlign w:val="top"/>
          </w:tcPr>
          <w:p w14:paraId="439BF609">
            <w:pPr>
              <w:pStyle w:val="6"/>
              <w:keepNext/>
              <w:spacing w:after="0" w:line="440" w:lineRule="exact"/>
              <w:ind w:left="63" w:right="63"/>
              <w:rPr>
                <w:rFonts w:eastAsia="仿宋_GB2312"/>
                <w:sz w:val="28"/>
                <w:szCs w:val="30"/>
              </w:rPr>
            </w:pPr>
          </w:p>
        </w:tc>
        <w:tc>
          <w:tcPr>
            <w:tcW w:w="774" w:type="dxa"/>
            <w:noWrap w:val="0"/>
            <w:vAlign w:val="top"/>
          </w:tcPr>
          <w:p w14:paraId="24313428">
            <w:pPr>
              <w:pStyle w:val="6"/>
              <w:keepNext/>
              <w:spacing w:after="0" w:line="440" w:lineRule="exact"/>
              <w:ind w:left="63" w:right="63"/>
              <w:rPr>
                <w:rFonts w:eastAsia="仿宋_GB2312"/>
                <w:sz w:val="28"/>
                <w:szCs w:val="30"/>
              </w:rPr>
            </w:pPr>
          </w:p>
        </w:tc>
        <w:tc>
          <w:tcPr>
            <w:tcW w:w="1352" w:type="dxa"/>
            <w:noWrap w:val="0"/>
            <w:vAlign w:val="top"/>
          </w:tcPr>
          <w:p w14:paraId="1AA9EBC6">
            <w:pPr>
              <w:pStyle w:val="6"/>
              <w:keepNext/>
              <w:spacing w:after="0" w:line="440" w:lineRule="exact"/>
              <w:ind w:left="63" w:right="63"/>
              <w:rPr>
                <w:rFonts w:eastAsia="仿宋_GB2312"/>
                <w:sz w:val="28"/>
                <w:szCs w:val="30"/>
              </w:rPr>
            </w:pPr>
          </w:p>
        </w:tc>
        <w:tc>
          <w:tcPr>
            <w:tcW w:w="1418" w:type="dxa"/>
            <w:noWrap w:val="0"/>
            <w:vAlign w:val="top"/>
          </w:tcPr>
          <w:p w14:paraId="4517D71F">
            <w:pPr>
              <w:pStyle w:val="6"/>
              <w:keepNext/>
              <w:spacing w:after="0" w:line="440" w:lineRule="exact"/>
              <w:ind w:left="63" w:right="63"/>
              <w:rPr>
                <w:rFonts w:eastAsia="仿宋_GB2312"/>
                <w:sz w:val="28"/>
                <w:szCs w:val="30"/>
              </w:rPr>
            </w:pPr>
          </w:p>
        </w:tc>
        <w:tc>
          <w:tcPr>
            <w:tcW w:w="1701" w:type="dxa"/>
            <w:noWrap w:val="0"/>
            <w:vAlign w:val="top"/>
          </w:tcPr>
          <w:p w14:paraId="7C809B75">
            <w:pPr>
              <w:pStyle w:val="6"/>
              <w:keepNext/>
              <w:spacing w:after="0" w:line="440" w:lineRule="exact"/>
              <w:ind w:left="63" w:right="63"/>
              <w:rPr>
                <w:rFonts w:eastAsia="仿宋_GB2312"/>
                <w:sz w:val="28"/>
                <w:szCs w:val="30"/>
              </w:rPr>
            </w:pPr>
          </w:p>
        </w:tc>
      </w:tr>
      <w:tr w14:paraId="09161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F6A68A">
            <w:pPr>
              <w:pStyle w:val="6"/>
              <w:keepNext/>
              <w:spacing w:after="0" w:line="440" w:lineRule="exact"/>
              <w:ind w:left="63" w:right="63"/>
              <w:rPr>
                <w:rFonts w:eastAsia="仿宋_GB2312"/>
                <w:sz w:val="28"/>
                <w:szCs w:val="30"/>
              </w:rPr>
            </w:pPr>
          </w:p>
        </w:tc>
        <w:tc>
          <w:tcPr>
            <w:tcW w:w="1984" w:type="dxa"/>
            <w:noWrap w:val="0"/>
            <w:vAlign w:val="top"/>
          </w:tcPr>
          <w:p w14:paraId="100B80BD">
            <w:pPr>
              <w:pStyle w:val="6"/>
              <w:keepNext/>
              <w:spacing w:after="0" w:line="440" w:lineRule="exact"/>
              <w:ind w:left="63" w:right="63"/>
              <w:rPr>
                <w:rFonts w:eastAsia="仿宋_GB2312"/>
                <w:sz w:val="28"/>
                <w:szCs w:val="30"/>
              </w:rPr>
            </w:pPr>
          </w:p>
        </w:tc>
        <w:tc>
          <w:tcPr>
            <w:tcW w:w="851" w:type="dxa"/>
            <w:noWrap w:val="0"/>
            <w:vAlign w:val="top"/>
          </w:tcPr>
          <w:p w14:paraId="01343B41">
            <w:pPr>
              <w:pStyle w:val="6"/>
              <w:keepNext/>
              <w:spacing w:after="0" w:line="440" w:lineRule="exact"/>
              <w:ind w:left="63" w:right="63"/>
              <w:rPr>
                <w:rFonts w:eastAsia="仿宋_GB2312"/>
                <w:sz w:val="28"/>
                <w:szCs w:val="30"/>
              </w:rPr>
            </w:pPr>
          </w:p>
        </w:tc>
        <w:tc>
          <w:tcPr>
            <w:tcW w:w="774" w:type="dxa"/>
            <w:noWrap w:val="0"/>
            <w:vAlign w:val="top"/>
          </w:tcPr>
          <w:p w14:paraId="7DB1FA94">
            <w:pPr>
              <w:pStyle w:val="6"/>
              <w:keepNext/>
              <w:spacing w:after="0" w:line="440" w:lineRule="exact"/>
              <w:ind w:left="63" w:right="63"/>
              <w:rPr>
                <w:rFonts w:eastAsia="仿宋_GB2312"/>
                <w:sz w:val="28"/>
                <w:szCs w:val="30"/>
              </w:rPr>
            </w:pPr>
          </w:p>
        </w:tc>
        <w:tc>
          <w:tcPr>
            <w:tcW w:w="1352" w:type="dxa"/>
            <w:noWrap w:val="0"/>
            <w:vAlign w:val="top"/>
          </w:tcPr>
          <w:p w14:paraId="1E9C3206">
            <w:pPr>
              <w:pStyle w:val="6"/>
              <w:keepNext/>
              <w:spacing w:after="0" w:line="440" w:lineRule="exact"/>
              <w:ind w:left="63" w:right="63"/>
              <w:rPr>
                <w:rFonts w:eastAsia="仿宋_GB2312"/>
                <w:sz w:val="28"/>
                <w:szCs w:val="30"/>
              </w:rPr>
            </w:pPr>
          </w:p>
        </w:tc>
        <w:tc>
          <w:tcPr>
            <w:tcW w:w="1418" w:type="dxa"/>
            <w:noWrap w:val="0"/>
            <w:vAlign w:val="top"/>
          </w:tcPr>
          <w:p w14:paraId="304D4A5D">
            <w:pPr>
              <w:pStyle w:val="6"/>
              <w:keepNext/>
              <w:spacing w:after="0" w:line="440" w:lineRule="exact"/>
              <w:ind w:left="63" w:right="63"/>
              <w:rPr>
                <w:rFonts w:eastAsia="仿宋_GB2312"/>
                <w:sz w:val="28"/>
                <w:szCs w:val="30"/>
              </w:rPr>
            </w:pPr>
          </w:p>
        </w:tc>
        <w:tc>
          <w:tcPr>
            <w:tcW w:w="1701" w:type="dxa"/>
            <w:noWrap w:val="0"/>
            <w:vAlign w:val="top"/>
          </w:tcPr>
          <w:p w14:paraId="684E1847">
            <w:pPr>
              <w:pStyle w:val="6"/>
              <w:keepNext/>
              <w:spacing w:after="0" w:line="440" w:lineRule="exact"/>
              <w:ind w:left="63" w:right="63"/>
              <w:rPr>
                <w:rFonts w:eastAsia="仿宋_GB2312"/>
                <w:sz w:val="28"/>
                <w:szCs w:val="30"/>
              </w:rPr>
            </w:pPr>
          </w:p>
        </w:tc>
      </w:tr>
      <w:tr w14:paraId="754D8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EE028B">
            <w:pPr>
              <w:pStyle w:val="6"/>
              <w:keepNext/>
              <w:spacing w:after="0" w:line="440" w:lineRule="exact"/>
              <w:ind w:left="63" w:right="63"/>
              <w:rPr>
                <w:rFonts w:eastAsia="仿宋_GB2312"/>
                <w:sz w:val="28"/>
                <w:szCs w:val="30"/>
              </w:rPr>
            </w:pPr>
          </w:p>
        </w:tc>
        <w:tc>
          <w:tcPr>
            <w:tcW w:w="1984" w:type="dxa"/>
            <w:noWrap w:val="0"/>
            <w:vAlign w:val="top"/>
          </w:tcPr>
          <w:p w14:paraId="3FBD4C52">
            <w:pPr>
              <w:pStyle w:val="6"/>
              <w:keepNext/>
              <w:spacing w:after="0" w:line="440" w:lineRule="exact"/>
              <w:ind w:left="63" w:right="63"/>
              <w:rPr>
                <w:rFonts w:eastAsia="仿宋_GB2312"/>
                <w:sz w:val="28"/>
                <w:szCs w:val="30"/>
              </w:rPr>
            </w:pPr>
          </w:p>
        </w:tc>
        <w:tc>
          <w:tcPr>
            <w:tcW w:w="851" w:type="dxa"/>
            <w:noWrap w:val="0"/>
            <w:vAlign w:val="top"/>
          </w:tcPr>
          <w:p w14:paraId="56ECD46B">
            <w:pPr>
              <w:pStyle w:val="6"/>
              <w:keepNext/>
              <w:spacing w:after="0" w:line="440" w:lineRule="exact"/>
              <w:ind w:left="63" w:right="63"/>
              <w:rPr>
                <w:rFonts w:eastAsia="仿宋_GB2312"/>
                <w:sz w:val="28"/>
                <w:szCs w:val="30"/>
              </w:rPr>
            </w:pPr>
          </w:p>
        </w:tc>
        <w:tc>
          <w:tcPr>
            <w:tcW w:w="774" w:type="dxa"/>
            <w:noWrap w:val="0"/>
            <w:vAlign w:val="top"/>
          </w:tcPr>
          <w:p w14:paraId="73E1420C">
            <w:pPr>
              <w:pStyle w:val="6"/>
              <w:keepNext/>
              <w:spacing w:after="0" w:line="440" w:lineRule="exact"/>
              <w:ind w:left="63" w:right="63"/>
              <w:rPr>
                <w:rFonts w:eastAsia="仿宋_GB2312"/>
                <w:sz w:val="28"/>
                <w:szCs w:val="30"/>
              </w:rPr>
            </w:pPr>
          </w:p>
        </w:tc>
        <w:tc>
          <w:tcPr>
            <w:tcW w:w="1352" w:type="dxa"/>
            <w:noWrap w:val="0"/>
            <w:vAlign w:val="top"/>
          </w:tcPr>
          <w:p w14:paraId="15DBE8A5">
            <w:pPr>
              <w:pStyle w:val="6"/>
              <w:keepNext/>
              <w:spacing w:after="0" w:line="440" w:lineRule="exact"/>
              <w:ind w:left="63" w:right="63"/>
              <w:rPr>
                <w:rFonts w:eastAsia="仿宋_GB2312"/>
                <w:sz w:val="28"/>
                <w:szCs w:val="30"/>
              </w:rPr>
            </w:pPr>
          </w:p>
        </w:tc>
        <w:tc>
          <w:tcPr>
            <w:tcW w:w="1418" w:type="dxa"/>
            <w:noWrap w:val="0"/>
            <w:vAlign w:val="top"/>
          </w:tcPr>
          <w:p w14:paraId="3115EF02">
            <w:pPr>
              <w:pStyle w:val="6"/>
              <w:keepNext/>
              <w:spacing w:after="0" w:line="440" w:lineRule="exact"/>
              <w:ind w:left="63" w:right="63"/>
              <w:rPr>
                <w:rFonts w:eastAsia="仿宋_GB2312"/>
                <w:sz w:val="28"/>
                <w:szCs w:val="30"/>
              </w:rPr>
            </w:pPr>
          </w:p>
        </w:tc>
        <w:tc>
          <w:tcPr>
            <w:tcW w:w="1701" w:type="dxa"/>
            <w:noWrap w:val="0"/>
            <w:vAlign w:val="top"/>
          </w:tcPr>
          <w:p w14:paraId="08BE3A7B">
            <w:pPr>
              <w:pStyle w:val="6"/>
              <w:keepNext/>
              <w:spacing w:after="0" w:line="440" w:lineRule="exact"/>
              <w:ind w:left="63" w:right="63"/>
              <w:rPr>
                <w:rFonts w:eastAsia="仿宋_GB2312"/>
                <w:sz w:val="28"/>
                <w:szCs w:val="30"/>
              </w:rPr>
            </w:pPr>
          </w:p>
        </w:tc>
      </w:tr>
      <w:tr w14:paraId="0DCDCD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0411D1">
            <w:pPr>
              <w:pStyle w:val="6"/>
              <w:keepNext/>
              <w:spacing w:after="0" w:line="440" w:lineRule="exact"/>
              <w:ind w:left="63" w:right="63"/>
              <w:rPr>
                <w:rFonts w:eastAsia="仿宋_GB2312"/>
                <w:sz w:val="28"/>
                <w:szCs w:val="30"/>
              </w:rPr>
            </w:pPr>
          </w:p>
        </w:tc>
        <w:tc>
          <w:tcPr>
            <w:tcW w:w="1984" w:type="dxa"/>
            <w:noWrap w:val="0"/>
            <w:vAlign w:val="top"/>
          </w:tcPr>
          <w:p w14:paraId="231FC31F">
            <w:pPr>
              <w:pStyle w:val="6"/>
              <w:keepNext/>
              <w:spacing w:after="0" w:line="440" w:lineRule="exact"/>
              <w:ind w:left="63" w:right="63"/>
              <w:rPr>
                <w:rFonts w:eastAsia="仿宋_GB2312"/>
                <w:sz w:val="28"/>
                <w:szCs w:val="30"/>
              </w:rPr>
            </w:pPr>
          </w:p>
        </w:tc>
        <w:tc>
          <w:tcPr>
            <w:tcW w:w="851" w:type="dxa"/>
            <w:noWrap w:val="0"/>
            <w:vAlign w:val="top"/>
          </w:tcPr>
          <w:p w14:paraId="736CF04D">
            <w:pPr>
              <w:pStyle w:val="6"/>
              <w:keepNext/>
              <w:spacing w:after="0" w:line="440" w:lineRule="exact"/>
              <w:ind w:left="63" w:right="63"/>
              <w:rPr>
                <w:rFonts w:eastAsia="仿宋_GB2312"/>
                <w:sz w:val="28"/>
                <w:szCs w:val="30"/>
              </w:rPr>
            </w:pPr>
          </w:p>
        </w:tc>
        <w:tc>
          <w:tcPr>
            <w:tcW w:w="774" w:type="dxa"/>
            <w:noWrap w:val="0"/>
            <w:vAlign w:val="top"/>
          </w:tcPr>
          <w:p w14:paraId="1800E452">
            <w:pPr>
              <w:pStyle w:val="6"/>
              <w:keepNext/>
              <w:spacing w:after="0" w:line="440" w:lineRule="exact"/>
              <w:ind w:left="63" w:right="63"/>
              <w:rPr>
                <w:rFonts w:eastAsia="仿宋_GB2312"/>
                <w:sz w:val="28"/>
                <w:szCs w:val="30"/>
              </w:rPr>
            </w:pPr>
          </w:p>
        </w:tc>
        <w:tc>
          <w:tcPr>
            <w:tcW w:w="1352" w:type="dxa"/>
            <w:noWrap w:val="0"/>
            <w:vAlign w:val="top"/>
          </w:tcPr>
          <w:p w14:paraId="74B663EE">
            <w:pPr>
              <w:pStyle w:val="6"/>
              <w:keepNext/>
              <w:spacing w:after="0" w:line="440" w:lineRule="exact"/>
              <w:ind w:left="63" w:right="63"/>
              <w:rPr>
                <w:rFonts w:eastAsia="仿宋_GB2312"/>
                <w:sz w:val="28"/>
                <w:szCs w:val="30"/>
              </w:rPr>
            </w:pPr>
          </w:p>
        </w:tc>
        <w:tc>
          <w:tcPr>
            <w:tcW w:w="1418" w:type="dxa"/>
            <w:noWrap w:val="0"/>
            <w:vAlign w:val="top"/>
          </w:tcPr>
          <w:p w14:paraId="5D080D07">
            <w:pPr>
              <w:pStyle w:val="6"/>
              <w:keepNext/>
              <w:spacing w:after="0" w:line="440" w:lineRule="exact"/>
              <w:ind w:left="63" w:right="63"/>
              <w:rPr>
                <w:rFonts w:eastAsia="仿宋_GB2312"/>
                <w:sz w:val="28"/>
                <w:szCs w:val="30"/>
              </w:rPr>
            </w:pPr>
          </w:p>
        </w:tc>
        <w:tc>
          <w:tcPr>
            <w:tcW w:w="1701" w:type="dxa"/>
            <w:noWrap w:val="0"/>
            <w:vAlign w:val="top"/>
          </w:tcPr>
          <w:p w14:paraId="11D01385">
            <w:pPr>
              <w:pStyle w:val="6"/>
              <w:keepNext/>
              <w:spacing w:after="0" w:line="440" w:lineRule="exact"/>
              <w:ind w:left="63" w:right="63"/>
              <w:rPr>
                <w:rFonts w:eastAsia="仿宋_GB2312"/>
                <w:sz w:val="28"/>
                <w:szCs w:val="30"/>
              </w:rPr>
            </w:pPr>
          </w:p>
        </w:tc>
      </w:tr>
      <w:tr w14:paraId="1FCBF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E8F8B9">
            <w:pPr>
              <w:pStyle w:val="6"/>
              <w:keepNext/>
              <w:spacing w:after="0" w:line="440" w:lineRule="exact"/>
              <w:ind w:left="63" w:right="63"/>
              <w:rPr>
                <w:rFonts w:eastAsia="仿宋_GB2312"/>
                <w:sz w:val="28"/>
                <w:szCs w:val="30"/>
              </w:rPr>
            </w:pPr>
          </w:p>
        </w:tc>
        <w:tc>
          <w:tcPr>
            <w:tcW w:w="1984" w:type="dxa"/>
            <w:noWrap w:val="0"/>
            <w:vAlign w:val="top"/>
          </w:tcPr>
          <w:p w14:paraId="4000C669">
            <w:pPr>
              <w:pStyle w:val="6"/>
              <w:keepNext/>
              <w:spacing w:after="0" w:line="440" w:lineRule="exact"/>
              <w:ind w:left="63" w:right="63"/>
              <w:rPr>
                <w:rFonts w:eastAsia="仿宋_GB2312"/>
                <w:sz w:val="28"/>
                <w:szCs w:val="30"/>
              </w:rPr>
            </w:pPr>
          </w:p>
        </w:tc>
        <w:tc>
          <w:tcPr>
            <w:tcW w:w="851" w:type="dxa"/>
            <w:noWrap w:val="0"/>
            <w:vAlign w:val="top"/>
          </w:tcPr>
          <w:p w14:paraId="55617766">
            <w:pPr>
              <w:pStyle w:val="6"/>
              <w:keepNext/>
              <w:spacing w:after="0" w:line="440" w:lineRule="exact"/>
              <w:ind w:left="63" w:right="63"/>
              <w:rPr>
                <w:rFonts w:eastAsia="仿宋_GB2312"/>
                <w:sz w:val="28"/>
                <w:szCs w:val="30"/>
              </w:rPr>
            </w:pPr>
          </w:p>
        </w:tc>
        <w:tc>
          <w:tcPr>
            <w:tcW w:w="774" w:type="dxa"/>
            <w:noWrap w:val="0"/>
            <w:vAlign w:val="top"/>
          </w:tcPr>
          <w:p w14:paraId="18AF7BA9">
            <w:pPr>
              <w:pStyle w:val="6"/>
              <w:keepNext/>
              <w:spacing w:after="0" w:line="440" w:lineRule="exact"/>
              <w:ind w:left="63" w:right="63"/>
              <w:rPr>
                <w:rFonts w:eastAsia="仿宋_GB2312"/>
                <w:sz w:val="28"/>
                <w:szCs w:val="30"/>
              </w:rPr>
            </w:pPr>
          </w:p>
        </w:tc>
        <w:tc>
          <w:tcPr>
            <w:tcW w:w="1352" w:type="dxa"/>
            <w:noWrap w:val="0"/>
            <w:vAlign w:val="top"/>
          </w:tcPr>
          <w:p w14:paraId="6A2B23F1">
            <w:pPr>
              <w:pStyle w:val="6"/>
              <w:keepNext/>
              <w:spacing w:after="0" w:line="440" w:lineRule="exact"/>
              <w:ind w:left="63" w:right="63"/>
              <w:rPr>
                <w:rFonts w:eastAsia="仿宋_GB2312"/>
                <w:sz w:val="28"/>
                <w:szCs w:val="30"/>
              </w:rPr>
            </w:pPr>
          </w:p>
        </w:tc>
        <w:tc>
          <w:tcPr>
            <w:tcW w:w="1418" w:type="dxa"/>
            <w:noWrap w:val="0"/>
            <w:vAlign w:val="top"/>
          </w:tcPr>
          <w:p w14:paraId="17D4859C">
            <w:pPr>
              <w:pStyle w:val="6"/>
              <w:keepNext/>
              <w:spacing w:after="0" w:line="440" w:lineRule="exact"/>
              <w:ind w:left="63" w:right="63"/>
              <w:rPr>
                <w:rFonts w:eastAsia="仿宋_GB2312"/>
                <w:sz w:val="28"/>
                <w:szCs w:val="30"/>
              </w:rPr>
            </w:pPr>
          </w:p>
        </w:tc>
        <w:tc>
          <w:tcPr>
            <w:tcW w:w="1701" w:type="dxa"/>
            <w:noWrap w:val="0"/>
            <w:vAlign w:val="top"/>
          </w:tcPr>
          <w:p w14:paraId="7C2F3D6A">
            <w:pPr>
              <w:pStyle w:val="6"/>
              <w:keepNext/>
              <w:spacing w:after="0" w:line="440" w:lineRule="exact"/>
              <w:ind w:left="63" w:right="63"/>
              <w:rPr>
                <w:rFonts w:eastAsia="仿宋_GB2312"/>
                <w:sz w:val="28"/>
                <w:szCs w:val="30"/>
              </w:rPr>
            </w:pPr>
          </w:p>
        </w:tc>
      </w:tr>
      <w:tr w14:paraId="7E6BB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C31E21">
            <w:pPr>
              <w:pStyle w:val="6"/>
              <w:keepNext/>
              <w:spacing w:after="0" w:line="440" w:lineRule="exact"/>
              <w:ind w:left="63" w:right="63"/>
              <w:rPr>
                <w:rFonts w:eastAsia="仿宋_GB2312"/>
                <w:sz w:val="28"/>
                <w:szCs w:val="30"/>
              </w:rPr>
            </w:pPr>
          </w:p>
        </w:tc>
        <w:tc>
          <w:tcPr>
            <w:tcW w:w="1984" w:type="dxa"/>
            <w:noWrap w:val="0"/>
            <w:vAlign w:val="top"/>
          </w:tcPr>
          <w:p w14:paraId="5B00AF10">
            <w:pPr>
              <w:pStyle w:val="6"/>
              <w:keepNext/>
              <w:spacing w:after="0" w:line="440" w:lineRule="exact"/>
              <w:ind w:left="63" w:right="63"/>
              <w:rPr>
                <w:rFonts w:eastAsia="仿宋_GB2312"/>
                <w:sz w:val="28"/>
                <w:szCs w:val="30"/>
              </w:rPr>
            </w:pPr>
          </w:p>
        </w:tc>
        <w:tc>
          <w:tcPr>
            <w:tcW w:w="851" w:type="dxa"/>
            <w:noWrap w:val="0"/>
            <w:vAlign w:val="top"/>
          </w:tcPr>
          <w:p w14:paraId="2CF0E185">
            <w:pPr>
              <w:pStyle w:val="6"/>
              <w:keepNext/>
              <w:spacing w:after="0" w:line="440" w:lineRule="exact"/>
              <w:ind w:left="63" w:right="63"/>
              <w:rPr>
                <w:rFonts w:eastAsia="仿宋_GB2312"/>
                <w:sz w:val="28"/>
                <w:szCs w:val="30"/>
              </w:rPr>
            </w:pPr>
          </w:p>
        </w:tc>
        <w:tc>
          <w:tcPr>
            <w:tcW w:w="774" w:type="dxa"/>
            <w:noWrap w:val="0"/>
            <w:vAlign w:val="top"/>
          </w:tcPr>
          <w:p w14:paraId="1A5130E7">
            <w:pPr>
              <w:pStyle w:val="6"/>
              <w:keepNext/>
              <w:spacing w:after="0" w:line="440" w:lineRule="exact"/>
              <w:ind w:left="63" w:right="63"/>
              <w:rPr>
                <w:rFonts w:eastAsia="仿宋_GB2312"/>
                <w:sz w:val="28"/>
                <w:szCs w:val="30"/>
              </w:rPr>
            </w:pPr>
          </w:p>
        </w:tc>
        <w:tc>
          <w:tcPr>
            <w:tcW w:w="1352" w:type="dxa"/>
            <w:noWrap w:val="0"/>
            <w:vAlign w:val="top"/>
          </w:tcPr>
          <w:p w14:paraId="4C06D07F">
            <w:pPr>
              <w:pStyle w:val="6"/>
              <w:keepNext/>
              <w:spacing w:after="0" w:line="440" w:lineRule="exact"/>
              <w:ind w:left="63" w:right="63"/>
              <w:rPr>
                <w:rFonts w:eastAsia="仿宋_GB2312"/>
                <w:sz w:val="28"/>
                <w:szCs w:val="30"/>
              </w:rPr>
            </w:pPr>
          </w:p>
        </w:tc>
        <w:tc>
          <w:tcPr>
            <w:tcW w:w="1418" w:type="dxa"/>
            <w:noWrap w:val="0"/>
            <w:vAlign w:val="top"/>
          </w:tcPr>
          <w:p w14:paraId="459F4563">
            <w:pPr>
              <w:pStyle w:val="6"/>
              <w:keepNext/>
              <w:spacing w:after="0" w:line="440" w:lineRule="exact"/>
              <w:ind w:left="63" w:right="63"/>
              <w:rPr>
                <w:rFonts w:eastAsia="仿宋_GB2312"/>
                <w:sz w:val="28"/>
                <w:szCs w:val="30"/>
              </w:rPr>
            </w:pPr>
          </w:p>
        </w:tc>
        <w:tc>
          <w:tcPr>
            <w:tcW w:w="1701" w:type="dxa"/>
            <w:noWrap w:val="0"/>
            <w:vAlign w:val="top"/>
          </w:tcPr>
          <w:p w14:paraId="0CA654F7">
            <w:pPr>
              <w:pStyle w:val="6"/>
              <w:keepNext/>
              <w:spacing w:after="0" w:line="440" w:lineRule="exact"/>
              <w:ind w:left="63" w:right="63"/>
              <w:rPr>
                <w:rFonts w:eastAsia="仿宋_GB2312"/>
                <w:sz w:val="28"/>
                <w:szCs w:val="30"/>
              </w:rPr>
            </w:pPr>
          </w:p>
        </w:tc>
      </w:tr>
      <w:tr w14:paraId="402777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7554C5">
            <w:pPr>
              <w:pStyle w:val="6"/>
              <w:keepNext/>
              <w:spacing w:after="0" w:line="440" w:lineRule="exact"/>
              <w:ind w:left="63" w:right="63"/>
              <w:rPr>
                <w:rFonts w:eastAsia="仿宋_GB2312"/>
                <w:sz w:val="28"/>
                <w:szCs w:val="30"/>
              </w:rPr>
            </w:pPr>
          </w:p>
        </w:tc>
        <w:tc>
          <w:tcPr>
            <w:tcW w:w="1984" w:type="dxa"/>
            <w:noWrap w:val="0"/>
            <w:vAlign w:val="top"/>
          </w:tcPr>
          <w:p w14:paraId="407F84E4">
            <w:pPr>
              <w:pStyle w:val="6"/>
              <w:keepNext/>
              <w:spacing w:after="0" w:line="440" w:lineRule="exact"/>
              <w:ind w:left="63" w:right="63"/>
              <w:rPr>
                <w:rFonts w:eastAsia="仿宋_GB2312"/>
                <w:sz w:val="28"/>
                <w:szCs w:val="30"/>
              </w:rPr>
            </w:pPr>
          </w:p>
        </w:tc>
        <w:tc>
          <w:tcPr>
            <w:tcW w:w="851" w:type="dxa"/>
            <w:noWrap w:val="0"/>
            <w:vAlign w:val="top"/>
          </w:tcPr>
          <w:p w14:paraId="2B905F78">
            <w:pPr>
              <w:pStyle w:val="6"/>
              <w:keepNext/>
              <w:spacing w:after="0" w:line="440" w:lineRule="exact"/>
              <w:ind w:left="63" w:right="63"/>
              <w:rPr>
                <w:rFonts w:eastAsia="仿宋_GB2312"/>
                <w:sz w:val="28"/>
                <w:szCs w:val="30"/>
              </w:rPr>
            </w:pPr>
          </w:p>
        </w:tc>
        <w:tc>
          <w:tcPr>
            <w:tcW w:w="774" w:type="dxa"/>
            <w:noWrap w:val="0"/>
            <w:vAlign w:val="top"/>
          </w:tcPr>
          <w:p w14:paraId="002A98CC">
            <w:pPr>
              <w:pStyle w:val="6"/>
              <w:keepNext/>
              <w:spacing w:after="0" w:line="440" w:lineRule="exact"/>
              <w:ind w:left="63" w:right="63"/>
              <w:rPr>
                <w:rFonts w:eastAsia="仿宋_GB2312"/>
                <w:sz w:val="28"/>
                <w:szCs w:val="30"/>
              </w:rPr>
            </w:pPr>
          </w:p>
        </w:tc>
        <w:tc>
          <w:tcPr>
            <w:tcW w:w="1352" w:type="dxa"/>
            <w:noWrap w:val="0"/>
            <w:vAlign w:val="top"/>
          </w:tcPr>
          <w:p w14:paraId="4B590348">
            <w:pPr>
              <w:pStyle w:val="6"/>
              <w:keepNext/>
              <w:spacing w:after="0" w:line="440" w:lineRule="exact"/>
              <w:ind w:left="63" w:right="63"/>
              <w:rPr>
                <w:rFonts w:eastAsia="仿宋_GB2312"/>
                <w:sz w:val="28"/>
                <w:szCs w:val="30"/>
              </w:rPr>
            </w:pPr>
          </w:p>
        </w:tc>
        <w:tc>
          <w:tcPr>
            <w:tcW w:w="1418" w:type="dxa"/>
            <w:noWrap w:val="0"/>
            <w:vAlign w:val="top"/>
          </w:tcPr>
          <w:p w14:paraId="1051DC37">
            <w:pPr>
              <w:pStyle w:val="6"/>
              <w:keepNext/>
              <w:spacing w:after="0" w:line="440" w:lineRule="exact"/>
              <w:ind w:left="63" w:right="63"/>
              <w:rPr>
                <w:rFonts w:eastAsia="仿宋_GB2312"/>
                <w:sz w:val="28"/>
                <w:szCs w:val="30"/>
              </w:rPr>
            </w:pPr>
          </w:p>
        </w:tc>
        <w:tc>
          <w:tcPr>
            <w:tcW w:w="1701" w:type="dxa"/>
            <w:noWrap w:val="0"/>
            <w:vAlign w:val="top"/>
          </w:tcPr>
          <w:p w14:paraId="04E0F883">
            <w:pPr>
              <w:pStyle w:val="6"/>
              <w:keepNext/>
              <w:spacing w:after="0" w:line="440" w:lineRule="exact"/>
              <w:ind w:left="63" w:right="63"/>
              <w:rPr>
                <w:rFonts w:eastAsia="仿宋_GB2312"/>
                <w:sz w:val="28"/>
                <w:szCs w:val="30"/>
              </w:rPr>
            </w:pPr>
          </w:p>
        </w:tc>
      </w:tr>
      <w:tr w14:paraId="05D8F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top"/>
          </w:tcPr>
          <w:p w14:paraId="2E575705">
            <w:pPr>
              <w:pStyle w:val="6"/>
              <w:keepNext/>
              <w:spacing w:after="0" w:line="440" w:lineRule="exact"/>
              <w:ind w:left="63" w:right="63"/>
              <w:rPr>
                <w:rFonts w:eastAsia="仿宋_GB2312"/>
                <w:sz w:val="28"/>
                <w:szCs w:val="30"/>
              </w:rPr>
            </w:pPr>
          </w:p>
        </w:tc>
        <w:tc>
          <w:tcPr>
            <w:tcW w:w="1984" w:type="dxa"/>
            <w:noWrap w:val="0"/>
            <w:vAlign w:val="top"/>
          </w:tcPr>
          <w:p w14:paraId="67D9F3B7">
            <w:pPr>
              <w:pStyle w:val="6"/>
              <w:keepNext/>
              <w:spacing w:after="0" w:line="440" w:lineRule="exact"/>
              <w:ind w:left="63" w:right="63"/>
              <w:rPr>
                <w:rFonts w:eastAsia="仿宋_GB2312"/>
                <w:sz w:val="28"/>
                <w:szCs w:val="30"/>
              </w:rPr>
            </w:pPr>
          </w:p>
        </w:tc>
        <w:tc>
          <w:tcPr>
            <w:tcW w:w="851" w:type="dxa"/>
            <w:noWrap w:val="0"/>
            <w:vAlign w:val="top"/>
          </w:tcPr>
          <w:p w14:paraId="7972D0AB">
            <w:pPr>
              <w:pStyle w:val="6"/>
              <w:keepNext/>
              <w:spacing w:after="0" w:line="440" w:lineRule="exact"/>
              <w:ind w:left="63" w:right="63"/>
              <w:rPr>
                <w:rFonts w:eastAsia="仿宋_GB2312"/>
                <w:sz w:val="28"/>
                <w:szCs w:val="30"/>
              </w:rPr>
            </w:pPr>
          </w:p>
        </w:tc>
        <w:tc>
          <w:tcPr>
            <w:tcW w:w="774" w:type="dxa"/>
            <w:noWrap w:val="0"/>
            <w:vAlign w:val="top"/>
          </w:tcPr>
          <w:p w14:paraId="16E584A8">
            <w:pPr>
              <w:pStyle w:val="6"/>
              <w:keepNext/>
              <w:spacing w:after="0" w:line="440" w:lineRule="exact"/>
              <w:ind w:left="63" w:right="63"/>
              <w:rPr>
                <w:rFonts w:eastAsia="仿宋_GB2312"/>
                <w:sz w:val="28"/>
                <w:szCs w:val="30"/>
              </w:rPr>
            </w:pPr>
          </w:p>
        </w:tc>
        <w:tc>
          <w:tcPr>
            <w:tcW w:w="1352" w:type="dxa"/>
            <w:noWrap w:val="0"/>
            <w:vAlign w:val="top"/>
          </w:tcPr>
          <w:p w14:paraId="56087BF4">
            <w:pPr>
              <w:pStyle w:val="6"/>
              <w:keepNext/>
              <w:spacing w:after="0" w:line="440" w:lineRule="exact"/>
              <w:ind w:left="63" w:right="63"/>
              <w:rPr>
                <w:rFonts w:eastAsia="仿宋_GB2312"/>
                <w:sz w:val="28"/>
                <w:szCs w:val="30"/>
              </w:rPr>
            </w:pPr>
          </w:p>
        </w:tc>
        <w:tc>
          <w:tcPr>
            <w:tcW w:w="1418" w:type="dxa"/>
            <w:noWrap w:val="0"/>
            <w:vAlign w:val="top"/>
          </w:tcPr>
          <w:p w14:paraId="28A8CDD9">
            <w:pPr>
              <w:pStyle w:val="6"/>
              <w:keepNext/>
              <w:spacing w:after="0" w:line="440" w:lineRule="exact"/>
              <w:ind w:left="63" w:right="63"/>
              <w:rPr>
                <w:rFonts w:eastAsia="仿宋_GB2312"/>
                <w:sz w:val="28"/>
                <w:szCs w:val="30"/>
              </w:rPr>
            </w:pPr>
          </w:p>
        </w:tc>
        <w:tc>
          <w:tcPr>
            <w:tcW w:w="1701" w:type="dxa"/>
            <w:noWrap w:val="0"/>
            <w:vAlign w:val="top"/>
          </w:tcPr>
          <w:p w14:paraId="02323258">
            <w:pPr>
              <w:pStyle w:val="6"/>
              <w:keepNext/>
              <w:spacing w:after="0" w:line="440" w:lineRule="exact"/>
              <w:ind w:left="63" w:right="63"/>
              <w:rPr>
                <w:rFonts w:eastAsia="仿宋_GB2312"/>
                <w:sz w:val="28"/>
                <w:szCs w:val="30"/>
              </w:rPr>
            </w:pPr>
          </w:p>
        </w:tc>
      </w:tr>
      <w:tr w14:paraId="7D7F9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27BDE5">
            <w:pPr>
              <w:pStyle w:val="6"/>
              <w:keepNext/>
              <w:spacing w:after="0" w:line="440" w:lineRule="exact"/>
              <w:ind w:left="63" w:right="63"/>
              <w:rPr>
                <w:rFonts w:eastAsia="仿宋_GB2312"/>
                <w:sz w:val="28"/>
                <w:szCs w:val="30"/>
              </w:rPr>
            </w:pPr>
          </w:p>
        </w:tc>
        <w:tc>
          <w:tcPr>
            <w:tcW w:w="1984" w:type="dxa"/>
            <w:noWrap w:val="0"/>
            <w:vAlign w:val="top"/>
          </w:tcPr>
          <w:p w14:paraId="0ACAFE52">
            <w:pPr>
              <w:pStyle w:val="6"/>
              <w:keepNext/>
              <w:spacing w:after="0" w:line="440" w:lineRule="exact"/>
              <w:ind w:left="63" w:right="63"/>
              <w:rPr>
                <w:rFonts w:eastAsia="仿宋_GB2312"/>
                <w:sz w:val="28"/>
                <w:szCs w:val="30"/>
              </w:rPr>
            </w:pPr>
          </w:p>
        </w:tc>
        <w:tc>
          <w:tcPr>
            <w:tcW w:w="851" w:type="dxa"/>
            <w:noWrap w:val="0"/>
            <w:vAlign w:val="top"/>
          </w:tcPr>
          <w:p w14:paraId="4B758827">
            <w:pPr>
              <w:pStyle w:val="6"/>
              <w:keepNext/>
              <w:spacing w:after="0" w:line="440" w:lineRule="exact"/>
              <w:ind w:left="63" w:right="63"/>
              <w:rPr>
                <w:rFonts w:eastAsia="仿宋_GB2312"/>
                <w:sz w:val="28"/>
                <w:szCs w:val="30"/>
              </w:rPr>
            </w:pPr>
          </w:p>
        </w:tc>
        <w:tc>
          <w:tcPr>
            <w:tcW w:w="774" w:type="dxa"/>
            <w:noWrap w:val="0"/>
            <w:vAlign w:val="top"/>
          </w:tcPr>
          <w:p w14:paraId="7C9F8329">
            <w:pPr>
              <w:pStyle w:val="6"/>
              <w:keepNext/>
              <w:spacing w:after="0" w:line="440" w:lineRule="exact"/>
              <w:ind w:left="63" w:right="63"/>
              <w:rPr>
                <w:rFonts w:eastAsia="仿宋_GB2312"/>
                <w:sz w:val="28"/>
                <w:szCs w:val="30"/>
              </w:rPr>
            </w:pPr>
          </w:p>
        </w:tc>
        <w:tc>
          <w:tcPr>
            <w:tcW w:w="1352" w:type="dxa"/>
            <w:noWrap w:val="0"/>
            <w:vAlign w:val="top"/>
          </w:tcPr>
          <w:p w14:paraId="21E43D28">
            <w:pPr>
              <w:pStyle w:val="6"/>
              <w:keepNext/>
              <w:spacing w:after="0" w:line="440" w:lineRule="exact"/>
              <w:ind w:left="63" w:right="63"/>
              <w:rPr>
                <w:rFonts w:eastAsia="仿宋_GB2312"/>
                <w:sz w:val="28"/>
                <w:szCs w:val="30"/>
              </w:rPr>
            </w:pPr>
          </w:p>
        </w:tc>
        <w:tc>
          <w:tcPr>
            <w:tcW w:w="1418" w:type="dxa"/>
            <w:noWrap w:val="0"/>
            <w:vAlign w:val="top"/>
          </w:tcPr>
          <w:p w14:paraId="54CC90BB">
            <w:pPr>
              <w:pStyle w:val="6"/>
              <w:keepNext/>
              <w:spacing w:after="0" w:line="440" w:lineRule="exact"/>
              <w:ind w:left="63" w:right="63"/>
              <w:rPr>
                <w:rFonts w:eastAsia="仿宋_GB2312"/>
                <w:sz w:val="28"/>
                <w:szCs w:val="30"/>
              </w:rPr>
            </w:pPr>
          </w:p>
        </w:tc>
        <w:tc>
          <w:tcPr>
            <w:tcW w:w="1701" w:type="dxa"/>
            <w:noWrap w:val="0"/>
            <w:vAlign w:val="top"/>
          </w:tcPr>
          <w:p w14:paraId="130EAA1C">
            <w:pPr>
              <w:pStyle w:val="6"/>
              <w:keepNext/>
              <w:spacing w:after="0" w:line="440" w:lineRule="exact"/>
              <w:ind w:left="63" w:right="63"/>
              <w:rPr>
                <w:rFonts w:eastAsia="仿宋_GB2312"/>
                <w:sz w:val="28"/>
                <w:szCs w:val="30"/>
              </w:rPr>
            </w:pPr>
          </w:p>
        </w:tc>
      </w:tr>
      <w:tr w14:paraId="37F88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9A218E">
            <w:pPr>
              <w:pStyle w:val="6"/>
              <w:keepNext/>
              <w:spacing w:after="0" w:line="440" w:lineRule="exact"/>
              <w:ind w:left="63" w:right="63"/>
              <w:rPr>
                <w:rFonts w:eastAsia="仿宋_GB2312"/>
                <w:sz w:val="28"/>
                <w:szCs w:val="30"/>
              </w:rPr>
            </w:pPr>
          </w:p>
        </w:tc>
        <w:tc>
          <w:tcPr>
            <w:tcW w:w="1984" w:type="dxa"/>
            <w:noWrap w:val="0"/>
            <w:vAlign w:val="top"/>
          </w:tcPr>
          <w:p w14:paraId="7C2C8D6A">
            <w:pPr>
              <w:pStyle w:val="6"/>
              <w:keepNext/>
              <w:spacing w:after="0" w:line="440" w:lineRule="exact"/>
              <w:ind w:left="63" w:right="63"/>
              <w:rPr>
                <w:rFonts w:eastAsia="仿宋_GB2312"/>
                <w:sz w:val="28"/>
                <w:szCs w:val="30"/>
              </w:rPr>
            </w:pPr>
          </w:p>
        </w:tc>
        <w:tc>
          <w:tcPr>
            <w:tcW w:w="851" w:type="dxa"/>
            <w:noWrap w:val="0"/>
            <w:vAlign w:val="top"/>
          </w:tcPr>
          <w:p w14:paraId="74B8BB64">
            <w:pPr>
              <w:pStyle w:val="6"/>
              <w:keepNext/>
              <w:spacing w:after="0" w:line="440" w:lineRule="exact"/>
              <w:ind w:left="63" w:right="63"/>
              <w:rPr>
                <w:rFonts w:eastAsia="仿宋_GB2312"/>
                <w:sz w:val="28"/>
                <w:szCs w:val="30"/>
              </w:rPr>
            </w:pPr>
          </w:p>
        </w:tc>
        <w:tc>
          <w:tcPr>
            <w:tcW w:w="774" w:type="dxa"/>
            <w:noWrap w:val="0"/>
            <w:vAlign w:val="top"/>
          </w:tcPr>
          <w:p w14:paraId="030FF11E">
            <w:pPr>
              <w:pStyle w:val="6"/>
              <w:keepNext/>
              <w:spacing w:after="0" w:line="440" w:lineRule="exact"/>
              <w:ind w:left="63" w:right="63"/>
              <w:rPr>
                <w:rFonts w:eastAsia="仿宋_GB2312"/>
                <w:sz w:val="28"/>
                <w:szCs w:val="30"/>
              </w:rPr>
            </w:pPr>
          </w:p>
        </w:tc>
        <w:tc>
          <w:tcPr>
            <w:tcW w:w="1352" w:type="dxa"/>
            <w:noWrap w:val="0"/>
            <w:vAlign w:val="top"/>
          </w:tcPr>
          <w:p w14:paraId="2A1B0709">
            <w:pPr>
              <w:pStyle w:val="6"/>
              <w:keepNext/>
              <w:spacing w:after="0" w:line="440" w:lineRule="exact"/>
              <w:ind w:left="63" w:right="63"/>
              <w:rPr>
                <w:rFonts w:eastAsia="仿宋_GB2312"/>
                <w:sz w:val="28"/>
                <w:szCs w:val="30"/>
              </w:rPr>
            </w:pPr>
          </w:p>
        </w:tc>
        <w:tc>
          <w:tcPr>
            <w:tcW w:w="1418" w:type="dxa"/>
            <w:noWrap w:val="0"/>
            <w:vAlign w:val="top"/>
          </w:tcPr>
          <w:p w14:paraId="40A7F9CE">
            <w:pPr>
              <w:pStyle w:val="6"/>
              <w:keepNext/>
              <w:spacing w:after="0" w:line="440" w:lineRule="exact"/>
              <w:ind w:left="63" w:right="63"/>
              <w:rPr>
                <w:rFonts w:eastAsia="仿宋_GB2312"/>
                <w:sz w:val="28"/>
                <w:szCs w:val="30"/>
              </w:rPr>
            </w:pPr>
          </w:p>
        </w:tc>
        <w:tc>
          <w:tcPr>
            <w:tcW w:w="1701" w:type="dxa"/>
            <w:noWrap w:val="0"/>
            <w:vAlign w:val="top"/>
          </w:tcPr>
          <w:p w14:paraId="235D7CC1">
            <w:pPr>
              <w:pStyle w:val="6"/>
              <w:keepNext/>
              <w:spacing w:after="0" w:line="440" w:lineRule="exact"/>
              <w:ind w:left="63" w:right="63"/>
              <w:rPr>
                <w:rFonts w:eastAsia="仿宋_GB2312"/>
                <w:sz w:val="28"/>
                <w:szCs w:val="30"/>
              </w:rPr>
            </w:pPr>
          </w:p>
        </w:tc>
      </w:tr>
      <w:tr w14:paraId="75298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F912CA">
            <w:pPr>
              <w:pStyle w:val="6"/>
              <w:keepNext/>
              <w:spacing w:after="0" w:line="440" w:lineRule="exact"/>
              <w:ind w:left="63" w:right="63"/>
              <w:rPr>
                <w:rFonts w:eastAsia="仿宋_GB2312"/>
                <w:sz w:val="28"/>
                <w:szCs w:val="30"/>
              </w:rPr>
            </w:pPr>
          </w:p>
        </w:tc>
        <w:tc>
          <w:tcPr>
            <w:tcW w:w="1984" w:type="dxa"/>
            <w:noWrap w:val="0"/>
            <w:vAlign w:val="top"/>
          </w:tcPr>
          <w:p w14:paraId="729DAA46">
            <w:pPr>
              <w:pStyle w:val="6"/>
              <w:keepNext/>
              <w:spacing w:after="0" w:line="440" w:lineRule="exact"/>
              <w:ind w:left="63" w:right="63"/>
              <w:rPr>
                <w:rFonts w:eastAsia="仿宋_GB2312"/>
                <w:sz w:val="28"/>
                <w:szCs w:val="30"/>
              </w:rPr>
            </w:pPr>
          </w:p>
        </w:tc>
        <w:tc>
          <w:tcPr>
            <w:tcW w:w="851" w:type="dxa"/>
            <w:noWrap w:val="0"/>
            <w:vAlign w:val="top"/>
          </w:tcPr>
          <w:p w14:paraId="1BF0FD53">
            <w:pPr>
              <w:pStyle w:val="6"/>
              <w:keepNext/>
              <w:spacing w:after="0" w:line="440" w:lineRule="exact"/>
              <w:ind w:left="63" w:right="63"/>
              <w:rPr>
                <w:rFonts w:eastAsia="仿宋_GB2312"/>
                <w:sz w:val="28"/>
                <w:szCs w:val="30"/>
              </w:rPr>
            </w:pPr>
          </w:p>
        </w:tc>
        <w:tc>
          <w:tcPr>
            <w:tcW w:w="774" w:type="dxa"/>
            <w:noWrap w:val="0"/>
            <w:vAlign w:val="top"/>
          </w:tcPr>
          <w:p w14:paraId="5E901322">
            <w:pPr>
              <w:pStyle w:val="6"/>
              <w:keepNext/>
              <w:spacing w:after="0" w:line="440" w:lineRule="exact"/>
              <w:ind w:left="63" w:right="63"/>
              <w:rPr>
                <w:rFonts w:eastAsia="仿宋_GB2312"/>
                <w:sz w:val="28"/>
                <w:szCs w:val="30"/>
              </w:rPr>
            </w:pPr>
          </w:p>
        </w:tc>
        <w:tc>
          <w:tcPr>
            <w:tcW w:w="1352" w:type="dxa"/>
            <w:noWrap w:val="0"/>
            <w:vAlign w:val="top"/>
          </w:tcPr>
          <w:p w14:paraId="484DF759">
            <w:pPr>
              <w:pStyle w:val="6"/>
              <w:keepNext/>
              <w:spacing w:after="0" w:line="440" w:lineRule="exact"/>
              <w:ind w:left="63" w:right="63"/>
              <w:rPr>
                <w:rFonts w:eastAsia="仿宋_GB2312"/>
                <w:sz w:val="28"/>
                <w:szCs w:val="30"/>
              </w:rPr>
            </w:pPr>
          </w:p>
        </w:tc>
        <w:tc>
          <w:tcPr>
            <w:tcW w:w="1418" w:type="dxa"/>
            <w:noWrap w:val="0"/>
            <w:vAlign w:val="top"/>
          </w:tcPr>
          <w:p w14:paraId="00383DD6">
            <w:pPr>
              <w:pStyle w:val="6"/>
              <w:keepNext/>
              <w:spacing w:after="0" w:line="440" w:lineRule="exact"/>
              <w:ind w:left="63" w:right="63"/>
              <w:rPr>
                <w:rFonts w:eastAsia="仿宋_GB2312"/>
                <w:sz w:val="28"/>
                <w:szCs w:val="30"/>
              </w:rPr>
            </w:pPr>
          </w:p>
        </w:tc>
        <w:tc>
          <w:tcPr>
            <w:tcW w:w="1701" w:type="dxa"/>
            <w:noWrap w:val="0"/>
            <w:vAlign w:val="top"/>
          </w:tcPr>
          <w:p w14:paraId="488748EE">
            <w:pPr>
              <w:pStyle w:val="6"/>
              <w:keepNext/>
              <w:spacing w:after="0" w:line="440" w:lineRule="exact"/>
              <w:ind w:left="63" w:right="63"/>
              <w:rPr>
                <w:rFonts w:eastAsia="仿宋_GB2312"/>
                <w:sz w:val="28"/>
                <w:szCs w:val="30"/>
              </w:rPr>
            </w:pPr>
          </w:p>
        </w:tc>
      </w:tr>
      <w:tr w14:paraId="22303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E610AA">
            <w:pPr>
              <w:pStyle w:val="6"/>
              <w:keepNext/>
              <w:spacing w:after="0" w:line="440" w:lineRule="exact"/>
              <w:ind w:left="63" w:right="63"/>
              <w:rPr>
                <w:rFonts w:eastAsia="仿宋_GB2312"/>
                <w:sz w:val="28"/>
                <w:szCs w:val="30"/>
              </w:rPr>
            </w:pPr>
          </w:p>
        </w:tc>
        <w:tc>
          <w:tcPr>
            <w:tcW w:w="1984" w:type="dxa"/>
            <w:noWrap w:val="0"/>
            <w:vAlign w:val="top"/>
          </w:tcPr>
          <w:p w14:paraId="0BBAEB27">
            <w:pPr>
              <w:pStyle w:val="6"/>
              <w:keepNext/>
              <w:spacing w:after="0" w:line="440" w:lineRule="exact"/>
              <w:ind w:left="63" w:right="63"/>
              <w:rPr>
                <w:rFonts w:eastAsia="仿宋_GB2312"/>
                <w:sz w:val="28"/>
                <w:szCs w:val="30"/>
              </w:rPr>
            </w:pPr>
          </w:p>
        </w:tc>
        <w:tc>
          <w:tcPr>
            <w:tcW w:w="851" w:type="dxa"/>
            <w:noWrap w:val="0"/>
            <w:vAlign w:val="top"/>
          </w:tcPr>
          <w:p w14:paraId="785E836E">
            <w:pPr>
              <w:pStyle w:val="6"/>
              <w:keepNext/>
              <w:spacing w:after="0" w:line="440" w:lineRule="exact"/>
              <w:ind w:left="63" w:right="63"/>
              <w:rPr>
                <w:rFonts w:eastAsia="仿宋_GB2312"/>
                <w:sz w:val="28"/>
                <w:szCs w:val="30"/>
              </w:rPr>
            </w:pPr>
          </w:p>
        </w:tc>
        <w:tc>
          <w:tcPr>
            <w:tcW w:w="774" w:type="dxa"/>
            <w:noWrap w:val="0"/>
            <w:vAlign w:val="top"/>
          </w:tcPr>
          <w:p w14:paraId="6BED7706">
            <w:pPr>
              <w:pStyle w:val="6"/>
              <w:keepNext/>
              <w:spacing w:after="0" w:line="440" w:lineRule="exact"/>
              <w:ind w:left="63" w:right="63"/>
              <w:rPr>
                <w:rFonts w:eastAsia="仿宋_GB2312"/>
                <w:sz w:val="28"/>
                <w:szCs w:val="30"/>
              </w:rPr>
            </w:pPr>
          </w:p>
        </w:tc>
        <w:tc>
          <w:tcPr>
            <w:tcW w:w="1352" w:type="dxa"/>
            <w:noWrap w:val="0"/>
            <w:vAlign w:val="top"/>
          </w:tcPr>
          <w:p w14:paraId="10F7156F">
            <w:pPr>
              <w:pStyle w:val="6"/>
              <w:keepNext/>
              <w:spacing w:after="0" w:line="440" w:lineRule="exact"/>
              <w:ind w:left="63" w:right="63"/>
              <w:rPr>
                <w:rFonts w:eastAsia="仿宋_GB2312"/>
                <w:sz w:val="28"/>
                <w:szCs w:val="30"/>
              </w:rPr>
            </w:pPr>
          </w:p>
        </w:tc>
        <w:tc>
          <w:tcPr>
            <w:tcW w:w="1418" w:type="dxa"/>
            <w:noWrap w:val="0"/>
            <w:vAlign w:val="top"/>
          </w:tcPr>
          <w:p w14:paraId="5111BE5D">
            <w:pPr>
              <w:pStyle w:val="6"/>
              <w:keepNext/>
              <w:spacing w:after="0" w:line="440" w:lineRule="exact"/>
              <w:ind w:left="63" w:right="63"/>
              <w:rPr>
                <w:rFonts w:eastAsia="仿宋_GB2312"/>
                <w:sz w:val="28"/>
                <w:szCs w:val="30"/>
              </w:rPr>
            </w:pPr>
          </w:p>
        </w:tc>
        <w:tc>
          <w:tcPr>
            <w:tcW w:w="1701" w:type="dxa"/>
            <w:noWrap w:val="0"/>
            <w:vAlign w:val="top"/>
          </w:tcPr>
          <w:p w14:paraId="3CF90901">
            <w:pPr>
              <w:pStyle w:val="6"/>
              <w:keepNext/>
              <w:spacing w:after="0" w:line="440" w:lineRule="exact"/>
              <w:ind w:left="63" w:right="63"/>
              <w:rPr>
                <w:rFonts w:eastAsia="仿宋_GB2312"/>
                <w:sz w:val="28"/>
                <w:szCs w:val="30"/>
              </w:rPr>
            </w:pPr>
          </w:p>
        </w:tc>
      </w:tr>
      <w:tr w14:paraId="1B685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4B11BA">
            <w:pPr>
              <w:pStyle w:val="6"/>
              <w:keepNext/>
              <w:spacing w:after="0" w:line="440" w:lineRule="exact"/>
              <w:ind w:left="63" w:right="63"/>
              <w:rPr>
                <w:rFonts w:eastAsia="仿宋_GB2312"/>
                <w:sz w:val="28"/>
                <w:szCs w:val="30"/>
              </w:rPr>
            </w:pPr>
          </w:p>
        </w:tc>
        <w:tc>
          <w:tcPr>
            <w:tcW w:w="1984" w:type="dxa"/>
            <w:noWrap w:val="0"/>
            <w:vAlign w:val="top"/>
          </w:tcPr>
          <w:p w14:paraId="00B19E91">
            <w:pPr>
              <w:pStyle w:val="6"/>
              <w:keepNext/>
              <w:spacing w:after="0" w:line="440" w:lineRule="exact"/>
              <w:ind w:left="63" w:right="63"/>
              <w:rPr>
                <w:rFonts w:eastAsia="仿宋_GB2312"/>
                <w:sz w:val="28"/>
                <w:szCs w:val="30"/>
              </w:rPr>
            </w:pPr>
          </w:p>
        </w:tc>
        <w:tc>
          <w:tcPr>
            <w:tcW w:w="851" w:type="dxa"/>
            <w:noWrap w:val="0"/>
            <w:vAlign w:val="top"/>
          </w:tcPr>
          <w:p w14:paraId="474DFE20">
            <w:pPr>
              <w:pStyle w:val="6"/>
              <w:keepNext/>
              <w:spacing w:after="0" w:line="440" w:lineRule="exact"/>
              <w:ind w:left="63" w:right="63"/>
              <w:rPr>
                <w:rFonts w:eastAsia="仿宋_GB2312"/>
                <w:sz w:val="28"/>
                <w:szCs w:val="30"/>
              </w:rPr>
            </w:pPr>
          </w:p>
        </w:tc>
        <w:tc>
          <w:tcPr>
            <w:tcW w:w="774" w:type="dxa"/>
            <w:noWrap w:val="0"/>
            <w:vAlign w:val="top"/>
          </w:tcPr>
          <w:p w14:paraId="2568EE12">
            <w:pPr>
              <w:pStyle w:val="6"/>
              <w:keepNext/>
              <w:spacing w:after="0" w:line="440" w:lineRule="exact"/>
              <w:ind w:left="63" w:right="63"/>
              <w:rPr>
                <w:rFonts w:eastAsia="仿宋_GB2312"/>
                <w:sz w:val="28"/>
                <w:szCs w:val="30"/>
              </w:rPr>
            </w:pPr>
          </w:p>
        </w:tc>
        <w:tc>
          <w:tcPr>
            <w:tcW w:w="1352" w:type="dxa"/>
            <w:noWrap w:val="0"/>
            <w:vAlign w:val="top"/>
          </w:tcPr>
          <w:p w14:paraId="12F9908D">
            <w:pPr>
              <w:pStyle w:val="6"/>
              <w:keepNext/>
              <w:spacing w:after="0" w:line="440" w:lineRule="exact"/>
              <w:ind w:left="63" w:right="63"/>
              <w:rPr>
                <w:rFonts w:eastAsia="仿宋_GB2312"/>
                <w:sz w:val="28"/>
                <w:szCs w:val="30"/>
              </w:rPr>
            </w:pPr>
          </w:p>
        </w:tc>
        <w:tc>
          <w:tcPr>
            <w:tcW w:w="1418" w:type="dxa"/>
            <w:noWrap w:val="0"/>
            <w:vAlign w:val="top"/>
          </w:tcPr>
          <w:p w14:paraId="3691CAFF">
            <w:pPr>
              <w:pStyle w:val="6"/>
              <w:keepNext/>
              <w:spacing w:after="0" w:line="440" w:lineRule="exact"/>
              <w:ind w:left="63" w:right="63"/>
              <w:rPr>
                <w:rFonts w:eastAsia="仿宋_GB2312"/>
                <w:sz w:val="28"/>
                <w:szCs w:val="30"/>
              </w:rPr>
            </w:pPr>
          </w:p>
        </w:tc>
        <w:tc>
          <w:tcPr>
            <w:tcW w:w="1701" w:type="dxa"/>
            <w:noWrap w:val="0"/>
            <w:vAlign w:val="top"/>
          </w:tcPr>
          <w:p w14:paraId="64C5BAEA">
            <w:pPr>
              <w:pStyle w:val="6"/>
              <w:keepNext/>
              <w:spacing w:after="0" w:line="440" w:lineRule="exact"/>
              <w:ind w:left="63" w:right="63"/>
              <w:rPr>
                <w:rFonts w:eastAsia="仿宋_GB2312"/>
                <w:sz w:val="28"/>
                <w:szCs w:val="30"/>
              </w:rPr>
            </w:pPr>
          </w:p>
        </w:tc>
      </w:tr>
      <w:tr w14:paraId="6B95B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1B7898">
            <w:pPr>
              <w:pStyle w:val="6"/>
              <w:keepNext/>
              <w:spacing w:after="0" w:line="440" w:lineRule="exact"/>
              <w:ind w:left="63" w:right="63"/>
              <w:rPr>
                <w:rFonts w:eastAsia="仿宋_GB2312"/>
                <w:sz w:val="28"/>
                <w:szCs w:val="30"/>
              </w:rPr>
            </w:pPr>
          </w:p>
        </w:tc>
        <w:tc>
          <w:tcPr>
            <w:tcW w:w="1984" w:type="dxa"/>
            <w:noWrap w:val="0"/>
            <w:vAlign w:val="top"/>
          </w:tcPr>
          <w:p w14:paraId="431AC38F">
            <w:pPr>
              <w:pStyle w:val="6"/>
              <w:keepNext/>
              <w:spacing w:after="0" w:line="440" w:lineRule="exact"/>
              <w:ind w:left="63" w:right="63"/>
              <w:rPr>
                <w:rFonts w:eastAsia="仿宋_GB2312"/>
                <w:sz w:val="28"/>
                <w:szCs w:val="30"/>
              </w:rPr>
            </w:pPr>
          </w:p>
        </w:tc>
        <w:tc>
          <w:tcPr>
            <w:tcW w:w="851" w:type="dxa"/>
            <w:noWrap w:val="0"/>
            <w:vAlign w:val="top"/>
          </w:tcPr>
          <w:p w14:paraId="670F8C9D">
            <w:pPr>
              <w:pStyle w:val="6"/>
              <w:keepNext/>
              <w:spacing w:after="0" w:line="440" w:lineRule="exact"/>
              <w:ind w:left="63" w:right="63"/>
              <w:rPr>
                <w:rFonts w:eastAsia="仿宋_GB2312"/>
                <w:sz w:val="28"/>
                <w:szCs w:val="30"/>
              </w:rPr>
            </w:pPr>
          </w:p>
        </w:tc>
        <w:tc>
          <w:tcPr>
            <w:tcW w:w="774" w:type="dxa"/>
            <w:noWrap w:val="0"/>
            <w:vAlign w:val="top"/>
          </w:tcPr>
          <w:p w14:paraId="2C68BA29">
            <w:pPr>
              <w:pStyle w:val="6"/>
              <w:keepNext/>
              <w:spacing w:after="0" w:line="440" w:lineRule="exact"/>
              <w:ind w:left="63" w:right="63"/>
              <w:rPr>
                <w:rFonts w:eastAsia="仿宋_GB2312"/>
                <w:sz w:val="28"/>
                <w:szCs w:val="30"/>
              </w:rPr>
            </w:pPr>
          </w:p>
        </w:tc>
        <w:tc>
          <w:tcPr>
            <w:tcW w:w="1352" w:type="dxa"/>
            <w:noWrap w:val="0"/>
            <w:vAlign w:val="top"/>
          </w:tcPr>
          <w:p w14:paraId="6BB26C47">
            <w:pPr>
              <w:pStyle w:val="6"/>
              <w:keepNext/>
              <w:spacing w:after="0" w:line="440" w:lineRule="exact"/>
              <w:ind w:left="63" w:right="63"/>
              <w:rPr>
                <w:rFonts w:eastAsia="仿宋_GB2312"/>
                <w:sz w:val="28"/>
                <w:szCs w:val="30"/>
              </w:rPr>
            </w:pPr>
          </w:p>
        </w:tc>
        <w:tc>
          <w:tcPr>
            <w:tcW w:w="1418" w:type="dxa"/>
            <w:noWrap w:val="0"/>
            <w:vAlign w:val="top"/>
          </w:tcPr>
          <w:p w14:paraId="1CB986C7">
            <w:pPr>
              <w:pStyle w:val="6"/>
              <w:keepNext/>
              <w:spacing w:after="0" w:line="440" w:lineRule="exact"/>
              <w:ind w:left="63" w:right="63"/>
              <w:rPr>
                <w:rFonts w:eastAsia="仿宋_GB2312"/>
                <w:sz w:val="28"/>
                <w:szCs w:val="30"/>
              </w:rPr>
            </w:pPr>
          </w:p>
        </w:tc>
        <w:tc>
          <w:tcPr>
            <w:tcW w:w="1701" w:type="dxa"/>
            <w:noWrap w:val="0"/>
            <w:vAlign w:val="top"/>
          </w:tcPr>
          <w:p w14:paraId="10B1A973">
            <w:pPr>
              <w:pStyle w:val="6"/>
              <w:keepNext/>
              <w:spacing w:after="0" w:line="440" w:lineRule="exact"/>
              <w:ind w:left="63" w:right="63"/>
              <w:rPr>
                <w:rFonts w:eastAsia="仿宋_GB2312"/>
                <w:sz w:val="28"/>
                <w:szCs w:val="30"/>
              </w:rPr>
            </w:pPr>
          </w:p>
        </w:tc>
      </w:tr>
      <w:tr w14:paraId="75014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C36489">
            <w:pPr>
              <w:pStyle w:val="6"/>
              <w:keepNext/>
              <w:spacing w:after="0" w:line="440" w:lineRule="exact"/>
              <w:ind w:left="63" w:right="63"/>
              <w:rPr>
                <w:rFonts w:eastAsia="仿宋_GB2312"/>
                <w:sz w:val="28"/>
                <w:szCs w:val="30"/>
              </w:rPr>
            </w:pPr>
          </w:p>
        </w:tc>
        <w:tc>
          <w:tcPr>
            <w:tcW w:w="1984" w:type="dxa"/>
            <w:noWrap w:val="0"/>
            <w:vAlign w:val="top"/>
          </w:tcPr>
          <w:p w14:paraId="68812FAF">
            <w:pPr>
              <w:pStyle w:val="6"/>
              <w:keepNext/>
              <w:spacing w:after="0" w:line="440" w:lineRule="exact"/>
              <w:ind w:left="63" w:right="63"/>
              <w:rPr>
                <w:rFonts w:eastAsia="仿宋_GB2312"/>
                <w:sz w:val="28"/>
                <w:szCs w:val="30"/>
              </w:rPr>
            </w:pPr>
          </w:p>
        </w:tc>
        <w:tc>
          <w:tcPr>
            <w:tcW w:w="851" w:type="dxa"/>
            <w:noWrap w:val="0"/>
            <w:vAlign w:val="top"/>
          </w:tcPr>
          <w:p w14:paraId="056C6365">
            <w:pPr>
              <w:pStyle w:val="6"/>
              <w:keepNext/>
              <w:spacing w:after="0" w:line="440" w:lineRule="exact"/>
              <w:ind w:left="63" w:right="63"/>
              <w:rPr>
                <w:rFonts w:eastAsia="仿宋_GB2312"/>
                <w:sz w:val="28"/>
                <w:szCs w:val="30"/>
              </w:rPr>
            </w:pPr>
          </w:p>
        </w:tc>
        <w:tc>
          <w:tcPr>
            <w:tcW w:w="774" w:type="dxa"/>
            <w:noWrap w:val="0"/>
            <w:vAlign w:val="top"/>
          </w:tcPr>
          <w:p w14:paraId="149A78E1">
            <w:pPr>
              <w:pStyle w:val="6"/>
              <w:keepNext/>
              <w:spacing w:after="0" w:line="440" w:lineRule="exact"/>
              <w:ind w:left="63" w:right="63"/>
              <w:rPr>
                <w:rFonts w:eastAsia="仿宋_GB2312"/>
                <w:sz w:val="28"/>
                <w:szCs w:val="30"/>
              </w:rPr>
            </w:pPr>
          </w:p>
        </w:tc>
        <w:tc>
          <w:tcPr>
            <w:tcW w:w="1352" w:type="dxa"/>
            <w:noWrap w:val="0"/>
            <w:vAlign w:val="top"/>
          </w:tcPr>
          <w:p w14:paraId="2C0884F9">
            <w:pPr>
              <w:pStyle w:val="6"/>
              <w:keepNext/>
              <w:spacing w:after="0" w:line="440" w:lineRule="exact"/>
              <w:ind w:left="63" w:right="63"/>
              <w:rPr>
                <w:rFonts w:eastAsia="仿宋_GB2312"/>
                <w:sz w:val="28"/>
                <w:szCs w:val="30"/>
              </w:rPr>
            </w:pPr>
          </w:p>
        </w:tc>
        <w:tc>
          <w:tcPr>
            <w:tcW w:w="1418" w:type="dxa"/>
            <w:noWrap w:val="0"/>
            <w:vAlign w:val="top"/>
          </w:tcPr>
          <w:p w14:paraId="0B6A33B9">
            <w:pPr>
              <w:pStyle w:val="6"/>
              <w:keepNext/>
              <w:spacing w:after="0" w:line="440" w:lineRule="exact"/>
              <w:ind w:left="63" w:right="63"/>
              <w:rPr>
                <w:rFonts w:eastAsia="仿宋_GB2312"/>
                <w:sz w:val="28"/>
                <w:szCs w:val="30"/>
              </w:rPr>
            </w:pPr>
          </w:p>
        </w:tc>
        <w:tc>
          <w:tcPr>
            <w:tcW w:w="1701" w:type="dxa"/>
            <w:noWrap w:val="0"/>
            <w:vAlign w:val="top"/>
          </w:tcPr>
          <w:p w14:paraId="0C29A492">
            <w:pPr>
              <w:pStyle w:val="6"/>
              <w:keepNext/>
              <w:spacing w:after="0" w:line="440" w:lineRule="exact"/>
              <w:ind w:left="63" w:right="63"/>
              <w:rPr>
                <w:rFonts w:eastAsia="仿宋_GB2312"/>
                <w:sz w:val="28"/>
                <w:szCs w:val="30"/>
              </w:rPr>
            </w:pPr>
          </w:p>
        </w:tc>
      </w:tr>
      <w:tr w14:paraId="2AC83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top"/>
          </w:tcPr>
          <w:p w14:paraId="4D2A9EB0">
            <w:pPr>
              <w:pStyle w:val="6"/>
              <w:keepNext/>
              <w:spacing w:after="0" w:line="440" w:lineRule="exact"/>
              <w:ind w:left="63" w:right="63"/>
              <w:rPr>
                <w:rFonts w:eastAsia="仿宋_GB2312"/>
                <w:sz w:val="28"/>
                <w:szCs w:val="30"/>
              </w:rPr>
            </w:pPr>
          </w:p>
        </w:tc>
        <w:tc>
          <w:tcPr>
            <w:tcW w:w="1984" w:type="dxa"/>
            <w:noWrap w:val="0"/>
            <w:vAlign w:val="top"/>
          </w:tcPr>
          <w:p w14:paraId="7F088008">
            <w:pPr>
              <w:pStyle w:val="6"/>
              <w:keepNext/>
              <w:spacing w:after="0" w:line="440" w:lineRule="exact"/>
              <w:ind w:left="63" w:right="63"/>
              <w:rPr>
                <w:rFonts w:eastAsia="仿宋_GB2312"/>
                <w:sz w:val="28"/>
                <w:szCs w:val="30"/>
              </w:rPr>
            </w:pPr>
          </w:p>
        </w:tc>
        <w:tc>
          <w:tcPr>
            <w:tcW w:w="851" w:type="dxa"/>
            <w:noWrap w:val="0"/>
            <w:vAlign w:val="top"/>
          </w:tcPr>
          <w:p w14:paraId="0F0BF4A9">
            <w:pPr>
              <w:pStyle w:val="6"/>
              <w:keepNext/>
              <w:spacing w:after="0" w:line="440" w:lineRule="exact"/>
              <w:ind w:left="63" w:right="63"/>
              <w:rPr>
                <w:rFonts w:eastAsia="仿宋_GB2312"/>
                <w:sz w:val="28"/>
                <w:szCs w:val="30"/>
              </w:rPr>
            </w:pPr>
          </w:p>
        </w:tc>
        <w:tc>
          <w:tcPr>
            <w:tcW w:w="774" w:type="dxa"/>
            <w:noWrap w:val="0"/>
            <w:vAlign w:val="top"/>
          </w:tcPr>
          <w:p w14:paraId="18AAAABD">
            <w:pPr>
              <w:pStyle w:val="6"/>
              <w:keepNext/>
              <w:spacing w:after="0" w:line="440" w:lineRule="exact"/>
              <w:ind w:left="63" w:right="63"/>
              <w:rPr>
                <w:rFonts w:eastAsia="仿宋_GB2312"/>
                <w:sz w:val="28"/>
                <w:szCs w:val="30"/>
              </w:rPr>
            </w:pPr>
          </w:p>
        </w:tc>
        <w:tc>
          <w:tcPr>
            <w:tcW w:w="1352" w:type="dxa"/>
            <w:noWrap w:val="0"/>
            <w:vAlign w:val="top"/>
          </w:tcPr>
          <w:p w14:paraId="7003254E">
            <w:pPr>
              <w:pStyle w:val="6"/>
              <w:keepNext/>
              <w:spacing w:after="0" w:line="440" w:lineRule="exact"/>
              <w:ind w:left="63" w:right="63"/>
              <w:rPr>
                <w:rFonts w:eastAsia="仿宋_GB2312"/>
                <w:sz w:val="28"/>
                <w:szCs w:val="30"/>
              </w:rPr>
            </w:pPr>
          </w:p>
        </w:tc>
        <w:tc>
          <w:tcPr>
            <w:tcW w:w="1418" w:type="dxa"/>
            <w:noWrap w:val="0"/>
            <w:vAlign w:val="top"/>
          </w:tcPr>
          <w:p w14:paraId="783463F1">
            <w:pPr>
              <w:pStyle w:val="6"/>
              <w:keepNext/>
              <w:spacing w:after="0" w:line="440" w:lineRule="exact"/>
              <w:ind w:left="63" w:right="63"/>
              <w:rPr>
                <w:rFonts w:eastAsia="仿宋_GB2312"/>
                <w:sz w:val="28"/>
                <w:szCs w:val="30"/>
              </w:rPr>
            </w:pPr>
          </w:p>
        </w:tc>
        <w:tc>
          <w:tcPr>
            <w:tcW w:w="1701" w:type="dxa"/>
            <w:noWrap w:val="0"/>
            <w:vAlign w:val="top"/>
          </w:tcPr>
          <w:p w14:paraId="121FE0F5">
            <w:pPr>
              <w:pStyle w:val="6"/>
              <w:keepNext/>
              <w:spacing w:after="0" w:line="440" w:lineRule="exact"/>
              <w:ind w:left="63" w:right="63"/>
              <w:rPr>
                <w:rFonts w:eastAsia="仿宋_GB2312"/>
                <w:sz w:val="28"/>
                <w:szCs w:val="30"/>
              </w:rPr>
            </w:pPr>
          </w:p>
        </w:tc>
      </w:tr>
      <w:tr w14:paraId="38968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0E8D3">
            <w:pPr>
              <w:pStyle w:val="6"/>
              <w:keepNext/>
              <w:spacing w:after="0" w:line="440" w:lineRule="exact"/>
              <w:ind w:left="63" w:right="63"/>
              <w:rPr>
                <w:rFonts w:eastAsia="仿宋_GB2312"/>
                <w:sz w:val="28"/>
                <w:szCs w:val="30"/>
              </w:rPr>
            </w:pPr>
          </w:p>
        </w:tc>
        <w:tc>
          <w:tcPr>
            <w:tcW w:w="1984" w:type="dxa"/>
            <w:noWrap w:val="0"/>
            <w:vAlign w:val="top"/>
          </w:tcPr>
          <w:p w14:paraId="72EA6B70">
            <w:pPr>
              <w:pStyle w:val="6"/>
              <w:keepNext/>
              <w:spacing w:after="0" w:line="440" w:lineRule="exact"/>
              <w:ind w:left="63" w:right="63"/>
              <w:rPr>
                <w:rFonts w:eastAsia="仿宋_GB2312"/>
                <w:sz w:val="28"/>
                <w:szCs w:val="30"/>
              </w:rPr>
            </w:pPr>
          </w:p>
        </w:tc>
        <w:tc>
          <w:tcPr>
            <w:tcW w:w="851" w:type="dxa"/>
            <w:noWrap w:val="0"/>
            <w:vAlign w:val="top"/>
          </w:tcPr>
          <w:p w14:paraId="754782EA">
            <w:pPr>
              <w:pStyle w:val="6"/>
              <w:keepNext/>
              <w:spacing w:after="0" w:line="440" w:lineRule="exact"/>
              <w:ind w:left="63" w:right="63"/>
              <w:rPr>
                <w:rFonts w:eastAsia="仿宋_GB2312"/>
                <w:sz w:val="28"/>
                <w:szCs w:val="30"/>
              </w:rPr>
            </w:pPr>
          </w:p>
        </w:tc>
        <w:tc>
          <w:tcPr>
            <w:tcW w:w="774" w:type="dxa"/>
            <w:noWrap w:val="0"/>
            <w:vAlign w:val="top"/>
          </w:tcPr>
          <w:p w14:paraId="401274CE">
            <w:pPr>
              <w:pStyle w:val="6"/>
              <w:keepNext/>
              <w:spacing w:after="0" w:line="440" w:lineRule="exact"/>
              <w:ind w:left="63" w:right="63"/>
              <w:rPr>
                <w:rFonts w:eastAsia="仿宋_GB2312"/>
                <w:sz w:val="28"/>
                <w:szCs w:val="30"/>
              </w:rPr>
            </w:pPr>
          </w:p>
        </w:tc>
        <w:tc>
          <w:tcPr>
            <w:tcW w:w="1352" w:type="dxa"/>
            <w:noWrap w:val="0"/>
            <w:vAlign w:val="top"/>
          </w:tcPr>
          <w:p w14:paraId="61BAC669">
            <w:pPr>
              <w:pStyle w:val="6"/>
              <w:keepNext/>
              <w:spacing w:after="0" w:line="440" w:lineRule="exact"/>
              <w:ind w:left="63" w:right="63"/>
              <w:rPr>
                <w:rFonts w:eastAsia="仿宋_GB2312"/>
                <w:sz w:val="28"/>
                <w:szCs w:val="30"/>
              </w:rPr>
            </w:pPr>
          </w:p>
        </w:tc>
        <w:tc>
          <w:tcPr>
            <w:tcW w:w="1418" w:type="dxa"/>
            <w:noWrap w:val="0"/>
            <w:vAlign w:val="top"/>
          </w:tcPr>
          <w:p w14:paraId="7E2CF726">
            <w:pPr>
              <w:pStyle w:val="6"/>
              <w:keepNext/>
              <w:spacing w:after="0" w:line="440" w:lineRule="exact"/>
              <w:ind w:left="63" w:right="63"/>
              <w:rPr>
                <w:rFonts w:eastAsia="仿宋_GB2312"/>
                <w:sz w:val="28"/>
                <w:szCs w:val="30"/>
              </w:rPr>
            </w:pPr>
          </w:p>
        </w:tc>
        <w:tc>
          <w:tcPr>
            <w:tcW w:w="1701" w:type="dxa"/>
            <w:noWrap w:val="0"/>
            <w:vAlign w:val="top"/>
          </w:tcPr>
          <w:p w14:paraId="0E1B3F39">
            <w:pPr>
              <w:pStyle w:val="6"/>
              <w:keepNext/>
              <w:spacing w:after="0" w:line="440" w:lineRule="exact"/>
              <w:ind w:left="63" w:right="63"/>
              <w:rPr>
                <w:rFonts w:eastAsia="仿宋_GB2312"/>
                <w:sz w:val="28"/>
                <w:szCs w:val="30"/>
              </w:rPr>
            </w:pPr>
          </w:p>
        </w:tc>
      </w:tr>
      <w:tr w14:paraId="384D82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B1E7ED">
            <w:pPr>
              <w:pStyle w:val="6"/>
              <w:keepNext/>
              <w:spacing w:after="0" w:line="440" w:lineRule="exact"/>
              <w:ind w:left="63" w:right="63"/>
              <w:rPr>
                <w:rFonts w:eastAsia="仿宋_GB2312"/>
                <w:sz w:val="28"/>
                <w:szCs w:val="30"/>
              </w:rPr>
            </w:pPr>
          </w:p>
        </w:tc>
        <w:tc>
          <w:tcPr>
            <w:tcW w:w="1984" w:type="dxa"/>
            <w:noWrap w:val="0"/>
            <w:vAlign w:val="top"/>
          </w:tcPr>
          <w:p w14:paraId="42B994D7">
            <w:pPr>
              <w:pStyle w:val="6"/>
              <w:keepNext/>
              <w:spacing w:after="0" w:line="440" w:lineRule="exact"/>
              <w:ind w:left="63" w:right="63"/>
              <w:rPr>
                <w:rFonts w:eastAsia="仿宋_GB2312"/>
                <w:sz w:val="28"/>
                <w:szCs w:val="30"/>
              </w:rPr>
            </w:pPr>
          </w:p>
        </w:tc>
        <w:tc>
          <w:tcPr>
            <w:tcW w:w="851" w:type="dxa"/>
            <w:noWrap w:val="0"/>
            <w:vAlign w:val="top"/>
          </w:tcPr>
          <w:p w14:paraId="37886120">
            <w:pPr>
              <w:pStyle w:val="6"/>
              <w:keepNext/>
              <w:spacing w:after="0" w:line="440" w:lineRule="exact"/>
              <w:ind w:left="63" w:right="63"/>
              <w:rPr>
                <w:rFonts w:eastAsia="仿宋_GB2312"/>
                <w:sz w:val="28"/>
                <w:szCs w:val="30"/>
              </w:rPr>
            </w:pPr>
          </w:p>
        </w:tc>
        <w:tc>
          <w:tcPr>
            <w:tcW w:w="774" w:type="dxa"/>
            <w:noWrap w:val="0"/>
            <w:vAlign w:val="top"/>
          </w:tcPr>
          <w:p w14:paraId="7F495686">
            <w:pPr>
              <w:pStyle w:val="6"/>
              <w:keepNext/>
              <w:spacing w:after="0" w:line="440" w:lineRule="exact"/>
              <w:ind w:left="63" w:right="63"/>
              <w:rPr>
                <w:rFonts w:eastAsia="仿宋_GB2312"/>
                <w:sz w:val="28"/>
                <w:szCs w:val="30"/>
              </w:rPr>
            </w:pPr>
          </w:p>
        </w:tc>
        <w:tc>
          <w:tcPr>
            <w:tcW w:w="1352" w:type="dxa"/>
            <w:noWrap w:val="0"/>
            <w:vAlign w:val="top"/>
          </w:tcPr>
          <w:p w14:paraId="0F06F422">
            <w:pPr>
              <w:pStyle w:val="6"/>
              <w:keepNext/>
              <w:spacing w:after="0" w:line="440" w:lineRule="exact"/>
              <w:ind w:left="63" w:right="63"/>
              <w:rPr>
                <w:rFonts w:eastAsia="仿宋_GB2312"/>
                <w:sz w:val="28"/>
                <w:szCs w:val="30"/>
              </w:rPr>
            </w:pPr>
          </w:p>
        </w:tc>
        <w:tc>
          <w:tcPr>
            <w:tcW w:w="1418" w:type="dxa"/>
            <w:noWrap w:val="0"/>
            <w:vAlign w:val="top"/>
          </w:tcPr>
          <w:p w14:paraId="69027245">
            <w:pPr>
              <w:pStyle w:val="6"/>
              <w:keepNext/>
              <w:spacing w:after="0" w:line="440" w:lineRule="exact"/>
              <w:ind w:left="63" w:right="63"/>
              <w:rPr>
                <w:rFonts w:eastAsia="仿宋_GB2312"/>
                <w:sz w:val="28"/>
                <w:szCs w:val="30"/>
              </w:rPr>
            </w:pPr>
          </w:p>
        </w:tc>
        <w:tc>
          <w:tcPr>
            <w:tcW w:w="1701" w:type="dxa"/>
            <w:noWrap w:val="0"/>
            <w:vAlign w:val="top"/>
          </w:tcPr>
          <w:p w14:paraId="406B72E6">
            <w:pPr>
              <w:pStyle w:val="6"/>
              <w:keepNext/>
              <w:spacing w:after="0" w:line="440" w:lineRule="exact"/>
              <w:ind w:left="63" w:right="63"/>
              <w:rPr>
                <w:rFonts w:eastAsia="仿宋_GB2312"/>
                <w:sz w:val="28"/>
                <w:szCs w:val="30"/>
              </w:rPr>
            </w:pPr>
          </w:p>
        </w:tc>
      </w:tr>
      <w:tr w14:paraId="3B3A0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F8E676">
            <w:pPr>
              <w:pStyle w:val="6"/>
              <w:keepNext/>
              <w:spacing w:after="0" w:line="440" w:lineRule="exact"/>
              <w:ind w:left="63" w:right="63"/>
              <w:rPr>
                <w:rFonts w:eastAsia="仿宋_GB2312"/>
                <w:sz w:val="28"/>
                <w:szCs w:val="30"/>
              </w:rPr>
            </w:pPr>
          </w:p>
        </w:tc>
        <w:tc>
          <w:tcPr>
            <w:tcW w:w="1984" w:type="dxa"/>
            <w:noWrap w:val="0"/>
            <w:vAlign w:val="top"/>
          </w:tcPr>
          <w:p w14:paraId="5D9E3A23">
            <w:pPr>
              <w:pStyle w:val="6"/>
              <w:keepNext/>
              <w:spacing w:after="0" w:line="440" w:lineRule="exact"/>
              <w:ind w:left="63" w:right="63"/>
              <w:rPr>
                <w:rFonts w:eastAsia="仿宋_GB2312"/>
                <w:sz w:val="28"/>
                <w:szCs w:val="30"/>
              </w:rPr>
            </w:pPr>
          </w:p>
        </w:tc>
        <w:tc>
          <w:tcPr>
            <w:tcW w:w="851" w:type="dxa"/>
            <w:noWrap w:val="0"/>
            <w:vAlign w:val="top"/>
          </w:tcPr>
          <w:p w14:paraId="5D5AEC8D">
            <w:pPr>
              <w:pStyle w:val="6"/>
              <w:keepNext/>
              <w:spacing w:after="0" w:line="440" w:lineRule="exact"/>
              <w:ind w:left="63" w:right="63"/>
              <w:rPr>
                <w:rFonts w:eastAsia="仿宋_GB2312"/>
                <w:sz w:val="28"/>
                <w:szCs w:val="30"/>
              </w:rPr>
            </w:pPr>
          </w:p>
        </w:tc>
        <w:tc>
          <w:tcPr>
            <w:tcW w:w="774" w:type="dxa"/>
            <w:noWrap w:val="0"/>
            <w:vAlign w:val="top"/>
          </w:tcPr>
          <w:p w14:paraId="500A81F2">
            <w:pPr>
              <w:pStyle w:val="6"/>
              <w:keepNext/>
              <w:spacing w:after="0" w:line="440" w:lineRule="exact"/>
              <w:ind w:left="63" w:right="63"/>
              <w:rPr>
                <w:rFonts w:eastAsia="仿宋_GB2312"/>
                <w:sz w:val="28"/>
                <w:szCs w:val="30"/>
              </w:rPr>
            </w:pPr>
          </w:p>
        </w:tc>
        <w:tc>
          <w:tcPr>
            <w:tcW w:w="1352" w:type="dxa"/>
            <w:noWrap w:val="0"/>
            <w:vAlign w:val="top"/>
          </w:tcPr>
          <w:p w14:paraId="76E7EBA3">
            <w:pPr>
              <w:pStyle w:val="6"/>
              <w:keepNext/>
              <w:spacing w:after="0" w:line="440" w:lineRule="exact"/>
              <w:ind w:left="63" w:right="63"/>
              <w:rPr>
                <w:rFonts w:eastAsia="仿宋_GB2312"/>
                <w:sz w:val="28"/>
                <w:szCs w:val="30"/>
              </w:rPr>
            </w:pPr>
          </w:p>
        </w:tc>
        <w:tc>
          <w:tcPr>
            <w:tcW w:w="1418" w:type="dxa"/>
            <w:noWrap w:val="0"/>
            <w:vAlign w:val="top"/>
          </w:tcPr>
          <w:p w14:paraId="40EFB7D2">
            <w:pPr>
              <w:pStyle w:val="6"/>
              <w:keepNext/>
              <w:spacing w:after="0" w:line="440" w:lineRule="exact"/>
              <w:ind w:left="63" w:right="63"/>
              <w:rPr>
                <w:rFonts w:eastAsia="仿宋_GB2312"/>
                <w:sz w:val="28"/>
                <w:szCs w:val="30"/>
              </w:rPr>
            </w:pPr>
          </w:p>
        </w:tc>
        <w:tc>
          <w:tcPr>
            <w:tcW w:w="1701" w:type="dxa"/>
            <w:noWrap w:val="0"/>
            <w:vAlign w:val="top"/>
          </w:tcPr>
          <w:p w14:paraId="4DEC7613">
            <w:pPr>
              <w:pStyle w:val="6"/>
              <w:keepNext/>
              <w:spacing w:after="0" w:line="440" w:lineRule="exact"/>
              <w:ind w:left="63" w:right="63"/>
              <w:rPr>
                <w:rFonts w:eastAsia="仿宋_GB2312"/>
                <w:sz w:val="28"/>
                <w:szCs w:val="30"/>
              </w:rPr>
            </w:pPr>
          </w:p>
        </w:tc>
      </w:tr>
      <w:tr w14:paraId="6FC23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8333D3">
            <w:pPr>
              <w:pStyle w:val="6"/>
              <w:keepNext/>
              <w:spacing w:after="0" w:line="440" w:lineRule="exact"/>
              <w:ind w:left="63" w:right="63"/>
              <w:rPr>
                <w:rFonts w:eastAsia="仿宋_GB2312"/>
                <w:sz w:val="28"/>
                <w:szCs w:val="30"/>
              </w:rPr>
            </w:pPr>
          </w:p>
        </w:tc>
        <w:tc>
          <w:tcPr>
            <w:tcW w:w="1984" w:type="dxa"/>
            <w:noWrap w:val="0"/>
            <w:vAlign w:val="top"/>
          </w:tcPr>
          <w:p w14:paraId="5DCE2E83">
            <w:pPr>
              <w:pStyle w:val="6"/>
              <w:keepNext/>
              <w:spacing w:after="0" w:line="440" w:lineRule="exact"/>
              <w:ind w:left="63" w:right="63"/>
              <w:rPr>
                <w:rFonts w:eastAsia="仿宋_GB2312"/>
                <w:sz w:val="28"/>
                <w:szCs w:val="30"/>
              </w:rPr>
            </w:pPr>
          </w:p>
        </w:tc>
        <w:tc>
          <w:tcPr>
            <w:tcW w:w="851" w:type="dxa"/>
            <w:noWrap w:val="0"/>
            <w:vAlign w:val="top"/>
          </w:tcPr>
          <w:p w14:paraId="383D7CF8">
            <w:pPr>
              <w:pStyle w:val="6"/>
              <w:keepNext/>
              <w:spacing w:after="0" w:line="440" w:lineRule="exact"/>
              <w:ind w:left="63" w:right="63"/>
              <w:rPr>
                <w:rFonts w:eastAsia="仿宋_GB2312"/>
                <w:sz w:val="28"/>
                <w:szCs w:val="30"/>
              </w:rPr>
            </w:pPr>
          </w:p>
        </w:tc>
        <w:tc>
          <w:tcPr>
            <w:tcW w:w="774" w:type="dxa"/>
            <w:noWrap w:val="0"/>
            <w:vAlign w:val="top"/>
          </w:tcPr>
          <w:p w14:paraId="6BB57392">
            <w:pPr>
              <w:pStyle w:val="6"/>
              <w:keepNext/>
              <w:spacing w:after="0" w:line="440" w:lineRule="exact"/>
              <w:ind w:left="63" w:right="63"/>
              <w:rPr>
                <w:rFonts w:eastAsia="仿宋_GB2312"/>
                <w:sz w:val="28"/>
                <w:szCs w:val="30"/>
              </w:rPr>
            </w:pPr>
          </w:p>
        </w:tc>
        <w:tc>
          <w:tcPr>
            <w:tcW w:w="1352" w:type="dxa"/>
            <w:noWrap w:val="0"/>
            <w:vAlign w:val="top"/>
          </w:tcPr>
          <w:p w14:paraId="30458C9E">
            <w:pPr>
              <w:pStyle w:val="6"/>
              <w:keepNext/>
              <w:spacing w:after="0" w:line="440" w:lineRule="exact"/>
              <w:ind w:left="63" w:right="63"/>
              <w:rPr>
                <w:rFonts w:eastAsia="仿宋_GB2312"/>
                <w:sz w:val="28"/>
                <w:szCs w:val="30"/>
              </w:rPr>
            </w:pPr>
          </w:p>
        </w:tc>
        <w:tc>
          <w:tcPr>
            <w:tcW w:w="1418" w:type="dxa"/>
            <w:noWrap w:val="0"/>
            <w:vAlign w:val="top"/>
          </w:tcPr>
          <w:p w14:paraId="7C1D7703">
            <w:pPr>
              <w:pStyle w:val="6"/>
              <w:keepNext/>
              <w:spacing w:after="0" w:line="440" w:lineRule="exact"/>
              <w:ind w:left="63" w:right="63"/>
              <w:rPr>
                <w:rFonts w:eastAsia="仿宋_GB2312"/>
                <w:sz w:val="28"/>
                <w:szCs w:val="30"/>
              </w:rPr>
            </w:pPr>
          </w:p>
        </w:tc>
        <w:tc>
          <w:tcPr>
            <w:tcW w:w="1701" w:type="dxa"/>
            <w:noWrap w:val="0"/>
            <w:vAlign w:val="top"/>
          </w:tcPr>
          <w:p w14:paraId="3D9152E3">
            <w:pPr>
              <w:pStyle w:val="6"/>
              <w:keepNext/>
              <w:spacing w:after="0" w:line="440" w:lineRule="exact"/>
              <w:ind w:left="63" w:right="63"/>
              <w:rPr>
                <w:rFonts w:eastAsia="仿宋_GB2312"/>
                <w:sz w:val="28"/>
                <w:szCs w:val="30"/>
              </w:rPr>
            </w:pPr>
          </w:p>
        </w:tc>
      </w:tr>
    </w:tbl>
    <w:p w14:paraId="4E51DA2E">
      <w:pPr>
        <w:spacing w:before="120" w:beforeLines="50" w:after="120" w:afterLines="50" w:line="440" w:lineRule="exact"/>
        <w:rPr>
          <w:rFonts w:hint="eastAsia" w:eastAsia="黑体"/>
          <w:sz w:val="30"/>
          <w:szCs w:val="30"/>
        </w:rPr>
      </w:pPr>
    </w:p>
    <w:p w14:paraId="3BA79A46">
      <w:pPr>
        <w:spacing w:before="120" w:beforeLines="50" w:after="120" w:afterLines="50" w:line="440" w:lineRule="exact"/>
        <w:jc w:val="center"/>
        <w:rPr>
          <w:rFonts w:hint="eastAsia" w:eastAsia="黑体"/>
          <w:sz w:val="28"/>
          <w:szCs w:val="28"/>
        </w:rPr>
      </w:pPr>
    </w:p>
    <w:p w14:paraId="0E23252A">
      <w:pPr>
        <w:spacing w:before="120" w:beforeLines="50" w:after="120" w:afterLines="50" w:line="440" w:lineRule="exact"/>
        <w:jc w:val="center"/>
        <w:rPr>
          <w:rFonts w:eastAsia="黑体"/>
          <w:sz w:val="28"/>
          <w:szCs w:val="28"/>
        </w:rPr>
      </w:pPr>
      <w:r>
        <w:rPr>
          <w:rFonts w:eastAsia="黑体"/>
          <w:sz w:val="28"/>
          <w:szCs w:val="28"/>
        </w:rPr>
        <w:t>11-2：工程设备暂估价表</w:t>
      </w:r>
    </w:p>
    <w:tbl>
      <w:tblPr>
        <w:tblStyle w:val="1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F20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center"/>
          </w:tcPr>
          <w:p w14:paraId="1339BED6">
            <w:pPr>
              <w:pStyle w:val="6"/>
              <w:keepNext/>
              <w:spacing w:after="0" w:line="440" w:lineRule="exact"/>
              <w:ind w:left="63" w:right="63"/>
              <w:jc w:val="center"/>
              <w:rPr>
                <w:rFonts w:ascii="宋体" w:hAnsi="宋体"/>
                <w:szCs w:val="21"/>
              </w:rPr>
            </w:pPr>
            <w:r>
              <w:rPr>
                <w:rFonts w:ascii="宋体" w:hAnsi="宋体"/>
                <w:szCs w:val="21"/>
              </w:rPr>
              <w:t>序号</w:t>
            </w:r>
          </w:p>
        </w:tc>
        <w:tc>
          <w:tcPr>
            <w:tcW w:w="1984" w:type="dxa"/>
            <w:tcBorders>
              <w:top w:val="single" w:color="auto" w:sz="12" w:space="0"/>
              <w:bottom w:val="double" w:color="auto" w:sz="6" w:space="0"/>
            </w:tcBorders>
            <w:noWrap w:val="0"/>
            <w:vAlign w:val="center"/>
          </w:tcPr>
          <w:p w14:paraId="69A8307B">
            <w:pPr>
              <w:pStyle w:val="6"/>
              <w:keepNext/>
              <w:spacing w:after="0" w:line="440" w:lineRule="exact"/>
              <w:ind w:left="63" w:right="63"/>
              <w:jc w:val="center"/>
              <w:rPr>
                <w:rFonts w:ascii="宋体" w:hAnsi="宋体"/>
                <w:szCs w:val="21"/>
              </w:rPr>
            </w:pPr>
            <w:r>
              <w:rPr>
                <w:rFonts w:ascii="宋体" w:hAnsi="宋体"/>
                <w:szCs w:val="21"/>
              </w:rPr>
              <w:t>名称</w:t>
            </w:r>
          </w:p>
        </w:tc>
        <w:tc>
          <w:tcPr>
            <w:tcW w:w="851" w:type="dxa"/>
            <w:tcBorders>
              <w:top w:val="single" w:color="auto" w:sz="12" w:space="0"/>
              <w:bottom w:val="double" w:color="auto" w:sz="6" w:space="0"/>
            </w:tcBorders>
            <w:noWrap w:val="0"/>
            <w:vAlign w:val="center"/>
          </w:tcPr>
          <w:p w14:paraId="7059AA3E">
            <w:pPr>
              <w:pStyle w:val="6"/>
              <w:keepNext/>
              <w:spacing w:after="0" w:line="440" w:lineRule="exact"/>
              <w:ind w:left="63" w:right="63"/>
              <w:jc w:val="center"/>
              <w:rPr>
                <w:rFonts w:ascii="宋体" w:hAnsi="宋体"/>
                <w:szCs w:val="21"/>
              </w:rPr>
            </w:pPr>
            <w:r>
              <w:rPr>
                <w:rFonts w:ascii="宋体" w:hAnsi="宋体"/>
                <w:szCs w:val="21"/>
              </w:rPr>
              <w:t>单位</w:t>
            </w:r>
          </w:p>
        </w:tc>
        <w:tc>
          <w:tcPr>
            <w:tcW w:w="774" w:type="dxa"/>
            <w:tcBorders>
              <w:top w:val="single" w:color="auto" w:sz="12" w:space="0"/>
              <w:bottom w:val="double" w:color="auto" w:sz="6" w:space="0"/>
            </w:tcBorders>
            <w:noWrap w:val="0"/>
            <w:vAlign w:val="center"/>
          </w:tcPr>
          <w:p w14:paraId="23B7620D">
            <w:pPr>
              <w:pStyle w:val="6"/>
              <w:keepNext/>
              <w:spacing w:after="0" w:line="440" w:lineRule="exact"/>
              <w:ind w:left="63" w:right="63"/>
              <w:jc w:val="center"/>
              <w:rPr>
                <w:rFonts w:ascii="宋体" w:hAnsi="宋体"/>
                <w:szCs w:val="21"/>
              </w:rPr>
            </w:pPr>
            <w:r>
              <w:rPr>
                <w:rFonts w:ascii="宋体" w:hAnsi="宋体"/>
                <w:szCs w:val="21"/>
              </w:rPr>
              <w:t>数量</w:t>
            </w:r>
          </w:p>
        </w:tc>
        <w:tc>
          <w:tcPr>
            <w:tcW w:w="1352" w:type="dxa"/>
            <w:tcBorders>
              <w:top w:val="single" w:color="auto" w:sz="12" w:space="0"/>
              <w:bottom w:val="double" w:color="auto" w:sz="6" w:space="0"/>
            </w:tcBorders>
            <w:noWrap w:val="0"/>
            <w:vAlign w:val="center"/>
          </w:tcPr>
          <w:p w14:paraId="4EB66932">
            <w:pPr>
              <w:pStyle w:val="6"/>
              <w:keepNext/>
              <w:spacing w:after="0" w:line="440" w:lineRule="exact"/>
              <w:ind w:left="63" w:right="63"/>
              <w:jc w:val="center"/>
              <w:rPr>
                <w:rFonts w:ascii="宋体" w:hAnsi="宋体"/>
                <w:szCs w:val="21"/>
              </w:rPr>
            </w:pPr>
            <w:r>
              <w:rPr>
                <w:rFonts w:ascii="宋体" w:hAnsi="宋体"/>
                <w:szCs w:val="21"/>
              </w:rPr>
              <w:t>单价</w:t>
            </w:r>
            <w:r>
              <w:rPr>
                <w:rFonts w:hint="eastAsia" w:ascii="宋体" w:hAnsi="宋体"/>
                <w:szCs w:val="21"/>
              </w:rPr>
              <w:t>（元）</w:t>
            </w:r>
          </w:p>
        </w:tc>
        <w:tc>
          <w:tcPr>
            <w:tcW w:w="1418" w:type="dxa"/>
            <w:tcBorders>
              <w:top w:val="single" w:color="auto" w:sz="12" w:space="0"/>
              <w:bottom w:val="double" w:color="auto" w:sz="6" w:space="0"/>
            </w:tcBorders>
            <w:noWrap w:val="0"/>
            <w:vAlign w:val="center"/>
          </w:tcPr>
          <w:p w14:paraId="4EEABEC3">
            <w:pPr>
              <w:pStyle w:val="6"/>
              <w:keepNext/>
              <w:spacing w:after="0" w:line="440" w:lineRule="exact"/>
              <w:ind w:left="63" w:right="63"/>
              <w:jc w:val="center"/>
              <w:rPr>
                <w:rFonts w:ascii="宋体" w:hAnsi="宋体"/>
                <w:szCs w:val="21"/>
              </w:rPr>
            </w:pPr>
            <w:r>
              <w:rPr>
                <w:rFonts w:ascii="宋体" w:hAnsi="宋体"/>
                <w:szCs w:val="21"/>
              </w:rPr>
              <w:t>合价</w:t>
            </w:r>
            <w:r>
              <w:rPr>
                <w:rFonts w:hint="eastAsia" w:ascii="宋体" w:hAnsi="宋体"/>
                <w:szCs w:val="21"/>
              </w:rPr>
              <w:t>（元）</w:t>
            </w:r>
          </w:p>
        </w:tc>
        <w:tc>
          <w:tcPr>
            <w:tcW w:w="1701" w:type="dxa"/>
            <w:tcBorders>
              <w:top w:val="single" w:color="auto" w:sz="12" w:space="0"/>
              <w:bottom w:val="double" w:color="auto" w:sz="6" w:space="0"/>
            </w:tcBorders>
            <w:noWrap w:val="0"/>
            <w:vAlign w:val="center"/>
          </w:tcPr>
          <w:p w14:paraId="0C49A997">
            <w:pPr>
              <w:pStyle w:val="6"/>
              <w:keepNext/>
              <w:spacing w:after="0" w:line="440" w:lineRule="exact"/>
              <w:ind w:left="63" w:right="63"/>
              <w:jc w:val="center"/>
              <w:rPr>
                <w:rFonts w:ascii="宋体" w:hAnsi="宋体"/>
                <w:szCs w:val="21"/>
              </w:rPr>
            </w:pPr>
            <w:r>
              <w:rPr>
                <w:rFonts w:ascii="宋体" w:hAnsi="宋体"/>
                <w:szCs w:val="21"/>
              </w:rPr>
              <w:t>备注</w:t>
            </w:r>
          </w:p>
        </w:tc>
      </w:tr>
      <w:tr w14:paraId="69BC52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CB9B4B9">
            <w:pPr>
              <w:pStyle w:val="6"/>
              <w:keepNext/>
              <w:spacing w:after="0" w:line="440" w:lineRule="exact"/>
              <w:ind w:left="63" w:right="63"/>
              <w:rPr>
                <w:rFonts w:eastAsia="仿宋_GB2312"/>
                <w:sz w:val="28"/>
                <w:szCs w:val="30"/>
              </w:rPr>
            </w:pPr>
          </w:p>
        </w:tc>
        <w:tc>
          <w:tcPr>
            <w:tcW w:w="1984" w:type="dxa"/>
            <w:tcBorders>
              <w:top w:val="double" w:color="auto" w:sz="6" w:space="0"/>
              <w:bottom w:val="single" w:color="auto" w:sz="6" w:space="0"/>
            </w:tcBorders>
            <w:noWrap w:val="0"/>
            <w:vAlign w:val="top"/>
          </w:tcPr>
          <w:p w14:paraId="5C18BDD2">
            <w:pPr>
              <w:pStyle w:val="6"/>
              <w:keepNext/>
              <w:spacing w:after="0" w:line="440" w:lineRule="exact"/>
              <w:ind w:left="63" w:right="63"/>
              <w:rPr>
                <w:rFonts w:eastAsia="仿宋_GB2312"/>
                <w:sz w:val="28"/>
                <w:szCs w:val="30"/>
              </w:rPr>
            </w:pPr>
          </w:p>
        </w:tc>
        <w:tc>
          <w:tcPr>
            <w:tcW w:w="851" w:type="dxa"/>
            <w:tcBorders>
              <w:top w:val="double" w:color="auto" w:sz="6" w:space="0"/>
              <w:bottom w:val="single" w:color="auto" w:sz="6" w:space="0"/>
            </w:tcBorders>
            <w:noWrap w:val="0"/>
            <w:vAlign w:val="top"/>
          </w:tcPr>
          <w:p w14:paraId="786FA37F">
            <w:pPr>
              <w:pStyle w:val="6"/>
              <w:keepNext/>
              <w:spacing w:after="0" w:line="440" w:lineRule="exact"/>
              <w:ind w:left="63" w:right="63"/>
              <w:rPr>
                <w:rFonts w:eastAsia="仿宋_GB2312"/>
                <w:sz w:val="28"/>
                <w:szCs w:val="30"/>
              </w:rPr>
            </w:pPr>
          </w:p>
        </w:tc>
        <w:tc>
          <w:tcPr>
            <w:tcW w:w="774" w:type="dxa"/>
            <w:tcBorders>
              <w:top w:val="double" w:color="auto" w:sz="6" w:space="0"/>
              <w:bottom w:val="single" w:color="auto" w:sz="6" w:space="0"/>
            </w:tcBorders>
            <w:noWrap w:val="0"/>
            <w:vAlign w:val="top"/>
          </w:tcPr>
          <w:p w14:paraId="2C73AB1A">
            <w:pPr>
              <w:pStyle w:val="6"/>
              <w:keepNext/>
              <w:spacing w:after="0" w:line="440" w:lineRule="exact"/>
              <w:ind w:left="63" w:right="63"/>
              <w:rPr>
                <w:rFonts w:eastAsia="仿宋_GB2312"/>
                <w:sz w:val="28"/>
                <w:szCs w:val="30"/>
              </w:rPr>
            </w:pPr>
          </w:p>
        </w:tc>
        <w:tc>
          <w:tcPr>
            <w:tcW w:w="1352" w:type="dxa"/>
            <w:tcBorders>
              <w:top w:val="double" w:color="auto" w:sz="6" w:space="0"/>
              <w:bottom w:val="single" w:color="auto" w:sz="6" w:space="0"/>
            </w:tcBorders>
            <w:noWrap w:val="0"/>
            <w:vAlign w:val="top"/>
          </w:tcPr>
          <w:p w14:paraId="1C2BD8BC">
            <w:pPr>
              <w:pStyle w:val="6"/>
              <w:keepNext/>
              <w:spacing w:after="0" w:line="440" w:lineRule="exact"/>
              <w:ind w:left="63" w:right="63"/>
              <w:rPr>
                <w:rFonts w:eastAsia="仿宋_GB2312"/>
                <w:sz w:val="28"/>
                <w:szCs w:val="30"/>
              </w:rPr>
            </w:pPr>
          </w:p>
        </w:tc>
        <w:tc>
          <w:tcPr>
            <w:tcW w:w="1418" w:type="dxa"/>
            <w:tcBorders>
              <w:top w:val="double" w:color="auto" w:sz="6" w:space="0"/>
              <w:bottom w:val="single" w:color="auto" w:sz="6" w:space="0"/>
            </w:tcBorders>
            <w:noWrap w:val="0"/>
            <w:vAlign w:val="top"/>
          </w:tcPr>
          <w:p w14:paraId="1E126450">
            <w:pPr>
              <w:pStyle w:val="6"/>
              <w:keepNext/>
              <w:spacing w:after="0" w:line="440" w:lineRule="exact"/>
              <w:ind w:left="63" w:right="63"/>
              <w:rPr>
                <w:rFonts w:eastAsia="仿宋_GB2312"/>
                <w:sz w:val="28"/>
                <w:szCs w:val="30"/>
              </w:rPr>
            </w:pPr>
          </w:p>
        </w:tc>
        <w:tc>
          <w:tcPr>
            <w:tcW w:w="1701" w:type="dxa"/>
            <w:tcBorders>
              <w:top w:val="double" w:color="auto" w:sz="6" w:space="0"/>
              <w:bottom w:val="single" w:color="auto" w:sz="6" w:space="0"/>
            </w:tcBorders>
            <w:noWrap w:val="0"/>
            <w:vAlign w:val="top"/>
          </w:tcPr>
          <w:p w14:paraId="5AC5F5BF">
            <w:pPr>
              <w:pStyle w:val="6"/>
              <w:keepNext/>
              <w:spacing w:after="0" w:line="440" w:lineRule="exact"/>
              <w:ind w:left="63" w:right="63"/>
              <w:rPr>
                <w:rFonts w:eastAsia="仿宋_GB2312"/>
                <w:sz w:val="28"/>
                <w:szCs w:val="30"/>
              </w:rPr>
            </w:pPr>
          </w:p>
        </w:tc>
      </w:tr>
      <w:tr w14:paraId="5A9BFB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014BB45">
            <w:pPr>
              <w:pStyle w:val="6"/>
              <w:keepNext/>
              <w:spacing w:after="0" w:line="440" w:lineRule="exact"/>
              <w:ind w:left="63" w:right="63"/>
              <w:rPr>
                <w:rFonts w:eastAsia="仿宋_GB2312"/>
                <w:sz w:val="28"/>
                <w:szCs w:val="30"/>
              </w:rPr>
            </w:pPr>
          </w:p>
        </w:tc>
        <w:tc>
          <w:tcPr>
            <w:tcW w:w="1984" w:type="dxa"/>
            <w:tcBorders>
              <w:top w:val="nil"/>
            </w:tcBorders>
            <w:noWrap w:val="0"/>
            <w:vAlign w:val="top"/>
          </w:tcPr>
          <w:p w14:paraId="4B9DB81C">
            <w:pPr>
              <w:pStyle w:val="6"/>
              <w:keepNext/>
              <w:spacing w:after="0" w:line="440" w:lineRule="exact"/>
              <w:ind w:left="63" w:right="63"/>
              <w:rPr>
                <w:rFonts w:eastAsia="仿宋_GB2312"/>
                <w:sz w:val="28"/>
                <w:szCs w:val="30"/>
              </w:rPr>
            </w:pPr>
          </w:p>
        </w:tc>
        <w:tc>
          <w:tcPr>
            <w:tcW w:w="851" w:type="dxa"/>
            <w:tcBorders>
              <w:top w:val="nil"/>
            </w:tcBorders>
            <w:noWrap w:val="0"/>
            <w:vAlign w:val="top"/>
          </w:tcPr>
          <w:p w14:paraId="703EFD98">
            <w:pPr>
              <w:pStyle w:val="6"/>
              <w:keepNext/>
              <w:spacing w:after="0" w:line="440" w:lineRule="exact"/>
              <w:ind w:left="63" w:right="63"/>
              <w:rPr>
                <w:rFonts w:eastAsia="仿宋_GB2312"/>
                <w:sz w:val="28"/>
                <w:szCs w:val="30"/>
              </w:rPr>
            </w:pPr>
          </w:p>
        </w:tc>
        <w:tc>
          <w:tcPr>
            <w:tcW w:w="774" w:type="dxa"/>
            <w:tcBorders>
              <w:top w:val="nil"/>
            </w:tcBorders>
            <w:noWrap w:val="0"/>
            <w:vAlign w:val="top"/>
          </w:tcPr>
          <w:p w14:paraId="1BD35DEE">
            <w:pPr>
              <w:pStyle w:val="6"/>
              <w:keepNext/>
              <w:spacing w:after="0" w:line="440" w:lineRule="exact"/>
              <w:ind w:left="63" w:right="63"/>
              <w:rPr>
                <w:rFonts w:eastAsia="仿宋_GB2312"/>
                <w:sz w:val="28"/>
                <w:szCs w:val="30"/>
              </w:rPr>
            </w:pPr>
          </w:p>
        </w:tc>
        <w:tc>
          <w:tcPr>
            <w:tcW w:w="1352" w:type="dxa"/>
            <w:tcBorders>
              <w:top w:val="nil"/>
            </w:tcBorders>
            <w:noWrap w:val="0"/>
            <w:vAlign w:val="top"/>
          </w:tcPr>
          <w:p w14:paraId="006A74F1">
            <w:pPr>
              <w:pStyle w:val="6"/>
              <w:keepNext/>
              <w:spacing w:after="0" w:line="440" w:lineRule="exact"/>
              <w:ind w:left="63" w:right="63"/>
              <w:rPr>
                <w:rFonts w:eastAsia="仿宋_GB2312"/>
                <w:sz w:val="28"/>
                <w:szCs w:val="30"/>
              </w:rPr>
            </w:pPr>
          </w:p>
        </w:tc>
        <w:tc>
          <w:tcPr>
            <w:tcW w:w="1418" w:type="dxa"/>
            <w:tcBorders>
              <w:top w:val="nil"/>
            </w:tcBorders>
            <w:noWrap w:val="0"/>
            <w:vAlign w:val="top"/>
          </w:tcPr>
          <w:p w14:paraId="3073788B">
            <w:pPr>
              <w:pStyle w:val="6"/>
              <w:keepNext/>
              <w:spacing w:after="0" w:line="440" w:lineRule="exact"/>
              <w:ind w:left="63" w:right="63"/>
              <w:rPr>
                <w:rFonts w:eastAsia="仿宋_GB2312"/>
                <w:sz w:val="28"/>
                <w:szCs w:val="30"/>
              </w:rPr>
            </w:pPr>
          </w:p>
        </w:tc>
        <w:tc>
          <w:tcPr>
            <w:tcW w:w="1701" w:type="dxa"/>
            <w:tcBorders>
              <w:top w:val="nil"/>
            </w:tcBorders>
            <w:noWrap w:val="0"/>
            <w:vAlign w:val="top"/>
          </w:tcPr>
          <w:p w14:paraId="1A58F774">
            <w:pPr>
              <w:pStyle w:val="6"/>
              <w:keepNext/>
              <w:spacing w:after="0" w:line="440" w:lineRule="exact"/>
              <w:ind w:left="63" w:right="63"/>
              <w:rPr>
                <w:rFonts w:eastAsia="仿宋_GB2312"/>
                <w:sz w:val="28"/>
                <w:szCs w:val="30"/>
              </w:rPr>
            </w:pPr>
          </w:p>
        </w:tc>
      </w:tr>
      <w:tr w14:paraId="64BB3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00009A">
            <w:pPr>
              <w:pStyle w:val="6"/>
              <w:keepNext/>
              <w:spacing w:after="0" w:line="440" w:lineRule="exact"/>
              <w:ind w:left="63" w:right="63"/>
              <w:rPr>
                <w:rFonts w:eastAsia="仿宋_GB2312"/>
                <w:sz w:val="28"/>
                <w:szCs w:val="30"/>
              </w:rPr>
            </w:pPr>
          </w:p>
        </w:tc>
        <w:tc>
          <w:tcPr>
            <w:tcW w:w="1984" w:type="dxa"/>
            <w:noWrap w:val="0"/>
            <w:vAlign w:val="top"/>
          </w:tcPr>
          <w:p w14:paraId="4541FBC3">
            <w:pPr>
              <w:pStyle w:val="6"/>
              <w:keepNext/>
              <w:spacing w:after="0" w:line="440" w:lineRule="exact"/>
              <w:ind w:left="63" w:right="63"/>
              <w:rPr>
                <w:rFonts w:eastAsia="仿宋_GB2312"/>
                <w:sz w:val="28"/>
                <w:szCs w:val="30"/>
              </w:rPr>
            </w:pPr>
          </w:p>
        </w:tc>
        <w:tc>
          <w:tcPr>
            <w:tcW w:w="851" w:type="dxa"/>
            <w:noWrap w:val="0"/>
            <w:vAlign w:val="top"/>
          </w:tcPr>
          <w:p w14:paraId="18A46523">
            <w:pPr>
              <w:pStyle w:val="6"/>
              <w:keepNext/>
              <w:spacing w:after="0" w:line="440" w:lineRule="exact"/>
              <w:ind w:left="63" w:right="63"/>
              <w:rPr>
                <w:rFonts w:eastAsia="仿宋_GB2312"/>
                <w:sz w:val="28"/>
                <w:szCs w:val="30"/>
              </w:rPr>
            </w:pPr>
          </w:p>
        </w:tc>
        <w:tc>
          <w:tcPr>
            <w:tcW w:w="774" w:type="dxa"/>
            <w:noWrap w:val="0"/>
            <w:vAlign w:val="top"/>
          </w:tcPr>
          <w:p w14:paraId="12C7D420">
            <w:pPr>
              <w:pStyle w:val="6"/>
              <w:keepNext/>
              <w:spacing w:after="0" w:line="440" w:lineRule="exact"/>
              <w:ind w:left="63" w:right="63"/>
              <w:rPr>
                <w:rFonts w:eastAsia="仿宋_GB2312"/>
                <w:sz w:val="28"/>
                <w:szCs w:val="30"/>
              </w:rPr>
            </w:pPr>
          </w:p>
        </w:tc>
        <w:tc>
          <w:tcPr>
            <w:tcW w:w="1352" w:type="dxa"/>
            <w:noWrap w:val="0"/>
            <w:vAlign w:val="top"/>
          </w:tcPr>
          <w:p w14:paraId="0EFF4E4C">
            <w:pPr>
              <w:pStyle w:val="6"/>
              <w:keepNext/>
              <w:spacing w:after="0" w:line="440" w:lineRule="exact"/>
              <w:ind w:left="63" w:right="63"/>
              <w:rPr>
                <w:rFonts w:eastAsia="仿宋_GB2312"/>
                <w:sz w:val="28"/>
                <w:szCs w:val="30"/>
              </w:rPr>
            </w:pPr>
          </w:p>
        </w:tc>
        <w:tc>
          <w:tcPr>
            <w:tcW w:w="1418" w:type="dxa"/>
            <w:noWrap w:val="0"/>
            <w:vAlign w:val="top"/>
          </w:tcPr>
          <w:p w14:paraId="63AD8BDC">
            <w:pPr>
              <w:pStyle w:val="6"/>
              <w:keepNext/>
              <w:spacing w:after="0" w:line="440" w:lineRule="exact"/>
              <w:ind w:left="63" w:right="63"/>
              <w:rPr>
                <w:rFonts w:eastAsia="仿宋_GB2312"/>
                <w:sz w:val="28"/>
                <w:szCs w:val="30"/>
              </w:rPr>
            </w:pPr>
          </w:p>
        </w:tc>
        <w:tc>
          <w:tcPr>
            <w:tcW w:w="1701" w:type="dxa"/>
            <w:noWrap w:val="0"/>
            <w:vAlign w:val="top"/>
          </w:tcPr>
          <w:p w14:paraId="27F38566">
            <w:pPr>
              <w:pStyle w:val="6"/>
              <w:keepNext/>
              <w:spacing w:after="0" w:line="440" w:lineRule="exact"/>
              <w:ind w:left="63" w:right="63"/>
              <w:rPr>
                <w:rFonts w:eastAsia="仿宋_GB2312"/>
                <w:sz w:val="28"/>
                <w:szCs w:val="30"/>
              </w:rPr>
            </w:pPr>
          </w:p>
        </w:tc>
      </w:tr>
      <w:tr w14:paraId="3C12ED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7620FA">
            <w:pPr>
              <w:pStyle w:val="6"/>
              <w:keepNext/>
              <w:spacing w:after="0" w:line="440" w:lineRule="exact"/>
              <w:ind w:left="63" w:right="63"/>
              <w:rPr>
                <w:rFonts w:eastAsia="仿宋_GB2312"/>
                <w:sz w:val="28"/>
                <w:szCs w:val="30"/>
              </w:rPr>
            </w:pPr>
          </w:p>
        </w:tc>
        <w:tc>
          <w:tcPr>
            <w:tcW w:w="1984" w:type="dxa"/>
            <w:noWrap w:val="0"/>
            <w:vAlign w:val="top"/>
          </w:tcPr>
          <w:p w14:paraId="5088B849">
            <w:pPr>
              <w:pStyle w:val="6"/>
              <w:keepNext/>
              <w:spacing w:after="0" w:line="440" w:lineRule="exact"/>
              <w:ind w:left="63" w:right="63"/>
              <w:rPr>
                <w:rFonts w:eastAsia="仿宋_GB2312"/>
                <w:sz w:val="28"/>
                <w:szCs w:val="30"/>
              </w:rPr>
            </w:pPr>
          </w:p>
        </w:tc>
        <w:tc>
          <w:tcPr>
            <w:tcW w:w="851" w:type="dxa"/>
            <w:noWrap w:val="0"/>
            <w:vAlign w:val="top"/>
          </w:tcPr>
          <w:p w14:paraId="03A451A0">
            <w:pPr>
              <w:pStyle w:val="6"/>
              <w:keepNext/>
              <w:spacing w:after="0" w:line="440" w:lineRule="exact"/>
              <w:ind w:left="63" w:right="63"/>
              <w:rPr>
                <w:rFonts w:eastAsia="仿宋_GB2312"/>
                <w:sz w:val="28"/>
                <w:szCs w:val="30"/>
              </w:rPr>
            </w:pPr>
          </w:p>
        </w:tc>
        <w:tc>
          <w:tcPr>
            <w:tcW w:w="774" w:type="dxa"/>
            <w:noWrap w:val="0"/>
            <w:vAlign w:val="top"/>
          </w:tcPr>
          <w:p w14:paraId="76C78262">
            <w:pPr>
              <w:pStyle w:val="6"/>
              <w:keepNext/>
              <w:spacing w:after="0" w:line="440" w:lineRule="exact"/>
              <w:ind w:left="63" w:right="63"/>
              <w:rPr>
                <w:rFonts w:eastAsia="仿宋_GB2312"/>
                <w:sz w:val="28"/>
                <w:szCs w:val="30"/>
              </w:rPr>
            </w:pPr>
          </w:p>
        </w:tc>
        <w:tc>
          <w:tcPr>
            <w:tcW w:w="1352" w:type="dxa"/>
            <w:noWrap w:val="0"/>
            <w:vAlign w:val="top"/>
          </w:tcPr>
          <w:p w14:paraId="71DD1208">
            <w:pPr>
              <w:pStyle w:val="6"/>
              <w:keepNext/>
              <w:spacing w:after="0" w:line="440" w:lineRule="exact"/>
              <w:ind w:left="63" w:right="63"/>
              <w:rPr>
                <w:rFonts w:eastAsia="仿宋_GB2312"/>
                <w:sz w:val="28"/>
                <w:szCs w:val="30"/>
              </w:rPr>
            </w:pPr>
          </w:p>
        </w:tc>
        <w:tc>
          <w:tcPr>
            <w:tcW w:w="1418" w:type="dxa"/>
            <w:noWrap w:val="0"/>
            <w:vAlign w:val="top"/>
          </w:tcPr>
          <w:p w14:paraId="01316F58">
            <w:pPr>
              <w:pStyle w:val="6"/>
              <w:keepNext/>
              <w:spacing w:after="0" w:line="440" w:lineRule="exact"/>
              <w:ind w:left="63" w:right="63"/>
              <w:rPr>
                <w:rFonts w:eastAsia="仿宋_GB2312"/>
                <w:sz w:val="28"/>
                <w:szCs w:val="30"/>
              </w:rPr>
            </w:pPr>
          </w:p>
        </w:tc>
        <w:tc>
          <w:tcPr>
            <w:tcW w:w="1701" w:type="dxa"/>
            <w:noWrap w:val="0"/>
            <w:vAlign w:val="top"/>
          </w:tcPr>
          <w:p w14:paraId="5F48F441">
            <w:pPr>
              <w:pStyle w:val="6"/>
              <w:keepNext/>
              <w:spacing w:after="0" w:line="440" w:lineRule="exact"/>
              <w:ind w:left="63" w:right="63"/>
              <w:rPr>
                <w:rFonts w:eastAsia="仿宋_GB2312"/>
                <w:sz w:val="28"/>
                <w:szCs w:val="30"/>
              </w:rPr>
            </w:pPr>
          </w:p>
        </w:tc>
      </w:tr>
      <w:tr w14:paraId="2DF578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618B474">
            <w:pPr>
              <w:pStyle w:val="6"/>
              <w:keepNext/>
              <w:spacing w:after="0" w:line="440" w:lineRule="exact"/>
              <w:ind w:left="63" w:right="63"/>
              <w:rPr>
                <w:rFonts w:eastAsia="仿宋_GB2312"/>
                <w:sz w:val="28"/>
                <w:szCs w:val="30"/>
              </w:rPr>
            </w:pPr>
          </w:p>
        </w:tc>
        <w:tc>
          <w:tcPr>
            <w:tcW w:w="1984" w:type="dxa"/>
            <w:noWrap w:val="0"/>
            <w:vAlign w:val="top"/>
          </w:tcPr>
          <w:p w14:paraId="36D0F679">
            <w:pPr>
              <w:pStyle w:val="6"/>
              <w:keepNext/>
              <w:spacing w:after="0" w:line="440" w:lineRule="exact"/>
              <w:ind w:left="63" w:right="63"/>
              <w:rPr>
                <w:rFonts w:eastAsia="仿宋_GB2312"/>
                <w:sz w:val="28"/>
                <w:szCs w:val="30"/>
              </w:rPr>
            </w:pPr>
          </w:p>
        </w:tc>
        <w:tc>
          <w:tcPr>
            <w:tcW w:w="851" w:type="dxa"/>
            <w:noWrap w:val="0"/>
            <w:vAlign w:val="top"/>
          </w:tcPr>
          <w:p w14:paraId="75715CB6">
            <w:pPr>
              <w:pStyle w:val="6"/>
              <w:keepNext/>
              <w:spacing w:after="0" w:line="440" w:lineRule="exact"/>
              <w:ind w:left="63" w:right="63"/>
              <w:rPr>
                <w:rFonts w:eastAsia="仿宋_GB2312"/>
                <w:sz w:val="28"/>
                <w:szCs w:val="30"/>
              </w:rPr>
            </w:pPr>
          </w:p>
        </w:tc>
        <w:tc>
          <w:tcPr>
            <w:tcW w:w="774" w:type="dxa"/>
            <w:noWrap w:val="0"/>
            <w:vAlign w:val="top"/>
          </w:tcPr>
          <w:p w14:paraId="36118B2D">
            <w:pPr>
              <w:pStyle w:val="6"/>
              <w:keepNext/>
              <w:spacing w:after="0" w:line="440" w:lineRule="exact"/>
              <w:ind w:left="63" w:right="63"/>
              <w:rPr>
                <w:rFonts w:eastAsia="仿宋_GB2312"/>
                <w:sz w:val="28"/>
                <w:szCs w:val="30"/>
              </w:rPr>
            </w:pPr>
          </w:p>
        </w:tc>
        <w:tc>
          <w:tcPr>
            <w:tcW w:w="1352" w:type="dxa"/>
            <w:noWrap w:val="0"/>
            <w:vAlign w:val="top"/>
          </w:tcPr>
          <w:p w14:paraId="1AA5CAB0">
            <w:pPr>
              <w:pStyle w:val="6"/>
              <w:keepNext/>
              <w:spacing w:after="0" w:line="440" w:lineRule="exact"/>
              <w:ind w:left="63" w:right="63"/>
              <w:rPr>
                <w:rFonts w:eastAsia="仿宋_GB2312"/>
                <w:sz w:val="28"/>
                <w:szCs w:val="30"/>
              </w:rPr>
            </w:pPr>
          </w:p>
        </w:tc>
        <w:tc>
          <w:tcPr>
            <w:tcW w:w="1418" w:type="dxa"/>
            <w:noWrap w:val="0"/>
            <w:vAlign w:val="top"/>
          </w:tcPr>
          <w:p w14:paraId="311A61C9">
            <w:pPr>
              <w:pStyle w:val="6"/>
              <w:keepNext/>
              <w:spacing w:after="0" w:line="440" w:lineRule="exact"/>
              <w:ind w:left="63" w:right="63"/>
              <w:rPr>
                <w:rFonts w:eastAsia="仿宋_GB2312"/>
                <w:sz w:val="28"/>
                <w:szCs w:val="30"/>
              </w:rPr>
            </w:pPr>
          </w:p>
        </w:tc>
        <w:tc>
          <w:tcPr>
            <w:tcW w:w="1701" w:type="dxa"/>
            <w:noWrap w:val="0"/>
            <w:vAlign w:val="top"/>
          </w:tcPr>
          <w:p w14:paraId="03E558E4">
            <w:pPr>
              <w:pStyle w:val="6"/>
              <w:keepNext/>
              <w:spacing w:after="0" w:line="440" w:lineRule="exact"/>
              <w:ind w:left="63" w:right="63"/>
              <w:rPr>
                <w:rFonts w:eastAsia="仿宋_GB2312"/>
                <w:sz w:val="28"/>
                <w:szCs w:val="30"/>
              </w:rPr>
            </w:pPr>
          </w:p>
        </w:tc>
      </w:tr>
      <w:tr w14:paraId="339D2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204991">
            <w:pPr>
              <w:pStyle w:val="6"/>
              <w:keepNext/>
              <w:spacing w:after="0" w:line="440" w:lineRule="exact"/>
              <w:ind w:left="63" w:right="63"/>
              <w:rPr>
                <w:rFonts w:eastAsia="仿宋_GB2312"/>
                <w:sz w:val="28"/>
                <w:szCs w:val="30"/>
              </w:rPr>
            </w:pPr>
          </w:p>
        </w:tc>
        <w:tc>
          <w:tcPr>
            <w:tcW w:w="1984" w:type="dxa"/>
            <w:noWrap w:val="0"/>
            <w:vAlign w:val="top"/>
          </w:tcPr>
          <w:p w14:paraId="1F888898">
            <w:pPr>
              <w:pStyle w:val="6"/>
              <w:keepNext/>
              <w:spacing w:after="0" w:line="440" w:lineRule="exact"/>
              <w:ind w:left="63" w:right="63"/>
              <w:rPr>
                <w:rFonts w:eastAsia="仿宋_GB2312"/>
                <w:sz w:val="28"/>
                <w:szCs w:val="30"/>
              </w:rPr>
            </w:pPr>
          </w:p>
        </w:tc>
        <w:tc>
          <w:tcPr>
            <w:tcW w:w="851" w:type="dxa"/>
            <w:noWrap w:val="0"/>
            <w:vAlign w:val="top"/>
          </w:tcPr>
          <w:p w14:paraId="140DEEBE">
            <w:pPr>
              <w:pStyle w:val="6"/>
              <w:keepNext/>
              <w:spacing w:after="0" w:line="440" w:lineRule="exact"/>
              <w:ind w:left="63" w:right="63"/>
              <w:rPr>
                <w:rFonts w:eastAsia="仿宋_GB2312"/>
                <w:sz w:val="28"/>
                <w:szCs w:val="30"/>
              </w:rPr>
            </w:pPr>
          </w:p>
        </w:tc>
        <w:tc>
          <w:tcPr>
            <w:tcW w:w="774" w:type="dxa"/>
            <w:noWrap w:val="0"/>
            <w:vAlign w:val="top"/>
          </w:tcPr>
          <w:p w14:paraId="37F3B5B3">
            <w:pPr>
              <w:pStyle w:val="6"/>
              <w:keepNext/>
              <w:spacing w:after="0" w:line="440" w:lineRule="exact"/>
              <w:ind w:left="63" w:right="63"/>
              <w:rPr>
                <w:rFonts w:eastAsia="仿宋_GB2312"/>
                <w:sz w:val="28"/>
                <w:szCs w:val="30"/>
              </w:rPr>
            </w:pPr>
          </w:p>
        </w:tc>
        <w:tc>
          <w:tcPr>
            <w:tcW w:w="1352" w:type="dxa"/>
            <w:noWrap w:val="0"/>
            <w:vAlign w:val="top"/>
          </w:tcPr>
          <w:p w14:paraId="1AA03849">
            <w:pPr>
              <w:pStyle w:val="6"/>
              <w:keepNext/>
              <w:spacing w:after="0" w:line="440" w:lineRule="exact"/>
              <w:ind w:left="63" w:right="63"/>
              <w:rPr>
                <w:rFonts w:eastAsia="仿宋_GB2312"/>
                <w:sz w:val="28"/>
                <w:szCs w:val="30"/>
              </w:rPr>
            </w:pPr>
          </w:p>
        </w:tc>
        <w:tc>
          <w:tcPr>
            <w:tcW w:w="1418" w:type="dxa"/>
            <w:noWrap w:val="0"/>
            <w:vAlign w:val="top"/>
          </w:tcPr>
          <w:p w14:paraId="7FC9EB07">
            <w:pPr>
              <w:pStyle w:val="6"/>
              <w:keepNext/>
              <w:spacing w:after="0" w:line="440" w:lineRule="exact"/>
              <w:ind w:left="63" w:right="63"/>
              <w:rPr>
                <w:rFonts w:eastAsia="仿宋_GB2312"/>
                <w:sz w:val="28"/>
                <w:szCs w:val="30"/>
              </w:rPr>
            </w:pPr>
          </w:p>
        </w:tc>
        <w:tc>
          <w:tcPr>
            <w:tcW w:w="1701" w:type="dxa"/>
            <w:noWrap w:val="0"/>
            <w:vAlign w:val="top"/>
          </w:tcPr>
          <w:p w14:paraId="23EB9351">
            <w:pPr>
              <w:pStyle w:val="6"/>
              <w:keepNext/>
              <w:spacing w:after="0" w:line="440" w:lineRule="exact"/>
              <w:ind w:left="63" w:right="63"/>
              <w:rPr>
                <w:rFonts w:eastAsia="仿宋_GB2312"/>
                <w:sz w:val="28"/>
                <w:szCs w:val="30"/>
              </w:rPr>
            </w:pPr>
          </w:p>
        </w:tc>
      </w:tr>
      <w:tr w14:paraId="34378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190D76">
            <w:pPr>
              <w:pStyle w:val="6"/>
              <w:keepNext/>
              <w:spacing w:after="0" w:line="440" w:lineRule="exact"/>
              <w:ind w:left="63" w:right="63"/>
              <w:rPr>
                <w:rFonts w:eastAsia="仿宋_GB2312"/>
                <w:sz w:val="28"/>
                <w:szCs w:val="30"/>
              </w:rPr>
            </w:pPr>
          </w:p>
        </w:tc>
        <w:tc>
          <w:tcPr>
            <w:tcW w:w="1984" w:type="dxa"/>
            <w:noWrap w:val="0"/>
            <w:vAlign w:val="top"/>
          </w:tcPr>
          <w:p w14:paraId="52296B5C">
            <w:pPr>
              <w:pStyle w:val="6"/>
              <w:keepNext/>
              <w:spacing w:after="0" w:line="440" w:lineRule="exact"/>
              <w:ind w:left="63" w:right="63"/>
              <w:rPr>
                <w:rFonts w:eastAsia="仿宋_GB2312"/>
                <w:sz w:val="28"/>
                <w:szCs w:val="30"/>
              </w:rPr>
            </w:pPr>
          </w:p>
        </w:tc>
        <w:tc>
          <w:tcPr>
            <w:tcW w:w="851" w:type="dxa"/>
            <w:noWrap w:val="0"/>
            <w:vAlign w:val="top"/>
          </w:tcPr>
          <w:p w14:paraId="75E31502">
            <w:pPr>
              <w:pStyle w:val="6"/>
              <w:keepNext/>
              <w:spacing w:after="0" w:line="440" w:lineRule="exact"/>
              <w:ind w:left="63" w:right="63"/>
              <w:rPr>
                <w:rFonts w:eastAsia="仿宋_GB2312"/>
                <w:sz w:val="28"/>
                <w:szCs w:val="30"/>
              </w:rPr>
            </w:pPr>
          </w:p>
        </w:tc>
        <w:tc>
          <w:tcPr>
            <w:tcW w:w="774" w:type="dxa"/>
            <w:noWrap w:val="0"/>
            <w:vAlign w:val="top"/>
          </w:tcPr>
          <w:p w14:paraId="501571E2">
            <w:pPr>
              <w:pStyle w:val="6"/>
              <w:keepNext/>
              <w:spacing w:after="0" w:line="440" w:lineRule="exact"/>
              <w:ind w:left="63" w:right="63"/>
              <w:rPr>
                <w:rFonts w:eastAsia="仿宋_GB2312"/>
                <w:sz w:val="28"/>
                <w:szCs w:val="30"/>
              </w:rPr>
            </w:pPr>
          </w:p>
        </w:tc>
        <w:tc>
          <w:tcPr>
            <w:tcW w:w="1352" w:type="dxa"/>
            <w:noWrap w:val="0"/>
            <w:vAlign w:val="top"/>
          </w:tcPr>
          <w:p w14:paraId="0E3D3C48">
            <w:pPr>
              <w:pStyle w:val="6"/>
              <w:keepNext/>
              <w:spacing w:after="0" w:line="440" w:lineRule="exact"/>
              <w:ind w:left="63" w:right="63"/>
              <w:rPr>
                <w:rFonts w:eastAsia="仿宋_GB2312"/>
                <w:sz w:val="28"/>
                <w:szCs w:val="30"/>
              </w:rPr>
            </w:pPr>
          </w:p>
        </w:tc>
        <w:tc>
          <w:tcPr>
            <w:tcW w:w="1418" w:type="dxa"/>
            <w:noWrap w:val="0"/>
            <w:vAlign w:val="top"/>
          </w:tcPr>
          <w:p w14:paraId="180D9CEF">
            <w:pPr>
              <w:pStyle w:val="6"/>
              <w:keepNext/>
              <w:spacing w:after="0" w:line="440" w:lineRule="exact"/>
              <w:ind w:left="63" w:right="63"/>
              <w:rPr>
                <w:rFonts w:eastAsia="仿宋_GB2312"/>
                <w:sz w:val="28"/>
                <w:szCs w:val="30"/>
              </w:rPr>
            </w:pPr>
          </w:p>
        </w:tc>
        <w:tc>
          <w:tcPr>
            <w:tcW w:w="1701" w:type="dxa"/>
            <w:noWrap w:val="0"/>
            <w:vAlign w:val="top"/>
          </w:tcPr>
          <w:p w14:paraId="270597FD">
            <w:pPr>
              <w:pStyle w:val="6"/>
              <w:keepNext/>
              <w:spacing w:after="0" w:line="440" w:lineRule="exact"/>
              <w:ind w:left="63" w:right="63"/>
              <w:rPr>
                <w:rFonts w:eastAsia="仿宋_GB2312"/>
                <w:sz w:val="28"/>
                <w:szCs w:val="30"/>
              </w:rPr>
            </w:pPr>
          </w:p>
        </w:tc>
      </w:tr>
      <w:tr w14:paraId="6E0CD3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330F2BA">
            <w:pPr>
              <w:pStyle w:val="6"/>
              <w:keepNext/>
              <w:spacing w:after="0" w:line="440" w:lineRule="exact"/>
              <w:ind w:left="63" w:right="63"/>
              <w:rPr>
                <w:rFonts w:eastAsia="仿宋_GB2312"/>
                <w:sz w:val="28"/>
                <w:szCs w:val="30"/>
              </w:rPr>
            </w:pPr>
          </w:p>
        </w:tc>
        <w:tc>
          <w:tcPr>
            <w:tcW w:w="1984" w:type="dxa"/>
            <w:noWrap w:val="0"/>
            <w:vAlign w:val="top"/>
          </w:tcPr>
          <w:p w14:paraId="79CBC544">
            <w:pPr>
              <w:pStyle w:val="6"/>
              <w:keepNext/>
              <w:spacing w:after="0" w:line="440" w:lineRule="exact"/>
              <w:ind w:left="63" w:right="63"/>
              <w:rPr>
                <w:rFonts w:eastAsia="仿宋_GB2312"/>
                <w:sz w:val="28"/>
                <w:szCs w:val="30"/>
              </w:rPr>
            </w:pPr>
          </w:p>
        </w:tc>
        <w:tc>
          <w:tcPr>
            <w:tcW w:w="851" w:type="dxa"/>
            <w:noWrap w:val="0"/>
            <w:vAlign w:val="top"/>
          </w:tcPr>
          <w:p w14:paraId="6766D785">
            <w:pPr>
              <w:pStyle w:val="6"/>
              <w:keepNext/>
              <w:spacing w:after="0" w:line="440" w:lineRule="exact"/>
              <w:ind w:left="63" w:right="63"/>
              <w:rPr>
                <w:rFonts w:eastAsia="仿宋_GB2312"/>
                <w:sz w:val="28"/>
                <w:szCs w:val="30"/>
              </w:rPr>
            </w:pPr>
          </w:p>
        </w:tc>
        <w:tc>
          <w:tcPr>
            <w:tcW w:w="774" w:type="dxa"/>
            <w:noWrap w:val="0"/>
            <w:vAlign w:val="top"/>
          </w:tcPr>
          <w:p w14:paraId="0FB659EF">
            <w:pPr>
              <w:pStyle w:val="6"/>
              <w:keepNext/>
              <w:spacing w:after="0" w:line="440" w:lineRule="exact"/>
              <w:ind w:left="63" w:right="63"/>
              <w:rPr>
                <w:rFonts w:eastAsia="仿宋_GB2312"/>
                <w:sz w:val="28"/>
                <w:szCs w:val="30"/>
              </w:rPr>
            </w:pPr>
          </w:p>
        </w:tc>
        <w:tc>
          <w:tcPr>
            <w:tcW w:w="1352" w:type="dxa"/>
            <w:noWrap w:val="0"/>
            <w:vAlign w:val="top"/>
          </w:tcPr>
          <w:p w14:paraId="264096E6">
            <w:pPr>
              <w:pStyle w:val="6"/>
              <w:keepNext/>
              <w:spacing w:after="0" w:line="440" w:lineRule="exact"/>
              <w:ind w:left="63" w:right="63"/>
              <w:rPr>
                <w:rFonts w:eastAsia="仿宋_GB2312"/>
                <w:sz w:val="28"/>
                <w:szCs w:val="30"/>
              </w:rPr>
            </w:pPr>
          </w:p>
        </w:tc>
        <w:tc>
          <w:tcPr>
            <w:tcW w:w="1418" w:type="dxa"/>
            <w:noWrap w:val="0"/>
            <w:vAlign w:val="top"/>
          </w:tcPr>
          <w:p w14:paraId="6E1712D8">
            <w:pPr>
              <w:pStyle w:val="6"/>
              <w:keepNext/>
              <w:spacing w:after="0" w:line="440" w:lineRule="exact"/>
              <w:ind w:left="63" w:right="63"/>
              <w:rPr>
                <w:rFonts w:eastAsia="仿宋_GB2312"/>
                <w:sz w:val="28"/>
                <w:szCs w:val="30"/>
              </w:rPr>
            </w:pPr>
          </w:p>
        </w:tc>
        <w:tc>
          <w:tcPr>
            <w:tcW w:w="1701" w:type="dxa"/>
            <w:noWrap w:val="0"/>
            <w:vAlign w:val="top"/>
          </w:tcPr>
          <w:p w14:paraId="103269E0">
            <w:pPr>
              <w:pStyle w:val="6"/>
              <w:keepNext/>
              <w:spacing w:after="0" w:line="440" w:lineRule="exact"/>
              <w:ind w:left="63" w:right="63"/>
              <w:rPr>
                <w:rFonts w:eastAsia="仿宋_GB2312"/>
                <w:sz w:val="28"/>
                <w:szCs w:val="30"/>
              </w:rPr>
            </w:pPr>
          </w:p>
        </w:tc>
      </w:tr>
      <w:tr w14:paraId="18CF5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DFB736">
            <w:pPr>
              <w:pStyle w:val="6"/>
              <w:keepNext/>
              <w:spacing w:after="0" w:line="440" w:lineRule="exact"/>
              <w:ind w:left="63" w:right="63"/>
              <w:rPr>
                <w:rFonts w:eastAsia="仿宋_GB2312"/>
                <w:sz w:val="28"/>
                <w:szCs w:val="30"/>
              </w:rPr>
            </w:pPr>
          </w:p>
        </w:tc>
        <w:tc>
          <w:tcPr>
            <w:tcW w:w="1984" w:type="dxa"/>
            <w:noWrap w:val="0"/>
            <w:vAlign w:val="top"/>
          </w:tcPr>
          <w:p w14:paraId="344D5F18">
            <w:pPr>
              <w:pStyle w:val="6"/>
              <w:keepNext/>
              <w:spacing w:after="0" w:line="440" w:lineRule="exact"/>
              <w:ind w:left="63" w:right="63"/>
              <w:rPr>
                <w:rFonts w:eastAsia="仿宋_GB2312"/>
                <w:sz w:val="28"/>
                <w:szCs w:val="30"/>
              </w:rPr>
            </w:pPr>
          </w:p>
        </w:tc>
        <w:tc>
          <w:tcPr>
            <w:tcW w:w="851" w:type="dxa"/>
            <w:noWrap w:val="0"/>
            <w:vAlign w:val="top"/>
          </w:tcPr>
          <w:p w14:paraId="43AD46FF">
            <w:pPr>
              <w:pStyle w:val="6"/>
              <w:keepNext/>
              <w:spacing w:after="0" w:line="440" w:lineRule="exact"/>
              <w:ind w:left="63" w:right="63"/>
              <w:rPr>
                <w:rFonts w:eastAsia="仿宋_GB2312"/>
                <w:sz w:val="28"/>
                <w:szCs w:val="30"/>
              </w:rPr>
            </w:pPr>
          </w:p>
        </w:tc>
        <w:tc>
          <w:tcPr>
            <w:tcW w:w="774" w:type="dxa"/>
            <w:noWrap w:val="0"/>
            <w:vAlign w:val="top"/>
          </w:tcPr>
          <w:p w14:paraId="2C607131">
            <w:pPr>
              <w:pStyle w:val="6"/>
              <w:keepNext/>
              <w:spacing w:after="0" w:line="440" w:lineRule="exact"/>
              <w:ind w:left="63" w:right="63"/>
              <w:rPr>
                <w:rFonts w:eastAsia="仿宋_GB2312"/>
                <w:sz w:val="28"/>
                <w:szCs w:val="30"/>
              </w:rPr>
            </w:pPr>
          </w:p>
        </w:tc>
        <w:tc>
          <w:tcPr>
            <w:tcW w:w="1352" w:type="dxa"/>
            <w:noWrap w:val="0"/>
            <w:vAlign w:val="top"/>
          </w:tcPr>
          <w:p w14:paraId="15F9FE12">
            <w:pPr>
              <w:pStyle w:val="6"/>
              <w:keepNext/>
              <w:spacing w:after="0" w:line="440" w:lineRule="exact"/>
              <w:ind w:left="63" w:right="63"/>
              <w:rPr>
                <w:rFonts w:eastAsia="仿宋_GB2312"/>
                <w:sz w:val="28"/>
                <w:szCs w:val="30"/>
              </w:rPr>
            </w:pPr>
          </w:p>
        </w:tc>
        <w:tc>
          <w:tcPr>
            <w:tcW w:w="1418" w:type="dxa"/>
            <w:noWrap w:val="0"/>
            <w:vAlign w:val="top"/>
          </w:tcPr>
          <w:p w14:paraId="16DCF200">
            <w:pPr>
              <w:pStyle w:val="6"/>
              <w:keepNext/>
              <w:spacing w:after="0" w:line="440" w:lineRule="exact"/>
              <w:ind w:left="63" w:right="63"/>
              <w:rPr>
                <w:rFonts w:eastAsia="仿宋_GB2312"/>
                <w:sz w:val="28"/>
                <w:szCs w:val="30"/>
              </w:rPr>
            </w:pPr>
          </w:p>
        </w:tc>
        <w:tc>
          <w:tcPr>
            <w:tcW w:w="1701" w:type="dxa"/>
            <w:noWrap w:val="0"/>
            <w:vAlign w:val="top"/>
          </w:tcPr>
          <w:p w14:paraId="579F1C81">
            <w:pPr>
              <w:pStyle w:val="6"/>
              <w:keepNext/>
              <w:spacing w:after="0" w:line="440" w:lineRule="exact"/>
              <w:ind w:left="63" w:right="63"/>
              <w:rPr>
                <w:rFonts w:eastAsia="仿宋_GB2312"/>
                <w:sz w:val="28"/>
                <w:szCs w:val="30"/>
              </w:rPr>
            </w:pPr>
          </w:p>
        </w:tc>
      </w:tr>
      <w:tr w14:paraId="37391B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72E248">
            <w:pPr>
              <w:pStyle w:val="6"/>
              <w:keepNext/>
              <w:spacing w:after="0" w:line="440" w:lineRule="exact"/>
              <w:ind w:left="63" w:right="63"/>
              <w:rPr>
                <w:rFonts w:eastAsia="仿宋_GB2312"/>
                <w:sz w:val="28"/>
                <w:szCs w:val="30"/>
              </w:rPr>
            </w:pPr>
          </w:p>
        </w:tc>
        <w:tc>
          <w:tcPr>
            <w:tcW w:w="1984" w:type="dxa"/>
            <w:noWrap w:val="0"/>
            <w:vAlign w:val="top"/>
          </w:tcPr>
          <w:p w14:paraId="6A0E2355">
            <w:pPr>
              <w:pStyle w:val="6"/>
              <w:keepNext/>
              <w:spacing w:after="0" w:line="440" w:lineRule="exact"/>
              <w:ind w:left="63" w:right="63"/>
              <w:rPr>
                <w:rFonts w:eastAsia="仿宋_GB2312"/>
                <w:sz w:val="28"/>
                <w:szCs w:val="30"/>
              </w:rPr>
            </w:pPr>
          </w:p>
        </w:tc>
        <w:tc>
          <w:tcPr>
            <w:tcW w:w="851" w:type="dxa"/>
            <w:noWrap w:val="0"/>
            <w:vAlign w:val="top"/>
          </w:tcPr>
          <w:p w14:paraId="204F84E8">
            <w:pPr>
              <w:pStyle w:val="6"/>
              <w:keepNext/>
              <w:spacing w:after="0" w:line="440" w:lineRule="exact"/>
              <w:ind w:left="63" w:right="63"/>
              <w:rPr>
                <w:rFonts w:eastAsia="仿宋_GB2312"/>
                <w:sz w:val="28"/>
                <w:szCs w:val="30"/>
              </w:rPr>
            </w:pPr>
          </w:p>
        </w:tc>
        <w:tc>
          <w:tcPr>
            <w:tcW w:w="774" w:type="dxa"/>
            <w:noWrap w:val="0"/>
            <w:vAlign w:val="top"/>
          </w:tcPr>
          <w:p w14:paraId="2A4C361A">
            <w:pPr>
              <w:pStyle w:val="6"/>
              <w:keepNext/>
              <w:spacing w:after="0" w:line="440" w:lineRule="exact"/>
              <w:ind w:left="63" w:right="63"/>
              <w:rPr>
                <w:rFonts w:eastAsia="仿宋_GB2312"/>
                <w:sz w:val="28"/>
                <w:szCs w:val="30"/>
              </w:rPr>
            </w:pPr>
          </w:p>
        </w:tc>
        <w:tc>
          <w:tcPr>
            <w:tcW w:w="1352" w:type="dxa"/>
            <w:noWrap w:val="0"/>
            <w:vAlign w:val="top"/>
          </w:tcPr>
          <w:p w14:paraId="725B5913">
            <w:pPr>
              <w:pStyle w:val="6"/>
              <w:keepNext/>
              <w:spacing w:after="0" w:line="440" w:lineRule="exact"/>
              <w:ind w:left="63" w:right="63"/>
              <w:rPr>
                <w:rFonts w:eastAsia="仿宋_GB2312"/>
                <w:sz w:val="28"/>
                <w:szCs w:val="30"/>
              </w:rPr>
            </w:pPr>
          </w:p>
        </w:tc>
        <w:tc>
          <w:tcPr>
            <w:tcW w:w="1418" w:type="dxa"/>
            <w:noWrap w:val="0"/>
            <w:vAlign w:val="top"/>
          </w:tcPr>
          <w:p w14:paraId="53D50EB7">
            <w:pPr>
              <w:pStyle w:val="6"/>
              <w:keepNext/>
              <w:spacing w:after="0" w:line="440" w:lineRule="exact"/>
              <w:ind w:left="63" w:right="63"/>
              <w:rPr>
                <w:rFonts w:eastAsia="仿宋_GB2312"/>
                <w:sz w:val="28"/>
                <w:szCs w:val="30"/>
              </w:rPr>
            </w:pPr>
          </w:p>
        </w:tc>
        <w:tc>
          <w:tcPr>
            <w:tcW w:w="1701" w:type="dxa"/>
            <w:noWrap w:val="0"/>
            <w:vAlign w:val="top"/>
          </w:tcPr>
          <w:p w14:paraId="16BD0AE2">
            <w:pPr>
              <w:pStyle w:val="6"/>
              <w:keepNext/>
              <w:spacing w:after="0" w:line="440" w:lineRule="exact"/>
              <w:ind w:left="63" w:right="63"/>
              <w:rPr>
                <w:rFonts w:eastAsia="仿宋_GB2312"/>
                <w:sz w:val="28"/>
                <w:szCs w:val="30"/>
              </w:rPr>
            </w:pPr>
          </w:p>
        </w:tc>
      </w:tr>
      <w:tr w14:paraId="2333AF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A600F1">
            <w:pPr>
              <w:pStyle w:val="6"/>
              <w:keepNext/>
              <w:spacing w:after="0" w:line="440" w:lineRule="exact"/>
              <w:ind w:left="63" w:right="63"/>
              <w:rPr>
                <w:rFonts w:eastAsia="仿宋_GB2312"/>
                <w:sz w:val="28"/>
                <w:szCs w:val="30"/>
              </w:rPr>
            </w:pPr>
          </w:p>
        </w:tc>
        <w:tc>
          <w:tcPr>
            <w:tcW w:w="1984" w:type="dxa"/>
            <w:noWrap w:val="0"/>
            <w:vAlign w:val="top"/>
          </w:tcPr>
          <w:p w14:paraId="6E2C9DA6">
            <w:pPr>
              <w:pStyle w:val="6"/>
              <w:keepNext/>
              <w:spacing w:after="0" w:line="440" w:lineRule="exact"/>
              <w:ind w:left="63" w:right="63"/>
              <w:rPr>
                <w:rFonts w:eastAsia="仿宋_GB2312"/>
                <w:sz w:val="28"/>
                <w:szCs w:val="30"/>
              </w:rPr>
            </w:pPr>
          </w:p>
        </w:tc>
        <w:tc>
          <w:tcPr>
            <w:tcW w:w="851" w:type="dxa"/>
            <w:noWrap w:val="0"/>
            <w:vAlign w:val="top"/>
          </w:tcPr>
          <w:p w14:paraId="189FB7C4">
            <w:pPr>
              <w:pStyle w:val="6"/>
              <w:keepNext/>
              <w:spacing w:after="0" w:line="440" w:lineRule="exact"/>
              <w:ind w:left="63" w:right="63"/>
              <w:rPr>
                <w:rFonts w:eastAsia="仿宋_GB2312"/>
                <w:sz w:val="28"/>
                <w:szCs w:val="30"/>
              </w:rPr>
            </w:pPr>
          </w:p>
        </w:tc>
        <w:tc>
          <w:tcPr>
            <w:tcW w:w="774" w:type="dxa"/>
            <w:noWrap w:val="0"/>
            <w:vAlign w:val="top"/>
          </w:tcPr>
          <w:p w14:paraId="2662CC44">
            <w:pPr>
              <w:pStyle w:val="6"/>
              <w:keepNext/>
              <w:spacing w:after="0" w:line="440" w:lineRule="exact"/>
              <w:ind w:left="63" w:right="63"/>
              <w:rPr>
                <w:rFonts w:eastAsia="仿宋_GB2312"/>
                <w:sz w:val="28"/>
                <w:szCs w:val="30"/>
              </w:rPr>
            </w:pPr>
          </w:p>
        </w:tc>
        <w:tc>
          <w:tcPr>
            <w:tcW w:w="1352" w:type="dxa"/>
            <w:noWrap w:val="0"/>
            <w:vAlign w:val="top"/>
          </w:tcPr>
          <w:p w14:paraId="0DBA5911">
            <w:pPr>
              <w:pStyle w:val="6"/>
              <w:keepNext/>
              <w:spacing w:after="0" w:line="440" w:lineRule="exact"/>
              <w:ind w:left="63" w:right="63"/>
              <w:rPr>
                <w:rFonts w:eastAsia="仿宋_GB2312"/>
                <w:sz w:val="28"/>
                <w:szCs w:val="30"/>
              </w:rPr>
            </w:pPr>
          </w:p>
        </w:tc>
        <w:tc>
          <w:tcPr>
            <w:tcW w:w="1418" w:type="dxa"/>
            <w:noWrap w:val="0"/>
            <w:vAlign w:val="top"/>
          </w:tcPr>
          <w:p w14:paraId="13A9DFF7">
            <w:pPr>
              <w:pStyle w:val="6"/>
              <w:keepNext/>
              <w:spacing w:after="0" w:line="440" w:lineRule="exact"/>
              <w:ind w:left="63" w:right="63"/>
              <w:rPr>
                <w:rFonts w:eastAsia="仿宋_GB2312"/>
                <w:sz w:val="28"/>
                <w:szCs w:val="30"/>
              </w:rPr>
            </w:pPr>
          </w:p>
        </w:tc>
        <w:tc>
          <w:tcPr>
            <w:tcW w:w="1701" w:type="dxa"/>
            <w:noWrap w:val="0"/>
            <w:vAlign w:val="top"/>
          </w:tcPr>
          <w:p w14:paraId="0B4EB5AA">
            <w:pPr>
              <w:pStyle w:val="6"/>
              <w:keepNext/>
              <w:spacing w:after="0" w:line="440" w:lineRule="exact"/>
              <w:ind w:left="63" w:right="63"/>
              <w:rPr>
                <w:rFonts w:eastAsia="仿宋_GB2312"/>
                <w:sz w:val="28"/>
                <w:szCs w:val="30"/>
              </w:rPr>
            </w:pPr>
          </w:p>
        </w:tc>
      </w:tr>
      <w:tr w14:paraId="5F419A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4FE218">
            <w:pPr>
              <w:pStyle w:val="6"/>
              <w:keepNext/>
              <w:spacing w:after="0" w:line="440" w:lineRule="exact"/>
              <w:ind w:left="63" w:right="63"/>
              <w:rPr>
                <w:rFonts w:eastAsia="仿宋_GB2312"/>
                <w:sz w:val="28"/>
                <w:szCs w:val="30"/>
              </w:rPr>
            </w:pPr>
          </w:p>
        </w:tc>
        <w:tc>
          <w:tcPr>
            <w:tcW w:w="1984" w:type="dxa"/>
            <w:noWrap w:val="0"/>
            <w:vAlign w:val="top"/>
          </w:tcPr>
          <w:p w14:paraId="6D3AE04F">
            <w:pPr>
              <w:pStyle w:val="6"/>
              <w:keepNext/>
              <w:spacing w:after="0" w:line="440" w:lineRule="exact"/>
              <w:ind w:left="63" w:right="63"/>
              <w:rPr>
                <w:rFonts w:eastAsia="仿宋_GB2312"/>
                <w:sz w:val="28"/>
                <w:szCs w:val="30"/>
              </w:rPr>
            </w:pPr>
          </w:p>
        </w:tc>
        <w:tc>
          <w:tcPr>
            <w:tcW w:w="851" w:type="dxa"/>
            <w:noWrap w:val="0"/>
            <w:vAlign w:val="top"/>
          </w:tcPr>
          <w:p w14:paraId="205DDDA1">
            <w:pPr>
              <w:pStyle w:val="6"/>
              <w:keepNext/>
              <w:spacing w:after="0" w:line="440" w:lineRule="exact"/>
              <w:ind w:left="63" w:right="63"/>
              <w:rPr>
                <w:rFonts w:eastAsia="仿宋_GB2312"/>
                <w:sz w:val="28"/>
                <w:szCs w:val="30"/>
              </w:rPr>
            </w:pPr>
          </w:p>
        </w:tc>
        <w:tc>
          <w:tcPr>
            <w:tcW w:w="774" w:type="dxa"/>
            <w:noWrap w:val="0"/>
            <w:vAlign w:val="top"/>
          </w:tcPr>
          <w:p w14:paraId="2E6EAB55">
            <w:pPr>
              <w:pStyle w:val="6"/>
              <w:keepNext/>
              <w:spacing w:after="0" w:line="440" w:lineRule="exact"/>
              <w:ind w:left="63" w:right="63"/>
              <w:rPr>
                <w:rFonts w:eastAsia="仿宋_GB2312"/>
                <w:sz w:val="28"/>
                <w:szCs w:val="30"/>
              </w:rPr>
            </w:pPr>
          </w:p>
        </w:tc>
        <w:tc>
          <w:tcPr>
            <w:tcW w:w="1352" w:type="dxa"/>
            <w:noWrap w:val="0"/>
            <w:vAlign w:val="top"/>
          </w:tcPr>
          <w:p w14:paraId="5E45D753">
            <w:pPr>
              <w:pStyle w:val="6"/>
              <w:keepNext/>
              <w:spacing w:after="0" w:line="440" w:lineRule="exact"/>
              <w:ind w:left="63" w:right="63"/>
              <w:rPr>
                <w:rFonts w:eastAsia="仿宋_GB2312"/>
                <w:sz w:val="28"/>
                <w:szCs w:val="30"/>
              </w:rPr>
            </w:pPr>
          </w:p>
        </w:tc>
        <w:tc>
          <w:tcPr>
            <w:tcW w:w="1418" w:type="dxa"/>
            <w:noWrap w:val="0"/>
            <w:vAlign w:val="top"/>
          </w:tcPr>
          <w:p w14:paraId="6EE3C696">
            <w:pPr>
              <w:pStyle w:val="6"/>
              <w:keepNext/>
              <w:spacing w:after="0" w:line="440" w:lineRule="exact"/>
              <w:ind w:left="63" w:right="63"/>
              <w:rPr>
                <w:rFonts w:eastAsia="仿宋_GB2312"/>
                <w:sz w:val="28"/>
                <w:szCs w:val="30"/>
              </w:rPr>
            </w:pPr>
          </w:p>
        </w:tc>
        <w:tc>
          <w:tcPr>
            <w:tcW w:w="1701" w:type="dxa"/>
            <w:noWrap w:val="0"/>
            <w:vAlign w:val="top"/>
          </w:tcPr>
          <w:p w14:paraId="079C78F6">
            <w:pPr>
              <w:pStyle w:val="6"/>
              <w:keepNext/>
              <w:spacing w:after="0" w:line="440" w:lineRule="exact"/>
              <w:ind w:left="63" w:right="63"/>
              <w:rPr>
                <w:rFonts w:eastAsia="仿宋_GB2312"/>
                <w:sz w:val="28"/>
                <w:szCs w:val="30"/>
              </w:rPr>
            </w:pPr>
          </w:p>
        </w:tc>
      </w:tr>
      <w:tr w14:paraId="0CF895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CDCA92F">
            <w:pPr>
              <w:pStyle w:val="6"/>
              <w:keepNext/>
              <w:spacing w:after="0" w:line="440" w:lineRule="exact"/>
              <w:ind w:left="63" w:right="63"/>
              <w:rPr>
                <w:rFonts w:eastAsia="仿宋_GB2312"/>
                <w:sz w:val="28"/>
                <w:szCs w:val="30"/>
              </w:rPr>
            </w:pPr>
          </w:p>
        </w:tc>
        <w:tc>
          <w:tcPr>
            <w:tcW w:w="1984" w:type="dxa"/>
            <w:noWrap w:val="0"/>
            <w:vAlign w:val="top"/>
          </w:tcPr>
          <w:p w14:paraId="06209D74">
            <w:pPr>
              <w:pStyle w:val="6"/>
              <w:keepNext/>
              <w:spacing w:after="0" w:line="440" w:lineRule="exact"/>
              <w:ind w:left="63" w:right="63"/>
              <w:rPr>
                <w:rFonts w:eastAsia="仿宋_GB2312"/>
                <w:sz w:val="28"/>
                <w:szCs w:val="30"/>
              </w:rPr>
            </w:pPr>
          </w:p>
        </w:tc>
        <w:tc>
          <w:tcPr>
            <w:tcW w:w="851" w:type="dxa"/>
            <w:noWrap w:val="0"/>
            <w:vAlign w:val="top"/>
          </w:tcPr>
          <w:p w14:paraId="05E7E634">
            <w:pPr>
              <w:pStyle w:val="6"/>
              <w:keepNext/>
              <w:spacing w:after="0" w:line="440" w:lineRule="exact"/>
              <w:ind w:left="63" w:right="63"/>
              <w:rPr>
                <w:rFonts w:eastAsia="仿宋_GB2312"/>
                <w:sz w:val="28"/>
                <w:szCs w:val="30"/>
              </w:rPr>
            </w:pPr>
          </w:p>
        </w:tc>
        <w:tc>
          <w:tcPr>
            <w:tcW w:w="774" w:type="dxa"/>
            <w:noWrap w:val="0"/>
            <w:vAlign w:val="top"/>
          </w:tcPr>
          <w:p w14:paraId="648D8A88">
            <w:pPr>
              <w:pStyle w:val="6"/>
              <w:keepNext/>
              <w:spacing w:after="0" w:line="440" w:lineRule="exact"/>
              <w:ind w:left="63" w:right="63"/>
              <w:rPr>
                <w:rFonts w:eastAsia="仿宋_GB2312"/>
                <w:sz w:val="28"/>
                <w:szCs w:val="30"/>
              </w:rPr>
            </w:pPr>
          </w:p>
        </w:tc>
        <w:tc>
          <w:tcPr>
            <w:tcW w:w="1352" w:type="dxa"/>
            <w:noWrap w:val="0"/>
            <w:vAlign w:val="top"/>
          </w:tcPr>
          <w:p w14:paraId="15997C40">
            <w:pPr>
              <w:pStyle w:val="6"/>
              <w:keepNext/>
              <w:spacing w:after="0" w:line="440" w:lineRule="exact"/>
              <w:ind w:left="63" w:right="63"/>
              <w:rPr>
                <w:rFonts w:eastAsia="仿宋_GB2312"/>
                <w:sz w:val="28"/>
                <w:szCs w:val="30"/>
              </w:rPr>
            </w:pPr>
          </w:p>
        </w:tc>
        <w:tc>
          <w:tcPr>
            <w:tcW w:w="1418" w:type="dxa"/>
            <w:noWrap w:val="0"/>
            <w:vAlign w:val="top"/>
          </w:tcPr>
          <w:p w14:paraId="34BF09FB">
            <w:pPr>
              <w:pStyle w:val="6"/>
              <w:keepNext/>
              <w:spacing w:after="0" w:line="440" w:lineRule="exact"/>
              <w:ind w:left="63" w:right="63"/>
              <w:rPr>
                <w:rFonts w:eastAsia="仿宋_GB2312"/>
                <w:sz w:val="28"/>
                <w:szCs w:val="30"/>
              </w:rPr>
            </w:pPr>
          </w:p>
        </w:tc>
        <w:tc>
          <w:tcPr>
            <w:tcW w:w="1701" w:type="dxa"/>
            <w:noWrap w:val="0"/>
            <w:vAlign w:val="top"/>
          </w:tcPr>
          <w:p w14:paraId="7D1D2A8C">
            <w:pPr>
              <w:pStyle w:val="6"/>
              <w:keepNext/>
              <w:spacing w:after="0" w:line="440" w:lineRule="exact"/>
              <w:ind w:left="63" w:right="63"/>
              <w:rPr>
                <w:rFonts w:eastAsia="仿宋_GB2312"/>
                <w:sz w:val="28"/>
                <w:szCs w:val="30"/>
              </w:rPr>
            </w:pPr>
          </w:p>
        </w:tc>
      </w:tr>
      <w:tr w14:paraId="4EE84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84AAB7">
            <w:pPr>
              <w:pStyle w:val="6"/>
              <w:keepNext/>
              <w:spacing w:after="0" w:line="440" w:lineRule="exact"/>
              <w:ind w:left="63" w:right="63"/>
              <w:rPr>
                <w:rFonts w:eastAsia="仿宋_GB2312"/>
                <w:sz w:val="28"/>
                <w:szCs w:val="30"/>
              </w:rPr>
            </w:pPr>
          </w:p>
        </w:tc>
        <w:tc>
          <w:tcPr>
            <w:tcW w:w="1984" w:type="dxa"/>
            <w:noWrap w:val="0"/>
            <w:vAlign w:val="top"/>
          </w:tcPr>
          <w:p w14:paraId="00E63383">
            <w:pPr>
              <w:pStyle w:val="6"/>
              <w:keepNext/>
              <w:spacing w:after="0" w:line="440" w:lineRule="exact"/>
              <w:ind w:left="63" w:right="63"/>
              <w:rPr>
                <w:rFonts w:eastAsia="仿宋_GB2312"/>
                <w:sz w:val="28"/>
                <w:szCs w:val="30"/>
              </w:rPr>
            </w:pPr>
          </w:p>
        </w:tc>
        <w:tc>
          <w:tcPr>
            <w:tcW w:w="851" w:type="dxa"/>
            <w:noWrap w:val="0"/>
            <w:vAlign w:val="top"/>
          </w:tcPr>
          <w:p w14:paraId="2587B77A">
            <w:pPr>
              <w:pStyle w:val="6"/>
              <w:keepNext/>
              <w:spacing w:after="0" w:line="440" w:lineRule="exact"/>
              <w:ind w:left="63" w:right="63"/>
              <w:rPr>
                <w:rFonts w:eastAsia="仿宋_GB2312"/>
                <w:sz w:val="28"/>
                <w:szCs w:val="30"/>
              </w:rPr>
            </w:pPr>
          </w:p>
        </w:tc>
        <w:tc>
          <w:tcPr>
            <w:tcW w:w="774" w:type="dxa"/>
            <w:noWrap w:val="0"/>
            <w:vAlign w:val="top"/>
          </w:tcPr>
          <w:p w14:paraId="30F7C1F5">
            <w:pPr>
              <w:pStyle w:val="6"/>
              <w:keepNext/>
              <w:spacing w:after="0" w:line="440" w:lineRule="exact"/>
              <w:ind w:left="63" w:right="63"/>
              <w:rPr>
                <w:rFonts w:eastAsia="仿宋_GB2312"/>
                <w:sz w:val="28"/>
                <w:szCs w:val="30"/>
              </w:rPr>
            </w:pPr>
          </w:p>
        </w:tc>
        <w:tc>
          <w:tcPr>
            <w:tcW w:w="1352" w:type="dxa"/>
            <w:noWrap w:val="0"/>
            <w:vAlign w:val="top"/>
          </w:tcPr>
          <w:p w14:paraId="3B3C7FFB">
            <w:pPr>
              <w:pStyle w:val="6"/>
              <w:keepNext/>
              <w:spacing w:after="0" w:line="440" w:lineRule="exact"/>
              <w:ind w:left="63" w:right="63"/>
              <w:rPr>
                <w:rFonts w:eastAsia="仿宋_GB2312"/>
                <w:sz w:val="28"/>
                <w:szCs w:val="30"/>
              </w:rPr>
            </w:pPr>
          </w:p>
        </w:tc>
        <w:tc>
          <w:tcPr>
            <w:tcW w:w="1418" w:type="dxa"/>
            <w:noWrap w:val="0"/>
            <w:vAlign w:val="top"/>
          </w:tcPr>
          <w:p w14:paraId="0B39BF61">
            <w:pPr>
              <w:pStyle w:val="6"/>
              <w:keepNext/>
              <w:spacing w:after="0" w:line="440" w:lineRule="exact"/>
              <w:ind w:left="63" w:right="63"/>
              <w:rPr>
                <w:rFonts w:eastAsia="仿宋_GB2312"/>
                <w:sz w:val="28"/>
                <w:szCs w:val="30"/>
              </w:rPr>
            </w:pPr>
          </w:p>
        </w:tc>
        <w:tc>
          <w:tcPr>
            <w:tcW w:w="1701" w:type="dxa"/>
            <w:noWrap w:val="0"/>
            <w:vAlign w:val="top"/>
          </w:tcPr>
          <w:p w14:paraId="2B473F49">
            <w:pPr>
              <w:pStyle w:val="6"/>
              <w:keepNext/>
              <w:spacing w:after="0" w:line="440" w:lineRule="exact"/>
              <w:ind w:left="63" w:right="63"/>
              <w:rPr>
                <w:rFonts w:eastAsia="仿宋_GB2312"/>
                <w:sz w:val="28"/>
                <w:szCs w:val="30"/>
              </w:rPr>
            </w:pPr>
          </w:p>
        </w:tc>
      </w:tr>
      <w:tr w14:paraId="2419D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52967B">
            <w:pPr>
              <w:pStyle w:val="6"/>
              <w:keepNext/>
              <w:spacing w:after="0" w:line="440" w:lineRule="exact"/>
              <w:ind w:left="63" w:right="63"/>
              <w:rPr>
                <w:rFonts w:eastAsia="仿宋_GB2312"/>
                <w:sz w:val="28"/>
                <w:szCs w:val="30"/>
              </w:rPr>
            </w:pPr>
          </w:p>
        </w:tc>
        <w:tc>
          <w:tcPr>
            <w:tcW w:w="1984" w:type="dxa"/>
            <w:noWrap w:val="0"/>
            <w:vAlign w:val="top"/>
          </w:tcPr>
          <w:p w14:paraId="3AD07D99">
            <w:pPr>
              <w:pStyle w:val="6"/>
              <w:keepNext/>
              <w:spacing w:after="0" w:line="440" w:lineRule="exact"/>
              <w:ind w:left="63" w:right="63"/>
              <w:rPr>
                <w:rFonts w:eastAsia="仿宋_GB2312"/>
                <w:sz w:val="28"/>
                <w:szCs w:val="30"/>
              </w:rPr>
            </w:pPr>
          </w:p>
        </w:tc>
        <w:tc>
          <w:tcPr>
            <w:tcW w:w="851" w:type="dxa"/>
            <w:noWrap w:val="0"/>
            <w:vAlign w:val="top"/>
          </w:tcPr>
          <w:p w14:paraId="5EACB63D">
            <w:pPr>
              <w:pStyle w:val="6"/>
              <w:keepNext/>
              <w:spacing w:after="0" w:line="440" w:lineRule="exact"/>
              <w:ind w:left="63" w:right="63"/>
              <w:rPr>
                <w:rFonts w:eastAsia="仿宋_GB2312"/>
                <w:sz w:val="28"/>
                <w:szCs w:val="30"/>
              </w:rPr>
            </w:pPr>
          </w:p>
        </w:tc>
        <w:tc>
          <w:tcPr>
            <w:tcW w:w="774" w:type="dxa"/>
            <w:noWrap w:val="0"/>
            <w:vAlign w:val="top"/>
          </w:tcPr>
          <w:p w14:paraId="6264BB33">
            <w:pPr>
              <w:pStyle w:val="6"/>
              <w:keepNext/>
              <w:spacing w:after="0" w:line="440" w:lineRule="exact"/>
              <w:ind w:left="63" w:right="63"/>
              <w:rPr>
                <w:rFonts w:eastAsia="仿宋_GB2312"/>
                <w:sz w:val="28"/>
                <w:szCs w:val="30"/>
              </w:rPr>
            </w:pPr>
          </w:p>
        </w:tc>
        <w:tc>
          <w:tcPr>
            <w:tcW w:w="1352" w:type="dxa"/>
            <w:noWrap w:val="0"/>
            <w:vAlign w:val="top"/>
          </w:tcPr>
          <w:p w14:paraId="096B05DB">
            <w:pPr>
              <w:pStyle w:val="6"/>
              <w:keepNext/>
              <w:spacing w:after="0" w:line="440" w:lineRule="exact"/>
              <w:ind w:left="63" w:right="63"/>
              <w:rPr>
                <w:rFonts w:eastAsia="仿宋_GB2312"/>
                <w:sz w:val="28"/>
                <w:szCs w:val="30"/>
              </w:rPr>
            </w:pPr>
          </w:p>
        </w:tc>
        <w:tc>
          <w:tcPr>
            <w:tcW w:w="1418" w:type="dxa"/>
            <w:noWrap w:val="0"/>
            <w:vAlign w:val="top"/>
          </w:tcPr>
          <w:p w14:paraId="11A8E47D">
            <w:pPr>
              <w:pStyle w:val="6"/>
              <w:keepNext/>
              <w:spacing w:after="0" w:line="440" w:lineRule="exact"/>
              <w:ind w:left="63" w:right="63"/>
              <w:rPr>
                <w:rFonts w:eastAsia="仿宋_GB2312"/>
                <w:sz w:val="28"/>
                <w:szCs w:val="30"/>
              </w:rPr>
            </w:pPr>
          </w:p>
        </w:tc>
        <w:tc>
          <w:tcPr>
            <w:tcW w:w="1701" w:type="dxa"/>
            <w:noWrap w:val="0"/>
            <w:vAlign w:val="top"/>
          </w:tcPr>
          <w:p w14:paraId="235A0886">
            <w:pPr>
              <w:pStyle w:val="6"/>
              <w:keepNext/>
              <w:spacing w:after="0" w:line="440" w:lineRule="exact"/>
              <w:ind w:left="63" w:right="63"/>
              <w:rPr>
                <w:rFonts w:eastAsia="仿宋_GB2312"/>
                <w:sz w:val="28"/>
                <w:szCs w:val="30"/>
              </w:rPr>
            </w:pPr>
          </w:p>
        </w:tc>
      </w:tr>
      <w:tr w14:paraId="5E6BF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6AF13B">
            <w:pPr>
              <w:pStyle w:val="6"/>
              <w:keepNext/>
              <w:spacing w:after="0" w:line="440" w:lineRule="exact"/>
              <w:ind w:left="63" w:right="63"/>
              <w:rPr>
                <w:rFonts w:eastAsia="仿宋_GB2312"/>
                <w:sz w:val="28"/>
                <w:szCs w:val="30"/>
              </w:rPr>
            </w:pPr>
          </w:p>
        </w:tc>
        <w:tc>
          <w:tcPr>
            <w:tcW w:w="1984" w:type="dxa"/>
            <w:noWrap w:val="0"/>
            <w:vAlign w:val="top"/>
          </w:tcPr>
          <w:p w14:paraId="664FCF02">
            <w:pPr>
              <w:pStyle w:val="6"/>
              <w:keepNext/>
              <w:spacing w:after="0" w:line="440" w:lineRule="exact"/>
              <w:ind w:left="63" w:right="63"/>
              <w:rPr>
                <w:rFonts w:eastAsia="仿宋_GB2312"/>
                <w:sz w:val="28"/>
                <w:szCs w:val="30"/>
              </w:rPr>
            </w:pPr>
          </w:p>
        </w:tc>
        <w:tc>
          <w:tcPr>
            <w:tcW w:w="851" w:type="dxa"/>
            <w:noWrap w:val="0"/>
            <w:vAlign w:val="top"/>
          </w:tcPr>
          <w:p w14:paraId="08CC402A">
            <w:pPr>
              <w:pStyle w:val="6"/>
              <w:keepNext/>
              <w:spacing w:after="0" w:line="440" w:lineRule="exact"/>
              <w:ind w:left="63" w:right="63"/>
              <w:rPr>
                <w:rFonts w:eastAsia="仿宋_GB2312"/>
                <w:sz w:val="28"/>
                <w:szCs w:val="30"/>
              </w:rPr>
            </w:pPr>
          </w:p>
        </w:tc>
        <w:tc>
          <w:tcPr>
            <w:tcW w:w="774" w:type="dxa"/>
            <w:noWrap w:val="0"/>
            <w:vAlign w:val="top"/>
          </w:tcPr>
          <w:p w14:paraId="2A3418C1">
            <w:pPr>
              <w:pStyle w:val="6"/>
              <w:keepNext/>
              <w:spacing w:after="0" w:line="440" w:lineRule="exact"/>
              <w:ind w:left="63" w:right="63"/>
              <w:rPr>
                <w:rFonts w:eastAsia="仿宋_GB2312"/>
                <w:sz w:val="28"/>
                <w:szCs w:val="30"/>
              </w:rPr>
            </w:pPr>
          </w:p>
        </w:tc>
        <w:tc>
          <w:tcPr>
            <w:tcW w:w="1352" w:type="dxa"/>
            <w:noWrap w:val="0"/>
            <w:vAlign w:val="top"/>
          </w:tcPr>
          <w:p w14:paraId="33B550F0">
            <w:pPr>
              <w:pStyle w:val="6"/>
              <w:keepNext/>
              <w:spacing w:after="0" w:line="440" w:lineRule="exact"/>
              <w:ind w:left="63" w:right="63"/>
              <w:rPr>
                <w:rFonts w:eastAsia="仿宋_GB2312"/>
                <w:sz w:val="28"/>
                <w:szCs w:val="30"/>
              </w:rPr>
            </w:pPr>
          </w:p>
        </w:tc>
        <w:tc>
          <w:tcPr>
            <w:tcW w:w="1418" w:type="dxa"/>
            <w:noWrap w:val="0"/>
            <w:vAlign w:val="top"/>
          </w:tcPr>
          <w:p w14:paraId="7CD6D4AB">
            <w:pPr>
              <w:pStyle w:val="6"/>
              <w:keepNext/>
              <w:spacing w:after="0" w:line="440" w:lineRule="exact"/>
              <w:ind w:left="63" w:right="63"/>
              <w:rPr>
                <w:rFonts w:eastAsia="仿宋_GB2312"/>
                <w:sz w:val="28"/>
                <w:szCs w:val="30"/>
              </w:rPr>
            </w:pPr>
          </w:p>
        </w:tc>
        <w:tc>
          <w:tcPr>
            <w:tcW w:w="1701" w:type="dxa"/>
            <w:noWrap w:val="0"/>
            <w:vAlign w:val="top"/>
          </w:tcPr>
          <w:p w14:paraId="4938A311">
            <w:pPr>
              <w:pStyle w:val="6"/>
              <w:keepNext/>
              <w:spacing w:after="0" w:line="440" w:lineRule="exact"/>
              <w:ind w:left="63" w:right="63"/>
              <w:rPr>
                <w:rFonts w:eastAsia="仿宋_GB2312"/>
                <w:sz w:val="28"/>
                <w:szCs w:val="30"/>
              </w:rPr>
            </w:pPr>
          </w:p>
        </w:tc>
      </w:tr>
      <w:tr w14:paraId="349B38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6114EA">
            <w:pPr>
              <w:pStyle w:val="6"/>
              <w:keepNext/>
              <w:spacing w:after="0" w:line="440" w:lineRule="exact"/>
              <w:ind w:left="63" w:right="63"/>
              <w:rPr>
                <w:rFonts w:eastAsia="仿宋_GB2312"/>
                <w:sz w:val="28"/>
                <w:szCs w:val="30"/>
              </w:rPr>
            </w:pPr>
          </w:p>
        </w:tc>
        <w:tc>
          <w:tcPr>
            <w:tcW w:w="1984" w:type="dxa"/>
            <w:noWrap w:val="0"/>
            <w:vAlign w:val="top"/>
          </w:tcPr>
          <w:p w14:paraId="48CB1A38">
            <w:pPr>
              <w:pStyle w:val="6"/>
              <w:keepNext/>
              <w:spacing w:after="0" w:line="440" w:lineRule="exact"/>
              <w:ind w:left="63" w:right="63"/>
              <w:rPr>
                <w:rFonts w:eastAsia="仿宋_GB2312"/>
                <w:sz w:val="28"/>
                <w:szCs w:val="30"/>
              </w:rPr>
            </w:pPr>
          </w:p>
        </w:tc>
        <w:tc>
          <w:tcPr>
            <w:tcW w:w="851" w:type="dxa"/>
            <w:noWrap w:val="0"/>
            <w:vAlign w:val="top"/>
          </w:tcPr>
          <w:p w14:paraId="50AEAB5B">
            <w:pPr>
              <w:pStyle w:val="6"/>
              <w:keepNext/>
              <w:spacing w:after="0" w:line="440" w:lineRule="exact"/>
              <w:ind w:left="63" w:right="63"/>
              <w:rPr>
                <w:rFonts w:eastAsia="仿宋_GB2312"/>
                <w:sz w:val="28"/>
                <w:szCs w:val="30"/>
              </w:rPr>
            </w:pPr>
          </w:p>
        </w:tc>
        <w:tc>
          <w:tcPr>
            <w:tcW w:w="774" w:type="dxa"/>
            <w:noWrap w:val="0"/>
            <w:vAlign w:val="top"/>
          </w:tcPr>
          <w:p w14:paraId="734AFBE2">
            <w:pPr>
              <w:pStyle w:val="6"/>
              <w:keepNext/>
              <w:spacing w:after="0" w:line="440" w:lineRule="exact"/>
              <w:ind w:left="63" w:right="63"/>
              <w:rPr>
                <w:rFonts w:eastAsia="仿宋_GB2312"/>
                <w:sz w:val="28"/>
                <w:szCs w:val="30"/>
              </w:rPr>
            </w:pPr>
          </w:p>
        </w:tc>
        <w:tc>
          <w:tcPr>
            <w:tcW w:w="1352" w:type="dxa"/>
            <w:noWrap w:val="0"/>
            <w:vAlign w:val="top"/>
          </w:tcPr>
          <w:p w14:paraId="4A844CC5">
            <w:pPr>
              <w:pStyle w:val="6"/>
              <w:keepNext/>
              <w:spacing w:after="0" w:line="440" w:lineRule="exact"/>
              <w:ind w:left="63" w:right="63"/>
              <w:rPr>
                <w:rFonts w:eastAsia="仿宋_GB2312"/>
                <w:sz w:val="28"/>
                <w:szCs w:val="30"/>
              </w:rPr>
            </w:pPr>
          </w:p>
        </w:tc>
        <w:tc>
          <w:tcPr>
            <w:tcW w:w="1418" w:type="dxa"/>
            <w:noWrap w:val="0"/>
            <w:vAlign w:val="top"/>
          </w:tcPr>
          <w:p w14:paraId="0A7689B3">
            <w:pPr>
              <w:pStyle w:val="6"/>
              <w:keepNext/>
              <w:spacing w:after="0" w:line="440" w:lineRule="exact"/>
              <w:ind w:left="63" w:right="63"/>
              <w:rPr>
                <w:rFonts w:eastAsia="仿宋_GB2312"/>
                <w:sz w:val="28"/>
                <w:szCs w:val="30"/>
              </w:rPr>
            </w:pPr>
          </w:p>
        </w:tc>
        <w:tc>
          <w:tcPr>
            <w:tcW w:w="1701" w:type="dxa"/>
            <w:noWrap w:val="0"/>
            <w:vAlign w:val="top"/>
          </w:tcPr>
          <w:p w14:paraId="6E5E1CB2">
            <w:pPr>
              <w:pStyle w:val="6"/>
              <w:keepNext/>
              <w:spacing w:after="0" w:line="440" w:lineRule="exact"/>
              <w:ind w:left="63" w:right="63"/>
              <w:rPr>
                <w:rFonts w:eastAsia="仿宋_GB2312"/>
                <w:sz w:val="28"/>
                <w:szCs w:val="30"/>
              </w:rPr>
            </w:pPr>
          </w:p>
        </w:tc>
      </w:tr>
      <w:tr w14:paraId="7AB50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EFBFE9">
            <w:pPr>
              <w:pStyle w:val="6"/>
              <w:keepNext/>
              <w:spacing w:after="0" w:line="440" w:lineRule="exact"/>
              <w:ind w:left="63" w:right="63"/>
              <w:rPr>
                <w:rFonts w:eastAsia="仿宋_GB2312"/>
                <w:sz w:val="28"/>
                <w:szCs w:val="30"/>
              </w:rPr>
            </w:pPr>
          </w:p>
        </w:tc>
        <w:tc>
          <w:tcPr>
            <w:tcW w:w="1984" w:type="dxa"/>
            <w:noWrap w:val="0"/>
            <w:vAlign w:val="top"/>
          </w:tcPr>
          <w:p w14:paraId="56652F8E">
            <w:pPr>
              <w:pStyle w:val="6"/>
              <w:keepNext/>
              <w:spacing w:after="0" w:line="440" w:lineRule="exact"/>
              <w:ind w:left="63" w:right="63"/>
              <w:rPr>
                <w:rFonts w:eastAsia="仿宋_GB2312"/>
                <w:sz w:val="28"/>
                <w:szCs w:val="30"/>
              </w:rPr>
            </w:pPr>
          </w:p>
        </w:tc>
        <w:tc>
          <w:tcPr>
            <w:tcW w:w="851" w:type="dxa"/>
            <w:noWrap w:val="0"/>
            <w:vAlign w:val="top"/>
          </w:tcPr>
          <w:p w14:paraId="6F5A8383">
            <w:pPr>
              <w:pStyle w:val="6"/>
              <w:keepNext/>
              <w:spacing w:after="0" w:line="440" w:lineRule="exact"/>
              <w:ind w:left="63" w:right="63"/>
              <w:rPr>
                <w:rFonts w:eastAsia="仿宋_GB2312"/>
                <w:sz w:val="28"/>
                <w:szCs w:val="30"/>
              </w:rPr>
            </w:pPr>
          </w:p>
        </w:tc>
        <w:tc>
          <w:tcPr>
            <w:tcW w:w="774" w:type="dxa"/>
            <w:noWrap w:val="0"/>
            <w:vAlign w:val="top"/>
          </w:tcPr>
          <w:p w14:paraId="55FC74E8">
            <w:pPr>
              <w:pStyle w:val="6"/>
              <w:keepNext/>
              <w:spacing w:after="0" w:line="440" w:lineRule="exact"/>
              <w:ind w:left="63" w:right="63"/>
              <w:rPr>
                <w:rFonts w:eastAsia="仿宋_GB2312"/>
                <w:sz w:val="28"/>
                <w:szCs w:val="30"/>
              </w:rPr>
            </w:pPr>
          </w:p>
        </w:tc>
        <w:tc>
          <w:tcPr>
            <w:tcW w:w="1352" w:type="dxa"/>
            <w:noWrap w:val="0"/>
            <w:vAlign w:val="top"/>
          </w:tcPr>
          <w:p w14:paraId="63D0257B">
            <w:pPr>
              <w:pStyle w:val="6"/>
              <w:keepNext/>
              <w:spacing w:after="0" w:line="440" w:lineRule="exact"/>
              <w:ind w:left="63" w:right="63"/>
              <w:rPr>
                <w:rFonts w:eastAsia="仿宋_GB2312"/>
                <w:sz w:val="28"/>
                <w:szCs w:val="30"/>
              </w:rPr>
            </w:pPr>
          </w:p>
        </w:tc>
        <w:tc>
          <w:tcPr>
            <w:tcW w:w="1418" w:type="dxa"/>
            <w:noWrap w:val="0"/>
            <w:vAlign w:val="top"/>
          </w:tcPr>
          <w:p w14:paraId="1BB0616B">
            <w:pPr>
              <w:pStyle w:val="6"/>
              <w:keepNext/>
              <w:spacing w:after="0" w:line="440" w:lineRule="exact"/>
              <w:ind w:left="63" w:right="63"/>
              <w:rPr>
                <w:rFonts w:eastAsia="仿宋_GB2312"/>
                <w:sz w:val="28"/>
                <w:szCs w:val="30"/>
              </w:rPr>
            </w:pPr>
          </w:p>
        </w:tc>
        <w:tc>
          <w:tcPr>
            <w:tcW w:w="1701" w:type="dxa"/>
            <w:noWrap w:val="0"/>
            <w:vAlign w:val="top"/>
          </w:tcPr>
          <w:p w14:paraId="6EA6E914">
            <w:pPr>
              <w:pStyle w:val="6"/>
              <w:keepNext/>
              <w:spacing w:after="0" w:line="440" w:lineRule="exact"/>
              <w:ind w:left="63" w:right="63"/>
              <w:rPr>
                <w:rFonts w:eastAsia="仿宋_GB2312"/>
                <w:sz w:val="28"/>
                <w:szCs w:val="30"/>
              </w:rPr>
            </w:pPr>
          </w:p>
        </w:tc>
      </w:tr>
      <w:tr w14:paraId="1B6C9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C342174">
            <w:pPr>
              <w:pStyle w:val="6"/>
              <w:keepNext/>
              <w:spacing w:after="0" w:line="440" w:lineRule="exact"/>
              <w:ind w:left="63" w:right="63"/>
              <w:rPr>
                <w:rFonts w:eastAsia="仿宋_GB2312"/>
                <w:sz w:val="28"/>
                <w:szCs w:val="30"/>
              </w:rPr>
            </w:pPr>
          </w:p>
        </w:tc>
        <w:tc>
          <w:tcPr>
            <w:tcW w:w="1984" w:type="dxa"/>
            <w:noWrap w:val="0"/>
            <w:vAlign w:val="top"/>
          </w:tcPr>
          <w:p w14:paraId="59277F4C">
            <w:pPr>
              <w:pStyle w:val="6"/>
              <w:keepNext/>
              <w:spacing w:after="0" w:line="440" w:lineRule="exact"/>
              <w:ind w:left="63" w:right="63"/>
              <w:rPr>
                <w:rFonts w:eastAsia="仿宋_GB2312"/>
                <w:sz w:val="28"/>
                <w:szCs w:val="30"/>
              </w:rPr>
            </w:pPr>
          </w:p>
        </w:tc>
        <w:tc>
          <w:tcPr>
            <w:tcW w:w="851" w:type="dxa"/>
            <w:noWrap w:val="0"/>
            <w:vAlign w:val="top"/>
          </w:tcPr>
          <w:p w14:paraId="5A7DF432">
            <w:pPr>
              <w:pStyle w:val="6"/>
              <w:keepNext/>
              <w:spacing w:after="0" w:line="440" w:lineRule="exact"/>
              <w:ind w:left="63" w:right="63"/>
              <w:rPr>
                <w:rFonts w:eastAsia="仿宋_GB2312"/>
                <w:sz w:val="28"/>
                <w:szCs w:val="30"/>
              </w:rPr>
            </w:pPr>
          </w:p>
        </w:tc>
        <w:tc>
          <w:tcPr>
            <w:tcW w:w="774" w:type="dxa"/>
            <w:noWrap w:val="0"/>
            <w:vAlign w:val="top"/>
          </w:tcPr>
          <w:p w14:paraId="099BFBA6">
            <w:pPr>
              <w:pStyle w:val="6"/>
              <w:keepNext/>
              <w:spacing w:after="0" w:line="440" w:lineRule="exact"/>
              <w:ind w:left="63" w:right="63"/>
              <w:rPr>
                <w:rFonts w:eastAsia="仿宋_GB2312"/>
                <w:sz w:val="28"/>
                <w:szCs w:val="30"/>
              </w:rPr>
            </w:pPr>
          </w:p>
        </w:tc>
        <w:tc>
          <w:tcPr>
            <w:tcW w:w="1352" w:type="dxa"/>
            <w:noWrap w:val="0"/>
            <w:vAlign w:val="top"/>
          </w:tcPr>
          <w:p w14:paraId="6DA06EC3">
            <w:pPr>
              <w:pStyle w:val="6"/>
              <w:keepNext/>
              <w:spacing w:after="0" w:line="440" w:lineRule="exact"/>
              <w:ind w:left="63" w:right="63"/>
              <w:rPr>
                <w:rFonts w:eastAsia="仿宋_GB2312"/>
                <w:sz w:val="28"/>
                <w:szCs w:val="30"/>
              </w:rPr>
            </w:pPr>
          </w:p>
        </w:tc>
        <w:tc>
          <w:tcPr>
            <w:tcW w:w="1418" w:type="dxa"/>
            <w:noWrap w:val="0"/>
            <w:vAlign w:val="top"/>
          </w:tcPr>
          <w:p w14:paraId="32593ACD">
            <w:pPr>
              <w:pStyle w:val="6"/>
              <w:keepNext/>
              <w:spacing w:after="0" w:line="440" w:lineRule="exact"/>
              <w:ind w:left="63" w:right="63"/>
              <w:rPr>
                <w:rFonts w:eastAsia="仿宋_GB2312"/>
                <w:sz w:val="28"/>
                <w:szCs w:val="30"/>
              </w:rPr>
            </w:pPr>
          </w:p>
        </w:tc>
        <w:tc>
          <w:tcPr>
            <w:tcW w:w="1701" w:type="dxa"/>
            <w:noWrap w:val="0"/>
            <w:vAlign w:val="top"/>
          </w:tcPr>
          <w:p w14:paraId="642E2E1B">
            <w:pPr>
              <w:pStyle w:val="6"/>
              <w:keepNext/>
              <w:spacing w:after="0" w:line="440" w:lineRule="exact"/>
              <w:ind w:left="63" w:right="63"/>
              <w:rPr>
                <w:rFonts w:eastAsia="仿宋_GB2312"/>
                <w:sz w:val="28"/>
                <w:szCs w:val="30"/>
              </w:rPr>
            </w:pPr>
          </w:p>
        </w:tc>
      </w:tr>
      <w:tr w14:paraId="4F847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30A137">
            <w:pPr>
              <w:pStyle w:val="6"/>
              <w:keepNext/>
              <w:spacing w:after="0" w:line="440" w:lineRule="exact"/>
              <w:ind w:left="63" w:right="63"/>
              <w:rPr>
                <w:rFonts w:eastAsia="仿宋_GB2312"/>
                <w:sz w:val="28"/>
                <w:szCs w:val="30"/>
              </w:rPr>
            </w:pPr>
          </w:p>
        </w:tc>
        <w:tc>
          <w:tcPr>
            <w:tcW w:w="1984" w:type="dxa"/>
            <w:noWrap w:val="0"/>
            <w:vAlign w:val="top"/>
          </w:tcPr>
          <w:p w14:paraId="1925E6BC">
            <w:pPr>
              <w:pStyle w:val="6"/>
              <w:keepNext/>
              <w:spacing w:after="0" w:line="440" w:lineRule="exact"/>
              <w:ind w:left="63" w:right="63"/>
              <w:rPr>
                <w:rFonts w:eastAsia="仿宋_GB2312"/>
                <w:sz w:val="28"/>
                <w:szCs w:val="30"/>
              </w:rPr>
            </w:pPr>
          </w:p>
        </w:tc>
        <w:tc>
          <w:tcPr>
            <w:tcW w:w="851" w:type="dxa"/>
            <w:noWrap w:val="0"/>
            <w:vAlign w:val="top"/>
          </w:tcPr>
          <w:p w14:paraId="2F6DF68D">
            <w:pPr>
              <w:pStyle w:val="6"/>
              <w:keepNext/>
              <w:spacing w:after="0" w:line="440" w:lineRule="exact"/>
              <w:ind w:left="63" w:right="63"/>
              <w:rPr>
                <w:rFonts w:eastAsia="仿宋_GB2312"/>
                <w:sz w:val="28"/>
                <w:szCs w:val="30"/>
              </w:rPr>
            </w:pPr>
          </w:p>
        </w:tc>
        <w:tc>
          <w:tcPr>
            <w:tcW w:w="774" w:type="dxa"/>
            <w:noWrap w:val="0"/>
            <w:vAlign w:val="top"/>
          </w:tcPr>
          <w:p w14:paraId="7F71DF10">
            <w:pPr>
              <w:pStyle w:val="6"/>
              <w:keepNext/>
              <w:spacing w:after="0" w:line="440" w:lineRule="exact"/>
              <w:ind w:left="63" w:right="63"/>
              <w:rPr>
                <w:rFonts w:eastAsia="仿宋_GB2312"/>
                <w:sz w:val="28"/>
                <w:szCs w:val="30"/>
              </w:rPr>
            </w:pPr>
          </w:p>
        </w:tc>
        <w:tc>
          <w:tcPr>
            <w:tcW w:w="1352" w:type="dxa"/>
            <w:noWrap w:val="0"/>
            <w:vAlign w:val="top"/>
          </w:tcPr>
          <w:p w14:paraId="051DEE96">
            <w:pPr>
              <w:pStyle w:val="6"/>
              <w:keepNext/>
              <w:spacing w:after="0" w:line="440" w:lineRule="exact"/>
              <w:ind w:left="63" w:right="63"/>
              <w:rPr>
                <w:rFonts w:eastAsia="仿宋_GB2312"/>
                <w:sz w:val="28"/>
                <w:szCs w:val="30"/>
              </w:rPr>
            </w:pPr>
          </w:p>
        </w:tc>
        <w:tc>
          <w:tcPr>
            <w:tcW w:w="1418" w:type="dxa"/>
            <w:noWrap w:val="0"/>
            <w:vAlign w:val="top"/>
          </w:tcPr>
          <w:p w14:paraId="53FDBC8D">
            <w:pPr>
              <w:pStyle w:val="6"/>
              <w:keepNext/>
              <w:spacing w:after="0" w:line="440" w:lineRule="exact"/>
              <w:ind w:left="63" w:right="63"/>
              <w:rPr>
                <w:rFonts w:eastAsia="仿宋_GB2312"/>
                <w:sz w:val="28"/>
                <w:szCs w:val="30"/>
              </w:rPr>
            </w:pPr>
          </w:p>
        </w:tc>
        <w:tc>
          <w:tcPr>
            <w:tcW w:w="1701" w:type="dxa"/>
            <w:noWrap w:val="0"/>
            <w:vAlign w:val="top"/>
          </w:tcPr>
          <w:p w14:paraId="62D5E36E">
            <w:pPr>
              <w:pStyle w:val="6"/>
              <w:keepNext/>
              <w:spacing w:after="0" w:line="440" w:lineRule="exact"/>
              <w:ind w:left="63" w:right="63"/>
              <w:rPr>
                <w:rFonts w:eastAsia="仿宋_GB2312"/>
                <w:sz w:val="28"/>
                <w:szCs w:val="30"/>
              </w:rPr>
            </w:pPr>
          </w:p>
        </w:tc>
      </w:tr>
      <w:tr w14:paraId="6CA6C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22B785">
            <w:pPr>
              <w:pStyle w:val="6"/>
              <w:keepNext/>
              <w:spacing w:after="0" w:line="440" w:lineRule="exact"/>
              <w:ind w:left="63" w:right="63"/>
              <w:rPr>
                <w:rFonts w:eastAsia="仿宋_GB2312"/>
                <w:sz w:val="28"/>
                <w:szCs w:val="30"/>
              </w:rPr>
            </w:pPr>
          </w:p>
        </w:tc>
        <w:tc>
          <w:tcPr>
            <w:tcW w:w="1984" w:type="dxa"/>
            <w:noWrap w:val="0"/>
            <w:vAlign w:val="top"/>
          </w:tcPr>
          <w:p w14:paraId="5D231972">
            <w:pPr>
              <w:pStyle w:val="6"/>
              <w:keepNext/>
              <w:spacing w:after="0" w:line="440" w:lineRule="exact"/>
              <w:ind w:left="63" w:right="63"/>
              <w:rPr>
                <w:rFonts w:eastAsia="仿宋_GB2312"/>
                <w:sz w:val="28"/>
                <w:szCs w:val="30"/>
              </w:rPr>
            </w:pPr>
          </w:p>
        </w:tc>
        <w:tc>
          <w:tcPr>
            <w:tcW w:w="851" w:type="dxa"/>
            <w:noWrap w:val="0"/>
            <w:vAlign w:val="top"/>
          </w:tcPr>
          <w:p w14:paraId="17F97F4B">
            <w:pPr>
              <w:pStyle w:val="6"/>
              <w:keepNext/>
              <w:spacing w:after="0" w:line="440" w:lineRule="exact"/>
              <w:ind w:left="63" w:right="63"/>
              <w:rPr>
                <w:rFonts w:eastAsia="仿宋_GB2312"/>
                <w:sz w:val="28"/>
                <w:szCs w:val="30"/>
              </w:rPr>
            </w:pPr>
          </w:p>
        </w:tc>
        <w:tc>
          <w:tcPr>
            <w:tcW w:w="774" w:type="dxa"/>
            <w:noWrap w:val="0"/>
            <w:vAlign w:val="top"/>
          </w:tcPr>
          <w:p w14:paraId="18B9D423">
            <w:pPr>
              <w:pStyle w:val="6"/>
              <w:keepNext/>
              <w:spacing w:after="0" w:line="440" w:lineRule="exact"/>
              <w:ind w:left="63" w:right="63"/>
              <w:rPr>
                <w:rFonts w:eastAsia="仿宋_GB2312"/>
                <w:sz w:val="28"/>
                <w:szCs w:val="30"/>
              </w:rPr>
            </w:pPr>
          </w:p>
        </w:tc>
        <w:tc>
          <w:tcPr>
            <w:tcW w:w="1352" w:type="dxa"/>
            <w:noWrap w:val="0"/>
            <w:vAlign w:val="top"/>
          </w:tcPr>
          <w:p w14:paraId="1CBC17F2">
            <w:pPr>
              <w:pStyle w:val="6"/>
              <w:keepNext/>
              <w:spacing w:after="0" w:line="440" w:lineRule="exact"/>
              <w:ind w:left="63" w:right="63"/>
              <w:rPr>
                <w:rFonts w:eastAsia="仿宋_GB2312"/>
                <w:sz w:val="28"/>
                <w:szCs w:val="30"/>
              </w:rPr>
            </w:pPr>
          </w:p>
        </w:tc>
        <w:tc>
          <w:tcPr>
            <w:tcW w:w="1418" w:type="dxa"/>
            <w:noWrap w:val="0"/>
            <w:vAlign w:val="top"/>
          </w:tcPr>
          <w:p w14:paraId="64E99D6B">
            <w:pPr>
              <w:pStyle w:val="6"/>
              <w:keepNext/>
              <w:spacing w:after="0" w:line="440" w:lineRule="exact"/>
              <w:ind w:left="63" w:right="63"/>
              <w:rPr>
                <w:rFonts w:eastAsia="仿宋_GB2312"/>
                <w:sz w:val="28"/>
                <w:szCs w:val="30"/>
              </w:rPr>
            </w:pPr>
          </w:p>
        </w:tc>
        <w:tc>
          <w:tcPr>
            <w:tcW w:w="1701" w:type="dxa"/>
            <w:noWrap w:val="0"/>
            <w:vAlign w:val="top"/>
          </w:tcPr>
          <w:p w14:paraId="5B0B546C">
            <w:pPr>
              <w:pStyle w:val="6"/>
              <w:keepNext/>
              <w:spacing w:after="0" w:line="440" w:lineRule="exact"/>
              <w:ind w:left="63" w:right="63"/>
              <w:rPr>
                <w:rFonts w:eastAsia="仿宋_GB2312"/>
                <w:sz w:val="28"/>
                <w:szCs w:val="30"/>
              </w:rPr>
            </w:pPr>
          </w:p>
        </w:tc>
      </w:tr>
      <w:tr w14:paraId="54BB1C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E5B447">
            <w:pPr>
              <w:pStyle w:val="6"/>
              <w:keepNext/>
              <w:spacing w:after="0" w:line="440" w:lineRule="exact"/>
              <w:ind w:left="63" w:right="63"/>
              <w:rPr>
                <w:rFonts w:eastAsia="仿宋_GB2312"/>
                <w:sz w:val="28"/>
                <w:szCs w:val="30"/>
              </w:rPr>
            </w:pPr>
          </w:p>
        </w:tc>
        <w:tc>
          <w:tcPr>
            <w:tcW w:w="1984" w:type="dxa"/>
            <w:noWrap w:val="0"/>
            <w:vAlign w:val="top"/>
          </w:tcPr>
          <w:p w14:paraId="2779273A">
            <w:pPr>
              <w:pStyle w:val="6"/>
              <w:keepNext/>
              <w:spacing w:after="0" w:line="440" w:lineRule="exact"/>
              <w:ind w:left="63" w:right="63"/>
              <w:rPr>
                <w:rFonts w:eastAsia="仿宋_GB2312"/>
                <w:sz w:val="28"/>
                <w:szCs w:val="30"/>
              </w:rPr>
            </w:pPr>
          </w:p>
        </w:tc>
        <w:tc>
          <w:tcPr>
            <w:tcW w:w="851" w:type="dxa"/>
            <w:noWrap w:val="0"/>
            <w:vAlign w:val="top"/>
          </w:tcPr>
          <w:p w14:paraId="263F7BE0">
            <w:pPr>
              <w:pStyle w:val="6"/>
              <w:keepNext/>
              <w:spacing w:after="0" w:line="440" w:lineRule="exact"/>
              <w:ind w:left="63" w:right="63"/>
              <w:rPr>
                <w:rFonts w:eastAsia="仿宋_GB2312"/>
                <w:sz w:val="28"/>
                <w:szCs w:val="30"/>
              </w:rPr>
            </w:pPr>
          </w:p>
        </w:tc>
        <w:tc>
          <w:tcPr>
            <w:tcW w:w="774" w:type="dxa"/>
            <w:noWrap w:val="0"/>
            <w:vAlign w:val="top"/>
          </w:tcPr>
          <w:p w14:paraId="0A5B3843">
            <w:pPr>
              <w:pStyle w:val="6"/>
              <w:keepNext/>
              <w:spacing w:after="0" w:line="440" w:lineRule="exact"/>
              <w:ind w:left="63" w:right="63"/>
              <w:rPr>
                <w:rFonts w:eastAsia="仿宋_GB2312"/>
                <w:sz w:val="28"/>
                <w:szCs w:val="30"/>
              </w:rPr>
            </w:pPr>
          </w:p>
        </w:tc>
        <w:tc>
          <w:tcPr>
            <w:tcW w:w="1352" w:type="dxa"/>
            <w:noWrap w:val="0"/>
            <w:vAlign w:val="top"/>
          </w:tcPr>
          <w:p w14:paraId="0350CB9C">
            <w:pPr>
              <w:pStyle w:val="6"/>
              <w:keepNext/>
              <w:spacing w:after="0" w:line="440" w:lineRule="exact"/>
              <w:ind w:left="63" w:right="63"/>
              <w:rPr>
                <w:rFonts w:eastAsia="仿宋_GB2312"/>
                <w:sz w:val="28"/>
                <w:szCs w:val="30"/>
              </w:rPr>
            </w:pPr>
          </w:p>
        </w:tc>
        <w:tc>
          <w:tcPr>
            <w:tcW w:w="1418" w:type="dxa"/>
            <w:noWrap w:val="0"/>
            <w:vAlign w:val="top"/>
          </w:tcPr>
          <w:p w14:paraId="422A6D92">
            <w:pPr>
              <w:pStyle w:val="6"/>
              <w:keepNext/>
              <w:spacing w:after="0" w:line="440" w:lineRule="exact"/>
              <w:ind w:left="63" w:right="63"/>
              <w:rPr>
                <w:rFonts w:eastAsia="仿宋_GB2312"/>
                <w:sz w:val="28"/>
                <w:szCs w:val="30"/>
              </w:rPr>
            </w:pPr>
          </w:p>
        </w:tc>
        <w:tc>
          <w:tcPr>
            <w:tcW w:w="1701" w:type="dxa"/>
            <w:noWrap w:val="0"/>
            <w:vAlign w:val="top"/>
          </w:tcPr>
          <w:p w14:paraId="0A8BE839">
            <w:pPr>
              <w:pStyle w:val="6"/>
              <w:keepNext/>
              <w:spacing w:after="0" w:line="440" w:lineRule="exact"/>
              <w:ind w:left="63" w:right="63"/>
              <w:rPr>
                <w:rFonts w:eastAsia="仿宋_GB2312"/>
                <w:sz w:val="28"/>
                <w:szCs w:val="30"/>
              </w:rPr>
            </w:pPr>
          </w:p>
        </w:tc>
      </w:tr>
      <w:tr w14:paraId="6F1F5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DDEC35">
            <w:pPr>
              <w:pStyle w:val="6"/>
              <w:keepNext/>
              <w:spacing w:after="0" w:line="440" w:lineRule="exact"/>
              <w:ind w:left="63" w:right="63"/>
              <w:rPr>
                <w:rFonts w:eastAsia="仿宋_GB2312"/>
                <w:sz w:val="28"/>
                <w:szCs w:val="30"/>
              </w:rPr>
            </w:pPr>
          </w:p>
        </w:tc>
        <w:tc>
          <w:tcPr>
            <w:tcW w:w="1984" w:type="dxa"/>
            <w:noWrap w:val="0"/>
            <w:vAlign w:val="top"/>
          </w:tcPr>
          <w:p w14:paraId="1977E16B">
            <w:pPr>
              <w:pStyle w:val="6"/>
              <w:keepNext/>
              <w:spacing w:after="0" w:line="440" w:lineRule="exact"/>
              <w:ind w:left="63" w:right="63"/>
              <w:rPr>
                <w:rFonts w:eastAsia="仿宋_GB2312"/>
                <w:sz w:val="28"/>
                <w:szCs w:val="30"/>
              </w:rPr>
            </w:pPr>
          </w:p>
        </w:tc>
        <w:tc>
          <w:tcPr>
            <w:tcW w:w="851" w:type="dxa"/>
            <w:noWrap w:val="0"/>
            <w:vAlign w:val="top"/>
          </w:tcPr>
          <w:p w14:paraId="1BD4F34B">
            <w:pPr>
              <w:pStyle w:val="6"/>
              <w:keepNext/>
              <w:spacing w:after="0" w:line="440" w:lineRule="exact"/>
              <w:ind w:left="63" w:right="63"/>
              <w:rPr>
                <w:rFonts w:eastAsia="仿宋_GB2312"/>
                <w:sz w:val="28"/>
                <w:szCs w:val="30"/>
              </w:rPr>
            </w:pPr>
          </w:p>
        </w:tc>
        <w:tc>
          <w:tcPr>
            <w:tcW w:w="774" w:type="dxa"/>
            <w:noWrap w:val="0"/>
            <w:vAlign w:val="top"/>
          </w:tcPr>
          <w:p w14:paraId="24A47BA2">
            <w:pPr>
              <w:pStyle w:val="6"/>
              <w:keepNext/>
              <w:spacing w:after="0" w:line="440" w:lineRule="exact"/>
              <w:ind w:left="63" w:right="63"/>
              <w:rPr>
                <w:rFonts w:eastAsia="仿宋_GB2312"/>
                <w:sz w:val="28"/>
                <w:szCs w:val="30"/>
              </w:rPr>
            </w:pPr>
          </w:p>
        </w:tc>
        <w:tc>
          <w:tcPr>
            <w:tcW w:w="1352" w:type="dxa"/>
            <w:noWrap w:val="0"/>
            <w:vAlign w:val="top"/>
          </w:tcPr>
          <w:p w14:paraId="072E5E1D">
            <w:pPr>
              <w:pStyle w:val="6"/>
              <w:keepNext/>
              <w:spacing w:after="0" w:line="440" w:lineRule="exact"/>
              <w:ind w:left="63" w:right="63"/>
              <w:rPr>
                <w:rFonts w:eastAsia="仿宋_GB2312"/>
                <w:sz w:val="28"/>
                <w:szCs w:val="30"/>
              </w:rPr>
            </w:pPr>
          </w:p>
        </w:tc>
        <w:tc>
          <w:tcPr>
            <w:tcW w:w="1418" w:type="dxa"/>
            <w:noWrap w:val="0"/>
            <w:vAlign w:val="top"/>
          </w:tcPr>
          <w:p w14:paraId="4A90A748">
            <w:pPr>
              <w:pStyle w:val="6"/>
              <w:keepNext/>
              <w:spacing w:after="0" w:line="440" w:lineRule="exact"/>
              <w:ind w:left="63" w:right="63"/>
              <w:rPr>
                <w:rFonts w:eastAsia="仿宋_GB2312"/>
                <w:sz w:val="28"/>
                <w:szCs w:val="30"/>
              </w:rPr>
            </w:pPr>
          </w:p>
        </w:tc>
        <w:tc>
          <w:tcPr>
            <w:tcW w:w="1701" w:type="dxa"/>
            <w:noWrap w:val="0"/>
            <w:vAlign w:val="top"/>
          </w:tcPr>
          <w:p w14:paraId="2690128E">
            <w:pPr>
              <w:pStyle w:val="6"/>
              <w:keepNext/>
              <w:spacing w:after="0" w:line="440" w:lineRule="exact"/>
              <w:ind w:left="63" w:right="63"/>
              <w:rPr>
                <w:rFonts w:eastAsia="仿宋_GB2312"/>
                <w:sz w:val="28"/>
                <w:szCs w:val="30"/>
              </w:rPr>
            </w:pPr>
          </w:p>
        </w:tc>
      </w:tr>
      <w:tr w14:paraId="0FB730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122C18">
            <w:pPr>
              <w:pStyle w:val="6"/>
              <w:keepNext/>
              <w:spacing w:after="0" w:line="440" w:lineRule="exact"/>
              <w:ind w:left="63" w:right="63"/>
              <w:rPr>
                <w:rFonts w:eastAsia="仿宋_GB2312"/>
                <w:sz w:val="28"/>
                <w:szCs w:val="30"/>
              </w:rPr>
            </w:pPr>
          </w:p>
        </w:tc>
        <w:tc>
          <w:tcPr>
            <w:tcW w:w="1984" w:type="dxa"/>
            <w:noWrap w:val="0"/>
            <w:vAlign w:val="top"/>
          </w:tcPr>
          <w:p w14:paraId="306591BC">
            <w:pPr>
              <w:pStyle w:val="6"/>
              <w:keepNext/>
              <w:spacing w:after="0" w:line="440" w:lineRule="exact"/>
              <w:ind w:left="63" w:right="63"/>
              <w:rPr>
                <w:rFonts w:eastAsia="仿宋_GB2312"/>
                <w:sz w:val="28"/>
                <w:szCs w:val="30"/>
              </w:rPr>
            </w:pPr>
          </w:p>
        </w:tc>
        <w:tc>
          <w:tcPr>
            <w:tcW w:w="851" w:type="dxa"/>
            <w:noWrap w:val="0"/>
            <w:vAlign w:val="top"/>
          </w:tcPr>
          <w:p w14:paraId="492F1166">
            <w:pPr>
              <w:pStyle w:val="6"/>
              <w:keepNext/>
              <w:spacing w:after="0" w:line="440" w:lineRule="exact"/>
              <w:ind w:left="63" w:right="63"/>
              <w:rPr>
                <w:rFonts w:eastAsia="仿宋_GB2312"/>
                <w:sz w:val="28"/>
                <w:szCs w:val="30"/>
              </w:rPr>
            </w:pPr>
          </w:p>
        </w:tc>
        <w:tc>
          <w:tcPr>
            <w:tcW w:w="774" w:type="dxa"/>
            <w:noWrap w:val="0"/>
            <w:vAlign w:val="top"/>
          </w:tcPr>
          <w:p w14:paraId="625A6B20">
            <w:pPr>
              <w:pStyle w:val="6"/>
              <w:keepNext/>
              <w:spacing w:after="0" w:line="440" w:lineRule="exact"/>
              <w:ind w:left="63" w:right="63"/>
              <w:rPr>
                <w:rFonts w:eastAsia="仿宋_GB2312"/>
                <w:sz w:val="28"/>
                <w:szCs w:val="30"/>
              </w:rPr>
            </w:pPr>
          </w:p>
        </w:tc>
        <w:tc>
          <w:tcPr>
            <w:tcW w:w="1352" w:type="dxa"/>
            <w:noWrap w:val="0"/>
            <w:vAlign w:val="top"/>
          </w:tcPr>
          <w:p w14:paraId="69B78E5F">
            <w:pPr>
              <w:pStyle w:val="6"/>
              <w:keepNext/>
              <w:spacing w:after="0" w:line="440" w:lineRule="exact"/>
              <w:ind w:left="63" w:right="63"/>
              <w:rPr>
                <w:rFonts w:eastAsia="仿宋_GB2312"/>
                <w:sz w:val="28"/>
                <w:szCs w:val="30"/>
              </w:rPr>
            </w:pPr>
          </w:p>
        </w:tc>
        <w:tc>
          <w:tcPr>
            <w:tcW w:w="1418" w:type="dxa"/>
            <w:noWrap w:val="0"/>
            <w:vAlign w:val="top"/>
          </w:tcPr>
          <w:p w14:paraId="7F9E4525">
            <w:pPr>
              <w:pStyle w:val="6"/>
              <w:keepNext/>
              <w:spacing w:after="0" w:line="440" w:lineRule="exact"/>
              <w:ind w:left="63" w:right="63"/>
              <w:rPr>
                <w:rFonts w:eastAsia="仿宋_GB2312"/>
                <w:sz w:val="28"/>
                <w:szCs w:val="30"/>
              </w:rPr>
            </w:pPr>
          </w:p>
        </w:tc>
        <w:tc>
          <w:tcPr>
            <w:tcW w:w="1701" w:type="dxa"/>
            <w:noWrap w:val="0"/>
            <w:vAlign w:val="top"/>
          </w:tcPr>
          <w:p w14:paraId="1DD0EEAC">
            <w:pPr>
              <w:pStyle w:val="6"/>
              <w:keepNext/>
              <w:spacing w:after="0" w:line="440" w:lineRule="exact"/>
              <w:ind w:left="63" w:right="63"/>
              <w:rPr>
                <w:rFonts w:eastAsia="仿宋_GB2312"/>
                <w:sz w:val="28"/>
                <w:szCs w:val="30"/>
              </w:rPr>
            </w:pPr>
          </w:p>
        </w:tc>
      </w:tr>
      <w:tr w14:paraId="7DD70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27011F">
            <w:pPr>
              <w:pStyle w:val="6"/>
              <w:keepNext/>
              <w:spacing w:after="0" w:line="440" w:lineRule="exact"/>
              <w:ind w:left="63" w:right="63"/>
              <w:rPr>
                <w:rFonts w:eastAsia="仿宋_GB2312"/>
                <w:sz w:val="28"/>
                <w:szCs w:val="30"/>
              </w:rPr>
            </w:pPr>
          </w:p>
        </w:tc>
        <w:tc>
          <w:tcPr>
            <w:tcW w:w="1984" w:type="dxa"/>
            <w:noWrap w:val="0"/>
            <w:vAlign w:val="top"/>
          </w:tcPr>
          <w:p w14:paraId="3E771D3E">
            <w:pPr>
              <w:pStyle w:val="6"/>
              <w:keepNext/>
              <w:spacing w:after="0" w:line="440" w:lineRule="exact"/>
              <w:ind w:left="63" w:right="63"/>
              <w:rPr>
                <w:rFonts w:eastAsia="仿宋_GB2312"/>
                <w:sz w:val="28"/>
                <w:szCs w:val="30"/>
              </w:rPr>
            </w:pPr>
          </w:p>
        </w:tc>
        <w:tc>
          <w:tcPr>
            <w:tcW w:w="851" w:type="dxa"/>
            <w:noWrap w:val="0"/>
            <w:vAlign w:val="top"/>
          </w:tcPr>
          <w:p w14:paraId="08409D71">
            <w:pPr>
              <w:pStyle w:val="6"/>
              <w:keepNext/>
              <w:spacing w:after="0" w:line="440" w:lineRule="exact"/>
              <w:ind w:left="63" w:right="63"/>
              <w:rPr>
                <w:rFonts w:eastAsia="仿宋_GB2312"/>
                <w:sz w:val="28"/>
                <w:szCs w:val="30"/>
              </w:rPr>
            </w:pPr>
          </w:p>
        </w:tc>
        <w:tc>
          <w:tcPr>
            <w:tcW w:w="774" w:type="dxa"/>
            <w:noWrap w:val="0"/>
            <w:vAlign w:val="top"/>
          </w:tcPr>
          <w:p w14:paraId="466B9A52">
            <w:pPr>
              <w:pStyle w:val="6"/>
              <w:keepNext/>
              <w:spacing w:after="0" w:line="440" w:lineRule="exact"/>
              <w:ind w:left="63" w:right="63"/>
              <w:rPr>
                <w:rFonts w:eastAsia="仿宋_GB2312"/>
                <w:sz w:val="28"/>
                <w:szCs w:val="30"/>
              </w:rPr>
            </w:pPr>
          </w:p>
        </w:tc>
        <w:tc>
          <w:tcPr>
            <w:tcW w:w="1352" w:type="dxa"/>
            <w:noWrap w:val="0"/>
            <w:vAlign w:val="top"/>
          </w:tcPr>
          <w:p w14:paraId="4257C079">
            <w:pPr>
              <w:pStyle w:val="6"/>
              <w:keepNext/>
              <w:spacing w:after="0" w:line="440" w:lineRule="exact"/>
              <w:ind w:left="63" w:right="63"/>
              <w:rPr>
                <w:rFonts w:eastAsia="仿宋_GB2312"/>
                <w:sz w:val="28"/>
                <w:szCs w:val="30"/>
              </w:rPr>
            </w:pPr>
          </w:p>
        </w:tc>
        <w:tc>
          <w:tcPr>
            <w:tcW w:w="1418" w:type="dxa"/>
            <w:noWrap w:val="0"/>
            <w:vAlign w:val="top"/>
          </w:tcPr>
          <w:p w14:paraId="76D91E86">
            <w:pPr>
              <w:pStyle w:val="6"/>
              <w:keepNext/>
              <w:spacing w:after="0" w:line="440" w:lineRule="exact"/>
              <w:ind w:left="63" w:right="63"/>
              <w:rPr>
                <w:rFonts w:eastAsia="仿宋_GB2312"/>
                <w:sz w:val="28"/>
                <w:szCs w:val="30"/>
              </w:rPr>
            </w:pPr>
          </w:p>
        </w:tc>
        <w:tc>
          <w:tcPr>
            <w:tcW w:w="1701" w:type="dxa"/>
            <w:noWrap w:val="0"/>
            <w:vAlign w:val="top"/>
          </w:tcPr>
          <w:p w14:paraId="68FBE619">
            <w:pPr>
              <w:pStyle w:val="6"/>
              <w:keepNext/>
              <w:spacing w:after="0" w:line="440" w:lineRule="exact"/>
              <w:ind w:left="63" w:right="63"/>
              <w:rPr>
                <w:rFonts w:eastAsia="仿宋_GB2312"/>
                <w:sz w:val="28"/>
                <w:szCs w:val="30"/>
              </w:rPr>
            </w:pPr>
          </w:p>
        </w:tc>
      </w:tr>
    </w:tbl>
    <w:p w14:paraId="2CE50E9E">
      <w:pPr>
        <w:spacing w:line="440" w:lineRule="exact"/>
        <w:rPr>
          <w:rFonts w:eastAsia="仿宋_GB2312"/>
          <w:sz w:val="30"/>
          <w:szCs w:val="30"/>
        </w:rPr>
      </w:pPr>
    </w:p>
    <w:p w14:paraId="39AC3B24">
      <w:pPr>
        <w:spacing w:before="120" w:beforeLines="50" w:after="120" w:afterLines="50" w:line="440" w:lineRule="exact"/>
        <w:jc w:val="center"/>
        <w:rPr>
          <w:rFonts w:eastAsia="黑体"/>
          <w:sz w:val="30"/>
          <w:szCs w:val="30"/>
        </w:rPr>
      </w:pPr>
      <w:r>
        <w:rPr>
          <w:rFonts w:eastAsia="仿宋_GB2312"/>
          <w:sz w:val="30"/>
          <w:szCs w:val="30"/>
        </w:rPr>
        <w:br w:type="page"/>
      </w:r>
      <w:r>
        <w:rPr>
          <w:rFonts w:eastAsia="黑体"/>
          <w:sz w:val="28"/>
          <w:szCs w:val="28"/>
        </w:rPr>
        <w:t>11-3：专业工程暂估价表</w:t>
      </w:r>
    </w:p>
    <w:tbl>
      <w:tblPr>
        <w:tblStyle w:val="1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3EB429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center"/>
          </w:tcPr>
          <w:p w14:paraId="138FB313">
            <w:pPr>
              <w:pStyle w:val="6"/>
              <w:keepNext/>
              <w:spacing w:after="0" w:line="440" w:lineRule="exact"/>
              <w:ind w:left="63" w:right="63"/>
              <w:jc w:val="center"/>
              <w:rPr>
                <w:rFonts w:ascii="宋体" w:hAnsi="宋体"/>
                <w:szCs w:val="21"/>
              </w:rPr>
            </w:pPr>
            <w:r>
              <w:rPr>
                <w:rFonts w:ascii="宋体" w:hAnsi="宋体"/>
                <w:szCs w:val="21"/>
              </w:rPr>
              <w:t>序号</w:t>
            </w:r>
          </w:p>
        </w:tc>
        <w:tc>
          <w:tcPr>
            <w:tcW w:w="1984" w:type="dxa"/>
            <w:tcBorders>
              <w:top w:val="single" w:color="auto" w:sz="12" w:space="0"/>
              <w:bottom w:val="double" w:color="auto" w:sz="6" w:space="0"/>
            </w:tcBorders>
            <w:noWrap w:val="0"/>
            <w:vAlign w:val="center"/>
          </w:tcPr>
          <w:p w14:paraId="37352D93">
            <w:pPr>
              <w:pStyle w:val="6"/>
              <w:keepNext/>
              <w:spacing w:after="0" w:line="440" w:lineRule="exact"/>
              <w:ind w:left="63" w:right="63"/>
              <w:jc w:val="center"/>
              <w:rPr>
                <w:rFonts w:ascii="宋体" w:hAnsi="宋体"/>
                <w:szCs w:val="21"/>
              </w:rPr>
            </w:pPr>
            <w:r>
              <w:rPr>
                <w:rFonts w:ascii="宋体" w:hAnsi="宋体"/>
                <w:szCs w:val="21"/>
              </w:rPr>
              <w:t>专业工程名称</w:t>
            </w:r>
          </w:p>
        </w:tc>
        <w:tc>
          <w:tcPr>
            <w:tcW w:w="4678" w:type="dxa"/>
            <w:tcBorders>
              <w:top w:val="single" w:color="auto" w:sz="12" w:space="0"/>
              <w:bottom w:val="double" w:color="auto" w:sz="6" w:space="0"/>
            </w:tcBorders>
            <w:noWrap w:val="0"/>
            <w:vAlign w:val="center"/>
          </w:tcPr>
          <w:p w14:paraId="4CA0D759">
            <w:pPr>
              <w:pStyle w:val="6"/>
              <w:keepNext/>
              <w:spacing w:after="0" w:line="440" w:lineRule="exact"/>
              <w:ind w:left="63" w:right="63"/>
              <w:jc w:val="center"/>
              <w:rPr>
                <w:rFonts w:ascii="宋体" w:hAnsi="宋体"/>
                <w:szCs w:val="21"/>
              </w:rPr>
            </w:pPr>
            <w:r>
              <w:rPr>
                <w:rFonts w:ascii="宋体" w:hAnsi="宋体"/>
                <w:szCs w:val="21"/>
              </w:rPr>
              <w:t>工程内容</w:t>
            </w:r>
          </w:p>
        </w:tc>
        <w:tc>
          <w:tcPr>
            <w:tcW w:w="1276" w:type="dxa"/>
            <w:tcBorders>
              <w:top w:val="single" w:color="auto" w:sz="12" w:space="0"/>
              <w:bottom w:val="double" w:color="auto" w:sz="6" w:space="0"/>
            </w:tcBorders>
            <w:noWrap w:val="0"/>
            <w:vAlign w:val="center"/>
          </w:tcPr>
          <w:p w14:paraId="106BC6D1">
            <w:pPr>
              <w:pStyle w:val="6"/>
              <w:keepNext/>
              <w:spacing w:after="0" w:line="440" w:lineRule="exact"/>
              <w:ind w:left="63" w:right="63"/>
              <w:jc w:val="center"/>
              <w:rPr>
                <w:rFonts w:ascii="宋体" w:hAnsi="宋体"/>
                <w:szCs w:val="21"/>
              </w:rPr>
            </w:pPr>
            <w:r>
              <w:rPr>
                <w:rFonts w:ascii="宋体" w:hAnsi="宋体"/>
                <w:szCs w:val="21"/>
              </w:rPr>
              <w:t>金额</w:t>
            </w:r>
          </w:p>
        </w:tc>
      </w:tr>
      <w:tr w14:paraId="7C156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191E17CD">
            <w:pPr>
              <w:pStyle w:val="6"/>
              <w:keepNext/>
              <w:spacing w:after="0" w:line="440" w:lineRule="exact"/>
              <w:ind w:left="63" w:right="63"/>
              <w:rPr>
                <w:szCs w:val="21"/>
              </w:rPr>
            </w:pPr>
          </w:p>
        </w:tc>
        <w:tc>
          <w:tcPr>
            <w:tcW w:w="1984" w:type="dxa"/>
            <w:tcBorders>
              <w:top w:val="double" w:color="auto" w:sz="6" w:space="0"/>
              <w:bottom w:val="single" w:color="auto" w:sz="6" w:space="0"/>
            </w:tcBorders>
            <w:noWrap w:val="0"/>
            <w:vAlign w:val="top"/>
          </w:tcPr>
          <w:p w14:paraId="7AD0C10A">
            <w:pPr>
              <w:pStyle w:val="6"/>
              <w:keepNext/>
              <w:spacing w:after="0" w:line="440" w:lineRule="exact"/>
              <w:ind w:left="63" w:right="63"/>
              <w:rPr>
                <w:szCs w:val="21"/>
              </w:rPr>
            </w:pPr>
          </w:p>
        </w:tc>
        <w:tc>
          <w:tcPr>
            <w:tcW w:w="4678" w:type="dxa"/>
            <w:tcBorders>
              <w:top w:val="double" w:color="auto" w:sz="6" w:space="0"/>
              <w:bottom w:val="single" w:color="auto" w:sz="6" w:space="0"/>
            </w:tcBorders>
            <w:noWrap w:val="0"/>
            <w:vAlign w:val="top"/>
          </w:tcPr>
          <w:p w14:paraId="4EB33172">
            <w:pPr>
              <w:pStyle w:val="6"/>
              <w:keepNext/>
              <w:spacing w:after="0" w:line="440" w:lineRule="exact"/>
              <w:ind w:left="63" w:right="63"/>
              <w:rPr>
                <w:szCs w:val="21"/>
              </w:rPr>
            </w:pPr>
          </w:p>
        </w:tc>
        <w:tc>
          <w:tcPr>
            <w:tcW w:w="1276" w:type="dxa"/>
            <w:tcBorders>
              <w:top w:val="double" w:color="auto" w:sz="6" w:space="0"/>
              <w:bottom w:val="single" w:color="auto" w:sz="6" w:space="0"/>
            </w:tcBorders>
            <w:noWrap w:val="0"/>
            <w:vAlign w:val="top"/>
          </w:tcPr>
          <w:p w14:paraId="0EC5BBC0">
            <w:pPr>
              <w:pStyle w:val="6"/>
              <w:keepNext/>
              <w:spacing w:after="0" w:line="440" w:lineRule="exact"/>
              <w:ind w:left="63" w:right="63"/>
              <w:rPr>
                <w:szCs w:val="21"/>
              </w:rPr>
            </w:pPr>
          </w:p>
        </w:tc>
      </w:tr>
      <w:tr w14:paraId="69B36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7CCFEC63">
            <w:pPr>
              <w:pStyle w:val="6"/>
              <w:keepNext/>
              <w:spacing w:after="0" w:line="440" w:lineRule="exact"/>
              <w:ind w:left="63" w:right="63"/>
              <w:rPr>
                <w:szCs w:val="21"/>
              </w:rPr>
            </w:pPr>
          </w:p>
        </w:tc>
        <w:tc>
          <w:tcPr>
            <w:tcW w:w="1984" w:type="dxa"/>
            <w:tcBorders>
              <w:top w:val="nil"/>
            </w:tcBorders>
            <w:noWrap w:val="0"/>
            <w:vAlign w:val="top"/>
          </w:tcPr>
          <w:p w14:paraId="0B24DE0A">
            <w:pPr>
              <w:pStyle w:val="6"/>
              <w:keepNext/>
              <w:spacing w:after="0" w:line="440" w:lineRule="exact"/>
              <w:ind w:left="63" w:right="63"/>
              <w:rPr>
                <w:szCs w:val="21"/>
              </w:rPr>
            </w:pPr>
          </w:p>
        </w:tc>
        <w:tc>
          <w:tcPr>
            <w:tcW w:w="4678" w:type="dxa"/>
            <w:tcBorders>
              <w:top w:val="nil"/>
            </w:tcBorders>
            <w:noWrap w:val="0"/>
            <w:vAlign w:val="top"/>
          </w:tcPr>
          <w:p w14:paraId="78792918">
            <w:pPr>
              <w:pStyle w:val="6"/>
              <w:keepNext/>
              <w:spacing w:after="0" w:line="440" w:lineRule="exact"/>
              <w:ind w:left="63" w:right="63"/>
              <w:rPr>
                <w:szCs w:val="21"/>
              </w:rPr>
            </w:pPr>
          </w:p>
        </w:tc>
        <w:tc>
          <w:tcPr>
            <w:tcW w:w="1276" w:type="dxa"/>
            <w:tcBorders>
              <w:top w:val="nil"/>
            </w:tcBorders>
            <w:noWrap w:val="0"/>
            <w:vAlign w:val="top"/>
          </w:tcPr>
          <w:p w14:paraId="4F1ADABC">
            <w:pPr>
              <w:pStyle w:val="6"/>
              <w:keepNext/>
              <w:spacing w:after="0" w:line="440" w:lineRule="exact"/>
              <w:ind w:left="63" w:right="63"/>
              <w:rPr>
                <w:szCs w:val="21"/>
              </w:rPr>
            </w:pPr>
          </w:p>
        </w:tc>
      </w:tr>
      <w:tr w14:paraId="11236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EA95993">
            <w:pPr>
              <w:pStyle w:val="6"/>
              <w:keepNext/>
              <w:spacing w:after="0" w:line="440" w:lineRule="exact"/>
              <w:ind w:left="63" w:right="63"/>
              <w:rPr>
                <w:szCs w:val="21"/>
              </w:rPr>
            </w:pPr>
          </w:p>
        </w:tc>
        <w:tc>
          <w:tcPr>
            <w:tcW w:w="1984" w:type="dxa"/>
            <w:tcBorders>
              <w:top w:val="nil"/>
            </w:tcBorders>
            <w:noWrap w:val="0"/>
            <w:vAlign w:val="top"/>
          </w:tcPr>
          <w:p w14:paraId="48B1F77F">
            <w:pPr>
              <w:pStyle w:val="6"/>
              <w:keepNext/>
              <w:spacing w:after="0" w:line="440" w:lineRule="exact"/>
              <w:ind w:left="63" w:right="63"/>
              <w:rPr>
                <w:szCs w:val="21"/>
              </w:rPr>
            </w:pPr>
          </w:p>
        </w:tc>
        <w:tc>
          <w:tcPr>
            <w:tcW w:w="4678" w:type="dxa"/>
            <w:tcBorders>
              <w:top w:val="nil"/>
            </w:tcBorders>
            <w:noWrap w:val="0"/>
            <w:vAlign w:val="top"/>
          </w:tcPr>
          <w:p w14:paraId="0952A9B2">
            <w:pPr>
              <w:pStyle w:val="6"/>
              <w:keepNext/>
              <w:spacing w:after="0" w:line="440" w:lineRule="exact"/>
              <w:ind w:left="63" w:right="63"/>
              <w:rPr>
                <w:szCs w:val="21"/>
              </w:rPr>
            </w:pPr>
          </w:p>
        </w:tc>
        <w:tc>
          <w:tcPr>
            <w:tcW w:w="1276" w:type="dxa"/>
            <w:tcBorders>
              <w:top w:val="nil"/>
            </w:tcBorders>
            <w:noWrap w:val="0"/>
            <w:vAlign w:val="top"/>
          </w:tcPr>
          <w:p w14:paraId="54095DDD">
            <w:pPr>
              <w:pStyle w:val="6"/>
              <w:keepNext/>
              <w:spacing w:after="0" w:line="440" w:lineRule="exact"/>
              <w:ind w:left="63" w:right="63"/>
              <w:rPr>
                <w:szCs w:val="21"/>
              </w:rPr>
            </w:pPr>
          </w:p>
        </w:tc>
      </w:tr>
      <w:tr w14:paraId="43FCC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C2833D9">
            <w:pPr>
              <w:pStyle w:val="6"/>
              <w:keepNext/>
              <w:spacing w:after="0" w:line="440" w:lineRule="exact"/>
              <w:ind w:left="63" w:right="63"/>
              <w:rPr>
                <w:szCs w:val="21"/>
              </w:rPr>
            </w:pPr>
          </w:p>
        </w:tc>
        <w:tc>
          <w:tcPr>
            <w:tcW w:w="1984" w:type="dxa"/>
            <w:noWrap w:val="0"/>
            <w:vAlign w:val="top"/>
          </w:tcPr>
          <w:p w14:paraId="6123CED2">
            <w:pPr>
              <w:pStyle w:val="6"/>
              <w:keepNext/>
              <w:spacing w:after="0" w:line="440" w:lineRule="exact"/>
              <w:ind w:left="63" w:right="63"/>
              <w:rPr>
                <w:szCs w:val="21"/>
              </w:rPr>
            </w:pPr>
          </w:p>
        </w:tc>
        <w:tc>
          <w:tcPr>
            <w:tcW w:w="4678" w:type="dxa"/>
            <w:noWrap w:val="0"/>
            <w:vAlign w:val="top"/>
          </w:tcPr>
          <w:p w14:paraId="41112239">
            <w:pPr>
              <w:pStyle w:val="6"/>
              <w:keepNext/>
              <w:spacing w:after="0" w:line="440" w:lineRule="exact"/>
              <w:ind w:left="63" w:right="63"/>
              <w:rPr>
                <w:szCs w:val="21"/>
              </w:rPr>
            </w:pPr>
          </w:p>
        </w:tc>
        <w:tc>
          <w:tcPr>
            <w:tcW w:w="1276" w:type="dxa"/>
            <w:noWrap w:val="0"/>
            <w:vAlign w:val="top"/>
          </w:tcPr>
          <w:p w14:paraId="5F67D855">
            <w:pPr>
              <w:pStyle w:val="6"/>
              <w:keepNext/>
              <w:spacing w:after="0" w:line="440" w:lineRule="exact"/>
              <w:ind w:left="63" w:right="63"/>
              <w:rPr>
                <w:szCs w:val="21"/>
              </w:rPr>
            </w:pPr>
          </w:p>
        </w:tc>
      </w:tr>
      <w:tr w14:paraId="66FDAA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72AEDA4">
            <w:pPr>
              <w:pStyle w:val="6"/>
              <w:keepNext/>
              <w:spacing w:after="0" w:line="440" w:lineRule="exact"/>
              <w:ind w:left="63" w:right="63"/>
              <w:rPr>
                <w:szCs w:val="21"/>
              </w:rPr>
            </w:pPr>
          </w:p>
        </w:tc>
        <w:tc>
          <w:tcPr>
            <w:tcW w:w="1984" w:type="dxa"/>
            <w:noWrap w:val="0"/>
            <w:vAlign w:val="top"/>
          </w:tcPr>
          <w:p w14:paraId="68487804">
            <w:pPr>
              <w:pStyle w:val="6"/>
              <w:keepNext/>
              <w:spacing w:after="0" w:line="440" w:lineRule="exact"/>
              <w:ind w:left="63" w:right="63"/>
              <w:rPr>
                <w:szCs w:val="21"/>
              </w:rPr>
            </w:pPr>
          </w:p>
        </w:tc>
        <w:tc>
          <w:tcPr>
            <w:tcW w:w="4678" w:type="dxa"/>
            <w:noWrap w:val="0"/>
            <w:vAlign w:val="top"/>
          </w:tcPr>
          <w:p w14:paraId="32878D55">
            <w:pPr>
              <w:pStyle w:val="6"/>
              <w:keepNext/>
              <w:spacing w:after="0" w:line="440" w:lineRule="exact"/>
              <w:ind w:left="63" w:right="63"/>
              <w:rPr>
                <w:szCs w:val="21"/>
              </w:rPr>
            </w:pPr>
          </w:p>
        </w:tc>
        <w:tc>
          <w:tcPr>
            <w:tcW w:w="1276" w:type="dxa"/>
            <w:noWrap w:val="0"/>
            <w:vAlign w:val="top"/>
          </w:tcPr>
          <w:p w14:paraId="6DCF5783">
            <w:pPr>
              <w:pStyle w:val="6"/>
              <w:keepNext/>
              <w:spacing w:after="0" w:line="440" w:lineRule="exact"/>
              <w:ind w:left="63" w:right="63"/>
              <w:rPr>
                <w:szCs w:val="21"/>
              </w:rPr>
            </w:pPr>
          </w:p>
        </w:tc>
      </w:tr>
      <w:tr w14:paraId="15E92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0C948BC">
            <w:pPr>
              <w:pStyle w:val="6"/>
              <w:keepNext/>
              <w:spacing w:after="0" w:line="440" w:lineRule="exact"/>
              <w:ind w:left="63" w:right="63"/>
              <w:rPr>
                <w:szCs w:val="21"/>
              </w:rPr>
            </w:pPr>
          </w:p>
        </w:tc>
        <w:tc>
          <w:tcPr>
            <w:tcW w:w="1984" w:type="dxa"/>
            <w:noWrap w:val="0"/>
            <w:vAlign w:val="top"/>
          </w:tcPr>
          <w:p w14:paraId="6BD2DD75">
            <w:pPr>
              <w:pStyle w:val="6"/>
              <w:keepNext/>
              <w:spacing w:after="0" w:line="440" w:lineRule="exact"/>
              <w:ind w:left="63" w:right="63"/>
              <w:rPr>
                <w:szCs w:val="21"/>
              </w:rPr>
            </w:pPr>
          </w:p>
        </w:tc>
        <w:tc>
          <w:tcPr>
            <w:tcW w:w="4678" w:type="dxa"/>
            <w:noWrap w:val="0"/>
            <w:vAlign w:val="top"/>
          </w:tcPr>
          <w:p w14:paraId="094B17D5">
            <w:pPr>
              <w:pStyle w:val="6"/>
              <w:keepNext/>
              <w:spacing w:after="0" w:line="440" w:lineRule="exact"/>
              <w:ind w:left="63" w:right="63"/>
              <w:rPr>
                <w:szCs w:val="21"/>
              </w:rPr>
            </w:pPr>
          </w:p>
        </w:tc>
        <w:tc>
          <w:tcPr>
            <w:tcW w:w="1276" w:type="dxa"/>
            <w:noWrap w:val="0"/>
            <w:vAlign w:val="top"/>
          </w:tcPr>
          <w:p w14:paraId="20A3BEFC">
            <w:pPr>
              <w:pStyle w:val="6"/>
              <w:keepNext/>
              <w:spacing w:after="0" w:line="440" w:lineRule="exact"/>
              <w:ind w:left="63" w:right="63"/>
              <w:rPr>
                <w:szCs w:val="21"/>
              </w:rPr>
            </w:pPr>
          </w:p>
        </w:tc>
      </w:tr>
      <w:tr w14:paraId="410FB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AA5A46">
            <w:pPr>
              <w:pStyle w:val="6"/>
              <w:keepNext/>
              <w:spacing w:after="0" w:line="440" w:lineRule="exact"/>
              <w:ind w:left="63" w:right="63"/>
              <w:rPr>
                <w:szCs w:val="21"/>
              </w:rPr>
            </w:pPr>
          </w:p>
        </w:tc>
        <w:tc>
          <w:tcPr>
            <w:tcW w:w="1984" w:type="dxa"/>
            <w:noWrap w:val="0"/>
            <w:vAlign w:val="top"/>
          </w:tcPr>
          <w:p w14:paraId="5B45FD6C">
            <w:pPr>
              <w:pStyle w:val="6"/>
              <w:keepNext/>
              <w:spacing w:after="0" w:line="440" w:lineRule="exact"/>
              <w:ind w:left="63" w:right="63"/>
              <w:rPr>
                <w:szCs w:val="21"/>
              </w:rPr>
            </w:pPr>
          </w:p>
        </w:tc>
        <w:tc>
          <w:tcPr>
            <w:tcW w:w="4678" w:type="dxa"/>
            <w:noWrap w:val="0"/>
            <w:vAlign w:val="top"/>
          </w:tcPr>
          <w:p w14:paraId="5A093584">
            <w:pPr>
              <w:pStyle w:val="6"/>
              <w:keepNext/>
              <w:spacing w:after="0" w:line="440" w:lineRule="exact"/>
              <w:ind w:left="63" w:right="63"/>
              <w:rPr>
                <w:szCs w:val="21"/>
              </w:rPr>
            </w:pPr>
          </w:p>
        </w:tc>
        <w:tc>
          <w:tcPr>
            <w:tcW w:w="1276" w:type="dxa"/>
            <w:noWrap w:val="0"/>
            <w:vAlign w:val="top"/>
          </w:tcPr>
          <w:p w14:paraId="67F1885B">
            <w:pPr>
              <w:pStyle w:val="6"/>
              <w:keepNext/>
              <w:spacing w:after="0" w:line="440" w:lineRule="exact"/>
              <w:ind w:left="63" w:right="63"/>
              <w:rPr>
                <w:szCs w:val="21"/>
              </w:rPr>
            </w:pPr>
          </w:p>
        </w:tc>
      </w:tr>
      <w:tr w14:paraId="01A37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1B2FD66">
            <w:pPr>
              <w:pStyle w:val="6"/>
              <w:keepNext/>
              <w:spacing w:after="0" w:line="440" w:lineRule="exact"/>
              <w:ind w:left="63" w:right="63"/>
              <w:rPr>
                <w:szCs w:val="21"/>
              </w:rPr>
            </w:pPr>
          </w:p>
        </w:tc>
        <w:tc>
          <w:tcPr>
            <w:tcW w:w="1984" w:type="dxa"/>
            <w:noWrap w:val="0"/>
            <w:vAlign w:val="top"/>
          </w:tcPr>
          <w:p w14:paraId="34609BA6">
            <w:pPr>
              <w:pStyle w:val="6"/>
              <w:keepNext/>
              <w:spacing w:after="0" w:line="440" w:lineRule="exact"/>
              <w:ind w:left="63" w:right="63"/>
              <w:rPr>
                <w:szCs w:val="21"/>
              </w:rPr>
            </w:pPr>
          </w:p>
        </w:tc>
        <w:tc>
          <w:tcPr>
            <w:tcW w:w="4678" w:type="dxa"/>
            <w:noWrap w:val="0"/>
            <w:vAlign w:val="top"/>
          </w:tcPr>
          <w:p w14:paraId="5D3AEBB3">
            <w:pPr>
              <w:pStyle w:val="6"/>
              <w:keepNext/>
              <w:spacing w:after="0" w:line="440" w:lineRule="exact"/>
              <w:ind w:left="63" w:right="63"/>
              <w:rPr>
                <w:szCs w:val="21"/>
              </w:rPr>
            </w:pPr>
          </w:p>
        </w:tc>
        <w:tc>
          <w:tcPr>
            <w:tcW w:w="1276" w:type="dxa"/>
            <w:noWrap w:val="0"/>
            <w:vAlign w:val="top"/>
          </w:tcPr>
          <w:p w14:paraId="58A714C6">
            <w:pPr>
              <w:pStyle w:val="6"/>
              <w:keepNext/>
              <w:spacing w:after="0" w:line="440" w:lineRule="exact"/>
              <w:ind w:left="63" w:right="63"/>
              <w:rPr>
                <w:szCs w:val="21"/>
              </w:rPr>
            </w:pPr>
          </w:p>
        </w:tc>
      </w:tr>
      <w:tr w14:paraId="607F7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FC5FF6">
            <w:pPr>
              <w:pStyle w:val="6"/>
              <w:keepNext/>
              <w:spacing w:after="0" w:line="440" w:lineRule="exact"/>
              <w:ind w:left="63" w:right="63"/>
              <w:rPr>
                <w:szCs w:val="21"/>
              </w:rPr>
            </w:pPr>
          </w:p>
        </w:tc>
        <w:tc>
          <w:tcPr>
            <w:tcW w:w="1984" w:type="dxa"/>
            <w:noWrap w:val="0"/>
            <w:vAlign w:val="top"/>
          </w:tcPr>
          <w:p w14:paraId="4C15EAF8">
            <w:pPr>
              <w:pStyle w:val="6"/>
              <w:keepNext/>
              <w:spacing w:after="0" w:line="440" w:lineRule="exact"/>
              <w:ind w:left="63" w:right="63"/>
              <w:rPr>
                <w:szCs w:val="21"/>
              </w:rPr>
            </w:pPr>
          </w:p>
        </w:tc>
        <w:tc>
          <w:tcPr>
            <w:tcW w:w="4678" w:type="dxa"/>
            <w:noWrap w:val="0"/>
            <w:vAlign w:val="top"/>
          </w:tcPr>
          <w:p w14:paraId="41EF3939">
            <w:pPr>
              <w:pStyle w:val="6"/>
              <w:keepNext/>
              <w:spacing w:after="0" w:line="440" w:lineRule="exact"/>
              <w:ind w:left="63" w:right="63"/>
              <w:rPr>
                <w:szCs w:val="21"/>
              </w:rPr>
            </w:pPr>
          </w:p>
        </w:tc>
        <w:tc>
          <w:tcPr>
            <w:tcW w:w="1276" w:type="dxa"/>
            <w:noWrap w:val="0"/>
            <w:vAlign w:val="top"/>
          </w:tcPr>
          <w:p w14:paraId="3CBDFB00">
            <w:pPr>
              <w:pStyle w:val="6"/>
              <w:keepNext/>
              <w:spacing w:after="0" w:line="440" w:lineRule="exact"/>
              <w:ind w:left="63" w:right="63"/>
              <w:rPr>
                <w:szCs w:val="21"/>
              </w:rPr>
            </w:pPr>
          </w:p>
        </w:tc>
      </w:tr>
      <w:tr w14:paraId="0ABB4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C2477A">
            <w:pPr>
              <w:pStyle w:val="6"/>
              <w:keepNext/>
              <w:spacing w:after="0" w:line="440" w:lineRule="exact"/>
              <w:ind w:left="63" w:right="63"/>
              <w:rPr>
                <w:szCs w:val="21"/>
              </w:rPr>
            </w:pPr>
          </w:p>
        </w:tc>
        <w:tc>
          <w:tcPr>
            <w:tcW w:w="1984" w:type="dxa"/>
            <w:noWrap w:val="0"/>
            <w:vAlign w:val="top"/>
          </w:tcPr>
          <w:p w14:paraId="2D66D631">
            <w:pPr>
              <w:pStyle w:val="6"/>
              <w:keepNext/>
              <w:spacing w:after="0" w:line="440" w:lineRule="exact"/>
              <w:ind w:left="63" w:right="63"/>
              <w:rPr>
                <w:szCs w:val="21"/>
              </w:rPr>
            </w:pPr>
          </w:p>
        </w:tc>
        <w:tc>
          <w:tcPr>
            <w:tcW w:w="4678" w:type="dxa"/>
            <w:noWrap w:val="0"/>
            <w:vAlign w:val="top"/>
          </w:tcPr>
          <w:p w14:paraId="20DEBBDB">
            <w:pPr>
              <w:pStyle w:val="6"/>
              <w:keepNext/>
              <w:spacing w:after="0" w:line="440" w:lineRule="exact"/>
              <w:ind w:left="63" w:right="63"/>
              <w:rPr>
                <w:szCs w:val="21"/>
              </w:rPr>
            </w:pPr>
          </w:p>
        </w:tc>
        <w:tc>
          <w:tcPr>
            <w:tcW w:w="1276" w:type="dxa"/>
            <w:noWrap w:val="0"/>
            <w:vAlign w:val="top"/>
          </w:tcPr>
          <w:p w14:paraId="120CFA4F">
            <w:pPr>
              <w:pStyle w:val="6"/>
              <w:keepNext/>
              <w:spacing w:after="0" w:line="440" w:lineRule="exact"/>
              <w:ind w:left="63" w:right="63"/>
              <w:rPr>
                <w:szCs w:val="21"/>
              </w:rPr>
            </w:pPr>
          </w:p>
        </w:tc>
      </w:tr>
      <w:tr w14:paraId="55E97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E45A9E7">
            <w:pPr>
              <w:pStyle w:val="6"/>
              <w:keepNext/>
              <w:spacing w:after="0" w:line="440" w:lineRule="exact"/>
              <w:ind w:left="63" w:right="63"/>
              <w:rPr>
                <w:szCs w:val="21"/>
              </w:rPr>
            </w:pPr>
          </w:p>
        </w:tc>
        <w:tc>
          <w:tcPr>
            <w:tcW w:w="1984" w:type="dxa"/>
            <w:noWrap w:val="0"/>
            <w:vAlign w:val="top"/>
          </w:tcPr>
          <w:p w14:paraId="6F37F2CC">
            <w:pPr>
              <w:pStyle w:val="6"/>
              <w:keepNext/>
              <w:spacing w:after="0" w:line="440" w:lineRule="exact"/>
              <w:ind w:left="63" w:right="63"/>
              <w:rPr>
                <w:szCs w:val="21"/>
              </w:rPr>
            </w:pPr>
          </w:p>
        </w:tc>
        <w:tc>
          <w:tcPr>
            <w:tcW w:w="4678" w:type="dxa"/>
            <w:noWrap w:val="0"/>
            <w:vAlign w:val="top"/>
          </w:tcPr>
          <w:p w14:paraId="49F33290">
            <w:pPr>
              <w:pStyle w:val="6"/>
              <w:keepNext/>
              <w:spacing w:after="0" w:line="440" w:lineRule="exact"/>
              <w:ind w:left="63" w:right="63"/>
              <w:rPr>
                <w:szCs w:val="21"/>
              </w:rPr>
            </w:pPr>
          </w:p>
        </w:tc>
        <w:tc>
          <w:tcPr>
            <w:tcW w:w="1276" w:type="dxa"/>
            <w:noWrap w:val="0"/>
            <w:vAlign w:val="top"/>
          </w:tcPr>
          <w:p w14:paraId="3468C773">
            <w:pPr>
              <w:pStyle w:val="6"/>
              <w:keepNext/>
              <w:spacing w:after="0" w:line="440" w:lineRule="exact"/>
              <w:ind w:left="63" w:right="63"/>
              <w:rPr>
                <w:szCs w:val="21"/>
              </w:rPr>
            </w:pPr>
          </w:p>
        </w:tc>
      </w:tr>
      <w:tr w14:paraId="4024E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AAAD77E">
            <w:pPr>
              <w:pStyle w:val="6"/>
              <w:keepNext/>
              <w:spacing w:after="0" w:line="440" w:lineRule="exact"/>
              <w:ind w:left="63" w:right="63"/>
              <w:rPr>
                <w:szCs w:val="21"/>
              </w:rPr>
            </w:pPr>
          </w:p>
        </w:tc>
        <w:tc>
          <w:tcPr>
            <w:tcW w:w="1984" w:type="dxa"/>
            <w:noWrap w:val="0"/>
            <w:vAlign w:val="top"/>
          </w:tcPr>
          <w:p w14:paraId="6593A6A4">
            <w:pPr>
              <w:pStyle w:val="6"/>
              <w:keepNext/>
              <w:spacing w:after="0" w:line="440" w:lineRule="exact"/>
              <w:ind w:left="63" w:right="63"/>
              <w:rPr>
                <w:szCs w:val="21"/>
              </w:rPr>
            </w:pPr>
          </w:p>
        </w:tc>
        <w:tc>
          <w:tcPr>
            <w:tcW w:w="4678" w:type="dxa"/>
            <w:noWrap w:val="0"/>
            <w:vAlign w:val="top"/>
          </w:tcPr>
          <w:p w14:paraId="5335C8F2">
            <w:pPr>
              <w:pStyle w:val="6"/>
              <w:keepNext/>
              <w:spacing w:after="0" w:line="440" w:lineRule="exact"/>
              <w:ind w:left="63" w:right="63"/>
              <w:rPr>
                <w:szCs w:val="21"/>
              </w:rPr>
            </w:pPr>
          </w:p>
        </w:tc>
        <w:tc>
          <w:tcPr>
            <w:tcW w:w="1276" w:type="dxa"/>
            <w:noWrap w:val="0"/>
            <w:vAlign w:val="top"/>
          </w:tcPr>
          <w:p w14:paraId="4F323895">
            <w:pPr>
              <w:pStyle w:val="6"/>
              <w:keepNext/>
              <w:spacing w:after="0" w:line="440" w:lineRule="exact"/>
              <w:ind w:left="63" w:right="63"/>
              <w:rPr>
                <w:szCs w:val="21"/>
              </w:rPr>
            </w:pPr>
          </w:p>
        </w:tc>
      </w:tr>
      <w:tr w14:paraId="1EA5B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5C8E242">
            <w:pPr>
              <w:pStyle w:val="6"/>
              <w:keepNext/>
              <w:spacing w:after="0" w:line="440" w:lineRule="exact"/>
              <w:ind w:left="63" w:right="63"/>
              <w:rPr>
                <w:szCs w:val="21"/>
              </w:rPr>
            </w:pPr>
          </w:p>
        </w:tc>
        <w:tc>
          <w:tcPr>
            <w:tcW w:w="1984" w:type="dxa"/>
            <w:noWrap w:val="0"/>
            <w:vAlign w:val="top"/>
          </w:tcPr>
          <w:p w14:paraId="17CB37D6">
            <w:pPr>
              <w:pStyle w:val="6"/>
              <w:keepNext/>
              <w:spacing w:after="0" w:line="440" w:lineRule="exact"/>
              <w:ind w:left="63" w:right="63"/>
              <w:rPr>
                <w:szCs w:val="21"/>
              </w:rPr>
            </w:pPr>
          </w:p>
        </w:tc>
        <w:tc>
          <w:tcPr>
            <w:tcW w:w="4678" w:type="dxa"/>
            <w:noWrap w:val="0"/>
            <w:vAlign w:val="top"/>
          </w:tcPr>
          <w:p w14:paraId="5FDCE7F6">
            <w:pPr>
              <w:pStyle w:val="6"/>
              <w:keepNext/>
              <w:spacing w:after="0" w:line="440" w:lineRule="exact"/>
              <w:ind w:left="63" w:right="63"/>
              <w:rPr>
                <w:szCs w:val="21"/>
              </w:rPr>
            </w:pPr>
          </w:p>
        </w:tc>
        <w:tc>
          <w:tcPr>
            <w:tcW w:w="1276" w:type="dxa"/>
            <w:noWrap w:val="0"/>
            <w:vAlign w:val="top"/>
          </w:tcPr>
          <w:p w14:paraId="5B6AE338">
            <w:pPr>
              <w:pStyle w:val="6"/>
              <w:keepNext/>
              <w:spacing w:after="0" w:line="440" w:lineRule="exact"/>
              <w:ind w:left="63" w:right="63"/>
              <w:rPr>
                <w:szCs w:val="21"/>
              </w:rPr>
            </w:pPr>
          </w:p>
        </w:tc>
      </w:tr>
      <w:tr w14:paraId="362E1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2E42C7E">
            <w:pPr>
              <w:pStyle w:val="6"/>
              <w:keepNext/>
              <w:spacing w:after="0" w:line="440" w:lineRule="exact"/>
              <w:ind w:left="63" w:right="63"/>
              <w:rPr>
                <w:szCs w:val="21"/>
              </w:rPr>
            </w:pPr>
          </w:p>
        </w:tc>
        <w:tc>
          <w:tcPr>
            <w:tcW w:w="1984" w:type="dxa"/>
            <w:noWrap w:val="0"/>
            <w:vAlign w:val="top"/>
          </w:tcPr>
          <w:p w14:paraId="0F8E5B24">
            <w:pPr>
              <w:pStyle w:val="6"/>
              <w:keepNext/>
              <w:spacing w:after="0" w:line="440" w:lineRule="exact"/>
              <w:ind w:left="63" w:right="63"/>
              <w:rPr>
                <w:szCs w:val="21"/>
              </w:rPr>
            </w:pPr>
          </w:p>
        </w:tc>
        <w:tc>
          <w:tcPr>
            <w:tcW w:w="4678" w:type="dxa"/>
            <w:noWrap w:val="0"/>
            <w:vAlign w:val="top"/>
          </w:tcPr>
          <w:p w14:paraId="7904725B">
            <w:pPr>
              <w:pStyle w:val="6"/>
              <w:keepNext/>
              <w:spacing w:after="0" w:line="440" w:lineRule="exact"/>
              <w:ind w:left="63" w:right="63"/>
              <w:rPr>
                <w:szCs w:val="21"/>
              </w:rPr>
            </w:pPr>
          </w:p>
        </w:tc>
        <w:tc>
          <w:tcPr>
            <w:tcW w:w="1276" w:type="dxa"/>
            <w:noWrap w:val="0"/>
            <w:vAlign w:val="top"/>
          </w:tcPr>
          <w:p w14:paraId="05091DFE">
            <w:pPr>
              <w:pStyle w:val="6"/>
              <w:keepNext/>
              <w:spacing w:after="0" w:line="440" w:lineRule="exact"/>
              <w:ind w:left="63" w:right="63"/>
              <w:rPr>
                <w:szCs w:val="21"/>
              </w:rPr>
            </w:pPr>
          </w:p>
        </w:tc>
      </w:tr>
      <w:tr w14:paraId="46DF2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09991D9">
            <w:pPr>
              <w:pStyle w:val="6"/>
              <w:keepNext/>
              <w:spacing w:after="0" w:line="440" w:lineRule="exact"/>
              <w:ind w:left="63" w:right="63"/>
              <w:rPr>
                <w:szCs w:val="21"/>
              </w:rPr>
            </w:pPr>
          </w:p>
        </w:tc>
        <w:tc>
          <w:tcPr>
            <w:tcW w:w="1984" w:type="dxa"/>
            <w:noWrap w:val="0"/>
            <w:vAlign w:val="top"/>
          </w:tcPr>
          <w:p w14:paraId="22DC4539">
            <w:pPr>
              <w:pStyle w:val="6"/>
              <w:keepNext/>
              <w:spacing w:after="0" w:line="440" w:lineRule="exact"/>
              <w:ind w:left="63" w:right="63"/>
              <w:rPr>
                <w:szCs w:val="21"/>
              </w:rPr>
            </w:pPr>
          </w:p>
        </w:tc>
        <w:tc>
          <w:tcPr>
            <w:tcW w:w="4678" w:type="dxa"/>
            <w:noWrap w:val="0"/>
            <w:vAlign w:val="top"/>
          </w:tcPr>
          <w:p w14:paraId="61205F4C">
            <w:pPr>
              <w:pStyle w:val="6"/>
              <w:keepNext/>
              <w:spacing w:after="0" w:line="440" w:lineRule="exact"/>
              <w:ind w:left="63" w:right="63"/>
              <w:rPr>
                <w:szCs w:val="21"/>
              </w:rPr>
            </w:pPr>
          </w:p>
        </w:tc>
        <w:tc>
          <w:tcPr>
            <w:tcW w:w="1276" w:type="dxa"/>
            <w:noWrap w:val="0"/>
            <w:vAlign w:val="top"/>
          </w:tcPr>
          <w:p w14:paraId="2A9CCB36">
            <w:pPr>
              <w:pStyle w:val="6"/>
              <w:keepNext/>
              <w:spacing w:after="0" w:line="440" w:lineRule="exact"/>
              <w:ind w:left="63" w:right="63"/>
              <w:rPr>
                <w:szCs w:val="21"/>
              </w:rPr>
            </w:pPr>
          </w:p>
        </w:tc>
      </w:tr>
      <w:tr w14:paraId="759226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B8DAB4">
            <w:pPr>
              <w:pStyle w:val="6"/>
              <w:keepNext/>
              <w:spacing w:after="0" w:line="440" w:lineRule="exact"/>
              <w:ind w:left="63" w:right="63"/>
              <w:rPr>
                <w:szCs w:val="21"/>
              </w:rPr>
            </w:pPr>
          </w:p>
        </w:tc>
        <w:tc>
          <w:tcPr>
            <w:tcW w:w="1984" w:type="dxa"/>
            <w:noWrap w:val="0"/>
            <w:vAlign w:val="top"/>
          </w:tcPr>
          <w:p w14:paraId="7F3E9C5A">
            <w:pPr>
              <w:pStyle w:val="6"/>
              <w:keepNext/>
              <w:spacing w:after="0" w:line="440" w:lineRule="exact"/>
              <w:ind w:left="63" w:right="63"/>
              <w:rPr>
                <w:szCs w:val="21"/>
              </w:rPr>
            </w:pPr>
          </w:p>
        </w:tc>
        <w:tc>
          <w:tcPr>
            <w:tcW w:w="4678" w:type="dxa"/>
            <w:noWrap w:val="0"/>
            <w:vAlign w:val="top"/>
          </w:tcPr>
          <w:p w14:paraId="32646BC7">
            <w:pPr>
              <w:pStyle w:val="6"/>
              <w:keepNext/>
              <w:spacing w:after="0" w:line="440" w:lineRule="exact"/>
              <w:ind w:left="63" w:right="63"/>
              <w:rPr>
                <w:szCs w:val="21"/>
              </w:rPr>
            </w:pPr>
          </w:p>
        </w:tc>
        <w:tc>
          <w:tcPr>
            <w:tcW w:w="1276" w:type="dxa"/>
            <w:noWrap w:val="0"/>
            <w:vAlign w:val="top"/>
          </w:tcPr>
          <w:p w14:paraId="0CEE17A2">
            <w:pPr>
              <w:pStyle w:val="6"/>
              <w:keepNext/>
              <w:spacing w:after="0" w:line="440" w:lineRule="exact"/>
              <w:ind w:left="63" w:right="63"/>
              <w:rPr>
                <w:szCs w:val="21"/>
              </w:rPr>
            </w:pPr>
          </w:p>
        </w:tc>
      </w:tr>
      <w:tr w14:paraId="5C45D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D859F5">
            <w:pPr>
              <w:pStyle w:val="6"/>
              <w:keepNext/>
              <w:spacing w:after="0" w:line="440" w:lineRule="exact"/>
              <w:ind w:left="63" w:right="63"/>
              <w:rPr>
                <w:szCs w:val="21"/>
              </w:rPr>
            </w:pPr>
          </w:p>
        </w:tc>
        <w:tc>
          <w:tcPr>
            <w:tcW w:w="1984" w:type="dxa"/>
            <w:noWrap w:val="0"/>
            <w:vAlign w:val="top"/>
          </w:tcPr>
          <w:p w14:paraId="48EA2D81">
            <w:pPr>
              <w:pStyle w:val="6"/>
              <w:keepNext/>
              <w:spacing w:after="0" w:line="440" w:lineRule="exact"/>
              <w:ind w:left="63" w:right="63"/>
              <w:rPr>
                <w:szCs w:val="21"/>
              </w:rPr>
            </w:pPr>
          </w:p>
        </w:tc>
        <w:tc>
          <w:tcPr>
            <w:tcW w:w="4678" w:type="dxa"/>
            <w:noWrap w:val="0"/>
            <w:vAlign w:val="top"/>
          </w:tcPr>
          <w:p w14:paraId="52BEA9B0">
            <w:pPr>
              <w:pStyle w:val="6"/>
              <w:keepNext/>
              <w:spacing w:after="0" w:line="440" w:lineRule="exact"/>
              <w:ind w:left="63" w:right="63"/>
              <w:rPr>
                <w:szCs w:val="21"/>
              </w:rPr>
            </w:pPr>
          </w:p>
        </w:tc>
        <w:tc>
          <w:tcPr>
            <w:tcW w:w="1276" w:type="dxa"/>
            <w:noWrap w:val="0"/>
            <w:vAlign w:val="top"/>
          </w:tcPr>
          <w:p w14:paraId="5D58EBE6">
            <w:pPr>
              <w:pStyle w:val="6"/>
              <w:keepNext/>
              <w:spacing w:after="0" w:line="440" w:lineRule="exact"/>
              <w:ind w:left="63" w:right="63"/>
              <w:rPr>
                <w:szCs w:val="21"/>
              </w:rPr>
            </w:pPr>
          </w:p>
        </w:tc>
      </w:tr>
      <w:tr w14:paraId="4ED3E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B0501E">
            <w:pPr>
              <w:pStyle w:val="6"/>
              <w:keepNext/>
              <w:spacing w:after="0" w:line="440" w:lineRule="exact"/>
              <w:ind w:left="63" w:right="63"/>
              <w:rPr>
                <w:szCs w:val="21"/>
              </w:rPr>
            </w:pPr>
          </w:p>
        </w:tc>
        <w:tc>
          <w:tcPr>
            <w:tcW w:w="1984" w:type="dxa"/>
            <w:noWrap w:val="0"/>
            <w:vAlign w:val="top"/>
          </w:tcPr>
          <w:p w14:paraId="7C55E4E4">
            <w:pPr>
              <w:pStyle w:val="6"/>
              <w:keepNext/>
              <w:spacing w:after="0" w:line="440" w:lineRule="exact"/>
              <w:ind w:left="63" w:right="63"/>
              <w:rPr>
                <w:szCs w:val="21"/>
              </w:rPr>
            </w:pPr>
          </w:p>
        </w:tc>
        <w:tc>
          <w:tcPr>
            <w:tcW w:w="4678" w:type="dxa"/>
            <w:noWrap w:val="0"/>
            <w:vAlign w:val="top"/>
          </w:tcPr>
          <w:p w14:paraId="2C90CBCB">
            <w:pPr>
              <w:pStyle w:val="6"/>
              <w:keepNext/>
              <w:spacing w:after="0" w:line="440" w:lineRule="exact"/>
              <w:ind w:left="63" w:right="63"/>
              <w:rPr>
                <w:szCs w:val="21"/>
              </w:rPr>
            </w:pPr>
          </w:p>
        </w:tc>
        <w:tc>
          <w:tcPr>
            <w:tcW w:w="1276" w:type="dxa"/>
            <w:noWrap w:val="0"/>
            <w:vAlign w:val="top"/>
          </w:tcPr>
          <w:p w14:paraId="37633A4B">
            <w:pPr>
              <w:pStyle w:val="6"/>
              <w:keepNext/>
              <w:spacing w:after="0" w:line="440" w:lineRule="exact"/>
              <w:ind w:left="63" w:right="63"/>
              <w:rPr>
                <w:szCs w:val="21"/>
              </w:rPr>
            </w:pPr>
          </w:p>
        </w:tc>
      </w:tr>
      <w:tr w14:paraId="3BAD2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541D909">
            <w:pPr>
              <w:pStyle w:val="6"/>
              <w:keepNext/>
              <w:spacing w:after="0" w:line="440" w:lineRule="exact"/>
              <w:ind w:left="63" w:right="63"/>
              <w:rPr>
                <w:szCs w:val="21"/>
              </w:rPr>
            </w:pPr>
          </w:p>
        </w:tc>
        <w:tc>
          <w:tcPr>
            <w:tcW w:w="1984" w:type="dxa"/>
            <w:noWrap w:val="0"/>
            <w:vAlign w:val="top"/>
          </w:tcPr>
          <w:p w14:paraId="3E609B04">
            <w:pPr>
              <w:pStyle w:val="6"/>
              <w:keepNext/>
              <w:spacing w:after="0" w:line="440" w:lineRule="exact"/>
              <w:ind w:left="63" w:right="63"/>
              <w:rPr>
                <w:szCs w:val="21"/>
              </w:rPr>
            </w:pPr>
          </w:p>
        </w:tc>
        <w:tc>
          <w:tcPr>
            <w:tcW w:w="4678" w:type="dxa"/>
            <w:noWrap w:val="0"/>
            <w:vAlign w:val="top"/>
          </w:tcPr>
          <w:p w14:paraId="66296A63">
            <w:pPr>
              <w:pStyle w:val="6"/>
              <w:keepNext/>
              <w:spacing w:after="0" w:line="440" w:lineRule="exact"/>
              <w:ind w:left="63" w:right="63"/>
              <w:rPr>
                <w:szCs w:val="21"/>
              </w:rPr>
            </w:pPr>
          </w:p>
        </w:tc>
        <w:tc>
          <w:tcPr>
            <w:tcW w:w="1276" w:type="dxa"/>
            <w:noWrap w:val="0"/>
            <w:vAlign w:val="top"/>
          </w:tcPr>
          <w:p w14:paraId="64861B9D">
            <w:pPr>
              <w:pStyle w:val="6"/>
              <w:keepNext/>
              <w:spacing w:after="0" w:line="440" w:lineRule="exact"/>
              <w:ind w:left="63" w:right="63"/>
              <w:rPr>
                <w:szCs w:val="21"/>
              </w:rPr>
            </w:pPr>
          </w:p>
        </w:tc>
      </w:tr>
      <w:tr w14:paraId="14A49B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1ACEF1">
            <w:pPr>
              <w:pStyle w:val="6"/>
              <w:keepNext/>
              <w:spacing w:after="0" w:line="440" w:lineRule="exact"/>
              <w:ind w:left="63" w:right="63"/>
              <w:rPr>
                <w:szCs w:val="21"/>
              </w:rPr>
            </w:pPr>
          </w:p>
        </w:tc>
        <w:tc>
          <w:tcPr>
            <w:tcW w:w="1984" w:type="dxa"/>
            <w:noWrap w:val="0"/>
            <w:vAlign w:val="top"/>
          </w:tcPr>
          <w:p w14:paraId="77115CFF">
            <w:pPr>
              <w:pStyle w:val="6"/>
              <w:keepNext/>
              <w:spacing w:after="0" w:line="440" w:lineRule="exact"/>
              <w:ind w:left="63" w:right="63"/>
              <w:rPr>
                <w:szCs w:val="21"/>
              </w:rPr>
            </w:pPr>
          </w:p>
        </w:tc>
        <w:tc>
          <w:tcPr>
            <w:tcW w:w="4678" w:type="dxa"/>
            <w:noWrap w:val="0"/>
            <w:vAlign w:val="top"/>
          </w:tcPr>
          <w:p w14:paraId="57F23AA4">
            <w:pPr>
              <w:pStyle w:val="6"/>
              <w:keepNext/>
              <w:spacing w:after="0" w:line="440" w:lineRule="exact"/>
              <w:ind w:left="63" w:right="63"/>
              <w:rPr>
                <w:szCs w:val="21"/>
              </w:rPr>
            </w:pPr>
          </w:p>
        </w:tc>
        <w:tc>
          <w:tcPr>
            <w:tcW w:w="1276" w:type="dxa"/>
            <w:noWrap w:val="0"/>
            <w:vAlign w:val="top"/>
          </w:tcPr>
          <w:p w14:paraId="0C5A7FE9">
            <w:pPr>
              <w:pStyle w:val="6"/>
              <w:keepNext/>
              <w:spacing w:after="0" w:line="440" w:lineRule="exact"/>
              <w:ind w:left="63" w:right="63"/>
              <w:rPr>
                <w:szCs w:val="21"/>
              </w:rPr>
            </w:pPr>
          </w:p>
        </w:tc>
      </w:tr>
      <w:tr w14:paraId="21039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7708DDF">
            <w:pPr>
              <w:pStyle w:val="6"/>
              <w:keepNext/>
              <w:spacing w:after="0" w:line="440" w:lineRule="exact"/>
              <w:ind w:left="63" w:right="63"/>
              <w:rPr>
                <w:szCs w:val="21"/>
              </w:rPr>
            </w:pPr>
          </w:p>
        </w:tc>
        <w:tc>
          <w:tcPr>
            <w:tcW w:w="1984" w:type="dxa"/>
            <w:noWrap w:val="0"/>
            <w:vAlign w:val="top"/>
          </w:tcPr>
          <w:p w14:paraId="719FB25D">
            <w:pPr>
              <w:pStyle w:val="6"/>
              <w:keepNext/>
              <w:spacing w:after="0" w:line="440" w:lineRule="exact"/>
              <w:ind w:left="63" w:right="63"/>
              <w:rPr>
                <w:szCs w:val="21"/>
              </w:rPr>
            </w:pPr>
          </w:p>
        </w:tc>
        <w:tc>
          <w:tcPr>
            <w:tcW w:w="4678" w:type="dxa"/>
            <w:noWrap w:val="0"/>
            <w:vAlign w:val="top"/>
          </w:tcPr>
          <w:p w14:paraId="5F095FDE">
            <w:pPr>
              <w:pStyle w:val="6"/>
              <w:keepNext/>
              <w:spacing w:after="0" w:line="440" w:lineRule="exact"/>
              <w:ind w:left="63" w:right="63"/>
              <w:rPr>
                <w:szCs w:val="21"/>
              </w:rPr>
            </w:pPr>
          </w:p>
        </w:tc>
        <w:tc>
          <w:tcPr>
            <w:tcW w:w="1276" w:type="dxa"/>
            <w:noWrap w:val="0"/>
            <w:vAlign w:val="top"/>
          </w:tcPr>
          <w:p w14:paraId="63BBE039">
            <w:pPr>
              <w:pStyle w:val="6"/>
              <w:keepNext/>
              <w:spacing w:after="0" w:line="440" w:lineRule="exact"/>
              <w:ind w:left="63" w:right="63"/>
              <w:rPr>
                <w:szCs w:val="21"/>
              </w:rPr>
            </w:pPr>
          </w:p>
        </w:tc>
      </w:tr>
      <w:tr w14:paraId="1127D1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7F155E2">
            <w:pPr>
              <w:pStyle w:val="6"/>
              <w:keepNext/>
              <w:spacing w:after="0" w:line="440" w:lineRule="exact"/>
              <w:ind w:left="63" w:right="63"/>
              <w:rPr>
                <w:szCs w:val="21"/>
              </w:rPr>
            </w:pPr>
          </w:p>
        </w:tc>
        <w:tc>
          <w:tcPr>
            <w:tcW w:w="1984" w:type="dxa"/>
            <w:noWrap w:val="0"/>
            <w:vAlign w:val="top"/>
          </w:tcPr>
          <w:p w14:paraId="68F7E45C">
            <w:pPr>
              <w:pStyle w:val="6"/>
              <w:keepNext/>
              <w:spacing w:after="0" w:line="440" w:lineRule="exact"/>
              <w:ind w:left="63" w:right="63"/>
              <w:rPr>
                <w:szCs w:val="21"/>
              </w:rPr>
            </w:pPr>
          </w:p>
        </w:tc>
        <w:tc>
          <w:tcPr>
            <w:tcW w:w="4678" w:type="dxa"/>
            <w:noWrap w:val="0"/>
            <w:vAlign w:val="top"/>
          </w:tcPr>
          <w:p w14:paraId="7F8B1BE3">
            <w:pPr>
              <w:pStyle w:val="6"/>
              <w:keepNext/>
              <w:spacing w:after="0" w:line="440" w:lineRule="exact"/>
              <w:ind w:left="63" w:right="63"/>
              <w:rPr>
                <w:szCs w:val="21"/>
              </w:rPr>
            </w:pPr>
          </w:p>
        </w:tc>
        <w:tc>
          <w:tcPr>
            <w:tcW w:w="1276" w:type="dxa"/>
            <w:noWrap w:val="0"/>
            <w:vAlign w:val="top"/>
          </w:tcPr>
          <w:p w14:paraId="2C933179">
            <w:pPr>
              <w:pStyle w:val="6"/>
              <w:keepNext/>
              <w:spacing w:after="0" w:line="440" w:lineRule="exact"/>
              <w:ind w:left="63" w:right="63"/>
              <w:rPr>
                <w:szCs w:val="21"/>
              </w:rPr>
            </w:pPr>
          </w:p>
        </w:tc>
      </w:tr>
      <w:tr w14:paraId="1DB66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DD1FAA9">
            <w:pPr>
              <w:pStyle w:val="6"/>
              <w:keepNext/>
              <w:spacing w:after="0" w:line="440" w:lineRule="exact"/>
              <w:ind w:left="63" w:right="63"/>
              <w:rPr>
                <w:szCs w:val="21"/>
              </w:rPr>
            </w:pPr>
          </w:p>
        </w:tc>
        <w:tc>
          <w:tcPr>
            <w:tcW w:w="1984" w:type="dxa"/>
            <w:noWrap w:val="0"/>
            <w:vAlign w:val="top"/>
          </w:tcPr>
          <w:p w14:paraId="46FE4765">
            <w:pPr>
              <w:pStyle w:val="6"/>
              <w:keepNext/>
              <w:spacing w:after="0" w:line="440" w:lineRule="exact"/>
              <w:ind w:left="63" w:right="63"/>
              <w:rPr>
                <w:szCs w:val="21"/>
              </w:rPr>
            </w:pPr>
          </w:p>
        </w:tc>
        <w:tc>
          <w:tcPr>
            <w:tcW w:w="4678" w:type="dxa"/>
            <w:noWrap w:val="0"/>
            <w:vAlign w:val="top"/>
          </w:tcPr>
          <w:p w14:paraId="11411D8B">
            <w:pPr>
              <w:pStyle w:val="6"/>
              <w:keepNext/>
              <w:spacing w:after="0" w:line="440" w:lineRule="exact"/>
              <w:ind w:left="63" w:right="63"/>
              <w:rPr>
                <w:szCs w:val="21"/>
              </w:rPr>
            </w:pPr>
          </w:p>
        </w:tc>
        <w:tc>
          <w:tcPr>
            <w:tcW w:w="1276" w:type="dxa"/>
            <w:noWrap w:val="0"/>
            <w:vAlign w:val="top"/>
          </w:tcPr>
          <w:p w14:paraId="6FFFB6B3">
            <w:pPr>
              <w:pStyle w:val="6"/>
              <w:keepNext/>
              <w:spacing w:after="0" w:line="440" w:lineRule="exact"/>
              <w:ind w:left="63" w:right="63"/>
              <w:rPr>
                <w:szCs w:val="21"/>
              </w:rPr>
            </w:pPr>
          </w:p>
        </w:tc>
      </w:tr>
      <w:tr w14:paraId="161E65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1767BD">
            <w:pPr>
              <w:pStyle w:val="6"/>
              <w:keepNext/>
              <w:spacing w:after="0" w:line="440" w:lineRule="exact"/>
              <w:ind w:left="63" w:right="63"/>
              <w:rPr>
                <w:szCs w:val="21"/>
              </w:rPr>
            </w:pPr>
          </w:p>
        </w:tc>
        <w:tc>
          <w:tcPr>
            <w:tcW w:w="1984" w:type="dxa"/>
            <w:noWrap w:val="0"/>
            <w:vAlign w:val="top"/>
          </w:tcPr>
          <w:p w14:paraId="61E9843B">
            <w:pPr>
              <w:pStyle w:val="6"/>
              <w:keepNext/>
              <w:spacing w:after="0" w:line="440" w:lineRule="exact"/>
              <w:ind w:left="63" w:right="63"/>
              <w:rPr>
                <w:szCs w:val="21"/>
              </w:rPr>
            </w:pPr>
          </w:p>
        </w:tc>
        <w:tc>
          <w:tcPr>
            <w:tcW w:w="4678" w:type="dxa"/>
            <w:noWrap w:val="0"/>
            <w:vAlign w:val="top"/>
          </w:tcPr>
          <w:p w14:paraId="1D9F7E72">
            <w:pPr>
              <w:pStyle w:val="6"/>
              <w:keepNext/>
              <w:spacing w:after="0" w:line="440" w:lineRule="exact"/>
              <w:ind w:left="63" w:right="63"/>
              <w:rPr>
                <w:szCs w:val="21"/>
              </w:rPr>
            </w:pPr>
          </w:p>
        </w:tc>
        <w:tc>
          <w:tcPr>
            <w:tcW w:w="1276" w:type="dxa"/>
            <w:noWrap w:val="0"/>
            <w:vAlign w:val="top"/>
          </w:tcPr>
          <w:p w14:paraId="6C1A20F2">
            <w:pPr>
              <w:pStyle w:val="6"/>
              <w:keepNext/>
              <w:spacing w:after="0" w:line="440" w:lineRule="exact"/>
              <w:ind w:left="63" w:right="63"/>
              <w:rPr>
                <w:szCs w:val="21"/>
              </w:rPr>
            </w:pPr>
          </w:p>
        </w:tc>
      </w:tr>
      <w:tr w14:paraId="52AA0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32D2B763">
            <w:pPr>
              <w:pStyle w:val="6"/>
              <w:keepNext/>
              <w:spacing w:after="0" w:line="440" w:lineRule="exact"/>
              <w:ind w:left="63" w:right="63"/>
              <w:rPr>
                <w:szCs w:val="21"/>
              </w:rPr>
            </w:pPr>
            <w:r>
              <w:rPr>
                <w:rFonts w:eastAsia="仿宋_GB2312"/>
                <w:sz w:val="28"/>
                <w:szCs w:val="30"/>
              </w:rPr>
              <w:t>小计：</w:t>
            </w:r>
          </w:p>
        </w:tc>
      </w:tr>
    </w:tbl>
    <w:p w14:paraId="7E71D543"/>
    <w:p w14:paraId="76D6F032">
      <w:pPr>
        <w:spacing w:line="320" w:lineRule="exact"/>
        <w:ind w:left="735" w:hanging="735" w:hangingChars="350"/>
      </w:pPr>
    </w:p>
    <w:p w14:paraId="67BC3343">
      <w:pPr>
        <w:spacing w:line="420" w:lineRule="exact"/>
        <w:jc w:val="center"/>
        <w:rPr>
          <w:rFonts w:hint="eastAsia" w:ascii="楷体_GB2312" w:eastAsia="楷体_GB2312"/>
        </w:rPr>
      </w:pPr>
      <w:r>
        <w:br w:type="page"/>
      </w:r>
    </w:p>
    <w:p w14:paraId="0420C1DF">
      <w:pPr>
        <w:spacing w:line="420" w:lineRule="exact"/>
        <w:jc w:val="center"/>
        <w:rPr>
          <w:rFonts w:hint="eastAsia" w:ascii="楷体_GB2312" w:eastAsia="楷体_GB2312"/>
        </w:rPr>
      </w:pPr>
    </w:p>
    <w:p w14:paraId="076406E9">
      <w:pPr>
        <w:spacing w:line="420" w:lineRule="exact"/>
        <w:jc w:val="center"/>
        <w:rPr>
          <w:rFonts w:hint="eastAsia" w:ascii="楷体_GB2312" w:eastAsia="楷体_GB2312"/>
        </w:rPr>
      </w:pPr>
    </w:p>
    <w:p w14:paraId="088AA65F">
      <w:pPr>
        <w:spacing w:line="420" w:lineRule="exact"/>
        <w:jc w:val="center"/>
        <w:rPr>
          <w:rFonts w:hint="eastAsia" w:ascii="楷体_GB2312" w:eastAsia="楷体_GB2312"/>
        </w:rPr>
      </w:pPr>
    </w:p>
    <w:p w14:paraId="6BD4EFAA">
      <w:pPr>
        <w:spacing w:line="420" w:lineRule="exact"/>
        <w:jc w:val="center"/>
        <w:rPr>
          <w:rFonts w:hint="eastAsia" w:ascii="楷体_GB2312" w:eastAsia="楷体_GB2312"/>
        </w:rPr>
      </w:pPr>
    </w:p>
    <w:p w14:paraId="4F40C899">
      <w:pPr>
        <w:pStyle w:val="2"/>
        <w:spacing w:before="120" w:after="120" w:line="400" w:lineRule="exact"/>
        <w:jc w:val="center"/>
        <w:rPr>
          <w:rFonts w:ascii="黑体" w:hAnsi="黑体" w:eastAsia="黑体"/>
          <w:b w:val="0"/>
          <w:bCs w:val="0"/>
          <w:sz w:val="32"/>
        </w:rPr>
      </w:pPr>
      <w:bookmarkStart w:id="2579" w:name="_Toc108514165"/>
      <w:r>
        <w:rPr>
          <w:rFonts w:hint="eastAsia" w:ascii="黑体" w:hAnsi="黑体" w:eastAsia="黑体"/>
          <w:b w:val="0"/>
          <w:bCs w:val="0"/>
          <w:sz w:val="32"/>
        </w:rPr>
        <w:t>第五章  工程量清单</w:t>
      </w:r>
      <w:bookmarkEnd w:id="2579"/>
    </w:p>
    <w:p w14:paraId="16BE5FD2">
      <w:pPr>
        <w:spacing w:after="360" w:afterLines="150" w:line="380" w:lineRule="exact"/>
        <w:ind w:firstLine="560" w:firstLineChars="200"/>
        <w:jc w:val="center"/>
        <w:rPr>
          <w:rFonts w:hint="eastAsia" w:ascii="黑体" w:hAnsi="宋体" w:eastAsia="黑体"/>
          <w:sz w:val="28"/>
          <w:szCs w:val="28"/>
        </w:rPr>
      </w:pPr>
      <w:r>
        <w:rPr>
          <w:rFonts w:ascii="黑体" w:eastAsia="黑体"/>
          <w:sz w:val="28"/>
          <w:szCs w:val="28"/>
        </w:rPr>
        <w:br w:type="page"/>
      </w:r>
      <w:r>
        <w:rPr>
          <w:rFonts w:hint="eastAsia" w:ascii="黑体" w:hAnsi="宋体" w:eastAsia="黑体"/>
          <w:sz w:val="28"/>
          <w:szCs w:val="28"/>
        </w:rPr>
        <w:t>第五章  工程量清单</w:t>
      </w:r>
    </w:p>
    <w:p w14:paraId="0D0378A8">
      <w:pPr>
        <w:pStyle w:val="18"/>
        <w:rPr>
          <w:rFonts w:hint="eastAsia"/>
          <w:sz w:val="24"/>
          <w:szCs w:val="24"/>
        </w:rPr>
      </w:pPr>
      <w:bookmarkStart w:id="2580" w:name="_Toc108514166"/>
      <w:r>
        <w:rPr>
          <w:rFonts w:hint="eastAsia"/>
          <w:sz w:val="24"/>
          <w:szCs w:val="24"/>
        </w:rPr>
        <w:t>1、招标工程量清单说明</w:t>
      </w:r>
      <w:bookmarkEnd w:id="2580"/>
    </w:p>
    <w:p w14:paraId="1DE80D3F">
      <w:pPr>
        <w:spacing w:line="430" w:lineRule="exact"/>
        <w:ind w:left="769" w:hanging="768" w:hangingChars="366"/>
        <w:rPr>
          <w:rFonts w:hint="eastAsia" w:ascii="宋体" w:hAnsi="宋体"/>
          <w:szCs w:val="21"/>
        </w:rPr>
      </w:pPr>
      <w:r>
        <w:rPr>
          <w:rFonts w:hint="eastAsia" w:ascii="黑体" w:hAnsi="宋体" w:eastAsia="黑体"/>
          <w:szCs w:val="21"/>
        </w:rPr>
        <w:t xml:space="preserve">1.1   </w:t>
      </w:r>
      <w:r>
        <w:rPr>
          <w:rFonts w:hint="eastAsia" w:ascii="宋体" w:hAnsi="宋体"/>
          <w:szCs w:val="21"/>
        </w:rPr>
        <w:t xml:space="preserve"> 本招标工程量清单是依据中华人民共和国国家标准《建设工程工程量清单计价规范》（GB50500-2013</w:t>
      </w:r>
      <w:r>
        <w:rPr>
          <w:rFonts w:ascii="宋体" w:hAnsi="宋体"/>
          <w:szCs w:val="21"/>
        </w:rPr>
        <w:t>）和配套的工程量计算规范（GB50854-2013 ～GB50862-2013）</w:t>
      </w:r>
      <w:r>
        <w:rPr>
          <w:rFonts w:hint="eastAsia" w:ascii="宋体" w:hAnsi="宋体"/>
          <w:szCs w:val="21"/>
        </w:rPr>
        <w:t>(以下简称“计价规范”、“计量规范”或“计价计量规范”)、鄂建文[2013]39号《</w:t>
      </w:r>
      <w:r>
        <w:rPr>
          <w:rFonts w:ascii="宋体" w:hAnsi="宋体"/>
          <w:szCs w:val="21"/>
        </w:rPr>
        <w:t>关于执行</w:t>
      </w:r>
      <w:r>
        <w:rPr>
          <w:rFonts w:hint="eastAsia" w:ascii="宋体" w:hAnsi="宋体"/>
          <w:szCs w:val="21"/>
        </w:rPr>
        <w:t>&lt;</w:t>
      </w:r>
      <w:r>
        <w:rPr>
          <w:rFonts w:ascii="宋体" w:hAnsi="宋体"/>
          <w:szCs w:val="21"/>
        </w:rPr>
        <w:t>房屋建筑与装饰工程工程量计算规范</w:t>
      </w:r>
      <w:r>
        <w:rPr>
          <w:rFonts w:hint="eastAsia" w:ascii="宋体" w:hAnsi="宋体"/>
          <w:szCs w:val="21"/>
        </w:rPr>
        <w:t>&gt;</w:t>
      </w:r>
      <w:r>
        <w:rPr>
          <w:rFonts w:ascii="宋体" w:hAnsi="宋体"/>
          <w:szCs w:val="21"/>
        </w:rPr>
        <w:t>（GB50584-2013）等9项工程量计算规范有关问题的通知</w:t>
      </w:r>
      <w:r>
        <w:rPr>
          <w:rFonts w:hint="eastAsia" w:ascii="宋体" w:hAnsi="宋体"/>
          <w:szCs w:val="21"/>
        </w:rPr>
        <w:t>》、鄂建办[2018]27号《关于发布&lt;湖北省房屋建筑与装饰工程消耗量定额及全费用基价表&gt;等8项定额的通知》、鄂建办〔2019〕93号《关于调整湖北省建设工程计价依据的通知》以及招标文件中包括的图纸等编制。计量采用中华人民共和国法定的基本计量单位。</w:t>
      </w:r>
    </w:p>
    <w:p w14:paraId="0A93D3CD">
      <w:pPr>
        <w:spacing w:line="430" w:lineRule="exact"/>
        <w:ind w:left="756" w:hanging="756" w:hangingChars="360"/>
        <w:rPr>
          <w:rFonts w:hint="eastAsia" w:ascii="宋体" w:hAnsi="宋体"/>
          <w:szCs w:val="21"/>
        </w:rPr>
      </w:pPr>
      <w:r>
        <w:rPr>
          <w:rFonts w:hint="eastAsia" w:ascii="黑体" w:hAnsi="宋体" w:eastAsia="黑体"/>
          <w:szCs w:val="21"/>
        </w:rPr>
        <w:t xml:space="preserve">1.2    </w:t>
      </w:r>
      <w:r>
        <w:rPr>
          <w:rFonts w:hint="eastAsia" w:ascii="宋体" w:hAnsi="宋体"/>
          <w:szCs w:val="21"/>
        </w:rPr>
        <w:t>本招标工程量清单应与招标文件中的投标人须知、通用合同条款、专用合同条款、技术标准和要求及图纸等章节内容一起阅读和理解。</w:t>
      </w:r>
    </w:p>
    <w:p w14:paraId="69F70A90">
      <w:pPr>
        <w:spacing w:line="430" w:lineRule="exact"/>
        <w:ind w:left="783" w:hanging="783" w:hangingChars="373"/>
        <w:rPr>
          <w:rFonts w:hint="eastAsia" w:ascii="宋体" w:hAnsi="宋体"/>
          <w:szCs w:val="21"/>
        </w:rPr>
      </w:pPr>
      <w:r>
        <w:rPr>
          <w:rFonts w:hint="eastAsia"/>
        </w:rPr>
        <w:t>1</w:t>
      </w:r>
      <w:r>
        <w:rPr>
          <w:rFonts w:hint="eastAsia" w:ascii="黑体" w:hAnsi="宋体" w:eastAsia="黑体"/>
          <w:szCs w:val="21"/>
        </w:rPr>
        <w:t>.3</w:t>
      </w:r>
      <w:r>
        <w:rPr>
          <w:rFonts w:hint="eastAsia"/>
        </w:rPr>
        <w:t xml:space="preserve">   </w:t>
      </w:r>
      <w:r>
        <w:rPr>
          <w:rFonts w:hint="eastAsia" w:ascii="宋体" w:hAnsi="宋体"/>
          <w:szCs w:val="21"/>
        </w:rPr>
        <w:t xml:space="preserve"> 本招标工程量清单作为招标文件的组成部分，其准确性和完整性应由招标人负责。</w:t>
      </w:r>
    </w:p>
    <w:p w14:paraId="2B810C57">
      <w:pPr>
        <w:spacing w:line="430" w:lineRule="exact"/>
        <w:ind w:left="716" w:hanging="716" w:hangingChars="341"/>
        <w:rPr>
          <w:rFonts w:hint="eastAsia" w:ascii="宋体" w:hAnsi="宋体"/>
          <w:szCs w:val="21"/>
        </w:rPr>
      </w:pPr>
      <w:r>
        <w:rPr>
          <w:rFonts w:hint="eastAsia" w:ascii="黑体" w:hAnsi="宋体" w:eastAsia="黑体"/>
          <w:szCs w:val="21"/>
        </w:rPr>
        <w:t>1.4</w:t>
      </w:r>
      <w:r>
        <w:rPr>
          <w:rFonts w:hint="eastAsia"/>
        </w:rPr>
        <w:t xml:space="preserve"> </w:t>
      </w:r>
      <w:r>
        <w:rPr>
          <w:rFonts w:hint="eastAsia" w:ascii="黑体" w:hAnsi="宋体" w:eastAsia="黑体"/>
          <w:szCs w:val="21"/>
        </w:rPr>
        <w:t xml:space="preserve"> </w:t>
      </w:r>
      <w:r>
        <w:rPr>
          <w:rFonts w:hint="eastAsia" w:ascii="宋体" w:hAnsi="宋体"/>
          <w:szCs w:val="21"/>
        </w:rPr>
        <w:t xml:space="preserve">  分部分项工程和单价措施项目清单必须载明项目编码、项目名称、项目特征、计量单位和工程量。</w:t>
      </w:r>
    </w:p>
    <w:p w14:paraId="4016ADDE">
      <w:pPr>
        <w:spacing w:line="430" w:lineRule="exact"/>
        <w:ind w:left="783" w:hanging="783" w:hangingChars="373"/>
        <w:rPr>
          <w:rFonts w:hint="eastAsia" w:ascii="宋体" w:hAnsi="宋体"/>
          <w:szCs w:val="21"/>
        </w:rPr>
      </w:pPr>
      <w:r>
        <w:rPr>
          <w:rFonts w:hint="eastAsia" w:ascii="宋体" w:hAnsi="宋体"/>
          <w:szCs w:val="21"/>
        </w:rPr>
        <w:t>1</w:t>
      </w:r>
      <w:r>
        <w:rPr>
          <w:rFonts w:hint="eastAsia" w:ascii="黑体" w:hAnsi="宋体" w:eastAsia="黑体"/>
          <w:szCs w:val="21"/>
        </w:rPr>
        <w:t>.5</w:t>
      </w:r>
      <w:r>
        <w:rPr>
          <w:rFonts w:hint="eastAsia"/>
        </w:rPr>
        <w:t xml:space="preserve"> </w:t>
      </w:r>
      <w:r>
        <w:rPr>
          <w:rFonts w:hint="eastAsia" w:ascii="宋体" w:hAnsi="宋体"/>
          <w:szCs w:val="21"/>
        </w:rPr>
        <w:t xml:space="preserve">   分部分项工程和单价措施项目清单必须根据相关工程现行国家计量规范规定的项目编码、项目名称、项目特征、计量单位和工程量计算规则进行编制。</w:t>
      </w:r>
    </w:p>
    <w:p w14:paraId="459909DE">
      <w:pPr>
        <w:spacing w:line="430" w:lineRule="exact"/>
        <w:ind w:left="783" w:hanging="783" w:hangingChars="373"/>
        <w:rPr>
          <w:rFonts w:hint="eastAsia" w:ascii="宋体" w:hAnsi="宋体"/>
          <w:szCs w:val="21"/>
        </w:rPr>
      </w:pPr>
      <w:r>
        <w:rPr>
          <w:rFonts w:hint="eastAsia" w:ascii="宋体" w:hAnsi="宋体"/>
          <w:szCs w:val="21"/>
        </w:rPr>
        <w:t>1</w:t>
      </w:r>
      <w:r>
        <w:rPr>
          <w:rFonts w:hint="eastAsia" w:ascii="黑体" w:hAnsi="宋体" w:eastAsia="黑体"/>
          <w:szCs w:val="21"/>
        </w:rPr>
        <w:t>.6</w:t>
      </w:r>
      <w:r>
        <w:rPr>
          <w:rFonts w:hint="eastAsia" w:ascii="宋体" w:hAnsi="宋体"/>
          <w:szCs w:val="21"/>
        </w:rPr>
        <w:t xml:space="preserve">    总价措施项目清单必须根据相关工程现行国家计量规范的规定编制。</w:t>
      </w:r>
    </w:p>
    <w:p w14:paraId="71FE8C8A">
      <w:pPr>
        <w:spacing w:line="430" w:lineRule="exact"/>
        <w:ind w:left="783" w:hanging="783" w:hangingChars="373"/>
        <w:rPr>
          <w:rFonts w:hint="eastAsia" w:ascii="宋体" w:hAnsi="宋体"/>
          <w:szCs w:val="21"/>
        </w:rPr>
      </w:pPr>
      <w:r>
        <w:rPr>
          <w:rFonts w:hint="eastAsia" w:ascii="黑体" w:hAnsi="宋体" w:eastAsia="黑体"/>
          <w:szCs w:val="21"/>
        </w:rPr>
        <w:t xml:space="preserve">1.7    </w:t>
      </w:r>
      <w:r>
        <w:rPr>
          <w:rFonts w:hint="eastAsia" w:ascii="宋体" w:hAnsi="宋体"/>
          <w:szCs w:val="21"/>
        </w:rPr>
        <w:t>其他项目、规费和税金项目清单应按照现行国家计价规范的规定编制。</w:t>
      </w:r>
    </w:p>
    <w:p w14:paraId="5B9EF2D5">
      <w:pPr>
        <w:spacing w:line="430" w:lineRule="exact"/>
        <w:ind w:left="735" w:hanging="735" w:hangingChars="350"/>
        <w:rPr>
          <w:rFonts w:hint="eastAsia" w:ascii="宋体" w:hAnsi="宋体"/>
          <w:szCs w:val="21"/>
        </w:rPr>
      </w:pPr>
      <w:r>
        <w:rPr>
          <w:rFonts w:hint="eastAsia" w:ascii="黑体" w:hAnsi="宋体" w:eastAsia="黑体"/>
          <w:szCs w:val="21"/>
        </w:rPr>
        <w:t xml:space="preserve">1.8    </w:t>
      </w:r>
      <w:r>
        <w:rPr>
          <w:rFonts w:hint="eastAsia" w:ascii="宋体" w:hAnsi="宋体"/>
          <w:szCs w:val="21"/>
        </w:rPr>
        <w:t>编制招标工程量清单出现相关工程现行国家计量规范附录中未包括的项目，编制人应做补充。</w:t>
      </w:r>
    </w:p>
    <w:p w14:paraId="26264FF4">
      <w:pPr>
        <w:spacing w:line="430" w:lineRule="exact"/>
        <w:ind w:left="741" w:hanging="741" w:hangingChars="353"/>
        <w:rPr>
          <w:rFonts w:hint="eastAsia" w:ascii="宋体" w:hAnsi="宋体"/>
          <w:szCs w:val="21"/>
        </w:rPr>
      </w:pPr>
      <w:r>
        <w:rPr>
          <w:rFonts w:hint="eastAsia" w:ascii="宋体" w:hAnsi="宋体"/>
          <w:szCs w:val="21"/>
        </w:rPr>
        <w:t xml:space="preserve">       补充项目的编码规则按相关工程现行国家计量规范的规定编制，同一招标工程的项目不得重码。</w:t>
      </w:r>
    </w:p>
    <w:p w14:paraId="6A299ED5">
      <w:pPr>
        <w:spacing w:line="430" w:lineRule="exact"/>
        <w:ind w:left="783" w:hanging="783" w:hangingChars="373"/>
        <w:rPr>
          <w:rFonts w:hint="eastAsia" w:ascii="宋体" w:hAnsi="宋体"/>
          <w:szCs w:val="21"/>
        </w:rPr>
      </w:pPr>
      <w:r>
        <w:rPr>
          <w:rFonts w:hint="eastAsia" w:ascii="宋体" w:hAnsi="宋体"/>
          <w:szCs w:val="21"/>
        </w:rPr>
        <w:t xml:space="preserve">       补充的工程量清单需附有补充项目的名称、项目特征、计量单位、工程量计算规则、工作内容。不能计量的措施项目，需附有补充项目的名称、工作内容及包含范围。</w:t>
      </w:r>
    </w:p>
    <w:p w14:paraId="5B7FA4AB">
      <w:pPr>
        <w:spacing w:line="430" w:lineRule="exact"/>
        <w:ind w:left="741" w:hanging="741" w:hangingChars="353"/>
        <w:rPr>
          <w:rFonts w:hint="eastAsia" w:ascii="宋体" w:hAnsi="宋体"/>
          <w:szCs w:val="21"/>
        </w:rPr>
      </w:pPr>
      <w:r>
        <w:rPr>
          <w:rFonts w:hint="eastAsia" w:ascii="黑体" w:hAnsi="宋体" w:eastAsia="黑体"/>
          <w:szCs w:val="21"/>
        </w:rPr>
        <w:t xml:space="preserve">1.9    </w:t>
      </w:r>
      <w:r>
        <w:rPr>
          <w:rFonts w:hint="eastAsia" w:ascii="宋体" w:hAnsi="宋体"/>
          <w:szCs w:val="21"/>
        </w:rPr>
        <w:t>本招标工程量清单仅是投标报价的共同基础，采用工程量清单方式招标形成的无论是单价合同还是总价合同，其工程量必须以承包人完成合同工程应予计量的</w:t>
      </w:r>
      <w:r>
        <w:rPr>
          <w:rFonts w:hint="eastAsia" w:ascii="宋体" w:hAnsi="宋体" w:cs="宋体"/>
          <w:szCs w:val="21"/>
        </w:rPr>
        <w:t>工程量确定。</w:t>
      </w:r>
      <w:r>
        <w:rPr>
          <w:rFonts w:hint="eastAsia" w:ascii="宋体" w:hAnsi="宋体"/>
          <w:szCs w:val="21"/>
        </w:rPr>
        <w:t>合同价格的确定以及价款支付应遵循合同条款(包括通用合同条款和专用合同条款)、技术标准和要求以及本章的有关约定。</w:t>
      </w:r>
    </w:p>
    <w:p w14:paraId="3231D115">
      <w:pPr>
        <w:spacing w:line="430" w:lineRule="exact"/>
        <w:ind w:left="783" w:hanging="783" w:hangingChars="373"/>
        <w:rPr>
          <w:rFonts w:hint="eastAsia" w:ascii="宋体" w:hAnsi="宋体"/>
          <w:szCs w:val="21"/>
        </w:rPr>
      </w:pPr>
      <w:r>
        <w:rPr>
          <w:rFonts w:hint="eastAsia" w:ascii="黑体" w:hAnsi="宋体" w:eastAsia="黑体"/>
          <w:szCs w:val="21"/>
        </w:rPr>
        <w:t>1.10</w:t>
      </w:r>
      <w:r>
        <w:rPr>
          <w:rFonts w:hint="eastAsia" w:ascii="宋体" w:hAnsi="宋体"/>
          <w:szCs w:val="21"/>
        </w:rPr>
        <w:t xml:space="preserve">   除招标文件另有约定外，本条第1.1款中约定的计量和计价规则适用于本招标工程发承包及实施阶段的计价活动包括：招标工程量清单、招标控制价、投标报价的编制，工程合同价款的约定，竣工结算的办理以及施工过程中的工程量计量、合同价款支付、施工索赔与现场签证、合同价款调整和合同价款争议的解决等活动。</w:t>
      </w:r>
    </w:p>
    <w:p w14:paraId="5596AE06">
      <w:pPr>
        <w:spacing w:line="430" w:lineRule="exact"/>
        <w:ind w:left="769" w:hanging="768" w:hangingChars="366"/>
        <w:rPr>
          <w:rFonts w:hint="eastAsia" w:ascii="宋体" w:hAnsi="宋体"/>
          <w:szCs w:val="21"/>
        </w:rPr>
      </w:pPr>
      <w:r>
        <w:rPr>
          <w:rFonts w:hint="eastAsia" w:ascii="黑体" w:hAnsi="宋体" w:eastAsia="黑体"/>
          <w:szCs w:val="21"/>
        </w:rPr>
        <w:t>1.11</w:t>
      </w:r>
      <w:r>
        <w:rPr>
          <w:rFonts w:hint="eastAsia" w:ascii="宋体" w:hAnsi="宋体"/>
          <w:szCs w:val="21"/>
        </w:rPr>
        <w:t xml:space="preserve">   本条与下述第2条和第3条的说明内容是构成合同文件的已标价工程量清单的组成部分。</w:t>
      </w:r>
    </w:p>
    <w:p w14:paraId="59D3D9F4">
      <w:pPr>
        <w:pStyle w:val="18"/>
        <w:rPr>
          <w:rFonts w:hint="eastAsia"/>
          <w:sz w:val="24"/>
          <w:szCs w:val="24"/>
        </w:rPr>
      </w:pPr>
      <w:bookmarkStart w:id="2581" w:name="_Toc108514167"/>
      <w:r>
        <w:rPr>
          <w:rFonts w:hint="eastAsia"/>
          <w:sz w:val="24"/>
          <w:szCs w:val="24"/>
        </w:rPr>
        <w:t>2、投标报价说明</w:t>
      </w:r>
      <w:bookmarkEnd w:id="2581"/>
    </w:p>
    <w:p w14:paraId="61EED3A9">
      <w:pPr>
        <w:spacing w:line="430" w:lineRule="exact"/>
        <w:rPr>
          <w:rFonts w:hint="eastAsia" w:ascii="宋体" w:hAnsi="宋体"/>
          <w:szCs w:val="21"/>
        </w:rPr>
      </w:pPr>
      <w:r>
        <w:rPr>
          <w:rFonts w:hint="eastAsia" w:ascii="黑体" w:hAnsi="宋体" w:eastAsia="黑体"/>
          <w:szCs w:val="21"/>
        </w:rPr>
        <w:t>2.1</w:t>
      </w:r>
      <w:r>
        <w:rPr>
          <w:rFonts w:hint="eastAsia" w:ascii="宋体" w:hAnsi="宋体"/>
          <w:szCs w:val="21"/>
        </w:rPr>
        <w:t xml:space="preserve">    投标报价应根据招标文件中的有关计价要求，并按照下列依据自主报价。</w:t>
      </w:r>
    </w:p>
    <w:p w14:paraId="16BCBE65">
      <w:pPr>
        <w:spacing w:line="430" w:lineRule="exact"/>
        <w:ind w:left="1252" w:leftChars="346" w:hanging="525" w:hangingChars="250"/>
        <w:rPr>
          <w:rFonts w:hint="eastAsia" w:ascii="黑体" w:hAnsi="宋体" w:eastAsia="黑体"/>
          <w:szCs w:val="21"/>
        </w:rPr>
      </w:pPr>
      <w:r>
        <w:rPr>
          <w:rFonts w:hint="eastAsia" w:ascii="黑体" w:hAnsi="宋体" w:eastAsia="黑体"/>
          <w:szCs w:val="21"/>
        </w:rPr>
        <w:t xml:space="preserve">(1) </w:t>
      </w:r>
      <w:r>
        <w:rPr>
          <w:rFonts w:hint="eastAsia" w:ascii="宋体" w:hAnsi="宋体"/>
          <w:szCs w:val="21"/>
        </w:rPr>
        <w:t>《建设工程工程量清单计价规范》</w:t>
      </w:r>
      <w:r>
        <w:rPr>
          <w:rFonts w:ascii="宋体" w:hAnsi="宋体"/>
          <w:szCs w:val="21"/>
        </w:rPr>
        <w:t>（GB50500-2013）；</w:t>
      </w:r>
    </w:p>
    <w:p w14:paraId="4D152AC9">
      <w:pPr>
        <w:spacing w:line="430" w:lineRule="exact"/>
        <w:ind w:firstLine="726" w:firstLineChars="346"/>
        <w:rPr>
          <w:rFonts w:hint="eastAsia" w:ascii="宋体" w:hAnsi="宋体"/>
          <w:szCs w:val="21"/>
        </w:rPr>
      </w:pPr>
      <w:r>
        <w:rPr>
          <w:rFonts w:hint="eastAsia" w:ascii="黑体" w:hAnsi="宋体" w:eastAsia="黑体"/>
          <w:szCs w:val="21"/>
        </w:rPr>
        <w:t>(2)</w:t>
      </w:r>
      <w:r>
        <w:rPr>
          <w:rFonts w:hint="eastAsia" w:ascii="宋体" w:hAnsi="宋体"/>
          <w:szCs w:val="21"/>
        </w:rPr>
        <w:t xml:space="preserve">  国家或省级、行业建设主管部门颁发的计价办法；</w:t>
      </w:r>
    </w:p>
    <w:p w14:paraId="0495378F">
      <w:pPr>
        <w:spacing w:line="430" w:lineRule="exact"/>
        <w:ind w:firstLine="726" w:firstLineChars="346"/>
        <w:rPr>
          <w:rFonts w:hint="eastAsia" w:ascii="宋体" w:hAnsi="宋体"/>
          <w:szCs w:val="21"/>
        </w:rPr>
      </w:pPr>
      <w:r>
        <w:rPr>
          <w:rFonts w:hint="eastAsia" w:ascii="黑体" w:hAnsi="宋体" w:eastAsia="黑体"/>
          <w:szCs w:val="21"/>
        </w:rPr>
        <w:t>(3)</w:t>
      </w:r>
      <w:r>
        <w:rPr>
          <w:rFonts w:hint="eastAsia" w:ascii="宋体" w:hAnsi="宋体"/>
          <w:szCs w:val="21"/>
        </w:rPr>
        <w:t xml:space="preserve">  企业定额，国家或省级、行业建设主管部门颁发的计价定额和计价办法；</w:t>
      </w:r>
    </w:p>
    <w:p w14:paraId="35BBED99">
      <w:pPr>
        <w:spacing w:line="430" w:lineRule="exact"/>
        <w:ind w:firstLine="726" w:firstLineChars="346"/>
        <w:rPr>
          <w:rFonts w:hint="eastAsia" w:ascii="宋体" w:hAnsi="宋体"/>
          <w:szCs w:val="21"/>
        </w:rPr>
      </w:pPr>
      <w:r>
        <w:rPr>
          <w:rFonts w:hint="eastAsia" w:ascii="黑体" w:hAnsi="宋体" w:eastAsia="黑体"/>
          <w:szCs w:val="21"/>
        </w:rPr>
        <w:t>(4)</w:t>
      </w:r>
      <w:r>
        <w:rPr>
          <w:rFonts w:hint="eastAsia" w:ascii="宋体" w:hAnsi="宋体"/>
          <w:szCs w:val="21"/>
        </w:rPr>
        <w:t xml:space="preserve">  招标文件(包括招标工程量清单)及其澄清、修改文件；</w:t>
      </w:r>
    </w:p>
    <w:p w14:paraId="77F95D82">
      <w:pPr>
        <w:spacing w:line="430" w:lineRule="exact"/>
        <w:ind w:firstLine="726" w:firstLineChars="346"/>
        <w:rPr>
          <w:rFonts w:hint="eastAsia" w:ascii="宋体" w:hAnsi="宋体"/>
          <w:szCs w:val="21"/>
        </w:rPr>
      </w:pPr>
      <w:r>
        <w:rPr>
          <w:rFonts w:hint="eastAsia" w:ascii="黑体" w:hAnsi="宋体" w:eastAsia="黑体"/>
          <w:szCs w:val="21"/>
        </w:rPr>
        <w:t>(5)</w:t>
      </w:r>
      <w:r>
        <w:rPr>
          <w:rFonts w:hint="eastAsia" w:ascii="宋体" w:hAnsi="宋体"/>
          <w:szCs w:val="21"/>
        </w:rPr>
        <w:t xml:space="preserve">  建设工程设计文件及相关资料；</w:t>
      </w:r>
    </w:p>
    <w:p w14:paraId="3F049756">
      <w:pPr>
        <w:spacing w:line="430" w:lineRule="exact"/>
        <w:ind w:firstLine="726" w:firstLineChars="346"/>
        <w:rPr>
          <w:rFonts w:hint="eastAsia" w:ascii="宋体" w:hAnsi="宋体"/>
          <w:szCs w:val="21"/>
        </w:rPr>
      </w:pPr>
      <w:r>
        <w:rPr>
          <w:rFonts w:hint="eastAsia" w:ascii="黑体" w:hAnsi="宋体" w:eastAsia="黑体"/>
          <w:szCs w:val="21"/>
        </w:rPr>
        <w:t>(6)</w:t>
      </w:r>
      <w:r>
        <w:rPr>
          <w:rFonts w:hint="eastAsia" w:ascii="宋体" w:hAnsi="宋体"/>
          <w:szCs w:val="21"/>
        </w:rPr>
        <w:t xml:space="preserve">  施工现场情况、工程特点及投标时拟定的施工组织设计或施工方案；</w:t>
      </w:r>
    </w:p>
    <w:p w14:paraId="38F57137">
      <w:pPr>
        <w:spacing w:line="420" w:lineRule="exact"/>
        <w:ind w:firstLine="726" w:firstLineChars="346"/>
        <w:rPr>
          <w:rFonts w:hint="eastAsia"/>
        </w:rPr>
      </w:pPr>
      <w:r>
        <w:rPr>
          <w:rFonts w:hint="eastAsia" w:ascii="黑体" w:eastAsia="黑体"/>
        </w:rPr>
        <w:t>(7)</w:t>
      </w:r>
      <w:r>
        <w:rPr>
          <w:rFonts w:hint="eastAsia"/>
        </w:rPr>
        <w:t xml:space="preserve">  与建设项目相关的标准、规范等技术资料；</w:t>
      </w:r>
    </w:p>
    <w:p w14:paraId="1BF856E2">
      <w:pPr>
        <w:spacing w:line="420" w:lineRule="exact"/>
        <w:ind w:firstLine="726" w:firstLineChars="346"/>
        <w:rPr>
          <w:rFonts w:hint="eastAsia"/>
        </w:rPr>
      </w:pPr>
      <w:r>
        <w:rPr>
          <w:rFonts w:hint="eastAsia" w:ascii="黑体" w:eastAsia="黑体"/>
        </w:rPr>
        <w:t>(8)</w:t>
      </w:r>
      <w:r>
        <w:rPr>
          <w:rFonts w:hint="eastAsia"/>
        </w:rPr>
        <w:t xml:space="preserve">  市场价格信息或工程造价管理机构发布的工程造价信息；</w:t>
      </w:r>
    </w:p>
    <w:p w14:paraId="3EEE7B4D">
      <w:pPr>
        <w:spacing w:line="420" w:lineRule="exact"/>
        <w:ind w:firstLine="726" w:firstLineChars="346"/>
        <w:rPr>
          <w:rFonts w:hint="eastAsia"/>
        </w:rPr>
      </w:pPr>
      <w:r>
        <w:rPr>
          <w:rFonts w:hint="eastAsia" w:ascii="黑体" w:eastAsia="黑体"/>
        </w:rPr>
        <w:t xml:space="preserve">(9)  </w:t>
      </w:r>
      <w:r>
        <w:rPr>
          <w:rFonts w:hint="eastAsia"/>
        </w:rPr>
        <w:t>其他的相关资料。</w:t>
      </w:r>
    </w:p>
    <w:p w14:paraId="595DA0C7">
      <w:pPr>
        <w:spacing w:line="420" w:lineRule="exact"/>
        <w:ind w:left="735" w:hanging="735" w:hangingChars="350"/>
        <w:rPr>
          <w:rFonts w:hint="eastAsia"/>
          <w:bdr w:val="single" w:color="auto" w:sz="4" w:space="0"/>
        </w:rPr>
      </w:pPr>
      <w:r>
        <w:rPr>
          <w:rFonts w:hint="eastAsia" w:ascii="黑体" w:eastAsia="黑体"/>
        </w:rPr>
        <w:t>2.2</w:t>
      </w:r>
      <w:r>
        <w:rPr>
          <w:rFonts w:hint="eastAsia"/>
        </w:rPr>
        <w:t xml:space="preserve">    投标人必须按招标工程量清单填报价格。项目编码、项目名称、项目特征、计量单位必须与招标工程量清单一致。</w:t>
      </w:r>
    </w:p>
    <w:p w14:paraId="34562CB8">
      <w:pPr>
        <w:spacing w:line="420" w:lineRule="exact"/>
        <w:ind w:left="769" w:hanging="768" w:hangingChars="366"/>
        <w:rPr>
          <w:rFonts w:hint="eastAsia"/>
        </w:rPr>
      </w:pPr>
      <w:r>
        <w:rPr>
          <w:rFonts w:hint="eastAsia" w:ascii="黑体" w:hAnsi="宋体" w:eastAsia="黑体"/>
          <w:szCs w:val="21"/>
        </w:rPr>
        <w:t>2.3</w:t>
      </w:r>
      <w:r>
        <w:rPr>
          <w:rFonts w:hint="eastAsia"/>
        </w:rPr>
        <w:t xml:space="preserve">    工程量清单应采用综合单价计价。综合单价中应包括招标文件中划分的应由投标人承担的风险范围及其费用，招标文件中没有明确的，应提请招标人明确。即工程量清单中标价的单价或金额，应包括所需人工费、材料费、施工机械使用费和企业管理费及利润，以及一定范围内的风险费用。所谓“一定范围内的风险”是指合同约定的风险。</w:t>
      </w:r>
    </w:p>
    <w:p w14:paraId="19EEA1F6">
      <w:pPr>
        <w:spacing w:line="420" w:lineRule="exact"/>
        <w:ind w:left="756" w:leftChars="7" w:hanging="741" w:hangingChars="353"/>
        <w:rPr>
          <w:rFonts w:hint="eastAsia"/>
        </w:rPr>
      </w:pPr>
      <w:r>
        <w:rPr>
          <w:rFonts w:hint="eastAsia" w:ascii="黑体" w:hAnsi="宋体" w:eastAsia="黑体"/>
          <w:szCs w:val="21"/>
        </w:rPr>
        <w:t>2.4</w:t>
      </w:r>
      <w:r>
        <w:rPr>
          <w:rFonts w:hint="eastAsia"/>
        </w:rPr>
        <w:t xml:space="preserve">    招标工程量清单与计价表中列明的所有需要填写单价和合价的项目，投标人均应填写且只允许有一个报价。未填写单价和合价的项目，可视为此项费用已经包含在已标价工程量清单中其他项目的单价或合价之中。当竣工结算时，此项目不得重新组价予以调整。</w:t>
      </w:r>
    </w:p>
    <w:p w14:paraId="0CA2FF89">
      <w:pPr>
        <w:spacing w:line="420" w:lineRule="exact"/>
        <w:ind w:left="769" w:hanging="768" w:hangingChars="366"/>
        <w:rPr>
          <w:rFonts w:hint="eastAsia"/>
          <w:bdr w:val="single" w:color="auto" w:sz="4" w:space="0"/>
        </w:rPr>
      </w:pPr>
      <w:r>
        <w:rPr>
          <w:rFonts w:hint="eastAsia" w:ascii="黑体" w:hAnsi="宋体" w:eastAsia="黑体"/>
          <w:szCs w:val="21"/>
        </w:rPr>
        <w:t>2.5</w:t>
      </w:r>
      <w:r>
        <w:rPr>
          <w:rFonts w:hint="eastAsia"/>
        </w:rPr>
        <w:t xml:space="preserve">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153E64D8">
      <w:pPr>
        <w:spacing w:line="420" w:lineRule="exact"/>
        <w:rPr>
          <w:rFonts w:hint="eastAsia"/>
        </w:rPr>
      </w:pPr>
      <w:r>
        <w:rPr>
          <w:rFonts w:hint="eastAsia" w:ascii="黑体" w:hAnsi="宋体" w:eastAsia="黑体"/>
          <w:szCs w:val="21"/>
        </w:rPr>
        <w:t>2.6</w:t>
      </w:r>
      <w:r>
        <w:rPr>
          <w:rFonts w:hint="eastAsia"/>
        </w:rPr>
        <w:t xml:space="preserve">    分部分项工程</w:t>
      </w:r>
      <w:r>
        <w:t>和单价措施项目</w:t>
      </w:r>
      <w:r>
        <w:rPr>
          <w:rFonts w:hint="eastAsia"/>
        </w:rPr>
        <w:t>按下列要求报价：</w:t>
      </w:r>
    </w:p>
    <w:p w14:paraId="15367BF8">
      <w:pPr>
        <w:spacing w:line="420" w:lineRule="exact"/>
        <w:ind w:left="735" w:hanging="735" w:hangingChars="350"/>
        <w:rPr>
          <w:rFonts w:hint="eastAsia"/>
        </w:rPr>
      </w:pPr>
      <w:r>
        <w:rPr>
          <w:rFonts w:hint="eastAsia" w:ascii="黑体" w:hAnsi="宋体" w:eastAsia="黑体"/>
          <w:szCs w:val="21"/>
        </w:rPr>
        <w:t>2.6.1</w:t>
      </w:r>
      <w:r>
        <w:rPr>
          <w:rFonts w:hint="eastAsia"/>
        </w:rPr>
        <w:t xml:space="preserve">  分部分项工程</w:t>
      </w:r>
      <w:r>
        <w:t>和单价措施项目</w:t>
      </w:r>
      <w:r>
        <w:rPr>
          <w:rFonts w:hint="eastAsia"/>
        </w:rPr>
        <w:t>，应根据招标文件和招标工程量清单中的项目特征描述确定综合单价。</w:t>
      </w:r>
    </w:p>
    <w:p w14:paraId="4C7C876F">
      <w:pPr>
        <w:spacing w:line="420" w:lineRule="exact"/>
        <w:ind w:left="769" w:hanging="768" w:hangingChars="366"/>
        <w:rPr>
          <w:rFonts w:hint="eastAsia"/>
        </w:rPr>
      </w:pPr>
      <w:r>
        <w:rPr>
          <w:rFonts w:hint="eastAsia" w:ascii="黑体" w:hAnsi="宋体" w:eastAsia="黑体"/>
          <w:szCs w:val="21"/>
        </w:rPr>
        <w:t>2.6.2</w:t>
      </w:r>
      <w:r>
        <w:rPr>
          <w:rFonts w:hint="eastAsia"/>
        </w:rPr>
        <w:t xml:space="preserve">  如果分部分项工程</w:t>
      </w:r>
      <w:r>
        <w:t>和单价措施项目</w:t>
      </w:r>
      <w:r>
        <w:rPr>
          <w:rFonts w:hint="eastAsia"/>
        </w:rPr>
        <w:t>清单中涉及“材料（工程设备）暂估单价表”中列出的材料和工程设备，则按照本节第3.3.2项的报价原则计价。</w:t>
      </w:r>
    </w:p>
    <w:p w14:paraId="41DA24AD">
      <w:pPr>
        <w:spacing w:line="420" w:lineRule="exact"/>
        <w:ind w:left="769" w:hanging="768" w:hangingChars="366"/>
        <w:rPr>
          <w:rFonts w:hint="eastAsia"/>
        </w:rPr>
      </w:pPr>
      <w:r>
        <w:rPr>
          <w:rFonts w:hint="eastAsia" w:ascii="黑体" w:hAnsi="宋体" w:eastAsia="黑体"/>
          <w:szCs w:val="21"/>
        </w:rPr>
        <w:t>2.6.3</w:t>
      </w:r>
      <w:r>
        <w:rPr>
          <w:rFonts w:hint="eastAsia" w:ascii="宋体" w:hAnsi="宋体"/>
          <w:szCs w:val="21"/>
        </w:rPr>
        <w:t xml:space="preserve">  如果分部分项工程</w:t>
      </w:r>
      <w:r>
        <w:t>和单价措施项目</w:t>
      </w:r>
      <w:r>
        <w:rPr>
          <w:rFonts w:hint="eastAsia"/>
        </w:rPr>
        <w:t>清单</w:t>
      </w:r>
      <w:r>
        <w:rPr>
          <w:rFonts w:hint="eastAsia" w:ascii="宋体" w:hAnsi="宋体"/>
          <w:szCs w:val="21"/>
        </w:rPr>
        <w:t>中涉及“发包人提供的材料和工程设备一览表”</w:t>
      </w:r>
      <w:r>
        <w:rPr>
          <w:rFonts w:hint="eastAsia" w:ascii="黑体" w:hAnsi="宋体" w:eastAsia="黑体"/>
          <w:sz w:val="24"/>
        </w:rPr>
        <w:t xml:space="preserve"> </w:t>
      </w:r>
      <w:r>
        <w:rPr>
          <w:rFonts w:hint="eastAsia"/>
        </w:rPr>
        <w:t>列出的材料和工程设备。</w:t>
      </w:r>
    </w:p>
    <w:p w14:paraId="458A190A">
      <w:pPr>
        <w:spacing w:line="420" w:lineRule="exact"/>
        <w:ind w:left="769" w:leftChars="366"/>
        <w:rPr>
          <w:rFonts w:hint="eastAsia"/>
        </w:rPr>
      </w:pPr>
      <w:r>
        <w:rPr>
          <w:rFonts w:hint="eastAsia" w:ascii="宋体" w:hAnsi="宋体"/>
          <w:szCs w:val="21"/>
        </w:rPr>
        <w:t>采用一般计税方法的，甲供材不计入除税工程造价。</w:t>
      </w:r>
    </w:p>
    <w:p w14:paraId="694D34E2">
      <w:pPr>
        <w:spacing w:line="420" w:lineRule="exact"/>
        <w:ind w:left="768" w:leftChars="350" w:hanging="33" w:hangingChars="16"/>
        <w:rPr>
          <w:rFonts w:hint="eastAsia"/>
        </w:rPr>
      </w:pPr>
      <w:r>
        <w:rPr>
          <w:rFonts w:hint="eastAsia" w:ascii="宋体" w:hAnsi="宋体"/>
          <w:szCs w:val="21"/>
        </w:rPr>
        <w:t>采用简易计税方法的，甲供材计入除税工程造价。</w:t>
      </w:r>
    </w:p>
    <w:p w14:paraId="3A9D7C25">
      <w:pPr>
        <w:spacing w:line="420" w:lineRule="exact"/>
        <w:ind w:left="769" w:hanging="768" w:hangingChars="366"/>
        <w:rPr>
          <w:rFonts w:hint="eastAsia"/>
        </w:rPr>
      </w:pPr>
      <w:r>
        <w:rPr>
          <w:rFonts w:hint="eastAsia" w:ascii="黑体" w:hAnsi="宋体" w:eastAsia="黑体"/>
          <w:szCs w:val="21"/>
        </w:rPr>
        <w:t>2.6.4</w:t>
      </w:r>
      <w:r>
        <w:rPr>
          <w:rFonts w:hint="eastAsia"/>
        </w:rPr>
        <w:t xml:space="preserve">  “分部分项工程</w:t>
      </w:r>
      <w:r>
        <w:t>和单价措施项目</w:t>
      </w:r>
      <w:r>
        <w:rPr>
          <w:rFonts w:hint="eastAsia"/>
        </w:rPr>
        <w:t>清单与计价表”所列各项目的综合单价组成中，各项目的人工、材料和机械台班消耗量由投标人按照其自身情况做充分的竞争性考虑。材料消耗量包括损耗量。</w:t>
      </w:r>
    </w:p>
    <w:p w14:paraId="32DE2105">
      <w:pPr>
        <w:spacing w:line="420" w:lineRule="exact"/>
        <w:ind w:left="769" w:hanging="768" w:hangingChars="366"/>
        <w:rPr>
          <w:rFonts w:hint="eastAsia"/>
        </w:rPr>
      </w:pPr>
      <w:r>
        <w:rPr>
          <w:rFonts w:hint="eastAsia" w:ascii="黑体" w:hAnsi="宋体" w:eastAsia="黑体"/>
          <w:szCs w:val="21"/>
        </w:rPr>
        <w:t>2.6.5</w:t>
      </w:r>
      <w:r>
        <w:rPr>
          <w:rFonts w:hint="eastAsia"/>
        </w:rPr>
        <w:t xml:space="preserve">  投标人在投标文件中提交并构成合同文件的“</w:t>
      </w:r>
      <w:r>
        <w:rPr>
          <w:rFonts w:hint="eastAsia" w:ascii="宋体" w:hAnsi="宋体"/>
          <w:szCs w:val="21"/>
        </w:rPr>
        <w:t>承包人提供主要材料和工程设备一览表</w:t>
      </w:r>
      <w:r>
        <w:rPr>
          <w:rFonts w:hint="eastAsia"/>
        </w:rPr>
        <w:t>”应符合下列要求。</w:t>
      </w:r>
    </w:p>
    <w:p w14:paraId="74C31047">
      <w:pPr>
        <w:spacing w:line="420" w:lineRule="exact"/>
        <w:ind w:left="768" w:leftChars="350" w:hanging="33" w:hangingChars="16"/>
        <w:rPr>
          <w:rFonts w:hint="eastAsia"/>
        </w:rPr>
      </w:pPr>
      <w:r>
        <w:rPr>
          <w:rFonts w:hint="eastAsia" w:ascii="宋体" w:hAnsi="宋体"/>
          <w:szCs w:val="21"/>
        </w:rPr>
        <w:t>采用</w:t>
      </w:r>
      <w:r>
        <w:rPr>
          <w:rFonts w:hint="eastAsia"/>
        </w:rPr>
        <w:t>一般计税</w:t>
      </w:r>
      <w:r>
        <w:rPr>
          <w:rFonts w:hint="eastAsia" w:ascii="宋体" w:hAnsi="宋体"/>
          <w:szCs w:val="21"/>
        </w:rPr>
        <w:t>方</w:t>
      </w:r>
      <w:r>
        <w:rPr>
          <w:rFonts w:hint="eastAsia"/>
        </w:rPr>
        <w:t>法的，进入综合单价的材料和工程设备的价格为除税价格。</w:t>
      </w:r>
    </w:p>
    <w:p w14:paraId="5897EC70">
      <w:pPr>
        <w:spacing w:line="420" w:lineRule="exact"/>
        <w:ind w:left="768" w:leftChars="350" w:hanging="33" w:hangingChars="16"/>
        <w:rPr>
          <w:rFonts w:hint="eastAsia"/>
          <w:bdr w:val="single" w:color="auto" w:sz="4" w:space="0"/>
        </w:rPr>
      </w:pPr>
      <w:r>
        <w:rPr>
          <w:rFonts w:hint="eastAsia" w:ascii="宋体" w:hAnsi="宋体"/>
          <w:szCs w:val="21"/>
        </w:rPr>
        <w:t>采用</w:t>
      </w:r>
      <w:r>
        <w:rPr>
          <w:rFonts w:hint="eastAsia"/>
        </w:rPr>
        <w:t>简易计税</w:t>
      </w:r>
      <w:r>
        <w:rPr>
          <w:rFonts w:hint="eastAsia" w:ascii="宋体" w:hAnsi="宋体"/>
          <w:szCs w:val="21"/>
        </w:rPr>
        <w:t>方</w:t>
      </w:r>
      <w:r>
        <w:rPr>
          <w:rFonts w:hint="eastAsia"/>
        </w:rPr>
        <w:t>法的，进入综合单价的材料和工程设备的价格为含税价格。</w:t>
      </w:r>
    </w:p>
    <w:p w14:paraId="4F6EED42">
      <w:pPr>
        <w:spacing w:line="420" w:lineRule="exact"/>
        <w:ind w:left="769" w:hanging="768" w:hangingChars="366"/>
        <w:rPr>
          <w:rFonts w:hint="eastAsia"/>
        </w:rPr>
      </w:pPr>
      <w:r>
        <w:rPr>
          <w:rFonts w:hint="eastAsia" w:ascii="黑体" w:hAnsi="宋体" w:eastAsia="黑体"/>
          <w:szCs w:val="21"/>
        </w:rPr>
        <w:t xml:space="preserve">2.6.6  </w:t>
      </w:r>
      <w:r>
        <w:rPr>
          <w:rFonts w:hint="eastAsia"/>
        </w:rPr>
        <w:t>投标人应对每一个分部分项工程</w:t>
      </w:r>
      <w:r>
        <w:t>和单价措施项目</w:t>
      </w:r>
      <w:r>
        <w:rPr>
          <w:rFonts w:hint="eastAsia"/>
        </w:rPr>
        <w:t>编制“综合单价分析表”，并按分部分项工程</w:t>
      </w:r>
      <w:r>
        <w:t>和单价措施项目</w:t>
      </w:r>
      <w:r>
        <w:rPr>
          <w:rFonts w:hint="eastAsia"/>
        </w:rPr>
        <w:t>的顺序附在“分部分项工程</w:t>
      </w:r>
      <w:r>
        <w:t>和单价措施项目</w:t>
      </w:r>
      <w:r>
        <w:rPr>
          <w:rFonts w:hint="eastAsia"/>
        </w:rPr>
        <w:t>清单与计价表”之后，“综合单价分析表”中的综合单价应与“分部分项工程</w:t>
      </w:r>
      <w:r>
        <w:t>和单价措施项目</w:t>
      </w:r>
      <w:r>
        <w:rPr>
          <w:rFonts w:hint="eastAsia"/>
        </w:rPr>
        <w:t>清单与计价表”中相应的综合单价一致。</w:t>
      </w:r>
    </w:p>
    <w:p w14:paraId="45B6599B">
      <w:pPr>
        <w:spacing w:line="380" w:lineRule="exact"/>
        <w:rPr>
          <w:rFonts w:hint="eastAsia"/>
        </w:rPr>
      </w:pPr>
      <w:r>
        <w:rPr>
          <w:rFonts w:hint="eastAsia" w:ascii="黑体" w:hAnsi="宋体" w:eastAsia="黑体"/>
          <w:szCs w:val="21"/>
        </w:rPr>
        <w:t>2.7</w:t>
      </w:r>
      <w:r>
        <w:rPr>
          <w:rFonts w:hint="eastAsia"/>
        </w:rPr>
        <w:t xml:space="preserve">    </w:t>
      </w:r>
      <w:r>
        <w:t>总价</w:t>
      </w:r>
      <w:r>
        <w:rPr>
          <w:rFonts w:hint="eastAsia"/>
        </w:rPr>
        <w:t>措施项目按下列要求报价：</w:t>
      </w:r>
    </w:p>
    <w:p w14:paraId="31C1076D">
      <w:pPr>
        <w:spacing w:line="420" w:lineRule="exact"/>
        <w:ind w:left="769" w:hanging="768" w:hangingChars="366"/>
        <w:rPr>
          <w:rFonts w:hint="eastAsia"/>
        </w:rPr>
      </w:pPr>
      <w:r>
        <w:rPr>
          <w:rFonts w:hint="eastAsia" w:ascii="黑体" w:hAnsi="宋体" w:eastAsia="黑体"/>
          <w:szCs w:val="21"/>
        </w:rPr>
        <w:t>2.7.1</w:t>
      </w:r>
      <w:r>
        <w:rPr>
          <w:rFonts w:hint="eastAsia"/>
        </w:rPr>
        <w:t xml:space="preserve">  </w:t>
      </w:r>
      <w:r>
        <w:t>总价</w:t>
      </w:r>
      <w:r>
        <w:rPr>
          <w:rFonts w:hint="eastAsia"/>
        </w:rPr>
        <w:t>措施项目应根据招标文件及投标时拟定的施工组织设计或施工方案，</w:t>
      </w:r>
      <w:r>
        <w:t>以“项”为单位</w:t>
      </w:r>
      <w:r>
        <w:rPr>
          <w:rFonts w:hint="eastAsia"/>
        </w:rPr>
        <w:t>自主确定价格</w:t>
      </w:r>
      <w:r>
        <w:rPr>
          <w:rFonts w:ascii="宋体" w:hAnsi="宋体" w:cs="宋体"/>
          <w:kern w:val="0"/>
          <w:sz w:val="19"/>
          <w:szCs w:val="19"/>
        </w:rPr>
        <w:t>。</w:t>
      </w:r>
      <w:r>
        <w:rPr>
          <w:rFonts w:hint="eastAsia"/>
        </w:rPr>
        <w:t>投标人所填报价格应包括除规费、税金外的全部费用。</w:t>
      </w:r>
    </w:p>
    <w:p w14:paraId="0C60854D">
      <w:pPr>
        <w:spacing w:line="420" w:lineRule="exact"/>
        <w:ind w:left="769" w:hanging="768" w:hangingChars="366"/>
        <w:rPr>
          <w:rFonts w:hint="eastAsia"/>
        </w:rPr>
      </w:pPr>
      <w:r>
        <w:rPr>
          <w:rFonts w:hint="eastAsia" w:ascii="黑体" w:hAnsi="宋体" w:eastAsia="黑体"/>
          <w:szCs w:val="21"/>
        </w:rPr>
        <w:t>2.7.2</w:t>
      </w:r>
      <w:r>
        <w:rPr>
          <w:rFonts w:hint="eastAsia"/>
        </w:rPr>
        <w:t xml:space="preserve">  总价措施项目清单中的安全文明施工费必须按国家或省级、行业建设主管部门的规定计算，不得作为竞争性费用。</w:t>
      </w:r>
    </w:p>
    <w:p w14:paraId="5B36D8DC">
      <w:pPr>
        <w:spacing w:line="420" w:lineRule="exact"/>
        <w:ind w:left="769" w:hanging="768" w:hangingChars="366"/>
        <w:rPr>
          <w:rFonts w:hint="eastAsia"/>
        </w:rPr>
      </w:pPr>
      <w:r>
        <w:rPr>
          <w:rFonts w:hint="eastAsia" w:ascii="黑体" w:hAnsi="宋体" w:eastAsia="黑体"/>
          <w:szCs w:val="21"/>
        </w:rPr>
        <w:t>2.7.3</w:t>
      </w:r>
      <w:r>
        <w:rPr>
          <w:rFonts w:hint="eastAsia"/>
        </w:rPr>
        <w:t xml:space="preserve">  “</w:t>
      </w:r>
      <w:r>
        <w:t>总价</w:t>
      </w:r>
      <w:r>
        <w:rPr>
          <w:rFonts w:hint="eastAsia"/>
        </w:rPr>
        <w:t>措施项目清单与计价表”中所填写的报价金额，应全面涵盖招标文件约定的投标人中标后施工、竣工、交付本工程并维修其任何缺陷所需要履行的责任和义务的全部费用。</w:t>
      </w:r>
    </w:p>
    <w:p w14:paraId="181B628B">
      <w:pPr>
        <w:spacing w:line="380" w:lineRule="exact"/>
        <w:rPr>
          <w:rFonts w:hint="eastAsia"/>
        </w:rPr>
      </w:pPr>
      <w:r>
        <w:rPr>
          <w:rFonts w:hint="eastAsia" w:ascii="黑体" w:hAnsi="宋体" w:eastAsia="黑体"/>
          <w:szCs w:val="21"/>
        </w:rPr>
        <w:t>2.8</w:t>
      </w:r>
      <w:r>
        <w:rPr>
          <w:rFonts w:hint="eastAsia"/>
        </w:rPr>
        <w:t xml:space="preserve">    其他项目应按下列规定报价：</w:t>
      </w:r>
    </w:p>
    <w:p w14:paraId="217D86DB">
      <w:pPr>
        <w:spacing w:line="420" w:lineRule="exact"/>
        <w:ind w:left="718" w:leftChars="2" w:hanging="714" w:hangingChars="340"/>
        <w:rPr>
          <w:rFonts w:hint="eastAsia"/>
        </w:rPr>
      </w:pPr>
      <w:r>
        <w:rPr>
          <w:rFonts w:hint="eastAsia" w:ascii="黑体" w:hAnsi="宋体" w:eastAsia="黑体"/>
          <w:szCs w:val="21"/>
        </w:rPr>
        <w:t>2.8.1</w:t>
      </w:r>
      <w:r>
        <w:rPr>
          <w:rFonts w:hint="eastAsia"/>
        </w:rPr>
        <w:t xml:space="preserve">  暂列金额应按招标工程量清单“暂列金额明细表”中列出的金额填写，不得变动。</w:t>
      </w:r>
    </w:p>
    <w:p w14:paraId="7CA0B045">
      <w:pPr>
        <w:spacing w:line="420" w:lineRule="exact"/>
        <w:ind w:left="718" w:leftChars="2" w:hanging="714" w:hangingChars="340"/>
        <w:rPr>
          <w:rFonts w:hint="eastAsia"/>
        </w:rPr>
      </w:pPr>
      <w:r>
        <w:rPr>
          <w:rFonts w:hint="eastAsia" w:ascii="黑体" w:hAnsi="宋体" w:eastAsia="黑体"/>
          <w:szCs w:val="21"/>
        </w:rPr>
        <w:t>2.8.2</w:t>
      </w:r>
      <w:r>
        <w:rPr>
          <w:rFonts w:hint="eastAsia"/>
        </w:rPr>
        <w:t xml:space="preserve">  暂估价分为材料（工程设备）暂估单价和专业工程暂估价两类。其中材料、工程设备暂估单价应按招标工程量清单“材料（工程设备）暂估单价表”中列出的单价和本节第3.3.2项的报价原则进入分部分项工程</w:t>
      </w:r>
      <w:r>
        <w:t>和单价措施项目</w:t>
      </w:r>
      <w:r>
        <w:rPr>
          <w:rFonts w:hint="eastAsia"/>
        </w:rPr>
        <w:t>清单之综合单价，不得变动，不在“其他项目清单与计价汇总表”中汇总</w:t>
      </w:r>
      <w:r>
        <w:rPr>
          <w:rFonts w:hint="eastAsia" w:ascii="宋体" w:hAnsi="宋体"/>
          <w:szCs w:val="21"/>
        </w:rPr>
        <w:t>；</w:t>
      </w:r>
      <w:r>
        <w:rPr>
          <w:rFonts w:hint="eastAsia"/>
        </w:rPr>
        <w:t>专业工程暂估价应按招标工程量清单 “专业工程暂估价表”中列出的金额和本节第3.3.3项的报价原则计入其他项目清单报价，不得变动。</w:t>
      </w:r>
    </w:p>
    <w:p w14:paraId="171A6260">
      <w:pPr>
        <w:spacing w:line="420" w:lineRule="exact"/>
        <w:ind w:left="741" w:leftChars="2" w:hanging="737" w:hangingChars="351"/>
        <w:rPr>
          <w:rFonts w:hint="eastAsia"/>
        </w:rPr>
      </w:pPr>
      <w:r>
        <w:rPr>
          <w:rFonts w:hint="eastAsia" w:ascii="黑体" w:hAnsi="宋体" w:eastAsia="黑体"/>
          <w:szCs w:val="21"/>
        </w:rPr>
        <w:t>2.8.3</w:t>
      </w:r>
      <w:r>
        <w:rPr>
          <w:rFonts w:hint="eastAsia"/>
        </w:rPr>
        <w:t xml:space="preserve">  计日工应按招标工程量清单“计日工表”中列出的项目和数量，自主确定单价并计取企业管理费与利润。计日工单价不包括规费和税金。</w:t>
      </w:r>
    </w:p>
    <w:p w14:paraId="7AF48E3A">
      <w:pPr>
        <w:spacing w:line="420" w:lineRule="exact"/>
        <w:ind w:left="634" w:leftChars="302" w:firstLine="105" w:firstLineChars="50"/>
        <w:rPr>
          <w:rFonts w:hint="eastAsia"/>
        </w:rPr>
      </w:pPr>
      <w:r>
        <w:rPr>
          <w:rFonts w:hint="eastAsia" w:ascii="宋体" w:hAnsi="宋体"/>
          <w:szCs w:val="21"/>
        </w:rPr>
        <w:t>采用</w:t>
      </w:r>
      <w:r>
        <w:rPr>
          <w:rFonts w:hint="eastAsia"/>
        </w:rPr>
        <w:t>一般计税方法的</w:t>
      </w:r>
      <w:r>
        <w:rPr>
          <w:rFonts w:hint="eastAsia" w:ascii="宋体" w:hAnsi="宋体"/>
          <w:szCs w:val="21"/>
        </w:rPr>
        <w:t>，</w:t>
      </w:r>
      <w:r>
        <w:rPr>
          <w:rFonts w:hint="eastAsia"/>
        </w:rPr>
        <w:t>计日工费用组成中的材料和机械的单价为除税价格。</w:t>
      </w:r>
    </w:p>
    <w:p w14:paraId="7F0F0884">
      <w:pPr>
        <w:spacing w:line="420" w:lineRule="exact"/>
        <w:ind w:left="634" w:leftChars="302" w:firstLine="105" w:firstLineChars="50"/>
        <w:rPr>
          <w:rFonts w:hint="eastAsia"/>
        </w:rPr>
      </w:pPr>
      <w:r>
        <w:rPr>
          <w:rFonts w:hint="eastAsia" w:ascii="宋体" w:hAnsi="宋体"/>
          <w:szCs w:val="21"/>
        </w:rPr>
        <w:t>采用</w:t>
      </w:r>
      <w:r>
        <w:rPr>
          <w:rFonts w:hint="eastAsia"/>
        </w:rPr>
        <w:t>简易计税</w:t>
      </w:r>
      <w:r>
        <w:rPr>
          <w:rFonts w:hint="eastAsia" w:ascii="宋体" w:hAnsi="宋体"/>
          <w:szCs w:val="21"/>
        </w:rPr>
        <w:t>方</w:t>
      </w:r>
      <w:r>
        <w:rPr>
          <w:rFonts w:hint="eastAsia"/>
        </w:rPr>
        <w:t>法的，计日工费用组成中的材料和机械的单价为含税价格。</w:t>
      </w:r>
    </w:p>
    <w:p w14:paraId="4B28250B">
      <w:pPr>
        <w:numPr>
          <w:ilvl w:val="2"/>
          <w:numId w:val="2"/>
        </w:numPr>
        <w:spacing w:line="420" w:lineRule="exact"/>
        <w:rPr>
          <w:rFonts w:hint="eastAsia"/>
        </w:rPr>
      </w:pPr>
      <w:r>
        <w:rPr>
          <w:rFonts w:hint="eastAsia"/>
        </w:rPr>
        <w:t>总承包服务费应按招标工程量清单“总承包服务费计价表”中列出的内容和提出的要求自主报价。</w:t>
      </w:r>
    </w:p>
    <w:p w14:paraId="77A52380">
      <w:pPr>
        <w:spacing w:line="420" w:lineRule="exact"/>
        <w:ind w:left="724"/>
        <w:rPr>
          <w:rFonts w:hint="eastAsia" w:ascii="宋体" w:hAnsi="宋体"/>
        </w:rPr>
      </w:pPr>
      <w:r>
        <w:rPr>
          <w:rFonts w:hint="eastAsia" w:ascii="宋体" w:hAnsi="宋体"/>
        </w:rPr>
        <w:t>采用一般计税方法的，总承包服务费的项目价值为除税价格。项目费率在原费率的基础上可作适度上浮。</w:t>
      </w:r>
    </w:p>
    <w:p w14:paraId="2B5706C8">
      <w:pPr>
        <w:spacing w:line="420" w:lineRule="exact"/>
        <w:ind w:left="724"/>
        <w:rPr>
          <w:rFonts w:hint="eastAsia"/>
        </w:rPr>
      </w:pPr>
      <w:r>
        <w:rPr>
          <w:rFonts w:hint="eastAsia" w:ascii="宋体" w:hAnsi="宋体"/>
          <w:szCs w:val="21"/>
        </w:rPr>
        <w:t>采用</w:t>
      </w:r>
      <w:r>
        <w:rPr>
          <w:rFonts w:hint="eastAsia"/>
        </w:rPr>
        <w:t>简易计税</w:t>
      </w:r>
      <w:r>
        <w:rPr>
          <w:rFonts w:hint="eastAsia" w:ascii="宋体" w:hAnsi="宋体"/>
          <w:szCs w:val="21"/>
        </w:rPr>
        <w:t>方</w:t>
      </w:r>
      <w:r>
        <w:rPr>
          <w:rFonts w:hint="eastAsia"/>
        </w:rPr>
        <w:t>法的，</w:t>
      </w:r>
      <w:r>
        <w:rPr>
          <w:rFonts w:hint="eastAsia" w:ascii="宋体" w:hAnsi="宋体"/>
        </w:rPr>
        <w:t>总承包服务费的项目价值为含税价格。</w:t>
      </w:r>
    </w:p>
    <w:p w14:paraId="5A6B9125">
      <w:pPr>
        <w:spacing w:line="420" w:lineRule="exact"/>
        <w:ind w:left="642" w:leftChars="2" w:hanging="638" w:hangingChars="304"/>
        <w:rPr>
          <w:rFonts w:hint="eastAsia"/>
        </w:rPr>
      </w:pPr>
      <w:r>
        <w:rPr>
          <w:rFonts w:hint="eastAsia" w:ascii="黑体" w:hAnsi="宋体" w:eastAsia="黑体"/>
          <w:szCs w:val="21"/>
        </w:rPr>
        <w:t>2.9</w:t>
      </w:r>
      <w:r>
        <w:rPr>
          <w:rFonts w:hint="eastAsia"/>
        </w:rPr>
        <w:t xml:space="preserve">   规费和税金</w:t>
      </w:r>
      <w:r>
        <w:t>项目</w:t>
      </w:r>
      <w:r>
        <w:rPr>
          <w:rFonts w:hint="eastAsia"/>
        </w:rPr>
        <w:t>按下列要求报价：</w:t>
      </w:r>
    </w:p>
    <w:p w14:paraId="692C66CB">
      <w:pPr>
        <w:spacing w:line="420" w:lineRule="exact"/>
        <w:ind w:left="634" w:leftChars="302"/>
        <w:rPr>
          <w:rFonts w:hint="eastAsia"/>
        </w:rPr>
      </w:pPr>
      <w:r>
        <w:rPr>
          <w:rFonts w:hint="eastAsia"/>
        </w:rPr>
        <w:t>规费和税金必须按国家或省级、行业建设主管部门的规定计算，不得作为竞争性费用。</w:t>
      </w:r>
    </w:p>
    <w:p w14:paraId="6CAD80C9">
      <w:pPr>
        <w:spacing w:line="420" w:lineRule="exact"/>
        <w:ind w:left="642" w:leftChars="2" w:hanging="638" w:hangingChars="304"/>
        <w:rPr>
          <w:rFonts w:hint="eastAsia"/>
        </w:rPr>
      </w:pPr>
      <w:r>
        <w:rPr>
          <w:rFonts w:hint="eastAsia" w:ascii="黑体" w:hAnsi="宋体" w:eastAsia="黑体"/>
          <w:szCs w:val="21"/>
        </w:rPr>
        <w:t>2.10</w:t>
      </w:r>
      <w:r>
        <w:rPr>
          <w:rFonts w:hint="eastAsia" w:ascii="宋体" w:hAnsi="宋体"/>
          <w:szCs w:val="21"/>
        </w:rPr>
        <w:t xml:space="preserve">  除招标文件有强制性规定以及不可竞争部分以外，投标报价由投标人自主确定，但不</w:t>
      </w:r>
      <w:r>
        <w:rPr>
          <w:rFonts w:hint="eastAsia"/>
        </w:rPr>
        <w:t>得低于其工程成本。</w:t>
      </w:r>
    </w:p>
    <w:p w14:paraId="1A4D55CE">
      <w:pPr>
        <w:spacing w:line="420" w:lineRule="exact"/>
        <w:ind w:left="627" w:leftChars="1" w:hanging="625" w:hangingChars="298"/>
        <w:rPr>
          <w:rFonts w:hint="eastAsia"/>
        </w:rPr>
      </w:pPr>
      <w:r>
        <w:rPr>
          <w:rFonts w:hint="eastAsia" w:ascii="黑体" w:hAnsi="宋体" w:eastAsia="黑体"/>
        </w:rPr>
        <w:t>2.11</w:t>
      </w:r>
      <w:r>
        <w:rPr>
          <w:rFonts w:hint="eastAsia"/>
        </w:rPr>
        <w:t xml:space="preserve">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21E1C43E">
      <w:pPr>
        <w:spacing w:line="420" w:lineRule="exact"/>
        <w:ind w:left="657" w:leftChars="2" w:hanging="653" w:hangingChars="311"/>
        <w:rPr>
          <w:rFonts w:hint="eastAsia"/>
        </w:rPr>
      </w:pPr>
      <w:r>
        <w:rPr>
          <w:rFonts w:hint="eastAsia" w:ascii="黑体" w:hAnsi="宋体" w:eastAsia="黑体"/>
        </w:rPr>
        <w:t>2.12</w:t>
      </w:r>
      <w:r>
        <w:rPr>
          <w:rFonts w:hint="eastAsia"/>
        </w:rPr>
        <w:t xml:space="preserve">  </w:t>
      </w:r>
      <w:r>
        <w:t>企业</w:t>
      </w:r>
      <w:r>
        <w:rPr>
          <w:rFonts w:hint="eastAsia"/>
        </w:rPr>
        <w:t>管理费应由投标人在保证不低于其成本的基础上合理报价；利润由投标人根据自身情况和综合实力合理报价。</w:t>
      </w:r>
    </w:p>
    <w:p w14:paraId="5A6FE5A1">
      <w:pPr>
        <w:spacing w:line="380" w:lineRule="exact"/>
        <w:rPr>
          <w:rFonts w:hint="eastAsia"/>
        </w:rPr>
      </w:pPr>
      <w:r>
        <w:rPr>
          <w:rFonts w:hint="eastAsia" w:ascii="黑体" w:eastAsia="黑体"/>
        </w:rPr>
        <w:t>2.13</w:t>
      </w:r>
      <w:r>
        <w:rPr>
          <w:rFonts w:hint="eastAsia"/>
        </w:rPr>
        <w:t xml:space="preserve">  投标报价中应考虑招标文件中要求投标人承担的风险范围以及相关的费用。</w:t>
      </w:r>
    </w:p>
    <w:p w14:paraId="3C1B3547">
      <w:pPr>
        <w:spacing w:line="420" w:lineRule="exact"/>
        <w:ind w:left="684" w:leftChars="2" w:hanging="680" w:hangingChars="324"/>
        <w:rPr>
          <w:rFonts w:hint="eastAsia"/>
        </w:rPr>
      </w:pPr>
      <w:r>
        <w:rPr>
          <w:rFonts w:hint="eastAsia" w:ascii="黑体" w:eastAsia="黑体"/>
        </w:rPr>
        <w:t>2.14</w:t>
      </w:r>
      <w:r>
        <w:rPr>
          <w:rFonts w:hint="eastAsia"/>
        </w:rPr>
        <w:t xml:space="preserve">  投标总价为投标人在投标文件中提出的各项支付金额的总和，为实施、完成招标工程并修补缺陷以及履行招标文件中约定的风险范围内的所有责任和义务所发生的全部费用。</w:t>
      </w:r>
    </w:p>
    <w:p w14:paraId="523268A5">
      <w:pPr>
        <w:spacing w:line="380" w:lineRule="exact"/>
        <w:rPr>
          <w:rFonts w:hint="eastAsia"/>
        </w:rPr>
      </w:pPr>
      <w:r>
        <w:rPr>
          <w:rFonts w:hint="eastAsia" w:ascii="黑体" w:eastAsia="黑体"/>
        </w:rPr>
        <w:t>2.15</w:t>
      </w:r>
      <w:r>
        <w:rPr>
          <w:rFonts w:hint="eastAsia"/>
        </w:rPr>
        <w:t xml:space="preserve">  有关投标报价的其他说明：</w:t>
      </w:r>
    </w:p>
    <w:p w14:paraId="75413BAB">
      <w:pPr>
        <w:adjustRightInd w:val="0"/>
        <w:spacing w:line="380" w:lineRule="exact"/>
        <w:ind w:firstLine="420" w:firstLineChars="200"/>
        <w:rPr>
          <w:rFonts w:hint="eastAsia"/>
          <w:u w:val="single"/>
        </w:rPr>
      </w:pPr>
      <w:r>
        <w:rPr>
          <w:rFonts w:hint="eastAsia"/>
          <w:u w:val="single"/>
        </w:rPr>
        <w:t xml:space="preserve">                                                                           </w:t>
      </w:r>
    </w:p>
    <w:p w14:paraId="146E291B">
      <w:pPr>
        <w:pStyle w:val="18"/>
        <w:rPr>
          <w:rFonts w:hint="eastAsia"/>
          <w:sz w:val="24"/>
          <w:szCs w:val="24"/>
        </w:rPr>
      </w:pPr>
      <w:bookmarkStart w:id="2582" w:name="_Toc108514168"/>
      <w:r>
        <w:rPr>
          <w:rFonts w:hint="eastAsia"/>
          <w:sz w:val="24"/>
          <w:szCs w:val="24"/>
        </w:rPr>
        <w:t>3、其他说明</w:t>
      </w:r>
      <w:bookmarkEnd w:id="2582"/>
    </w:p>
    <w:p w14:paraId="4AB31718">
      <w:pPr>
        <w:spacing w:after="120" w:afterLines="50" w:line="380" w:lineRule="exact"/>
        <w:rPr>
          <w:rFonts w:hint="eastAsia" w:ascii="黑体" w:eastAsia="黑体"/>
        </w:rPr>
      </w:pPr>
      <w:r>
        <w:rPr>
          <w:rFonts w:hint="eastAsia" w:ascii="黑体" w:eastAsia="黑体"/>
        </w:rPr>
        <w:t>3.1词语和定义</w:t>
      </w:r>
    </w:p>
    <w:p w14:paraId="061CA55D">
      <w:pPr>
        <w:spacing w:before="24" w:beforeLines="10" w:after="48" w:afterLines="20" w:line="380" w:lineRule="exact"/>
        <w:rPr>
          <w:rFonts w:hint="eastAsia"/>
          <w:b/>
        </w:rPr>
      </w:pPr>
      <w:r>
        <w:rPr>
          <w:rFonts w:hint="eastAsia" w:ascii="黑体" w:eastAsia="黑体"/>
        </w:rPr>
        <w:t>3.1.1</w:t>
      </w:r>
      <w:r>
        <w:rPr>
          <w:rFonts w:hint="eastAsia"/>
        </w:rPr>
        <w:t xml:space="preserve">  </w:t>
      </w:r>
      <w:r>
        <w:rPr>
          <w:rFonts w:hint="eastAsia"/>
          <w:b/>
        </w:rPr>
        <w:t>工程量清单</w:t>
      </w:r>
    </w:p>
    <w:p w14:paraId="048984D6">
      <w:pPr>
        <w:spacing w:line="380" w:lineRule="exact"/>
        <w:ind w:left="735" w:leftChars="350"/>
        <w:rPr>
          <w:rFonts w:hint="eastAsia"/>
        </w:rPr>
      </w:pPr>
      <w:r>
        <w:rPr>
          <w:rFonts w:hint="eastAsia"/>
        </w:rPr>
        <w:t>是表现建设工程分部分项工程项目、措施项目、其他项目的名称和相应数量以及规费和税金项目等内容的明细清单。</w:t>
      </w:r>
    </w:p>
    <w:p w14:paraId="5BE11228">
      <w:pPr>
        <w:spacing w:line="420" w:lineRule="exact"/>
        <w:ind w:left="735" w:hanging="735" w:hangingChars="350"/>
        <w:rPr>
          <w:rFonts w:hint="eastAsia"/>
        </w:rPr>
      </w:pPr>
      <w:r>
        <w:rPr>
          <w:rFonts w:hint="eastAsia" w:ascii="黑体" w:eastAsia="黑体"/>
        </w:rPr>
        <w:t xml:space="preserve">3.1.2 </w:t>
      </w:r>
      <w:r>
        <w:rPr>
          <w:rFonts w:hint="eastAsia" w:ascii="黑体" w:eastAsia="黑体"/>
          <w:b/>
        </w:rPr>
        <w:t xml:space="preserve"> </w:t>
      </w:r>
      <w:r>
        <w:rPr>
          <w:b/>
        </w:rPr>
        <w:t>招标工程量清单</w:t>
      </w:r>
    </w:p>
    <w:p w14:paraId="748FB6A5">
      <w:pPr>
        <w:spacing w:line="420" w:lineRule="exact"/>
        <w:ind w:left="735" w:leftChars="350"/>
        <w:rPr>
          <w:rFonts w:hint="eastAsia"/>
        </w:rPr>
      </w:pPr>
      <w:r>
        <w:t>是招标人依据国家标准、招标文件、设计文件以及施工现场实际情况编制的，随招标文件发布供投标报价的工程量</w:t>
      </w:r>
      <w:r>
        <w:rPr>
          <w:rFonts w:hint="eastAsia"/>
        </w:rPr>
        <w:t>清</w:t>
      </w:r>
      <w:r>
        <w:t>单，包括其说明和表格，同时也是编制招标控制价的依据之一。</w:t>
      </w:r>
    </w:p>
    <w:p w14:paraId="7213C6D4">
      <w:pPr>
        <w:spacing w:before="24" w:beforeLines="10" w:after="48" w:afterLines="20" w:line="380" w:lineRule="exact"/>
        <w:rPr>
          <w:rFonts w:hint="eastAsia"/>
          <w:b/>
        </w:rPr>
      </w:pPr>
      <w:r>
        <w:rPr>
          <w:rFonts w:hint="eastAsia" w:ascii="黑体" w:eastAsia="黑体"/>
        </w:rPr>
        <w:t xml:space="preserve">3.1.3 </w:t>
      </w:r>
      <w:r>
        <w:rPr>
          <w:rFonts w:hint="eastAsia"/>
        </w:rPr>
        <w:t xml:space="preserve"> </w:t>
      </w:r>
      <w:r>
        <w:rPr>
          <w:rFonts w:hint="eastAsia"/>
          <w:b/>
        </w:rPr>
        <w:t>总价项目</w:t>
      </w:r>
    </w:p>
    <w:p w14:paraId="5CC940A3">
      <w:pPr>
        <w:spacing w:line="380" w:lineRule="exact"/>
        <w:ind w:left="735" w:leftChars="350"/>
        <w:rPr>
          <w:rFonts w:hint="eastAsia"/>
          <w:b/>
          <w:bdr w:val="single" w:color="auto" w:sz="4" w:space="0"/>
        </w:rPr>
      </w:pPr>
      <w:r>
        <w:rPr>
          <w:rFonts w:hint="eastAsia"/>
        </w:rPr>
        <w:t>工程量清单中以总价计价的项目，即此类项目在相关工程国家计量规范中无工程量计算规则以总价（或计算基础乘费率）计算的项目，通常以“项”为计量单位，除专用合同条款另有约定外，总价固定包干。</w:t>
      </w:r>
    </w:p>
    <w:p w14:paraId="3D306558">
      <w:pPr>
        <w:spacing w:before="24" w:beforeLines="10" w:after="48" w:afterLines="20" w:line="380" w:lineRule="exact"/>
        <w:rPr>
          <w:rFonts w:hint="eastAsia"/>
          <w:b/>
        </w:rPr>
      </w:pPr>
      <w:r>
        <w:rPr>
          <w:rFonts w:hint="eastAsia" w:ascii="黑体" w:eastAsia="黑体"/>
        </w:rPr>
        <w:t>3.1.4</w:t>
      </w:r>
      <w:r>
        <w:rPr>
          <w:rFonts w:hint="eastAsia"/>
        </w:rPr>
        <w:t xml:space="preserve">  </w:t>
      </w:r>
      <w:r>
        <w:rPr>
          <w:rFonts w:hint="eastAsia"/>
          <w:b/>
        </w:rPr>
        <w:t>单价项目</w:t>
      </w:r>
    </w:p>
    <w:p w14:paraId="16DB3631">
      <w:pPr>
        <w:spacing w:line="380" w:lineRule="exact"/>
        <w:ind w:left="735" w:leftChars="350"/>
        <w:rPr>
          <w:rFonts w:hint="eastAsia"/>
        </w:rPr>
      </w:pPr>
      <w:r>
        <w:rPr>
          <w:rFonts w:hint="eastAsia"/>
        </w:rPr>
        <w:t>工程量清单中以单价计价的项目，即根据合同工程图纸（含设计变更）和相关工程国家计量规范规定的工程量计算规则进行计量，与已标价工程量清单相应综合单价进行价款计算的项目。</w:t>
      </w:r>
    </w:p>
    <w:p w14:paraId="064AFB0A">
      <w:pPr>
        <w:spacing w:before="24" w:beforeLines="10" w:after="48" w:afterLines="20" w:line="380" w:lineRule="exact"/>
        <w:rPr>
          <w:rFonts w:hint="eastAsia"/>
          <w:b/>
        </w:rPr>
      </w:pPr>
      <w:r>
        <w:rPr>
          <w:rFonts w:hint="eastAsia" w:ascii="黑体" w:eastAsia="黑体"/>
        </w:rPr>
        <w:t>3.1.5</w:t>
      </w:r>
      <w:r>
        <w:rPr>
          <w:rFonts w:hint="eastAsia"/>
        </w:rPr>
        <w:t xml:space="preserve">  </w:t>
      </w:r>
      <w:r>
        <w:rPr>
          <w:rFonts w:hint="eastAsia"/>
          <w:b/>
        </w:rPr>
        <w:t>项目编码</w:t>
      </w:r>
    </w:p>
    <w:p w14:paraId="108076B5">
      <w:pPr>
        <w:spacing w:line="380" w:lineRule="exact"/>
        <w:ind w:left="724" w:leftChars="345"/>
        <w:rPr>
          <w:rFonts w:hint="eastAsia"/>
        </w:rPr>
      </w:pPr>
      <w:r>
        <w:rPr>
          <w:rFonts w:hint="eastAsia"/>
        </w:rPr>
        <w:t>分部分项工程和措施项目清单名称的阿拉伯数字标识。项目编码与子目编码同义。</w:t>
      </w:r>
    </w:p>
    <w:p w14:paraId="76EB3771">
      <w:pPr>
        <w:spacing w:before="48" w:beforeLines="20" w:after="48" w:afterLines="20" w:line="380" w:lineRule="exact"/>
        <w:rPr>
          <w:rFonts w:hint="eastAsia"/>
          <w:b/>
        </w:rPr>
      </w:pPr>
      <w:r>
        <w:rPr>
          <w:rFonts w:hint="eastAsia" w:ascii="黑体" w:eastAsia="黑体"/>
        </w:rPr>
        <w:t>3.1.6</w:t>
      </w:r>
      <w:r>
        <w:rPr>
          <w:rFonts w:hint="eastAsia"/>
        </w:rPr>
        <w:t xml:space="preserve">  </w:t>
      </w:r>
      <w:r>
        <w:rPr>
          <w:rFonts w:hint="eastAsia"/>
          <w:b/>
        </w:rPr>
        <w:t>项目特征</w:t>
      </w:r>
    </w:p>
    <w:p w14:paraId="521FE449">
      <w:pPr>
        <w:spacing w:line="380" w:lineRule="exact"/>
        <w:ind w:left="718" w:leftChars="342" w:firstLine="35" w:firstLineChars="17"/>
        <w:rPr>
          <w:rFonts w:hint="eastAsia"/>
        </w:rPr>
      </w:pPr>
      <w:r>
        <w:rPr>
          <w:rFonts w:hint="eastAsia"/>
        </w:rPr>
        <w:t>构成分部分项工程项目、措施项目自身价值的本质特征，项目特征与子目特征同义。</w:t>
      </w:r>
    </w:p>
    <w:p w14:paraId="18DEA1B0">
      <w:pPr>
        <w:spacing w:before="48" w:beforeLines="20" w:after="48" w:afterLines="20" w:line="380" w:lineRule="exact"/>
        <w:rPr>
          <w:rFonts w:hint="eastAsia" w:ascii="宋体" w:hAnsi="宋体"/>
          <w:b/>
        </w:rPr>
      </w:pPr>
      <w:r>
        <w:rPr>
          <w:rFonts w:hint="eastAsia" w:ascii="黑体" w:eastAsia="黑体"/>
        </w:rPr>
        <w:t xml:space="preserve">3.1.7 </w:t>
      </w:r>
      <w:r>
        <w:rPr>
          <w:rFonts w:hint="eastAsia" w:ascii="宋体" w:hAnsi="宋体"/>
        </w:rPr>
        <w:t xml:space="preserve"> </w:t>
      </w:r>
      <w:r>
        <w:rPr>
          <w:rFonts w:hint="eastAsia" w:ascii="宋体" w:hAnsi="宋体"/>
          <w:b/>
        </w:rPr>
        <w:t>规费</w:t>
      </w:r>
    </w:p>
    <w:p w14:paraId="611F93EF">
      <w:pPr>
        <w:spacing w:line="380" w:lineRule="exact"/>
        <w:ind w:left="735" w:leftChars="350"/>
        <w:rPr>
          <w:rFonts w:hint="eastAsia"/>
        </w:rPr>
      </w:pPr>
      <w:r>
        <w:rPr>
          <w:rFonts w:hint="eastAsia"/>
        </w:rPr>
        <w:t>根据国家法律、法规规定，由省级政府或省级有关权力部门规定承包人必须缴纳的，应计入建筑安装工程造价的费用。</w:t>
      </w:r>
    </w:p>
    <w:p w14:paraId="1DD86F87">
      <w:pPr>
        <w:spacing w:before="48" w:beforeLines="20" w:after="48" w:afterLines="20" w:line="380" w:lineRule="exact"/>
        <w:rPr>
          <w:rFonts w:hint="eastAsia"/>
        </w:rPr>
      </w:pPr>
      <w:r>
        <w:rPr>
          <w:rFonts w:hint="eastAsia" w:ascii="黑体" w:eastAsia="黑体"/>
        </w:rPr>
        <w:t>3.1.8</w:t>
      </w:r>
      <w:r>
        <w:rPr>
          <w:rFonts w:hint="eastAsia"/>
        </w:rPr>
        <w:t xml:space="preserve">  </w:t>
      </w:r>
      <w:r>
        <w:rPr>
          <w:rFonts w:hint="eastAsia"/>
          <w:b/>
        </w:rPr>
        <w:t>税金</w:t>
      </w:r>
    </w:p>
    <w:p w14:paraId="02726087">
      <w:pPr>
        <w:spacing w:line="380" w:lineRule="exact"/>
        <w:ind w:left="735" w:leftChars="350"/>
        <w:rPr>
          <w:rFonts w:hint="eastAsia"/>
        </w:rPr>
      </w:pPr>
      <w:r>
        <w:rPr>
          <w:rFonts w:hint="eastAsia"/>
        </w:rPr>
        <w:t>国家税法规定的应计入建筑安装工程造价内的增值税。</w:t>
      </w:r>
    </w:p>
    <w:p w14:paraId="5F607C3C">
      <w:pPr>
        <w:spacing w:line="380" w:lineRule="exact"/>
        <w:ind w:left="735" w:leftChars="350"/>
        <w:rPr>
          <w:rFonts w:hint="eastAsia"/>
        </w:rPr>
      </w:pPr>
      <w:r>
        <w:rPr>
          <w:rFonts w:hint="eastAsia"/>
        </w:rPr>
        <w:t>采用一般计税方法的，税金指增值税的销项税额，附加税列入企业管理费。</w:t>
      </w:r>
    </w:p>
    <w:p w14:paraId="6271E65C">
      <w:pPr>
        <w:spacing w:line="380" w:lineRule="exact"/>
        <w:ind w:left="735" w:leftChars="350"/>
        <w:rPr>
          <w:rFonts w:hint="eastAsia"/>
        </w:rPr>
      </w:pPr>
      <w:r>
        <w:rPr>
          <w:rFonts w:hint="eastAsia"/>
        </w:rPr>
        <w:t>采用简易计税方法的，税金指增值税的征收率，附加税列入企业管理费。</w:t>
      </w:r>
    </w:p>
    <w:p w14:paraId="2A0652BC">
      <w:pPr>
        <w:spacing w:before="48" w:beforeLines="20" w:after="48" w:afterLines="20" w:line="380" w:lineRule="exact"/>
        <w:rPr>
          <w:rFonts w:hint="eastAsia"/>
          <w:b/>
        </w:rPr>
      </w:pPr>
      <w:r>
        <w:rPr>
          <w:rFonts w:hint="eastAsia" w:ascii="黑体" w:eastAsia="黑体"/>
        </w:rPr>
        <w:t>3.1.9</w:t>
      </w:r>
      <w:r>
        <w:rPr>
          <w:rFonts w:hint="eastAsia"/>
        </w:rPr>
        <w:t xml:space="preserve">  </w:t>
      </w:r>
      <w:r>
        <w:rPr>
          <w:rFonts w:hint="eastAsia"/>
          <w:b/>
        </w:rPr>
        <w:t>总承包服务费</w:t>
      </w:r>
    </w:p>
    <w:p w14:paraId="3A3C1FD1">
      <w:pPr>
        <w:spacing w:line="390" w:lineRule="exact"/>
        <w:ind w:left="781" w:leftChars="366" w:hanging="12" w:hangingChars="6"/>
        <w:rPr>
          <w:rFonts w:hint="eastAsia"/>
        </w:rPr>
      </w:pPr>
      <w:r>
        <w:rPr>
          <w:rFonts w:hint="eastAsia"/>
        </w:rPr>
        <w:t>总承包人为配合协调发包人进行的专业工程发包，对发包人自行采购的材料、工程设备等进行保管以及施工现场管理、竣工资料汇总整理等服务所需的费用。</w:t>
      </w:r>
    </w:p>
    <w:p w14:paraId="6ABFD327">
      <w:pPr>
        <w:spacing w:before="48" w:beforeLines="20" w:after="48" w:afterLines="20" w:line="380" w:lineRule="exact"/>
        <w:rPr>
          <w:rFonts w:hint="eastAsia"/>
          <w:b/>
        </w:rPr>
      </w:pPr>
      <w:r>
        <w:rPr>
          <w:rFonts w:hint="eastAsia" w:ascii="黑体" w:eastAsia="黑体"/>
        </w:rPr>
        <w:t>3.1.10</w:t>
      </w:r>
      <w:r>
        <w:rPr>
          <w:rFonts w:hint="eastAsia"/>
        </w:rPr>
        <w:t xml:space="preserve"> </w:t>
      </w:r>
      <w:r>
        <w:rPr>
          <w:rFonts w:hint="eastAsia"/>
          <w:b/>
        </w:rPr>
        <w:t>同义词语</w:t>
      </w:r>
    </w:p>
    <w:p w14:paraId="4F8A9814">
      <w:pPr>
        <w:spacing w:line="390" w:lineRule="exact"/>
        <w:ind w:left="735" w:leftChars="350" w:firstLine="105" w:firstLineChars="50"/>
        <w:rPr>
          <w:rFonts w:hint="eastAsia"/>
        </w:rPr>
      </w:pPr>
      <w:r>
        <w:rPr>
          <w:rFonts w:hint="eastAsia"/>
        </w:rPr>
        <w:t>本章中使用的词语“招标人”和“投标人”分别与合同条款中定义的“发包人”和“承包人”同义</w:t>
      </w:r>
      <w:r>
        <w:rPr>
          <w:rFonts w:hint="eastAsia" w:ascii="宋体" w:hAnsi="宋体"/>
          <w:szCs w:val="21"/>
        </w:rPr>
        <w:t>；</w:t>
      </w:r>
      <w:r>
        <w:rPr>
          <w:rFonts w:hint="eastAsia"/>
        </w:rPr>
        <w:t>就工程量清单而言，“项目”与“子目”同义。</w:t>
      </w:r>
    </w:p>
    <w:p w14:paraId="2571F672">
      <w:pPr>
        <w:spacing w:before="48" w:beforeLines="20" w:after="48" w:afterLines="20" w:line="380" w:lineRule="exact"/>
        <w:rPr>
          <w:rFonts w:hint="eastAsia"/>
        </w:rPr>
      </w:pPr>
      <w:r>
        <w:rPr>
          <w:rFonts w:hint="eastAsia" w:ascii="黑体" w:eastAsia="黑体"/>
        </w:rPr>
        <w:t>3.2工程量差异调整</w:t>
      </w:r>
    </w:p>
    <w:p w14:paraId="41D13E60">
      <w:pPr>
        <w:spacing w:line="380" w:lineRule="exact"/>
        <w:ind w:left="720" w:leftChars="-7" w:hanging="735" w:hangingChars="350"/>
        <w:rPr>
          <w:rFonts w:hint="eastAsia"/>
        </w:rPr>
      </w:pPr>
      <w:r>
        <w:rPr>
          <w:rFonts w:hint="eastAsia" w:ascii="黑体" w:eastAsia="黑体"/>
        </w:rPr>
        <w:t>3.2.1</w:t>
      </w:r>
      <w:r>
        <w:rPr>
          <w:rFonts w:hint="eastAsia"/>
        </w:rPr>
        <w:t xml:space="preserve">  招标工程量清单中的工作内容分类、项目列项、特征描述以及“分部分项工程</w:t>
      </w:r>
      <w:r>
        <w:t>和单价措施项目</w:t>
      </w:r>
      <w:r>
        <w:rPr>
          <w:rFonts w:hint="eastAsia"/>
        </w:rPr>
        <w:t>清单与计价表”中附带的工程量都不应理解为是对承包(招标)范围以及合同工作内容的唯一的、最终的或全部的定义。</w:t>
      </w:r>
    </w:p>
    <w:p w14:paraId="3452667E">
      <w:pPr>
        <w:spacing w:line="380" w:lineRule="exact"/>
        <w:ind w:left="718" w:hanging="718" w:hangingChars="342"/>
        <w:rPr>
          <w:rFonts w:hint="eastAsia"/>
        </w:rPr>
      </w:pPr>
      <w:r>
        <w:rPr>
          <w:rFonts w:hint="eastAsia" w:ascii="黑体" w:eastAsia="黑体"/>
        </w:rPr>
        <w:t>3.2.2</w:t>
      </w:r>
      <w:r>
        <w:rPr>
          <w:rFonts w:hint="eastAsia"/>
        </w:rPr>
        <w:t xml:space="preserve">  投标人可以对招标工程量清单进行复核。这种复核包括对招标工程量清单中的项目编码、项目名称、项目特征描述、计量单位、工程量的准确性以及可能存在的任何书写、打印错误进行检查和复核。如果投标人经过检查和复核以后认为招标工程量清单存在差异，这种差异的</w:t>
      </w:r>
      <w:r>
        <w:t>存在可能对造价产生重大影响的，</w:t>
      </w:r>
      <w:r>
        <w:rPr>
          <w:rFonts w:hint="eastAsia"/>
        </w:rPr>
        <w:t>则投标人应将此类差异的详细情况连同按投标人须知规定提交的要求招标人澄清的其他问题一起提交给招标人，招标人</w:t>
      </w:r>
      <w:r>
        <w:t>在核实差异后</w:t>
      </w:r>
      <w:r>
        <w:rPr>
          <w:rFonts w:hint="eastAsia"/>
        </w:rPr>
        <w:t>将根据实际情况决定是否颁发招标工程量清单的澄清和(或)修改文件。</w:t>
      </w:r>
    </w:p>
    <w:p w14:paraId="4451C358">
      <w:pPr>
        <w:spacing w:line="380" w:lineRule="exact"/>
        <w:ind w:left="720" w:leftChars="-7" w:hanging="735" w:hangingChars="350"/>
        <w:rPr>
          <w:rFonts w:hint="eastAsia"/>
        </w:rPr>
      </w:pPr>
      <w:r>
        <w:rPr>
          <w:rFonts w:hint="eastAsia" w:ascii="黑体" w:eastAsia="黑体"/>
        </w:rPr>
        <w:t>3.2.3</w:t>
      </w:r>
      <w:r>
        <w:rPr>
          <w:rFonts w:hint="eastAsia"/>
        </w:rPr>
        <w:t xml:space="preserve">  如果招标人在检查投标人根据上文第3.2.2项提交的差异问题后认为没有必要对招标工程量清单进行澄清和(或)修改，或者招标人根据上文第3.2.2项对招标工程量清单进行了澄清和(或)修改，但投标人认为招标工程量清单依然存在差异，则此类差异不再提交招标人要求澄清和(或)修改，而是直接按招标工程量清单(包括招标人可能的澄清和(或)修改)进行报价。</w:t>
      </w:r>
    </w:p>
    <w:p w14:paraId="1B451434">
      <w:pPr>
        <w:spacing w:line="380" w:lineRule="exact"/>
        <w:ind w:left="735" w:hanging="735" w:hangingChars="350"/>
        <w:rPr>
          <w:rFonts w:hint="eastAsia"/>
        </w:rPr>
      </w:pPr>
      <w:r>
        <w:rPr>
          <w:rFonts w:hint="eastAsia" w:ascii="黑体" w:eastAsia="黑体"/>
        </w:rPr>
        <w:t xml:space="preserve">3.2.4  </w:t>
      </w:r>
      <w:r>
        <w:rPr>
          <w:rFonts w:hint="eastAsia"/>
        </w:rPr>
        <w:t>投标人在按照招标工程量清单进行报价时，不得改变招标工程量清单的项目编码、项目名称、项目特征描述、计量单位以及工程量，也不得改变其他项目清单及其载明的暂列金额和暂估价等内容。即使按照图纸和招标范围的约定并不存在的项目，只要在招标人提供的招标工程量清单中已经列明，投标人都需要对其报价，并纳入投标总价的计算。</w:t>
      </w:r>
    </w:p>
    <w:p w14:paraId="1329F93B">
      <w:pPr>
        <w:spacing w:line="380" w:lineRule="exact"/>
        <w:rPr>
          <w:rFonts w:hint="eastAsia" w:ascii="黑体" w:eastAsia="黑体"/>
        </w:rPr>
      </w:pPr>
      <w:r>
        <w:rPr>
          <w:rFonts w:hint="eastAsia" w:ascii="黑体" w:eastAsia="黑体"/>
        </w:rPr>
        <w:t>3.3暂列金额和暂估价</w:t>
      </w:r>
    </w:p>
    <w:p w14:paraId="11488C67">
      <w:pPr>
        <w:spacing w:line="380" w:lineRule="exact"/>
        <w:ind w:left="735" w:hanging="735" w:hangingChars="350"/>
        <w:rPr>
          <w:rFonts w:hint="eastAsia" w:ascii="宋体" w:hAnsi="宋体"/>
        </w:rPr>
      </w:pPr>
      <w:r>
        <w:rPr>
          <w:rFonts w:hint="eastAsia" w:ascii="黑体" w:eastAsia="黑体"/>
        </w:rPr>
        <w:t xml:space="preserve">3.3.1  </w:t>
      </w:r>
      <w:r>
        <w:rPr>
          <w:rFonts w:hint="eastAsia" w:ascii="宋体" w:hAnsi="宋体"/>
        </w:rPr>
        <w:t>采用一般计税方法的，“暂列金额明细表”中所列暂列金额为不含进项税额和销项税额的金额。投标人应按本招标文件规定将此类暂列金额直接纳入其他项目清单的投标价格，并计取相应的销项税额。</w:t>
      </w:r>
    </w:p>
    <w:p w14:paraId="7403CBAC">
      <w:pPr>
        <w:spacing w:line="380" w:lineRule="exact"/>
        <w:ind w:left="735" w:leftChars="350"/>
        <w:rPr>
          <w:rFonts w:hint="eastAsia" w:ascii="黑体" w:eastAsia="黑体"/>
        </w:rPr>
      </w:pPr>
      <w:r>
        <w:rPr>
          <w:rFonts w:hint="eastAsia" w:ascii="宋体" w:hAnsi="宋体"/>
        </w:rPr>
        <w:t>采用简易计税方法，“暂列金额明细表”中所列暂列金额为含进项税额但不含销项税额的金额。投标人应按本招标文件规定将此类暂列金额直接纳入其他项目清单的投标价格，并计取相应的增值税征收率。</w:t>
      </w:r>
    </w:p>
    <w:p w14:paraId="292FB981">
      <w:pPr>
        <w:spacing w:line="380" w:lineRule="exact"/>
        <w:ind w:left="735" w:hanging="735" w:hangingChars="350"/>
        <w:rPr>
          <w:rFonts w:hint="eastAsia" w:ascii="黑体" w:eastAsia="黑体"/>
        </w:rPr>
      </w:pPr>
      <w:r>
        <w:rPr>
          <w:rFonts w:hint="eastAsia" w:ascii="黑体" w:eastAsia="黑体"/>
        </w:rPr>
        <w:t xml:space="preserve">3.3.2  </w:t>
      </w:r>
      <w:r>
        <w:rPr>
          <w:rFonts w:hint="eastAsia" w:ascii="宋体" w:hAnsi="宋体"/>
        </w:rPr>
        <w:t>“材料（工程设备）暂估单价表”中所列的材料和工程设备暂估价是此类材料、工程设备本身运至施工现场内的工地地面价，除应按本招标文件规定将此类暂估价本身纳入分部分项工程和单价措施项目清单相应项目的综合单价以外，投标人还应将上述材料和工程设备的安装及辅助工作所发生的费用以及与此类费用有关的</w:t>
      </w:r>
      <w:r>
        <w:rPr>
          <w:rFonts w:ascii="宋体" w:hAnsi="宋体"/>
        </w:rPr>
        <w:t>企业</w:t>
      </w:r>
      <w:r>
        <w:rPr>
          <w:rFonts w:hint="eastAsia" w:ascii="宋体" w:hAnsi="宋体"/>
        </w:rPr>
        <w:t>管理费和利润包含在分部分项工程和单价措施项目清单相应项目的综合单价中。</w:t>
      </w:r>
    </w:p>
    <w:p w14:paraId="18FF7D3D">
      <w:pPr>
        <w:spacing w:line="380" w:lineRule="exact"/>
        <w:ind w:left="735" w:hanging="735" w:hangingChars="350"/>
        <w:rPr>
          <w:rFonts w:hint="eastAsia" w:ascii="宋体" w:hAnsi="宋体"/>
        </w:rPr>
      </w:pPr>
      <w:r>
        <w:rPr>
          <w:rFonts w:hint="eastAsia" w:ascii="黑体" w:eastAsia="黑体"/>
        </w:rPr>
        <w:t xml:space="preserve">3.3.3  </w:t>
      </w:r>
      <w:r>
        <w:rPr>
          <w:rFonts w:hint="eastAsia" w:ascii="宋体" w:hAnsi="宋体"/>
        </w:rPr>
        <w:t>采用一般计税</w:t>
      </w:r>
      <w:r>
        <w:rPr>
          <w:rFonts w:hint="eastAsia"/>
        </w:rPr>
        <w:t>方</w:t>
      </w:r>
      <w:r>
        <w:rPr>
          <w:rFonts w:hint="eastAsia" w:ascii="宋体" w:hAnsi="宋体"/>
        </w:rPr>
        <w:t>法的，“专业工程暂估价表”中所列专业工程暂估价为不含进项税额和销项税额的</w:t>
      </w:r>
      <w:r>
        <w:rPr>
          <w:rFonts w:hint="eastAsia"/>
        </w:rPr>
        <w:t>金额</w:t>
      </w:r>
      <w:r>
        <w:rPr>
          <w:rFonts w:hint="eastAsia" w:ascii="宋体" w:hAnsi="宋体"/>
        </w:rPr>
        <w:t>。投标人应按本招标文件规定将此类专业工程暂估金额直接纳入其他项目清单的投标价格，并计取相应的销项税额。</w:t>
      </w:r>
    </w:p>
    <w:p w14:paraId="509BC71B">
      <w:pPr>
        <w:spacing w:line="380" w:lineRule="exact"/>
        <w:ind w:left="735" w:leftChars="350"/>
        <w:rPr>
          <w:rFonts w:hint="eastAsia" w:ascii="黑体" w:eastAsia="黑体"/>
        </w:rPr>
      </w:pPr>
      <w:r>
        <w:rPr>
          <w:rFonts w:hint="eastAsia" w:ascii="宋体" w:hAnsi="宋体"/>
        </w:rPr>
        <w:t>采用简易计税</w:t>
      </w:r>
      <w:r>
        <w:rPr>
          <w:rFonts w:hint="eastAsia"/>
        </w:rPr>
        <w:t>方</w:t>
      </w:r>
      <w:r>
        <w:rPr>
          <w:rFonts w:hint="eastAsia" w:ascii="宋体" w:hAnsi="宋体"/>
        </w:rPr>
        <w:t>法的，“专业工程暂估价表”中所列专业工程暂估价为含进项税额但不含销项税额的</w:t>
      </w:r>
      <w:r>
        <w:rPr>
          <w:rFonts w:hint="eastAsia"/>
        </w:rPr>
        <w:t>金额</w:t>
      </w:r>
      <w:r>
        <w:rPr>
          <w:rFonts w:hint="eastAsia" w:ascii="宋体" w:hAnsi="宋体"/>
        </w:rPr>
        <w:t>。投标人应按本招标文件规定将此类专业工程暂估金额直接纳入其他项目清单的投标价格，并计取相应的增值税征收率。</w:t>
      </w:r>
    </w:p>
    <w:p w14:paraId="4DD8C6A6">
      <w:pPr>
        <w:spacing w:line="380" w:lineRule="exact"/>
        <w:ind w:left="735" w:hanging="735" w:hangingChars="350"/>
        <w:rPr>
          <w:rFonts w:hint="eastAsia" w:ascii="黑体" w:eastAsia="黑体"/>
        </w:rPr>
      </w:pPr>
      <w:r>
        <w:rPr>
          <w:rFonts w:hint="eastAsia" w:ascii="黑体" w:eastAsia="黑体"/>
        </w:rPr>
        <w:t>3.4其他补充说明</w:t>
      </w:r>
    </w:p>
    <w:p w14:paraId="22C8EFDA">
      <w:pPr>
        <w:spacing w:line="380" w:lineRule="exact"/>
        <w:ind w:firstLine="420" w:firstLineChars="200"/>
        <w:rPr>
          <w:rFonts w:hint="eastAsia" w:ascii="黑体" w:eastAsia="黑体"/>
          <w:u w:val="single"/>
        </w:rPr>
      </w:pPr>
      <w:r>
        <w:rPr>
          <w:rFonts w:hint="eastAsia" w:ascii="黑体" w:eastAsia="黑体"/>
          <w:u w:val="single"/>
        </w:rPr>
        <w:t xml:space="preserve">                                                                             </w:t>
      </w:r>
    </w:p>
    <w:p w14:paraId="33D80FC6">
      <w:pPr>
        <w:spacing w:line="380" w:lineRule="exact"/>
        <w:ind w:firstLine="420" w:firstLineChars="200"/>
        <w:rPr>
          <w:rFonts w:hint="eastAsia" w:ascii="黑体" w:eastAsia="黑体"/>
          <w:u w:val="single"/>
        </w:rPr>
      </w:pPr>
      <w:r>
        <w:rPr>
          <w:rFonts w:hint="eastAsia" w:ascii="黑体" w:eastAsia="黑体"/>
          <w:u w:val="single"/>
        </w:rPr>
        <w:t xml:space="preserve">                                                                             </w:t>
      </w:r>
    </w:p>
    <w:p w14:paraId="4DFB6DF0">
      <w:pPr>
        <w:spacing w:after="240" w:afterLines="100" w:line="380" w:lineRule="exact"/>
        <w:rPr>
          <w:rFonts w:hint="eastAsia" w:ascii="黑体" w:eastAsia="黑体"/>
          <w:sz w:val="28"/>
          <w:szCs w:val="28"/>
          <w:u w:val="single"/>
        </w:rPr>
      </w:pPr>
    </w:p>
    <w:p w14:paraId="5DCC62E4">
      <w:pPr>
        <w:spacing w:after="240" w:afterLines="100" w:line="380" w:lineRule="exact"/>
        <w:rPr>
          <w:rFonts w:hint="eastAsia" w:ascii="黑体" w:eastAsia="黑体"/>
          <w:sz w:val="28"/>
          <w:szCs w:val="28"/>
          <w:u w:val="single"/>
        </w:rPr>
      </w:pPr>
    </w:p>
    <w:p w14:paraId="65444AAC">
      <w:pPr>
        <w:spacing w:after="240" w:afterLines="100" w:line="380" w:lineRule="exact"/>
        <w:rPr>
          <w:rFonts w:hint="eastAsia" w:ascii="黑体" w:eastAsia="黑体"/>
          <w:sz w:val="28"/>
          <w:szCs w:val="28"/>
          <w:u w:val="single"/>
        </w:rPr>
      </w:pPr>
    </w:p>
    <w:p w14:paraId="63280459">
      <w:pPr>
        <w:pStyle w:val="18"/>
        <w:rPr>
          <w:rFonts w:hint="eastAsia"/>
          <w:szCs w:val="28"/>
        </w:rPr>
      </w:pPr>
      <w:bookmarkStart w:id="2583" w:name="_Toc108514169"/>
      <w:r>
        <w:rPr>
          <w:rFonts w:hint="eastAsia"/>
          <w:szCs w:val="28"/>
        </w:rPr>
        <w:t>4、工程量清单与计价表</w:t>
      </w:r>
      <w:bookmarkEnd w:id="2583"/>
    </w:p>
    <w:p w14:paraId="555C1A62">
      <w:pPr>
        <w:spacing w:line="380" w:lineRule="exact"/>
        <w:ind w:left="735" w:hanging="735" w:hangingChars="350"/>
        <w:rPr>
          <w:rFonts w:hint="eastAsia" w:ascii="宋体" w:hAnsi="宋体"/>
        </w:rPr>
      </w:pPr>
    </w:p>
    <w:p w14:paraId="1DB4AEFD">
      <w:pPr>
        <w:spacing w:line="380" w:lineRule="exact"/>
        <w:ind w:left="735" w:hanging="735" w:hangingChars="350"/>
        <w:rPr>
          <w:rFonts w:hint="eastAsia" w:ascii="宋体" w:hAnsi="宋体"/>
        </w:rPr>
      </w:pPr>
    </w:p>
    <w:p w14:paraId="36EBCFEF">
      <w:pPr>
        <w:spacing w:line="380" w:lineRule="exact"/>
        <w:ind w:left="735" w:hanging="735" w:hangingChars="350"/>
        <w:rPr>
          <w:rFonts w:hint="eastAsia" w:ascii="宋体" w:hAnsi="宋体"/>
        </w:rPr>
      </w:pPr>
    </w:p>
    <w:p w14:paraId="116EE740">
      <w:pPr>
        <w:spacing w:line="380" w:lineRule="exact"/>
        <w:ind w:left="735" w:hanging="735" w:hangingChars="350"/>
        <w:rPr>
          <w:rFonts w:hint="eastAsia" w:ascii="宋体" w:hAnsi="宋体"/>
        </w:rPr>
      </w:pPr>
    </w:p>
    <w:p w14:paraId="51DD5708">
      <w:pPr>
        <w:spacing w:line="380" w:lineRule="exact"/>
        <w:ind w:left="735" w:hanging="735" w:hangingChars="350"/>
        <w:rPr>
          <w:rFonts w:hint="eastAsia" w:ascii="宋体" w:hAnsi="宋体"/>
        </w:rPr>
      </w:pPr>
    </w:p>
    <w:p w14:paraId="767B7224">
      <w:pPr>
        <w:spacing w:line="380" w:lineRule="exact"/>
        <w:ind w:left="735" w:hanging="735" w:hangingChars="350"/>
        <w:rPr>
          <w:rFonts w:hint="eastAsia" w:ascii="宋体" w:hAnsi="宋体"/>
        </w:rPr>
      </w:pPr>
    </w:p>
    <w:p w14:paraId="2677D2C8">
      <w:pPr>
        <w:spacing w:line="380" w:lineRule="exact"/>
        <w:ind w:left="735" w:hanging="735" w:hangingChars="350"/>
        <w:rPr>
          <w:rFonts w:hint="eastAsia" w:ascii="宋体" w:hAnsi="宋体"/>
        </w:rPr>
      </w:pPr>
    </w:p>
    <w:p w14:paraId="55237005">
      <w:pPr>
        <w:spacing w:line="380" w:lineRule="exact"/>
        <w:ind w:left="735" w:hanging="735" w:hangingChars="350"/>
        <w:rPr>
          <w:rFonts w:hint="eastAsia" w:ascii="宋体" w:hAnsi="宋体"/>
        </w:rPr>
      </w:pPr>
    </w:p>
    <w:p w14:paraId="6D1485C7">
      <w:pPr>
        <w:spacing w:line="380" w:lineRule="exact"/>
        <w:ind w:left="735" w:hanging="735" w:hangingChars="350"/>
        <w:rPr>
          <w:rFonts w:hint="eastAsia" w:ascii="宋体" w:hAnsi="宋体"/>
        </w:rPr>
      </w:pPr>
    </w:p>
    <w:p w14:paraId="12CE0109">
      <w:pPr>
        <w:spacing w:line="380" w:lineRule="exact"/>
        <w:ind w:left="735" w:hanging="735" w:hangingChars="350"/>
        <w:rPr>
          <w:rFonts w:hint="eastAsia" w:ascii="宋体" w:hAnsi="宋体"/>
        </w:rPr>
      </w:pPr>
    </w:p>
    <w:p w14:paraId="321E8315">
      <w:pPr>
        <w:spacing w:line="380" w:lineRule="exact"/>
        <w:ind w:left="735" w:hanging="735" w:hangingChars="350"/>
        <w:rPr>
          <w:rFonts w:hint="eastAsia" w:ascii="宋体" w:hAnsi="宋体"/>
        </w:rPr>
      </w:pPr>
    </w:p>
    <w:p w14:paraId="375391FF">
      <w:pPr>
        <w:spacing w:line="380" w:lineRule="exact"/>
        <w:ind w:left="735" w:hanging="735" w:hangingChars="350"/>
        <w:rPr>
          <w:rFonts w:hint="eastAsia" w:ascii="宋体" w:hAnsi="宋体"/>
        </w:rPr>
      </w:pPr>
    </w:p>
    <w:p w14:paraId="08185D23">
      <w:pPr>
        <w:spacing w:line="380" w:lineRule="exact"/>
        <w:ind w:left="735" w:hanging="735" w:hangingChars="350"/>
        <w:rPr>
          <w:rFonts w:hint="eastAsia" w:ascii="宋体" w:hAnsi="宋体"/>
        </w:rPr>
      </w:pPr>
    </w:p>
    <w:p w14:paraId="5D3DF2C3">
      <w:pPr>
        <w:spacing w:line="380" w:lineRule="exact"/>
        <w:ind w:left="735" w:hanging="735" w:hangingChars="350"/>
        <w:rPr>
          <w:rFonts w:hint="eastAsia" w:ascii="宋体" w:hAnsi="宋体"/>
        </w:rPr>
      </w:pPr>
    </w:p>
    <w:p w14:paraId="7B4892CA">
      <w:pPr>
        <w:spacing w:line="380" w:lineRule="exact"/>
        <w:ind w:left="735" w:hanging="735" w:hangingChars="350"/>
        <w:rPr>
          <w:rFonts w:hint="eastAsia" w:ascii="宋体" w:hAnsi="宋体"/>
        </w:rPr>
      </w:pPr>
    </w:p>
    <w:p w14:paraId="75E0E3A3">
      <w:pPr>
        <w:spacing w:line="380" w:lineRule="exact"/>
        <w:ind w:left="735" w:hanging="735" w:hangingChars="350"/>
        <w:rPr>
          <w:rFonts w:hint="eastAsia" w:ascii="宋体" w:hAnsi="宋体"/>
        </w:rPr>
      </w:pPr>
    </w:p>
    <w:p w14:paraId="7F4C2361">
      <w:pPr>
        <w:spacing w:line="380" w:lineRule="exact"/>
        <w:ind w:left="735" w:hanging="735" w:hangingChars="350"/>
        <w:rPr>
          <w:rFonts w:hint="eastAsia" w:ascii="宋体" w:hAnsi="宋体"/>
        </w:rPr>
      </w:pPr>
    </w:p>
    <w:p w14:paraId="17F21D18">
      <w:pPr>
        <w:spacing w:line="380" w:lineRule="exact"/>
        <w:ind w:left="735" w:hanging="735" w:hangingChars="350"/>
        <w:rPr>
          <w:rFonts w:hint="eastAsia" w:ascii="宋体" w:hAnsi="宋体"/>
        </w:rPr>
      </w:pPr>
    </w:p>
    <w:p w14:paraId="4BF42307">
      <w:pPr>
        <w:spacing w:line="380" w:lineRule="exact"/>
        <w:ind w:left="735" w:hanging="735" w:hangingChars="350"/>
        <w:rPr>
          <w:rFonts w:hint="eastAsia" w:ascii="宋体" w:hAnsi="宋体"/>
        </w:rPr>
      </w:pPr>
    </w:p>
    <w:p w14:paraId="4098D546">
      <w:pPr>
        <w:spacing w:line="380" w:lineRule="exact"/>
        <w:ind w:left="735" w:hanging="735" w:hangingChars="350"/>
        <w:rPr>
          <w:rFonts w:hint="eastAsia" w:ascii="宋体" w:hAnsi="宋体"/>
        </w:rPr>
      </w:pPr>
    </w:p>
    <w:p w14:paraId="6FB671A8">
      <w:pPr>
        <w:spacing w:line="380" w:lineRule="exact"/>
        <w:ind w:left="735" w:hanging="735" w:hangingChars="350"/>
        <w:rPr>
          <w:rFonts w:hint="eastAsia" w:ascii="宋体" w:hAnsi="宋体"/>
        </w:rPr>
      </w:pPr>
    </w:p>
    <w:p w14:paraId="221D5E4C">
      <w:pPr>
        <w:spacing w:line="380" w:lineRule="exact"/>
        <w:ind w:left="735" w:hanging="735" w:hangingChars="350"/>
        <w:rPr>
          <w:rFonts w:hint="eastAsia" w:ascii="宋体" w:hAnsi="宋体"/>
        </w:rPr>
      </w:pPr>
    </w:p>
    <w:p w14:paraId="1000E90E">
      <w:pPr>
        <w:spacing w:line="380" w:lineRule="exact"/>
        <w:ind w:left="735" w:hanging="735" w:hangingChars="350"/>
        <w:rPr>
          <w:rFonts w:hint="eastAsia" w:ascii="宋体" w:hAnsi="宋体"/>
        </w:rPr>
      </w:pPr>
    </w:p>
    <w:p w14:paraId="5413C254">
      <w:pPr>
        <w:spacing w:line="380" w:lineRule="exact"/>
        <w:ind w:left="735" w:hanging="735" w:hangingChars="350"/>
        <w:rPr>
          <w:rFonts w:hint="eastAsia" w:ascii="宋体" w:hAnsi="宋体"/>
        </w:rPr>
      </w:pPr>
    </w:p>
    <w:p w14:paraId="2F2D09AB">
      <w:pPr>
        <w:spacing w:line="380" w:lineRule="exact"/>
        <w:ind w:left="735" w:hanging="735" w:hangingChars="350"/>
        <w:rPr>
          <w:rFonts w:hint="eastAsia" w:ascii="宋体" w:hAnsi="宋体"/>
        </w:rPr>
      </w:pPr>
    </w:p>
    <w:p w14:paraId="7DF4F4B4">
      <w:pPr>
        <w:spacing w:line="380" w:lineRule="exact"/>
        <w:ind w:left="735" w:hanging="735" w:hangingChars="350"/>
        <w:rPr>
          <w:rFonts w:hint="eastAsia" w:ascii="宋体" w:hAnsi="宋体"/>
        </w:rPr>
      </w:pPr>
    </w:p>
    <w:p w14:paraId="2782EF15">
      <w:pPr>
        <w:spacing w:line="380" w:lineRule="exact"/>
        <w:ind w:left="735" w:hanging="735" w:hangingChars="350"/>
        <w:rPr>
          <w:rFonts w:hint="eastAsia" w:ascii="宋体" w:hAnsi="宋体"/>
        </w:rPr>
      </w:pPr>
    </w:p>
    <w:p w14:paraId="24E7399C">
      <w:pPr>
        <w:spacing w:line="380" w:lineRule="exact"/>
        <w:ind w:left="735" w:hanging="735" w:hangingChars="350"/>
        <w:rPr>
          <w:rFonts w:hint="eastAsia" w:ascii="宋体" w:hAnsi="宋体"/>
        </w:rPr>
      </w:pPr>
    </w:p>
    <w:p w14:paraId="69FF6A09">
      <w:pPr>
        <w:spacing w:line="380" w:lineRule="exact"/>
        <w:ind w:left="735" w:hanging="735" w:hangingChars="350"/>
        <w:rPr>
          <w:rFonts w:hint="eastAsia" w:ascii="宋体" w:hAnsi="宋体"/>
        </w:rPr>
      </w:pPr>
      <w:r>
        <w:rPr>
          <w:rFonts w:hint="eastAsia" w:ascii="宋体" w:hAnsi="宋体"/>
        </w:rPr>
        <w:t xml:space="preserve">备注：1. </w:t>
      </w:r>
      <w:r>
        <w:rPr>
          <w:rFonts w:hint="eastAsia" w:ascii="宋体" w:hAnsi="宋体"/>
          <w:szCs w:val="21"/>
        </w:rPr>
        <w:t>以下表格供招标人参考。</w:t>
      </w:r>
    </w:p>
    <w:p w14:paraId="67B5CEC2">
      <w:pPr>
        <w:spacing w:line="380" w:lineRule="exact"/>
        <w:ind w:left="945" w:leftChars="300" w:hanging="315" w:hangingChars="150"/>
        <w:rPr>
          <w:rFonts w:hint="eastAsia" w:ascii="宋体" w:hAnsi="宋体"/>
          <w:szCs w:val="21"/>
        </w:rPr>
      </w:pPr>
      <w:r>
        <w:rPr>
          <w:rFonts w:hint="eastAsia" w:ascii="宋体" w:hAnsi="宋体"/>
          <w:szCs w:val="21"/>
        </w:rPr>
        <w:t>2. 以下表格中的单价应根据所选用计税方法不同进行调整。一般计税方法应为除税价格，简易计税方法应为含税价格。</w:t>
      </w:r>
    </w:p>
    <w:p w14:paraId="788FA4B1">
      <w:pPr>
        <w:spacing w:line="380" w:lineRule="exact"/>
        <w:ind w:left="735" w:hanging="735" w:hangingChars="350"/>
        <w:rPr>
          <w:rFonts w:hint="eastAsia"/>
          <w:szCs w:val="28"/>
        </w:rPr>
      </w:pPr>
    </w:p>
    <w:p w14:paraId="7E56D7F7">
      <w:pPr>
        <w:spacing w:line="380" w:lineRule="exact"/>
        <w:ind w:left="735" w:hanging="735" w:hangingChars="350"/>
        <w:rPr>
          <w:rFonts w:hint="eastAsia"/>
          <w:szCs w:val="28"/>
        </w:rPr>
      </w:pPr>
    </w:p>
    <w:p w14:paraId="212C985E">
      <w:pPr>
        <w:spacing w:line="380" w:lineRule="exact"/>
        <w:ind w:left="735" w:hanging="735" w:hangingChars="350"/>
        <w:rPr>
          <w:rFonts w:hint="eastAsia"/>
          <w:szCs w:val="28"/>
        </w:rPr>
      </w:pPr>
    </w:p>
    <w:p w14:paraId="01131849">
      <w:pPr>
        <w:pStyle w:val="20"/>
        <w:rPr>
          <w:rFonts w:hint="eastAsia"/>
        </w:rPr>
      </w:pPr>
      <w:bookmarkStart w:id="2584" w:name="_Toc108514170"/>
      <w:r>
        <w:rPr>
          <w:rFonts w:hint="eastAsia"/>
        </w:rPr>
        <w:t>4.1招标工程量清单封面</w:t>
      </w:r>
      <w:bookmarkEnd w:id="2584"/>
    </w:p>
    <w:p w14:paraId="2AF6EA3E">
      <w:pPr>
        <w:spacing w:line="380" w:lineRule="exact"/>
        <w:ind w:firstLine="420" w:firstLineChars="200"/>
        <w:rPr>
          <w:rFonts w:hint="eastAsia" w:ascii="黑体" w:hAnsi="宋体" w:eastAsia="黑体"/>
        </w:rPr>
      </w:pPr>
    </w:p>
    <w:p w14:paraId="668511D3">
      <w:pPr>
        <w:spacing w:line="380" w:lineRule="exact"/>
        <w:ind w:firstLine="420" w:firstLineChars="200"/>
        <w:rPr>
          <w:rFonts w:hint="eastAsia" w:ascii="黑体" w:hAnsi="宋体" w:eastAsia="黑体"/>
        </w:rPr>
      </w:pPr>
    </w:p>
    <w:p w14:paraId="7F2D4CFC">
      <w:pPr>
        <w:spacing w:line="380" w:lineRule="exact"/>
        <w:jc w:val="center"/>
        <w:rPr>
          <w:rFonts w:hint="eastAsia" w:ascii="黑体" w:hAnsi="宋体" w:eastAsia="黑体"/>
        </w:rPr>
      </w:pPr>
      <w:r>
        <w:rPr>
          <w:rFonts w:hint="eastAsia" w:ascii="黑体" w:hAnsi="宋体" w:eastAsia="黑体"/>
        </w:rPr>
        <w:t xml:space="preserve"> </w:t>
      </w:r>
    </w:p>
    <w:p w14:paraId="4ACCA322">
      <w:pPr>
        <w:spacing w:line="380" w:lineRule="exact"/>
        <w:jc w:val="center"/>
        <w:rPr>
          <w:rFonts w:hint="eastAsia" w:ascii="宋体" w:hAnsi="宋体"/>
          <w:b/>
          <w:sz w:val="28"/>
          <w:szCs w:val="28"/>
        </w:rPr>
      </w:pPr>
      <w:r>
        <w:rPr>
          <w:rFonts w:hint="eastAsia" w:ascii="黑体" w:hAnsi="宋体" w:eastAsia="黑体"/>
        </w:rPr>
        <w:t xml:space="preserve">   </w:t>
      </w:r>
      <w:r>
        <w:rPr>
          <w:rFonts w:hint="eastAsia" w:ascii="黑体" w:hAnsi="宋体" w:eastAsia="黑体"/>
          <w:u w:val="single"/>
        </w:rPr>
        <w:t xml:space="preserve">                                            </w:t>
      </w:r>
      <w:r>
        <w:rPr>
          <w:rFonts w:hint="eastAsia" w:ascii="宋体" w:hAnsi="宋体"/>
          <w:b/>
          <w:sz w:val="28"/>
          <w:szCs w:val="28"/>
        </w:rPr>
        <w:t>工程</w:t>
      </w:r>
    </w:p>
    <w:p w14:paraId="19299AE8">
      <w:pPr>
        <w:spacing w:line="380" w:lineRule="exact"/>
        <w:jc w:val="center"/>
        <w:rPr>
          <w:rFonts w:hint="eastAsia" w:ascii="宋体" w:hAnsi="宋体"/>
        </w:rPr>
      </w:pPr>
    </w:p>
    <w:p w14:paraId="6438CBB1">
      <w:pPr>
        <w:spacing w:line="380" w:lineRule="exact"/>
        <w:jc w:val="center"/>
        <w:rPr>
          <w:rFonts w:hint="eastAsia" w:ascii="宋体" w:hAnsi="宋体"/>
        </w:rPr>
      </w:pPr>
    </w:p>
    <w:p w14:paraId="6B7D96AD">
      <w:pPr>
        <w:spacing w:line="380" w:lineRule="exact"/>
        <w:ind w:firstLine="640" w:firstLineChars="200"/>
        <w:jc w:val="center"/>
        <w:rPr>
          <w:rFonts w:hint="eastAsia" w:ascii="黑体" w:hAnsi="宋体" w:eastAsia="黑体"/>
          <w:sz w:val="32"/>
          <w:szCs w:val="32"/>
        </w:rPr>
      </w:pPr>
    </w:p>
    <w:p w14:paraId="6AFEF431">
      <w:pPr>
        <w:spacing w:line="380" w:lineRule="exact"/>
        <w:ind w:firstLine="640" w:firstLineChars="200"/>
        <w:jc w:val="center"/>
        <w:rPr>
          <w:rFonts w:hint="eastAsia" w:ascii="黑体" w:hAnsi="宋体" w:eastAsia="黑体"/>
          <w:sz w:val="32"/>
          <w:szCs w:val="32"/>
        </w:rPr>
      </w:pPr>
    </w:p>
    <w:p w14:paraId="1F209F97">
      <w:pPr>
        <w:spacing w:line="380" w:lineRule="exact"/>
        <w:ind w:firstLine="880" w:firstLineChars="200"/>
        <w:jc w:val="center"/>
        <w:rPr>
          <w:rFonts w:hint="eastAsia" w:ascii="黑体" w:hAnsi="宋体" w:eastAsia="黑体"/>
          <w:sz w:val="44"/>
          <w:szCs w:val="44"/>
        </w:rPr>
      </w:pPr>
    </w:p>
    <w:p w14:paraId="429A0CB8">
      <w:pPr>
        <w:spacing w:line="380" w:lineRule="exact"/>
        <w:ind w:firstLine="880" w:firstLineChars="200"/>
        <w:jc w:val="center"/>
        <w:rPr>
          <w:rFonts w:hint="eastAsia" w:ascii="黑体" w:hAnsi="宋体" w:eastAsia="黑体"/>
          <w:sz w:val="44"/>
          <w:szCs w:val="44"/>
        </w:rPr>
      </w:pPr>
    </w:p>
    <w:p w14:paraId="5A6FF7D9">
      <w:pPr>
        <w:spacing w:line="380" w:lineRule="exact"/>
        <w:ind w:firstLine="720" w:firstLineChars="200"/>
        <w:jc w:val="center"/>
        <w:rPr>
          <w:rFonts w:hint="eastAsia" w:ascii="黑体" w:hAnsi="宋体" w:eastAsia="黑体"/>
          <w:sz w:val="36"/>
          <w:szCs w:val="36"/>
        </w:rPr>
      </w:pPr>
      <w:r>
        <w:rPr>
          <w:rFonts w:hint="eastAsia" w:ascii="黑体" w:hAnsi="宋体" w:eastAsia="黑体"/>
          <w:sz w:val="36"/>
          <w:szCs w:val="36"/>
        </w:rPr>
        <w:t>招 标 工 程 量 清 单</w:t>
      </w:r>
    </w:p>
    <w:p w14:paraId="3646E037">
      <w:pPr>
        <w:spacing w:line="380" w:lineRule="exact"/>
        <w:ind w:firstLine="880" w:firstLineChars="200"/>
        <w:jc w:val="center"/>
        <w:rPr>
          <w:rFonts w:hint="eastAsia" w:ascii="黑体" w:hAnsi="宋体" w:eastAsia="黑体"/>
          <w:sz w:val="44"/>
          <w:szCs w:val="44"/>
        </w:rPr>
      </w:pPr>
    </w:p>
    <w:p w14:paraId="63FF14A3">
      <w:pPr>
        <w:spacing w:line="380" w:lineRule="exact"/>
        <w:ind w:firstLine="880" w:firstLineChars="200"/>
        <w:jc w:val="center"/>
        <w:rPr>
          <w:rFonts w:hint="eastAsia" w:ascii="黑体" w:hAnsi="宋体" w:eastAsia="黑体"/>
          <w:sz w:val="44"/>
          <w:szCs w:val="44"/>
        </w:rPr>
      </w:pPr>
    </w:p>
    <w:p w14:paraId="6A0FD752">
      <w:pPr>
        <w:spacing w:line="380" w:lineRule="exact"/>
        <w:ind w:firstLine="560" w:firstLineChars="200"/>
        <w:jc w:val="center"/>
        <w:rPr>
          <w:rFonts w:hint="eastAsia" w:ascii="黑体" w:hAnsi="宋体" w:eastAsia="黑体"/>
          <w:sz w:val="28"/>
          <w:szCs w:val="28"/>
        </w:rPr>
      </w:pPr>
    </w:p>
    <w:p w14:paraId="6137CED7">
      <w:pPr>
        <w:spacing w:line="380" w:lineRule="exact"/>
        <w:ind w:firstLine="560" w:firstLineChars="200"/>
        <w:jc w:val="center"/>
        <w:rPr>
          <w:rFonts w:hint="eastAsia" w:ascii="黑体" w:hAnsi="宋体" w:eastAsia="黑体"/>
          <w:sz w:val="28"/>
          <w:szCs w:val="28"/>
        </w:rPr>
      </w:pPr>
    </w:p>
    <w:p w14:paraId="5137B31E">
      <w:pPr>
        <w:spacing w:line="380" w:lineRule="exact"/>
        <w:ind w:firstLine="560" w:firstLineChars="200"/>
        <w:jc w:val="center"/>
        <w:rPr>
          <w:rFonts w:hint="eastAsia" w:ascii="黑体" w:hAnsi="宋体" w:eastAsia="黑体"/>
          <w:sz w:val="28"/>
          <w:szCs w:val="28"/>
        </w:rPr>
      </w:pPr>
    </w:p>
    <w:p w14:paraId="1FBB6F93">
      <w:pPr>
        <w:spacing w:line="380" w:lineRule="exact"/>
        <w:ind w:firstLine="560" w:firstLineChars="200"/>
        <w:jc w:val="center"/>
        <w:rPr>
          <w:rFonts w:hint="eastAsia" w:ascii="黑体" w:hAnsi="宋体" w:eastAsia="黑体"/>
          <w:sz w:val="28"/>
          <w:szCs w:val="28"/>
        </w:rPr>
      </w:pPr>
    </w:p>
    <w:p w14:paraId="4CC7CC2F">
      <w:pPr>
        <w:spacing w:line="380" w:lineRule="exact"/>
        <w:ind w:firstLine="560" w:firstLineChars="200"/>
        <w:jc w:val="center"/>
        <w:rPr>
          <w:rFonts w:hint="eastAsia" w:ascii="黑体" w:hAnsi="宋体" w:eastAsia="黑体"/>
          <w:sz w:val="28"/>
          <w:szCs w:val="28"/>
        </w:rPr>
      </w:pPr>
    </w:p>
    <w:p w14:paraId="246A6408">
      <w:pPr>
        <w:spacing w:line="380" w:lineRule="exact"/>
        <w:ind w:firstLine="560" w:firstLineChars="200"/>
        <w:jc w:val="center"/>
        <w:rPr>
          <w:rFonts w:hint="eastAsia" w:ascii="黑体" w:hAnsi="宋体" w:eastAsia="黑体"/>
          <w:sz w:val="28"/>
          <w:szCs w:val="28"/>
        </w:rPr>
      </w:pPr>
    </w:p>
    <w:p w14:paraId="30CAAA8D">
      <w:pPr>
        <w:spacing w:line="380" w:lineRule="exact"/>
        <w:ind w:firstLine="560" w:firstLineChars="200"/>
        <w:jc w:val="center"/>
        <w:rPr>
          <w:rFonts w:hint="eastAsia" w:ascii="黑体" w:hAnsi="宋体" w:eastAsia="黑体"/>
          <w:sz w:val="28"/>
          <w:szCs w:val="28"/>
        </w:rPr>
      </w:pPr>
    </w:p>
    <w:p w14:paraId="354E5EFB">
      <w:pPr>
        <w:spacing w:line="380" w:lineRule="exact"/>
        <w:rPr>
          <w:rFonts w:hint="eastAsia" w:ascii="黑体" w:hAnsi="宋体" w:eastAsia="黑体"/>
          <w:sz w:val="28"/>
          <w:szCs w:val="28"/>
        </w:rPr>
      </w:pPr>
    </w:p>
    <w:p w14:paraId="5DBE5659">
      <w:pPr>
        <w:spacing w:line="380" w:lineRule="exact"/>
        <w:ind w:firstLine="560" w:firstLineChars="200"/>
        <w:jc w:val="center"/>
        <w:rPr>
          <w:rFonts w:hint="eastAsia" w:ascii="黑体" w:hAnsi="宋体" w:eastAsia="黑体"/>
          <w:sz w:val="28"/>
          <w:szCs w:val="28"/>
        </w:rPr>
      </w:pPr>
    </w:p>
    <w:p w14:paraId="64C448FC">
      <w:pPr>
        <w:spacing w:line="200" w:lineRule="exact"/>
        <w:rPr>
          <w:rFonts w:hint="eastAsia" w:ascii="宋体" w:hAnsi="宋体"/>
        </w:rPr>
      </w:pPr>
    </w:p>
    <w:p w14:paraId="04694927">
      <w:pPr>
        <w:spacing w:line="260" w:lineRule="exact"/>
        <w:ind w:firstLine="1920" w:firstLineChars="800"/>
        <w:rPr>
          <w:rFonts w:hint="eastAsia" w:ascii="宋体" w:hAnsi="宋体"/>
          <w:sz w:val="24"/>
        </w:rPr>
      </w:pPr>
      <w:r>
        <w:rPr>
          <w:rFonts w:hint="eastAsia" w:ascii="宋体" w:hAnsi="宋体"/>
          <w:sz w:val="24"/>
        </w:rPr>
        <w:t>招  标  人：</w:t>
      </w:r>
      <w:r>
        <w:rPr>
          <w:rFonts w:hint="eastAsia" w:ascii="黑体" w:hAnsi="宋体" w:eastAsia="黑体"/>
          <w:sz w:val="24"/>
          <w:u w:val="single"/>
        </w:rPr>
        <w:t xml:space="preserve">                          </w:t>
      </w:r>
    </w:p>
    <w:p w14:paraId="1C4A0D5E">
      <w:pPr>
        <w:spacing w:line="260" w:lineRule="exact"/>
        <w:ind w:firstLine="4080" w:firstLineChars="1700"/>
        <w:rPr>
          <w:rFonts w:hint="eastAsia" w:ascii="宋体" w:hAnsi="宋体"/>
          <w:sz w:val="24"/>
        </w:rPr>
      </w:pPr>
      <w:r>
        <w:rPr>
          <w:rFonts w:hint="eastAsia" w:ascii="宋体" w:hAnsi="宋体"/>
          <w:sz w:val="24"/>
        </w:rPr>
        <w:t>(单位盖章)</w:t>
      </w:r>
    </w:p>
    <w:p w14:paraId="1921A1D8">
      <w:pPr>
        <w:spacing w:line="260" w:lineRule="exact"/>
        <w:rPr>
          <w:rFonts w:hint="eastAsia" w:ascii="宋体" w:hAnsi="宋体"/>
          <w:sz w:val="24"/>
        </w:rPr>
      </w:pPr>
    </w:p>
    <w:p w14:paraId="458E74A6">
      <w:pPr>
        <w:spacing w:line="260" w:lineRule="exact"/>
        <w:rPr>
          <w:rFonts w:hint="eastAsia" w:ascii="宋体" w:hAnsi="宋体"/>
          <w:sz w:val="24"/>
        </w:rPr>
      </w:pPr>
    </w:p>
    <w:p w14:paraId="4B6C0C47">
      <w:pPr>
        <w:spacing w:line="260" w:lineRule="exact"/>
        <w:rPr>
          <w:rFonts w:hint="eastAsia" w:ascii="宋体" w:hAnsi="宋体"/>
          <w:sz w:val="24"/>
        </w:rPr>
      </w:pPr>
    </w:p>
    <w:p w14:paraId="61F88E88">
      <w:pPr>
        <w:spacing w:line="260" w:lineRule="exact"/>
        <w:ind w:firstLine="1920" w:firstLineChars="800"/>
        <w:rPr>
          <w:rFonts w:hint="eastAsia" w:ascii="宋体" w:hAnsi="宋体"/>
          <w:sz w:val="24"/>
        </w:rPr>
      </w:pPr>
      <w:r>
        <w:rPr>
          <w:rFonts w:hint="eastAsia" w:ascii="宋体" w:hAnsi="宋体"/>
          <w:sz w:val="24"/>
        </w:rPr>
        <w:t>造价咨询人：</w:t>
      </w:r>
      <w:r>
        <w:rPr>
          <w:rFonts w:hint="eastAsia" w:ascii="黑体" w:hAnsi="宋体" w:eastAsia="黑体"/>
          <w:sz w:val="24"/>
          <w:u w:val="single"/>
        </w:rPr>
        <w:t xml:space="preserve">                          </w:t>
      </w:r>
    </w:p>
    <w:p w14:paraId="3D9BCFBF">
      <w:pPr>
        <w:spacing w:line="260" w:lineRule="exact"/>
        <w:rPr>
          <w:rFonts w:hint="eastAsia" w:ascii="宋体" w:hAnsi="宋体"/>
          <w:sz w:val="24"/>
        </w:rPr>
      </w:pPr>
      <w:r>
        <w:rPr>
          <w:rFonts w:hint="eastAsia" w:ascii="宋体" w:hAnsi="宋体"/>
          <w:sz w:val="24"/>
        </w:rPr>
        <w:t xml:space="preserve">                                  (单位盖章)</w:t>
      </w:r>
    </w:p>
    <w:p w14:paraId="768D9B73">
      <w:pPr>
        <w:spacing w:line="380" w:lineRule="exact"/>
        <w:rPr>
          <w:rFonts w:hint="eastAsia" w:ascii="宋体" w:hAnsi="宋体"/>
          <w:sz w:val="24"/>
        </w:rPr>
      </w:pPr>
    </w:p>
    <w:p w14:paraId="26CC15BB">
      <w:pPr>
        <w:spacing w:line="220" w:lineRule="exact"/>
        <w:rPr>
          <w:rFonts w:hint="eastAsia" w:ascii="宋体" w:hAnsi="宋体"/>
          <w:sz w:val="24"/>
        </w:rPr>
      </w:pPr>
    </w:p>
    <w:p w14:paraId="647E5662">
      <w:pPr>
        <w:spacing w:line="380" w:lineRule="exact"/>
        <w:ind w:firstLine="3000" w:firstLineChars="1250"/>
        <w:rPr>
          <w:rFonts w:hint="eastAsia" w:ascii="宋体" w:hAnsi="宋体"/>
          <w:sz w:val="24"/>
        </w:rPr>
      </w:pPr>
      <w:r>
        <w:rPr>
          <w:rFonts w:hint="eastAsia" w:ascii="宋体" w:hAnsi="宋体"/>
          <w:sz w:val="24"/>
        </w:rPr>
        <w:t xml:space="preserve">        年    月    日</w:t>
      </w:r>
    </w:p>
    <w:p w14:paraId="07B1DF48">
      <w:pPr>
        <w:spacing w:line="380" w:lineRule="exact"/>
        <w:rPr>
          <w:rFonts w:hint="eastAsia" w:ascii="宋体" w:hAnsi="宋体"/>
          <w:sz w:val="28"/>
          <w:szCs w:val="28"/>
        </w:rPr>
      </w:pPr>
    </w:p>
    <w:p w14:paraId="4F48658A">
      <w:pPr>
        <w:spacing w:line="380" w:lineRule="exact"/>
        <w:rPr>
          <w:rFonts w:hint="eastAsia" w:ascii="宋体" w:hAnsi="宋体"/>
        </w:rPr>
      </w:pPr>
    </w:p>
    <w:p w14:paraId="115A94A6">
      <w:pPr>
        <w:spacing w:line="380" w:lineRule="exact"/>
        <w:rPr>
          <w:rFonts w:hint="eastAsia" w:ascii="宋体" w:hAnsi="宋体"/>
        </w:rPr>
      </w:pPr>
    </w:p>
    <w:p w14:paraId="3AB3C64C">
      <w:pPr>
        <w:spacing w:line="380" w:lineRule="exact"/>
        <w:rPr>
          <w:rFonts w:hint="eastAsia" w:ascii="宋体" w:hAnsi="宋体"/>
        </w:rPr>
      </w:pPr>
    </w:p>
    <w:p w14:paraId="5ABD2C86">
      <w:pPr>
        <w:pStyle w:val="20"/>
        <w:rPr>
          <w:rFonts w:hint="eastAsia"/>
        </w:rPr>
      </w:pPr>
      <w:bookmarkStart w:id="2585" w:name="_Toc108514171"/>
      <w:r>
        <w:rPr>
          <w:rFonts w:hint="eastAsia"/>
        </w:rPr>
        <w:t>4.2招标工程量清单扉页</w:t>
      </w:r>
      <w:bookmarkEnd w:id="2585"/>
    </w:p>
    <w:p w14:paraId="6E758BC3">
      <w:pPr>
        <w:spacing w:line="380" w:lineRule="exact"/>
        <w:ind w:firstLine="420" w:firstLineChars="200"/>
        <w:rPr>
          <w:rFonts w:hint="eastAsia" w:ascii="黑体" w:hAnsi="宋体" w:eastAsia="黑体"/>
        </w:rPr>
      </w:pPr>
    </w:p>
    <w:p w14:paraId="717B139C">
      <w:pPr>
        <w:spacing w:line="380" w:lineRule="exact"/>
        <w:ind w:firstLine="420" w:firstLineChars="200"/>
        <w:rPr>
          <w:rFonts w:hint="eastAsia" w:ascii="黑体" w:hAnsi="宋体" w:eastAsia="黑体"/>
        </w:rPr>
      </w:pPr>
    </w:p>
    <w:p w14:paraId="3643C958">
      <w:pPr>
        <w:spacing w:line="380" w:lineRule="exact"/>
        <w:jc w:val="center"/>
        <w:rPr>
          <w:rFonts w:hint="eastAsia" w:ascii="宋体" w:hAnsi="宋体"/>
          <w:b/>
        </w:rPr>
      </w:pPr>
      <w:r>
        <w:rPr>
          <w:rFonts w:hint="eastAsia" w:ascii="黑体" w:hAnsi="宋体" w:eastAsia="黑体"/>
        </w:rPr>
        <w:t xml:space="preserve">    </w:t>
      </w:r>
      <w:r>
        <w:rPr>
          <w:rFonts w:hint="eastAsia" w:ascii="黑体" w:hAnsi="宋体" w:eastAsia="黑体"/>
          <w:u w:val="single"/>
        </w:rPr>
        <w:t xml:space="preserve">                                            </w:t>
      </w:r>
      <w:r>
        <w:rPr>
          <w:rFonts w:hint="eastAsia" w:ascii="宋体" w:hAnsi="宋体"/>
          <w:b/>
        </w:rPr>
        <w:t>工程</w:t>
      </w:r>
    </w:p>
    <w:p w14:paraId="0F7B3F21">
      <w:pPr>
        <w:spacing w:line="380" w:lineRule="exact"/>
        <w:jc w:val="center"/>
        <w:rPr>
          <w:rFonts w:hint="eastAsia" w:ascii="宋体" w:hAnsi="宋体"/>
        </w:rPr>
      </w:pPr>
    </w:p>
    <w:p w14:paraId="7FF49F84">
      <w:pPr>
        <w:spacing w:line="380" w:lineRule="exact"/>
        <w:jc w:val="center"/>
        <w:rPr>
          <w:rFonts w:hint="eastAsia" w:ascii="宋体" w:hAnsi="宋体"/>
        </w:rPr>
      </w:pPr>
    </w:p>
    <w:p w14:paraId="3C2A4A03">
      <w:pPr>
        <w:spacing w:line="380" w:lineRule="exact"/>
        <w:ind w:firstLine="640" w:firstLineChars="200"/>
        <w:jc w:val="center"/>
        <w:rPr>
          <w:rFonts w:hint="eastAsia" w:ascii="黑体" w:hAnsi="宋体" w:eastAsia="黑体"/>
          <w:sz w:val="32"/>
          <w:szCs w:val="32"/>
        </w:rPr>
      </w:pPr>
      <w:r>
        <w:rPr>
          <w:rFonts w:hint="eastAsia" w:ascii="黑体" w:hAnsi="宋体" w:eastAsia="黑体"/>
          <w:sz w:val="32"/>
          <w:szCs w:val="32"/>
        </w:rPr>
        <w:t>招 标 工 程 量 清 单</w:t>
      </w:r>
    </w:p>
    <w:p w14:paraId="77E9D833">
      <w:pPr>
        <w:spacing w:line="380" w:lineRule="exact"/>
        <w:ind w:firstLine="560" w:firstLineChars="200"/>
        <w:jc w:val="center"/>
        <w:rPr>
          <w:rFonts w:hint="eastAsia" w:ascii="黑体" w:hAnsi="宋体" w:eastAsia="黑体"/>
          <w:sz w:val="28"/>
          <w:szCs w:val="28"/>
        </w:rPr>
      </w:pPr>
    </w:p>
    <w:p w14:paraId="39B73297">
      <w:pPr>
        <w:spacing w:line="380" w:lineRule="exact"/>
        <w:ind w:firstLine="560" w:firstLineChars="200"/>
        <w:jc w:val="center"/>
        <w:rPr>
          <w:rFonts w:hint="eastAsia" w:ascii="黑体" w:hAnsi="宋体" w:eastAsia="黑体"/>
          <w:sz w:val="28"/>
          <w:szCs w:val="28"/>
        </w:rPr>
      </w:pPr>
    </w:p>
    <w:p w14:paraId="7A092040">
      <w:pPr>
        <w:spacing w:line="380" w:lineRule="exact"/>
        <w:ind w:firstLine="560" w:firstLineChars="200"/>
        <w:jc w:val="center"/>
        <w:rPr>
          <w:rFonts w:hint="eastAsia" w:ascii="黑体" w:hAnsi="宋体" w:eastAsia="黑体"/>
          <w:sz w:val="28"/>
          <w:szCs w:val="28"/>
        </w:rPr>
      </w:pPr>
    </w:p>
    <w:p w14:paraId="16F8ECE5">
      <w:pPr>
        <w:spacing w:line="380" w:lineRule="exact"/>
        <w:ind w:firstLine="560" w:firstLineChars="200"/>
        <w:jc w:val="center"/>
        <w:rPr>
          <w:rFonts w:hint="eastAsia" w:ascii="黑体" w:hAnsi="宋体" w:eastAsia="黑体"/>
          <w:sz w:val="28"/>
          <w:szCs w:val="28"/>
        </w:rPr>
      </w:pPr>
    </w:p>
    <w:p w14:paraId="591D24F1">
      <w:pPr>
        <w:spacing w:line="380" w:lineRule="exact"/>
        <w:ind w:firstLine="560" w:firstLineChars="200"/>
        <w:jc w:val="center"/>
        <w:rPr>
          <w:rFonts w:hint="eastAsia" w:ascii="黑体" w:hAnsi="宋体" w:eastAsia="黑体"/>
          <w:sz w:val="28"/>
          <w:szCs w:val="28"/>
        </w:rPr>
      </w:pPr>
    </w:p>
    <w:p w14:paraId="168DCE90">
      <w:pPr>
        <w:spacing w:line="380" w:lineRule="exact"/>
        <w:ind w:firstLine="560" w:firstLineChars="200"/>
        <w:jc w:val="center"/>
        <w:rPr>
          <w:rFonts w:hint="eastAsia" w:ascii="黑体" w:hAnsi="宋体" w:eastAsia="黑体"/>
          <w:sz w:val="28"/>
          <w:szCs w:val="28"/>
        </w:rPr>
      </w:pPr>
    </w:p>
    <w:p w14:paraId="683FBFA0">
      <w:pPr>
        <w:spacing w:line="200" w:lineRule="exact"/>
        <w:ind w:firstLine="3981" w:firstLineChars="1896"/>
        <w:rPr>
          <w:rFonts w:hint="eastAsia" w:ascii="宋体" w:hAnsi="宋体"/>
        </w:rPr>
      </w:pPr>
    </w:p>
    <w:p w14:paraId="64E995C2">
      <w:pPr>
        <w:spacing w:line="260" w:lineRule="exact"/>
        <w:rPr>
          <w:rFonts w:hint="eastAsia" w:ascii="宋体" w:hAnsi="宋体"/>
        </w:rPr>
      </w:pPr>
      <w:r>
        <w:rPr>
          <w:rFonts w:hint="eastAsia" w:ascii="宋体" w:hAnsi="宋体"/>
        </w:rPr>
        <w:t>招标人：</w:t>
      </w:r>
      <w:r>
        <w:rPr>
          <w:rFonts w:hint="eastAsia" w:ascii="黑体" w:hAnsi="宋体" w:eastAsia="黑体"/>
          <w:u w:val="single"/>
        </w:rPr>
        <w:t xml:space="preserve">                          </w:t>
      </w:r>
      <w:r>
        <w:rPr>
          <w:rFonts w:hint="eastAsia" w:ascii="宋体" w:hAnsi="宋体"/>
        </w:rPr>
        <w:t xml:space="preserve">    造价咨询人</w:t>
      </w:r>
      <w:r>
        <w:rPr>
          <w:rFonts w:hint="eastAsia" w:ascii="宋体" w:hAnsi="宋体"/>
          <w:szCs w:val="21"/>
        </w:rPr>
        <w:t>：</w:t>
      </w:r>
      <w:r>
        <w:rPr>
          <w:rFonts w:hint="eastAsia" w:ascii="黑体" w:hAnsi="宋体" w:eastAsia="黑体"/>
          <w:u w:val="single"/>
        </w:rPr>
        <w:t xml:space="preserve">                          </w:t>
      </w:r>
    </w:p>
    <w:p w14:paraId="5D0DA530">
      <w:pPr>
        <w:spacing w:line="260" w:lineRule="exact"/>
        <w:rPr>
          <w:rFonts w:hint="eastAsia" w:ascii="宋体" w:hAnsi="宋体"/>
        </w:rPr>
      </w:pPr>
      <w:r>
        <w:rPr>
          <w:rFonts w:hint="eastAsia" w:ascii="宋体" w:hAnsi="宋体"/>
        </w:rPr>
        <w:t xml:space="preserve">               (单位盖章)                             (单位资质专用章)</w:t>
      </w:r>
    </w:p>
    <w:p w14:paraId="16419EFD">
      <w:pPr>
        <w:spacing w:line="380" w:lineRule="exact"/>
        <w:rPr>
          <w:rFonts w:hint="eastAsia" w:ascii="宋体" w:hAnsi="宋体"/>
        </w:rPr>
      </w:pPr>
    </w:p>
    <w:p w14:paraId="26F95347">
      <w:pPr>
        <w:spacing w:line="380" w:lineRule="exact"/>
        <w:rPr>
          <w:rFonts w:hint="eastAsia" w:ascii="宋体" w:hAnsi="宋体"/>
        </w:rPr>
      </w:pPr>
    </w:p>
    <w:p w14:paraId="355D0448">
      <w:pPr>
        <w:spacing w:line="380" w:lineRule="exact"/>
        <w:rPr>
          <w:rFonts w:hint="eastAsia" w:ascii="宋体" w:hAnsi="宋体"/>
        </w:rPr>
      </w:pPr>
    </w:p>
    <w:p w14:paraId="54B0128B">
      <w:pPr>
        <w:spacing w:line="380" w:lineRule="exact"/>
        <w:rPr>
          <w:rFonts w:hint="eastAsia" w:ascii="宋体" w:hAnsi="宋体"/>
        </w:rPr>
      </w:pPr>
    </w:p>
    <w:p w14:paraId="15620CB7">
      <w:pPr>
        <w:spacing w:line="200" w:lineRule="exact"/>
        <w:rPr>
          <w:rFonts w:hint="eastAsia" w:ascii="宋体" w:hAnsi="宋体"/>
        </w:rPr>
      </w:pPr>
      <w:r>
        <w:rPr>
          <w:rFonts w:hint="eastAsia" w:ascii="宋体" w:hAnsi="宋体"/>
        </w:rPr>
        <w:t>法定代表人                            法定代表人</w:t>
      </w:r>
    </w:p>
    <w:p w14:paraId="628BFCBB">
      <w:pPr>
        <w:spacing w:line="260" w:lineRule="exact"/>
        <w:rPr>
          <w:rFonts w:hint="eastAsia" w:ascii="宋体" w:hAnsi="宋体"/>
        </w:rPr>
      </w:pPr>
      <w:r>
        <w:rPr>
          <w:rFonts w:hint="eastAsia" w:ascii="宋体" w:hAnsi="宋体"/>
        </w:rPr>
        <w:t>或其授权人：</w:t>
      </w:r>
      <w:r>
        <w:rPr>
          <w:rFonts w:hint="eastAsia" w:ascii="黑体" w:hAnsi="宋体" w:eastAsia="黑体"/>
          <w:u w:val="single"/>
        </w:rPr>
        <w:t xml:space="preserve">                      </w:t>
      </w:r>
      <w:r>
        <w:rPr>
          <w:rFonts w:hint="eastAsia" w:ascii="宋体" w:hAnsi="宋体"/>
        </w:rPr>
        <w:t xml:space="preserve">    或其授权人：</w:t>
      </w:r>
      <w:r>
        <w:rPr>
          <w:rFonts w:hint="eastAsia" w:ascii="黑体" w:hAnsi="宋体" w:eastAsia="黑体"/>
          <w:u w:val="single"/>
        </w:rPr>
        <w:t xml:space="preserve">                          </w:t>
      </w:r>
    </w:p>
    <w:p w14:paraId="3055AA8A">
      <w:pPr>
        <w:spacing w:line="260" w:lineRule="exact"/>
        <w:ind w:firstLine="1050" w:firstLineChars="500"/>
        <w:rPr>
          <w:rFonts w:hint="eastAsia" w:ascii="宋体" w:hAnsi="宋体"/>
        </w:rPr>
      </w:pPr>
      <w:r>
        <w:rPr>
          <w:rFonts w:hint="eastAsia" w:ascii="宋体" w:hAnsi="宋体"/>
        </w:rPr>
        <w:t xml:space="preserve">     (签字或盖章)                            (签字或盖章)</w:t>
      </w:r>
    </w:p>
    <w:p w14:paraId="0C306C1E">
      <w:pPr>
        <w:spacing w:line="380" w:lineRule="exact"/>
        <w:rPr>
          <w:rFonts w:hint="eastAsia" w:ascii="宋体" w:hAnsi="宋体"/>
        </w:rPr>
      </w:pPr>
    </w:p>
    <w:p w14:paraId="1857BA60">
      <w:pPr>
        <w:spacing w:line="380" w:lineRule="exact"/>
        <w:rPr>
          <w:rFonts w:hint="eastAsia" w:ascii="宋体" w:hAnsi="宋体"/>
        </w:rPr>
      </w:pPr>
    </w:p>
    <w:p w14:paraId="2AB96A74">
      <w:pPr>
        <w:spacing w:line="380" w:lineRule="exact"/>
        <w:rPr>
          <w:rFonts w:hint="eastAsia" w:ascii="宋体" w:hAnsi="宋体"/>
        </w:rPr>
      </w:pPr>
    </w:p>
    <w:p w14:paraId="262487E5">
      <w:pPr>
        <w:spacing w:line="380" w:lineRule="exact"/>
        <w:rPr>
          <w:rFonts w:hint="eastAsia" w:ascii="宋体" w:hAnsi="宋体"/>
        </w:rPr>
      </w:pPr>
    </w:p>
    <w:p w14:paraId="74D94A72">
      <w:pPr>
        <w:spacing w:line="260" w:lineRule="exact"/>
        <w:rPr>
          <w:rFonts w:hint="eastAsia" w:ascii="宋体" w:hAnsi="宋体"/>
        </w:rPr>
      </w:pPr>
      <w:r>
        <w:rPr>
          <w:rFonts w:hint="eastAsia" w:ascii="宋体" w:hAnsi="宋体"/>
        </w:rPr>
        <w:t>编制人：</w:t>
      </w:r>
      <w:r>
        <w:rPr>
          <w:rFonts w:hint="eastAsia" w:ascii="黑体" w:hAnsi="宋体" w:eastAsia="黑体"/>
          <w:u w:val="single"/>
        </w:rPr>
        <w:t xml:space="preserve">                          </w:t>
      </w:r>
      <w:r>
        <w:rPr>
          <w:rFonts w:hint="eastAsia" w:ascii="黑体" w:hAnsi="宋体" w:eastAsia="黑体"/>
        </w:rPr>
        <w:t xml:space="preserve"> </w:t>
      </w:r>
      <w:r>
        <w:rPr>
          <w:rFonts w:hint="eastAsia" w:ascii="宋体" w:hAnsi="宋体"/>
        </w:rPr>
        <w:t xml:space="preserve">   复核人：</w:t>
      </w:r>
      <w:r>
        <w:rPr>
          <w:rFonts w:hint="eastAsia" w:ascii="黑体" w:hAnsi="宋体" w:eastAsia="黑体"/>
          <w:u w:val="single"/>
        </w:rPr>
        <w:t xml:space="preserve">                              </w:t>
      </w:r>
    </w:p>
    <w:p w14:paraId="3248611F">
      <w:pPr>
        <w:spacing w:line="260" w:lineRule="exact"/>
        <w:ind w:firstLine="1050" w:firstLineChars="500"/>
        <w:rPr>
          <w:rFonts w:hint="eastAsia" w:ascii="宋体" w:hAnsi="宋体"/>
        </w:rPr>
      </w:pPr>
      <w:r>
        <w:rPr>
          <w:rFonts w:hint="eastAsia" w:ascii="宋体" w:hAnsi="宋体"/>
        </w:rPr>
        <w:t>(造价人员签字盖专用章)                   (造价工程师签字盖专用章)</w:t>
      </w:r>
    </w:p>
    <w:p w14:paraId="73773410">
      <w:pPr>
        <w:spacing w:line="220" w:lineRule="exact"/>
        <w:rPr>
          <w:rFonts w:hint="eastAsia" w:ascii="宋体" w:hAnsi="宋体"/>
        </w:rPr>
      </w:pPr>
    </w:p>
    <w:p w14:paraId="29DA00A0">
      <w:pPr>
        <w:spacing w:line="220" w:lineRule="exact"/>
        <w:rPr>
          <w:rFonts w:hint="eastAsia" w:ascii="宋体" w:hAnsi="宋体"/>
        </w:rPr>
      </w:pPr>
    </w:p>
    <w:p w14:paraId="21668DE5">
      <w:pPr>
        <w:spacing w:line="220" w:lineRule="exact"/>
        <w:rPr>
          <w:rFonts w:hint="eastAsia" w:ascii="宋体" w:hAnsi="宋体"/>
        </w:rPr>
      </w:pPr>
    </w:p>
    <w:p w14:paraId="7AD7FF33">
      <w:pPr>
        <w:spacing w:line="220" w:lineRule="exact"/>
        <w:rPr>
          <w:rFonts w:hint="eastAsia" w:ascii="宋体" w:hAnsi="宋体"/>
        </w:rPr>
      </w:pPr>
    </w:p>
    <w:p w14:paraId="0DD4313F">
      <w:pPr>
        <w:spacing w:line="220" w:lineRule="exact"/>
        <w:rPr>
          <w:rFonts w:hint="eastAsia" w:ascii="宋体" w:hAnsi="宋体"/>
        </w:rPr>
      </w:pPr>
    </w:p>
    <w:p w14:paraId="39CE4547">
      <w:pPr>
        <w:spacing w:line="220" w:lineRule="exact"/>
        <w:rPr>
          <w:rFonts w:hint="eastAsia" w:ascii="宋体" w:hAnsi="宋体"/>
        </w:rPr>
      </w:pPr>
    </w:p>
    <w:p w14:paraId="0FDD18ED">
      <w:pPr>
        <w:spacing w:line="380" w:lineRule="exact"/>
        <w:rPr>
          <w:rFonts w:hint="eastAsia" w:ascii="宋体" w:hAnsi="宋体"/>
        </w:rPr>
      </w:pPr>
      <w:r>
        <w:rPr>
          <w:rFonts w:hint="eastAsia" w:ascii="宋体" w:hAnsi="宋体"/>
        </w:rPr>
        <w:t>编制时间：    年    月    日           复核时间：    年    月    日</w:t>
      </w:r>
    </w:p>
    <w:p w14:paraId="5D8B7EA2">
      <w:pPr>
        <w:spacing w:line="380" w:lineRule="exact"/>
        <w:rPr>
          <w:rFonts w:hint="eastAsia" w:ascii="宋体" w:hAnsi="宋体"/>
        </w:rPr>
      </w:pPr>
    </w:p>
    <w:p w14:paraId="309C4E47">
      <w:pPr>
        <w:spacing w:line="380" w:lineRule="exact"/>
        <w:rPr>
          <w:rFonts w:hint="eastAsia" w:ascii="宋体" w:hAnsi="宋体"/>
        </w:rPr>
      </w:pPr>
    </w:p>
    <w:p w14:paraId="19DA4FC7">
      <w:pPr>
        <w:spacing w:line="380" w:lineRule="exact"/>
        <w:rPr>
          <w:rFonts w:hint="eastAsia" w:ascii="宋体" w:hAnsi="宋体"/>
        </w:rPr>
      </w:pPr>
    </w:p>
    <w:p w14:paraId="41649E7A">
      <w:pPr>
        <w:spacing w:line="380" w:lineRule="exact"/>
        <w:rPr>
          <w:rFonts w:hint="eastAsia" w:ascii="宋体" w:hAnsi="宋体"/>
        </w:rPr>
      </w:pPr>
    </w:p>
    <w:p w14:paraId="36A3A143">
      <w:pPr>
        <w:pStyle w:val="20"/>
        <w:rPr>
          <w:rFonts w:hint="eastAsia"/>
        </w:rPr>
      </w:pPr>
      <w:bookmarkStart w:id="2586" w:name="_Toc108514172"/>
      <w:r>
        <w:rPr>
          <w:rFonts w:hint="eastAsia"/>
        </w:rPr>
        <w:t>4.3投标总价封面</w:t>
      </w:r>
      <w:bookmarkEnd w:id="2586"/>
    </w:p>
    <w:p w14:paraId="5B16200D">
      <w:pPr>
        <w:spacing w:line="380" w:lineRule="exact"/>
        <w:ind w:firstLine="480" w:firstLineChars="200"/>
        <w:rPr>
          <w:rFonts w:hint="eastAsia" w:ascii="黑体" w:eastAsia="黑体"/>
          <w:sz w:val="24"/>
        </w:rPr>
      </w:pPr>
    </w:p>
    <w:p w14:paraId="76D03B35">
      <w:pPr>
        <w:spacing w:line="380" w:lineRule="exact"/>
        <w:ind w:firstLine="480" w:firstLineChars="200"/>
        <w:rPr>
          <w:rFonts w:hint="eastAsia" w:ascii="黑体" w:eastAsia="黑体"/>
          <w:sz w:val="24"/>
        </w:rPr>
      </w:pPr>
    </w:p>
    <w:p w14:paraId="3E0C4A5C">
      <w:pPr>
        <w:spacing w:line="380" w:lineRule="exact"/>
        <w:ind w:firstLine="480" w:firstLineChars="200"/>
        <w:rPr>
          <w:rFonts w:hint="eastAsia" w:ascii="黑体" w:eastAsia="黑体"/>
          <w:sz w:val="24"/>
        </w:rPr>
      </w:pPr>
    </w:p>
    <w:p w14:paraId="6A5A07BA">
      <w:pPr>
        <w:spacing w:after="480" w:afterLines="200" w:line="380" w:lineRule="exact"/>
        <w:ind w:firstLine="800" w:firstLineChars="200"/>
        <w:jc w:val="center"/>
        <w:rPr>
          <w:rFonts w:hint="eastAsia" w:ascii="黑体" w:eastAsia="黑体"/>
          <w:spacing w:val="20"/>
          <w:sz w:val="36"/>
          <w:szCs w:val="36"/>
        </w:rPr>
      </w:pPr>
    </w:p>
    <w:p w14:paraId="4AB81805">
      <w:pPr>
        <w:spacing w:after="480" w:afterLines="200" w:line="380" w:lineRule="exact"/>
        <w:ind w:firstLine="800" w:firstLineChars="200"/>
        <w:jc w:val="center"/>
        <w:rPr>
          <w:rFonts w:hint="eastAsia" w:ascii="黑体" w:eastAsia="黑体"/>
          <w:spacing w:val="20"/>
          <w:sz w:val="36"/>
          <w:szCs w:val="36"/>
        </w:rPr>
      </w:pPr>
    </w:p>
    <w:p w14:paraId="7B0E443D">
      <w:pPr>
        <w:spacing w:after="480" w:afterLines="200" w:line="380" w:lineRule="exact"/>
        <w:ind w:firstLine="800" w:firstLineChars="200"/>
        <w:jc w:val="center"/>
        <w:rPr>
          <w:rFonts w:hint="eastAsia" w:ascii="黑体" w:eastAsia="黑体"/>
          <w:spacing w:val="20"/>
          <w:sz w:val="36"/>
          <w:szCs w:val="36"/>
        </w:rPr>
      </w:pPr>
      <w:r>
        <w:rPr>
          <w:rFonts w:hint="eastAsia" w:ascii="黑体" w:eastAsia="黑体"/>
          <w:spacing w:val="20"/>
          <w:sz w:val="36"/>
          <w:szCs w:val="36"/>
        </w:rPr>
        <w:t>投标总价</w:t>
      </w:r>
    </w:p>
    <w:p w14:paraId="48437400">
      <w:pPr>
        <w:spacing w:line="600" w:lineRule="exact"/>
        <w:ind w:firstLine="1260" w:firstLineChars="600"/>
        <w:rPr>
          <w:rFonts w:hint="eastAsia" w:ascii="黑体" w:eastAsia="黑体"/>
        </w:rPr>
      </w:pPr>
    </w:p>
    <w:p w14:paraId="208B5B7C">
      <w:pPr>
        <w:spacing w:line="600" w:lineRule="exact"/>
        <w:ind w:firstLine="1260" w:firstLineChars="600"/>
        <w:rPr>
          <w:rFonts w:hint="eastAsia" w:ascii="黑体" w:eastAsia="黑体"/>
        </w:rPr>
      </w:pPr>
    </w:p>
    <w:p w14:paraId="67F510FE">
      <w:pPr>
        <w:spacing w:line="600" w:lineRule="exact"/>
        <w:ind w:firstLine="1260" w:firstLineChars="600"/>
        <w:rPr>
          <w:rFonts w:hint="eastAsia" w:ascii="黑体" w:eastAsia="黑体"/>
        </w:rPr>
      </w:pPr>
    </w:p>
    <w:p w14:paraId="32A08193">
      <w:pPr>
        <w:spacing w:line="600" w:lineRule="exact"/>
        <w:ind w:firstLine="1260" w:firstLineChars="600"/>
        <w:rPr>
          <w:rFonts w:hint="eastAsia" w:ascii="黑体" w:eastAsia="黑体"/>
        </w:rPr>
      </w:pPr>
    </w:p>
    <w:p w14:paraId="405E266F">
      <w:pPr>
        <w:spacing w:line="600" w:lineRule="exact"/>
        <w:ind w:firstLine="1260" w:firstLineChars="600"/>
        <w:rPr>
          <w:rFonts w:hint="eastAsia" w:ascii="黑体" w:eastAsia="黑体"/>
        </w:rPr>
      </w:pPr>
    </w:p>
    <w:p w14:paraId="547290F9">
      <w:pPr>
        <w:spacing w:line="600" w:lineRule="exact"/>
        <w:ind w:firstLine="1260" w:firstLineChars="600"/>
        <w:rPr>
          <w:rFonts w:hint="eastAsia" w:ascii="黑体" w:eastAsia="黑体"/>
        </w:rPr>
      </w:pPr>
    </w:p>
    <w:p w14:paraId="7BE57CA1">
      <w:pPr>
        <w:spacing w:line="600" w:lineRule="exact"/>
        <w:ind w:firstLine="1260" w:firstLineChars="600"/>
        <w:rPr>
          <w:rFonts w:hint="eastAsia" w:ascii="黑体" w:eastAsia="黑体"/>
        </w:rPr>
      </w:pPr>
    </w:p>
    <w:p w14:paraId="183E328B">
      <w:pPr>
        <w:spacing w:line="600" w:lineRule="exact"/>
        <w:ind w:firstLine="1260" w:firstLineChars="600"/>
        <w:rPr>
          <w:rFonts w:hint="eastAsia" w:ascii="黑体" w:eastAsia="黑体"/>
        </w:rPr>
      </w:pPr>
    </w:p>
    <w:p w14:paraId="2D7A336D">
      <w:pPr>
        <w:spacing w:line="600" w:lineRule="exact"/>
        <w:ind w:firstLine="1260" w:firstLineChars="600"/>
        <w:rPr>
          <w:rFonts w:hint="eastAsia" w:ascii="黑体" w:eastAsia="黑体"/>
        </w:rPr>
      </w:pPr>
    </w:p>
    <w:p w14:paraId="32ABD9B3">
      <w:pPr>
        <w:spacing w:line="600" w:lineRule="exact"/>
        <w:ind w:firstLine="1260" w:firstLineChars="600"/>
        <w:rPr>
          <w:rFonts w:hint="eastAsia" w:ascii="黑体" w:eastAsia="黑体"/>
        </w:rPr>
      </w:pPr>
    </w:p>
    <w:p w14:paraId="1DD886B6">
      <w:pPr>
        <w:spacing w:line="320" w:lineRule="exact"/>
        <w:ind w:firstLine="2040" w:firstLineChars="850"/>
        <w:rPr>
          <w:rFonts w:hint="eastAsia" w:ascii="宋体" w:hAnsi="宋体"/>
          <w:sz w:val="24"/>
        </w:rPr>
      </w:pPr>
      <w:r>
        <w:rPr>
          <w:rFonts w:hint="eastAsia" w:ascii="宋体" w:hAnsi="宋体"/>
          <w:sz w:val="24"/>
        </w:rPr>
        <w:t>投 标 人：</w:t>
      </w:r>
      <w:r>
        <w:rPr>
          <w:rFonts w:hint="eastAsia" w:ascii="宋体" w:hAnsi="宋体"/>
          <w:sz w:val="24"/>
          <w:u w:val="single"/>
        </w:rPr>
        <w:t xml:space="preserve">                               </w:t>
      </w:r>
    </w:p>
    <w:p w14:paraId="6C053425">
      <w:pPr>
        <w:spacing w:line="320" w:lineRule="exact"/>
        <w:ind w:firstLine="4440" w:firstLineChars="1850"/>
        <w:rPr>
          <w:rFonts w:hint="eastAsia" w:ascii="宋体" w:hAnsi="宋体"/>
          <w:sz w:val="24"/>
        </w:rPr>
      </w:pPr>
      <w:r>
        <w:rPr>
          <w:rFonts w:hint="eastAsia" w:ascii="宋体" w:hAnsi="宋体"/>
          <w:sz w:val="24"/>
        </w:rPr>
        <w:t>(单位盖章)</w:t>
      </w:r>
    </w:p>
    <w:p w14:paraId="191B0576">
      <w:pPr>
        <w:spacing w:line="380" w:lineRule="exact"/>
        <w:ind w:firstLine="420" w:firstLineChars="200"/>
        <w:rPr>
          <w:rFonts w:hint="eastAsia" w:ascii="宋体" w:hAnsi="宋体"/>
        </w:rPr>
      </w:pPr>
    </w:p>
    <w:p w14:paraId="40AF8D8F">
      <w:pPr>
        <w:spacing w:line="380" w:lineRule="exact"/>
        <w:ind w:firstLine="420" w:firstLineChars="200"/>
        <w:rPr>
          <w:rFonts w:hint="eastAsia" w:ascii="宋体" w:hAnsi="宋体"/>
        </w:rPr>
      </w:pPr>
    </w:p>
    <w:p w14:paraId="03A325D5">
      <w:pPr>
        <w:spacing w:line="380" w:lineRule="exact"/>
        <w:ind w:firstLine="420" w:firstLineChars="200"/>
        <w:rPr>
          <w:rFonts w:hint="eastAsia" w:ascii="宋体" w:hAnsi="宋体"/>
          <w:sz w:val="24"/>
        </w:rPr>
      </w:pPr>
      <w:r>
        <w:rPr>
          <w:rFonts w:hint="eastAsia" w:ascii="宋体" w:hAnsi="宋体"/>
        </w:rPr>
        <w:t xml:space="preserve">        </w:t>
      </w:r>
      <w:r>
        <w:rPr>
          <w:rFonts w:hint="eastAsia" w:ascii="宋体" w:hAnsi="宋体"/>
          <w:sz w:val="24"/>
        </w:rPr>
        <w:t xml:space="preserve">                        年      月      日</w:t>
      </w:r>
    </w:p>
    <w:p w14:paraId="36E66CA7">
      <w:pPr>
        <w:spacing w:line="380" w:lineRule="exact"/>
        <w:rPr>
          <w:rFonts w:hint="eastAsia" w:ascii="黑体" w:eastAsia="黑体"/>
          <w:sz w:val="24"/>
        </w:rPr>
      </w:pPr>
      <w:r>
        <w:rPr>
          <w:rFonts w:hint="eastAsia" w:ascii="黑体" w:eastAsia="黑体"/>
          <w:sz w:val="24"/>
        </w:rPr>
        <w:t xml:space="preserve">    </w:t>
      </w:r>
    </w:p>
    <w:p w14:paraId="4C0E311F">
      <w:pPr>
        <w:spacing w:line="380" w:lineRule="exact"/>
        <w:ind w:firstLine="420" w:firstLineChars="200"/>
        <w:rPr>
          <w:rFonts w:hint="eastAsia" w:ascii="黑体" w:eastAsia="黑体"/>
        </w:rPr>
      </w:pPr>
    </w:p>
    <w:p w14:paraId="658CD3A2">
      <w:pPr>
        <w:spacing w:line="380" w:lineRule="exact"/>
        <w:rPr>
          <w:rFonts w:hint="eastAsia" w:ascii="黑体" w:eastAsia="黑体"/>
        </w:rPr>
      </w:pPr>
    </w:p>
    <w:p w14:paraId="76DB859A">
      <w:pPr>
        <w:pStyle w:val="20"/>
        <w:rPr>
          <w:rFonts w:hint="eastAsia"/>
        </w:rPr>
      </w:pPr>
      <w:bookmarkStart w:id="2587" w:name="_Toc108514173"/>
      <w:r>
        <w:rPr>
          <w:rFonts w:hint="eastAsia"/>
        </w:rPr>
        <w:t>4.4投标总价扉页</w:t>
      </w:r>
      <w:bookmarkEnd w:id="2587"/>
    </w:p>
    <w:p w14:paraId="47DA47A5">
      <w:pPr>
        <w:spacing w:line="380" w:lineRule="exact"/>
        <w:ind w:firstLine="480" w:firstLineChars="200"/>
        <w:rPr>
          <w:rFonts w:hint="eastAsia" w:ascii="黑体" w:eastAsia="黑体"/>
          <w:sz w:val="24"/>
        </w:rPr>
      </w:pPr>
    </w:p>
    <w:p w14:paraId="08409E85">
      <w:pPr>
        <w:spacing w:line="380" w:lineRule="exact"/>
        <w:ind w:firstLine="480" w:firstLineChars="200"/>
        <w:rPr>
          <w:rFonts w:hint="eastAsia" w:ascii="黑体" w:eastAsia="黑体"/>
          <w:sz w:val="24"/>
        </w:rPr>
      </w:pPr>
    </w:p>
    <w:p w14:paraId="3083EE11">
      <w:pPr>
        <w:spacing w:line="380" w:lineRule="exact"/>
        <w:ind w:firstLine="480" w:firstLineChars="200"/>
        <w:rPr>
          <w:rFonts w:hint="eastAsia" w:ascii="黑体" w:eastAsia="黑体"/>
          <w:sz w:val="24"/>
        </w:rPr>
      </w:pPr>
    </w:p>
    <w:p w14:paraId="10339F91">
      <w:pPr>
        <w:spacing w:after="480" w:afterLines="200" w:line="380" w:lineRule="exact"/>
        <w:ind w:firstLine="720" w:firstLineChars="200"/>
        <w:jc w:val="center"/>
        <w:rPr>
          <w:rFonts w:hint="eastAsia" w:ascii="黑体" w:eastAsia="黑体"/>
          <w:spacing w:val="20"/>
          <w:sz w:val="32"/>
          <w:szCs w:val="32"/>
        </w:rPr>
      </w:pPr>
      <w:r>
        <w:rPr>
          <w:rFonts w:hint="eastAsia" w:ascii="黑体" w:eastAsia="黑体"/>
          <w:spacing w:val="20"/>
          <w:sz w:val="32"/>
          <w:szCs w:val="32"/>
        </w:rPr>
        <w:t>投标总价</w:t>
      </w:r>
    </w:p>
    <w:p w14:paraId="6B8F7A3D">
      <w:pPr>
        <w:spacing w:after="480" w:afterLines="200" w:line="380" w:lineRule="exact"/>
        <w:rPr>
          <w:rFonts w:hint="eastAsia" w:ascii="黑体" w:eastAsia="黑体"/>
          <w:spacing w:val="20"/>
          <w:sz w:val="24"/>
        </w:rPr>
      </w:pPr>
    </w:p>
    <w:p w14:paraId="147C02C3">
      <w:pPr>
        <w:spacing w:line="600" w:lineRule="exact"/>
        <w:ind w:firstLine="420" w:firstLineChars="200"/>
        <w:rPr>
          <w:rFonts w:hint="eastAsia" w:ascii="宋体" w:hAnsi="宋体"/>
          <w:u w:val="single"/>
        </w:rPr>
      </w:pPr>
      <w:r>
        <w:rPr>
          <w:rFonts w:hint="eastAsia" w:ascii="宋体" w:hAnsi="宋体"/>
        </w:rPr>
        <w:t>招 标 人：</w:t>
      </w:r>
      <w:r>
        <w:rPr>
          <w:rFonts w:hint="eastAsia" w:ascii="宋体" w:hAnsi="宋体"/>
          <w:u w:val="single"/>
        </w:rPr>
        <w:t xml:space="preserve">                                                               </w:t>
      </w:r>
    </w:p>
    <w:p w14:paraId="6CC880FC">
      <w:pPr>
        <w:spacing w:line="600" w:lineRule="exact"/>
        <w:ind w:firstLine="420" w:firstLineChars="200"/>
        <w:rPr>
          <w:rFonts w:hint="eastAsia" w:ascii="宋体" w:hAnsi="宋体"/>
        </w:rPr>
      </w:pPr>
      <w:r>
        <w:rPr>
          <w:rFonts w:hint="eastAsia" w:ascii="宋体" w:hAnsi="宋体"/>
        </w:rPr>
        <w:t>工程名称：</w:t>
      </w:r>
      <w:r>
        <w:rPr>
          <w:rFonts w:hint="eastAsia" w:ascii="宋体" w:hAnsi="宋体"/>
          <w:u w:val="single"/>
        </w:rPr>
        <w:t xml:space="preserve">                                                               </w:t>
      </w:r>
    </w:p>
    <w:p w14:paraId="3A600D5D">
      <w:pPr>
        <w:spacing w:line="600" w:lineRule="exact"/>
        <w:ind w:firstLine="420" w:firstLineChars="200"/>
        <w:rPr>
          <w:rFonts w:hint="eastAsia" w:ascii="宋体" w:hAnsi="宋体"/>
        </w:rPr>
      </w:pPr>
      <w:r>
        <w:rPr>
          <w:rFonts w:hint="eastAsia" w:ascii="宋体" w:hAnsi="宋体"/>
        </w:rPr>
        <w:t>投标总价(小写) ：</w:t>
      </w:r>
      <w:r>
        <w:rPr>
          <w:rFonts w:hint="eastAsia" w:ascii="宋体" w:hAnsi="宋体"/>
          <w:u w:val="single"/>
        </w:rPr>
        <w:t xml:space="preserve">                                                   元   </w:t>
      </w:r>
    </w:p>
    <w:p w14:paraId="342B9FC7">
      <w:pPr>
        <w:spacing w:line="600" w:lineRule="exact"/>
        <w:ind w:firstLine="1260" w:firstLineChars="600"/>
        <w:rPr>
          <w:rFonts w:hint="eastAsia" w:ascii="宋体" w:hAnsi="宋体"/>
          <w:u w:val="single"/>
        </w:rPr>
      </w:pPr>
      <w:r>
        <w:rPr>
          <w:rFonts w:hint="eastAsia" w:ascii="宋体" w:hAnsi="宋体"/>
        </w:rPr>
        <w:t>(大写) ：</w:t>
      </w:r>
      <w:r>
        <w:rPr>
          <w:rFonts w:hint="eastAsia" w:ascii="宋体" w:hAnsi="宋体"/>
          <w:u w:val="single"/>
        </w:rPr>
        <w:t xml:space="preserve">                                                   元   </w:t>
      </w:r>
    </w:p>
    <w:p w14:paraId="4C3F0198">
      <w:pPr>
        <w:spacing w:line="600" w:lineRule="exact"/>
        <w:ind w:firstLine="1260" w:firstLineChars="600"/>
        <w:rPr>
          <w:rFonts w:hint="eastAsia" w:ascii="宋体" w:hAnsi="宋体"/>
        </w:rPr>
      </w:pPr>
    </w:p>
    <w:p w14:paraId="40623A73">
      <w:pPr>
        <w:spacing w:line="600" w:lineRule="exact"/>
        <w:ind w:firstLine="1260" w:firstLineChars="600"/>
        <w:rPr>
          <w:rFonts w:hint="eastAsia" w:ascii="宋体" w:hAnsi="宋体"/>
        </w:rPr>
      </w:pPr>
    </w:p>
    <w:p w14:paraId="426A4A22">
      <w:pPr>
        <w:spacing w:line="320" w:lineRule="exact"/>
        <w:ind w:firstLine="420" w:firstLineChars="200"/>
        <w:rPr>
          <w:rFonts w:hint="eastAsia" w:ascii="宋体" w:hAnsi="宋体"/>
        </w:rPr>
      </w:pPr>
      <w:r>
        <w:rPr>
          <w:rFonts w:hint="eastAsia" w:ascii="宋体" w:hAnsi="宋体"/>
        </w:rPr>
        <w:t>投 标 人：</w:t>
      </w:r>
      <w:r>
        <w:rPr>
          <w:rFonts w:hint="eastAsia" w:ascii="宋体" w:hAnsi="宋体"/>
          <w:u w:val="single"/>
        </w:rPr>
        <w:t xml:space="preserve">                                                               </w:t>
      </w:r>
    </w:p>
    <w:p w14:paraId="5ABE0099">
      <w:pPr>
        <w:spacing w:line="320" w:lineRule="exact"/>
        <w:ind w:firstLine="4200" w:firstLineChars="2000"/>
        <w:rPr>
          <w:rFonts w:hint="eastAsia" w:ascii="宋体" w:hAnsi="宋体"/>
        </w:rPr>
      </w:pPr>
      <w:r>
        <w:rPr>
          <w:rFonts w:hint="eastAsia" w:ascii="宋体" w:hAnsi="宋体"/>
        </w:rPr>
        <w:t>(单位盖章)</w:t>
      </w:r>
    </w:p>
    <w:p w14:paraId="500B939D">
      <w:pPr>
        <w:spacing w:line="380" w:lineRule="exact"/>
        <w:ind w:firstLine="420" w:firstLineChars="200"/>
        <w:rPr>
          <w:rFonts w:hint="eastAsia" w:ascii="宋体" w:hAnsi="宋体"/>
        </w:rPr>
      </w:pPr>
    </w:p>
    <w:p w14:paraId="55995B2B">
      <w:pPr>
        <w:spacing w:after="72" w:afterLines="30" w:line="380" w:lineRule="exact"/>
        <w:ind w:firstLine="420" w:firstLineChars="200"/>
        <w:rPr>
          <w:rFonts w:hint="eastAsia" w:ascii="宋体" w:hAnsi="宋体"/>
        </w:rPr>
      </w:pPr>
      <w:r>
        <w:rPr>
          <w:rFonts w:hint="eastAsia" w:ascii="宋体" w:hAnsi="宋体"/>
        </w:rPr>
        <w:t>法定代表人</w:t>
      </w:r>
    </w:p>
    <w:p w14:paraId="0D3092B2">
      <w:pPr>
        <w:spacing w:line="320" w:lineRule="exact"/>
        <w:ind w:firstLine="420" w:firstLineChars="200"/>
        <w:rPr>
          <w:rFonts w:hint="eastAsia" w:ascii="宋体" w:hAnsi="宋体"/>
        </w:rPr>
      </w:pPr>
      <w:r>
        <w:rPr>
          <w:rFonts w:hint="eastAsia" w:ascii="宋体" w:hAnsi="宋体"/>
        </w:rPr>
        <w:t>或其授权人：</w:t>
      </w:r>
      <w:r>
        <w:rPr>
          <w:rFonts w:hint="eastAsia" w:ascii="宋体" w:hAnsi="宋体"/>
          <w:u w:val="single"/>
        </w:rPr>
        <w:t xml:space="preserve">                                                             </w:t>
      </w:r>
    </w:p>
    <w:p w14:paraId="423BC769">
      <w:pPr>
        <w:spacing w:line="320" w:lineRule="exact"/>
        <w:ind w:firstLine="3990" w:firstLineChars="1900"/>
        <w:rPr>
          <w:rFonts w:hint="eastAsia" w:ascii="宋体" w:hAnsi="宋体"/>
        </w:rPr>
      </w:pPr>
      <w:r>
        <w:rPr>
          <w:rFonts w:hint="eastAsia" w:ascii="宋体" w:hAnsi="宋体"/>
        </w:rPr>
        <w:t>(签字或盖章)</w:t>
      </w:r>
    </w:p>
    <w:p w14:paraId="2B49BED0">
      <w:pPr>
        <w:spacing w:line="320" w:lineRule="exact"/>
        <w:ind w:firstLine="3990" w:firstLineChars="1900"/>
        <w:rPr>
          <w:rFonts w:hint="eastAsia" w:ascii="宋体" w:hAnsi="宋体"/>
        </w:rPr>
      </w:pPr>
    </w:p>
    <w:p w14:paraId="53C1DB7D">
      <w:pPr>
        <w:spacing w:line="320" w:lineRule="exact"/>
        <w:ind w:firstLine="3990" w:firstLineChars="1900"/>
        <w:rPr>
          <w:rFonts w:hint="eastAsia" w:ascii="宋体" w:hAnsi="宋体"/>
        </w:rPr>
      </w:pPr>
    </w:p>
    <w:p w14:paraId="4F2C4D61">
      <w:pPr>
        <w:spacing w:line="320" w:lineRule="exact"/>
        <w:ind w:firstLine="420" w:firstLineChars="200"/>
        <w:rPr>
          <w:rFonts w:hint="eastAsia" w:ascii="宋体" w:hAnsi="宋体"/>
        </w:rPr>
      </w:pPr>
      <w:r>
        <w:rPr>
          <w:rFonts w:hint="eastAsia" w:ascii="宋体" w:hAnsi="宋体"/>
        </w:rPr>
        <w:t>编制人：</w:t>
      </w:r>
      <w:r>
        <w:rPr>
          <w:rFonts w:hint="eastAsia" w:ascii="宋体" w:hAnsi="宋体"/>
          <w:u w:val="single"/>
        </w:rPr>
        <w:t xml:space="preserve">                                                                 </w:t>
      </w:r>
    </w:p>
    <w:p w14:paraId="1ECC8DBF">
      <w:pPr>
        <w:spacing w:line="320" w:lineRule="exact"/>
        <w:ind w:firstLine="3570" w:firstLineChars="1700"/>
        <w:rPr>
          <w:rFonts w:hint="eastAsia" w:ascii="宋体" w:hAnsi="宋体"/>
        </w:rPr>
      </w:pPr>
      <w:r>
        <w:rPr>
          <w:rFonts w:hint="eastAsia" w:ascii="宋体" w:hAnsi="宋体"/>
        </w:rPr>
        <w:t>(造价人员签字盖专用章)</w:t>
      </w:r>
    </w:p>
    <w:p w14:paraId="3B3D3FE0">
      <w:pPr>
        <w:spacing w:line="380" w:lineRule="exact"/>
        <w:ind w:firstLine="420" w:firstLineChars="200"/>
        <w:rPr>
          <w:rFonts w:hint="eastAsia" w:ascii="宋体" w:hAnsi="宋体"/>
        </w:rPr>
      </w:pPr>
    </w:p>
    <w:p w14:paraId="48E44CF7">
      <w:pPr>
        <w:spacing w:line="380" w:lineRule="exact"/>
        <w:ind w:firstLine="420" w:firstLineChars="200"/>
        <w:rPr>
          <w:rFonts w:hint="eastAsia" w:ascii="宋体" w:hAnsi="宋体"/>
        </w:rPr>
      </w:pPr>
    </w:p>
    <w:p w14:paraId="03975339">
      <w:pPr>
        <w:spacing w:line="380" w:lineRule="exact"/>
        <w:ind w:firstLine="420" w:firstLineChars="200"/>
        <w:rPr>
          <w:rFonts w:hint="eastAsia" w:ascii="宋体" w:hAnsi="宋体"/>
        </w:rPr>
      </w:pPr>
      <w:r>
        <w:rPr>
          <w:rFonts w:hint="eastAsia" w:ascii="宋体" w:hAnsi="宋体"/>
        </w:rPr>
        <w:t>编制时间：              年      月      日</w:t>
      </w:r>
    </w:p>
    <w:p w14:paraId="224C2D2A">
      <w:pPr>
        <w:spacing w:line="380" w:lineRule="exact"/>
        <w:ind w:firstLine="420" w:firstLineChars="200"/>
        <w:rPr>
          <w:rFonts w:hint="eastAsia" w:ascii="黑体" w:eastAsia="黑体"/>
        </w:rPr>
      </w:pPr>
    </w:p>
    <w:p w14:paraId="5B9E5937">
      <w:pPr>
        <w:spacing w:line="380" w:lineRule="exact"/>
        <w:ind w:firstLine="420" w:firstLineChars="200"/>
        <w:rPr>
          <w:rFonts w:hint="eastAsia" w:ascii="黑体" w:eastAsia="黑体"/>
        </w:rPr>
      </w:pPr>
    </w:p>
    <w:p w14:paraId="5366D5C2">
      <w:pPr>
        <w:spacing w:line="380" w:lineRule="exact"/>
        <w:ind w:firstLine="420" w:firstLineChars="200"/>
        <w:rPr>
          <w:rFonts w:hint="eastAsia" w:ascii="宋体" w:hAnsi="宋体"/>
        </w:rPr>
      </w:pPr>
      <w:r>
        <w:rPr>
          <w:rFonts w:hint="eastAsia" w:ascii="宋体" w:hAnsi="宋体"/>
        </w:rPr>
        <w:t>注：投标总价可按四舍五入精确到元</w:t>
      </w:r>
    </w:p>
    <w:p w14:paraId="5B8F17A6">
      <w:pPr>
        <w:spacing w:line="380" w:lineRule="exact"/>
        <w:ind w:firstLine="420" w:firstLineChars="200"/>
        <w:rPr>
          <w:rFonts w:hint="eastAsia" w:ascii="宋体" w:hAnsi="宋体"/>
        </w:rPr>
      </w:pPr>
    </w:p>
    <w:p w14:paraId="33FB9968">
      <w:pPr>
        <w:spacing w:line="380" w:lineRule="exact"/>
        <w:ind w:firstLine="420" w:firstLineChars="200"/>
        <w:rPr>
          <w:rFonts w:hint="eastAsia" w:ascii="宋体" w:hAnsi="宋体"/>
        </w:rPr>
      </w:pPr>
    </w:p>
    <w:p w14:paraId="4779F0D7">
      <w:pPr>
        <w:pStyle w:val="20"/>
        <w:rPr>
          <w:rFonts w:hint="eastAsia"/>
        </w:rPr>
      </w:pPr>
      <w:bookmarkStart w:id="2588" w:name="_Toc108514174"/>
      <w:r>
        <w:rPr>
          <w:rFonts w:hint="eastAsia"/>
        </w:rPr>
        <w:t>4.5总说明表</w:t>
      </w:r>
      <w:bookmarkEnd w:id="2588"/>
    </w:p>
    <w:p w14:paraId="35F10C22">
      <w:pPr>
        <w:spacing w:after="240" w:afterLines="100" w:line="380" w:lineRule="exact"/>
        <w:ind w:firstLine="560" w:firstLineChars="200"/>
        <w:jc w:val="center"/>
        <w:rPr>
          <w:rFonts w:hint="eastAsia" w:ascii="黑体" w:eastAsia="黑体"/>
          <w:sz w:val="28"/>
          <w:szCs w:val="28"/>
        </w:rPr>
      </w:pPr>
      <w:r>
        <w:rPr>
          <w:rFonts w:hint="eastAsia" w:ascii="黑体" w:eastAsia="黑体"/>
          <w:sz w:val="28"/>
          <w:szCs w:val="28"/>
        </w:rPr>
        <w:t>总 说 明</w:t>
      </w:r>
    </w:p>
    <w:p w14:paraId="31C3BA06">
      <w:pPr>
        <w:spacing w:after="120" w:afterLines="50" w:line="380" w:lineRule="exact"/>
        <w:rPr>
          <w:rFonts w:hint="eastAsia" w:ascii="宋体" w:hAnsi="宋体"/>
          <w:sz w:val="24"/>
        </w:rPr>
      </w:pPr>
      <w:r>
        <w:rPr>
          <w:rFonts w:hint="eastAsia" w:ascii="宋体" w:hAnsi="宋体"/>
        </w:rPr>
        <w:t>工程名称：                                         第  页 共  页</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2"/>
      </w:tblGrid>
      <w:tr w14:paraId="2986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2" w:hRule="atLeast"/>
          <w:jc w:val="center"/>
        </w:trPr>
        <w:tc>
          <w:tcPr>
            <w:tcW w:w="8412" w:type="dxa"/>
            <w:noWrap w:val="0"/>
            <w:vAlign w:val="top"/>
          </w:tcPr>
          <w:p w14:paraId="6A852615">
            <w:pPr>
              <w:spacing w:line="380" w:lineRule="exact"/>
              <w:rPr>
                <w:rFonts w:hint="eastAsia" w:ascii="黑体" w:eastAsia="黑体"/>
              </w:rPr>
            </w:pPr>
          </w:p>
        </w:tc>
      </w:tr>
    </w:tbl>
    <w:p w14:paraId="255C48E6">
      <w:pPr>
        <w:spacing w:line="380" w:lineRule="exact"/>
        <w:ind w:firstLine="420" w:firstLineChars="200"/>
        <w:rPr>
          <w:rFonts w:hint="eastAsia" w:ascii="黑体" w:eastAsia="黑体"/>
        </w:rPr>
      </w:pPr>
    </w:p>
    <w:p w14:paraId="78B8D291">
      <w:pPr>
        <w:spacing w:line="380" w:lineRule="exact"/>
        <w:ind w:firstLine="420" w:firstLineChars="200"/>
        <w:rPr>
          <w:rFonts w:hint="eastAsia" w:ascii="黑体" w:eastAsia="黑体"/>
        </w:rPr>
      </w:pPr>
    </w:p>
    <w:p w14:paraId="633C7EFF">
      <w:pPr>
        <w:spacing w:line="380" w:lineRule="exact"/>
        <w:ind w:firstLine="420" w:firstLineChars="200"/>
        <w:rPr>
          <w:rFonts w:hint="eastAsia" w:ascii="黑体" w:eastAsia="黑体"/>
        </w:rPr>
      </w:pPr>
    </w:p>
    <w:p w14:paraId="40A4CB0F">
      <w:pPr>
        <w:pStyle w:val="20"/>
        <w:rPr>
          <w:rFonts w:hint="eastAsia"/>
        </w:rPr>
      </w:pPr>
      <w:bookmarkStart w:id="2589" w:name="_Toc108514175"/>
      <w:r>
        <w:rPr>
          <w:rFonts w:hint="eastAsia"/>
        </w:rPr>
        <w:t>4.6建设项目投标报价汇总表</w:t>
      </w:r>
      <w:bookmarkEnd w:id="2589"/>
    </w:p>
    <w:p w14:paraId="0CE65482">
      <w:pPr>
        <w:spacing w:after="240" w:afterLines="100" w:line="380" w:lineRule="exact"/>
        <w:ind w:firstLine="560" w:firstLineChars="200"/>
        <w:jc w:val="center"/>
        <w:rPr>
          <w:rFonts w:hint="eastAsia" w:ascii="黑体" w:eastAsia="黑体"/>
          <w:sz w:val="28"/>
          <w:szCs w:val="28"/>
        </w:rPr>
      </w:pPr>
      <w:r>
        <w:rPr>
          <w:rFonts w:hint="eastAsia" w:ascii="黑体" w:eastAsia="黑体"/>
          <w:sz w:val="28"/>
          <w:szCs w:val="28"/>
        </w:rPr>
        <w:t>建设项目投标报价汇总表</w:t>
      </w:r>
    </w:p>
    <w:p w14:paraId="0A861203">
      <w:pPr>
        <w:spacing w:after="120" w:afterLines="50" w:line="380" w:lineRule="exact"/>
        <w:rPr>
          <w:rFonts w:ascii="宋体" w:hAnsi="宋体"/>
          <w:sz w:val="28"/>
          <w:szCs w:val="28"/>
        </w:rPr>
      </w:pPr>
      <w:r>
        <w:rPr>
          <w:rFonts w:hint="eastAsia" w:ascii="宋体" w:hAnsi="宋体"/>
        </w:rPr>
        <w:t>工程名称：                                           第  页  共  页</w:t>
      </w:r>
    </w:p>
    <w:tbl>
      <w:tblPr>
        <w:tblStyle w:val="1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318"/>
        <w:gridCol w:w="1218"/>
        <w:gridCol w:w="965"/>
        <w:gridCol w:w="1400"/>
        <w:gridCol w:w="925"/>
      </w:tblGrid>
      <w:tr w14:paraId="34E0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restart"/>
            <w:noWrap w:val="0"/>
            <w:vAlign w:val="center"/>
          </w:tcPr>
          <w:p w14:paraId="3AC08831">
            <w:pPr>
              <w:spacing w:after="120" w:afterLines="50" w:line="380" w:lineRule="exact"/>
              <w:jc w:val="center"/>
              <w:rPr>
                <w:rFonts w:hint="eastAsia" w:ascii="宋体" w:hAnsi="宋体"/>
                <w:szCs w:val="21"/>
              </w:rPr>
            </w:pPr>
            <w:r>
              <w:rPr>
                <w:rFonts w:hint="eastAsia" w:ascii="宋体" w:hAnsi="宋体"/>
                <w:szCs w:val="21"/>
              </w:rPr>
              <w:t>序号</w:t>
            </w:r>
          </w:p>
        </w:tc>
        <w:tc>
          <w:tcPr>
            <w:tcW w:w="3318" w:type="dxa"/>
            <w:vMerge w:val="restart"/>
            <w:noWrap w:val="0"/>
            <w:vAlign w:val="center"/>
          </w:tcPr>
          <w:p w14:paraId="57BB98AE">
            <w:pPr>
              <w:spacing w:after="120" w:afterLines="50" w:line="380" w:lineRule="exact"/>
              <w:jc w:val="center"/>
              <w:rPr>
                <w:rFonts w:hint="eastAsia" w:ascii="宋体" w:hAnsi="宋体"/>
                <w:szCs w:val="21"/>
              </w:rPr>
            </w:pPr>
            <w:r>
              <w:rPr>
                <w:rFonts w:hint="eastAsia" w:ascii="宋体" w:hAnsi="宋体"/>
                <w:szCs w:val="21"/>
              </w:rPr>
              <w:t>单项工程名称</w:t>
            </w:r>
          </w:p>
        </w:tc>
        <w:tc>
          <w:tcPr>
            <w:tcW w:w="1218" w:type="dxa"/>
            <w:vMerge w:val="restart"/>
            <w:noWrap w:val="0"/>
            <w:vAlign w:val="center"/>
          </w:tcPr>
          <w:p w14:paraId="0B544C59">
            <w:pPr>
              <w:spacing w:after="120" w:afterLines="50" w:line="380" w:lineRule="exact"/>
              <w:jc w:val="center"/>
              <w:rPr>
                <w:rFonts w:hint="eastAsia" w:ascii="宋体" w:hAnsi="宋体"/>
                <w:szCs w:val="21"/>
              </w:rPr>
            </w:pPr>
            <w:r>
              <w:rPr>
                <w:rFonts w:hint="eastAsia" w:ascii="宋体" w:hAnsi="宋体"/>
                <w:szCs w:val="21"/>
              </w:rPr>
              <w:t>金额（元）</w:t>
            </w:r>
          </w:p>
        </w:tc>
        <w:tc>
          <w:tcPr>
            <w:tcW w:w="3290" w:type="dxa"/>
            <w:gridSpan w:val="3"/>
            <w:noWrap w:val="0"/>
            <w:vAlign w:val="center"/>
          </w:tcPr>
          <w:p w14:paraId="60EAB157">
            <w:pPr>
              <w:spacing w:after="120" w:afterLines="50" w:line="380" w:lineRule="exact"/>
              <w:jc w:val="center"/>
              <w:rPr>
                <w:rFonts w:hint="eastAsia" w:ascii="宋体" w:hAnsi="宋体"/>
                <w:szCs w:val="21"/>
              </w:rPr>
            </w:pPr>
            <w:r>
              <w:rPr>
                <w:rFonts w:hint="eastAsia" w:ascii="宋体" w:hAnsi="宋体"/>
                <w:szCs w:val="21"/>
              </w:rPr>
              <w:t>其  中：（元）</w:t>
            </w:r>
          </w:p>
        </w:tc>
      </w:tr>
      <w:tr w14:paraId="64B5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continue"/>
            <w:noWrap w:val="0"/>
            <w:vAlign w:val="center"/>
          </w:tcPr>
          <w:p w14:paraId="7CD7E2A6">
            <w:pPr>
              <w:spacing w:after="120" w:afterLines="50" w:line="380" w:lineRule="exact"/>
              <w:jc w:val="center"/>
              <w:rPr>
                <w:rFonts w:hint="eastAsia" w:ascii="宋体" w:hAnsi="宋体"/>
                <w:szCs w:val="21"/>
              </w:rPr>
            </w:pPr>
          </w:p>
        </w:tc>
        <w:tc>
          <w:tcPr>
            <w:tcW w:w="3318" w:type="dxa"/>
            <w:vMerge w:val="continue"/>
            <w:noWrap w:val="0"/>
            <w:vAlign w:val="center"/>
          </w:tcPr>
          <w:p w14:paraId="262FF2A3">
            <w:pPr>
              <w:spacing w:after="120" w:afterLines="50" w:line="380" w:lineRule="exact"/>
              <w:jc w:val="center"/>
              <w:rPr>
                <w:rFonts w:hint="eastAsia" w:ascii="宋体" w:hAnsi="宋体"/>
                <w:szCs w:val="21"/>
              </w:rPr>
            </w:pPr>
          </w:p>
        </w:tc>
        <w:tc>
          <w:tcPr>
            <w:tcW w:w="1218" w:type="dxa"/>
            <w:vMerge w:val="continue"/>
            <w:noWrap w:val="0"/>
            <w:vAlign w:val="center"/>
          </w:tcPr>
          <w:p w14:paraId="26647A23">
            <w:pPr>
              <w:spacing w:after="120" w:afterLines="50" w:line="380" w:lineRule="exact"/>
              <w:jc w:val="center"/>
              <w:rPr>
                <w:rFonts w:hint="eastAsia" w:ascii="宋体" w:hAnsi="宋体"/>
                <w:szCs w:val="21"/>
              </w:rPr>
            </w:pPr>
          </w:p>
        </w:tc>
        <w:tc>
          <w:tcPr>
            <w:tcW w:w="965" w:type="dxa"/>
            <w:noWrap w:val="0"/>
            <w:vAlign w:val="center"/>
          </w:tcPr>
          <w:p w14:paraId="142F92F1">
            <w:pPr>
              <w:spacing w:line="300" w:lineRule="exact"/>
              <w:jc w:val="center"/>
              <w:rPr>
                <w:rFonts w:hint="eastAsia" w:ascii="宋体" w:hAnsi="宋体"/>
                <w:szCs w:val="21"/>
              </w:rPr>
            </w:pPr>
            <w:r>
              <w:rPr>
                <w:rFonts w:hint="eastAsia" w:ascii="宋体" w:hAnsi="宋体"/>
                <w:szCs w:val="21"/>
              </w:rPr>
              <w:t>暂估价</w:t>
            </w:r>
          </w:p>
        </w:tc>
        <w:tc>
          <w:tcPr>
            <w:tcW w:w="1400" w:type="dxa"/>
            <w:noWrap w:val="0"/>
            <w:vAlign w:val="center"/>
          </w:tcPr>
          <w:p w14:paraId="7D950AE9">
            <w:pPr>
              <w:spacing w:line="300" w:lineRule="exact"/>
              <w:jc w:val="center"/>
              <w:rPr>
                <w:rFonts w:hint="eastAsia" w:ascii="宋体" w:hAnsi="宋体"/>
                <w:szCs w:val="21"/>
              </w:rPr>
            </w:pPr>
            <w:r>
              <w:rPr>
                <w:rFonts w:hint="eastAsia" w:ascii="宋体" w:hAnsi="宋体"/>
                <w:szCs w:val="21"/>
              </w:rPr>
              <w:t>安全文明</w:t>
            </w:r>
          </w:p>
          <w:p w14:paraId="5A9FDD5B">
            <w:pPr>
              <w:spacing w:line="300" w:lineRule="exact"/>
              <w:jc w:val="center"/>
              <w:rPr>
                <w:rFonts w:hint="eastAsia" w:ascii="宋体" w:hAnsi="宋体"/>
                <w:szCs w:val="21"/>
              </w:rPr>
            </w:pPr>
            <w:r>
              <w:rPr>
                <w:rFonts w:hint="eastAsia" w:ascii="宋体" w:hAnsi="宋体"/>
                <w:szCs w:val="21"/>
              </w:rPr>
              <w:t>施工费</w:t>
            </w:r>
          </w:p>
        </w:tc>
        <w:tc>
          <w:tcPr>
            <w:tcW w:w="925" w:type="dxa"/>
            <w:noWrap w:val="0"/>
            <w:vAlign w:val="center"/>
          </w:tcPr>
          <w:p w14:paraId="2CC3FAE2">
            <w:pPr>
              <w:spacing w:line="300" w:lineRule="exact"/>
              <w:jc w:val="center"/>
              <w:rPr>
                <w:rFonts w:hint="eastAsia" w:ascii="宋体" w:hAnsi="宋体"/>
                <w:szCs w:val="21"/>
              </w:rPr>
            </w:pPr>
            <w:r>
              <w:rPr>
                <w:rFonts w:hint="eastAsia" w:ascii="宋体" w:hAnsi="宋体"/>
                <w:szCs w:val="21"/>
              </w:rPr>
              <w:t>规费</w:t>
            </w:r>
          </w:p>
          <w:p w14:paraId="6C1B8631">
            <w:pPr>
              <w:spacing w:line="300" w:lineRule="exact"/>
              <w:jc w:val="center"/>
              <w:rPr>
                <w:rFonts w:hint="eastAsia" w:ascii="宋体" w:hAnsi="宋体"/>
                <w:szCs w:val="21"/>
              </w:rPr>
            </w:pPr>
          </w:p>
        </w:tc>
      </w:tr>
      <w:tr w14:paraId="4689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685CAB8C">
            <w:pPr>
              <w:spacing w:after="120" w:afterLines="50" w:line="380" w:lineRule="exact"/>
              <w:jc w:val="center"/>
              <w:rPr>
                <w:rFonts w:hint="eastAsia" w:ascii="宋体" w:hAnsi="宋体"/>
                <w:szCs w:val="21"/>
              </w:rPr>
            </w:pPr>
            <w:r>
              <w:rPr>
                <w:rFonts w:hint="eastAsia" w:ascii="宋体" w:hAnsi="宋体"/>
                <w:szCs w:val="21"/>
              </w:rPr>
              <w:t>1</w:t>
            </w:r>
          </w:p>
        </w:tc>
        <w:tc>
          <w:tcPr>
            <w:tcW w:w="3318" w:type="dxa"/>
            <w:tcBorders>
              <w:bottom w:val="single" w:color="auto" w:sz="4" w:space="0"/>
            </w:tcBorders>
            <w:noWrap w:val="0"/>
            <w:vAlign w:val="center"/>
          </w:tcPr>
          <w:p w14:paraId="1D7C009D">
            <w:pPr>
              <w:spacing w:after="120" w:afterLines="50" w:line="380" w:lineRule="exact"/>
              <w:rPr>
                <w:rFonts w:hint="eastAsia" w:ascii="宋体" w:hAnsi="宋体"/>
                <w:szCs w:val="21"/>
              </w:rPr>
            </w:pPr>
            <w:r>
              <w:rPr>
                <w:rFonts w:hint="eastAsia" w:ascii="宋体" w:hAnsi="宋体"/>
                <w:szCs w:val="21"/>
              </w:rPr>
              <w:t>单项工程</w:t>
            </w:r>
          </w:p>
        </w:tc>
        <w:tc>
          <w:tcPr>
            <w:tcW w:w="1218" w:type="dxa"/>
            <w:tcBorders>
              <w:bottom w:val="single" w:color="auto" w:sz="4" w:space="0"/>
            </w:tcBorders>
            <w:noWrap w:val="0"/>
            <w:vAlign w:val="center"/>
          </w:tcPr>
          <w:p w14:paraId="1746A150">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797E758">
            <w:pPr>
              <w:spacing w:line="300" w:lineRule="exact"/>
              <w:jc w:val="center"/>
              <w:rPr>
                <w:rFonts w:hint="eastAsia" w:ascii="宋体" w:hAnsi="宋体"/>
                <w:szCs w:val="21"/>
              </w:rPr>
            </w:pPr>
          </w:p>
        </w:tc>
        <w:tc>
          <w:tcPr>
            <w:tcW w:w="1400" w:type="dxa"/>
            <w:noWrap w:val="0"/>
            <w:vAlign w:val="center"/>
          </w:tcPr>
          <w:p w14:paraId="6EAC65CE">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03A0E594">
            <w:pPr>
              <w:spacing w:line="300" w:lineRule="exact"/>
              <w:jc w:val="center"/>
              <w:rPr>
                <w:rFonts w:hint="eastAsia" w:ascii="宋体" w:hAnsi="宋体"/>
                <w:szCs w:val="21"/>
              </w:rPr>
            </w:pPr>
          </w:p>
        </w:tc>
      </w:tr>
      <w:tr w14:paraId="7025B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8" w:hRule="atLeast"/>
          <w:jc w:val="center"/>
        </w:trPr>
        <w:tc>
          <w:tcPr>
            <w:tcW w:w="750" w:type="dxa"/>
            <w:tcBorders>
              <w:bottom w:val="single" w:color="auto" w:sz="4" w:space="0"/>
            </w:tcBorders>
            <w:noWrap w:val="0"/>
            <w:vAlign w:val="center"/>
          </w:tcPr>
          <w:p w14:paraId="3C1BF4BD">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694E6084">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7E724AA0">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733D421">
            <w:pPr>
              <w:spacing w:line="300" w:lineRule="exact"/>
              <w:jc w:val="center"/>
              <w:rPr>
                <w:rFonts w:hint="eastAsia" w:ascii="宋体" w:hAnsi="宋体"/>
                <w:szCs w:val="21"/>
              </w:rPr>
            </w:pPr>
          </w:p>
        </w:tc>
        <w:tc>
          <w:tcPr>
            <w:tcW w:w="1400" w:type="dxa"/>
            <w:noWrap w:val="0"/>
            <w:vAlign w:val="center"/>
          </w:tcPr>
          <w:p w14:paraId="30909B0B">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B8EAD34">
            <w:pPr>
              <w:spacing w:line="300" w:lineRule="exact"/>
              <w:jc w:val="center"/>
              <w:rPr>
                <w:rFonts w:hint="eastAsia" w:ascii="宋体" w:hAnsi="宋体"/>
                <w:szCs w:val="21"/>
              </w:rPr>
            </w:pPr>
          </w:p>
        </w:tc>
      </w:tr>
      <w:tr w14:paraId="13A6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538FBD53">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4762C12E">
            <w:pPr>
              <w:spacing w:after="120" w:afterLines="50" w:line="380" w:lineRule="exact"/>
              <w:rPr>
                <w:rFonts w:hint="eastAsia" w:ascii="宋体" w:hAnsi="宋体"/>
                <w:szCs w:val="21"/>
              </w:rPr>
            </w:pPr>
            <w:r>
              <w:rPr>
                <w:rFonts w:hint="eastAsia" w:ascii="宋体" w:hAnsi="宋体"/>
                <w:szCs w:val="21"/>
              </w:rPr>
              <w:t>建设项目数据：</w:t>
            </w:r>
          </w:p>
        </w:tc>
        <w:tc>
          <w:tcPr>
            <w:tcW w:w="1218" w:type="dxa"/>
            <w:tcBorders>
              <w:bottom w:val="single" w:color="auto" w:sz="4" w:space="0"/>
            </w:tcBorders>
            <w:noWrap w:val="0"/>
            <w:vAlign w:val="center"/>
          </w:tcPr>
          <w:p w14:paraId="12829E09">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7102423F">
            <w:pPr>
              <w:spacing w:line="300" w:lineRule="exact"/>
              <w:jc w:val="center"/>
              <w:rPr>
                <w:rFonts w:hint="eastAsia" w:ascii="宋体" w:hAnsi="宋体"/>
                <w:szCs w:val="21"/>
              </w:rPr>
            </w:pPr>
          </w:p>
        </w:tc>
        <w:tc>
          <w:tcPr>
            <w:tcW w:w="1400" w:type="dxa"/>
            <w:noWrap w:val="0"/>
            <w:vAlign w:val="center"/>
          </w:tcPr>
          <w:p w14:paraId="0E32A561">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0666D575">
            <w:pPr>
              <w:spacing w:line="300" w:lineRule="exact"/>
              <w:jc w:val="center"/>
              <w:rPr>
                <w:rFonts w:hint="eastAsia" w:ascii="宋体" w:hAnsi="宋体"/>
                <w:szCs w:val="21"/>
              </w:rPr>
            </w:pPr>
          </w:p>
        </w:tc>
      </w:tr>
      <w:tr w14:paraId="68DDB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39C42100">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4BE1CF1">
            <w:pPr>
              <w:spacing w:after="120" w:afterLines="50" w:line="380" w:lineRule="exact"/>
              <w:rPr>
                <w:rFonts w:hint="eastAsia" w:ascii="宋体" w:hAnsi="宋体"/>
                <w:szCs w:val="21"/>
              </w:rPr>
            </w:pPr>
            <w:r>
              <w:rPr>
                <w:rFonts w:hint="eastAsia" w:ascii="宋体" w:hAnsi="宋体"/>
                <w:szCs w:val="21"/>
              </w:rPr>
              <w:t>人工费</w:t>
            </w:r>
          </w:p>
        </w:tc>
        <w:tc>
          <w:tcPr>
            <w:tcW w:w="1218" w:type="dxa"/>
            <w:tcBorders>
              <w:bottom w:val="single" w:color="auto" w:sz="4" w:space="0"/>
            </w:tcBorders>
            <w:noWrap w:val="0"/>
            <w:vAlign w:val="center"/>
          </w:tcPr>
          <w:p w14:paraId="34A52965">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385129C2">
            <w:pPr>
              <w:spacing w:line="300" w:lineRule="exact"/>
              <w:jc w:val="center"/>
              <w:rPr>
                <w:rFonts w:hint="eastAsia" w:ascii="宋体" w:hAnsi="宋体"/>
                <w:szCs w:val="21"/>
              </w:rPr>
            </w:pPr>
          </w:p>
        </w:tc>
        <w:tc>
          <w:tcPr>
            <w:tcW w:w="1400" w:type="dxa"/>
            <w:noWrap w:val="0"/>
            <w:vAlign w:val="center"/>
          </w:tcPr>
          <w:p w14:paraId="5AC90036">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F5AD891">
            <w:pPr>
              <w:spacing w:line="300" w:lineRule="exact"/>
              <w:jc w:val="center"/>
              <w:rPr>
                <w:rFonts w:hint="eastAsia" w:ascii="宋体" w:hAnsi="宋体"/>
                <w:szCs w:val="21"/>
              </w:rPr>
            </w:pPr>
          </w:p>
        </w:tc>
      </w:tr>
      <w:tr w14:paraId="7DD4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08D14CE5">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2603A33D">
            <w:pPr>
              <w:spacing w:after="120" w:afterLines="50" w:line="380" w:lineRule="exact"/>
              <w:rPr>
                <w:rFonts w:hint="eastAsia" w:ascii="宋体" w:hAnsi="宋体"/>
                <w:szCs w:val="21"/>
              </w:rPr>
            </w:pPr>
            <w:r>
              <w:rPr>
                <w:rFonts w:hint="eastAsia" w:ascii="宋体" w:hAnsi="宋体"/>
                <w:szCs w:val="21"/>
              </w:rPr>
              <w:t>材料费</w:t>
            </w:r>
          </w:p>
        </w:tc>
        <w:tc>
          <w:tcPr>
            <w:tcW w:w="1218" w:type="dxa"/>
            <w:tcBorders>
              <w:bottom w:val="single" w:color="auto" w:sz="4" w:space="0"/>
            </w:tcBorders>
            <w:noWrap w:val="0"/>
            <w:vAlign w:val="center"/>
          </w:tcPr>
          <w:p w14:paraId="32D87973">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67B2654B">
            <w:pPr>
              <w:spacing w:line="300" w:lineRule="exact"/>
              <w:jc w:val="center"/>
              <w:rPr>
                <w:rFonts w:hint="eastAsia" w:ascii="宋体" w:hAnsi="宋体"/>
                <w:szCs w:val="21"/>
              </w:rPr>
            </w:pPr>
          </w:p>
        </w:tc>
        <w:tc>
          <w:tcPr>
            <w:tcW w:w="1400" w:type="dxa"/>
            <w:noWrap w:val="0"/>
            <w:vAlign w:val="center"/>
          </w:tcPr>
          <w:p w14:paraId="00AFCA5E">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703208F">
            <w:pPr>
              <w:spacing w:line="300" w:lineRule="exact"/>
              <w:jc w:val="center"/>
              <w:rPr>
                <w:rFonts w:hint="eastAsia" w:ascii="宋体" w:hAnsi="宋体"/>
                <w:szCs w:val="21"/>
              </w:rPr>
            </w:pPr>
          </w:p>
        </w:tc>
      </w:tr>
      <w:tr w14:paraId="6705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024CE952">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3FEAD62">
            <w:pPr>
              <w:spacing w:after="120" w:afterLines="50" w:line="380" w:lineRule="exact"/>
              <w:rPr>
                <w:rFonts w:hint="eastAsia" w:ascii="宋体" w:hAnsi="宋体"/>
                <w:szCs w:val="21"/>
              </w:rPr>
            </w:pPr>
            <w:r>
              <w:rPr>
                <w:rFonts w:hint="eastAsia" w:ascii="宋体" w:hAnsi="宋体"/>
                <w:szCs w:val="21"/>
              </w:rPr>
              <w:t>机械费</w:t>
            </w:r>
          </w:p>
        </w:tc>
        <w:tc>
          <w:tcPr>
            <w:tcW w:w="1218" w:type="dxa"/>
            <w:tcBorders>
              <w:bottom w:val="single" w:color="auto" w:sz="4" w:space="0"/>
            </w:tcBorders>
            <w:noWrap w:val="0"/>
            <w:vAlign w:val="center"/>
          </w:tcPr>
          <w:p w14:paraId="0FD055AE">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DD08A0E">
            <w:pPr>
              <w:spacing w:line="300" w:lineRule="exact"/>
              <w:jc w:val="center"/>
              <w:rPr>
                <w:rFonts w:hint="eastAsia" w:ascii="宋体" w:hAnsi="宋体"/>
                <w:szCs w:val="21"/>
              </w:rPr>
            </w:pPr>
          </w:p>
        </w:tc>
        <w:tc>
          <w:tcPr>
            <w:tcW w:w="1400" w:type="dxa"/>
            <w:noWrap w:val="0"/>
            <w:vAlign w:val="center"/>
          </w:tcPr>
          <w:p w14:paraId="0DE07CED">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10031B74">
            <w:pPr>
              <w:spacing w:line="300" w:lineRule="exact"/>
              <w:jc w:val="center"/>
              <w:rPr>
                <w:rFonts w:hint="eastAsia" w:ascii="宋体" w:hAnsi="宋体"/>
                <w:szCs w:val="21"/>
              </w:rPr>
            </w:pPr>
          </w:p>
        </w:tc>
      </w:tr>
      <w:tr w14:paraId="338FB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75493BC7">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1606AD72">
            <w:pPr>
              <w:spacing w:after="120" w:afterLines="50" w:line="380" w:lineRule="exact"/>
              <w:rPr>
                <w:rFonts w:hint="eastAsia" w:ascii="宋体" w:hAnsi="宋体"/>
                <w:szCs w:val="21"/>
              </w:rPr>
            </w:pPr>
            <w:r>
              <w:rPr>
                <w:rFonts w:hint="eastAsia" w:ascii="宋体" w:hAnsi="宋体"/>
                <w:szCs w:val="21"/>
              </w:rPr>
              <w:t>设备费</w:t>
            </w:r>
          </w:p>
        </w:tc>
        <w:tc>
          <w:tcPr>
            <w:tcW w:w="1218" w:type="dxa"/>
            <w:tcBorders>
              <w:bottom w:val="single" w:color="auto" w:sz="4" w:space="0"/>
            </w:tcBorders>
            <w:noWrap w:val="0"/>
            <w:vAlign w:val="center"/>
          </w:tcPr>
          <w:p w14:paraId="03FBDF44">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D1E4225">
            <w:pPr>
              <w:spacing w:line="300" w:lineRule="exact"/>
              <w:jc w:val="center"/>
              <w:rPr>
                <w:rFonts w:hint="eastAsia" w:ascii="宋体" w:hAnsi="宋体"/>
                <w:szCs w:val="21"/>
              </w:rPr>
            </w:pPr>
          </w:p>
        </w:tc>
        <w:tc>
          <w:tcPr>
            <w:tcW w:w="1400" w:type="dxa"/>
            <w:noWrap w:val="0"/>
            <w:vAlign w:val="center"/>
          </w:tcPr>
          <w:p w14:paraId="5C7292FF">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7851B274">
            <w:pPr>
              <w:spacing w:line="300" w:lineRule="exact"/>
              <w:jc w:val="center"/>
              <w:rPr>
                <w:rFonts w:hint="eastAsia" w:ascii="宋体" w:hAnsi="宋体"/>
                <w:szCs w:val="21"/>
              </w:rPr>
            </w:pPr>
          </w:p>
        </w:tc>
      </w:tr>
      <w:tr w14:paraId="72C45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3E7F8685">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06ECD62E">
            <w:pPr>
              <w:spacing w:after="120" w:afterLines="50" w:line="380" w:lineRule="exact"/>
              <w:rPr>
                <w:rFonts w:hint="eastAsia" w:ascii="宋体" w:hAnsi="宋体"/>
                <w:szCs w:val="21"/>
              </w:rPr>
            </w:pPr>
            <w:r>
              <w:rPr>
                <w:rFonts w:hint="eastAsia" w:ascii="宋体" w:hAnsi="宋体"/>
                <w:szCs w:val="21"/>
              </w:rPr>
              <w:t>主材费</w:t>
            </w:r>
          </w:p>
        </w:tc>
        <w:tc>
          <w:tcPr>
            <w:tcW w:w="1218" w:type="dxa"/>
            <w:tcBorders>
              <w:bottom w:val="single" w:color="auto" w:sz="4" w:space="0"/>
            </w:tcBorders>
            <w:noWrap w:val="0"/>
            <w:vAlign w:val="center"/>
          </w:tcPr>
          <w:p w14:paraId="37EC4044">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110D6D1C">
            <w:pPr>
              <w:spacing w:line="300" w:lineRule="exact"/>
              <w:jc w:val="center"/>
              <w:rPr>
                <w:rFonts w:hint="eastAsia" w:ascii="宋体" w:hAnsi="宋体"/>
                <w:szCs w:val="21"/>
              </w:rPr>
            </w:pPr>
          </w:p>
        </w:tc>
        <w:tc>
          <w:tcPr>
            <w:tcW w:w="1400" w:type="dxa"/>
            <w:noWrap w:val="0"/>
            <w:vAlign w:val="center"/>
          </w:tcPr>
          <w:p w14:paraId="4E950F50">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D592C7B">
            <w:pPr>
              <w:spacing w:line="300" w:lineRule="exact"/>
              <w:jc w:val="center"/>
              <w:rPr>
                <w:rFonts w:hint="eastAsia" w:ascii="宋体" w:hAnsi="宋体"/>
                <w:szCs w:val="21"/>
              </w:rPr>
            </w:pPr>
          </w:p>
        </w:tc>
      </w:tr>
      <w:tr w14:paraId="4528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1244E254">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67D90373">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38D23CF5">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7258F24">
            <w:pPr>
              <w:spacing w:line="300" w:lineRule="exact"/>
              <w:jc w:val="center"/>
              <w:rPr>
                <w:rFonts w:hint="eastAsia" w:ascii="宋体" w:hAnsi="宋体"/>
                <w:szCs w:val="21"/>
              </w:rPr>
            </w:pPr>
          </w:p>
        </w:tc>
        <w:tc>
          <w:tcPr>
            <w:tcW w:w="1400" w:type="dxa"/>
            <w:noWrap w:val="0"/>
            <w:vAlign w:val="center"/>
          </w:tcPr>
          <w:p w14:paraId="126CBA86">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128A4FA">
            <w:pPr>
              <w:spacing w:line="300" w:lineRule="exact"/>
              <w:jc w:val="center"/>
              <w:rPr>
                <w:rFonts w:hint="eastAsia" w:ascii="宋体" w:hAnsi="宋体"/>
                <w:szCs w:val="21"/>
              </w:rPr>
            </w:pPr>
          </w:p>
        </w:tc>
      </w:tr>
      <w:tr w14:paraId="017A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74DE8D45">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1AD0F202">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40E04CCB">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79DA923C">
            <w:pPr>
              <w:spacing w:line="300" w:lineRule="exact"/>
              <w:jc w:val="center"/>
              <w:rPr>
                <w:rFonts w:hint="eastAsia" w:ascii="宋体" w:hAnsi="宋体"/>
                <w:szCs w:val="21"/>
              </w:rPr>
            </w:pPr>
          </w:p>
        </w:tc>
        <w:tc>
          <w:tcPr>
            <w:tcW w:w="1400" w:type="dxa"/>
            <w:noWrap w:val="0"/>
            <w:vAlign w:val="center"/>
          </w:tcPr>
          <w:p w14:paraId="627AA54E">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0DF2EC9">
            <w:pPr>
              <w:spacing w:line="300" w:lineRule="exact"/>
              <w:jc w:val="center"/>
              <w:rPr>
                <w:rFonts w:hint="eastAsia" w:ascii="宋体" w:hAnsi="宋体"/>
                <w:szCs w:val="21"/>
              </w:rPr>
            </w:pPr>
          </w:p>
        </w:tc>
      </w:tr>
      <w:tr w14:paraId="2A69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079C33B4">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4C185D80">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6CB92A76">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0C543681">
            <w:pPr>
              <w:spacing w:line="300" w:lineRule="exact"/>
              <w:jc w:val="center"/>
              <w:rPr>
                <w:rFonts w:hint="eastAsia" w:ascii="宋体" w:hAnsi="宋体"/>
                <w:szCs w:val="21"/>
              </w:rPr>
            </w:pPr>
          </w:p>
        </w:tc>
        <w:tc>
          <w:tcPr>
            <w:tcW w:w="1400" w:type="dxa"/>
            <w:noWrap w:val="0"/>
            <w:vAlign w:val="center"/>
          </w:tcPr>
          <w:p w14:paraId="716E35F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0455EFF9">
            <w:pPr>
              <w:spacing w:line="300" w:lineRule="exact"/>
              <w:jc w:val="center"/>
              <w:rPr>
                <w:rFonts w:hint="eastAsia" w:ascii="宋体" w:hAnsi="宋体"/>
                <w:szCs w:val="21"/>
              </w:rPr>
            </w:pPr>
          </w:p>
        </w:tc>
      </w:tr>
      <w:tr w14:paraId="338A2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75A0CB5E">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154C78E0">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0277ECB6">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3E71726D">
            <w:pPr>
              <w:spacing w:line="300" w:lineRule="exact"/>
              <w:jc w:val="center"/>
              <w:rPr>
                <w:rFonts w:hint="eastAsia" w:ascii="宋体" w:hAnsi="宋体"/>
                <w:szCs w:val="21"/>
              </w:rPr>
            </w:pPr>
          </w:p>
        </w:tc>
        <w:tc>
          <w:tcPr>
            <w:tcW w:w="1400" w:type="dxa"/>
            <w:noWrap w:val="0"/>
            <w:vAlign w:val="center"/>
          </w:tcPr>
          <w:p w14:paraId="50DA1881">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BC2E3F4">
            <w:pPr>
              <w:spacing w:line="300" w:lineRule="exact"/>
              <w:jc w:val="center"/>
              <w:rPr>
                <w:rFonts w:hint="eastAsia" w:ascii="宋体" w:hAnsi="宋体"/>
                <w:szCs w:val="21"/>
              </w:rPr>
            </w:pPr>
          </w:p>
        </w:tc>
      </w:tr>
      <w:tr w14:paraId="36B5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535DA37A">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3B0691F8">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6B3EA907">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34DB08D">
            <w:pPr>
              <w:spacing w:line="300" w:lineRule="exact"/>
              <w:jc w:val="center"/>
              <w:rPr>
                <w:rFonts w:hint="eastAsia" w:ascii="宋体" w:hAnsi="宋体"/>
                <w:szCs w:val="21"/>
              </w:rPr>
            </w:pPr>
          </w:p>
        </w:tc>
        <w:tc>
          <w:tcPr>
            <w:tcW w:w="1400" w:type="dxa"/>
            <w:noWrap w:val="0"/>
            <w:vAlign w:val="center"/>
          </w:tcPr>
          <w:p w14:paraId="1F007629">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1D0E0BC">
            <w:pPr>
              <w:spacing w:line="300" w:lineRule="exact"/>
              <w:jc w:val="center"/>
              <w:rPr>
                <w:rFonts w:hint="eastAsia" w:ascii="宋体" w:hAnsi="宋体"/>
                <w:szCs w:val="21"/>
              </w:rPr>
            </w:pPr>
          </w:p>
        </w:tc>
      </w:tr>
      <w:tr w14:paraId="5AEBF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03DA90C9">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646C98BD">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559FB4E1">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4085142F">
            <w:pPr>
              <w:spacing w:line="300" w:lineRule="exact"/>
              <w:jc w:val="center"/>
              <w:rPr>
                <w:rFonts w:hint="eastAsia" w:ascii="宋体" w:hAnsi="宋体"/>
                <w:szCs w:val="21"/>
              </w:rPr>
            </w:pPr>
          </w:p>
        </w:tc>
        <w:tc>
          <w:tcPr>
            <w:tcW w:w="1400" w:type="dxa"/>
            <w:noWrap w:val="0"/>
            <w:vAlign w:val="center"/>
          </w:tcPr>
          <w:p w14:paraId="039F0BC7">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7EB9FDA7">
            <w:pPr>
              <w:spacing w:line="300" w:lineRule="exact"/>
              <w:jc w:val="center"/>
              <w:rPr>
                <w:rFonts w:hint="eastAsia" w:ascii="宋体" w:hAnsi="宋体"/>
                <w:szCs w:val="21"/>
              </w:rPr>
            </w:pPr>
          </w:p>
        </w:tc>
      </w:tr>
      <w:tr w14:paraId="6909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14FF5EF5">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7B8D3D27">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59F2FDF0">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5B34F990">
            <w:pPr>
              <w:spacing w:line="300" w:lineRule="exact"/>
              <w:jc w:val="center"/>
              <w:rPr>
                <w:rFonts w:hint="eastAsia" w:ascii="宋体" w:hAnsi="宋体"/>
                <w:szCs w:val="21"/>
              </w:rPr>
            </w:pPr>
          </w:p>
        </w:tc>
        <w:tc>
          <w:tcPr>
            <w:tcW w:w="1400" w:type="dxa"/>
            <w:noWrap w:val="0"/>
            <w:vAlign w:val="center"/>
          </w:tcPr>
          <w:p w14:paraId="6CAD53BC">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128F8D3">
            <w:pPr>
              <w:spacing w:line="300" w:lineRule="exact"/>
              <w:jc w:val="center"/>
              <w:rPr>
                <w:rFonts w:hint="eastAsia" w:ascii="宋体" w:hAnsi="宋体"/>
                <w:szCs w:val="21"/>
              </w:rPr>
            </w:pPr>
          </w:p>
        </w:tc>
      </w:tr>
      <w:tr w14:paraId="083E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50" w:type="dxa"/>
            <w:tcBorders>
              <w:bottom w:val="single" w:color="auto" w:sz="4" w:space="0"/>
            </w:tcBorders>
            <w:noWrap w:val="0"/>
            <w:vAlign w:val="center"/>
          </w:tcPr>
          <w:p w14:paraId="64B832D2">
            <w:pPr>
              <w:spacing w:after="120" w:afterLines="50" w:line="380" w:lineRule="exact"/>
              <w:jc w:val="center"/>
              <w:rPr>
                <w:rFonts w:hint="eastAsia" w:ascii="宋体" w:hAnsi="宋体"/>
                <w:szCs w:val="21"/>
              </w:rPr>
            </w:pPr>
          </w:p>
        </w:tc>
        <w:tc>
          <w:tcPr>
            <w:tcW w:w="3318" w:type="dxa"/>
            <w:tcBorders>
              <w:bottom w:val="single" w:color="auto" w:sz="4" w:space="0"/>
            </w:tcBorders>
            <w:noWrap w:val="0"/>
            <w:vAlign w:val="center"/>
          </w:tcPr>
          <w:p w14:paraId="4A26CE1F">
            <w:pPr>
              <w:spacing w:after="120" w:afterLines="50" w:line="380" w:lineRule="exact"/>
              <w:rPr>
                <w:rFonts w:hint="eastAsia" w:ascii="宋体" w:hAnsi="宋体"/>
                <w:szCs w:val="21"/>
              </w:rPr>
            </w:pPr>
          </w:p>
        </w:tc>
        <w:tc>
          <w:tcPr>
            <w:tcW w:w="1218" w:type="dxa"/>
            <w:tcBorders>
              <w:bottom w:val="single" w:color="auto" w:sz="4" w:space="0"/>
            </w:tcBorders>
            <w:noWrap w:val="0"/>
            <w:vAlign w:val="center"/>
          </w:tcPr>
          <w:p w14:paraId="749A1032">
            <w:pPr>
              <w:spacing w:after="120" w:afterLines="50" w:line="380" w:lineRule="exact"/>
              <w:jc w:val="center"/>
              <w:rPr>
                <w:rFonts w:hint="eastAsia" w:ascii="宋体" w:hAnsi="宋体"/>
                <w:szCs w:val="21"/>
              </w:rPr>
            </w:pPr>
          </w:p>
        </w:tc>
        <w:tc>
          <w:tcPr>
            <w:tcW w:w="965" w:type="dxa"/>
            <w:tcBorders>
              <w:bottom w:val="single" w:color="auto" w:sz="4" w:space="0"/>
            </w:tcBorders>
            <w:noWrap w:val="0"/>
            <w:vAlign w:val="center"/>
          </w:tcPr>
          <w:p w14:paraId="2F4E2643">
            <w:pPr>
              <w:spacing w:line="300" w:lineRule="exact"/>
              <w:jc w:val="center"/>
              <w:rPr>
                <w:rFonts w:hint="eastAsia" w:ascii="宋体" w:hAnsi="宋体"/>
                <w:szCs w:val="21"/>
              </w:rPr>
            </w:pPr>
          </w:p>
        </w:tc>
        <w:tc>
          <w:tcPr>
            <w:tcW w:w="1400" w:type="dxa"/>
            <w:noWrap w:val="0"/>
            <w:vAlign w:val="center"/>
          </w:tcPr>
          <w:p w14:paraId="52367E0A">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959F524">
            <w:pPr>
              <w:spacing w:line="300" w:lineRule="exact"/>
              <w:jc w:val="center"/>
              <w:rPr>
                <w:rFonts w:hint="eastAsia" w:ascii="宋体" w:hAnsi="宋体"/>
                <w:szCs w:val="21"/>
              </w:rPr>
            </w:pPr>
          </w:p>
        </w:tc>
      </w:tr>
      <w:tr w14:paraId="7D27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068" w:type="dxa"/>
            <w:gridSpan w:val="2"/>
            <w:noWrap w:val="0"/>
            <w:vAlign w:val="center"/>
          </w:tcPr>
          <w:p w14:paraId="20BE950F">
            <w:pPr>
              <w:spacing w:after="120" w:afterLines="50" w:line="380" w:lineRule="exact"/>
              <w:jc w:val="center"/>
              <w:rPr>
                <w:rFonts w:hint="eastAsia" w:ascii="宋体" w:hAnsi="宋体"/>
                <w:szCs w:val="21"/>
              </w:rPr>
            </w:pPr>
            <w:r>
              <w:rPr>
                <w:rFonts w:hint="eastAsia" w:ascii="宋体" w:hAnsi="宋体"/>
                <w:szCs w:val="21"/>
              </w:rPr>
              <w:t>合 计</w:t>
            </w:r>
          </w:p>
        </w:tc>
        <w:tc>
          <w:tcPr>
            <w:tcW w:w="1218" w:type="dxa"/>
            <w:noWrap w:val="0"/>
            <w:vAlign w:val="center"/>
          </w:tcPr>
          <w:p w14:paraId="32422932">
            <w:pPr>
              <w:spacing w:after="120" w:afterLines="50" w:line="380" w:lineRule="exact"/>
              <w:jc w:val="center"/>
              <w:rPr>
                <w:rFonts w:hint="eastAsia" w:ascii="宋体" w:hAnsi="宋体"/>
                <w:szCs w:val="21"/>
              </w:rPr>
            </w:pPr>
          </w:p>
        </w:tc>
        <w:tc>
          <w:tcPr>
            <w:tcW w:w="965" w:type="dxa"/>
            <w:noWrap w:val="0"/>
            <w:vAlign w:val="center"/>
          </w:tcPr>
          <w:p w14:paraId="6A886587">
            <w:pPr>
              <w:spacing w:line="300" w:lineRule="exact"/>
              <w:jc w:val="center"/>
              <w:rPr>
                <w:rFonts w:hint="eastAsia" w:ascii="宋体" w:hAnsi="宋体"/>
                <w:szCs w:val="21"/>
              </w:rPr>
            </w:pPr>
          </w:p>
        </w:tc>
        <w:tc>
          <w:tcPr>
            <w:tcW w:w="1400" w:type="dxa"/>
            <w:noWrap w:val="0"/>
            <w:vAlign w:val="center"/>
          </w:tcPr>
          <w:p w14:paraId="6B9E8845">
            <w:pPr>
              <w:spacing w:line="300" w:lineRule="exact"/>
              <w:jc w:val="center"/>
              <w:rPr>
                <w:rFonts w:hint="eastAsia" w:ascii="宋体" w:hAnsi="宋体"/>
                <w:szCs w:val="21"/>
              </w:rPr>
            </w:pPr>
          </w:p>
        </w:tc>
        <w:tc>
          <w:tcPr>
            <w:tcW w:w="925" w:type="dxa"/>
            <w:noWrap w:val="0"/>
            <w:vAlign w:val="center"/>
          </w:tcPr>
          <w:p w14:paraId="15FECDD0">
            <w:pPr>
              <w:spacing w:line="300" w:lineRule="exact"/>
              <w:jc w:val="center"/>
              <w:rPr>
                <w:rFonts w:hint="eastAsia" w:ascii="宋体" w:hAnsi="宋体"/>
                <w:szCs w:val="21"/>
              </w:rPr>
            </w:pPr>
          </w:p>
        </w:tc>
      </w:tr>
    </w:tbl>
    <w:p w14:paraId="41EFB7CF">
      <w:pPr>
        <w:spacing w:after="120" w:afterLines="50" w:line="380" w:lineRule="exact"/>
        <w:rPr>
          <w:rFonts w:hint="eastAsia" w:ascii="黑体" w:eastAsia="黑体"/>
          <w:sz w:val="24"/>
        </w:rPr>
      </w:pPr>
    </w:p>
    <w:p w14:paraId="7481E670">
      <w:pPr>
        <w:pStyle w:val="20"/>
        <w:rPr>
          <w:rFonts w:hint="eastAsia"/>
        </w:rPr>
      </w:pPr>
      <w:bookmarkStart w:id="2590" w:name="_Toc108514176"/>
      <w:r>
        <w:rPr>
          <w:rFonts w:hint="eastAsia"/>
        </w:rPr>
        <w:t>4.7单项工程投标报价汇总表</w:t>
      </w:r>
      <w:bookmarkEnd w:id="2590"/>
    </w:p>
    <w:p w14:paraId="408F13E8">
      <w:pPr>
        <w:spacing w:after="120" w:afterLines="50" w:line="380" w:lineRule="exact"/>
        <w:jc w:val="center"/>
        <w:rPr>
          <w:rFonts w:hint="eastAsia" w:ascii="黑体" w:eastAsia="黑体"/>
          <w:sz w:val="28"/>
          <w:szCs w:val="28"/>
        </w:rPr>
      </w:pPr>
      <w:r>
        <w:rPr>
          <w:rFonts w:hint="eastAsia" w:ascii="黑体" w:eastAsia="黑体"/>
          <w:sz w:val="28"/>
          <w:szCs w:val="28"/>
        </w:rPr>
        <w:t>单项工程投标报价汇总表</w:t>
      </w:r>
    </w:p>
    <w:p w14:paraId="6113B984">
      <w:pPr>
        <w:spacing w:after="120" w:afterLines="50" w:line="380" w:lineRule="exact"/>
        <w:rPr>
          <w:rFonts w:ascii="宋体" w:hAnsi="宋体"/>
          <w:sz w:val="28"/>
          <w:szCs w:val="28"/>
        </w:rPr>
      </w:pPr>
      <w:r>
        <w:rPr>
          <w:rFonts w:hint="eastAsia" w:ascii="宋体" w:hAnsi="宋体"/>
        </w:rPr>
        <w:t>工程名称：                                               第  页  共  页</w:t>
      </w:r>
    </w:p>
    <w:tbl>
      <w:tblPr>
        <w:tblStyle w:val="1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304"/>
        <w:gridCol w:w="1204"/>
        <w:gridCol w:w="923"/>
        <w:gridCol w:w="1470"/>
        <w:gridCol w:w="925"/>
      </w:tblGrid>
      <w:tr w14:paraId="4EC17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restart"/>
            <w:noWrap w:val="0"/>
            <w:vAlign w:val="center"/>
          </w:tcPr>
          <w:p w14:paraId="5AD707F9">
            <w:pPr>
              <w:spacing w:after="120" w:afterLines="50" w:line="380" w:lineRule="exact"/>
              <w:jc w:val="center"/>
              <w:rPr>
                <w:rFonts w:hint="eastAsia" w:ascii="宋体" w:hAnsi="宋体"/>
                <w:szCs w:val="21"/>
              </w:rPr>
            </w:pPr>
            <w:r>
              <w:rPr>
                <w:rFonts w:hint="eastAsia" w:ascii="宋体" w:hAnsi="宋体"/>
                <w:szCs w:val="21"/>
              </w:rPr>
              <w:t>序号</w:t>
            </w:r>
          </w:p>
        </w:tc>
        <w:tc>
          <w:tcPr>
            <w:tcW w:w="3304" w:type="dxa"/>
            <w:vMerge w:val="restart"/>
            <w:noWrap w:val="0"/>
            <w:vAlign w:val="center"/>
          </w:tcPr>
          <w:p w14:paraId="6F82F800">
            <w:pPr>
              <w:spacing w:after="120" w:afterLines="50" w:line="380" w:lineRule="exact"/>
              <w:jc w:val="center"/>
              <w:rPr>
                <w:rFonts w:hint="eastAsia" w:ascii="宋体" w:hAnsi="宋体"/>
                <w:szCs w:val="21"/>
              </w:rPr>
            </w:pPr>
            <w:r>
              <w:rPr>
                <w:rFonts w:hint="eastAsia" w:ascii="宋体" w:hAnsi="宋体"/>
                <w:szCs w:val="21"/>
              </w:rPr>
              <w:t>单位工程名称</w:t>
            </w:r>
          </w:p>
        </w:tc>
        <w:tc>
          <w:tcPr>
            <w:tcW w:w="1204" w:type="dxa"/>
            <w:vMerge w:val="restart"/>
            <w:noWrap w:val="0"/>
            <w:vAlign w:val="center"/>
          </w:tcPr>
          <w:p w14:paraId="64FF3E55">
            <w:pPr>
              <w:spacing w:after="120" w:afterLines="50" w:line="380" w:lineRule="exact"/>
              <w:jc w:val="center"/>
              <w:rPr>
                <w:rFonts w:hint="eastAsia" w:ascii="宋体" w:hAnsi="宋体"/>
                <w:szCs w:val="21"/>
              </w:rPr>
            </w:pPr>
            <w:r>
              <w:rPr>
                <w:rFonts w:hint="eastAsia" w:ascii="宋体" w:hAnsi="宋体"/>
                <w:szCs w:val="21"/>
              </w:rPr>
              <w:t>金额（元）</w:t>
            </w:r>
          </w:p>
        </w:tc>
        <w:tc>
          <w:tcPr>
            <w:tcW w:w="3318" w:type="dxa"/>
            <w:gridSpan w:val="3"/>
            <w:noWrap w:val="0"/>
            <w:vAlign w:val="center"/>
          </w:tcPr>
          <w:p w14:paraId="26D6ADE5">
            <w:pPr>
              <w:spacing w:after="120" w:afterLines="50" w:line="380" w:lineRule="exact"/>
              <w:jc w:val="center"/>
              <w:rPr>
                <w:rFonts w:hint="eastAsia" w:ascii="宋体" w:hAnsi="宋体"/>
                <w:szCs w:val="21"/>
              </w:rPr>
            </w:pPr>
            <w:r>
              <w:rPr>
                <w:rFonts w:hint="eastAsia" w:ascii="宋体" w:hAnsi="宋体"/>
                <w:szCs w:val="21"/>
              </w:rPr>
              <w:t>其  中：（元）</w:t>
            </w:r>
          </w:p>
        </w:tc>
      </w:tr>
      <w:tr w14:paraId="408C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continue"/>
            <w:noWrap w:val="0"/>
            <w:vAlign w:val="center"/>
          </w:tcPr>
          <w:p w14:paraId="690F83E3">
            <w:pPr>
              <w:spacing w:after="120" w:afterLines="50" w:line="380" w:lineRule="exact"/>
              <w:jc w:val="center"/>
              <w:rPr>
                <w:rFonts w:hint="eastAsia" w:ascii="宋体" w:hAnsi="宋体"/>
                <w:szCs w:val="21"/>
              </w:rPr>
            </w:pPr>
          </w:p>
        </w:tc>
        <w:tc>
          <w:tcPr>
            <w:tcW w:w="3304" w:type="dxa"/>
            <w:vMerge w:val="continue"/>
            <w:noWrap w:val="0"/>
            <w:vAlign w:val="center"/>
          </w:tcPr>
          <w:p w14:paraId="6954B8B3">
            <w:pPr>
              <w:spacing w:after="120" w:afterLines="50" w:line="380" w:lineRule="exact"/>
              <w:jc w:val="center"/>
              <w:rPr>
                <w:rFonts w:hint="eastAsia" w:ascii="宋体" w:hAnsi="宋体"/>
                <w:szCs w:val="21"/>
              </w:rPr>
            </w:pPr>
          </w:p>
        </w:tc>
        <w:tc>
          <w:tcPr>
            <w:tcW w:w="1204" w:type="dxa"/>
            <w:vMerge w:val="continue"/>
            <w:noWrap w:val="0"/>
            <w:vAlign w:val="center"/>
          </w:tcPr>
          <w:p w14:paraId="274DA4BC">
            <w:pPr>
              <w:spacing w:after="120" w:afterLines="50" w:line="380" w:lineRule="exact"/>
              <w:jc w:val="center"/>
              <w:rPr>
                <w:rFonts w:hint="eastAsia" w:ascii="宋体" w:hAnsi="宋体"/>
                <w:szCs w:val="21"/>
              </w:rPr>
            </w:pPr>
          </w:p>
        </w:tc>
        <w:tc>
          <w:tcPr>
            <w:tcW w:w="923" w:type="dxa"/>
            <w:noWrap w:val="0"/>
            <w:vAlign w:val="center"/>
          </w:tcPr>
          <w:p w14:paraId="34E0C3FC">
            <w:pPr>
              <w:spacing w:line="300" w:lineRule="exact"/>
              <w:jc w:val="center"/>
              <w:rPr>
                <w:rFonts w:hint="eastAsia" w:ascii="宋体" w:hAnsi="宋体"/>
                <w:szCs w:val="21"/>
              </w:rPr>
            </w:pPr>
            <w:r>
              <w:rPr>
                <w:rFonts w:hint="eastAsia" w:ascii="宋体" w:hAnsi="宋体"/>
                <w:szCs w:val="21"/>
              </w:rPr>
              <w:t>暂估价</w:t>
            </w:r>
          </w:p>
        </w:tc>
        <w:tc>
          <w:tcPr>
            <w:tcW w:w="1470" w:type="dxa"/>
            <w:noWrap w:val="0"/>
            <w:vAlign w:val="center"/>
          </w:tcPr>
          <w:p w14:paraId="736790A9">
            <w:pPr>
              <w:spacing w:line="300" w:lineRule="exact"/>
              <w:jc w:val="center"/>
              <w:rPr>
                <w:rFonts w:hint="eastAsia" w:ascii="宋体" w:hAnsi="宋体"/>
                <w:szCs w:val="21"/>
              </w:rPr>
            </w:pPr>
            <w:r>
              <w:rPr>
                <w:rFonts w:hint="eastAsia" w:ascii="宋体" w:hAnsi="宋体"/>
                <w:szCs w:val="21"/>
              </w:rPr>
              <w:t>安全文明</w:t>
            </w:r>
          </w:p>
          <w:p w14:paraId="3C2E58C7">
            <w:pPr>
              <w:spacing w:line="300" w:lineRule="exact"/>
              <w:jc w:val="center"/>
              <w:rPr>
                <w:rFonts w:hint="eastAsia" w:ascii="宋体" w:hAnsi="宋体"/>
                <w:szCs w:val="21"/>
              </w:rPr>
            </w:pPr>
            <w:r>
              <w:rPr>
                <w:rFonts w:hint="eastAsia" w:ascii="宋体" w:hAnsi="宋体"/>
                <w:szCs w:val="21"/>
              </w:rPr>
              <w:t>施工费</w:t>
            </w:r>
          </w:p>
        </w:tc>
        <w:tc>
          <w:tcPr>
            <w:tcW w:w="925" w:type="dxa"/>
            <w:noWrap w:val="0"/>
            <w:vAlign w:val="center"/>
          </w:tcPr>
          <w:p w14:paraId="030E9260">
            <w:pPr>
              <w:spacing w:line="300" w:lineRule="exact"/>
              <w:jc w:val="center"/>
              <w:rPr>
                <w:rFonts w:hint="eastAsia" w:ascii="宋体" w:hAnsi="宋体"/>
                <w:szCs w:val="21"/>
              </w:rPr>
            </w:pPr>
            <w:r>
              <w:rPr>
                <w:rFonts w:hint="eastAsia" w:ascii="宋体" w:hAnsi="宋体"/>
                <w:szCs w:val="21"/>
              </w:rPr>
              <w:t>规费</w:t>
            </w:r>
          </w:p>
        </w:tc>
      </w:tr>
      <w:tr w14:paraId="5D8C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6500AACA">
            <w:pPr>
              <w:spacing w:after="120" w:afterLines="50" w:line="380" w:lineRule="exact"/>
              <w:jc w:val="center"/>
              <w:rPr>
                <w:rFonts w:hint="eastAsia" w:ascii="宋体" w:hAnsi="宋体"/>
                <w:szCs w:val="21"/>
              </w:rPr>
            </w:pPr>
            <w:r>
              <w:rPr>
                <w:rFonts w:hint="eastAsia" w:ascii="宋体" w:hAnsi="宋体"/>
                <w:szCs w:val="21"/>
              </w:rPr>
              <w:t>1</w:t>
            </w:r>
          </w:p>
        </w:tc>
        <w:tc>
          <w:tcPr>
            <w:tcW w:w="3304" w:type="dxa"/>
            <w:tcBorders>
              <w:bottom w:val="single" w:color="auto" w:sz="4" w:space="0"/>
            </w:tcBorders>
            <w:noWrap w:val="0"/>
            <w:vAlign w:val="center"/>
          </w:tcPr>
          <w:p w14:paraId="554B0355">
            <w:pPr>
              <w:spacing w:after="120" w:afterLines="50" w:line="380" w:lineRule="exact"/>
              <w:rPr>
                <w:rFonts w:hint="eastAsia" w:ascii="宋体" w:hAnsi="宋体"/>
                <w:szCs w:val="21"/>
              </w:rPr>
            </w:pPr>
            <w:r>
              <w:rPr>
                <w:rFonts w:hint="eastAsia" w:ascii="宋体" w:hAnsi="宋体"/>
                <w:szCs w:val="21"/>
              </w:rPr>
              <w:t>单位工程</w:t>
            </w:r>
          </w:p>
        </w:tc>
        <w:tc>
          <w:tcPr>
            <w:tcW w:w="1204" w:type="dxa"/>
            <w:tcBorders>
              <w:bottom w:val="single" w:color="auto" w:sz="4" w:space="0"/>
            </w:tcBorders>
            <w:noWrap w:val="0"/>
            <w:vAlign w:val="center"/>
          </w:tcPr>
          <w:p w14:paraId="6197D8E4">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2A55FEC6">
            <w:pPr>
              <w:spacing w:line="300" w:lineRule="exact"/>
              <w:jc w:val="center"/>
              <w:rPr>
                <w:rFonts w:hint="eastAsia" w:ascii="宋体" w:hAnsi="宋体"/>
                <w:szCs w:val="21"/>
              </w:rPr>
            </w:pPr>
          </w:p>
        </w:tc>
        <w:tc>
          <w:tcPr>
            <w:tcW w:w="1470" w:type="dxa"/>
            <w:noWrap w:val="0"/>
            <w:vAlign w:val="center"/>
          </w:tcPr>
          <w:p w14:paraId="40E38F6F">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87C8F64">
            <w:pPr>
              <w:spacing w:line="300" w:lineRule="exact"/>
              <w:jc w:val="center"/>
              <w:rPr>
                <w:rFonts w:hint="eastAsia" w:ascii="宋体" w:hAnsi="宋体"/>
                <w:szCs w:val="21"/>
              </w:rPr>
            </w:pPr>
          </w:p>
        </w:tc>
      </w:tr>
      <w:tr w14:paraId="1805F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7470CBC3">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56E6E9FF">
            <w:pPr>
              <w:spacing w:after="120" w:afterLines="50" w:line="380" w:lineRule="exact"/>
              <w:rPr>
                <w:rFonts w:hint="eastAsia" w:ascii="宋体" w:hAnsi="宋体"/>
                <w:szCs w:val="21"/>
              </w:rPr>
            </w:pPr>
          </w:p>
        </w:tc>
        <w:tc>
          <w:tcPr>
            <w:tcW w:w="1204" w:type="dxa"/>
            <w:tcBorders>
              <w:bottom w:val="single" w:color="auto" w:sz="4" w:space="0"/>
            </w:tcBorders>
            <w:noWrap w:val="0"/>
            <w:vAlign w:val="center"/>
          </w:tcPr>
          <w:p w14:paraId="34ABD1EA">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459F6A6E">
            <w:pPr>
              <w:spacing w:line="300" w:lineRule="exact"/>
              <w:jc w:val="center"/>
              <w:rPr>
                <w:rFonts w:hint="eastAsia" w:ascii="宋体" w:hAnsi="宋体"/>
                <w:szCs w:val="21"/>
              </w:rPr>
            </w:pPr>
          </w:p>
        </w:tc>
        <w:tc>
          <w:tcPr>
            <w:tcW w:w="1470" w:type="dxa"/>
            <w:noWrap w:val="0"/>
            <w:vAlign w:val="center"/>
          </w:tcPr>
          <w:p w14:paraId="3153C4C4">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5A0AC75">
            <w:pPr>
              <w:spacing w:line="300" w:lineRule="exact"/>
              <w:jc w:val="center"/>
              <w:rPr>
                <w:rFonts w:hint="eastAsia" w:ascii="宋体" w:hAnsi="宋体"/>
                <w:szCs w:val="21"/>
              </w:rPr>
            </w:pPr>
          </w:p>
        </w:tc>
      </w:tr>
      <w:tr w14:paraId="57838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12742151">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29EB94EC">
            <w:pPr>
              <w:spacing w:after="120" w:afterLines="50" w:line="380" w:lineRule="exact"/>
              <w:rPr>
                <w:rFonts w:hint="eastAsia" w:ascii="宋体" w:hAnsi="宋体"/>
                <w:szCs w:val="21"/>
              </w:rPr>
            </w:pPr>
            <w:r>
              <w:rPr>
                <w:rFonts w:hint="eastAsia" w:ascii="宋体" w:hAnsi="宋体"/>
                <w:szCs w:val="21"/>
              </w:rPr>
              <w:t>单项工程数据：</w:t>
            </w:r>
          </w:p>
        </w:tc>
        <w:tc>
          <w:tcPr>
            <w:tcW w:w="1204" w:type="dxa"/>
            <w:tcBorders>
              <w:bottom w:val="single" w:color="auto" w:sz="4" w:space="0"/>
            </w:tcBorders>
            <w:noWrap w:val="0"/>
            <w:vAlign w:val="center"/>
          </w:tcPr>
          <w:p w14:paraId="4EC2B881">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60D552DE">
            <w:pPr>
              <w:spacing w:line="300" w:lineRule="exact"/>
              <w:jc w:val="center"/>
              <w:rPr>
                <w:rFonts w:hint="eastAsia" w:ascii="宋体" w:hAnsi="宋体"/>
                <w:szCs w:val="21"/>
              </w:rPr>
            </w:pPr>
          </w:p>
        </w:tc>
        <w:tc>
          <w:tcPr>
            <w:tcW w:w="1470" w:type="dxa"/>
            <w:noWrap w:val="0"/>
            <w:vAlign w:val="center"/>
          </w:tcPr>
          <w:p w14:paraId="382D1ED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1953D6B">
            <w:pPr>
              <w:spacing w:line="300" w:lineRule="exact"/>
              <w:jc w:val="center"/>
              <w:rPr>
                <w:rFonts w:hint="eastAsia" w:ascii="宋体" w:hAnsi="宋体"/>
                <w:szCs w:val="21"/>
              </w:rPr>
            </w:pPr>
          </w:p>
        </w:tc>
      </w:tr>
      <w:tr w14:paraId="52957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51111434">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08528507">
            <w:pPr>
              <w:spacing w:after="120" w:afterLines="50" w:line="380" w:lineRule="exact"/>
              <w:rPr>
                <w:rFonts w:hint="eastAsia" w:ascii="宋体" w:hAnsi="宋体"/>
                <w:szCs w:val="21"/>
              </w:rPr>
            </w:pPr>
            <w:r>
              <w:rPr>
                <w:rFonts w:hint="eastAsia" w:ascii="宋体" w:hAnsi="宋体"/>
                <w:szCs w:val="21"/>
              </w:rPr>
              <w:t>人工费</w:t>
            </w:r>
          </w:p>
        </w:tc>
        <w:tc>
          <w:tcPr>
            <w:tcW w:w="1204" w:type="dxa"/>
            <w:tcBorders>
              <w:bottom w:val="single" w:color="auto" w:sz="4" w:space="0"/>
            </w:tcBorders>
            <w:noWrap w:val="0"/>
            <w:vAlign w:val="center"/>
          </w:tcPr>
          <w:p w14:paraId="1444137A">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41F16018">
            <w:pPr>
              <w:spacing w:line="300" w:lineRule="exact"/>
              <w:jc w:val="center"/>
              <w:rPr>
                <w:rFonts w:hint="eastAsia" w:ascii="宋体" w:hAnsi="宋体"/>
                <w:szCs w:val="21"/>
              </w:rPr>
            </w:pPr>
          </w:p>
        </w:tc>
        <w:tc>
          <w:tcPr>
            <w:tcW w:w="1470" w:type="dxa"/>
            <w:noWrap w:val="0"/>
            <w:vAlign w:val="center"/>
          </w:tcPr>
          <w:p w14:paraId="4C30D2FB">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5AD9817">
            <w:pPr>
              <w:spacing w:line="300" w:lineRule="exact"/>
              <w:jc w:val="center"/>
              <w:rPr>
                <w:rFonts w:hint="eastAsia" w:ascii="宋体" w:hAnsi="宋体"/>
                <w:szCs w:val="21"/>
              </w:rPr>
            </w:pPr>
          </w:p>
        </w:tc>
      </w:tr>
      <w:tr w14:paraId="6E09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263D44FF">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04C80F55">
            <w:pPr>
              <w:spacing w:after="120" w:afterLines="50" w:line="380" w:lineRule="exact"/>
              <w:rPr>
                <w:rFonts w:hint="eastAsia" w:ascii="宋体" w:hAnsi="宋体"/>
                <w:szCs w:val="21"/>
              </w:rPr>
            </w:pPr>
            <w:r>
              <w:rPr>
                <w:rFonts w:hint="eastAsia" w:ascii="宋体" w:hAnsi="宋体"/>
                <w:szCs w:val="21"/>
              </w:rPr>
              <w:t>材料费</w:t>
            </w:r>
          </w:p>
        </w:tc>
        <w:tc>
          <w:tcPr>
            <w:tcW w:w="1204" w:type="dxa"/>
            <w:tcBorders>
              <w:bottom w:val="single" w:color="auto" w:sz="4" w:space="0"/>
            </w:tcBorders>
            <w:noWrap w:val="0"/>
            <w:vAlign w:val="center"/>
          </w:tcPr>
          <w:p w14:paraId="34645EAE">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2D2D47E7">
            <w:pPr>
              <w:spacing w:line="300" w:lineRule="exact"/>
              <w:jc w:val="center"/>
              <w:rPr>
                <w:rFonts w:hint="eastAsia" w:ascii="宋体" w:hAnsi="宋体"/>
                <w:szCs w:val="21"/>
              </w:rPr>
            </w:pPr>
          </w:p>
        </w:tc>
        <w:tc>
          <w:tcPr>
            <w:tcW w:w="1470" w:type="dxa"/>
            <w:noWrap w:val="0"/>
            <w:vAlign w:val="center"/>
          </w:tcPr>
          <w:p w14:paraId="09E3AD05">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B7E66BD">
            <w:pPr>
              <w:spacing w:line="300" w:lineRule="exact"/>
              <w:jc w:val="center"/>
              <w:rPr>
                <w:rFonts w:hint="eastAsia" w:ascii="宋体" w:hAnsi="宋体"/>
                <w:szCs w:val="21"/>
              </w:rPr>
            </w:pPr>
          </w:p>
        </w:tc>
      </w:tr>
      <w:tr w14:paraId="57FB8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352BA724">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4A7141D1">
            <w:pPr>
              <w:spacing w:after="120" w:afterLines="50" w:line="380" w:lineRule="exact"/>
              <w:rPr>
                <w:rFonts w:hint="eastAsia" w:ascii="宋体" w:hAnsi="宋体"/>
                <w:szCs w:val="21"/>
              </w:rPr>
            </w:pPr>
            <w:r>
              <w:rPr>
                <w:rFonts w:hint="eastAsia" w:ascii="宋体" w:hAnsi="宋体"/>
                <w:szCs w:val="21"/>
              </w:rPr>
              <w:t>机械费</w:t>
            </w:r>
          </w:p>
        </w:tc>
        <w:tc>
          <w:tcPr>
            <w:tcW w:w="1204" w:type="dxa"/>
            <w:tcBorders>
              <w:bottom w:val="single" w:color="auto" w:sz="4" w:space="0"/>
            </w:tcBorders>
            <w:noWrap w:val="0"/>
            <w:vAlign w:val="center"/>
          </w:tcPr>
          <w:p w14:paraId="17887247">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770115EC">
            <w:pPr>
              <w:spacing w:line="300" w:lineRule="exact"/>
              <w:jc w:val="center"/>
              <w:rPr>
                <w:rFonts w:hint="eastAsia" w:ascii="宋体" w:hAnsi="宋体"/>
                <w:szCs w:val="21"/>
              </w:rPr>
            </w:pPr>
          </w:p>
        </w:tc>
        <w:tc>
          <w:tcPr>
            <w:tcW w:w="1470" w:type="dxa"/>
            <w:noWrap w:val="0"/>
            <w:vAlign w:val="center"/>
          </w:tcPr>
          <w:p w14:paraId="3A023B0C">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8270E7A">
            <w:pPr>
              <w:spacing w:line="300" w:lineRule="exact"/>
              <w:jc w:val="center"/>
              <w:rPr>
                <w:rFonts w:hint="eastAsia" w:ascii="宋体" w:hAnsi="宋体"/>
                <w:szCs w:val="21"/>
              </w:rPr>
            </w:pPr>
          </w:p>
        </w:tc>
      </w:tr>
      <w:tr w14:paraId="22155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1ED7F868">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33C364C4">
            <w:pPr>
              <w:spacing w:after="120" w:afterLines="50" w:line="380" w:lineRule="exact"/>
              <w:rPr>
                <w:rFonts w:hint="eastAsia" w:ascii="宋体" w:hAnsi="宋体"/>
                <w:szCs w:val="21"/>
              </w:rPr>
            </w:pPr>
            <w:r>
              <w:rPr>
                <w:rFonts w:hint="eastAsia" w:ascii="宋体" w:hAnsi="宋体"/>
                <w:szCs w:val="21"/>
              </w:rPr>
              <w:t>设备费</w:t>
            </w:r>
          </w:p>
        </w:tc>
        <w:tc>
          <w:tcPr>
            <w:tcW w:w="1204" w:type="dxa"/>
            <w:tcBorders>
              <w:bottom w:val="single" w:color="auto" w:sz="4" w:space="0"/>
            </w:tcBorders>
            <w:noWrap w:val="0"/>
            <w:vAlign w:val="center"/>
          </w:tcPr>
          <w:p w14:paraId="45FE7F98">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2B4F45D7">
            <w:pPr>
              <w:spacing w:line="300" w:lineRule="exact"/>
              <w:jc w:val="center"/>
              <w:rPr>
                <w:rFonts w:hint="eastAsia" w:ascii="宋体" w:hAnsi="宋体"/>
                <w:szCs w:val="21"/>
              </w:rPr>
            </w:pPr>
          </w:p>
        </w:tc>
        <w:tc>
          <w:tcPr>
            <w:tcW w:w="1470" w:type="dxa"/>
            <w:noWrap w:val="0"/>
            <w:vAlign w:val="center"/>
          </w:tcPr>
          <w:p w14:paraId="660E06AD">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A5CC170">
            <w:pPr>
              <w:spacing w:line="300" w:lineRule="exact"/>
              <w:jc w:val="center"/>
              <w:rPr>
                <w:rFonts w:hint="eastAsia" w:ascii="宋体" w:hAnsi="宋体"/>
                <w:szCs w:val="21"/>
              </w:rPr>
            </w:pPr>
          </w:p>
        </w:tc>
      </w:tr>
      <w:tr w14:paraId="2088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2E4841F9">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6FA3E638">
            <w:pPr>
              <w:spacing w:after="120" w:afterLines="50" w:line="380" w:lineRule="exact"/>
              <w:rPr>
                <w:rFonts w:hint="eastAsia" w:ascii="宋体" w:hAnsi="宋体"/>
                <w:szCs w:val="21"/>
              </w:rPr>
            </w:pPr>
            <w:r>
              <w:rPr>
                <w:rFonts w:hint="eastAsia" w:ascii="宋体" w:hAnsi="宋体"/>
                <w:szCs w:val="21"/>
              </w:rPr>
              <w:t>主材费</w:t>
            </w:r>
          </w:p>
        </w:tc>
        <w:tc>
          <w:tcPr>
            <w:tcW w:w="1204" w:type="dxa"/>
            <w:tcBorders>
              <w:bottom w:val="single" w:color="auto" w:sz="4" w:space="0"/>
            </w:tcBorders>
            <w:noWrap w:val="0"/>
            <w:vAlign w:val="center"/>
          </w:tcPr>
          <w:p w14:paraId="6AA118E1">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374AC8D9">
            <w:pPr>
              <w:spacing w:line="300" w:lineRule="exact"/>
              <w:jc w:val="center"/>
              <w:rPr>
                <w:rFonts w:hint="eastAsia" w:ascii="宋体" w:hAnsi="宋体"/>
                <w:szCs w:val="21"/>
              </w:rPr>
            </w:pPr>
          </w:p>
        </w:tc>
        <w:tc>
          <w:tcPr>
            <w:tcW w:w="1470" w:type="dxa"/>
            <w:noWrap w:val="0"/>
            <w:vAlign w:val="center"/>
          </w:tcPr>
          <w:p w14:paraId="06941DD8">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A607BB8">
            <w:pPr>
              <w:spacing w:line="300" w:lineRule="exact"/>
              <w:jc w:val="center"/>
              <w:rPr>
                <w:rFonts w:hint="eastAsia" w:ascii="宋体" w:hAnsi="宋体"/>
                <w:szCs w:val="21"/>
              </w:rPr>
            </w:pPr>
          </w:p>
        </w:tc>
      </w:tr>
      <w:tr w14:paraId="5E72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574AF309">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6594E73F">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78D3A829">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3F389E64">
            <w:pPr>
              <w:spacing w:line="300" w:lineRule="exact"/>
              <w:jc w:val="center"/>
              <w:rPr>
                <w:rFonts w:hint="eastAsia" w:ascii="宋体" w:hAnsi="宋体"/>
                <w:szCs w:val="21"/>
              </w:rPr>
            </w:pPr>
          </w:p>
        </w:tc>
        <w:tc>
          <w:tcPr>
            <w:tcW w:w="1470" w:type="dxa"/>
            <w:noWrap w:val="0"/>
            <w:vAlign w:val="center"/>
          </w:tcPr>
          <w:p w14:paraId="19887D9A">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55BC433">
            <w:pPr>
              <w:spacing w:line="300" w:lineRule="exact"/>
              <w:jc w:val="center"/>
              <w:rPr>
                <w:rFonts w:hint="eastAsia" w:ascii="宋体" w:hAnsi="宋体"/>
                <w:szCs w:val="21"/>
              </w:rPr>
            </w:pPr>
          </w:p>
        </w:tc>
      </w:tr>
      <w:tr w14:paraId="7A343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21D53DA4">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7C5159B0">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28E73465">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0D99DE33">
            <w:pPr>
              <w:spacing w:line="300" w:lineRule="exact"/>
              <w:jc w:val="center"/>
              <w:rPr>
                <w:rFonts w:hint="eastAsia" w:ascii="宋体" w:hAnsi="宋体"/>
                <w:szCs w:val="21"/>
              </w:rPr>
            </w:pPr>
          </w:p>
        </w:tc>
        <w:tc>
          <w:tcPr>
            <w:tcW w:w="1470" w:type="dxa"/>
            <w:noWrap w:val="0"/>
            <w:vAlign w:val="center"/>
          </w:tcPr>
          <w:p w14:paraId="762235F9">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6684A288">
            <w:pPr>
              <w:spacing w:line="300" w:lineRule="exact"/>
              <w:jc w:val="center"/>
              <w:rPr>
                <w:rFonts w:hint="eastAsia" w:ascii="宋体" w:hAnsi="宋体"/>
                <w:szCs w:val="21"/>
              </w:rPr>
            </w:pPr>
          </w:p>
        </w:tc>
      </w:tr>
      <w:tr w14:paraId="3F26E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214658E8">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5917D46A">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2B46BC43">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08110CA0">
            <w:pPr>
              <w:spacing w:line="300" w:lineRule="exact"/>
              <w:jc w:val="center"/>
              <w:rPr>
                <w:rFonts w:hint="eastAsia" w:ascii="宋体" w:hAnsi="宋体"/>
                <w:szCs w:val="21"/>
              </w:rPr>
            </w:pPr>
          </w:p>
        </w:tc>
        <w:tc>
          <w:tcPr>
            <w:tcW w:w="1470" w:type="dxa"/>
            <w:noWrap w:val="0"/>
            <w:vAlign w:val="center"/>
          </w:tcPr>
          <w:p w14:paraId="75637CB0">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7B8C9387">
            <w:pPr>
              <w:spacing w:line="300" w:lineRule="exact"/>
              <w:jc w:val="center"/>
              <w:rPr>
                <w:rFonts w:hint="eastAsia" w:ascii="宋体" w:hAnsi="宋体"/>
                <w:szCs w:val="21"/>
              </w:rPr>
            </w:pPr>
          </w:p>
        </w:tc>
      </w:tr>
      <w:tr w14:paraId="6CE8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0943EDA9">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25CF1431">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78275F75">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5BF70801">
            <w:pPr>
              <w:spacing w:line="300" w:lineRule="exact"/>
              <w:jc w:val="center"/>
              <w:rPr>
                <w:rFonts w:hint="eastAsia" w:ascii="宋体" w:hAnsi="宋体"/>
                <w:szCs w:val="21"/>
              </w:rPr>
            </w:pPr>
          </w:p>
        </w:tc>
        <w:tc>
          <w:tcPr>
            <w:tcW w:w="1470" w:type="dxa"/>
            <w:noWrap w:val="0"/>
            <w:vAlign w:val="center"/>
          </w:tcPr>
          <w:p w14:paraId="056C280C">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AE25598">
            <w:pPr>
              <w:spacing w:line="300" w:lineRule="exact"/>
              <w:jc w:val="center"/>
              <w:rPr>
                <w:rFonts w:hint="eastAsia" w:ascii="宋体" w:hAnsi="宋体"/>
                <w:szCs w:val="21"/>
              </w:rPr>
            </w:pPr>
          </w:p>
        </w:tc>
      </w:tr>
      <w:tr w14:paraId="6C93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42279A79">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5C709A65">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7E0257BA">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7CB2763F">
            <w:pPr>
              <w:spacing w:line="300" w:lineRule="exact"/>
              <w:jc w:val="center"/>
              <w:rPr>
                <w:rFonts w:hint="eastAsia" w:ascii="宋体" w:hAnsi="宋体"/>
                <w:szCs w:val="21"/>
              </w:rPr>
            </w:pPr>
          </w:p>
        </w:tc>
        <w:tc>
          <w:tcPr>
            <w:tcW w:w="1470" w:type="dxa"/>
            <w:noWrap w:val="0"/>
            <w:vAlign w:val="center"/>
          </w:tcPr>
          <w:p w14:paraId="1688265C">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0152C34B">
            <w:pPr>
              <w:spacing w:line="300" w:lineRule="exact"/>
              <w:jc w:val="center"/>
              <w:rPr>
                <w:rFonts w:hint="eastAsia" w:ascii="宋体" w:hAnsi="宋体"/>
                <w:szCs w:val="21"/>
              </w:rPr>
            </w:pPr>
          </w:p>
        </w:tc>
      </w:tr>
      <w:tr w14:paraId="7852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7591078A">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2D2163CE">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4E0BE60A">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6B5C1FDD">
            <w:pPr>
              <w:spacing w:line="300" w:lineRule="exact"/>
              <w:jc w:val="center"/>
              <w:rPr>
                <w:rFonts w:hint="eastAsia" w:ascii="宋体" w:hAnsi="宋体"/>
                <w:szCs w:val="21"/>
              </w:rPr>
            </w:pPr>
          </w:p>
        </w:tc>
        <w:tc>
          <w:tcPr>
            <w:tcW w:w="1470" w:type="dxa"/>
            <w:noWrap w:val="0"/>
            <w:vAlign w:val="center"/>
          </w:tcPr>
          <w:p w14:paraId="197C710F">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3822375A">
            <w:pPr>
              <w:spacing w:line="300" w:lineRule="exact"/>
              <w:jc w:val="center"/>
              <w:rPr>
                <w:rFonts w:hint="eastAsia" w:ascii="宋体" w:hAnsi="宋体"/>
                <w:szCs w:val="21"/>
              </w:rPr>
            </w:pPr>
          </w:p>
        </w:tc>
      </w:tr>
      <w:tr w14:paraId="0C74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78BF4C63">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34F56AA4">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57D92EFF">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5868022B">
            <w:pPr>
              <w:spacing w:line="300" w:lineRule="exact"/>
              <w:jc w:val="center"/>
              <w:rPr>
                <w:rFonts w:hint="eastAsia" w:ascii="宋体" w:hAnsi="宋体"/>
                <w:szCs w:val="21"/>
              </w:rPr>
            </w:pPr>
          </w:p>
        </w:tc>
        <w:tc>
          <w:tcPr>
            <w:tcW w:w="1470" w:type="dxa"/>
            <w:noWrap w:val="0"/>
            <w:vAlign w:val="center"/>
          </w:tcPr>
          <w:p w14:paraId="10DD5A31">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2F67B25A">
            <w:pPr>
              <w:spacing w:line="300" w:lineRule="exact"/>
              <w:jc w:val="center"/>
              <w:rPr>
                <w:rFonts w:hint="eastAsia" w:ascii="宋体" w:hAnsi="宋体"/>
                <w:szCs w:val="21"/>
              </w:rPr>
            </w:pPr>
          </w:p>
        </w:tc>
      </w:tr>
      <w:tr w14:paraId="6837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0CE78CDD">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73A064C5">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4A4B046F">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44B8057F">
            <w:pPr>
              <w:spacing w:line="300" w:lineRule="exact"/>
              <w:jc w:val="center"/>
              <w:rPr>
                <w:rFonts w:hint="eastAsia" w:ascii="宋体" w:hAnsi="宋体"/>
                <w:szCs w:val="21"/>
              </w:rPr>
            </w:pPr>
          </w:p>
        </w:tc>
        <w:tc>
          <w:tcPr>
            <w:tcW w:w="1470" w:type="dxa"/>
            <w:noWrap w:val="0"/>
            <w:vAlign w:val="center"/>
          </w:tcPr>
          <w:p w14:paraId="6590C6A3">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5A77AFCC">
            <w:pPr>
              <w:spacing w:line="300" w:lineRule="exact"/>
              <w:jc w:val="center"/>
              <w:rPr>
                <w:rFonts w:hint="eastAsia" w:ascii="宋体" w:hAnsi="宋体"/>
                <w:szCs w:val="21"/>
              </w:rPr>
            </w:pPr>
          </w:p>
        </w:tc>
      </w:tr>
      <w:tr w14:paraId="63B0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50" w:type="dxa"/>
            <w:tcBorders>
              <w:bottom w:val="single" w:color="auto" w:sz="4" w:space="0"/>
            </w:tcBorders>
            <w:noWrap w:val="0"/>
            <w:vAlign w:val="center"/>
          </w:tcPr>
          <w:p w14:paraId="5903A9C8">
            <w:pPr>
              <w:spacing w:after="120" w:afterLines="50" w:line="380" w:lineRule="exact"/>
              <w:jc w:val="center"/>
              <w:rPr>
                <w:rFonts w:hint="eastAsia" w:ascii="宋体" w:hAnsi="宋体"/>
                <w:szCs w:val="21"/>
              </w:rPr>
            </w:pPr>
          </w:p>
        </w:tc>
        <w:tc>
          <w:tcPr>
            <w:tcW w:w="3304" w:type="dxa"/>
            <w:tcBorders>
              <w:bottom w:val="single" w:color="auto" w:sz="4" w:space="0"/>
            </w:tcBorders>
            <w:noWrap w:val="0"/>
            <w:vAlign w:val="center"/>
          </w:tcPr>
          <w:p w14:paraId="64443A98">
            <w:pPr>
              <w:spacing w:after="120" w:afterLines="50" w:line="380" w:lineRule="exact"/>
              <w:jc w:val="center"/>
              <w:rPr>
                <w:rFonts w:hint="eastAsia" w:ascii="宋体" w:hAnsi="宋体"/>
                <w:szCs w:val="21"/>
              </w:rPr>
            </w:pPr>
          </w:p>
        </w:tc>
        <w:tc>
          <w:tcPr>
            <w:tcW w:w="1204" w:type="dxa"/>
            <w:tcBorders>
              <w:bottom w:val="single" w:color="auto" w:sz="4" w:space="0"/>
            </w:tcBorders>
            <w:noWrap w:val="0"/>
            <w:vAlign w:val="center"/>
          </w:tcPr>
          <w:p w14:paraId="1EBD5E4A">
            <w:pPr>
              <w:spacing w:after="120" w:afterLines="50" w:line="380" w:lineRule="exact"/>
              <w:jc w:val="center"/>
              <w:rPr>
                <w:rFonts w:hint="eastAsia" w:ascii="宋体" w:hAnsi="宋体"/>
                <w:szCs w:val="21"/>
              </w:rPr>
            </w:pPr>
          </w:p>
        </w:tc>
        <w:tc>
          <w:tcPr>
            <w:tcW w:w="923" w:type="dxa"/>
            <w:tcBorders>
              <w:bottom w:val="single" w:color="auto" w:sz="4" w:space="0"/>
            </w:tcBorders>
            <w:noWrap w:val="0"/>
            <w:vAlign w:val="center"/>
          </w:tcPr>
          <w:p w14:paraId="54546B39">
            <w:pPr>
              <w:spacing w:line="300" w:lineRule="exact"/>
              <w:jc w:val="center"/>
              <w:rPr>
                <w:rFonts w:hint="eastAsia" w:ascii="宋体" w:hAnsi="宋体"/>
                <w:szCs w:val="21"/>
              </w:rPr>
            </w:pPr>
          </w:p>
        </w:tc>
        <w:tc>
          <w:tcPr>
            <w:tcW w:w="1470" w:type="dxa"/>
            <w:noWrap w:val="0"/>
            <w:vAlign w:val="center"/>
          </w:tcPr>
          <w:p w14:paraId="5DAD2D78">
            <w:pPr>
              <w:spacing w:line="300" w:lineRule="exact"/>
              <w:jc w:val="center"/>
              <w:rPr>
                <w:rFonts w:hint="eastAsia" w:ascii="宋体" w:hAnsi="宋体"/>
                <w:szCs w:val="21"/>
              </w:rPr>
            </w:pPr>
          </w:p>
        </w:tc>
        <w:tc>
          <w:tcPr>
            <w:tcW w:w="925" w:type="dxa"/>
            <w:tcBorders>
              <w:bottom w:val="single" w:color="auto" w:sz="4" w:space="0"/>
            </w:tcBorders>
            <w:noWrap w:val="0"/>
            <w:vAlign w:val="center"/>
          </w:tcPr>
          <w:p w14:paraId="47BBBAB0">
            <w:pPr>
              <w:spacing w:line="300" w:lineRule="exact"/>
              <w:jc w:val="center"/>
              <w:rPr>
                <w:rFonts w:hint="eastAsia" w:ascii="宋体" w:hAnsi="宋体"/>
                <w:szCs w:val="21"/>
              </w:rPr>
            </w:pPr>
          </w:p>
        </w:tc>
      </w:tr>
      <w:tr w14:paraId="0E603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054" w:type="dxa"/>
            <w:gridSpan w:val="2"/>
            <w:noWrap w:val="0"/>
            <w:vAlign w:val="center"/>
          </w:tcPr>
          <w:p w14:paraId="7FBCB170">
            <w:pPr>
              <w:spacing w:after="120" w:afterLines="50" w:line="380" w:lineRule="exact"/>
              <w:jc w:val="center"/>
              <w:rPr>
                <w:rFonts w:hint="eastAsia" w:ascii="宋体" w:hAnsi="宋体"/>
                <w:szCs w:val="21"/>
              </w:rPr>
            </w:pPr>
            <w:r>
              <w:rPr>
                <w:rFonts w:hint="eastAsia" w:ascii="宋体" w:hAnsi="宋体"/>
                <w:szCs w:val="21"/>
              </w:rPr>
              <w:t>合 计</w:t>
            </w:r>
          </w:p>
        </w:tc>
        <w:tc>
          <w:tcPr>
            <w:tcW w:w="1204" w:type="dxa"/>
            <w:noWrap w:val="0"/>
            <w:vAlign w:val="center"/>
          </w:tcPr>
          <w:p w14:paraId="3AB8CE6B">
            <w:pPr>
              <w:spacing w:after="120" w:afterLines="50" w:line="380" w:lineRule="exact"/>
              <w:jc w:val="center"/>
              <w:rPr>
                <w:rFonts w:hint="eastAsia" w:ascii="宋体" w:hAnsi="宋体"/>
                <w:szCs w:val="21"/>
              </w:rPr>
            </w:pPr>
          </w:p>
        </w:tc>
        <w:tc>
          <w:tcPr>
            <w:tcW w:w="923" w:type="dxa"/>
            <w:noWrap w:val="0"/>
            <w:vAlign w:val="center"/>
          </w:tcPr>
          <w:p w14:paraId="578011ED">
            <w:pPr>
              <w:spacing w:line="300" w:lineRule="exact"/>
              <w:jc w:val="center"/>
              <w:rPr>
                <w:rFonts w:hint="eastAsia" w:ascii="宋体" w:hAnsi="宋体"/>
                <w:szCs w:val="21"/>
              </w:rPr>
            </w:pPr>
          </w:p>
        </w:tc>
        <w:tc>
          <w:tcPr>
            <w:tcW w:w="1470" w:type="dxa"/>
            <w:noWrap w:val="0"/>
            <w:vAlign w:val="center"/>
          </w:tcPr>
          <w:p w14:paraId="48013036">
            <w:pPr>
              <w:spacing w:line="300" w:lineRule="exact"/>
              <w:jc w:val="center"/>
              <w:rPr>
                <w:rFonts w:hint="eastAsia" w:ascii="宋体" w:hAnsi="宋体"/>
                <w:szCs w:val="21"/>
              </w:rPr>
            </w:pPr>
          </w:p>
        </w:tc>
        <w:tc>
          <w:tcPr>
            <w:tcW w:w="925" w:type="dxa"/>
            <w:noWrap w:val="0"/>
            <w:vAlign w:val="center"/>
          </w:tcPr>
          <w:p w14:paraId="027A719B">
            <w:pPr>
              <w:spacing w:line="300" w:lineRule="exact"/>
              <w:jc w:val="center"/>
              <w:rPr>
                <w:rFonts w:hint="eastAsia" w:ascii="宋体" w:hAnsi="宋体"/>
                <w:szCs w:val="21"/>
              </w:rPr>
            </w:pPr>
          </w:p>
        </w:tc>
      </w:tr>
    </w:tbl>
    <w:p w14:paraId="7193F754">
      <w:pPr>
        <w:spacing w:after="120" w:afterLines="50" w:line="380" w:lineRule="exact"/>
        <w:jc w:val="center"/>
        <w:rPr>
          <w:rFonts w:hint="eastAsia" w:ascii="黑体" w:eastAsia="黑体"/>
          <w:sz w:val="28"/>
          <w:szCs w:val="28"/>
        </w:rPr>
      </w:pPr>
    </w:p>
    <w:p w14:paraId="532D4E27">
      <w:pPr>
        <w:pStyle w:val="20"/>
        <w:rPr>
          <w:rFonts w:hint="eastAsia"/>
        </w:rPr>
      </w:pPr>
      <w:bookmarkStart w:id="2591" w:name="_Toc108514177"/>
      <w:r>
        <w:rPr>
          <w:rFonts w:hint="eastAsia"/>
        </w:rPr>
        <w:t>4.8单位工程投标报价汇总表</w:t>
      </w:r>
      <w:bookmarkEnd w:id="2591"/>
    </w:p>
    <w:p w14:paraId="6FEB0BF1">
      <w:pPr>
        <w:spacing w:before="120" w:beforeLines="50" w:after="120" w:afterLines="50"/>
        <w:jc w:val="center"/>
        <w:rPr>
          <w:rFonts w:hint="eastAsia" w:ascii="黑体" w:eastAsia="黑体"/>
          <w:sz w:val="28"/>
          <w:szCs w:val="28"/>
        </w:rPr>
      </w:pPr>
      <w:r>
        <w:rPr>
          <w:rFonts w:hint="eastAsia" w:ascii="黑体" w:eastAsia="黑体"/>
          <w:sz w:val="28"/>
          <w:szCs w:val="28"/>
        </w:rPr>
        <w:t>单位工程投标报价汇总表</w:t>
      </w:r>
    </w:p>
    <w:p w14:paraId="33EA89A1">
      <w:pPr>
        <w:spacing w:after="120" w:afterLines="50"/>
      </w:pPr>
      <w:r>
        <w:rPr>
          <w:rFonts w:hint="eastAsia"/>
        </w:rPr>
        <w:t>工程名称：                                                     第  页   共  页</w:t>
      </w:r>
    </w:p>
    <w:tbl>
      <w:tblPr>
        <w:tblStyle w:val="15"/>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910"/>
        <w:gridCol w:w="3330"/>
        <w:gridCol w:w="1789"/>
      </w:tblGrid>
      <w:tr w14:paraId="53DA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27" w:type="dxa"/>
            <w:noWrap w:val="0"/>
            <w:vAlign w:val="center"/>
          </w:tcPr>
          <w:p w14:paraId="600B851C">
            <w:pPr>
              <w:jc w:val="center"/>
              <w:rPr>
                <w:rFonts w:hint="eastAsia"/>
                <w:szCs w:val="21"/>
              </w:rPr>
            </w:pPr>
            <w:r>
              <w:rPr>
                <w:rFonts w:hint="eastAsia"/>
                <w:szCs w:val="21"/>
              </w:rPr>
              <w:t>序号</w:t>
            </w:r>
          </w:p>
        </w:tc>
        <w:tc>
          <w:tcPr>
            <w:tcW w:w="2910" w:type="dxa"/>
            <w:noWrap w:val="0"/>
            <w:vAlign w:val="center"/>
          </w:tcPr>
          <w:p w14:paraId="025C0C38">
            <w:pPr>
              <w:jc w:val="center"/>
              <w:rPr>
                <w:rFonts w:hint="eastAsia"/>
                <w:szCs w:val="21"/>
              </w:rPr>
            </w:pPr>
            <w:r>
              <w:rPr>
                <w:rFonts w:hint="eastAsia"/>
                <w:szCs w:val="21"/>
              </w:rPr>
              <w:t>汇总内容</w:t>
            </w:r>
          </w:p>
        </w:tc>
        <w:tc>
          <w:tcPr>
            <w:tcW w:w="3330" w:type="dxa"/>
            <w:noWrap w:val="0"/>
            <w:vAlign w:val="center"/>
          </w:tcPr>
          <w:p w14:paraId="18C82228">
            <w:pPr>
              <w:jc w:val="center"/>
              <w:rPr>
                <w:rFonts w:hint="eastAsia"/>
                <w:szCs w:val="21"/>
              </w:rPr>
            </w:pPr>
            <w:r>
              <w:rPr>
                <w:rFonts w:hint="eastAsia"/>
                <w:szCs w:val="21"/>
              </w:rPr>
              <w:t>金额(元)</w:t>
            </w:r>
          </w:p>
        </w:tc>
        <w:tc>
          <w:tcPr>
            <w:tcW w:w="1789" w:type="dxa"/>
            <w:noWrap w:val="0"/>
            <w:vAlign w:val="center"/>
          </w:tcPr>
          <w:p w14:paraId="1343BEBB">
            <w:pPr>
              <w:jc w:val="center"/>
              <w:rPr>
                <w:rFonts w:hint="eastAsia"/>
                <w:szCs w:val="21"/>
              </w:rPr>
            </w:pPr>
            <w:r>
              <w:rPr>
                <w:rFonts w:hint="eastAsia"/>
                <w:szCs w:val="21"/>
              </w:rPr>
              <w:t>其中：暂估价(元)</w:t>
            </w:r>
          </w:p>
        </w:tc>
      </w:tr>
      <w:tr w14:paraId="733A9BA7">
        <w:tblPrEx>
          <w:tblCellMar>
            <w:top w:w="0" w:type="dxa"/>
            <w:left w:w="108" w:type="dxa"/>
            <w:bottom w:w="0" w:type="dxa"/>
            <w:right w:w="108" w:type="dxa"/>
          </w:tblCellMar>
        </w:tblPrEx>
        <w:trPr>
          <w:trHeight w:val="476" w:hRule="atLeast"/>
        </w:trPr>
        <w:tc>
          <w:tcPr>
            <w:tcW w:w="727" w:type="dxa"/>
            <w:noWrap w:val="0"/>
            <w:vAlign w:val="center"/>
          </w:tcPr>
          <w:p w14:paraId="3925729D">
            <w:pPr>
              <w:rPr>
                <w:rFonts w:hint="eastAsia" w:ascii="黑体" w:eastAsia="黑体"/>
                <w:szCs w:val="21"/>
              </w:rPr>
            </w:pPr>
            <w:r>
              <w:rPr>
                <w:rFonts w:hint="eastAsia" w:ascii="黑体" w:eastAsia="黑体"/>
                <w:szCs w:val="21"/>
              </w:rPr>
              <w:t>1</w:t>
            </w:r>
          </w:p>
        </w:tc>
        <w:tc>
          <w:tcPr>
            <w:tcW w:w="2910" w:type="dxa"/>
            <w:noWrap w:val="0"/>
            <w:vAlign w:val="center"/>
          </w:tcPr>
          <w:p w14:paraId="480F2586">
            <w:pPr>
              <w:jc w:val="left"/>
              <w:rPr>
                <w:rFonts w:hint="eastAsia"/>
                <w:szCs w:val="21"/>
              </w:rPr>
            </w:pPr>
            <w:r>
              <w:rPr>
                <w:rFonts w:hint="eastAsia"/>
                <w:szCs w:val="21"/>
              </w:rPr>
              <w:t>分部分项工程</w:t>
            </w:r>
          </w:p>
        </w:tc>
        <w:tc>
          <w:tcPr>
            <w:tcW w:w="3330" w:type="dxa"/>
            <w:noWrap w:val="0"/>
            <w:vAlign w:val="center"/>
          </w:tcPr>
          <w:p w14:paraId="6C13ED47">
            <w:pPr>
              <w:jc w:val="center"/>
              <w:rPr>
                <w:rFonts w:hint="eastAsia"/>
                <w:szCs w:val="21"/>
              </w:rPr>
            </w:pPr>
          </w:p>
        </w:tc>
        <w:tc>
          <w:tcPr>
            <w:tcW w:w="1789" w:type="dxa"/>
            <w:noWrap w:val="0"/>
            <w:vAlign w:val="center"/>
          </w:tcPr>
          <w:p w14:paraId="4F2FC97D">
            <w:pPr>
              <w:jc w:val="center"/>
              <w:rPr>
                <w:rFonts w:hint="eastAsia"/>
                <w:szCs w:val="21"/>
              </w:rPr>
            </w:pPr>
          </w:p>
        </w:tc>
      </w:tr>
      <w:tr w14:paraId="14E9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F6AF971">
            <w:pPr>
              <w:rPr>
                <w:rFonts w:hint="eastAsia" w:ascii="黑体" w:eastAsia="黑体"/>
                <w:szCs w:val="21"/>
              </w:rPr>
            </w:pPr>
            <w:r>
              <w:rPr>
                <w:rFonts w:hint="eastAsia" w:ascii="黑体" w:eastAsia="黑体"/>
                <w:szCs w:val="21"/>
              </w:rPr>
              <w:t>1.1</w:t>
            </w:r>
          </w:p>
        </w:tc>
        <w:tc>
          <w:tcPr>
            <w:tcW w:w="2910" w:type="dxa"/>
            <w:noWrap w:val="0"/>
            <w:vAlign w:val="center"/>
          </w:tcPr>
          <w:p w14:paraId="6575D181">
            <w:pPr>
              <w:jc w:val="center"/>
              <w:rPr>
                <w:rFonts w:hint="eastAsia"/>
                <w:szCs w:val="21"/>
              </w:rPr>
            </w:pPr>
          </w:p>
        </w:tc>
        <w:tc>
          <w:tcPr>
            <w:tcW w:w="3330" w:type="dxa"/>
            <w:noWrap w:val="0"/>
            <w:vAlign w:val="center"/>
          </w:tcPr>
          <w:p w14:paraId="3173CD6D">
            <w:pPr>
              <w:jc w:val="center"/>
              <w:rPr>
                <w:rFonts w:hint="eastAsia"/>
                <w:szCs w:val="21"/>
              </w:rPr>
            </w:pPr>
          </w:p>
        </w:tc>
        <w:tc>
          <w:tcPr>
            <w:tcW w:w="1789" w:type="dxa"/>
            <w:noWrap w:val="0"/>
            <w:vAlign w:val="center"/>
          </w:tcPr>
          <w:p w14:paraId="0E651C5F">
            <w:pPr>
              <w:jc w:val="center"/>
              <w:rPr>
                <w:rFonts w:hint="eastAsia"/>
                <w:szCs w:val="21"/>
              </w:rPr>
            </w:pPr>
          </w:p>
        </w:tc>
      </w:tr>
      <w:tr w14:paraId="647D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3D5082F">
            <w:pPr>
              <w:rPr>
                <w:rFonts w:hint="eastAsia" w:ascii="黑体" w:eastAsia="黑体"/>
                <w:szCs w:val="21"/>
              </w:rPr>
            </w:pPr>
            <w:r>
              <w:rPr>
                <w:rFonts w:hint="eastAsia" w:ascii="黑体" w:eastAsia="黑体"/>
                <w:szCs w:val="21"/>
              </w:rPr>
              <w:t>1.2</w:t>
            </w:r>
          </w:p>
        </w:tc>
        <w:tc>
          <w:tcPr>
            <w:tcW w:w="2910" w:type="dxa"/>
            <w:noWrap w:val="0"/>
            <w:vAlign w:val="center"/>
          </w:tcPr>
          <w:p w14:paraId="7D8F6D7C">
            <w:pPr>
              <w:jc w:val="center"/>
              <w:rPr>
                <w:rFonts w:hint="eastAsia"/>
                <w:szCs w:val="21"/>
              </w:rPr>
            </w:pPr>
          </w:p>
        </w:tc>
        <w:tc>
          <w:tcPr>
            <w:tcW w:w="3330" w:type="dxa"/>
            <w:noWrap w:val="0"/>
            <w:vAlign w:val="center"/>
          </w:tcPr>
          <w:p w14:paraId="29B2A653">
            <w:pPr>
              <w:jc w:val="center"/>
              <w:rPr>
                <w:rFonts w:hint="eastAsia"/>
                <w:szCs w:val="21"/>
              </w:rPr>
            </w:pPr>
          </w:p>
        </w:tc>
        <w:tc>
          <w:tcPr>
            <w:tcW w:w="1789" w:type="dxa"/>
            <w:noWrap w:val="0"/>
            <w:vAlign w:val="center"/>
          </w:tcPr>
          <w:p w14:paraId="2EB61E03">
            <w:pPr>
              <w:jc w:val="center"/>
              <w:rPr>
                <w:rFonts w:hint="eastAsia"/>
                <w:szCs w:val="21"/>
              </w:rPr>
            </w:pPr>
          </w:p>
        </w:tc>
      </w:tr>
      <w:tr w14:paraId="0442A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585D979">
            <w:pPr>
              <w:rPr>
                <w:rFonts w:hint="eastAsia" w:ascii="黑体" w:eastAsia="黑体"/>
                <w:szCs w:val="21"/>
              </w:rPr>
            </w:pPr>
            <w:r>
              <w:rPr>
                <w:rFonts w:hint="eastAsia" w:ascii="黑体" w:eastAsia="黑体"/>
                <w:szCs w:val="21"/>
              </w:rPr>
              <w:t>1.3</w:t>
            </w:r>
          </w:p>
        </w:tc>
        <w:tc>
          <w:tcPr>
            <w:tcW w:w="2910" w:type="dxa"/>
            <w:noWrap w:val="0"/>
            <w:vAlign w:val="center"/>
          </w:tcPr>
          <w:p w14:paraId="7B9464C2">
            <w:pPr>
              <w:jc w:val="center"/>
              <w:rPr>
                <w:rFonts w:hint="eastAsia"/>
                <w:szCs w:val="21"/>
              </w:rPr>
            </w:pPr>
          </w:p>
        </w:tc>
        <w:tc>
          <w:tcPr>
            <w:tcW w:w="3330" w:type="dxa"/>
            <w:noWrap w:val="0"/>
            <w:vAlign w:val="center"/>
          </w:tcPr>
          <w:p w14:paraId="652B728F">
            <w:pPr>
              <w:jc w:val="center"/>
              <w:rPr>
                <w:rFonts w:hint="eastAsia"/>
                <w:szCs w:val="21"/>
              </w:rPr>
            </w:pPr>
          </w:p>
        </w:tc>
        <w:tc>
          <w:tcPr>
            <w:tcW w:w="1789" w:type="dxa"/>
            <w:noWrap w:val="0"/>
            <w:vAlign w:val="center"/>
          </w:tcPr>
          <w:p w14:paraId="2AEAA4A3">
            <w:pPr>
              <w:jc w:val="center"/>
              <w:rPr>
                <w:rFonts w:hint="eastAsia"/>
                <w:szCs w:val="21"/>
              </w:rPr>
            </w:pPr>
          </w:p>
        </w:tc>
      </w:tr>
      <w:tr w14:paraId="5099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313672B">
            <w:pPr>
              <w:rPr>
                <w:rFonts w:hint="eastAsia" w:ascii="黑体" w:eastAsia="黑体"/>
                <w:szCs w:val="21"/>
              </w:rPr>
            </w:pPr>
            <w:r>
              <w:rPr>
                <w:rFonts w:hint="eastAsia" w:ascii="黑体" w:eastAsia="黑体"/>
                <w:szCs w:val="21"/>
              </w:rPr>
              <w:t>1.4</w:t>
            </w:r>
          </w:p>
        </w:tc>
        <w:tc>
          <w:tcPr>
            <w:tcW w:w="2910" w:type="dxa"/>
            <w:noWrap w:val="0"/>
            <w:vAlign w:val="center"/>
          </w:tcPr>
          <w:p w14:paraId="71F0E2A1">
            <w:pPr>
              <w:jc w:val="center"/>
              <w:rPr>
                <w:rFonts w:hint="eastAsia"/>
                <w:szCs w:val="21"/>
              </w:rPr>
            </w:pPr>
          </w:p>
        </w:tc>
        <w:tc>
          <w:tcPr>
            <w:tcW w:w="3330" w:type="dxa"/>
            <w:noWrap w:val="0"/>
            <w:vAlign w:val="center"/>
          </w:tcPr>
          <w:p w14:paraId="6251F784">
            <w:pPr>
              <w:jc w:val="center"/>
              <w:rPr>
                <w:rFonts w:hint="eastAsia"/>
                <w:szCs w:val="21"/>
              </w:rPr>
            </w:pPr>
          </w:p>
        </w:tc>
        <w:tc>
          <w:tcPr>
            <w:tcW w:w="1789" w:type="dxa"/>
            <w:noWrap w:val="0"/>
            <w:vAlign w:val="center"/>
          </w:tcPr>
          <w:p w14:paraId="131C016E">
            <w:pPr>
              <w:jc w:val="center"/>
              <w:rPr>
                <w:rFonts w:hint="eastAsia"/>
                <w:szCs w:val="21"/>
              </w:rPr>
            </w:pPr>
          </w:p>
        </w:tc>
      </w:tr>
      <w:tr w14:paraId="1529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7B3C3C30">
            <w:pPr>
              <w:rPr>
                <w:rFonts w:hint="eastAsia" w:ascii="黑体" w:eastAsia="黑体"/>
                <w:szCs w:val="21"/>
              </w:rPr>
            </w:pPr>
            <w:r>
              <w:rPr>
                <w:rFonts w:hint="eastAsia" w:ascii="黑体" w:eastAsia="黑体"/>
                <w:szCs w:val="21"/>
              </w:rPr>
              <w:t>1.5</w:t>
            </w:r>
          </w:p>
        </w:tc>
        <w:tc>
          <w:tcPr>
            <w:tcW w:w="2910" w:type="dxa"/>
            <w:noWrap w:val="0"/>
            <w:vAlign w:val="center"/>
          </w:tcPr>
          <w:p w14:paraId="524067C7">
            <w:pPr>
              <w:jc w:val="center"/>
              <w:rPr>
                <w:rFonts w:hint="eastAsia"/>
                <w:szCs w:val="21"/>
              </w:rPr>
            </w:pPr>
          </w:p>
        </w:tc>
        <w:tc>
          <w:tcPr>
            <w:tcW w:w="3330" w:type="dxa"/>
            <w:noWrap w:val="0"/>
            <w:vAlign w:val="center"/>
          </w:tcPr>
          <w:p w14:paraId="1E575BE9">
            <w:pPr>
              <w:jc w:val="center"/>
              <w:rPr>
                <w:rFonts w:hint="eastAsia"/>
                <w:szCs w:val="21"/>
              </w:rPr>
            </w:pPr>
          </w:p>
        </w:tc>
        <w:tc>
          <w:tcPr>
            <w:tcW w:w="1789" w:type="dxa"/>
            <w:noWrap w:val="0"/>
            <w:vAlign w:val="center"/>
          </w:tcPr>
          <w:p w14:paraId="4C1AA4F3">
            <w:pPr>
              <w:jc w:val="center"/>
              <w:rPr>
                <w:rFonts w:hint="eastAsia"/>
                <w:szCs w:val="21"/>
              </w:rPr>
            </w:pPr>
          </w:p>
        </w:tc>
      </w:tr>
      <w:tr w14:paraId="1B602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2C006453">
            <w:pPr>
              <w:rPr>
                <w:rFonts w:hint="eastAsia" w:ascii="黑体" w:eastAsia="黑体"/>
                <w:szCs w:val="21"/>
              </w:rPr>
            </w:pPr>
            <w:r>
              <w:rPr>
                <w:rFonts w:hint="eastAsia" w:ascii="黑体" w:eastAsia="黑体"/>
                <w:szCs w:val="21"/>
              </w:rPr>
              <w:t>1.6</w:t>
            </w:r>
          </w:p>
        </w:tc>
        <w:tc>
          <w:tcPr>
            <w:tcW w:w="2910" w:type="dxa"/>
            <w:noWrap w:val="0"/>
            <w:vAlign w:val="center"/>
          </w:tcPr>
          <w:p w14:paraId="717CFA16">
            <w:pPr>
              <w:jc w:val="center"/>
              <w:rPr>
                <w:rFonts w:hint="eastAsia"/>
                <w:szCs w:val="21"/>
              </w:rPr>
            </w:pPr>
          </w:p>
        </w:tc>
        <w:tc>
          <w:tcPr>
            <w:tcW w:w="3330" w:type="dxa"/>
            <w:noWrap w:val="0"/>
            <w:vAlign w:val="center"/>
          </w:tcPr>
          <w:p w14:paraId="411DF745">
            <w:pPr>
              <w:jc w:val="center"/>
              <w:rPr>
                <w:rFonts w:hint="eastAsia"/>
                <w:szCs w:val="21"/>
              </w:rPr>
            </w:pPr>
          </w:p>
        </w:tc>
        <w:tc>
          <w:tcPr>
            <w:tcW w:w="1789" w:type="dxa"/>
            <w:noWrap w:val="0"/>
            <w:vAlign w:val="center"/>
          </w:tcPr>
          <w:p w14:paraId="6AC8A2CE">
            <w:pPr>
              <w:jc w:val="center"/>
              <w:rPr>
                <w:rFonts w:hint="eastAsia"/>
                <w:szCs w:val="21"/>
              </w:rPr>
            </w:pPr>
          </w:p>
        </w:tc>
      </w:tr>
      <w:tr w14:paraId="61A42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53236E4">
            <w:pPr>
              <w:rPr>
                <w:rFonts w:hint="eastAsia" w:ascii="黑体" w:eastAsia="黑体"/>
                <w:szCs w:val="21"/>
              </w:rPr>
            </w:pPr>
            <w:r>
              <w:rPr>
                <w:rFonts w:hint="eastAsia" w:ascii="黑体" w:eastAsia="黑体"/>
                <w:szCs w:val="21"/>
              </w:rPr>
              <w:t>1.7</w:t>
            </w:r>
          </w:p>
        </w:tc>
        <w:tc>
          <w:tcPr>
            <w:tcW w:w="2910" w:type="dxa"/>
            <w:noWrap w:val="0"/>
            <w:vAlign w:val="center"/>
          </w:tcPr>
          <w:p w14:paraId="0A2CAA59">
            <w:pPr>
              <w:jc w:val="center"/>
              <w:rPr>
                <w:rFonts w:hint="eastAsia"/>
                <w:szCs w:val="21"/>
              </w:rPr>
            </w:pPr>
          </w:p>
        </w:tc>
        <w:tc>
          <w:tcPr>
            <w:tcW w:w="3330" w:type="dxa"/>
            <w:noWrap w:val="0"/>
            <w:vAlign w:val="center"/>
          </w:tcPr>
          <w:p w14:paraId="2925773C">
            <w:pPr>
              <w:jc w:val="center"/>
              <w:rPr>
                <w:rFonts w:hint="eastAsia"/>
                <w:szCs w:val="21"/>
              </w:rPr>
            </w:pPr>
          </w:p>
        </w:tc>
        <w:tc>
          <w:tcPr>
            <w:tcW w:w="1789" w:type="dxa"/>
            <w:noWrap w:val="0"/>
            <w:vAlign w:val="center"/>
          </w:tcPr>
          <w:p w14:paraId="2C474D1D">
            <w:pPr>
              <w:jc w:val="center"/>
              <w:rPr>
                <w:rFonts w:hint="eastAsia"/>
                <w:szCs w:val="21"/>
              </w:rPr>
            </w:pPr>
          </w:p>
        </w:tc>
      </w:tr>
      <w:tr w14:paraId="10D3E74E">
        <w:tblPrEx>
          <w:tblCellMar>
            <w:top w:w="0" w:type="dxa"/>
            <w:left w:w="108" w:type="dxa"/>
            <w:bottom w:w="0" w:type="dxa"/>
            <w:right w:w="108" w:type="dxa"/>
          </w:tblCellMar>
        </w:tblPrEx>
        <w:trPr>
          <w:trHeight w:val="476" w:hRule="atLeast"/>
        </w:trPr>
        <w:tc>
          <w:tcPr>
            <w:tcW w:w="727" w:type="dxa"/>
            <w:noWrap w:val="0"/>
            <w:vAlign w:val="center"/>
          </w:tcPr>
          <w:p w14:paraId="357B845C">
            <w:pPr>
              <w:rPr>
                <w:rFonts w:hint="eastAsia" w:ascii="黑体" w:eastAsia="黑体"/>
                <w:szCs w:val="21"/>
              </w:rPr>
            </w:pPr>
            <w:r>
              <w:rPr>
                <w:rFonts w:hint="eastAsia" w:ascii="黑体" w:eastAsia="黑体"/>
                <w:szCs w:val="21"/>
              </w:rPr>
              <w:t>1.8</w:t>
            </w:r>
          </w:p>
        </w:tc>
        <w:tc>
          <w:tcPr>
            <w:tcW w:w="2910" w:type="dxa"/>
            <w:noWrap w:val="0"/>
            <w:vAlign w:val="center"/>
          </w:tcPr>
          <w:p w14:paraId="4BEC9AAC">
            <w:pPr>
              <w:jc w:val="center"/>
              <w:rPr>
                <w:rFonts w:hint="eastAsia"/>
                <w:szCs w:val="21"/>
              </w:rPr>
            </w:pPr>
          </w:p>
        </w:tc>
        <w:tc>
          <w:tcPr>
            <w:tcW w:w="3330" w:type="dxa"/>
            <w:noWrap w:val="0"/>
            <w:vAlign w:val="center"/>
          </w:tcPr>
          <w:p w14:paraId="6EEDFC17">
            <w:pPr>
              <w:jc w:val="center"/>
              <w:rPr>
                <w:rFonts w:hint="eastAsia"/>
                <w:szCs w:val="21"/>
              </w:rPr>
            </w:pPr>
          </w:p>
        </w:tc>
        <w:tc>
          <w:tcPr>
            <w:tcW w:w="1789" w:type="dxa"/>
            <w:noWrap w:val="0"/>
            <w:vAlign w:val="center"/>
          </w:tcPr>
          <w:p w14:paraId="67B3E858">
            <w:pPr>
              <w:jc w:val="center"/>
              <w:rPr>
                <w:rFonts w:hint="eastAsia"/>
                <w:szCs w:val="21"/>
              </w:rPr>
            </w:pPr>
          </w:p>
        </w:tc>
      </w:tr>
      <w:tr w14:paraId="627F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648474B">
            <w:pPr>
              <w:rPr>
                <w:rFonts w:hint="eastAsia" w:ascii="黑体" w:eastAsia="黑体"/>
                <w:szCs w:val="21"/>
              </w:rPr>
            </w:pPr>
            <w:r>
              <w:rPr>
                <w:rFonts w:hint="eastAsia" w:ascii="黑体" w:eastAsia="黑体"/>
                <w:szCs w:val="21"/>
              </w:rPr>
              <w:t>1.9</w:t>
            </w:r>
          </w:p>
        </w:tc>
        <w:tc>
          <w:tcPr>
            <w:tcW w:w="2910" w:type="dxa"/>
            <w:noWrap w:val="0"/>
            <w:vAlign w:val="center"/>
          </w:tcPr>
          <w:p w14:paraId="0F4C30E8">
            <w:pPr>
              <w:jc w:val="center"/>
              <w:rPr>
                <w:rFonts w:hint="eastAsia"/>
                <w:szCs w:val="21"/>
              </w:rPr>
            </w:pPr>
          </w:p>
        </w:tc>
        <w:tc>
          <w:tcPr>
            <w:tcW w:w="3330" w:type="dxa"/>
            <w:noWrap w:val="0"/>
            <w:vAlign w:val="center"/>
          </w:tcPr>
          <w:p w14:paraId="466F2762">
            <w:pPr>
              <w:jc w:val="center"/>
              <w:rPr>
                <w:rFonts w:hint="eastAsia"/>
                <w:szCs w:val="21"/>
              </w:rPr>
            </w:pPr>
          </w:p>
        </w:tc>
        <w:tc>
          <w:tcPr>
            <w:tcW w:w="1789" w:type="dxa"/>
            <w:noWrap w:val="0"/>
            <w:vAlign w:val="center"/>
          </w:tcPr>
          <w:p w14:paraId="7301F603">
            <w:pPr>
              <w:jc w:val="center"/>
              <w:rPr>
                <w:rFonts w:hint="eastAsia"/>
                <w:szCs w:val="21"/>
              </w:rPr>
            </w:pPr>
          </w:p>
        </w:tc>
      </w:tr>
      <w:tr w14:paraId="7304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3618A3F0">
            <w:pPr>
              <w:rPr>
                <w:rFonts w:hint="eastAsia" w:ascii="黑体" w:eastAsia="黑体"/>
                <w:szCs w:val="21"/>
              </w:rPr>
            </w:pPr>
            <w:r>
              <w:rPr>
                <w:rFonts w:hint="eastAsia" w:ascii="黑体" w:eastAsia="黑体"/>
                <w:szCs w:val="21"/>
              </w:rPr>
              <w:t>1.10</w:t>
            </w:r>
          </w:p>
        </w:tc>
        <w:tc>
          <w:tcPr>
            <w:tcW w:w="2910" w:type="dxa"/>
            <w:noWrap w:val="0"/>
            <w:vAlign w:val="center"/>
          </w:tcPr>
          <w:p w14:paraId="68AF6A15">
            <w:pPr>
              <w:jc w:val="center"/>
              <w:rPr>
                <w:rFonts w:hint="eastAsia"/>
                <w:szCs w:val="21"/>
              </w:rPr>
            </w:pPr>
          </w:p>
        </w:tc>
        <w:tc>
          <w:tcPr>
            <w:tcW w:w="3330" w:type="dxa"/>
            <w:noWrap w:val="0"/>
            <w:vAlign w:val="center"/>
          </w:tcPr>
          <w:p w14:paraId="22384751">
            <w:pPr>
              <w:jc w:val="center"/>
              <w:rPr>
                <w:rFonts w:hint="eastAsia"/>
                <w:szCs w:val="21"/>
              </w:rPr>
            </w:pPr>
          </w:p>
        </w:tc>
        <w:tc>
          <w:tcPr>
            <w:tcW w:w="1789" w:type="dxa"/>
            <w:noWrap w:val="0"/>
            <w:vAlign w:val="center"/>
          </w:tcPr>
          <w:p w14:paraId="0B53E0FE">
            <w:pPr>
              <w:jc w:val="center"/>
              <w:rPr>
                <w:rFonts w:hint="eastAsia"/>
                <w:szCs w:val="21"/>
              </w:rPr>
            </w:pPr>
          </w:p>
        </w:tc>
      </w:tr>
      <w:tr w14:paraId="7B45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9E78F95">
            <w:pPr>
              <w:rPr>
                <w:rFonts w:hint="eastAsia" w:ascii="黑体" w:eastAsia="黑体"/>
                <w:szCs w:val="21"/>
              </w:rPr>
            </w:pPr>
            <w:r>
              <w:rPr>
                <w:rFonts w:hint="eastAsia" w:ascii="黑体" w:eastAsia="黑体"/>
                <w:szCs w:val="21"/>
              </w:rPr>
              <w:t>1.11</w:t>
            </w:r>
          </w:p>
        </w:tc>
        <w:tc>
          <w:tcPr>
            <w:tcW w:w="2910" w:type="dxa"/>
            <w:noWrap w:val="0"/>
            <w:vAlign w:val="center"/>
          </w:tcPr>
          <w:p w14:paraId="7D61FCA7">
            <w:pPr>
              <w:jc w:val="center"/>
              <w:rPr>
                <w:rFonts w:hint="eastAsia"/>
                <w:szCs w:val="21"/>
              </w:rPr>
            </w:pPr>
          </w:p>
        </w:tc>
        <w:tc>
          <w:tcPr>
            <w:tcW w:w="3330" w:type="dxa"/>
            <w:noWrap w:val="0"/>
            <w:vAlign w:val="center"/>
          </w:tcPr>
          <w:p w14:paraId="6363F923">
            <w:pPr>
              <w:jc w:val="center"/>
              <w:rPr>
                <w:rFonts w:hint="eastAsia"/>
                <w:szCs w:val="21"/>
              </w:rPr>
            </w:pPr>
          </w:p>
        </w:tc>
        <w:tc>
          <w:tcPr>
            <w:tcW w:w="1789" w:type="dxa"/>
            <w:noWrap w:val="0"/>
            <w:vAlign w:val="center"/>
          </w:tcPr>
          <w:p w14:paraId="1CEA085B">
            <w:pPr>
              <w:jc w:val="center"/>
              <w:rPr>
                <w:rFonts w:hint="eastAsia"/>
                <w:szCs w:val="21"/>
              </w:rPr>
            </w:pPr>
          </w:p>
        </w:tc>
      </w:tr>
      <w:tr w14:paraId="540F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674365E">
            <w:pPr>
              <w:rPr>
                <w:rFonts w:hint="eastAsia" w:ascii="黑体" w:eastAsia="黑体"/>
                <w:szCs w:val="21"/>
              </w:rPr>
            </w:pPr>
            <w:r>
              <w:rPr>
                <w:rFonts w:hint="eastAsia" w:ascii="黑体" w:eastAsia="黑体"/>
                <w:szCs w:val="21"/>
              </w:rPr>
              <w:t>1.12</w:t>
            </w:r>
          </w:p>
        </w:tc>
        <w:tc>
          <w:tcPr>
            <w:tcW w:w="2910" w:type="dxa"/>
            <w:noWrap w:val="0"/>
            <w:vAlign w:val="center"/>
          </w:tcPr>
          <w:p w14:paraId="25C1B07D">
            <w:pPr>
              <w:jc w:val="center"/>
              <w:rPr>
                <w:rFonts w:hint="eastAsia"/>
                <w:szCs w:val="21"/>
              </w:rPr>
            </w:pPr>
          </w:p>
        </w:tc>
        <w:tc>
          <w:tcPr>
            <w:tcW w:w="3330" w:type="dxa"/>
            <w:noWrap w:val="0"/>
            <w:vAlign w:val="center"/>
          </w:tcPr>
          <w:p w14:paraId="731074FC">
            <w:pPr>
              <w:jc w:val="center"/>
              <w:rPr>
                <w:rFonts w:hint="eastAsia"/>
                <w:szCs w:val="21"/>
              </w:rPr>
            </w:pPr>
          </w:p>
        </w:tc>
        <w:tc>
          <w:tcPr>
            <w:tcW w:w="1789" w:type="dxa"/>
            <w:noWrap w:val="0"/>
            <w:vAlign w:val="center"/>
          </w:tcPr>
          <w:p w14:paraId="16BA7F5B">
            <w:pPr>
              <w:jc w:val="center"/>
              <w:rPr>
                <w:rFonts w:hint="eastAsia"/>
                <w:szCs w:val="21"/>
              </w:rPr>
            </w:pPr>
          </w:p>
        </w:tc>
      </w:tr>
      <w:tr w14:paraId="453A6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08F2BF86">
            <w:pPr>
              <w:rPr>
                <w:rFonts w:hint="eastAsia" w:ascii="黑体" w:eastAsia="黑体"/>
                <w:szCs w:val="21"/>
              </w:rPr>
            </w:pPr>
            <w:r>
              <w:rPr>
                <w:rFonts w:hint="eastAsia" w:ascii="黑体" w:eastAsia="黑体"/>
                <w:szCs w:val="21"/>
              </w:rPr>
              <w:t>1.13</w:t>
            </w:r>
          </w:p>
        </w:tc>
        <w:tc>
          <w:tcPr>
            <w:tcW w:w="2910" w:type="dxa"/>
            <w:noWrap w:val="0"/>
            <w:vAlign w:val="center"/>
          </w:tcPr>
          <w:p w14:paraId="18B50E37">
            <w:pPr>
              <w:jc w:val="center"/>
              <w:rPr>
                <w:rFonts w:hint="eastAsia"/>
                <w:szCs w:val="21"/>
              </w:rPr>
            </w:pPr>
          </w:p>
        </w:tc>
        <w:tc>
          <w:tcPr>
            <w:tcW w:w="3330" w:type="dxa"/>
            <w:noWrap w:val="0"/>
            <w:vAlign w:val="center"/>
          </w:tcPr>
          <w:p w14:paraId="18509538">
            <w:pPr>
              <w:jc w:val="center"/>
              <w:rPr>
                <w:rFonts w:hint="eastAsia"/>
                <w:szCs w:val="21"/>
              </w:rPr>
            </w:pPr>
          </w:p>
        </w:tc>
        <w:tc>
          <w:tcPr>
            <w:tcW w:w="1789" w:type="dxa"/>
            <w:noWrap w:val="0"/>
            <w:vAlign w:val="center"/>
          </w:tcPr>
          <w:p w14:paraId="65B4AEE2">
            <w:pPr>
              <w:jc w:val="center"/>
              <w:rPr>
                <w:rFonts w:hint="eastAsia"/>
                <w:szCs w:val="21"/>
              </w:rPr>
            </w:pPr>
          </w:p>
        </w:tc>
      </w:tr>
      <w:tr w14:paraId="15F85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23E38AD3">
            <w:pPr>
              <w:rPr>
                <w:rFonts w:hint="eastAsia" w:ascii="黑体" w:eastAsia="黑体"/>
                <w:szCs w:val="21"/>
              </w:rPr>
            </w:pPr>
          </w:p>
        </w:tc>
        <w:tc>
          <w:tcPr>
            <w:tcW w:w="2910" w:type="dxa"/>
            <w:noWrap w:val="0"/>
            <w:vAlign w:val="center"/>
          </w:tcPr>
          <w:p w14:paraId="3E7D4A02">
            <w:pPr>
              <w:rPr>
                <w:rFonts w:hint="eastAsia"/>
                <w:szCs w:val="21"/>
              </w:rPr>
            </w:pPr>
            <w:r>
              <w:rPr>
                <w:rFonts w:hint="eastAsia"/>
                <w:szCs w:val="21"/>
              </w:rPr>
              <w:t>其中：人工费</w:t>
            </w:r>
          </w:p>
        </w:tc>
        <w:tc>
          <w:tcPr>
            <w:tcW w:w="3330" w:type="dxa"/>
            <w:noWrap w:val="0"/>
            <w:vAlign w:val="center"/>
          </w:tcPr>
          <w:p w14:paraId="156C1639">
            <w:pPr>
              <w:jc w:val="center"/>
              <w:rPr>
                <w:rFonts w:hint="eastAsia"/>
                <w:szCs w:val="21"/>
              </w:rPr>
            </w:pPr>
          </w:p>
        </w:tc>
        <w:tc>
          <w:tcPr>
            <w:tcW w:w="1789" w:type="dxa"/>
            <w:noWrap w:val="0"/>
            <w:vAlign w:val="center"/>
          </w:tcPr>
          <w:p w14:paraId="1830F81E">
            <w:pPr>
              <w:jc w:val="center"/>
              <w:rPr>
                <w:rFonts w:hint="eastAsia"/>
                <w:szCs w:val="21"/>
              </w:rPr>
            </w:pPr>
          </w:p>
        </w:tc>
      </w:tr>
      <w:tr w14:paraId="1275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7E8E7711">
            <w:pPr>
              <w:rPr>
                <w:rFonts w:hint="eastAsia" w:ascii="黑体" w:eastAsia="黑体"/>
                <w:szCs w:val="21"/>
              </w:rPr>
            </w:pPr>
          </w:p>
        </w:tc>
        <w:tc>
          <w:tcPr>
            <w:tcW w:w="2910" w:type="dxa"/>
            <w:noWrap w:val="0"/>
            <w:vAlign w:val="center"/>
          </w:tcPr>
          <w:p w14:paraId="1E1C48C5">
            <w:pPr>
              <w:rPr>
                <w:rFonts w:hint="eastAsia"/>
                <w:szCs w:val="21"/>
              </w:rPr>
            </w:pPr>
            <w:r>
              <w:rPr>
                <w:rFonts w:hint="eastAsia"/>
                <w:szCs w:val="21"/>
              </w:rPr>
              <w:t>其中：施工机具使用费</w:t>
            </w:r>
          </w:p>
        </w:tc>
        <w:tc>
          <w:tcPr>
            <w:tcW w:w="3330" w:type="dxa"/>
            <w:noWrap w:val="0"/>
            <w:vAlign w:val="center"/>
          </w:tcPr>
          <w:p w14:paraId="5B7DA08C">
            <w:pPr>
              <w:jc w:val="center"/>
              <w:rPr>
                <w:rFonts w:hint="eastAsia"/>
                <w:szCs w:val="21"/>
              </w:rPr>
            </w:pPr>
          </w:p>
        </w:tc>
        <w:tc>
          <w:tcPr>
            <w:tcW w:w="1789" w:type="dxa"/>
            <w:noWrap w:val="0"/>
            <w:vAlign w:val="center"/>
          </w:tcPr>
          <w:p w14:paraId="2E268441">
            <w:pPr>
              <w:jc w:val="center"/>
              <w:rPr>
                <w:rFonts w:hint="eastAsia"/>
                <w:szCs w:val="21"/>
              </w:rPr>
            </w:pPr>
          </w:p>
        </w:tc>
      </w:tr>
      <w:tr w14:paraId="746D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34BF9A97">
            <w:pPr>
              <w:rPr>
                <w:rFonts w:hint="eastAsia" w:ascii="黑体" w:eastAsia="黑体"/>
                <w:szCs w:val="21"/>
              </w:rPr>
            </w:pPr>
            <w:r>
              <w:rPr>
                <w:rFonts w:hint="eastAsia" w:ascii="黑体" w:eastAsia="黑体"/>
                <w:szCs w:val="21"/>
              </w:rPr>
              <w:t>2</w:t>
            </w:r>
          </w:p>
        </w:tc>
        <w:tc>
          <w:tcPr>
            <w:tcW w:w="2910" w:type="dxa"/>
            <w:noWrap w:val="0"/>
            <w:vAlign w:val="center"/>
          </w:tcPr>
          <w:p w14:paraId="3BA07880">
            <w:pPr>
              <w:rPr>
                <w:rFonts w:hint="eastAsia"/>
                <w:szCs w:val="21"/>
              </w:rPr>
            </w:pPr>
            <w:r>
              <w:rPr>
                <w:rFonts w:hint="eastAsia"/>
                <w:szCs w:val="21"/>
              </w:rPr>
              <w:t>措施项目</w:t>
            </w:r>
          </w:p>
        </w:tc>
        <w:tc>
          <w:tcPr>
            <w:tcW w:w="3330" w:type="dxa"/>
            <w:noWrap w:val="0"/>
            <w:vAlign w:val="center"/>
          </w:tcPr>
          <w:p w14:paraId="68A54FE7">
            <w:pPr>
              <w:jc w:val="center"/>
              <w:rPr>
                <w:rFonts w:hint="eastAsia"/>
                <w:szCs w:val="21"/>
              </w:rPr>
            </w:pPr>
          </w:p>
        </w:tc>
        <w:tc>
          <w:tcPr>
            <w:tcW w:w="1789" w:type="dxa"/>
            <w:noWrap w:val="0"/>
            <w:vAlign w:val="center"/>
          </w:tcPr>
          <w:p w14:paraId="73FD47AC">
            <w:pPr>
              <w:jc w:val="center"/>
              <w:rPr>
                <w:szCs w:val="21"/>
              </w:rPr>
            </w:pPr>
          </w:p>
        </w:tc>
      </w:tr>
      <w:tr w14:paraId="4413E307">
        <w:tblPrEx>
          <w:tblCellMar>
            <w:top w:w="0" w:type="dxa"/>
            <w:left w:w="108" w:type="dxa"/>
            <w:bottom w:w="0" w:type="dxa"/>
            <w:right w:w="108" w:type="dxa"/>
          </w:tblCellMar>
        </w:tblPrEx>
        <w:trPr>
          <w:trHeight w:val="476" w:hRule="atLeast"/>
        </w:trPr>
        <w:tc>
          <w:tcPr>
            <w:tcW w:w="727" w:type="dxa"/>
            <w:noWrap w:val="0"/>
            <w:vAlign w:val="center"/>
          </w:tcPr>
          <w:p w14:paraId="702D0617">
            <w:pPr>
              <w:rPr>
                <w:rFonts w:hint="eastAsia" w:ascii="黑体" w:eastAsia="黑体"/>
                <w:szCs w:val="21"/>
              </w:rPr>
            </w:pPr>
            <w:r>
              <w:rPr>
                <w:rFonts w:hint="eastAsia" w:ascii="黑体" w:eastAsia="黑体"/>
                <w:szCs w:val="21"/>
              </w:rPr>
              <w:t>2.1</w:t>
            </w:r>
          </w:p>
        </w:tc>
        <w:tc>
          <w:tcPr>
            <w:tcW w:w="2910" w:type="dxa"/>
            <w:noWrap w:val="0"/>
            <w:vAlign w:val="center"/>
          </w:tcPr>
          <w:p w14:paraId="73961E7C">
            <w:pPr>
              <w:rPr>
                <w:rFonts w:hint="eastAsia"/>
                <w:szCs w:val="21"/>
              </w:rPr>
            </w:pPr>
            <w:r>
              <w:rPr>
                <w:rFonts w:hint="eastAsia"/>
                <w:szCs w:val="21"/>
              </w:rPr>
              <w:t>单价措施项目</w:t>
            </w:r>
          </w:p>
        </w:tc>
        <w:tc>
          <w:tcPr>
            <w:tcW w:w="3330" w:type="dxa"/>
            <w:noWrap w:val="0"/>
            <w:vAlign w:val="center"/>
          </w:tcPr>
          <w:p w14:paraId="24F190CF">
            <w:pPr>
              <w:jc w:val="center"/>
              <w:rPr>
                <w:rFonts w:hint="eastAsia"/>
                <w:szCs w:val="21"/>
              </w:rPr>
            </w:pPr>
          </w:p>
        </w:tc>
        <w:tc>
          <w:tcPr>
            <w:tcW w:w="1789" w:type="dxa"/>
            <w:noWrap w:val="0"/>
            <w:vAlign w:val="center"/>
          </w:tcPr>
          <w:p w14:paraId="0C8670B5">
            <w:pPr>
              <w:jc w:val="center"/>
              <w:rPr>
                <w:rFonts w:hint="eastAsia"/>
                <w:szCs w:val="21"/>
              </w:rPr>
            </w:pPr>
          </w:p>
        </w:tc>
      </w:tr>
      <w:tr w14:paraId="54A4575B">
        <w:tblPrEx>
          <w:tblCellMar>
            <w:top w:w="0" w:type="dxa"/>
            <w:left w:w="108" w:type="dxa"/>
            <w:bottom w:w="0" w:type="dxa"/>
            <w:right w:w="108" w:type="dxa"/>
          </w:tblCellMar>
        </w:tblPrEx>
        <w:trPr>
          <w:trHeight w:val="476" w:hRule="atLeast"/>
        </w:trPr>
        <w:tc>
          <w:tcPr>
            <w:tcW w:w="727" w:type="dxa"/>
            <w:noWrap w:val="0"/>
            <w:vAlign w:val="center"/>
          </w:tcPr>
          <w:p w14:paraId="0ABD7ECB">
            <w:pPr>
              <w:rPr>
                <w:rFonts w:hint="eastAsia" w:ascii="黑体" w:eastAsia="黑体"/>
                <w:szCs w:val="21"/>
              </w:rPr>
            </w:pPr>
          </w:p>
        </w:tc>
        <w:tc>
          <w:tcPr>
            <w:tcW w:w="2910" w:type="dxa"/>
            <w:noWrap w:val="0"/>
            <w:vAlign w:val="center"/>
          </w:tcPr>
          <w:p w14:paraId="2E3568DB">
            <w:pPr>
              <w:rPr>
                <w:rFonts w:hint="eastAsia"/>
                <w:szCs w:val="21"/>
              </w:rPr>
            </w:pPr>
            <w:r>
              <w:rPr>
                <w:rFonts w:hint="eastAsia"/>
                <w:szCs w:val="21"/>
              </w:rPr>
              <w:t>其中：人工费</w:t>
            </w:r>
          </w:p>
        </w:tc>
        <w:tc>
          <w:tcPr>
            <w:tcW w:w="3330" w:type="dxa"/>
            <w:noWrap w:val="0"/>
            <w:vAlign w:val="center"/>
          </w:tcPr>
          <w:p w14:paraId="76246D20">
            <w:pPr>
              <w:jc w:val="center"/>
              <w:rPr>
                <w:rFonts w:hint="eastAsia"/>
                <w:szCs w:val="21"/>
              </w:rPr>
            </w:pPr>
          </w:p>
        </w:tc>
        <w:tc>
          <w:tcPr>
            <w:tcW w:w="1789" w:type="dxa"/>
            <w:noWrap w:val="0"/>
            <w:vAlign w:val="center"/>
          </w:tcPr>
          <w:p w14:paraId="531D7899">
            <w:pPr>
              <w:jc w:val="center"/>
              <w:rPr>
                <w:rFonts w:hint="eastAsia"/>
                <w:szCs w:val="21"/>
              </w:rPr>
            </w:pPr>
          </w:p>
        </w:tc>
      </w:tr>
      <w:tr w14:paraId="28D8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8D26DD5">
            <w:pPr>
              <w:rPr>
                <w:rFonts w:hint="eastAsia" w:ascii="黑体" w:eastAsia="黑体"/>
                <w:szCs w:val="21"/>
              </w:rPr>
            </w:pPr>
          </w:p>
        </w:tc>
        <w:tc>
          <w:tcPr>
            <w:tcW w:w="2910" w:type="dxa"/>
            <w:noWrap w:val="0"/>
            <w:vAlign w:val="center"/>
          </w:tcPr>
          <w:p w14:paraId="7E940C6A">
            <w:pPr>
              <w:rPr>
                <w:rFonts w:hint="eastAsia"/>
                <w:szCs w:val="21"/>
              </w:rPr>
            </w:pPr>
            <w:r>
              <w:rPr>
                <w:rFonts w:hint="eastAsia"/>
                <w:szCs w:val="21"/>
              </w:rPr>
              <w:t>其中：施工机具使用费</w:t>
            </w:r>
          </w:p>
        </w:tc>
        <w:tc>
          <w:tcPr>
            <w:tcW w:w="3330" w:type="dxa"/>
            <w:noWrap w:val="0"/>
            <w:vAlign w:val="center"/>
          </w:tcPr>
          <w:p w14:paraId="0096B23A">
            <w:pPr>
              <w:jc w:val="center"/>
              <w:rPr>
                <w:rFonts w:hint="eastAsia"/>
                <w:szCs w:val="21"/>
              </w:rPr>
            </w:pPr>
          </w:p>
        </w:tc>
        <w:tc>
          <w:tcPr>
            <w:tcW w:w="1789" w:type="dxa"/>
            <w:noWrap w:val="0"/>
            <w:vAlign w:val="center"/>
          </w:tcPr>
          <w:p w14:paraId="1011F0A3">
            <w:pPr>
              <w:jc w:val="center"/>
              <w:rPr>
                <w:rFonts w:hint="eastAsia"/>
                <w:szCs w:val="21"/>
              </w:rPr>
            </w:pPr>
          </w:p>
        </w:tc>
      </w:tr>
      <w:tr w14:paraId="5FDF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673FE43">
            <w:pPr>
              <w:rPr>
                <w:rFonts w:hint="eastAsia" w:ascii="黑体" w:eastAsia="黑体"/>
                <w:szCs w:val="21"/>
              </w:rPr>
            </w:pPr>
            <w:r>
              <w:rPr>
                <w:rFonts w:hint="eastAsia" w:ascii="黑体" w:eastAsia="黑体"/>
                <w:szCs w:val="21"/>
              </w:rPr>
              <w:t>2.2</w:t>
            </w:r>
          </w:p>
        </w:tc>
        <w:tc>
          <w:tcPr>
            <w:tcW w:w="2910" w:type="dxa"/>
            <w:noWrap w:val="0"/>
            <w:vAlign w:val="center"/>
          </w:tcPr>
          <w:p w14:paraId="225AA3E9">
            <w:pPr>
              <w:rPr>
                <w:rFonts w:hint="eastAsia"/>
                <w:szCs w:val="21"/>
              </w:rPr>
            </w:pPr>
            <w:r>
              <w:rPr>
                <w:rFonts w:hint="eastAsia"/>
                <w:szCs w:val="21"/>
              </w:rPr>
              <w:t>总价措施项目</w:t>
            </w:r>
          </w:p>
        </w:tc>
        <w:tc>
          <w:tcPr>
            <w:tcW w:w="3330" w:type="dxa"/>
            <w:noWrap w:val="0"/>
            <w:vAlign w:val="center"/>
          </w:tcPr>
          <w:p w14:paraId="492B0834">
            <w:pPr>
              <w:jc w:val="center"/>
              <w:rPr>
                <w:rFonts w:hint="eastAsia"/>
                <w:szCs w:val="21"/>
              </w:rPr>
            </w:pPr>
          </w:p>
        </w:tc>
        <w:tc>
          <w:tcPr>
            <w:tcW w:w="1789" w:type="dxa"/>
            <w:noWrap w:val="0"/>
            <w:vAlign w:val="center"/>
          </w:tcPr>
          <w:p w14:paraId="03576C35">
            <w:pPr>
              <w:jc w:val="center"/>
              <w:rPr>
                <w:szCs w:val="21"/>
              </w:rPr>
            </w:pPr>
            <w:r>
              <w:rPr>
                <w:rFonts w:hint="eastAsia"/>
                <w:szCs w:val="21"/>
              </w:rPr>
              <w:t>—</w:t>
            </w:r>
          </w:p>
        </w:tc>
      </w:tr>
      <w:tr w14:paraId="5461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EA9542B">
            <w:pPr>
              <w:rPr>
                <w:rFonts w:hint="eastAsia" w:ascii="黑体" w:eastAsia="黑体"/>
                <w:szCs w:val="21"/>
              </w:rPr>
            </w:pPr>
            <w:r>
              <w:rPr>
                <w:rFonts w:hint="eastAsia" w:ascii="黑体" w:eastAsia="黑体"/>
                <w:szCs w:val="21"/>
              </w:rPr>
              <w:t>3</w:t>
            </w:r>
          </w:p>
        </w:tc>
        <w:tc>
          <w:tcPr>
            <w:tcW w:w="2910" w:type="dxa"/>
            <w:noWrap w:val="0"/>
            <w:vAlign w:val="center"/>
          </w:tcPr>
          <w:p w14:paraId="24D31688">
            <w:pPr>
              <w:rPr>
                <w:rFonts w:hint="eastAsia"/>
                <w:szCs w:val="21"/>
              </w:rPr>
            </w:pPr>
            <w:r>
              <w:rPr>
                <w:rFonts w:hint="eastAsia"/>
                <w:szCs w:val="21"/>
              </w:rPr>
              <w:t>其他项目</w:t>
            </w:r>
          </w:p>
        </w:tc>
        <w:tc>
          <w:tcPr>
            <w:tcW w:w="3330" w:type="dxa"/>
            <w:noWrap w:val="0"/>
            <w:vAlign w:val="center"/>
          </w:tcPr>
          <w:p w14:paraId="786FA9F9">
            <w:pPr>
              <w:jc w:val="center"/>
              <w:rPr>
                <w:rFonts w:hint="eastAsia"/>
                <w:szCs w:val="21"/>
              </w:rPr>
            </w:pPr>
          </w:p>
        </w:tc>
        <w:tc>
          <w:tcPr>
            <w:tcW w:w="1789" w:type="dxa"/>
            <w:noWrap w:val="0"/>
            <w:vAlign w:val="center"/>
          </w:tcPr>
          <w:p w14:paraId="773FF555">
            <w:pPr>
              <w:jc w:val="center"/>
              <w:rPr>
                <w:szCs w:val="21"/>
              </w:rPr>
            </w:pPr>
            <w:r>
              <w:rPr>
                <w:rFonts w:hint="eastAsia"/>
                <w:szCs w:val="21"/>
              </w:rPr>
              <w:t>—</w:t>
            </w:r>
          </w:p>
        </w:tc>
      </w:tr>
      <w:tr w14:paraId="01CE4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79C11CB5">
            <w:pPr>
              <w:rPr>
                <w:rFonts w:hint="eastAsia" w:ascii="黑体" w:eastAsia="黑体"/>
                <w:szCs w:val="21"/>
              </w:rPr>
            </w:pPr>
          </w:p>
        </w:tc>
        <w:tc>
          <w:tcPr>
            <w:tcW w:w="2910" w:type="dxa"/>
            <w:noWrap w:val="0"/>
            <w:vAlign w:val="center"/>
          </w:tcPr>
          <w:p w14:paraId="3F5E8A80">
            <w:pPr>
              <w:rPr>
                <w:rFonts w:hint="eastAsia"/>
                <w:szCs w:val="21"/>
              </w:rPr>
            </w:pPr>
            <w:r>
              <w:rPr>
                <w:rFonts w:hint="eastAsia"/>
                <w:szCs w:val="21"/>
              </w:rPr>
              <w:t>其中：人工费</w:t>
            </w:r>
          </w:p>
        </w:tc>
        <w:tc>
          <w:tcPr>
            <w:tcW w:w="3330" w:type="dxa"/>
            <w:noWrap w:val="0"/>
            <w:vAlign w:val="center"/>
          </w:tcPr>
          <w:p w14:paraId="1EFC8058">
            <w:pPr>
              <w:jc w:val="center"/>
              <w:rPr>
                <w:rFonts w:hint="eastAsia"/>
                <w:szCs w:val="21"/>
              </w:rPr>
            </w:pPr>
          </w:p>
        </w:tc>
        <w:tc>
          <w:tcPr>
            <w:tcW w:w="1789" w:type="dxa"/>
            <w:noWrap w:val="0"/>
            <w:vAlign w:val="center"/>
          </w:tcPr>
          <w:p w14:paraId="57000D60">
            <w:pPr>
              <w:jc w:val="center"/>
              <w:rPr>
                <w:rFonts w:hint="eastAsia"/>
                <w:szCs w:val="21"/>
              </w:rPr>
            </w:pPr>
          </w:p>
        </w:tc>
      </w:tr>
      <w:tr w14:paraId="6698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F0C04C3">
            <w:pPr>
              <w:rPr>
                <w:rFonts w:hint="eastAsia" w:ascii="黑体" w:eastAsia="黑体"/>
                <w:szCs w:val="21"/>
              </w:rPr>
            </w:pPr>
          </w:p>
        </w:tc>
        <w:tc>
          <w:tcPr>
            <w:tcW w:w="2910" w:type="dxa"/>
            <w:noWrap w:val="0"/>
            <w:vAlign w:val="center"/>
          </w:tcPr>
          <w:p w14:paraId="6D92D894">
            <w:pPr>
              <w:rPr>
                <w:rFonts w:hint="eastAsia"/>
                <w:szCs w:val="21"/>
              </w:rPr>
            </w:pPr>
            <w:r>
              <w:rPr>
                <w:rFonts w:hint="eastAsia"/>
                <w:szCs w:val="21"/>
              </w:rPr>
              <w:t>其中：施工机具使用费</w:t>
            </w:r>
          </w:p>
        </w:tc>
        <w:tc>
          <w:tcPr>
            <w:tcW w:w="3330" w:type="dxa"/>
            <w:noWrap w:val="0"/>
            <w:vAlign w:val="center"/>
          </w:tcPr>
          <w:p w14:paraId="1A84DDAF">
            <w:pPr>
              <w:jc w:val="center"/>
              <w:rPr>
                <w:rFonts w:hint="eastAsia"/>
                <w:szCs w:val="21"/>
              </w:rPr>
            </w:pPr>
          </w:p>
        </w:tc>
        <w:tc>
          <w:tcPr>
            <w:tcW w:w="1789" w:type="dxa"/>
            <w:noWrap w:val="0"/>
            <w:vAlign w:val="center"/>
          </w:tcPr>
          <w:p w14:paraId="33DC0534">
            <w:pPr>
              <w:jc w:val="center"/>
              <w:rPr>
                <w:rFonts w:hint="eastAsia"/>
                <w:szCs w:val="21"/>
              </w:rPr>
            </w:pPr>
          </w:p>
        </w:tc>
      </w:tr>
      <w:tr w14:paraId="7DBD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21BF4FB2">
            <w:pPr>
              <w:rPr>
                <w:rFonts w:hint="eastAsia" w:ascii="黑体" w:eastAsia="黑体"/>
                <w:szCs w:val="21"/>
              </w:rPr>
            </w:pPr>
            <w:r>
              <w:rPr>
                <w:rFonts w:hint="eastAsia" w:ascii="黑体" w:eastAsia="黑体"/>
                <w:szCs w:val="21"/>
              </w:rPr>
              <w:t>4</w:t>
            </w:r>
          </w:p>
        </w:tc>
        <w:tc>
          <w:tcPr>
            <w:tcW w:w="2910" w:type="dxa"/>
            <w:noWrap w:val="0"/>
            <w:vAlign w:val="center"/>
          </w:tcPr>
          <w:p w14:paraId="50BA202F">
            <w:pPr>
              <w:rPr>
                <w:rFonts w:hint="eastAsia"/>
                <w:szCs w:val="21"/>
              </w:rPr>
            </w:pPr>
            <w:r>
              <w:rPr>
                <w:rFonts w:hint="eastAsia"/>
                <w:szCs w:val="21"/>
              </w:rPr>
              <w:t>规费</w:t>
            </w:r>
          </w:p>
        </w:tc>
        <w:tc>
          <w:tcPr>
            <w:tcW w:w="3330" w:type="dxa"/>
            <w:noWrap w:val="0"/>
            <w:vAlign w:val="center"/>
          </w:tcPr>
          <w:p w14:paraId="5FBA424E">
            <w:pPr>
              <w:jc w:val="center"/>
              <w:rPr>
                <w:rFonts w:hint="eastAsia"/>
                <w:szCs w:val="21"/>
              </w:rPr>
            </w:pPr>
          </w:p>
        </w:tc>
        <w:tc>
          <w:tcPr>
            <w:tcW w:w="1789" w:type="dxa"/>
            <w:noWrap w:val="0"/>
            <w:vAlign w:val="center"/>
          </w:tcPr>
          <w:p w14:paraId="3B29FF22">
            <w:pPr>
              <w:jc w:val="center"/>
              <w:rPr>
                <w:rFonts w:hint="eastAsia"/>
                <w:szCs w:val="21"/>
              </w:rPr>
            </w:pPr>
            <w:r>
              <w:rPr>
                <w:rFonts w:hint="eastAsia"/>
                <w:szCs w:val="21"/>
              </w:rPr>
              <w:t>—</w:t>
            </w:r>
          </w:p>
        </w:tc>
      </w:tr>
      <w:tr w14:paraId="735C8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06DCDEA7">
            <w:pPr>
              <w:rPr>
                <w:rFonts w:hint="eastAsia" w:ascii="黑体" w:eastAsia="黑体"/>
                <w:szCs w:val="21"/>
              </w:rPr>
            </w:pPr>
            <w:r>
              <w:rPr>
                <w:rFonts w:hint="eastAsia" w:ascii="黑体" w:eastAsia="黑体"/>
                <w:szCs w:val="21"/>
              </w:rPr>
              <w:t>5</w:t>
            </w:r>
          </w:p>
        </w:tc>
        <w:tc>
          <w:tcPr>
            <w:tcW w:w="2910" w:type="dxa"/>
            <w:noWrap w:val="0"/>
            <w:vAlign w:val="center"/>
          </w:tcPr>
          <w:p w14:paraId="6B75ECC5">
            <w:pPr>
              <w:rPr>
                <w:rFonts w:hint="eastAsia"/>
                <w:szCs w:val="21"/>
              </w:rPr>
            </w:pPr>
            <w:r>
              <w:rPr>
                <w:rFonts w:hint="eastAsia"/>
                <w:szCs w:val="21"/>
              </w:rPr>
              <w:t>除税/不含税工程造价</w:t>
            </w:r>
          </w:p>
        </w:tc>
        <w:tc>
          <w:tcPr>
            <w:tcW w:w="3330" w:type="dxa"/>
            <w:noWrap w:val="0"/>
            <w:vAlign w:val="center"/>
          </w:tcPr>
          <w:p w14:paraId="33DFE717">
            <w:pPr>
              <w:jc w:val="center"/>
              <w:rPr>
                <w:rFonts w:hint="eastAsia"/>
                <w:szCs w:val="21"/>
              </w:rPr>
            </w:pPr>
          </w:p>
        </w:tc>
        <w:tc>
          <w:tcPr>
            <w:tcW w:w="1789" w:type="dxa"/>
            <w:noWrap w:val="0"/>
            <w:vAlign w:val="center"/>
          </w:tcPr>
          <w:p w14:paraId="10C96A3D">
            <w:pPr>
              <w:jc w:val="center"/>
              <w:rPr>
                <w:rFonts w:hint="eastAsia"/>
                <w:szCs w:val="21"/>
              </w:rPr>
            </w:pPr>
          </w:p>
        </w:tc>
      </w:tr>
      <w:tr w14:paraId="72058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CB1D473">
            <w:pPr>
              <w:rPr>
                <w:rFonts w:hint="eastAsia" w:ascii="黑体" w:eastAsia="黑体"/>
                <w:szCs w:val="21"/>
              </w:rPr>
            </w:pPr>
            <w:r>
              <w:rPr>
                <w:rFonts w:hint="eastAsia" w:ascii="黑体" w:eastAsia="黑体"/>
                <w:szCs w:val="21"/>
              </w:rPr>
              <w:t>6</w:t>
            </w:r>
          </w:p>
        </w:tc>
        <w:tc>
          <w:tcPr>
            <w:tcW w:w="2910" w:type="dxa"/>
            <w:noWrap w:val="0"/>
            <w:vAlign w:val="center"/>
          </w:tcPr>
          <w:p w14:paraId="5E896B5C">
            <w:pPr>
              <w:rPr>
                <w:rFonts w:hint="eastAsia"/>
                <w:szCs w:val="21"/>
              </w:rPr>
            </w:pPr>
            <w:r>
              <w:rPr>
                <w:rFonts w:hint="eastAsia"/>
                <w:szCs w:val="21"/>
              </w:rPr>
              <w:t>税金</w:t>
            </w:r>
          </w:p>
        </w:tc>
        <w:tc>
          <w:tcPr>
            <w:tcW w:w="3330" w:type="dxa"/>
            <w:noWrap w:val="0"/>
            <w:vAlign w:val="center"/>
          </w:tcPr>
          <w:p w14:paraId="1AA7330B">
            <w:pPr>
              <w:jc w:val="center"/>
              <w:rPr>
                <w:rFonts w:hint="eastAsia"/>
                <w:szCs w:val="21"/>
              </w:rPr>
            </w:pPr>
          </w:p>
        </w:tc>
        <w:tc>
          <w:tcPr>
            <w:tcW w:w="1789" w:type="dxa"/>
            <w:noWrap w:val="0"/>
            <w:vAlign w:val="center"/>
          </w:tcPr>
          <w:p w14:paraId="2FBF02B0">
            <w:pPr>
              <w:jc w:val="center"/>
              <w:rPr>
                <w:rFonts w:hint="eastAsia"/>
                <w:szCs w:val="21"/>
              </w:rPr>
            </w:pPr>
            <w:r>
              <w:rPr>
                <w:rFonts w:hint="eastAsia"/>
                <w:szCs w:val="21"/>
              </w:rPr>
              <w:t>—</w:t>
            </w:r>
          </w:p>
        </w:tc>
      </w:tr>
      <w:tr w14:paraId="1976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3048CDF5">
            <w:pPr>
              <w:rPr>
                <w:rFonts w:hint="eastAsia" w:ascii="黑体" w:eastAsia="黑体"/>
                <w:szCs w:val="21"/>
              </w:rPr>
            </w:pPr>
            <w:r>
              <w:rPr>
                <w:rFonts w:hint="eastAsia" w:ascii="黑体" w:eastAsia="黑体"/>
                <w:szCs w:val="21"/>
              </w:rPr>
              <w:t>7</w:t>
            </w:r>
          </w:p>
        </w:tc>
        <w:tc>
          <w:tcPr>
            <w:tcW w:w="2910" w:type="dxa"/>
            <w:noWrap w:val="0"/>
            <w:vAlign w:val="center"/>
          </w:tcPr>
          <w:p w14:paraId="1D55955B">
            <w:pPr>
              <w:rPr>
                <w:rFonts w:hint="eastAsia"/>
                <w:szCs w:val="21"/>
              </w:rPr>
            </w:pPr>
            <w:r>
              <w:rPr>
                <w:rFonts w:hint="eastAsia"/>
                <w:szCs w:val="21"/>
              </w:rPr>
              <w:t>含税工程造价</w:t>
            </w:r>
          </w:p>
        </w:tc>
        <w:tc>
          <w:tcPr>
            <w:tcW w:w="3330" w:type="dxa"/>
            <w:noWrap w:val="0"/>
            <w:vAlign w:val="center"/>
          </w:tcPr>
          <w:p w14:paraId="2508108C">
            <w:pPr>
              <w:jc w:val="center"/>
              <w:rPr>
                <w:rFonts w:hint="eastAsia"/>
                <w:szCs w:val="21"/>
              </w:rPr>
            </w:pPr>
          </w:p>
        </w:tc>
        <w:tc>
          <w:tcPr>
            <w:tcW w:w="1789" w:type="dxa"/>
            <w:noWrap w:val="0"/>
            <w:vAlign w:val="center"/>
          </w:tcPr>
          <w:p w14:paraId="50B23B07">
            <w:pPr>
              <w:jc w:val="center"/>
              <w:rPr>
                <w:rFonts w:hint="eastAsia"/>
                <w:szCs w:val="21"/>
              </w:rPr>
            </w:pPr>
          </w:p>
        </w:tc>
      </w:tr>
      <w:tr w14:paraId="3073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6473200C">
            <w:pPr>
              <w:rPr>
                <w:rFonts w:hint="eastAsia" w:ascii="黑体" w:eastAsia="黑体"/>
                <w:szCs w:val="21"/>
              </w:rPr>
            </w:pPr>
          </w:p>
        </w:tc>
        <w:tc>
          <w:tcPr>
            <w:tcW w:w="2910" w:type="dxa"/>
            <w:noWrap w:val="0"/>
            <w:vAlign w:val="center"/>
          </w:tcPr>
          <w:p w14:paraId="17732998">
            <w:pPr>
              <w:spacing w:after="120" w:afterLines="50" w:line="380" w:lineRule="exact"/>
              <w:rPr>
                <w:rFonts w:hint="eastAsia" w:ascii="宋体" w:hAnsi="宋体"/>
                <w:szCs w:val="21"/>
              </w:rPr>
            </w:pPr>
            <w:r>
              <w:rPr>
                <w:rFonts w:hint="eastAsia" w:ascii="宋体" w:hAnsi="宋体"/>
                <w:szCs w:val="21"/>
              </w:rPr>
              <w:t>单位工程数据：</w:t>
            </w:r>
          </w:p>
        </w:tc>
        <w:tc>
          <w:tcPr>
            <w:tcW w:w="3330" w:type="dxa"/>
            <w:noWrap w:val="0"/>
            <w:vAlign w:val="center"/>
          </w:tcPr>
          <w:p w14:paraId="6F7DCABD">
            <w:pPr>
              <w:jc w:val="center"/>
              <w:rPr>
                <w:rFonts w:hint="eastAsia"/>
                <w:szCs w:val="21"/>
              </w:rPr>
            </w:pPr>
          </w:p>
        </w:tc>
        <w:tc>
          <w:tcPr>
            <w:tcW w:w="1789" w:type="dxa"/>
            <w:noWrap w:val="0"/>
            <w:vAlign w:val="center"/>
          </w:tcPr>
          <w:p w14:paraId="5066B587">
            <w:pPr>
              <w:jc w:val="center"/>
              <w:rPr>
                <w:rFonts w:hint="eastAsia"/>
                <w:szCs w:val="21"/>
              </w:rPr>
            </w:pPr>
          </w:p>
        </w:tc>
      </w:tr>
      <w:tr w14:paraId="3419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8741397">
            <w:pPr>
              <w:rPr>
                <w:rFonts w:hint="eastAsia" w:ascii="黑体" w:eastAsia="黑体"/>
                <w:szCs w:val="21"/>
              </w:rPr>
            </w:pPr>
          </w:p>
        </w:tc>
        <w:tc>
          <w:tcPr>
            <w:tcW w:w="2910" w:type="dxa"/>
            <w:noWrap w:val="0"/>
            <w:vAlign w:val="center"/>
          </w:tcPr>
          <w:p w14:paraId="58A8FF45">
            <w:pPr>
              <w:spacing w:after="120" w:afterLines="50" w:line="380" w:lineRule="exact"/>
              <w:rPr>
                <w:rFonts w:hint="eastAsia" w:ascii="宋体" w:hAnsi="宋体"/>
                <w:szCs w:val="21"/>
              </w:rPr>
            </w:pPr>
            <w:r>
              <w:rPr>
                <w:rFonts w:hint="eastAsia" w:ascii="宋体" w:hAnsi="宋体"/>
                <w:szCs w:val="21"/>
              </w:rPr>
              <w:t>人工费</w:t>
            </w:r>
          </w:p>
        </w:tc>
        <w:tc>
          <w:tcPr>
            <w:tcW w:w="3330" w:type="dxa"/>
            <w:noWrap w:val="0"/>
            <w:vAlign w:val="center"/>
          </w:tcPr>
          <w:p w14:paraId="7BCB36FC">
            <w:pPr>
              <w:jc w:val="center"/>
              <w:rPr>
                <w:rFonts w:hint="eastAsia"/>
                <w:szCs w:val="21"/>
              </w:rPr>
            </w:pPr>
          </w:p>
        </w:tc>
        <w:tc>
          <w:tcPr>
            <w:tcW w:w="1789" w:type="dxa"/>
            <w:noWrap w:val="0"/>
            <w:vAlign w:val="center"/>
          </w:tcPr>
          <w:p w14:paraId="3DC06D92">
            <w:pPr>
              <w:jc w:val="center"/>
              <w:rPr>
                <w:rFonts w:hint="eastAsia"/>
                <w:szCs w:val="21"/>
              </w:rPr>
            </w:pPr>
          </w:p>
        </w:tc>
      </w:tr>
      <w:tr w14:paraId="631A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F9DF46A">
            <w:pPr>
              <w:rPr>
                <w:rFonts w:hint="eastAsia" w:ascii="黑体" w:eastAsia="黑体"/>
                <w:szCs w:val="21"/>
              </w:rPr>
            </w:pPr>
          </w:p>
        </w:tc>
        <w:tc>
          <w:tcPr>
            <w:tcW w:w="2910" w:type="dxa"/>
            <w:noWrap w:val="0"/>
            <w:vAlign w:val="center"/>
          </w:tcPr>
          <w:p w14:paraId="6741ABA4">
            <w:pPr>
              <w:spacing w:after="120" w:afterLines="50" w:line="380" w:lineRule="exact"/>
              <w:rPr>
                <w:rFonts w:hint="eastAsia" w:ascii="宋体" w:hAnsi="宋体"/>
                <w:szCs w:val="21"/>
              </w:rPr>
            </w:pPr>
            <w:r>
              <w:rPr>
                <w:rFonts w:hint="eastAsia" w:ascii="宋体" w:hAnsi="宋体"/>
                <w:szCs w:val="21"/>
              </w:rPr>
              <w:t>材料费</w:t>
            </w:r>
          </w:p>
        </w:tc>
        <w:tc>
          <w:tcPr>
            <w:tcW w:w="3330" w:type="dxa"/>
            <w:noWrap w:val="0"/>
            <w:vAlign w:val="center"/>
          </w:tcPr>
          <w:p w14:paraId="7E9BCD3F">
            <w:pPr>
              <w:jc w:val="center"/>
              <w:rPr>
                <w:rFonts w:hint="eastAsia"/>
                <w:szCs w:val="21"/>
              </w:rPr>
            </w:pPr>
          </w:p>
        </w:tc>
        <w:tc>
          <w:tcPr>
            <w:tcW w:w="1789" w:type="dxa"/>
            <w:noWrap w:val="0"/>
            <w:vAlign w:val="center"/>
          </w:tcPr>
          <w:p w14:paraId="69FEB4E6">
            <w:pPr>
              <w:jc w:val="center"/>
              <w:rPr>
                <w:rFonts w:hint="eastAsia"/>
                <w:szCs w:val="21"/>
              </w:rPr>
            </w:pPr>
          </w:p>
        </w:tc>
      </w:tr>
      <w:tr w14:paraId="7BB9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6E173D7E">
            <w:pPr>
              <w:rPr>
                <w:rFonts w:hint="eastAsia" w:ascii="黑体" w:eastAsia="黑体"/>
                <w:szCs w:val="21"/>
              </w:rPr>
            </w:pPr>
          </w:p>
        </w:tc>
        <w:tc>
          <w:tcPr>
            <w:tcW w:w="2910" w:type="dxa"/>
            <w:noWrap w:val="0"/>
            <w:vAlign w:val="center"/>
          </w:tcPr>
          <w:p w14:paraId="356C8F4D">
            <w:pPr>
              <w:spacing w:after="120" w:afterLines="50" w:line="380" w:lineRule="exact"/>
              <w:rPr>
                <w:rFonts w:hint="eastAsia" w:ascii="宋体" w:hAnsi="宋体"/>
                <w:szCs w:val="21"/>
              </w:rPr>
            </w:pPr>
            <w:r>
              <w:rPr>
                <w:rFonts w:hint="eastAsia" w:ascii="宋体" w:hAnsi="宋体"/>
                <w:szCs w:val="21"/>
              </w:rPr>
              <w:t>机械费</w:t>
            </w:r>
          </w:p>
        </w:tc>
        <w:tc>
          <w:tcPr>
            <w:tcW w:w="3330" w:type="dxa"/>
            <w:noWrap w:val="0"/>
            <w:vAlign w:val="center"/>
          </w:tcPr>
          <w:p w14:paraId="665DF23A">
            <w:pPr>
              <w:jc w:val="center"/>
              <w:rPr>
                <w:rFonts w:hint="eastAsia"/>
                <w:szCs w:val="21"/>
              </w:rPr>
            </w:pPr>
          </w:p>
        </w:tc>
        <w:tc>
          <w:tcPr>
            <w:tcW w:w="1789" w:type="dxa"/>
            <w:noWrap w:val="0"/>
            <w:vAlign w:val="center"/>
          </w:tcPr>
          <w:p w14:paraId="5B9C794A">
            <w:pPr>
              <w:jc w:val="center"/>
              <w:rPr>
                <w:rFonts w:hint="eastAsia"/>
                <w:szCs w:val="21"/>
              </w:rPr>
            </w:pPr>
          </w:p>
        </w:tc>
      </w:tr>
      <w:tr w14:paraId="7345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EF97E1E">
            <w:pPr>
              <w:rPr>
                <w:rFonts w:hint="eastAsia" w:ascii="黑体" w:eastAsia="黑体"/>
                <w:szCs w:val="21"/>
              </w:rPr>
            </w:pPr>
          </w:p>
        </w:tc>
        <w:tc>
          <w:tcPr>
            <w:tcW w:w="2910" w:type="dxa"/>
            <w:noWrap w:val="0"/>
            <w:vAlign w:val="center"/>
          </w:tcPr>
          <w:p w14:paraId="77F83717">
            <w:pPr>
              <w:spacing w:after="120" w:afterLines="50" w:line="380" w:lineRule="exact"/>
              <w:rPr>
                <w:rFonts w:hint="eastAsia" w:ascii="宋体" w:hAnsi="宋体"/>
                <w:szCs w:val="21"/>
              </w:rPr>
            </w:pPr>
            <w:r>
              <w:rPr>
                <w:rFonts w:hint="eastAsia" w:ascii="宋体" w:hAnsi="宋体"/>
                <w:szCs w:val="21"/>
              </w:rPr>
              <w:t>设备费</w:t>
            </w:r>
          </w:p>
        </w:tc>
        <w:tc>
          <w:tcPr>
            <w:tcW w:w="3330" w:type="dxa"/>
            <w:noWrap w:val="0"/>
            <w:vAlign w:val="center"/>
          </w:tcPr>
          <w:p w14:paraId="34E43F92">
            <w:pPr>
              <w:jc w:val="center"/>
              <w:rPr>
                <w:rFonts w:hint="eastAsia"/>
                <w:szCs w:val="21"/>
              </w:rPr>
            </w:pPr>
          </w:p>
        </w:tc>
        <w:tc>
          <w:tcPr>
            <w:tcW w:w="1789" w:type="dxa"/>
            <w:noWrap w:val="0"/>
            <w:vAlign w:val="center"/>
          </w:tcPr>
          <w:p w14:paraId="5F41A4C1">
            <w:pPr>
              <w:jc w:val="center"/>
              <w:rPr>
                <w:rFonts w:hint="eastAsia"/>
                <w:szCs w:val="21"/>
              </w:rPr>
            </w:pPr>
          </w:p>
        </w:tc>
      </w:tr>
      <w:tr w14:paraId="266A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48C957A">
            <w:pPr>
              <w:rPr>
                <w:rFonts w:hint="eastAsia" w:ascii="黑体" w:eastAsia="黑体"/>
                <w:szCs w:val="21"/>
              </w:rPr>
            </w:pPr>
          </w:p>
        </w:tc>
        <w:tc>
          <w:tcPr>
            <w:tcW w:w="2910" w:type="dxa"/>
            <w:noWrap w:val="0"/>
            <w:vAlign w:val="center"/>
          </w:tcPr>
          <w:p w14:paraId="1C5D898F">
            <w:pPr>
              <w:spacing w:after="120" w:afterLines="50" w:line="380" w:lineRule="exact"/>
              <w:rPr>
                <w:rFonts w:hint="eastAsia" w:ascii="宋体" w:hAnsi="宋体"/>
                <w:szCs w:val="21"/>
              </w:rPr>
            </w:pPr>
            <w:r>
              <w:rPr>
                <w:rFonts w:hint="eastAsia" w:ascii="宋体" w:hAnsi="宋体"/>
                <w:szCs w:val="21"/>
              </w:rPr>
              <w:t>主材费</w:t>
            </w:r>
          </w:p>
        </w:tc>
        <w:tc>
          <w:tcPr>
            <w:tcW w:w="3330" w:type="dxa"/>
            <w:noWrap w:val="0"/>
            <w:vAlign w:val="center"/>
          </w:tcPr>
          <w:p w14:paraId="2F4D1490">
            <w:pPr>
              <w:jc w:val="center"/>
              <w:rPr>
                <w:rFonts w:hint="eastAsia"/>
                <w:szCs w:val="21"/>
              </w:rPr>
            </w:pPr>
          </w:p>
        </w:tc>
        <w:tc>
          <w:tcPr>
            <w:tcW w:w="1789" w:type="dxa"/>
            <w:noWrap w:val="0"/>
            <w:vAlign w:val="center"/>
          </w:tcPr>
          <w:p w14:paraId="6A654974">
            <w:pPr>
              <w:jc w:val="center"/>
              <w:rPr>
                <w:rFonts w:hint="eastAsia"/>
                <w:szCs w:val="21"/>
              </w:rPr>
            </w:pPr>
          </w:p>
        </w:tc>
      </w:tr>
      <w:tr w14:paraId="55DB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3F42AAEE">
            <w:pPr>
              <w:rPr>
                <w:rFonts w:hint="eastAsia" w:ascii="黑体" w:eastAsia="黑体"/>
                <w:szCs w:val="21"/>
              </w:rPr>
            </w:pPr>
          </w:p>
        </w:tc>
        <w:tc>
          <w:tcPr>
            <w:tcW w:w="2910" w:type="dxa"/>
            <w:noWrap w:val="0"/>
            <w:vAlign w:val="center"/>
          </w:tcPr>
          <w:p w14:paraId="2CFCC305">
            <w:pPr>
              <w:rPr>
                <w:rFonts w:hint="eastAsia"/>
                <w:szCs w:val="21"/>
              </w:rPr>
            </w:pPr>
          </w:p>
        </w:tc>
        <w:tc>
          <w:tcPr>
            <w:tcW w:w="3330" w:type="dxa"/>
            <w:noWrap w:val="0"/>
            <w:vAlign w:val="center"/>
          </w:tcPr>
          <w:p w14:paraId="0068312F">
            <w:pPr>
              <w:jc w:val="center"/>
              <w:rPr>
                <w:rFonts w:hint="eastAsia"/>
                <w:szCs w:val="21"/>
              </w:rPr>
            </w:pPr>
          </w:p>
        </w:tc>
        <w:tc>
          <w:tcPr>
            <w:tcW w:w="1789" w:type="dxa"/>
            <w:noWrap w:val="0"/>
            <w:vAlign w:val="center"/>
          </w:tcPr>
          <w:p w14:paraId="1ACBB125">
            <w:pPr>
              <w:jc w:val="center"/>
              <w:rPr>
                <w:rFonts w:hint="eastAsia"/>
                <w:szCs w:val="21"/>
              </w:rPr>
            </w:pPr>
          </w:p>
        </w:tc>
      </w:tr>
      <w:tr w14:paraId="7E91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E07B4CB">
            <w:pPr>
              <w:rPr>
                <w:rFonts w:hint="eastAsia" w:ascii="黑体" w:eastAsia="黑体"/>
                <w:szCs w:val="21"/>
              </w:rPr>
            </w:pPr>
          </w:p>
        </w:tc>
        <w:tc>
          <w:tcPr>
            <w:tcW w:w="2910" w:type="dxa"/>
            <w:noWrap w:val="0"/>
            <w:vAlign w:val="center"/>
          </w:tcPr>
          <w:p w14:paraId="1C5A0A3E">
            <w:pPr>
              <w:rPr>
                <w:rFonts w:hint="eastAsia"/>
                <w:szCs w:val="21"/>
              </w:rPr>
            </w:pPr>
          </w:p>
        </w:tc>
        <w:tc>
          <w:tcPr>
            <w:tcW w:w="3330" w:type="dxa"/>
            <w:noWrap w:val="0"/>
            <w:vAlign w:val="center"/>
          </w:tcPr>
          <w:p w14:paraId="43B32F6D">
            <w:pPr>
              <w:jc w:val="center"/>
              <w:rPr>
                <w:rFonts w:hint="eastAsia"/>
                <w:szCs w:val="21"/>
              </w:rPr>
            </w:pPr>
          </w:p>
        </w:tc>
        <w:tc>
          <w:tcPr>
            <w:tcW w:w="1789" w:type="dxa"/>
            <w:noWrap w:val="0"/>
            <w:vAlign w:val="center"/>
          </w:tcPr>
          <w:p w14:paraId="031EED5D">
            <w:pPr>
              <w:jc w:val="center"/>
              <w:rPr>
                <w:rFonts w:hint="eastAsia"/>
                <w:szCs w:val="21"/>
              </w:rPr>
            </w:pPr>
          </w:p>
        </w:tc>
      </w:tr>
      <w:tr w14:paraId="32E55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4E3EB64A">
            <w:pPr>
              <w:rPr>
                <w:rFonts w:hint="eastAsia" w:ascii="黑体" w:eastAsia="黑体"/>
                <w:szCs w:val="21"/>
              </w:rPr>
            </w:pPr>
          </w:p>
        </w:tc>
        <w:tc>
          <w:tcPr>
            <w:tcW w:w="2910" w:type="dxa"/>
            <w:noWrap w:val="0"/>
            <w:vAlign w:val="center"/>
          </w:tcPr>
          <w:p w14:paraId="22F2B370">
            <w:pPr>
              <w:rPr>
                <w:rFonts w:hint="eastAsia"/>
                <w:szCs w:val="21"/>
              </w:rPr>
            </w:pPr>
          </w:p>
        </w:tc>
        <w:tc>
          <w:tcPr>
            <w:tcW w:w="3330" w:type="dxa"/>
            <w:noWrap w:val="0"/>
            <w:vAlign w:val="center"/>
          </w:tcPr>
          <w:p w14:paraId="227F6059">
            <w:pPr>
              <w:jc w:val="center"/>
              <w:rPr>
                <w:rFonts w:hint="eastAsia"/>
                <w:szCs w:val="21"/>
              </w:rPr>
            </w:pPr>
          </w:p>
        </w:tc>
        <w:tc>
          <w:tcPr>
            <w:tcW w:w="1789" w:type="dxa"/>
            <w:noWrap w:val="0"/>
            <w:vAlign w:val="center"/>
          </w:tcPr>
          <w:p w14:paraId="721EDE8E">
            <w:pPr>
              <w:jc w:val="center"/>
              <w:rPr>
                <w:rFonts w:hint="eastAsia"/>
                <w:szCs w:val="21"/>
              </w:rPr>
            </w:pPr>
          </w:p>
        </w:tc>
      </w:tr>
      <w:tr w14:paraId="1192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3FCD7B31">
            <w:pPr>
              <w:rPr>
                <w:rFonts w:hint="eastAsia" w:ascii="黑体" w:eastAsia="黑体"/>
                <w:szCs w:val="21"/>
              </w:rPr>
            </w:pPr>
          </w:p>
        </w:tc>
        <w:tc>
          <w:tcPr>
            <w:tcW w:w="2910" w:type="dxa"/>
            <w:noWrap w:val="0"/>
            <w:vAlign w:val="center"/>
          </w:tcPr>
          <w:p w14:paraId="282AED95">
            <w:pPr>
              <w:rPr>
                <w:rFonts w:hint="eastAsia"/>
                <w:szCs w:val="21"/>
              </w:rPr>
            </w:pPr>
          </w:p>
        </w:tc>
        <w:tc>
          <w:tcPr>
            <w:tcW w:w="3330" w:type="dxa"/>
            <w:noWrap w:val="0"/>
            <w:vAlign w:val="center"/>
          </w:tcPr>
          <w:p w14:paraId="382A296C">
            <w:pPr>
              <w:jc w:val="center"/>
              <w:rPr>
                <w:rFonts w:hint="eastAsia"/>
                <w:szCs w:val="21"/>
              </w:rPr>
            </w:pPr>
          </w:p>
        </w:tc>
        <w:tc>
          <w:tcPr>
            <w:tcW w:w="1789" w:type="dxa"/>
            <w:noWrap w:val="0"/>
            <w:vAlign w:val="center"/>
          </w:tcPr>
          <w:p w14:paraId="0B2940B9">
            <w:pPr>
              <w:jc w:val="center"/>
              <w:rPr>
                <w:rFonts w:hint="eastAsia"/>
                <w:szCs w:val="21"/>
              </w:rPr>
            </w:pPr>
          </w:p>
        </w:tc>
      </w:tr>
      <w:tr w14:paraId="7257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6BB9CEBA">
            <w:pPr>
              <w:rPr>
                <w:rFonts w:hint="eastAsia" w:ascii="黑体" w:eastAsia="黑体"/>
                <w:szCs w:val="21"/>
              </w:rPr>
            </w:pPr>
          </w:p>
        </w:tc>
        <w:tc>
          <w:tcPr>
            <w:tcW w:w="2910" w:type="dxa"/>
            <w:noWrap w:val="0"/>
            <w:vAlign w:val="center"/>
          </w:tcPr>
          <w:p w14:paraId="40874E82">
            <w:pPr>
              <w:rPr>
                <w:rFonts w:hint="eastAsia"/>
                <w:szCs w:val="21"/>
              </w:rPr>
            </w:pPr>
          </w:p>
        </w:tc>
        <w:tc>
          <w:tcPr>
            <w:tcW w:w="3330" w:type="dxa"/>
            <w:noWrap w:val="0"/>
            <w:vAlign w:val="center"/>
          </w:tcPr>
          <w:p w14:paraId="0EFF46F1">
            <w:pPr>
              <w:jc w:val="center"/>
              <w:rPr>
                <w:rFonts w:hint="eastAsia"/>
                <w:szCs w:val="21"/>
              </w:rPr>
            </w:pPr>
          </w:p>
        </w:tc>
        <w:tc>
          <w:tcPr>
            <w:tcW w:w="1789" w:type="dxa"/>
            <w:noWrap w:val="0"/>
            <w:vAlign w:val="center"/>
          </w:tcPr>
          <w:p w14:paraId="7728B9F3">
            <w:pPr>
              <w:jc w:val="center"/>
              <w:rPr>
                <w:rFonts w:hint="eastAsia"/>
                <w:szCs w:val="21"/>
              </w:rPr>
            </w:pPr>
          </w:p>
        </w:tc>
      </w:tr>
      <w:tr w14:paraId="1688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877C2D0">
            <w:pPr>
              <w:rPr>
                <w:rFonts w:hint="eastAsia" w:ascii="黑体" w:eastAsia="黑体"/>
                <w:szCs w:val="21"/>
              </w:rPr>
            </w:pPr>
          </w:p>
        </w:tc>
        <w:tc>
          <w:tcPr>
            <w:tcW w:w="2910" w:type="dxa"/>
            <w:noWrap w:val="0"/>
            <w:vAlign w:val="center"/>
          </w:tcPr>
          <w:p w14:paraId="3534F45E">
            <w:pPr>
              <w:rPr>
                <w:rFonts w:hint="eastAsia"/>
                <w:szCs w:val="21"/>
              </w:rPr>
            </w:pPr>
          </w:p>
        </w:tc>
        <w:tc>
          <w:tcPr>
            <w:tcW w:w="3330" w:type="dxa"/>
            <w:noWrap w:val="0"/>
            <w:vAlign w:val="center"/>
          </w:tcPr>
          <w:p w14:paraId="08A2158F">
            <w:pPr>
              <w:jc w:val="center"/>
              <w:rPr>
                <w:rFonts w:hint="eastAsia"/>
                <w:szCs w:val="21"/>
              </w:rPr>
            </w:pPr>
          </w:p>
        </w:tc>
        <w:tc>
          <w:tcPr>
            <w:tcW w:w="1789" w:type="dxa"/>
            <w:noWrap w:val="0"/>
            <w:vAlign w:val="center"/>
          </w:tcPr>
          <w:p w14:paraId="1BC62193">
            <w:pPr>
              <w:jc w:val="center"/>
              <w:rPr>
                <w:rFonts w:hint="eastAsia"/>
                <w:szCs w:val="21"/>
              </w:rPr>
            </w:pPr>
          </w:p>
        </w:tc>
      </w:tr>
      <w:tr w14:paraId="26FC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F85A2D1">
            <w:pPr>
              <w:rPr>
                <w:rFonts w:hint="eastAsia" w:ascii="黑体" w:eastAsia="黑体"/>
                <w:szCs w:val="21"/>
              </w:rPr>
            </w:pPr>
          </w:p>
        </w:tc>
        <w:tc>
          <w:tcPr>
            <w:tcW w:w="2910" w:type="dxa"/>
            <w:noWrap w:val="0"/>
            <w:vAlign w:val="center"/>
          </w:tcPr>
          <w:p w14:paraId="307462B7">
            <w:pPr>
              <w:rPr>
                <w:rFonts w:hint="eastAsia"/>
                <w:szCs w:val="21"/>
              </w:rPr>
            </w:pPr>
          </w:p>
        </w:tc>
        <w:tc>
          <w:tcPr>
            <w:tcW w:w="3330" w:type="dxa"/>
            <w:noWrap w:val="0"/>
            <w:vAlign w:val="center"/>
          </w:tcPr>
          <w:p w14:paraId="419FFDF3">
            <w:pPr>
              <w:jc w:val="center"/>
              <w:rPr>
                <w:rFonts w:hint="eastAsia"/>
                <w:szCs w:val="21"/>
              </w:rPr>
            </w:pPr>
          </w:p>
        </w:tc>
        <w:tc>
          <w:tcPr>
            <w:tcW w:w="1789" w:type="dxa"/>
            <w:noWrap w:val="0"/>
            <w:vAlign w:val="center"/>
          </w:tcPr>
          <w:p w14:paraId="3A020604">
            <w:pPr>
              <w:jc w:val="center"/>
              <w:rPr>
                <w:rFonts w:hint="eastAsia"/>
                <w:szCs w:val="21"/>
              </w:rPr>
            </w:pPr>
          </w:p>
        </w:tc>
      </w:tr>
      <w:tr w14:paraId="7DA7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613A386">
            <w:pPr>
              <w:rPr>
                <w:rFonts w:hint="eastAsia" w:ascii="黑体" w:eastAsia="黑体"/>
                <w:szCs w:val="21"/>
              </w:rPr>
            </w:pPr>
          </w:p>
        </w:tc>
        <w:tc>
          <w:tcPr>
            <w:tcW w:w="2910" w:type="dxa"/>
            <w:noWrap w:val="0"/>
            <w:vAlign w:val="center"/>
          </w:tcPr>
          <w:p w14:paraId="509CC0C9">
            <w:pPr>
              <w:rPr>
                <w:rFonts w:hint="eastAsia"/>
                <w:szCs w:val="21"/>
              </w:rPr>
            </w:pPr>
          </w:p>
        </w:tc>
        <w:tc>
          <w:tcPr>
            <w:tcW w:w="3330" w:type="dxa"/>
            <w:noWrap w:val="0"/>
            <w:vAlign w:val="center"/>
          </w:tcPr>
          <w:p w14:paraId="442A2B8C">
            <w:pPr>
              <w:jc w:val="center"/>
              <w:rPr>
                <w:rFonts w:hint="eastAsia"/>
                <w:szCs w:val="21"/>
              </w:rPr>
            </w:pPr>
          </w:p>
        </w:tc>
        <w:tc>
          <w:tcPr>
            <w:tcW w:w="1789" w:type="dxa"/>
            <w:noWrap w:val="0"/>
            <w:vAlign w:val="center"/>
          </w:tcPr>
          <w:p w14:paraId="20FECB8E">
            <w:pPr>
              <w:jc w:val="center"/>
              <w:rPr>
                <w:rFonts w:hint="eastAsia"/>
                <w:szCs w:val="21"/>
              </w:rPr>
            </w:pPr>
          </w:p>
        </w:tc>
      </w:tr>
      <w:tr w14:paraId="7539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13A65ACE">
            <w:pPr>
              <w:rPr>
                <w:rFonts w:hint="eastAsia" w:ascii="黑体" w:eastAsia="黑体"/>
                <w:szCs w:val="21"/>
              </w:rPr>
            </w:pPr>
          </w:p>
        </w:tc>
        <w:tc>
          <w:tcPr>
            <w:tcW w:w="2910" w:type="dxa"/>
            <w:noWrap w:val="0"/>
            <w:vAlign w:val="center"/>
          </w:tcPr>
          <w:p w14:paraId="5D0FED1E">
            <w:pPr>
              <w:rPr>
                <w:rFonts w:hint="eastAsia"/>
                <w:szCs w:val="21"/>
              </w:rPr>
            </w:pPr>
          </w:p>
        </w:tc>
        <w:tc>
          <w:tcPr>
            <w:tcW w:w="3330" w:type="dxa"/>
            <w:noWrap w:val="0"/>
            <w:vAlign w:val="center"/>
          </w:tcPr>
          <w:p w14:paraId="2F8F50E6">
            <w:pPr>
              <w:jc w:val="center"/>
              <w:rPr>
                <w:rFonts w:hint="eastAsia"/>
                <w:szCs w:val="21"/>
              </w:rPr>
            </w:pPr>
          </w:p>
        </w:tc>
        <w:tc>
          <w:tcPr>
            <w:tcW w:w="1789" w:type="dxa"/>
            <w:noWrap w:val="0"/>
            <w:vAlign w:val="center"/>
          </w:tcPr>
          <w:p w14:paraId="1DD9B316">
            <w:pPr>
              <w:jc w:val="center"/>
              <w:rPr>
                <w:rFonts w:hint="eastAsia"/>
                <w:szCs w:val="21"/>
              </w:rPr>
            </w:pPr>
          </w:p>
        </w:tc>
      </w:tr>
      <w:tr w14:paraId="1392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noWrap w:val="0"/>
            <w:vAlign w:val="center"/>
          </w:tcPr>
          <w:p w14:paraId="5615C964">
            <w:pPr>
              <w:rPr>
                <w:rFonts w:hint="eastAsia" w:ascii="黑体" w:eastAsia="黑体"/>
                <w:szCs w:val="21"/>
              </w:rPr>
            </w:pPr>
          </w:p>
        </w:tc>
        <w:tc>
          <w:tcPr>
            <w:tcW w:w="2910" w:type="dxa"/>
            <w:noWrap w:val="0"/>
            <w:vAlign w:val="center"/>
          </w:tcPr>
          <w:p w14:paraId="5873A2B4">
            <w:pPr>
              <w:rPr>
                <w:rFonts w:hint="eastAsia"/>
                <w:szCs w:val="21"/>
              </w:rPr>
            </w:pPr>
          </w:p>
        </w:tc>
        <w:tc>
          <w:tcPr>
            <w:tcW w:w="3330" w:type="dxa"/>
            <w:noWrap w:val="0"/>
            <w:vAlign w:val="center"/>
          </w:tcPr>
          <w:p w14:paraId="6929983C">
            <w:pPr>
              <w:jc w:val="center"/>
              <w:rPr>
                <w:rFonts w:hint="eastAsia"/>
                <w:szCs w:val="21"/>
              </w:rPr>
            </w:pPr>
          </w:p>
        </w:tc>
        <w:tc>
          <w:tcPr>
            <w:tcW w:w="1789" w:type="dxa"/>
            <w:noWrap w:val="0"/>
            <w:vAlign w:val="center"/>
          </w:tcPr>
          <w:p w14:paraId="75265D3F">
            <w:pPr>
              <w:jc w:val="center"/>
              <w:rPr>
                <w:rFonts w:hint="eastAsia"/>
                <w:szCs w:val="21"/>
              </w:rPr>
            </w:pPr>
          </w:p>
        </w:tc>
      </w:tr>
      <w:tr w14:paraId="1785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3637" w:type="dxa"/>
            <w:gridSpan w:val="2"/>
            <w:noWrap w:val="0"/>
            <w:vAlign w:val="center"/>
          </w:tcPr>
          <w:p w14:paraId="50CB601A">
            <w:pPr>
              <w:jc w:val="left"/>
              <w:rPr>
                <w:rFonts w:hint="eastAsia"/>
                <w:szCs w:val="21"/>
              </w:rPr>
            </w:pPr>
            <w:r>
              <w:rPr>
                <w:rFonts w:hint="eastAsia"/>
                <w:szCs w:val="21"/>
              </w:rPr>
              <w:t>投标报价合计=1+2+3+4+5+6</w:t>
            </w:r>
          </w:p>
        </w:tc>
        <w:tc>
          <w:tcPr>
            <w:tcW w:w="3330" w:type="dxa"/>
            <w:noWrap w:val="0"/>
            <w:vAlign w:val="center"/>
          </w:tcPr>
          <w:p w14:paraId="67A1301C">
            <w:pPr>
              <w:jc w:val="center"/>
              <w:rPr>
                <w:rFonts w:hint="eastAsia"/>
                <w:szCs w:val="21"/>
              </w:rPr>
            </w:pPr>
          </w:p>
        </w:tc>
        <w:tc>
          <w:tcPr>
            <w:tcW w:w="1789" w:type="dxa"/>
            <w:noWrap w:val="0"/>
            <w:vAlign w:val="center"/>
          </w:tcPr>
          <w:p w14:paraId="7645D86D">
            <w:pPr>
              <w:jc w:val="center"/>
              <w:rPr>
                <w:rFonts w:hint="eastAsia"/>
                <w:szCs w:val="21"/>
              </w:rPr>
            </w:pPr>
          </w:p>
        </w:tc>
      </w:tr>
    </w:tbl>
    <w:p w14:paraId="1E60B185">
      <w:pPr>
        <w:rPr>
          <w:rFonts w:hint="eastAsia"/>
        </w:rPr>
      </w:pPr>
    </w:p>
    <w:p w14:paraId="0DC24AB7">
      <w:pPr>
        <w:rPr>
          <w:rFonts w:hint="eastAsia"/>
        </w:rPr>
      </w:pPr>
      <w:r>
        <w:rPr>
          <w:rFonts w:hint="eastAsia"/>
        </w:rPr>
        <w:t>注：本表适用于单位工程投标报价的汇总，如无单位工程的划分，单项工程也使用本汇总表。</w:t>
      </w:r>
    </w:p>
    <w:p w14:paraId="1BFCC9A6">
      <w:pPr>
        <w:rPr>
          <w:rFonts w:hint="eastAsia"/>
        </w:rPr>
      </w:pPr>
    </w:p>
    <w:p w14:paraId="44575FFC">
      <w:pPr>
        <w:rPr>
          <w:rFonts w:hint="eastAsia"/>
        </w:rPr>
      </w:pPr>
    </w:p>
    <w:p w14:paraId="3705EC78">
      <w:pPr>
        <w:rPr>
          <w:rFonts w:hint="eastAsia"/>
        </w:rPr>
      </w:pPr>
    </w:p>
    <w:p w14:paraId="6ECA30A8">
      <w:pPr>
        <w:rPr>
          <w:rFonts w:hint="eastAsia"/>
        </w:rPr>
      </w:pPr>
    </w:p>
    <w:p w14:paraId="2D113548">
      <w:pPr>
        <w:rPr>
          <w:rFonts w:hint="eastAsia"/>
        </w:rPr>
      </w:pPr>
    </w:p>
    <w:p w14:paraId="17A6EDDE">
      <w:pPr>
        <w:rPr>
          <w:rFonts w:hint="eastAsia"/>
        </w:rPr>
      </w:pPr>
    </w:p>
    <w:p w14:paraId="1BBEB3A2">
      <w:pPr>
        <w:rPr>
          <w:rFonts w:hint="eastAsia"/>
        </w:rPr>
      </w:pPr>
    </w:p>
    <w:p w14:paraId="016B2C52">
      <w:pPr>
        <w:pStyle w:val="20"/>
        <w:rPr>
          <w:rFonts w:hint="eastAsia"/>
        </w:rPr>
      </w:pPr>
      <w:bookmarkStart w:id="2592" w:name="_Toc108514178"/>
      <w:r>
        <w:rPr>
          <w:rFonts w:hint="eastAsia"/>
        </w:rPr>
        <w:t>4.9分部分项工程</w:t>
      </w:r>
      <w:r>
        <w:t>和单价措施项目</w:t>
      </w:r>
      <w:r>
        <w:rPr>
          <w:rFonts w:hint="eastAsia"/>
        </w:rPr>
        <w:t>清单与计价表</w:t>
      </w:r>
      <w:bookmarkEnd w:id="2592"/>
    </w:p>
    <w:p w14:paraId="429FE3EC">
      <w:pPr>
        <w:spacing w:before="240" w:beforeLines="100" w:after="240" w:afterLines="100"/>
        <w:jc w:val="center"/>
        <w:rPr>
          <w:rFonts w:hint="eastAsia" w:ascii="黑体" w:eastAsia="黑体"/>
          <w:sz w:val="28"/>
          <w:szCs w:val="28"/>
        </w:rPr>
      </w:pPr>
      <w:r>
        <w:rPr>
          <w:rFonts w:hint="eastAsia" w:ascii="黑体" w:eastAsia="黑体"/>
          <w:sz w:val="28"/>
          <w:szCs w:val="28"/>
        </w:rPr>
        <w:t>分部分项工程</w:t>
      </w:r>
      <w:r>
        <w:rPr>
          <w:rFonts w:ascii="黑体" w:eastAsia="黑体"/>
          <w:sz w:val="28"/>
          <w:szCs w:val="28"/>
        </w:rPr>
        <w:t>和单价措施项目</w:t>
      </w:r>
      <w:r>
        <w:rPr>
          <w:rFonts w:hint="eastAsia" w:ascii="黑体" w:eastAsia="黑体"/>
          <w:sz w:val="28"/>
          <w:szCs w:val="28"/>
        </w:rPr>
        <w:t>清单与计价表</w:t>
      </w:r>
    </w:p>
    <w:p w14:paraId="5E1121A8">
      <w:pPr>
        <w:spacing w:before="240" w:beforeLines="100" w:after="240" w:afterLines="100"/>
        <w:rPr>
          <w:rFonts w:ascii="黑体" w:eastAsia="黑体"/>
          <w:sz w:val="28"/>
          <w:szCs w:val="28"/>
        </w:rPr>
      </w:pPr>
      <w:r>
        <w:rPr>
          <w:rFonts w:hint="eastAsia"/>
        </w:rPr>
        <w:t>工程名称：                       标段名称：                       第  页  共  页</w:t>
      </w:r>
    </w:p>
    <w:tbl>
      <w:tblPr>
        <w:tblStyle w:val="15"/>
        <w:tblW w:w="847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47"/>
        <w:gridCol w:w="1026"/>
        <w:gridCol w:w="1458"/>
        <w:gridCol w:w="1019"/>
        <w:gridCol w:w="838"/>
        <w:gridCol w:w="765"/>
        <w:gridCol w:w="741"/>
        <w:gridCol w:w="941"/>
      </w:tblGrid>
      <w:tr w14:paraId="2EB3AD9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43" w:type="dxa"/>
            <w:vMerge w:val="restart"/>
            <w:tcBorders>
              <w:top w:val="single" w:color="auto" w:sz="6" w:space="0"/>
            </w:tcBorders>
            <w:noWrap w:val="0"/>
            <w:vAlign w:val="center"/>
          </w:tcPr>
          <w:p w14:paraId="4EA1B944">
            <w:pPr>
              <w:jc w:val="center"/>
              <w:rPr>
                <w:rFonts w:hint="eastAsia"/>
                <w:sz w:val="20"/>
                <w:szCs w:val="20"/>
              </w:rPr>
            </w:pPr>
            <w:r>
              <w:rPr>
                <w:rFonts w:hint="eastAsia"/>
                <w:sz w:val="20"/>
                <w:szCs w:val="20"/>
              </w:rPr>
              <w:t>序号</w:t>
            </w:r>
          </w:p>
        </w:tc>
        <w:tc>
          <w:tcPr>
            <w:tcW w:w="1047" w:type="dxa"/>
            <w:vMerge w:val="restart"/>
            <w:tcBorders>
              <w:right w:val="single" w:color="auto" w:sz="6" w:space="0"/>
            </w:tcBorders>
            <w:noWrap w:val="0"/>
            <w:vAlign w:val="center"/>
          </w:tcPr>
          <w:p w14:paraId="1F0684E7">
            <w:pPr>
              <w:jc w:val="center"/>
              <w:rPr>
                <w:rFonts w:hint="eastAsia"/>
                <w:sz w:val="20"/>
                <w:szCs w:val="20"/>
              </w:rPr>
            </w:pPr>
            <w:r>
              <w:rPr>
                <w:rFonts w:hint="eastAsia"/>
                <w:sz w:val="20"/>
                <w:szCs w:val="20"/>
              </w:rPr>
              <w:t>项目编码</w:t>
            </w:r>
          </w:p>
        </w:tc>
        <w:tc>
          <w:tcPr>
            <w:tcW w:w="1026" w:type="dxa"/>
            <w:vMerge w:val="restart"/>
            <w:tcBorders>
              <w:left w:val="single" w:color="auto" w:sz="6" w:space="0"/>
            </w:tcBorders>
            <w:noWrap w:val="0"/>
            <w:vAlign w:val="center"/>
          </w:tcPr>
          <w:p w14:paraId="7209EFEE">
            <w:pPr>
              <w:jc w:val="center"/>
              <w:rPr>
                <w:rFonts w:hint="eastAsia"/>
                <w:sz w:val="20"/>
                <w:szCs w:val="20"/>
              </w:rPr>
            </w:pPr>
            <w:r>
              <w:rPr>
                <w:rFonts w:hint="eastAsia"/>
                <w:sz w:val="20"/>
                <w:szCs w:val="20"/>
              </w:rPr>
              <w:t>项目名称</w:t>
            </w:r>
          </w:p>
        </w:tc>
        <w:tc>
          <w:tcPr>
            <w:tcW w:w="1458" w:type="dxa"/>
            <w:vMerge w:val="restart"/>
            <w:tcBorders>
              <w:left w:val="single" w:color="auto" w:sz="6" w:space="0"/>
            </w:tcBorders>
            <w:noWrap w:val="0"/>
            <w:vAlign w:val="center"/>
          </w:tcPr>
          <w:p w14:paraId="7A21F13E">
            <w:pPr>
              <w:jc w:val="center"/>
              <w:rPr>
                <w:rFonts w:hint="eastAsia"/>
                <w:sz w:val="20"/>
                <w:szCs w:val="20"/>
              </w:rPr>
            </w:pPr>
            <w:r>
              <w:rPr>
                <w:rFonts w:hint="eastAsia"/>
                <w:sz w:val="20"/>
                <w:szCs w:val="20"/>
              </w:rPr>
              <w:t>项目特征描述</w:t>
            </w:r>
          </w:p>
        </w:tc>
        <w:tc>
          <w:tcPr>
            <w:tcW w:w="1019" w:type="dxa"/>
            <w:vMerge w:val="restart"/>
            <w:tcBorders>
              <w:right w:val="single" w:color="auto" w:sz="6" w:space="0"/>
            </w:tcBorders>
            <w:noWrap w:val="0"/>
            <w:vAlign w:val="center"/>
          </w:tcPr>
          <w:p w14:paraId="2AB57D79">
            <w:pPr>
              <w:jc w:val="center"/>
              <w:rPr>
                <w:rFonts w:hint="eastAsia"/>
                <w:sz w:val="20"/>
                <w:szCs w:val="20"/>
              </w:rPr>
            </w:pPr>
            <w:r>
              <w:rPr>
                <w:rFonts w:hint="eastAsia"/>
                <w:sz w:val="20"/>
                <w:szCs w:val="20"/>
              </w:rPr>
              <w:t>计量单位</w:t>
            </w:r>
          </w:p>
        </w:tc>
        <w:tc>
          <w:tcPr>
            <w:tcW w:w="838" w:type="dxa"/>
            <w:vMerge w:val="restart"/>
            <w:tcBorders>
              <w:left w:val="single" w:color="auto" w:sz="6" w:space="0"/>
            </w:tcBorders>
            <w:noWrap w:val="0"/>
            <w:vAlign w:val="center"/>
          </w:tcPr>
          <w:p w14:paraId="42A4B68D">
            <w:pPr>
              <w:jc w:val="center"/>
              <w:rPr>
                <w:rFonts w:hint="eastAsia"/>
                <w:sz w:val="20"/>
                <w:szCs w:val="20"/>
              </w:rPr>
            </w:pPr>
            <w:r>
              <w:rPr>
                <w:rFonts w:hint="eastAsia"/>
                <w:sz w:val="20"/>
                <w:szCs w:val="20"/>
              </w:rPr>
              <w:t>工程量</w:t>
            </w:r>
          </w:p>
        </w:tc>
        <w:tc>
          <w:tcPr>
            <w:tcW w:w="2447" w:type="dxa"/>
            <w:gridSpan w:val="3"/>
            <w:tcBorders>
              <w:left w:val="single" w:color="auto" w:sz="6" w:space="0"/>
            </w:tcBorders>
            <w:noWrap w:val="0"/>
            <w:vAlign w:val="center"/>
          </w:tcPr>
          <w:p w14:paraId="2DFEB248">
            <w:pPr>
              <w:jc w:val="center"/>
              <w:rPr>
                <w:rFonts w:hint="eastAsia"/>
                <w:sz w:val="20"/>
                <w:szCs w:val="20"/>
              </w:rPr>
            </w:pPr>
            <w:r>
              <w:rPr>
                <w:rFonts w:hint="eastAsia"/>
                <w:sz w:val="20"/>
                <w:szCs w:val="20"/>
              </w:rPr>
              <w:t>金额（元）</w:t>
            </w:r>
          </w:p>
        </w:tc>
      </w:tr>
      <w:tr w14:paraId="54F9F00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Merge w:val="continue"/>
            <w:noWrap w:val="0"/>
            <w:vAlign w:val="center"/>
          </w:tcPr>
          <w:p w14:paraId="634A208B">
            <w:pPr>
              <w:jc w:val="center"/>
              <w:rPr>
                <w:rFonts w:hint="eastAsia" w:ascii="黑体" w:eastAsia="黑体"/>
                <w:sz w:val="20"/>
                <w:szCs w:val="20"/>
              </w:rPr>
            </w:pPr>
          </w:p>
        </w:tc>
        <w:tc>
          <w:tcPr>
            <w:tcW w:w="1047" w:type="dxa"/>
            <w:vMerge w:val="continue"/>
            <w:tcBorders>
              <w:right w:val="single" w:color="auto" w:sz="6" w:space="0"/>
            </w:tcBorders>
            <w:noWrap w:val="0"/>
            <w:vAlign w:val="center"/>
          </w:tcPr>
          <w:p w14:paraId="0FCEED62">
            <w:pPr>
              <w:jc w:val="center"/>
              <w:rPr>
                <w:rFonts w:hint="eastAsia"/>
                <w:sz w:val="20"/>
                <w:szCs w:val="20"/>
              </w:rPr>
            </w:pPr>
          </w:p>
        </w:tc>
        <w:tc>
          <w:tcPr>
            <w:tcW w:w="1026" w:type="dxa"/>
            <w:vMerge w:val="continue"/>
            <w:tcBorders>
              <w:left w:val="single" w:color="auto" w:sz="6" w:space="0"/>
            </w:tcBorders>
            <w:noWrap w:val="0"/>
            <w:vAlign w:val="center"/>
          </w:tcPr>
          <w:p w14:paraId="1B273E68">
            <w:pPr>
              <w:jc w:val="center"/>
              <w:rPr>
                <w:rFonts w:hint="eastAsia"/>
                <w:sz w:val="20"/>
                <w:szCs w:val="20"/>
              </w:rPr>
            </w:pPr>
          </w:p>
        </w:tc>
        <w:tc>
          <w:tcPr>
            <w:tcW w:w="1458" w:type="dxa"/>
            <w:vMerge w:val="continue"/>
            <w:tcBorders>
              <w:left w:val="single" w:color="auto" w:sz="6" w:space="0"/>
            </w:tcBorders>
            <w:noWrap w:val="0"/>
            <w:vAlign w:val="center"/>
          </w:tcPr>
          <w:p w14:paraId="00CBF130">
            <w:pPr>
              <w:jc w:val="center"/>
              <w:rPr>
                <w:rFonts w:hint="eastAsia"/>
                <w:sz w:val="20"/>
                <w:szCs w:val="20"/>
              </w:rPr>
            </w:pPr>
          </w:p>
        </w:tc>
        <w:tc>
          <w:tcPr>
            <w:tcW w:w="1019" w:type="dxa"/>
            <w:vMerge w:val="continue"/>
            <w:tcBorders>
              <w:right w:val="single" w:color="auto" w:sz="6" w:space="0"/>
            </w:tcBorders>
            <w:noWrap w:val="0"/>
            <w:vAlign w:val="center"/>
          </w:tcPr>
          <w:p w14:paraId="4341D5AF">
            <w:pPr>
              <w:jc w:val="center"/>
              <w:rPr>
                <w:rFonts w:hint="eastAsia"/>
                <w:sz w:val="20"/>
                <w:szCs w:val="20"/>
              </w:rPr>
            </w:pPr>
          </w:p>
        </w:tc>
        <w:tc>
          <w:tcPr>
            <w:tcW w:w="838" w:type="dxa"/>
            <w:vMerge w:val="continue"/>
            <w:tcBorders>
              <w:left w:val="single" w:color="auto" w:sz="6" w:space="0"/>
            </w:tcBorders>
            <w:noWrap w:val="0"/>
            <w:vAlign w:val="center"/>
          </w:tcPr>
          <w:p w14:paraId="19C7D641">
            <w:pPr>
              <w:jc w:val="center"/>
              <w:rPr>
                <w:rFonts w:hint="eastAsia"/>
                <w:sz w:val="20"/>
                <w:szCs w:val="20"/>
              </w:rPr>
            </w:pPr>
          </w:p>
        </w:tc>
        <w:tc>
          <w:tcPr>
            <w:tcW w:w="765" w:type="dxa"/>
            <w:tcBorders>
              <w:left w:val="single" w:color="auto" w:sz="6" w:space="0"/>
            </w:tcBorders>
            <w:noWrap w:val="0"/>
            <w:vAlign w:val="center"/>
          </w:tcPr>
          <w:p w14:paraId="77C437CE">
            <w:pPr>
              <w:jc w:val="center"/>
              <w:rPr>
                <w:rFonts w:hint="eastAsia"/>
                <w:sz w:val="20"/>
                <w:szCs w:val="20"/>
              </w:rPr>
            </w:pPr>
            <w:r>
              <w:rPr>
                <w:rFonts w:hint="eastAsia"/>
                <w:sz w:val="20"/>
                <w:szCs w:val="20"/>
              </w:rPr>
              <w:t>综合</w:t>
            </w:r>
          </w:p>
          <w:p w14:paraId="37F043D9">
            <w:pPr>
              <w:jc w:val="center"/>
              <w:rPr>
                <w:rFonts w:hint="eastAsia"/>
                <w:sz w:val="20"/>
                <w:szCs w:val="20"/>
              </w:rPr>
            </w:pPr>
            <w:r>
              <w:rPr>
                <w:rFonts w:hint="eastAsia"/>
                <w:sz w:val="20"/>
                <w:szCs w:val="20"/>
              </w:rPr>
              <w:t>单价</w:t>
            </w:r>
          </w:p>
        </w:tc>
        <w:tc>
          <w:tcPr>
            <w:tcW w:w="741" w:type="dxa"/>
            <w:tcBorders>
              <w:right w:val="single" w:color="auto" w:sz="6" w:space="0"/>
            </w:tcBorders>
            <w:noWrap w:val="0"/>
            <w:vAlign w:val="center"/>
          </w:tcPr>
          <w:p w14:paraId="5946802E">
            <w:pPr>
              <w:jc w:val="center"/>
              <w:rPr>
                <w:rFonts w:hint="eastAsia"/>
                <w:sz w:val="20"/>
                <w:szCs w:val="20"/>
              </w:rPr>
            </w:pPr>
            <w:r>
              <w:rPr>
                <w:rFonts w:hint="eastAsia"/>
                <w:sz w:val="20"/>
                <w:szCs w:val="20"/>
              </w:rPr>
              <w:t>合价</w:t>
            </w:r>
          </w:p>
        </w:tc>
        <w:tc>
          <w:tcPr>
            <w:tcW w:w="941" w:type="dxa"/>
            <w:tcBorders>
              <w:left w:val="single" w:color="auto" w:sz="6" w:space="0"/>
            </w:tcBorders>
            <w:noWrap w:val="0"/>
            <w:vAlign w:val="center"/>
          </w:tcPr>
          <w:p w14:paraId="530B0043">
            <w:pPr>
              <w:jc w:val="center"/>
              <w:rPr>
                <w:rFonts w:hint="eastAsia"/>
                <w:sz w:val="20"/>
                <w:szCs w:val="20"/>
              </w:rPr>
            </w:pPr>
            <w:r>
              <w:rPr>
                <w:rFonts w:hint="eastAsia"/>
                <w:sz w:val="20"/>
                <w:szCs w:val="20"/>
              </w:rPr>
              <w:t>其中：暂估价</w:t>
            </w:r>
          </w:p>
        </w:tc>
      </w:tr>
      <w:tr w14:paraId="0EFA3F0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6C17D7EF">
            <w:pPr>
              <w:jc w:val="center"/>
              <w:rPr>
                <w:rFonts w:hint="eastAsia" w:ascii="黑体" w:eastAsia="黑体"/>
                <w:szCs w:val="21"/>
              </w:rPr>
            </w:pPr>
          </w:p>
        </w:tc>
        <w:tc>
          <w:tcPr>
            <w:tcW w:w="1047" w:type="dxa"/>
            <w:tcBorders>
              <w:right w:val="single" w:color="auto" w:sz="6" w:space="0"/>
            </w:tcBorders>
            <w:noWrap w:val="0"/>
            <w:vAlign w:val="center"/>
          </w:tcPr>
          <w:p w14:paraId="7C6C23C8">
            <w:pPr>
              <w:jc w:val="center"/>
              <w:rPr>
                <w:rFonts w:hint="eastAsia"/>
                <w:szCs w:val="21"/>
              </w:rPr>
            </w:pPr>
          </w:p>
        </w:tc>
        <w:tc>
          <w:tcPr>
            <w:tcW w:w="1026" w:type="dxa"/>
            <w:tcBorders>
              <w:left w:val="single" w:color="auto" w:sz="6" w:space="0"/>
            </w:tcBorders>
            <w:noWrap w:val="0"/>
            <w:vAlign w:val="center"/>
          </w:tcPr>
          <w:p w14:paraId="3A786392">
            <w:pPr>
              <w:jc w:val="center"/>
              <w:rPr>
                <w:rFonts w:hint="eastAsia"/>
                <w:szCs w:val="21"/>
              </w:rPr>
            </w:pPr>
          </w:p>
        </w:tc>
        <w:tc>
          <w:tcPr>
            <w:tcW w:w="1458" w:type="dxa"/>
            <w:tcBorders>
              <w:left w:val="single" w:color="auto" w:sz="6" w:space="0"/>
            </w:tcBorders>
            <w:noWrap w:val="0"/>
            <w:vAlign w:val="center"/>
          </w:tcPr>
          <w:p w14:paraId="5A1C08A2">
            <w:pPr>
              <w:jc w:val="center"/>
              <w:rPr>
                <w:rFonts w:hint="eastAsia"/>
                <w:szCs w:val="21"/>
              </w:rPr>
            </w:pPr>
          </w:p>
        </w:tc>
        <w:tc>
          <w:tcPr>
            <w:tcW w:w="1019" w:type="dxa"/>
            <w:tcBorders>
              <w:right w:val="single" w:color="auto" w:sz="6" w:space="0"/>
            </w:tcBorders>
            <w:noWrap w:val="0"/>
            <w:vAlign w:val="center"/>
          </w:tcPr>
          <w:p w14:paraId="74AA8CE5">
            <w:pPr>
              <w:jc w:val="center"/>
              <w:rPr>
                <w:rFonts w:hint="eastAsia"/>
                <w:szCs w:val="21"/>
              </w:rPr>
            </w:pPr>
          </w:p>
        </w:tc>
        <w:tc>
          <w:tcPr>
            <w:tcW w:w="838" w:type="dxa"/>
            <w:tcBorders>
              <w:left w:val="single" w:color="auto" w:sz="6" w:space="0"/>
            </w:tcBorders>
            <w:noWrap w:val="0"/>
            <w:vAlign w:val="center"/>
          </w:tcPr>
          <w:p w14:paraId="1DC62675">
            <w:pPr>
              <w:jc w:val="center"/>
              <w:rPr>
                <w:rFonts w:hint="eastAsia"/>
                <w:szCs w:val="21"/>
              </w:rPr>
            </w:pPr>
          </w:p>
        </w:tc>
        <w:tc>
          <w:tcPr>
            <w:tcW w:w="765" w:type="dxa"/>
            <w:tcBorders>
              <w:left w:val="single" w:color="auto" w:sz="6" w:space="0"/>
            </w:tcBorders>
            <w:noWrap w:val="0"/>
            <w:vAlign w:val="center"/>
          </w:tcPr>
          <w:p w14:paraId="7B607A90">
            <w:pPr>
              <w:jc w:val="center"/>
              <w:rPr>
                <w:rFonts w:hint="eastAsia"/>
                <w:szCs w:val="21"/>
              </w:rPr>
            </w:pPr>
          </w:p>
        </w:tc>
        <w:tc>
          <w:tcPr>
            <w:tcW w:w="741" w:type="dxa"/>
            <w:tcBorders>
              <w:right w:val="single" w:color="auto" w:sz="6" w:space="0"/>
            </w:tcBorders>
            <w:noWrap w:val="0"/>
            <w:vAlign w:val="center"/>
          </w:tcPr>
          <w:p w14:paraId="6BD45364">
            <w:pPr>
              <w:jc w:val="center"/>
              <w:rPr>
                <w:rFonts w:hint="eastAsia"/>
                <w:szCs w:val="21"/>
              </w:rPr>
            </w:pPr>
          </w:p>
        </w:tc>
        <w:tc>
          <w:tcPr>
            <w:tcW w:w="941" w:type="dxa"/>
            <w:tcBorders>
              <w:left w:val="single" w:color="auto" w:sz="6" w:space="0"/>
            </w:tcBorders>
            <w:noWrap w:val="0"/>
            <w:vAlign w:val="center"/>
          </w:tcPr>
          <w:p w14:paraId="1B213BFE">
            <w:pPr>
              <w:jc w:val="center"/>
              <w:rPr>
                <w:rFonts w:hint="eastAsia"/>
                <w:szCs w:val="21"/>
              </w:rPr>
            </w:pPr>
          </w:p>
        </w:tc>
      </w:tr>
      <w:tr w14:paraId="2729E36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01C07BC8">
            <w:pPr>
              <w:jc w:val="center"/>
              <w:rPr>
                <w:rFonts w:hint="eastAsia" w:ascii="黑体" w:eastAsia="黑体"/>
                <w:szCs w:val="21"/>
              </w:rPr>
            </w:pPr>
          </w:p>
        </w:tc>
        <w:tc>
          <w:tcPr>
            <w:tcW w:w="1047" w:type="dxa"/>
            <w:tcBorders>
              <w:right w:val="single" w:color="auto" w:sz="6" w:space="0"/>
            </w:tcBorders>
            <w:noWrap w:val="0"/>
            <w:vAlign w:val="center"/>
          </w:tcPr>
          <w:p w14:paraId="767841B5">
            <w:pPr>
              <w:jc w:val="center"/>
              <w:rPr>
                <w:rFonts w:hint="eastAsia"/>
                <w:szCs w:val="21"/>
              </w:rPr>
            </w:pPr>
          </w:p>
        </w:tc>
        <w:tc>
          <w:tcPr>
            <w:tcW w:w="1026" w:type="dxa"/>
            <w:tcBorders>
              <w:left w:val="single" w:color="auto" w:sz="6" w:space="0"/>
            </w:tcBorders>
            <w:noWrap w:val="0"/>
            <w:vAlign w:val="center"/>
          </w:tcPr>
          <w:p w14:paraId="66B335A5">
            <w:pPr>
              <w:jc w:val="center"/>
              <w:rPr>
                <w:rFonts w:hint="eastAsia"/>
                <w:szCs w:val="21"/>
              </w:rPr>
            </w:pPr>
          </w:p>
        </w:tc>
        <w:tc>
          <w:tcPr>
            <w:tcW w:w="1458" w:type="dxa"/>
            <w:tcBorders>
              <w:left w:val="single" w:color="auto" w:sz="6" w:space="0"/>
            </w:tcBorders>
            <w:noWrap w:val="0"/>
            <w:vAlign w:val="center"/>
          </w:tcPr>
          <w:p w14:paraId="33831A15">
            <w:pPr>
              <w:jc w:val="center"/>
              <w:rPr>
                <w:rFonts w:hint="eastAsia"/>
                <w:szCs w:val="21"/>
              </w:rPr>
            </w:pPr>
          </w:p>
        </w:tc>
        <w:tc>
          <w:tcPr>
            <w:tcW w:w="1019" w:type="dxa"/>
            <w:tcBorders>
              <w:right w:val="single" w:color="auto" w:sz="6" w:space="0"/>
            </w:tcBorders>
            <w:noWrap w:val="0"/>
            <w:vAlign w:val="center"/>
          </w:tcPr>
          <w:p w14:paraId="523CD239">
            <w:pPr>
              <w:jc w:val="center"/>
              <w:rPr>
                <w:rFonts w:hint="eastAsia"/>
                <w:szCs w:val="21"/>
              </w:rPr>
            </w:pPr>
          </w:p>
        </w:tc>
        <w:tc>
          <w:tcPr>
            <w:tcW w:w="838" w:type="dxa"/>
            <w:tcBorders>
              <w:left w:val="single" w:color="auto" w:sz="6" w:space="0"/>
            </w:tcBorders>
            <w:noWrap w:val="0"/>
            <w:vAlign w:val="center"/>
          </w:tcPr>
          <w:p w14:paraId="207A4287">
            <w:pPr>
              <w:jc w:val="center"/>
              <w:rPr>
                <w:rFonts w:hint="eastAsia"/>
                <w:szCs w:val="21"/>
              </w:rPr>
            </w:pPr>
          </w:p>
        </w:tc>
        <w:tc>
          <w:tcPr>
            <w:tcW w:w="765" w:type="dxa"/>
            <w:tcBorders>
              <w:left w:val="single" w:color="auto" w:sz="6" w:space="0"/>
            </w:tcBorders>
            <w:noWrap w:val="0"/>
            <w:vAlign w:val="center"/>
          </w:tcPr>
          <w:p w14:paraId="06D845F9">
            <w:pPr>
              <w:jc w:val="center"/>
              <w:rPr>
                <w:rFonts w:hint="eastAsia"/>
                <w:szCs w:val="21"/>
              </w:rPr>
            </w:pPr>
          </w:p>
        </w:tc>
        <w:tc>
          <w:tcPr>
            <w:tcW w:w="741" w:type="dxa"/>
            <w:tcBorders>
              <w:right w:val="single" w:color="auto" w:sz="6" w:space="0"/>
            </w:tcBorders>
            <w:noWrap w:val="0"/>
            <w:vAlign w:val="center"/>
          </w:tcPr>
          <w:p w14:paraId="2565EC51">
            <w:pPr>
              <w:jc w:val="center"/>
              <w:rPr>
                <w:rFonts w:hint="eastAsia"/>
                <w:szCs w:val="21"/>
              </w:rPr>
            </w:pPr>
          </w:p>
        </w:tc>
        <w:tc>
          <w:tcPr>
            <w:tcW w:w="941" w:type="dxa"/>
            <w:tcBorders>
              <w:left w:val="single" w:color="auto" w:sz="6" w:space="0"/>
            </w:tcBorders>
            <w:noWrap w:val="0"/>
            <w:vAlign w:val="center"/>
          </w:tcPr>
          <w:p w14:paraId="093EF666">
            <w:pPr>
              <w:jc w:val="center"/>
              <w:rPr>
                <w:rFonts w:hint="eastAsia"/>
                <w:szCs w:val="21"/>
              </w:rPr>
            </w:pPr>
          </w:p>
        </w:tc>
      </w:tr>
      <w:tr w14:paraId="4E1F7DB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699052BD">
            <w:pPr>
              <w:jc w:val="center"/>
              <w:rPr>
                <w:rFonts w:hint="eastAsia" w:ascii="黑体" w:eastAsia="黑体"/>
                <w:szCs w:val="21"/>
              </w:rPr>
            </w:pPr>
          </w:p>
        </w:tc>
        <w:tc>
          <w:tcPr>
            <w:tcW w:w="1047" w:type="dxa"/>
            <w:tcBorders>
              <w:right w:val="single" w:color="auto" w:sz="6" w:space="0"/>
            </w:tcBorders>
            <w:noWrap w:val="0"/>
            <w:vAlign w:val="center"/>
          </w:tcPr>
          <w:p w14:paraId="6A34EA07">
            <w:pPr>
              <w:jc w:val="center"/>
              <w:rPr>
                <w:rFonts w:hint="eastAsia"/>
                <w:szCs w:val="21"/>
              </w:rPr>
            </w:pPr>
          </w:p>
        </w:tc>
        <w:tc>
          <w:tcPr>
            <w:tcW w:w="1026" w:type="dxa"/>
            <w:tcBorders>
              <w:left w:val="single" w:color="auto" w:sz="6" w:space="0"/>
            </w:tcBorders>
            <w:noWrap w:val="0"/>
            <w:vAlign w:val="center"/>
          </w:tcPr>
          <w:p w14:paraId="018A2B90">
            <w:pPr>
              <w:jc w:val="center"/>
              <w:rPr>
                <w:rFonts w:hint="eastAsia"/>
                <w:szCs w:val="21"/>
              </w:rPr>
            </w:pPr>
          </w:p>
        </w:tc>
        <w:tc>
          <w:tcPr>
            <w:tcW w:w="1458" w:type="dxa"/>
            <w:tcBorders>
              <w:left w:val="single" w:color="auto" w:sz="6" w:space="0"/>
            </w:tcBorders>
            <w:noWrap w:val="0"/>
            <w:vAlign w:val="center"/>
          </w:tcPr>
          <w:p w14:paraId="11DA6725">
            <w:pPr>
              <w:jc w:val="center"/>
              <w:rPr>
                <w:rFonts w:hint="eastAsia"/>
                <w:szCs w:val="21"/>
              </w:rPr>
            </w:pPr>
          </w:p>
        </w:tc>
        <w:tc>
          <w:tcPr>
            <w:tcW w:w="1019" w:type="dxa"/>
            <w:tcBorders>
              <w:right w:val="single" w:color="auto" w:sz="6" w:space="0"/>
            </w:tcBorders>
            <w:noWrap w:val="0"/>
            <w:vAlign w:val="center"/>
          </w:tcPr>
          <w:p w14:paraId="3285AF7C">
            <w:pPr>
              <w:jc w:val="center"/>
              <w:rPr>
                <w:rFonts w:hint="eastAsia"/>
                <w:szCs w:val="21"/>
              </w:rPr>
            </w:pPr>
          </w:p>
        </w:tc>
        <w:tc>
          <w:tcPr>
            <w:tcW w:w="838" w:type="dxa"/>
            <w:tcBorders>
              <w:left w:val="single" w:color="auto" w:sz="6" w:space="0"/>
            </w:tcBorders>
            <w:noWrap w:val="0"/>
            <w:vAlign w:val="center"/>
          </w:tcPr>
          <w:p w14:paraId="024666B8">
            <w:pPr>
              <w:jc w:val="center"/>
              <w:rPr>
                <w:rFonts w:hint="eastAsia"/>
                <w:szCs w:val="21"/>
              </w:rPr>
            </w:pPr>
          </w:p>
        </w:tc>
        <w:tc>
          <w:tcPr>
            <w:tcW w:w="765" w:type="dxa"/>
            <w:tcBorders>
              <w:left w:val="single" w:color="auto" w:sz="6" w:space="0"/>
            </w:tcBorders>
            <w:noWrap w:val="0"/>
            <w:vAlign w:val="center"/>
          </w:tcPr>
          <w:p w14:paraId="20873CE6">
            <w:pPr>
              <w:jc w:val="center"/>
              <w:rPr>
                <w:rFonts w:hint="eastAsia"/>
                <w:szCs w:val="21"/>
              </w:rPr>
            </w:pPr>
          </w:p>
        </w:tc>
        <w:tc>
          <w:tcPr>
            <w:tcW w:w="741" w:type="dxa"/>
            <w:tcBorders>
              <w:right w:val="single" w:color="auto" w:sz="6" w:space="0"/>
            </w:tcBorders>
            <w:noWrap w:val="0"/>
            <w:vAlign w:val="center"/>
          </w:tcPr>
          <w:p w14:paraId="16BC30F5">
            <w:pPr>
              <w:jc w:val="center"/>
              <w:rPr>
                <w:rFonts w:hint="eastAsia"/>
                <w:szCs w:val="21"/>
              </w:rPr>
            </w:pPr>
          </w:p>
        </w:tc>
        <w:tc>
          <w:tcPr>
            <w:tcW w:w="941" w:type="dxa"/>
            <w:tcBorders>
              <w:left w:val="single" w:color="auto" w:sz="6" w:space="0"/>
            </w:tcBorders>
            <w:noWrap w:val="0"/>
            <w:vAlign w:val="center"/>
          </w:tcPr>
          <w:p w14:paraId="1C1240F8">
            <w:pPr>
              <w:jc w:val="center"/>
              <w:rPr>
                <w:rFonts w:hint="eastAsia"/>
                <w:szCs w:val="21"/>
              </w:rPr>
            </w:pPr>
          </w:p>
        </w:tc>
      </w:tr>
      <w:tr w14:paraId="5AC3E3D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noWrap w:val="0"/>
            <w:vAlign w:val="center"/>
          </w:tcPr>
          <w:p w14:paraId="22D5728B">
            <w:pPr>
              <w:jc w:val="center"/>
              <w:rPr>
                <w:rFonts w:hint="eastAsia" w:ascii="黑体" w:eastAsia="黑体"/>
                <w:szCs w:val="21"/>
              </w:rPr>
            </w:pPr>
          </w:p>
        </w:tc>
        <w:tc>
          <w:tcPr>
            <w:tcW w:w="1047" w:type="dxa"/>
            <w:tcBorders>
              <w:right w:val="single" w:color="auto" w:sz="6" w:space="0"/>
            </w:tcBorders>
            <w:noWrap w:val="0"/>
            <w:vAlign w:val="center"/>
          </w:tcPr>
          <w:p w14:paraId="6AC08110">
            <w:pPr>
              <w:jc w:val="center"/>
              <w:rPr>
                <w:rFonts w:hint="eastAsia"/>
                <w:szCs w:val="21"/>
              </w:rPr>
            </w:pPr>
          </w:p>
        </w:tc>
        <w:tc>
          <w:tcPr>
            <w:tcW w:w="1026" w:type="dxa"/>
            <w:tcBorders>
              <w:left w:val="single" w:color="auto" w:sz="6" w:space="0"/>
            </w:tcBorders>
            <w:noWrap w:val="0"/>
            <w:vAlign w:val="center"/>
          </w:tcPr>
          <w:p w14:paraId="4D0CD2B1">
            <w:pPr>
              <w:jc w:val="center"/>
              <w:rPr>
                <w:rFonts w:hint="eastAsia"/>
                <w:szCs w:val="21"/>
              </w:rPr>
            </w:pPr>
          </w:p>
        </w:tc>
        <w:tc>
          <w:tcPr>
            <w:tcW w:w="1458" w:type="dxa"/>
            <w:tcBorders>
              <w:left w:val="single" w:color="auto" w:sz="6" w:space="0"/>
            </w:tcBorders>
            <w:noWrap w:val="0"/>
            <w:vAlign w:val="center"/>
          </w:tcPr>
          <w:p w14:paraId="05DD56D9">
            <w:pPr>
              <w:jc w:val="center"/>
              <w:rPr>
                <w:rFonts w:hint="eastAsia"/>
                <w:szCs w:val="21"/>
              </w:rPr>
            </w:pPr>
          </w:p>
        </w:tc>
        <w:tc>
          <w:tcPr>
            <w:tcW w:w="1019" w:type="dxa"/>
            <w:tcBorders>
              <w:right w:val="single" w:color="auto" w:sz="6" w:space="0"/>
            </w:tcBorders>
            <w:noWrap w:val="0"/>
            <w:vAlign w:val="center"/>
          </w:tcPr>
          <w:p w14:paraId="31FD2D1F">
            <w:pPr>
              <w:jc w:val="center"/>
              <w:rPr>
                <w:rFonts w:hint="eastAsia"/>
                <w:szCs w:val="21"/>
              </w:rPr>
            </w:pPr>
          </w:p>
        </w:tc>
        <w:tc>
          <w:tcPr>
            <w:tcW w:w="838" w:type="dxa"/>
            <w:tcBorders>
              <w:left w:val="single" w:color="auto" w:sz="6" w:space="0"/>
            </w:tcBorders>
            <w:noWrap w:val="0"/>
            <w:vAlign w:val="center"/>
          </w:tcPr>
          <w:p w14:paraId="116E476D">
            <w:pPr>
              <w:jc w:val="center"/>
              <w:rPr>
                <w:rFonts w:hint="eastAsia"/>
                <w:szCs w:val="21"/>
              </w:rPr>
            </w:pPr>
          </w:p>
        </w:tc>
        <w:tc>
          <w:tcPr>
            <w:tcW w:w="765" w:type="dxa"/>
            <w:tcBorders>
              <w:left w:val="single" w:color="auto" w:sz="6" w:space="0"/>
            </w:tcBorders>
            <w:noWrap w:val="0"/>
            <w:vAlign w:val="center"/>
          </w:tcPr>
          <w:p w14:paraId="167D2680">
            <w:pPr>
              <w:jc w:val="center"/>
              <w:rPr>
                <w:rFonts w:hint="eastAsia"/>
                <w:szCs w:val="21"/>
              </w:rPr>
            </w:pPr>
          </w:p>
        </w:tc>
        <w:tc>
          <w:tcPr>
            <w:tcW w:w="741" w:type="dxa"/>
            <w:tcBorders>
              <w:right w:val="single" w:color="auto" w:sz="6" w:space="0"/>
            </w:tcBorders>
            <w:noWrap w:val="0"/>
            <w:vAlign w:val="center"/>
          </w:tcPr>
          <w:p w14:paraId="7E2FE087">
            <w:pPr>
              <w:jc w:val="center"/>
              <w:rPr>
                <w:rFonts w:hint="eastAsia"/>
                <w:szCs w:val="21"/>
              </w:rPr>
            </w:pPr>
          </w:p>
        </w:tc>
        <w:tc>
          <w:tcPr>
            <w:tcW w:w="941" w:type="dxa"/>
            <w:tcBorders>
              <w:left w:val="single" w:color="auto" w:sz="6" w:space="0"/>
            </w:tcBorders>
            <w:noWrap w:val="0"/>
            <w:vAlign w:val="center"/>
          </w:tcPr>
          <w:p w14:paraId="6F2EE522">
            <w:pPr>
              <w:jc w:val="center"/>
              <w:rPr>
                <w:rFonts w:hint="eastAsia"/>
                <w:szCs w:val="21"/>
              </w:rPr>
            </w:pPr>
          </w:p>
        </w:tc>
      </w:tr>
      <w:tr w14:paraId="2F25BDA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003EF407">
            <w:pPr>
              <w:jc w:val="center"/>
              <w:rPr>
                <w:rFonts w:hint="eastAsia" w:ascii="黑体" w:eastAsia="黑体"/>
                <w:szCs w:val="21"/>
              </w:rPr>
            </w:pPr>
          </w:p>
        </w:tc>
        <w:tc>
          <w:tcPr>
            <w:tcW w:w="1047" w:type="dxa"/>
            <w:tcBorders>
              <w:right w:val="single" w:color="auto" w:sz="6" w:space="0"/>
            </w:tcBorders>
            <w:noWrap w:val="0"/>
            <w:vAlign w:val="center"/>
          </w:tcPr>
          <w:p w14:paraId="735974C0">
            <w:pPr>
              <w:jc w:val="center"/>
              <w:rPr>
                <w:rFonts w:hint="eastAsia"/>
                <w:szCs w:val="21"/>
              </w:rPr>
            </w:pPr>
          </w:p>
        </w:tc>
        <w:tc>
          <w:tcPr>
            <w:tcW w:w="1026" w:type="dxa"/>
            <w:tcBorders>
              <w:left w:val="single" w:color="auto" w:sz="6" w:space="0"/>
            </w:tcBorders>
            <w:noWrap w:val="0"/>
            <w:vAlign w:val="center"/>
          </w:tcPr>
          <w:p w14:paraId="0F4B0AFB">
            <w:pPr>
              <w:jc w:val="center"/>
              <w:rPr>
                <w:rFonts w:hint="eastAsia"/>
                <w:szCs w:val="21"/>
              </w:rPr>
            </w:pPr>
          </w:p>
        </w:tc>
        <w:tc>
          <w:tcPr>
            <w:tcW w:w="1458" w:type="dxa"/>
            <w:tcBorders>
              <w:left w:val="single" w:color="auto" w:sz="6" w:space="0"/>
            </w:tcBorders>
            <w:noWrap w:val="0"/>
            <w:vAlign w:val="center"/>
          </w:tcPr>
          <w:p w14:paraId="68C59EF0">
            <w:pPr>
              <w:jc w:val="center"/>
              <w:rPr>
                <w:rFonts w:hint="eastAsia"/>
                <w:szCs w:val="21"/>
              </w:rPr>
            </w:pPr>
          </w:p>
        </w:tc>
        <w:tc>
          <w:tcPr>
            <w:tcW w:w="1019" w:type="dxa"/>
            <w:tcBorders>
              <w:right w:val="single" w:color="auto" w:sz="6" w:space="0"/>
            </w:tcBorders>
            <w:noWrap w:val="0"/>
            <w:vAlign w:val="center"/>
          </w:tcPr>
          <w:p w14:paraId="70E9AE38">
            <w:pPr>
              <w:jc w:val="center"/>
              <w:rPr>
                <w:rFonts w:hint="eastAsia"/>
                <w:szCs w:val="21"/>
              </w:rPr>
            </w:pPr>
          </w:p>
        </w:tc>
        <w:tc>
          <w:tcPr>
            <w:tcW w:w="838" w:type="dxa"/>
            <w:tcBorders>
              <w:left w:val="single" w:color="auto" w:sz="6" w:space="0"/>
            </w:tcBorders>
            <w:noWrap w:val="0"/>
            <w:vAlign w:val="center"/>
          </w:tcPr>
          <w:p w14:paraId="75D6A449">
            <w:pPr>
              <w:jc w:val="center"/>
              <w:rPr>
                <w:rFonts w:hint="eastAsia"/>
                <w:szCs w:val="21"/>
              </w:rPr>
            </w:pPr>
          </w:p>
        </w:tc>
        <w:tc>
          <w:tcPr>
            <w:tcW w:w="765" w:type="dxa"/>
            <w:tcBorders>
              <w:left w:val="single" w:color="auto" w:sz="6" w:space="0"/>
            </w:tcBorders>
            <w:noWrap w:val="0"/>
            <w:vAlign w:val="center"/>
          </w:tcPr>
          <w:p w14:paraId="09D004F7">
            <w:pPr>
              <w:jc w:val="center"/>
              <w:rPr>
                <w:rFonts w:hint="eastAsia"/>
                <w:szCs w:val="21"/>
              </w:rPr>
            </w:pPr>
          </w:p>
        </w:tc>
        <w:tc>
          <w:tcPr>
            <w:tcW w:w="741" w:type="dxa"/>
            <w:tcBorders>
              <w:right w:val="single" w:color="auto" w:sz="6" w:space="0"/>
            </w:tcBorders>
            <w:noWrap w:val="0"/>
            <w:vAlign w:val="center"/>
          </w:tcPr>
          <w:p w14:paraId="4440A93F">
            <w:pPr>
              <w:jc w:val="center"/>
              <w:rPr>
                <w:rFonts w:hint="eastAsia"/>
                <w:szCs w:val="21"/>
              </w:rPr>
            </w:pPr>
          </w:p>
        </w:tc>
        <w:tc>
          <w:tcPr>
            <w:tcW w:w="941" w:type="dxa"/>
            <w:tcBorders>
              <w:left w:val="single" w:color="auto" w:sz="6" w:space="0"/>
            </w:tcBorders>
            <w:noWrap w:val="0"/>
            <w:vAlign w:val="center"/>
          </w:tcPr>
          <w:p w14:paraId="4A344265">
            <w:pPr>
              <w:jc w:val="center"/>
              <w:rPr>
                <w:rFonts w:hint="eastAsia"/>
                <w:szCs w:val="21"/>
              </w:rPr>
            </w:pPr>
          </w:p>
        </w:tc>
      </w:tr>
      <w:tr w14:paraId="5F836EC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1A2C48F9">
            <w:pPr>
              <w:jc w:val="center"/>
              <w:rPr>
                <w:rFonts w:hint="eastAsia" w:ascii="黑体" w:eastAsia="黑体"/>
                <w:szCs w:val="21"/>
              </w:rPr>
            </w:pPr>
          </w:p>
        </w:tc>
        <w:tc>
          <w:tcPr>
            <w:tcW w:w="1047" w:type="dxa"/>
            <w:tcBorders>
              <w:right w:val="single" w:color="auto" w:sz="6" w:space="0"/>
            </w:tcBorders>
            <w:noWrap w:val="0"/>
            <w:vAlign w:val="center"/>
          </w:tcPr>
          <w:p w14:paraId="6D31C295">
            <w:pPr>
              <w:jc w:val="center"/>
              <w:rPr>
                <w:rFonts w:hint="eastAsia"/>
                <w:szCs w:val="21"/>
              </w:rPr>
            </w:pPr>
          </w:p>
        </w:tc>
        <w:tc>
          <w:tcPr>
            <w:tcW w:w="1026" w:type="dxa"/>
            <w:tcBorders>
              <w:left w:val="single" w:color="auto" w:sz="6" w:space="0"/>
            </w:tcBorders>
            <w:noWrap w:val="0"/>
            <w:vAlign w:val="center"/>
          </w:tcPr>
          <w:p w14:paraId="511DD883">
            <w:pPr>
              <w:jc w:val="center"/>
              <w:rPr>
                <w:rFonts w:hint="eastAsia"/>
                <w:szCs w:val="21"/>
              </w:rPr>
            </w:pPr>
          </w:p>
        </w:tc>
        <w:tc>
          <w:tcPr>
            <w:tcW w:w="1458" w:type="dxa"/>
            <w:tcBorders>
              <w:left w:val="single" w:color="auto" w:sz="6" w:space="0"/>
            </w:tcBorders>
            <w:noWrap w:val="0"/>
            <w:vAlign w:val="center"/>
          </w:tcPr>
          <w:p w14:paraId="21EE7C9D">
            <w:pPr>
              <w:jc w:val="center"/>
              <w:rPr>
                <w:rFonts w:hint="eastAsia"/>
                <w:szCs w:val="21"/>
              </w:rPr>
            </w:pPr>
          </w:p>
        </w:tc>
        <w:tc>
          <w:tcPr>
            <w:tcW w:w="1019" w:type="dxa"/>
            <w:tcBorders>
              <w:right w:val="single" w:color="auto" w:sz="6" w:space="0"/>
            </w:tcBorders>
            <w:noWrap w:val="0"/>
            <w:vAlign w:val="center"/>
          </w:tcPr>
          <w:p w14:paraId="469E9144">
            <w:pPr>
              <w:jc w:val="center"/>
              <w:rPr>
                <w:rFonts w:hint="eastAsia"/>
                <w:szCs w:val="21"/>
              </w:rPr>
            </w:pPr>
          </w:p>
        </w:tc>
        <w:tc>
          <w:tcPr>
            <w:tcW w:w="838" w:type="dxa"/>
            <w:tcBorders>
              <w:left w:val="single" w:color="auto" w:sz="6" w:space="0"/>
            </w:tcBorders>
            <w:noWrap w:val="0"/>
            <w:vAlign w:val="center"/>
          </w:tcPr>
          <w:p w14:paraId="4056EC39">
            <w:pPr>
              <w:jc w:val="center"/>
              <w:rPr>
                <w:rFonts w:hint="eastAsia"/>
                <w:szCs w:val="21"/>
              </w:rPr>
            </w:pPr>
          </w:p>
        </w:tc>
        <w:tc>
          <w:tcPr>
            <w:tcW w:w="765" w:type="dxa"/>
            <w:tcBorders>
              <w:left w:val="single" w:color="auto" w:sz="6" w:space="0"/>
            </w:tcBorders>
            <w:noWrap w:val="0"/>
            <w:vAlign w:val="center"/>
          </w:tcPr>
          <w:p w14:paraId="78FCBCD3">
            <w:pPr>
              <w:jc w:val="center"/>
              <w:rPr>
                <w:rFonts w:hint="eastAsia"/>
                <w:szCs w:val="21"/>
              </w:rPr>
            </w:pPr>
          </w:p>
        </w:tc>
        <w:tc>
          <w:tcPr>
            <w:tcW w:w="741" w:type="dxa"/>
            <w:tcBorders>
              <w:right w:val="single" w:color="auto" w:sz="6" w:space="0"/>
            </w:tcBorders>
            <w:noWrap w:val="0"/>
            <w:vAlign w:val="center"/>
          </w:tcPr>
          <w:p w14:paraId="463D396E">
            <w:pPr>
              <w:jc w:val="center"/>
              <w:rPr>
                <w:rFonts w:hint="eastAsia"/>
                <w:szCs w:val="21"/>
              </w:rPr>
            </w:pPr>
          </w:p>
        </w:tc>
        <w:tc>
          <w:tcPr>
            <w:tcW w:w="941" w:type="dxa"/>
            <w:tcBorders>
              <w:left w:val="single" w:color="auto" w:sz="6" w:space="0"/>
            </w:tcBorders>
            <w:noWrap w:val="0"/>
            <w:vAlign w:val="center"/>
          </w:tcPr>
          <w:p w14:paraId="69A65A57">
            <w:pPr>
              <w:jc w:val="center"/>
              <w:rPr>
                <w:rFonts w:hint="eastAsia"/>
                <w:szCs w:val="21"/>
              </w:rPr>
            </w:pPr>
          </w:p>
        </w:tc>
      </w:tr>
      <w:tr w14:paraId="09B7184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4A697256">
            <w:pPr>
              <w:jc w:val="center"/>
              <w:rPr>
                <w:rFonts w:hint="eastAsia" w:ascii="黑体" w:eastAsia="黑体"/>
                <w:szCs w:val="21"/>
              </w:rPr>
            </w:pPr>
          </w:p>
        </w:tc>
        <w:tc>
          <w:tcPr>
            <w:tcW w:w="1047" w:type="dxa"/>
            <w:tcBorders>
              <w:right w:val="single" w:color="auto" w:sz="6" w:space="0"/>
            </w:tcBorders>
            <w:noWrap w:val="0"/>
            <w:vAlign w:val="center"/>
          </w:tcPr>
          <w:p w14:paraId="1B295242">
            <w:pPr>
              <w:jc w:val="center"/>
              <w:rPr>
                <w:rFonts w:hint="eastAsia"/>
                <w:szCs w:val="21"/>
              </w:rPr>
            </w:pPr>
          </w:p>
        </w:tc>
        <w:tc>
          <w:tcPr>
            <w:tcW w:w="1026" w:type="dxa"/>
            <w:tcBorders>
              <w:left w:val="single" w:color="auto" w:sz="6" w:space="0"/>
            </w:tcBorders>
            <w:noWrap w:val="0"/>
            <w:vAlign w:val="center"/>
          </w:tcPr>
          <w:p w14:paraId="5AABB51D">
            <w:pPr>
              <w:jc w:val="center"/>
              <w:rPr>
                <w:rFonts w:hint="eastAsia"/>
                <w:szCs w:val="21"/>
              </w:rPr>
            </w:pPr>
          </w:p>
        </w:tc>
        <w:tc>
          <w:tcPr>
            <w:tcW w:w="1458" w:type="dxa"/>
            <w:tcBorders>
              <w:left w:val="single" w:color="auto" w:sz="6" w:space="0"/>
            </w:tcBorders>
            <w:noWrap w:val="0"/>
            <w:vAlign w:val="center"/>
          </w:tcPr>
          <w:p w14:paraId="40176034">
            <w:pPr>
              <w:jc w:val="center"/>
              <w:rPr>
                <w:rFonts w:hint="eastAsia"/>
                <w:szCs w:val="21"/>
              </w:rPr>
            </w:pPr>
          </w:p>
        </w:tc>
        <w:tc>
          <w:tcPr>
            <w:tcW w:w="1019" w:type="dxa"/>
            <w:tcBorders>
              <w:right w:val="single" w:color="auto" w:sz="6" w:space="0"/>
            </w:tcBorders>
            <w:noWrap w:val="0"/>
            <w:vAlign w:val="center"/>
          </w:tcPr>
          <w:p w14:paraId="66DF422D">
            <w:pPr>
              <w:jc w:val="center"/>
              <w:rPr>
                <w:rFonts w:hint="eastAsia"/>
                <w:szCs w:val="21"/>
              </w:rPr>
            </w:pPr>
          </w:p>
        </w:tc>
        <w:tc>
          <w:tcPr>
            <w:tcW w:w="838" w:type="dxa"/>
            <w:tcBorders>
              <w:left w:val="single" w:color="auto" w:sz="6" w:space="0"/>
            </w:tcBorders>
            <w:noWrap w:val="0"/>
            <w:vAlign w:val="center"/>
          </w:tcPr>
          <w:p w14:paraId="22FCDEEB">
            <w:pPr>
              <w:jc w:val="center"/>
              <w:rPr>
                <w:rFonts w:hint="eastAsia"/>
                <w:szCs w:val="21"/>
              </w:rPr>
            </w:pPr>
          </w:p>
        </w:tc>
        <w:tc>
          <w:tcPr>
            <w:tcW w:w="765" w:type="dxa"/>
            <w:tcBorders>
              <w:left w:val="single" w:color="auto" w:sz="6" w:space="0"/>
            </w:tcBorders>
            <w:noWrap w:val="0"/>
            <w:vAlign w:val="center"/>
          </w:tcPr>
          <w:p w14:paraId="49E11E73">
            <w:pPr>
              <w:jc w:val="center"/>
              <w:rPr>
                <w:rFonts w:hint="eastAsia"/>
                <w:szCs w:val="21"/>
              </w:rPr>
            </w:pPr>
          </w:p>
        </w:tc>
        <w:tc>
          <w:tcPr>
            <w:tcW w:w="741" w:type="dxa"/>
            <w:tcBorders>
              <w:right w:val="single" w:color="auto" w:sz="6" w:space="0"/>
            </w:tcBorders>
            <w:noWrap w:val="0"/>
            <w:vAlign w:val="center"/>
          </w:tcPr>
          <w:p w14:paraId="4FC7BCFF">
            <w:pPr>
              <w:jc w:val="center"/>
              <w:rPr>
                <w:rFonts w:hint="eastAsia"/>
                <w:szCs w:val="21"/>
              </w:rPr>
            </w:pPr>
          </w:p>
        </w:tc>
        <w:tc>
          <w:tcPr>
            <w:tcW w:w="941" w:type="dxa"/>
            <w:tcBorders>
              <w:left w:val="single" w:color="auto" w:sz="6" w:space="0"/>
            </w:tcBorders>
            <w:noWrap w:val="0"/>
            <w:vAlign w:val="center"/>
          </w:tcPr>
          <w:p w14:paraId="138261E7">
            <w:pPr>
              <w:jc w:val="center"/>
              <w:rPr>
                <w:rFonts w:hint="eastAsia"/>
                <w:szCs w:val="21"/>
              </w:rPr>
            </w:pPr>
          </w:p>
        </w:tc>
      </w:tr>
      <w:tr w14:paraId="56E0604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67A012CC">
            <w:pPr>
              <w:jc w:val="center"/>
              <w:rPr>
                <w:rFonts w:hint="eastAsia" w:ascii="黑体" w:eastAsia="黑体"/>
                <w:szCs w:val="21"/>
              </w:rPr>
            </w:pPr>
          </w:p>
        </w:tc>
        <w:tc>
          <w:tcPr>
            <w:tcW w:w="1047" w:type="dxa"/>
            <w:tcBorders>
              <w:right w:val="single" w:color="auto" w:sz="6" w:space="0"/>
            </w:tcBorders>
            <w:noWrap w:val="0"/>
            <w:vAlign w:val="center"/>
          </w:tcPr>
          <w:p w14:paraId="682B4863">
            <w:pPr>
              <w:jc w:val="center"/>
              <w:rPr>
                <w:rFonts w:hint="eastAsia"/>
                <w:szCs w:val="21"/>
              </w:rPr>
            </w:pPr>
          </w:p>
        </w:tc>
        <w:tc>
          <w:tcPr>
            <w:tcW w:w="1026" w:type="dxa"/>
            <w:tcBorders>
              <w:left w:val="single" w:color="auto" w:sz="6" w:space="0"/>
            </w:tcBorders>
            <w:noWrap w:val="0"/>
            <w:vAlign w:val="center"/>
          </w:tcPr>
          <w:p w14:paraId="197537BB">
            <w:pPr>
              <w:jc w:val="center"/>
              <w:rPr>
                <w:rFonts w:hint="eastAsia"/>
                <w:szCs w:val="21"/>
              </w:rPr>
            </w:pPr>
          </w:p>
        </w:tc>
        <w:tc>
          <w:tcPr>
            <w:tcW w:w="1458" w:type="dxa"/>
            <w:tcBorders>
              <w:left w:val="single" w:color="auto" w:sz="6" w:space="0"/>
            </w:tcBorders>
            <w:noWrap w:val="0"/>
            <w:vAlign w:val="center"/>
          </w:tcPr>
          <w:p w14:paraId="1B57BDC3">
            <w:pPr>
              <w:jc w:val="center"/>
              <w:rPr>
                <w:rFonts w:hint="eastAsia"/>
                <w:szCs w:val="21"/>
              </w:rPr>
            </w:pPr>
          </w:p>
        </w:tc>
        <w:tc>
          <w:tcPr>
            <w:tcW w:w="1019" w:type="dxa"/>
            <w:tcBorders>
              <w:right w:val="single" w:color="auto" w:sz="6" w:space="0"/>
            </w:tcBorders>
            <w:noWrap w:val="0"/>
            <w:vAlign w:val="center"/>
          </w:tcPr>
          <w:p w14:paraId="08DCBD77">
            <w:pPr>
              <w:jc w:val="center"/>
              <w:rPr>
                <w:rFonts w:hint="eastAsia"/>
                <w:szCs w:val="21"/>
              </w:rPr>
            </w:pPr>
          </w:p>
        </w:tc>
        <w:tc>
          <w:tcPr>
            <w:tcW w:w="838" w:type="dxa"/>
            <w:tcBorders>
              <w:left w:val="single" w:color="auto" w:sz="6" w:space="0"/>
            </w:tcBorders>
            <w:noWrap w:val="0"/>
            <w:vAlign w:val="center"/>
          </w:tcPr>
          <w:p w14:paraId="42598E41">
            <w:pPr>
              <w:jc w:val="center"/>
              <w:rPr>
                <w:rFonts w:hint="eastAsia"/>
                <w:szCs w:val="21"/>
              </w:rPr>
            </w:pPr>
          </w:p>
        </w:tc>
        <w:tc>
          <w:tcPr>
            <w:tcW w:w="765" w:type="dxa"/>
            <w:tcBorders>
              <w:left w:val="single" w:color="auto" w:sz="6" w:space="0"/>
            </w:tcBorders>
            <w:noWrap w:val="0"/>
            <w:vAlign w:val="center"/>
          </w:tcPr>
          <w:p w14:paraId="71ADE0D9">
            <w:pPr>
              <w:jc w:val="center"/>
              <w:rPr>
                <w:rFonts w:hint="eastAsia"/>
                <w:szCs w:val="21"/>
              </w:rPr>
            </w:pPr>
          </w:p>
        </w:tc>
        <w:tc>
          <w:tcPr>
            <w:tcW w:w="741" w:type="dxa"/>
            <w:tcBorders>
              <w:right w:val="single" w:color="auto" w:sz="6" w:space="0"/>
            </w:tcBorders>
            <w:noWrap w:val="0"/>
            <w:vAlign w:val="center"/>
          </w:tcPr>
          <w:p w14:paraId="04667AB5">
            <w:pPr>
              <w:jc w:val="center"/>
              <w:rPr>
                <w:rFonts w:hint="eastAsia"/>
                <w:szCs w:val="21"/>
              </w:rPr>
            </w:pPr>
          </w:p>
        </w:tc>
        <w:tc>
          <w:tcPr>
            <w:tcW w:w="941" w:type="dxa"/>
            <w:tcBorders>
              <w:left w:val="single" w:color="auto" w:sz="6" w:space="0"/>
            </w:tcBorders>
            <w:noWrap w:val="0"/>
            <w:vAlign w:val="center"/>
          </w:tcPr>
          <w:p w14:paraId="07699117">
            <w:pPr>
              <w:jc w:val="center"/>
              <w:rPr>
                <w:rFonts w:hint="eastAsia"/>
                <w:szCs w:val="21"/>
              </w:rPr>
            </w:pPr>
          </w:p>
        </w:tc>
      </w:tr>
      <w:tr w14:paraId="05DCB1F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0C6E2A50">
            <w:pPr>
              <w:jc w:val="center"/>
              <w:rPr>
                <w:rFonts w:hint="eastAsia" w:ascii="黑体" w:eastAsia="黑体"/>
                <w:szCs w:val="21"/>
              </w:rPr>
            </w:pPr>
          </w:p>
        </w:tc>
        <w:tc>
          <w:tcPr>
            <w:tcW w:w="1047" w:type="dxa"/>
            <w:tcBorders>
              <w:right w:val="single" w:color="auto" w:sz="6" w:space="0"/>
            </w:tcBorders>
            <w:noWrap w:val="0"/>
            <w:vAlign w:val="center"/>
          </w:tcPr>
          <w:p w14:paraId="6A735589">
            <w:pPr>
              <w:jc w:val="center"/>
              <w:rPr>
                <w:rFonts w:hint="eastAsia"/>
                <w:szCs w:val="21"/>
              </w:rPr>
            </w:pPr>
          </w:p>
        </w:tc>
        <w:tc>
          <w:tcPr>
            <w:tcW w:w="1026" w:type="dxa"/>
            <w:tcBorders>
              <w:left w:val="single" w:color="auto" w:sz="6" w:space="0"/>
            </w:tcBorders>
            <w:noWrap w:val="0"/>
            <w:vAlign w:val="center"/>
          </w:tcPr>
          <w:p w14:paraId="352E5E1F">
            <w:pPr>
              <w:jc w:val="center"/>
              <w:rPr>
                <w:rFonts w:hint="eastAsia"/>
                <w:szCs w:val="21"/>
              </w:rPr>
            </w:pPr>
          </w:p>
        </w:tc>
        <w:tc>
          <w:tcPr>
            <w:tcW w:w="1458" w:type="dxa"/>
            <w:tcBorders>
              <w:left w:val="single" w:color="auto" w:sz="6" w:space="0"/>
            </w:tcBorders>
            <w:noWrap w:val="0"/>
            <w:vAlign w:val="center"/>
          </w:tcPr>
          <w:p w14:paraId="73B56AB5">
            <w:pPr>
              <w:jc w:val="center"/>
              <w:rPr>
                <w:rFonts w:hint="eastAsia"/>
                <w:szCs w:val="21"/>
              </w:rPr>
            </w:pPr>
          </w:p>
        </w:tc>
        <w:tc>
          <w:tcPr>
            <w:tcW w:w="1019" w:type="dxa"/>
            <w:tcBorders>
              <w:right w:val="single" w:color="auto" w:sz="6" w:space="0"/>
            </w:tcBorders>
            <w:noWrap w:val="0"/>
            <w:vAlign w:val="center"/>
          </w:tcPr>
          <w:p w14:paraId="03167E10">
            <w:pPr>
              <w:jc w:val="center"/>
              <w:rPr>
                <w:rFonts w:hint="eastAsia"/>
                <w:szCs w:val="21"/>
              </w:rPr>
            </w:pPr>
          </w:p>
        </w:tc>
        <w:tc>
          <w:tcPr>
            <w:tcW w:w="838" w:type="dxa"/>
            <w:tcBorders>
              <w:left w:val="single" w:color="auto" w:sz="6" w:space="0"/>
            </w:tcBorders>
            <w:noWrap w:val="0"/>
            <w:vAlign w:val="center"/>
          </w:tcPr>
          <w:p w14:paraId="127F1C2F">
            <w:pPr>
              <w:jc w:val="center"/>
              <w:rPr>
                <w:rFonts w:hint="eastAsia"/>
                <w:szCs w:val="21"/>
              </w:rPr>
            </w:pPr>
          </w:p>
        </w:tc>
        <w:tc>
          <w:tcPr>
            <w:tcW w:w="765" w:type="dxa"/>
            <w:tcBorders>
              <w:left w:val="single" w:color="auto" w:sz="6" w:space="0"/>
            </w:tcBorders>
            <w:noWrap w:val="0"/>
            <w:vAlign w:val="center"/>
          </w:tcPr>
          <w:p w14:paraId="62B3F38D">
            <w:pPr>
              <w:jc w:val="center"/>
              <w:rPr>
                <w:rFonts w:hint="eastAsia"/>
                <w:szCs w:val="21"/>
              </w:rPr>
            </w:pPr>
          </w:p>
        </w:tc>
        <w:tc>
          <w:tcPr>
            <w:tcW w:w="741" w:type="dxa"/>
            <w:tcBorders>
              <w:right w:val="single" w:color="auto" w:sz="6" w:space="0"/>
            </w:tcBorders>
            <w:noWrap w:val="0"/>
            <w:vAlign w:val="center"/>
          </w:tcPr>
          <w:p w14:paraId="306F1E89">
            <w:pPr>
              <w:jc w:val="center"/>
              <w:rPr>
                <w:rFonts w:hint="eastAsia"/>
                <w:szCs w:val="21"/>
              </w:rPr>
            </w:pPr>
          </w:p>
        </w:tc>
        <w:tc>
          <w:tcPr>
            <w:tcW w:w="941" w:type="dxa"/>
            <w:tcBorders>
              <w:left w:val="single" w:color="auto" w:sz="6" w:space="0"/>
            </w:tcBorders>
            <w:noWrap w:val="0"/>
            <w:vAlign w:val="center"/>
          </w:tcPr>
          <w:p w14:paraId="7E65722D">
            <w:pPr>
              <w:jc w:val="center"/>
              <w:rPr>
                <w:rFonts w:hint="eastAsia"/>
                <w:szCs w:val="21"/>
              </w:rPr>
            </w:pPr>
          </w:p>
        </w:tc>
      </w:tr>
      <w:tr w14:paraId="62C4BA0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noWrap w:val="0"/>
            <w:vAlign w:val="center"/>
          </w:tcPr>
          <w:p w14:paraId="15143AF4">
            <w:pPr>
              <w:jc w:val="center"/>
              <w:rPr>
                <w:rFonts w:hint="eastAsia" w:ascii="黑体" w:eastAsia="黑体"/>
                <w:szCs w:val="21"/>
              </w:rPr>
            </w:pPr>
          </w:p>
        </w:tc>
        <w:tc>
          <w:tcPr>
            <w:tcW w:w="1047" w:type="dxa"/>
            <w:tcBorders>
              <w:right w:val="single" w:color="auto" w:sz="6" w:space="0"/>
            </w:tcBorders>
            <w:noWrap w:val="0"/>
            <w:vAlign w:val="center"/>
          </w:tcPr>
          <w:p w14:paraId="01ED369A">
            <w:pPr>
              <w:jc w:val="center"/>
              <w:rPr>
                <w:rFonts w:hint="eastAsia"/>
                <w:szCs w:val="21"/>
              </w:rPr>
            </w:pPr>
          </w:p>
        </w:tc>
        <w:tc>
          <w:tcPr>
            <w:tcW w:w="1026" w:type="dxa"/>
            <w:tcBorders>
              <w:left w:val="single" w:color="auto" w:sz="6" w:space="0"/>
            </w:tcBorders>
            <w:noWrap w:val="0"/>
            <w:vAlign w:val="center"/>
          </w:tcPr>
          <w:p w14:paraId="616B25B7">
            <w:pPr>
              <w:jc w:val="center"/>
              <w:rPr>
                <w:rFonts w:hint="eastAsia"/>
                <w:szCs w:val="21"/>
              </w:rPr>
            </w:pPr>
          </w:p>
        </w:tc>
        <w:tc>
          <w:tcPr>
            <w:tcW w:w="1458" w:type="dxa"/>
            <w:tcBorders>
              <w:left w:val="single" w:color="auto" w:sz="6" w:space="0"/>
            </w:tcBorders>
            <w:noWrap w:val="0"/>
            <w:vAlign w:val="center"/>
          </w:tcPr>
          <w:p w14:paraId="233EC5D8">
            <w:pPr>
              <w:jc w:val="center"/>
              <w:rPr>
                <w:rFonts w:hint="eastAsia"/>
                <w:szCs w:val="21"/>
              </w:rPr>
            </w:pPr>
          </w:p>
        </w:tc>
        <w:tc>
          <w:tcPr>
            <w:tcW w:w="1019" w:type="dxa"/>
            <w:tcBorders>
              <w:right w:val="single" w:color="auto" w:sz="6" w:space="0"/>
            </w:tcBorders>
            <w:noWrap w:val="0"/>
            <w:vAlign w:val="center"/>
          </w:tcPr>
          <w:p w14:paraId="18AC6BC0">
            <w:pPr>
              <w:jc w:val="center"/>
              <w:rPr>
                <w:rFonts w:hint="eastAsia"/>
                <w:szCs w:val="21"/>
              </w:rPr>
            </w:pPr>
          </w:p>
        </w:tc>
        <w:tc>
          <w:tcPr>
            <w:tcW w:w="838" w:type="dxa"/>
            <w:tcBorders>
              <w:left w:val="single" w:color="auto" w:sz="6" w:space="0"/>
            </w:tcBorders>
            <w:noWrap w:val="0"/>
            <w:vAlign w:val="center"/>
          </w:tcPr>
          <w:p w14:paraId="6B74E32F">
            <w:pPr>
              <w:jc w:val="center"/>
              <w:rPr>
                <w:rFonts w:hint="eastAsia"/>
                <w:szCs w:val="21"/>
              </w:rPr>
            </w:pPr>
          </w:p>
        </w:tc>
        <w:tc>
          <w:tcPr>
            <w:tcW w:w="765" w:type="dxa"/>
            <w:tcBorders>
              <w:left w:val="single" w:color="auto" w:sz="6" w:space="0"/>
            </w:tcBorders>
            <w:noWrap w:val="0"/>
            <w:vAlign w:val="center"/>
          </w:tcPr>
          <w:p w14:paraId="5D3ACD32">
            <w:pPr>
              <w:jc w:val="center"/>
              <w:rPr>
                <w:rFonts w:hint="eastAsia"/>
                <w:szCs w:val="21"/>
              </w:rPr>
            </w:pPr>
          </w:p>
        </w:tc>
        <w:tc>
          <w:tcPr>
            <w:tcW w:w="741" w:type="dxa"/>
            <w:tcBorders>
              <w:right w:val="single" w:color="auto" w:sz="6" w:space="0"/>
            </w:tcBorders>
            <w:noWrap w:val="0"/>
            <w:vAlign w:val="center"/>
          </w:tcPr>
          <w:p w14:paraId="12927DCA">
            <w:pPr>
              <w:jc w:val="center"/>
              <w:rPr>
                <w:rFonts w:hint="eastAsia"/>
                <w:szCs w:val="21"/>
              </w:rPr>
            </w:pPr>
          </w:p>
        </w:tc>
        <w:tc>
          <w:tcPr>
            <w:tcW w:w="941" w:type="dxa"/>
            <w:tcBorders>
              <w:left w:val="single" w:color="auto" w:sz="6" w:space="0"/>
            </w:tcBorders>
            <w:noWrap w:val="0"/>
            <w:vAlign w:val="center"/>
          </w:tcPr>
          <w:p w14:paraId="79209C59">
            <w:pPr>
              <w:jc w:val="center"/>
              <w:rPr>
                <w:rFonts w:hint="eastAsia"/>
                <w:szCs w:val="21"/>
              </w:rPr>
            </w:pPr>
          </w:p>
        </w:tc>
      </w:tr>
      <w:tr w14:paraId="25C8111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255C3D84">
            <w:pPr>
              <w:jc w:val="center"/>
              <w:rPr>
                <w:rFonts w:hint="eastAsia" w:ascii="黑体" w:eastAsia="黑体"/>
                <w:szCs w:val="21"/>
              </w:rPr>
            </w:pPr>
          </w:p>
        </w:tc>
        <w:tc>
          <w:tcPr>
            <w:tcW w:w="1047" w:type="dxa"/>
            <w:tcBorders>
              <w:right w:val="single" w:color="auto" w:sz="6" w:space="0"/>
            </w:tcBorders>
            <w:noWrap w:val="0"/>
            <w:vAlign w:val="center"/>
          </w:tcPr>
          <w:p w14:paraId="5CAF2A1F">
            <w:pPr>
              <w:jc w:val="center"/>
              <w:rPr>
                <w:rFonts w:hint="eastAsia"/>
                <w:szCs w:val="21"/>
              </w:rPr>
            </w:pPr>
          </w:p>
        </w:tc>
        <w:tc>
          <w:tcPr>
            <w:tcW w:w="1026" w:type="dxa"/>
            <w:tcBorders>
              <w:left w:val="single" w:color="auto" w:sz="6" w:space="0"/>
            </w:tcBorders>
            <w:noWrap w:val="0"/>
            <w:vAlign w:val="center"/>
          </w:tcPr>
          <w:p w14:paraId="4437ACDB">
            <w:pPr>
              <w:jc w:val="center"/>
              <w:rPr>
                <w:rFonts w:hint="eastAsia"/>
                <w:szCs w:val="21"/>
              </w:rPr>
            </w:pPr>
          </w:p>
        </w:tc>
        <w:tc>
          <w:tcPr>
            <w:tcW w:w="1458" w:type="dxa"/>
            <w:tcBorders>
              <w:left w:val="single" w:color="auto" w:sz="6" w:space="0"/>
            </w:tcBorders>
            <w:noWrap w:val="0"/>
            <w:vAlign w:val="center"/>
          </w:tcPr>
          <w:p w14:paraId="2B412067">
            <w:pPr>
              <w:jc w:val="center"/>
              <w:rPr>
                <w:rFonts w:hint="eastAsia"/>
                <w:szCs w:val="21"/>
              </w:rPr>
            </w:pPr>
          </w:p>
        </w:tc>
        <w:tc>
          <w:tcPr>
            <w:tcW w:w="1019" w:type="dxa"/>
            <w:tcBorders>
              <w:right w:val="single" w:color="auto" w:sz="6" w:space="0"/>
            </w:tcBorders>
            <w:noWrap w:val="0"/>
            <w:vAlign w:val="center"/>
          </w:tcPr>
          <w:p w14:paraId="6133FA42">
            <w:pPr>
              <w:jc w:val="center"/>
              <w:rPr>
                <w:rFonts w:hint="eastAsia"/>
                <w:szCs w:val="21"/>
              </w:rPr>
            </w:pPr>
          </w:p>
        </w:tc>
        <w:tc>
          <w:tcPr>
            <w:tcW w:w="838" w:type="dxa"/>
            <w:tcBorders>
              <w:left w:val="single" w:color="auto" w:sz="6" w:space="0"/>
            </w:tcBorders>
            <w:noWrap w:val="0"/>
            <w:vAlign w:val="center"/>
          </w:tcPr>
          <w:p w14:paraId="16C8B100">
            <w:pPr>
              <w:jc w:val="center"/>
              <w:rPr>
                <w:rFonts w:hint="eastAsia"/>
                <w:szCs w:val="21"/>
              </w:rPr>
            </w:pPr>
          </w:p>
        </w:tc>
        <w:tc>
          <w:tcPr>
            <w:tcW w:w="765" w:type="dxa"/>
            <w:tcBorders>
              <w:left w:val="single" w:color="auto" w:sz="6" w:space="0"/>
            </w:tcBorders>
            <w:noWrap w:val="0"/>
            <w:vAlign w:val="center"/>
          </w:tcPr>
          <w:p w14:paraId="063399E3">
            <w:pPr>
              <w:jc w:val="center"/>
              <w:rPr>
                <w:rFonts w:hint="eastAsia"/>
                <w:szCs w:val="21"/>
              </w:rPr>
            </w:pPr>
          </w:p>
        </w:tc>
        <w:tc>
          <w:tcPr>
            <w:tcW w:w="741" w:type="dxa"/>
            <w:tcBorders>
              <w:right w:val="single" w:color="auto" w:sz="6" w:space="0"/>
            </w:tcBorders>
            <w:noWrap w:val="0"/>
            <w:vAlign w:val="center"/>
          </w:tcPr>
          <w:p w14:paraId="52B780F4">
            <w:pPr>
              <w:jc w:val="center"/>
              <w:rPr>
                <w:szCs w:val="21"/>
              </w:rPr>
            </w:pPr>
          </w:p>
        </w:tc>
        <w:tc>
          <w:tcPr>
            <w:tcW w:w="941" w:type="dxa"/>
            <w:tcBorders>
              <w:left w:val="single" w:color="auto" w:sz="6" w:space="0"/>
            </w:tcBorders>
            <w:noWrap w:val="0"/>
            <w:vAlign w:val="center"/>
          </w:tcPr>
          <w:p w14:paraId="4C0EBC53">
            <w:pPr>
              <w:jc w:val="center"/>
              <w:rPr>
                <w:szCs w:val="21"/>
              </w:rPr>
            </w:pPr>
          </w:p>
        </w:tc>
      </w:tr>
      <w:tr w14:paraId="1A00CD6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3C3B480C">
            <w:pPr>
              <w:jc w:val="center"/>
              <w:rPr>
                <w:rFonts w:hint="eastAsia" w:ascii="黑体" w:eastAsia="黑体"/>
                <w:szCs w:val="21"/>
              </w:rPr>
            </w:pPr>
          </w:p>
        </w:tc>
        <w:tc>
          <w:tcPr>
            <w:tcW w:w="1047" w:type="dxa"/>
            <w:tcBorders>
              <w:right w:val="single" w:color="auto" w:sz="6" w:space="0"/>
            </w:tcBorders>
            <w:noWrap w:val="0"/>
            <w:vAlign w:val="center"/>
          </w:tcPr>
          <w:p w14:paraId="142CC6EB">
            <w:pPr>
              <w:jc w:val="center"/>
              <w:rPr>
                <w:rFonts w:hint="eastAsia"/>
                <w:szCs w:val="21"/>
              </w:rPr>
            </w:pPr>
          </w:p>
        </w:tc>
        <w:tc>
          <w:tcPr>
            <w:tcW w:w="1026" w:type="dxa"/>
            <w:tcBorders>
              <w:left w:val="single" w:color="auto" w:sz="6" w:space="0"/>
            </w:tcBorders>
            <w:noWrap w:val="0"/>
            <w:vAlign w:val="center"/>
          </w:tcPr>
          <w:p w14:paraId="30F8B046">
            <w:pPr>
              <w:jc w:val="center"/>
              <w:rPr>
                <w:rFonts w:hint="eastAsia"/>
                <w:szCs w:val="21"/>
              </w:rPr>
            </w:pPr>
          </w:p>
        </w:tc>
        <w:tc>
          <w:tcPr>
            <w:tcW w:w="1458" w:type="dxa"/>
            <w:tcBorders>
              <w:left w:val="single" w:color="auto" w:sz="6" w:space="0"/>
            </w:tcBorders>
            <w:noWrap w:val="0"/>
            <w:vAlign w:val="center"/>
          </w:tcPr>
          <w:p w14:paraId="2DF6B994">
            <w:pPr>
              <w:jc w:val="center"/>
              <w:rPr>
                <w:rFonts w:hint="eastAsia"/>
                <w:szCs w:val="21"/>
              </w:rPr>
            </w:pPr>
          </w:p>
        </w:tc>
        <w:tc>
          <w:tcPr>
            <w:tcW w:w="1019" w:type="dxa"/>
            <w:tcBorders>
              <w:right w:val="single" w:color="auto" w:sz="6" w:space="0"/>
            </w:tcBorders>
            <w:noWrap w:val="0"/>
            <w:vAlign w:val="center"/>
          </w:tcPr>
          <w:p w14:paraId="1AD9D404">
            <w:pPr>
              <w:jc w:val="center"/>
              <w:rPr>
                <w:rFonts w:hint="eastAsia"/>
                <w:szCs w:val="21"/>
              </w:rPr>
            </w:pPr>
          </w:p>
        </w:tc>
        <w:tc>
          <w:tcPr>
            <w:tcW w:w="838" w:type="dxa"/>
            <w:tcBorders>
              <w:left w:val="single" w:color="auto" w:sz="6" w:space="0"/>
            </w:tcBorders>
            <w:noWrap w:val="0"/>
            <w:vAlign w:val="center"/>
          </w:tcPr>
          <w:p w14:paraId="6072D83C">
            <w:pPr>
              <w:jc w:val="center"/>
              <w:rPr>
                <w:rFonts w:hint="eastAsia"/>
                <w:szCs w:val="21"/>
              </w:rPr>
            </w:pPr>
          </w:p>
        </w:tc>
        <w:tc>
          <w:tcPr>
            <w:tcW w:w="765" w:type="dxa"/>
            <w:tcBorders>
              <w:left w:val="single" w:color="auto" w:sz="6" w:space="0"/>
            </w:tcBorders>
            <w:noWrap w:val="0"/>
            <w:vAlign w:val="center"/>
          </w:tcPr>
          <w:p w14:paraId="4B3CC446">
            <w:pPr>
              <w:jc w:val="center"/>
              <w:rPr>
                <w:rFonts w:hint="eastAsia"/>
                <w:szCs w:val="21"/>
              </w:rPr>
            </w:pPr>
          </w:p>
        </w:tc>
        <w:tc>
          <w:tcPr>
            <w:tcW w:w="741" w:type="dxa"/>
            <w:tcBorders>
              <w:right w:val="single" w:color="auto" w:sz="6" w:space="0"/>
            </w:tcBorders>
            <w:noWrap w:val="0"/>
            <w:vAlign w:val="center"/>
          </w:tcPr>
          <w:p w14:paraId="3687442A">
            <w:pPr>
              <w:jc w:val="center"/>
              <w:rPr>
                <w:szCs w:val="21"/>
              </w:rPr>
            </w:pPr>
          </w:p>
        </w:tc>
        <w:tc>
          <w:tcPr>
            <w:tcW w:w="941" w:type="dxa"/>
            <w:tcBorders>
              <w:left w:val="single" w:color="auto" w:sz="6" w:space="0"/>
            </w:tcBorders>
            <w:noWrap w:val="0"/>
            <w:vAlign w:val="center"/>
          </w:tcPr>
          <w:p w14:paraId="28BA0D63">
            <w:pPr>
              <w:jc w:val="center"/>
              <w:rPr>
                <w:szCs w:val="21"/>
              </w:rPr>
            </w:pPr>
          </w:p>
        </w:tc>
      </w:tr>
      <w:tr w14:paraId="631DD31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157129FC">
            <w:pPr>
              <w:jc w:val="center"/>
              <w:rPr>
                <w:rFonts w:hint="eastAsia" w:ascii="黑体" w:eastAsia="黑体"/>
                <w:szCs w:val="21"/>
              </w:rPr>
            </w:pPr>
          </w:p>
        </w:tc>
        <w:tc>
          <w:tcPr>
            <w:tcW w:w="1047" w:type="dxa"/>
            <w:tcBorders>
              <w:right w:val="single" w:color="auto" w:sz="6" w:space="0"/>
            </w:tcBorders>
            <w:noWrap w:val="0"/>
            <w:vAlign w:val="center"/>
          </w:tcPr>
          <w:p w14:paraId="1E4A7D88">
            <w:pPr>
              <w:jc w:val="center"/>
              <w:rPr>
                <w:rFonts w:hint="eastAsia"/>
                <w:szCs w:val="21"/>
              </w:rPr>
            </w:pPr>
          </w:p>
        </w:tc>
        <w:tc>
          <w:tcPr>
            <w:tcW w:w="1026" w:type="dxa"/>
            <w:tcBorders>
              <w:left w:val="single" w:color="auto" w:sz="6" w:space="0"/>
            </w:tcBorders>
            <w:noWrap w:val="0"/>
            <w:vAlign w:val="center"/>
          </w:tcPr>
          <w:p w14:paraId="2420BB5D">
            <w:pPr>
              <w:jc w:val="center"/>
              <w:rPr>
                <w:rFonts w:hint="eastAsia"/>
                <w:szCs w:val="21"/>
              </w:rPr>
            </w:pPr>
          </w:p>
        </w:tc>
        <w:tc>
          <w:tcPr>
            <w:tcW w:w="1458" w:type="dxa"/>
            <w:tcBorders>
              <w:left w:val="single" w:color="auto" w:sz="6" w:space="0"/>
            </w:tcBorders>
            <w:noWrap w:val="0"/>
            <w:vAlign w:val="center"/>
          </w:tcPr>
          <w:p w14:paraId="2919BA00">
            <w:pPr>
              <w:jc w:val="center"/>
              <w:rPr>
                <w:rFonts w:hint="eastAsia"/>
                <w:szCs w:val="21"/>
              </w:rPr>
            </w:pPr>
          </w:p>
        </w:tc>
        <w:tc>
          <w:tcPr>
            <w:tcW w:w="1019" w:type="dxa"/>
            <w:tcBorders>
              <w:right w:val="single" w:color="auto" w:sz="6" w:space="0"/>
            </w:tcBorders>
            <w:noWrap w:val="0"/>
            <w:vAlign w:val="center"/>
          </w:tcPr>
          <w:p w14:paraId="2B4AB1C1">
            <w:pPr>
              <w:jc w:val="center"/>
              <w:rPr>
                <w:rFonts w:hint="eastAsia"/>
                <w:szCs w:val="21"/>
              </w:rPr>
            </w:pPr>
          </w:p>
        </w:tc>
        <w:tc>
          <w:tcPr>
            <w:tcW w:w="838" w:type="dxa"/>
            <w:tcBorders>
              <w:left w:val="single" w:color="auto" w:sz="6" w:space="0"/>
            </w:tcBorders>
            <w:noWrap w:val="0"/>
            <w:vAlign w:val="center"/>
          </w:tcPr>
          <w:p w14:paraId="082AE464">
            <w:pPr>
              <w:jc w:val="center"/>
              <w:rPr>
                <w:rFonts w:hint="eastAsia"/>
                <w:szCs w:val="21"/>
              </w:rPr>
            </w:pPr>
          </w:p>
        </w:tc>
        <w:tc>
          <w:tcPr>
            <w:tcW w:w="765" w:type="dxa"/>
            <w:tcBorders>
              <w:left w:val="single" w:color="auto" w:sz="6" w:space="0"/>
            </w:tcBorders>
            <w:noWrap w:val="0"/>
            <w:vAlign w:val="center"/>
          </w:tcPr>
          <w:p w14:paraId="150D7B79">
            <w:pPr>
              <w:jc w:val="center"/>
              <w:rPr>
                <w:rFonts w:hint="eastAsia"/>
                <w:szCs w:val="21"/>
              </w:rPr>
            </w:pPr>
          </w:p>
        </w:tc>
        <w:tc>
          <w:tcPr>
            <w:tcW w:w="741" w:type="dxa"/>
            <w:tcBorders>
              <w:right w:val="single" w:color="auto" w:sz="6" w:space="0"/>
            </w:tcBorders>
            <w:noWrap w:val="0"/>
            <w:vAlign w:val="center"/>
          </w:tcPr>
          <w:p w14:paraId="556B6F48">
            <w:pPr>
              <w:jc w:val="center"/>
              <w:rPr>
                <w:szCs w:val="21"/>
              </w:rPr>
            </w:pPr>
          </w:p>
        </w:tc>
        <w:tc>
          <w:tcPr>
            <w:tcW w:w="941" w:type="dxa"/>
            <w:tcBorders>
              <w:left w:val="single" w:color="auto" w:sz="6" w:space="0"/>
            </w:tcBorders>
            <w:noWrap w:val="0"/>
            <w:vAlign w:val="center"/>
          </w:tcPr>
          <w:p w14:paraId="4259BC0D">
            <w:pPr>
              <w:jc w:val="center"/>
              <w:rPr>
                <w:szCs w:val="21"/>
              </w:rPr>
            </w:pPr>
          </w:p>
        </w:tc>
      </w:tr>
      <w:tr w14:paraId="14D63A3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4D088114">
            <w:pPr>
              <w:jc w:val="center"/>
              <w:rPr>
                <w:rFonts w:hint="eastAsia" w:ascii="黑体" w:eastAsia="黑体"/>
                <w:szCs w:val="21"/>
              </w:rPr>
            </w:pPr>
          </w:p>
        </w:tc>
        <w:tc>
          <w:tcPr>
            <w:tcW w:w="1047" w:type="dxa"/>
            <w:tcBorders>
              <w:right w:val="single" w:color="auto" w:sz="6" w:space="0"/>
            </w:tcBorders>
            <w:noWrap w:val="0"/>
            <w:vAlign w:val="center"/>
          </w:tcPr>
          <w:p w14:paraId="641D3826">
            <w:pPr>
              <w:ind w:firstLine="210" w:firstLineChars="100"/>
              <w:jc w:val="center"/>
              <w:rPr>
                <w:rFonts w:hint="eastAsia"/>
                <w:szCs w:val="21"/>
              </w:rPr>
            </w:pPr>
          </w:p>
        </w:tc>
        <w:tc>
          <w:tcPr>
            <w:tcW w:w="1026" w:type="dxa"/>
            <w:tcBorders>
              <w:left w:val="single" w:color="auto" w:sz="6" w:space="0"/>
            </w:tcBorders>
            <w:noWrap w:val="0"/>
            <w:vAlign w:val="center"/>
          </w:tcPr>
          <w:p w14:paraId="26FA8663">
            <w:pPr>
              <w:ind w:firstLine="210" w:firstLineChars="100"/>
              <w:jc w:val="center"/>
              <w:rPr>
                <w:rFonts w:hint="eastAsia"/>
                <w:szCs w:val="21"/>
              </w:rPr>
            </w:pPr>
          </w:p>
        </w:tc>
        <w:tc>
          <w:tcPr>
            <w:tcW w:w="1458" w:type="dxa"/>
            <w:tcBorders>
              <w:left w:val="single" w:color="auto" w:sz="6" w:space="0"/>
            </w:tcBorders>
            <w:noWrap w:val="0"/>
            <w:vAlign w:val="center"/>
          </w:tcPr>
          <w:p w14:paraId="4F3B6740">
            <w:pPr>
              <w:ind w:firstLine="210" w:firstLineChars="100"/>
              <w:jc w:val="center"/>
              <w:rPr>
                <w:rFonts w:hint="eastAsia"/>
                <w:szCs w:val="21"/>
              </w:rPr>
            </w:pPr>
          </w:p>
        </w:tc>
        <w:tc>
          <w:tcPr>
            <w:tcW w:w="1019" w:type="dxa"/>
            <w:tcBorders>
              <w:right w:val="single" w:color="auto" w:sz="6" w:space="0"/>
            </w:tcBorders>
            <w:noWrap w:val="0"/>
            <w:vAlign w:val="center"/>
          </w:tcPr>
          <w:p w14:paraId="439A0B0B">
            <w:pPr>
              <w:jc w:val="center"/>
              <w:rPr>
                <w:rFonts w:hint="eastAsia"/>
                <w:szCs w:val="21"/>
              </w:rPr>
            </w:pPr>
          </w:p>
        </w:tc>
        <w:tc>
          <w:tcPr>
            <w:tcW w:w="838" w:type="dxa"/>
            <w:tcBorders>
              <w:left w:val="single" w:color="auto" w:sz="6" w:space="0"/>
            </w:tcBorders>
            <w:noWrap w:val="0"/>
            <w:vAlign w:val="center"/>
          </w:tcPr>
          <w:p w14:paraId="391EB475">
            <w:pPr>
              <w:jc w:val="center"/>
              <w:rPr>
                <w:rFonts w:hint="eastAsia"/>
                <w:szCs w:val="21"/>
              </w:rPr>
            </w:pPr>
          </w:p>
        </w:tc>
        <w:tc>
          <w:tcPr>
            <w:tcW w:w="765" w:type="dxa"/>
            <w:tcBorders>
              <w:left w:val="single" w:color="auto" w:sz="6" w:space="0"/>
            </w:tcBorders>
            <w:noWrap w:val="0"/>
            <w:vAlign w:val="center"/>
          </w:tcPr>
          <w:p w14:paraId="3A0EFE18">
            <w:pPr>
              <w:jc w:val="center"/>
              <w:rPr>
                <w:rFonts w:hint="eastAsia"/>
                <w:szCs w:val="21"/>
              </w:rPr>
            </w:pPr>
          </w:p>
        </w:tc>
        <w:tc>
          <w:tcPr>
            <w:tcW w:w="741" w:type="dxa"/>
            <w:tcBorders>
              <w:right w:val="single" w:color="auto" w:sz="6" w:space="0"/>
            </w:tcBorders>
            <w:noWrap w:val="0"/>
            <w:vAlign w:val="center"/>
          </w:tcPr>
          <w:p w14:paraId="39EF2C81">
            <w:pPr>
              <w:jc w:val="center"/>
              <w:rPr>
                <w:szCs w:val="21"/>
              </w:rPr>
            </w:pPr>
          </w:p>
        </w:tc>
        <w:tc>
          <w:tcPr>
            <w:tcW w:w="941" w:type="dxa"/>
            <w:tcBorders>
              <w:left w:val="single" w:color="auto" w:sz="6" w:space="0"/>
            </w:tcBorders>
            <w:noWrap w:val="0"/>
            <w:vAlign w:val="center"/>
          </w:tcPr>
          <w:p w14:paraId="7A84DED0">
            <w:pPr>
              <w:jc w:val="center"/>
              <w:rPr>
                <w:szCs w:val="21"/>
              </w:rPr>
            </w:pPr>
          </w:p>
        </w:tc>
      </w:tr>
      <w:tr w14:paraId="39AC3D7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noWrap w:val="0"/>
            <w:vAlign w:val="center"/>
          </w:tcPr>
          <w:p w14:paraId="104A0D4A">
            <w:pPr>
              <w:jc w:val="center"/>
              <w:rPr>
                <w:rFonts w:hint="eastAsia" w:ascii="黑体" w:eastAsia="黑体"/>
                <w:szCs w:val="21"/>
              </w:rPr>
            </w:pPr>
          </w:p>
        </w:tc>
        <w:tc>
          <w:tcPr>
            <w:tcW w:w="1047" w:type="dxa"/>
            <w:tcBorders>
              <w:right w:val="single" w:color="auto" w:sz="6" w:space="0"/>
            </w:tcBorders>
            <w:noWrap w:val="0"/>
            <w:vAlign w:val="center"/>
          </w:tcPr>
          <w:p w14:paraId="30C19F43">
            <w:pPr>
              <w:ind w:firstLine="210" w:firstLineChars="100"/>
              <w:jc w:val="center"/>
              <w:rPr>
                <w:rFonts w:hint="eastAsia"/>
                <w:szCs w:val="21"/>
              </w:rPr>
            </w:pPr>
          </w:p>
        </w:tc>
        <w:tc>
          <w:tcPr>
            <w:tcW w:w="1026" w:type="dxa"/>
            <w:tcBorders>
              <w:left w:val="single" w:color="auto" w:sz="6" w:space="0"/>
            </w:tcBorders>
            <w:noWrap w:val="0"/>
            <w:vAlign w:val="center"/>
          </w:tcPr>
          <w:p w14:paraId="1019F89C">
            <w:pPr>
              <w:ind w:firstLine="210" w:firstLineChars="100"/>
              <w:jc w:val="center"/>
              <w:rPr>
                <w:rFonts w:hint="eastAsia"/>
                <w:szCs w:val="21"/>
              </w:rPr>
            </w:pPr>
          </w:p>
        </w:tc>
        <w:tc>
          <w:tcPr>
            <w:tcW w:w="1458" w:type="dxa"/>
            <w:tcBorders>
              <w:left w:val="single" w:color="auto" w:sz="6" w:space="0"/>
            </w:tcBorders>
            <w:noWrap w:val="0"/>
            <w:vAlign w:val="center"/>
          </w:tcPr>
          <w:p w14:paraId="2E32F255">
            <w:pPr>
              <w:ind w:firstLine="210" w:firstLineChars="100"/>
              <w:jc w:val="center"/>
              <w:rPr>
                <w:rFonts w:hint="eastAsia"/>
                <w:szCs w:val="21"/>
              </w:rPr>
            </w:pPr>
          </w:p>
        </w:tc>
        <w:tc>
          <w:tcPr>
            <w:tcW w:w="1019" w:type="dxa"/>
            <w:tcBorders>
              <w:right w:val="single" w:color="auto" w:sz="6" w:space="0"/>
            </w:tcBorders>
            <w:noWrap w:val="0"/>
            <w:vAlign w:val="center"/>
          </w:tcPr>
          <w:p w14:paraId="40AEFF4E">
            <w:pPr>
              <w:jc w:val="center"/>
              <w:rPr>
                <w:rFonts w:hint="eastAsia"/>
                <w:szCs w:val="21"/>
              </w:rPr>
            </w:pPr>
          </w:p>
        </w:tc>
        <w:tc>
          <w:tcPr>
            <w:tcW w:w="838" w:type="dxa"/>
            <w:tcBorders>
              <w:left w:val="single" w:color="auto" w:sz="6" w:space="0"/>
            </w:tcBorders>
            <w:noWrap w:val="0"/>
            <w:vAlign w:val="center"/>
          </w:tcPr>
          <w:p w14:paraId="4883923D">
            <w:pPr>
              <w:jc w:val="center"/>
              <w:rPr>
                <w:rFonts w:hint="eastAsia"/>
                <w:szCs w:val="21"/>
              </w:rPr>
            </w:pPr>
          </w:p>
        </w:tc>
        <w:tc>
          <w:tcPr>
            <w:tcW w:w="765" w:type="dxa"/>
            <w:tcBorders>
              <w:left w:val="single" w:color="auto" w:sz="6" w:space="0"/>
            </w:tcBorders>
            <w:noWrap w:val="0"/>
            <w:vAlign w:val="center"/>
          </w:tcPr>
          <w:p w14:paraId="63C56C96">
            <w:pPr>
              <w:jc w:val="center"/>
              <w:rPr>
                <w:rFonts w:hint="eastAsia"/>
                <w:szCs w:val="21"/>
              </w:rPr>
            </w:pPr>
          </w:p>
        </w:tc>
        <w:tc>
          <w:tcPr>
            <w:tcW w:w="741" w:type="dxa"/>
            <w:tcBorders>
              <w:right w:val="single" w:color="auto" w:sz="6" w:space="0"/>
            </w:tcBorders>
            <w:noWrap w:val="0"/>
            <w:vAlign w:val="center"/>
          </w:tcPr>
          <w:p w14:paraId="7C7FF694">
            <w:pPr>
              <w:jc w:val="center"/>
              <w:rPr>
                <w:szCs w:val="21"/>
              </w:rPr>
            </w:pPr>
          </w:p>
        </w:tc>
        <w:tc>
          <w:tcPr>
            <w:tcW w:w="941" w:type="dxa"/>
            <w:tcBorders>
              <w:left w:val="single" w:color="auto" w:sz="6" w:space="0"/>
            </w:tcBorders>
            <w:noWrap w:val="0"/>
            <w:vAlign w:val="center"/>
          </w:tcPr>
          <w:p w14:paraId="54CED446">
            <w:pPr>
              <w:jc w:val="center"/>
              <w:rPr>
                <w:szCs w:val="21"/>
              </w:rPr>
            </w:pPr>
          </w:p>
        </w:tc>
      </w:tr>
      <w:tr w14:paraId="49175DA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25CB0651">
            <w:pPr>
              <w:jc w:val="center"/>
              <w:rPr>
                <w:rFonts w:hint="eastAsia" w:ascii="黑体" w:eastAsia="黑体"/>
                <w:szCs w:val="21"/>
              </w:rPr>
            </w:pPr>
          </w:p>
        </w:tc>
        <w:tc>
          <w:tcPr>
            <w:tcW w:w="1047" w:type="dxa"/>
            <w:tcBorders>
              <w:right w:val="single" w:color="auto" w:sz="6" w:space="0"/>
            </w:tcBorders>
            <w:noWrap w:val="0"/>
            <w:vAlign w:val="center"/>
          </w:tcPr>
          <w:p w14:paraId="6EF412FF">
            <w:pPr>
              <w:ind w:firstLine="210" w:firstLineChars="100"/>
              <w:jc w:val="center"/>
              <w:rPr>
                <w:rFonts w:hint="eastAsia"/>
                <w:szCs w:val="21"/>
              </w:rPr>
            </w:pPr>
          </w:p>
        </w:tc>
        <w:tc>
          <w:tcPr>
            <w:tcW w:w="1026" w:type="dxa"/>
            <w:tcBorders>
              <w:left w:val="single" w:color="auto" w:sz="6" w:space="0"/>
            </w:tcBorders>
            <w:noWrap w:val="0"/>
            <w:vAlign w:val="center"/>
          </w:tcPr>
          <w:p w14:paraId="7476D16F">
            <w:pPr>
              <w:ind w:firstLine="210" w:firstLineChars="100"/>
              <w:jc w:val="center"/>
              <w:rPr>
                <w:rFonts w:hint="eastAsia"/>
                <w:szCs w:val="21"/>
              </w:rPr>
            </w:pPr>
          </w:p>
        </w:tc>
        <w:tc>
          <w:tcPr>
            <w:tcW w:w="1458" w:type="dxa"/>
            <w:tcBorders>
              <w:left w:val="single" w:color="auto" w:sz="6" w:space="0"/>
            </w:tcBorders>
            <w:noWrap w:val="0"/>
            <w:vAlign w:val="center"/>
          </w:tcPr>
          <w:p w14:paraId="273D760E">
            <w:pPr>
              <w:ind w:firstLine="210" w:firstLineChars="100"/>
              <w:jc w:val="center"/>
              <w:rPr>
                <w:rFonts w:hint="eastAsia"/>
                <w:szCs w:val="21"/>
              </w:rPr>
            </w:pPr>
          </w:p>
        </w:tc>
        <w:tc>
          <w:tcPr>
            <w:tcW w:w="1019" w:type="dxa"/>
            <w:tcBorders>
              <w:right w:val="single" w:color="auto" w:sz="6" w:space="0"/>
            </w:tcBorders>
            <w:noWrap w:val="0"/>
            <w:vAlign w:val="center"/>
          </w:tcPr>
          <w:p w14:paraId="1D39B1DC">
            <w:pPr>
              <w:jc w:val="center"/>
              <w:rPr>
                <w:rFonts w:hint="eastAsia"/>
                <w:szCs w:val="21"/>
              </w:rPr>
            </w:pPr>
          </w:p>
        </w:tc>
        <w:tc>
          <w:tcPr>
            <w:tcW w:w="838" w:type="dxa"/>
            <w:tcBorders>
              <w:left w:val="single" w:color="auto" w:sz="6" w:space="0"/>
            </w:tcBorders>
            <w:noWrap w:val="0"/>
            <w:vAlign w:val="center"/>
          </w:tcPr>
          <w:p w14:paraId="62D1EDA3">
            <w:pPr>
              <w:jc w:val="center"/>
              <w:rPr>
                <w:rFonts w:hint="eastAsia"/>
                <w:szCs w:val="21"/>
              </w:rPr>
            </w:pPr>
          </w:p>
        </w:tc>
        <w:tc>
          <w:tcPr>
            <w:tcW w:w="765" w:type="dxa"/>
            <w:tcBorders>
              <w:left w:val="single" w:color="auto" w:sz="6" w:space="0"/>
            </w:tcBorders>
            <w:noWrap w:val="0"/>
            <w:vAlign w:val="center"/>
          </w:tcPr>
          <w:p w14:paraId="2B59E819">
            <w:pPr>
              <w:jc w:val="center"/>
              <w:rPr>
                <w:rFonts w:hint="eastAsia"/>
                <w:szCs w:val="21"/>
              </w:rPr>
            </w:pPr>
          </w:p>
        </w:tc>
        <w:tc>
          <w:tcPr>
            <w:tcW w:w="741" w:type="dxa"/>
            <w:tcBorders>
              <w:right w:val="single" w:color="auto" w:sz="6" w:space="0"/>
            </w:tcBorders>
            <w:noWrap w:val="0"/>
            <w:vAlign w:val="center"/>
          </w:tcPr>
          <w:p w14:paraId="73CEFFBA">
            <w:pPr>
              <w:jc w:val="center"/>
              <w:rPr>
                <w:szCs w:val="21"/>
              </w:rPr>
            </w:pPr>
          </w:p>
        </w:tc>
        <w:tc>
          <w:tcPr>
            <w:tcW w:w="941" w:type="dxa"/>
            <w:tcBorders>
              <w:left w:val="single" w:color="auto" w:sz="6" w:space="0"/>
            </w:tcBorders>
            <w:noWrap w:val="0"/>
            <w:vAlign w:val="center"/>
          </w:tcPr>
          <w:p w14:paraId="396E1095">
            <w:pPr>
              <w:jc w:val="center"/>
              <w:rPr>
                <w:szCs w:val="21"/>
              </w:rPr>
            </w:pPr>
          </w:p>
        </w:tc>
      </w:tr>
      <w:tr w14:paraId="5B3424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796" w:type="dxa"/>
            <w:gridSpan w:val="7"/>
            <w:noWrap w:val="0"/>
            <w:vAlign w:val="center"/>
          </w:tcPr>
          <w:p w14:paraId="07B04844">
            <w:pPr>
              <w:jc w:val="center"/>
              <w:rPr>
                <w:rFonts w:hint="eastAsia"/>
                <w:szCs w:val="21"/>
              </w:rPr>
            </w:pPr>
            <w:r>
              <w:rPr>
                <w:rFonts w:hint="eastAsia"/>
                <w:szCs w:val="21"/>
              </w:rPr>
              <w:t>本页小计</w:t>
            </w:r>
          </w:p>
        </w:tc>
        <w:tc>
          <w:tcPr>
            <w:tcW w:w="741" w:type="dxa"/>
            <w:tcBorders>
              <w:right w:val="single" w:color="auto" w:sz="6" w:space="0"/>
            </w:tcBorders>
            <w:noWrap w:val="0"/>
            <w:vAlign w:val="center"/>
          </w:tcPr>
          <w:p w14:paraId="44F882EA">
            <w:pPr>
              <w:jc w:val="center"/>
              <w:rPr>
                <w:rFonts w:hint="eastAsia"/>
                <w:szCs w:val="21"/>
              </w:rPr>
            </w:pPr>
          </w:p>
        </w:tc>
        <w:tc>
          <w:tcPr>
            <w:tcW w:w="941" w:type="dxa"/>
            <w:tcBorders>
              <w:left w:val="single" w:color="auto" w:sz="6" w:space="0"/>
            </w:tcBorders>
            <w:noWrap w:val="0"/>
            <w:vAlign w:val="center"/>
          </w:tcPr>
          <w:p w14:paraId="345D5DB4">
            <w:pPr>
              <w:jc w:val="center"/>
              <w:rPr>
                <w:rFonts w:hint="eastAsia"/>
                <w:szCs w:val="21"/>
              </w:rPr>
            </w:pPr>
          </w:p>
        </w:tc>
      </w:tr>
      <w:tr w14:paraId="6C44639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796" w:type="dxa"/>
            <w:gridSpan w:val="7"/>
            <w:noWrap w:val="0"/>
            <w:vAlign w:val="center"/>
          </w:tcPr>
          <w:p w14:paraId="23F2587E">
            <w:pPr>
              <w:jc w:val="center"/>
              <w:rPr>
                <w:rFonts w:hint="eastAsia"/>
                <w:szCs w:val="21"/>
              </w:rPr>
            </w:pPr>
            <w:r>
              <w:rPr>
                <w:rFonts w:hint="eastAsia"/>
                <w:szCs w:val="21"/>
              </w:rPr>
              <w:t>合  计</w:t>
            </w:r>
          </w:p>
        </w:tc>
        <w:tc>
          <w:tcPr>
            <w:tcW w:w="741" w:type="dxa"/>
            <w:tcBorders>
              <w:right w:val="single" w:color="auto" w:sz="6" w:space="0"/>
            </w:tcBorders>
            <w:noWrap w:val="0"/>
            <w:vAlign w:val="center"/>
          </w:tcPr>
          <w:p w14:paraId="25BDCDD9">
            <w:pPr>
              <w:jc w:val="center"/>
              <w:rPr>
                <w:rFonts w:hint="eastAsia"/>
                <w:szCs w:val="21"/>
              </w:rPr>
            </w:pPr>
          </w:p>
        </w:tc>
        <w:tc>
          <w:tcPr>
            <w:tcW w:w="941" w:type="dxa"/>
            <w:tcBorders>
              <w:left w:val="single" w:color="auto" w:sz="6" w:space="0"/>
            </w:tcBorders>
            <w:noWrap w:val="0"/>
            <w:vAlign w:val="center"/>
          </w:tcPr>
          <w:p w14:paraId="6D67641D">
            <w:pPr>
              <w:jc w:val="center"/>
              <w:rPr>
                <w:rFonts w:hint="eastAsia"/>
                <w:szCs w:val="21"/>
              </w:rPr>
            </w:pPr>
          </w:p>
        </w:tc>
      </w:tr>
    </w:tbl>
    <w:p w14:paraId="43FCD92F">
      <w:pPr>
        <w:spacing w:before="72" w:beforeLines="30"/>
        <w:rPr>
          <w:rFonts w:hint="eastAsia" w:ascii="黑体" w:hAnsi="黑体" w:cs="黑体"/>
          <w:kern w:val="0"/>
          <w:sz w:val="19"/>
          <w:szCs w:val="19"/>
        </w:rPr>
      </w:pPr>
    </w:p>
    <w:p w14:paraId="5358DFBC">
      <w:pPr>
        <w:spacing w:before="72" w:beforeLines="30"/>
        <w:rPr>
          <w:rFonts w:hint="eastAsia" w:ascii="黑体" w:eastAsia="黑体"/>
          <w:bdr w:val="single" w:color="auto" w:sz="4" w:space="0"/>
        </w:rPr>
      </w:pPr>
      <w:r>
        <w:rPr>
          <w:rFonts w:ascii="黑体" w:hAnsi="黑体" w:cs="黑体"/>
          <w:kern w:val="0"/>
          <w:sz w:val="19"/>
          <w:szCs w:val="19"/>
        </w:rPr>
        <w:t>注：为计取规费等的使用，可在表中增设其中：</w:t>
      </w:r>
      <w:r>
        <w:rPr>
          <w:rFonts w:ascii="宋体" w:hAnsi="宋体" w:cs="宋体"/>
          <w:kern w:val="0"/>
          <w:sz w:val="19"/>
          <w:szCs w:val="19"/>
        </w:rPr>
        <w:t>“定额人工费”。</w:t>
      </w:r>
    </w:p>
    <w:p w14:paraId="7E5B1401">
      <w:pPr>
        <w:spacing w:before="72" w:beforeLines="30"/>
        <w:rPr>
          <w:rFonts w:hint="eastAsia"/>
        </w:rPr>
      </w:pPr>
      <w:r>
        <w:rPr>
          <w:rFonts w:hint="eastAsia"/>
        </w:rPr>
        <w:t xml:space="preserve"> </w:t>
      </w:r>
    </w:p>
    <w:p w14:paraId="5160A7BE">
      <w:pPr>
        <w:spacing w:before="72" w:beforeLines="30"/>
        <w:rPr>
          <w:rFonts w:hint="eastAsia"/>
        </w:rPr>
      </w:pPr>
    </w:p>
    <w:p w14:paraId="74837E65">
      <w:pPr>
        <w:spacing w:before="72" w:beforeLines="30"/>
        <w:rPr>
          <w:rFonts w:hint="eastAsia"/>
        </w:rPr>
      </w:pPr>
    </w:p>
    <w:p w14:paraId="73012F8C">
      <w:pPr>
        <w:pStyle w:val="20"/>
        <w:rPr>
          <w:rFonts w:hint="eastAsia"/>
        </w:rPr>
      </w:pPr>
      <w:bookmarkStart w:id="2593" w:name="_Toc108514179"/>
      <w:r>
        <w:rPr>
          <w:rFonts w:hint="eastAsia"/>
        </w:rPr>
        <w:t>4.10综合单价分析表</w:t>
      </w:r>
      <w:bookmarkEnd w:id="2593"/>
    </w:p>
    <w:p w14:paraId="3987FF6C">
      <w:pPr>
        <w:spacing w:before="120" w:beforeLines="50" w:after="120" w:afterLines="50"/>
        <w:jc w:val="center"/>
        <w:rPr>
          <w:rFonts w:hint="eastAsia" w:ascii="黑体" w:eastAsia="黑体"/>
          <w:sz w:val="28"/>
          <w:szCs w:val="28"/>
        </w:rPr>
      </w:pPr>
      <w:r>
        <w:rPr>
          <w:rFonts w:hint="eastAsia" w:ascii="黑体" w:eastAsia="黑体"/>
          <w:sz w:val="28"/>
          <w:szCs w:val="28"/>
        </w:rPr>
        <w:t>综合单价分析表</w:t>
      </w:r>
    </w:p>
    <w:p w14:paraId="634EEA68">
      <w:pPr>
        <w:spacing w:after="120" w:afterLines="50"/>
        <w:rPr>
          <w:rFonts w:hint="eastAsia"/>
        </w:rPr>
      </w:pPr>
      <w:r>
        <w:rPr>
          <w:rFonts w:hint="eastAsia"/>
        </w:rPr>
        <w:t>工程名称:                           标段名称：                    第  页  共  页</w:t>
      </w:r>
    </w:p>
    <w:tbl>
      <w:tblPr>
        <w:tblStyle w:val="15"/>
        <w:tblW w:w="8940"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523"/>
        <w:gridCol w:w="160"/>
        <w:gridCol w:w="683"/>
        <w:gridCol w:w="250"/>
        <w:gridCol w:w="176"/>
        <w:gridCol w:w="426"/>
        <w:gridCol w:w="434"/>
        <w:gridCol w:w="89"/>
        <w:gridCol w:w="522"/>
        <w:gridCol w:w="625"/>
        <w:gridCol w:w="943"/>
        <w:gridCol w:w="89"/>
        <w:gridCol w:w="875"/>
        <w:gridCol w:w="45"/>
        <w:gridCol w:w="342"/>
        <w:gridCol w:w="891"/>
        <w:gridCol w:w="57"/>
        <w:gridCol w:w="1110"/>
      </w:tblGrid>
      <w:tr w14:paraId="20873B1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223" w:type="dxa"/>
            <w:gridSpan w:val="2"/>
            <w:tcBorders>
              <w:top w:val="single" w:color="auto" w:sz="6" w:space="0"/>
            </w:tcBorders>
            <w:noWrap w:val="0"/>
            <w:vAlign w:val="center"/>
          </w:tcPr>
          <w:p w14:paraId="5C0D0B38">
            <w:pPr>
              <w:jc w:val="center"/>
              <w:rPr>
                <w:rFonts w:hint="eastAsia"/>
                <w:sz w:val="20"/>
                <w:szCs w:val="20"/>
              </w:rPr>
            </w:pPr>
            <w:r>
              <w:rPr>
                <w:rFonts w:hint="eastAsia"/>
                <w:sz w:val="20"/>
                <w:szCs w:val="20"/>
              </w:rPr>
              <w:t>项目编码</w:t>
            </w:r>
          </w:p>
        </w:tc>
        <w:tc>
          <w:tcPr>
            <w:tcW w:w="1093" w:type="dxa"/>
            <w:gridSpan w:val="3"/>
            <w:tcBorders>
              <w:left w:val="single" w:color="auto" w:sz="6" w:space="0"/>
            </w:tcBorders>
            <w:noWrap w:val="0"/>
            <w:vAlign w:val="center"/>
          </w:tcPr>
          <w:p w14:paraId="45EF8415">
            <w:pPr>
              <w:rPr>
                <w:rFonts w:hint="eastAsia"/>
                <w:sz w:val="20"/>
                <w:szCs w:val="20"/>
              </w:rPr>
            </w:pPr>
          </w:p>
        </w:tc>
        <w:tc>
          <w:tcPr>
            <w:tcW w:w="1036" w:type="dxa"/>
            <w:gridSpan w:val="3"/>
            <w:tcBorders>
              <w:left w:val="single" w:color="auto" w:sz="6" w:space="0"/>
            </w:tcBorders>
            <w:noWrap w:val="0"/>
            <w:vAlign w:val="center"/>
          </w:tcPr>
          <w:p w14:paraId="503A6302">
            <w:pPr>
              <w:jc w:val="center"/>
              <w:rPr>
                <w:rFonts w:hint="eastAsia"/>
                <w:sz w:val="20"/>
                <w:szCs w:val="20"/>
              </w:rPr>
            </w:pPr>
            <w:r>
              <w:rPr>
                <w:rFonts w:hint="eastAsia"/>
                <w:sz w:val="20"/>
                <w:szCs w:val="20"/>
              </w:rPr>
              <w:t>项目名称</w:t>
            </w:r>
          </w:p>
        </w:tc>
        <w:tc>
          <w:tcPr>
            <w:tcW w:w="1236" w:type="dxa"/>
            <w:gridSpan w:val="3"/>
            <w:noWrap w:val="0"/>
            <w:vAlign w:val="center"/>
          </w:tcPr>
          <w:p w14:paraId="7AD4DC04">
            <w:pPr>
              <w:jc w:val="center"/>
              <w:rPr>
                <w:rFonts w:hint="eastAsia"/>
                <w:sz w:val="20"/>
                <w:szCs w:val="20"/>
              </w:rPr>
            </w:pPr>
          </w:p>
        </w:tc>
        <w:tc>
          <w:tcPr>
            <w:tcW w:w="1032" w:type="dxa"/>
            <w:gridSpan w:val="2"/>
            <w:tcBorders>
              <w:left w:val="single" w:color="auto" w:sz="6" w:space="0"/>
            </w:tcBorders>
            <w:noWrap w:val="0"/>
            <w:vAlign w:val="center"/>
          </w:tcPr>
          <w:p w14:paraId="1027457B">
            <w:pPr>
              <w:jc w:val="center"/>
              <w:rPr>
                <w:rFonts w:hint="eastAsia"/>
                <w:sz w:val="20"/>
                <w:szCs w:val="20"/>
              </w:rPr>
            </w:pPr>
            <w:r>
              <w:rPr>
                <w:rFonts w:hint="eastAsia"/>
                <w:sz w:val="20"/>
                <w:szCs w:val="20"/>
              </w:rPr>
              <w:t>计量</w:t>
            </w:r>
          </w:p>
          <w:p w14:paraId="7AE2B6A2">
            <w:pPr>
              <w:jc w:val="center"/>
              <w:rPr>
                <w:rFonts w:hint="eastAsia"/>
                <w:sz w:val="20"/>
                <w:szCs w:val="20"/>
              </w:rPr>
            </w:pPr>
            <w:r>
              <w:rPr>
                <w:rFonts w:hint="eastAsia"/>
                <w:sz w:val="20"/>
                <w:szCs w:val="20"/>
              </w:rPr>
              <w:t>单位</w:t>
            </w:r>
          </w:p>
        </w:tc>
        <w:tc>
          <w:tcPr>
            <w:tcW w:w="875" w:type="dxa"/>
            <w:tcBorders>
              <w:left w:val="single" w:color="auto" w:sz="6" w:space="0"/>
            </w:tcBorders>
            <w:noWrap w:val="0"/>
            <w:vAlign w:val="center"/>
          </w:tcPr>
          <w:p w14:paraId="025E8D32">
            <w:pPr>
              <w:jc w:val="center"/>
              <w:rPr>
                <w:rFonts w:hint="eastAsia"/>
                <w:sz w:val="20"/>
                <w:szCs w:val="20"/>
              </w:rPr>
            </w:pPr>
          </w:p>
        </w:tc>
        <w:tc>
          <w:tcPr>
            <w:tcW w:w="1278" w:type="dxa"/>
            <w:gridSpan w:val="3"/>
            <w:tcBorders>
              <w:left w:val="single" w:color="auto" w:sz="6" w:space="0"/>
            </w:tcBorders>
            <w:noWrap w:val="0"/>
            <w:vAlign w:val="center"/>
          </w:tcPr>
          <w:p w14:paraId="17B60B05">
            <w:pPr>
              <w:jc w:val="center"/>
              <w:rPr>
                <w:rFonts w:hint="eastAsia"/>
                <w:sz w:val="20"/>
                <w:szCs w:val="20"/>
              </w:rPr>
            </w:pPr>
            <w:r>
              <w:rPr>
                <w:rFonts w:hint="eastAsia"/>
                <w:sz w:val="20"/>
                <w:szCs w:val="20"/>
              </w:rPr>
              <w:t>工程量</w:t>
            </w:r>
          </w:p>
        </w:tc>
        <w:tc>
          <w:tcPr>
            <w:tcW w:w="1167" w:type="dxa"/>
            <w:gridSpan w:val="2"/>
            <w:tcBorders>
              <w:left w:val="single" w:color="auto" w:sz="6" w:space="0"/>
            </w:tcBorders>
            <w:noWrap w:val="0"/>
            <w:vAlign w:val="center"/>
          </w:tcPr>
          <w:p w14:paraId="28630B7D">
            <w:pPr>
              <w:jc w:val="center"/>
              <w:rPr>
                <w:rFonts w:hint="eastAsia"/>
                <w:sz w:val="20"/>
                <w:szCs w:val="20"/>
              </w:rPr>
            </w:pPr>
          </w:p>
        </w:tc>
      </w:tr>
      <w:tr w14:paraId="5BFB9A6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0" w:type="dxa"/>
            <w:gridSpan w:val="19"/>
            <w:noWrap w:val="0"/>
            <w:vAlign w:val="center"/>
          </w:tcPr>
          <w:p w14:paraId="3FB350C6">
            <w:pPr>
              <w:jc w:val="center"/>
              <w:rPr>
                <w:rFonts w:hint="eastAsia"/>
                <w:szCs w:val="21"/>
              </w:rPr>
            </w:pPr>
            <w:r>
              <w:rPr>
                <w:rFonts w:hint="eastAsia"/>
                <w:szCs w:val="21"/>
              </w:rPr>
              <w:t>清单综合单价组成明细</w:t>
            </w:r>
          </w:p>
        </w:tc>
      </w:tr>
      <w:tr w14:paraId="53D8813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restart"/>
            <w:noWrap w:val="0"/>
            <w:vAlign w:val="center"/>
          </w:tcPr>
          <w:p w14:paraId="26AE09BD">
            <w:pPr>
              <w:jc w:val="center"/>
              <w:rPr>
                <w:rFonts w:hint="eastAsia" w:ascii="宋体" w:hAnsi="宋体"/>
                <w:szCs w:val="21"/>
              </w:rPr>
            </w:pPr>
            <w:r>
              <w:rPr>
                <w:rFonts w:hint="eastAsia" w:ascii="宋体" w:hAnsi="宋体"/>
                <w:szCs w:val="21"/>
              </w:rPr>
              <w:t>定额编号</w:t>
            </w:r>
          </w:p>
        </w:tc>
        <w:tc>
          <w:tcPr>
            <w:tcW w:w="683" w:type="dxa"/>
            <w:gridSpan w:val="2"/>
            <w:vMerge w:val="restart"/>
            <w:tcBorders>
              <w:right w:val="single" w:color="auto" w:sz="6" w:space="0"/>
            </w:tcBorders>
            <w:noWrap w:val="0"/>
            <w:vAlign w:val="center"/>
          </w:tcPr>
          <w:p w14:paraId="71E205EE">
            <w:pPr>
              <w:jc w:val="center"/>
              <w:rPr>
                <w:rFonts w:hint="eastAsia"/>
                <w:szCs w:val="21"/>
              </w:rPr>
            </w:pPr>
            <w:r>
              <w:rPr>
                <w:rFonts w:hint="eastAsia"/>
                <w:szCs w:val="21"/>
              </w:rPr>
              <w:t>定额项目名称</w:t>
            </w:r>
          </w:p>
        </w:tc>
        <w:tc>
          <w:tcPr>
            <w:tcW w:w="683" w:type="dxa"/>
            <w:vMerge w:val="restart"/>
            <w:tcBorders>
              <w:left w:val="single" w:color="auto" w:sz="6" w:space="0"/>
            </w:tcBorders>
            <w:noWrap w:val="0"/>
            <w:vAlign w:val="center"/>
          </w:tcPr>
          <w:p w14:paraId="2AF84E91">
            <w:pPr>
              <w:jc w:val="center"/>
              <w:rPr>
                <w:rFonts w:hint="eastAsia"/>
                <w:szCs w:val="21"/>
              </w:rPr>
            </w:pPr>
            <w:r>
              <w:rPr>
                <w:rFonts w:hint="eastAsia"/>
                <w:szCs w:val="21"/>
              </w:rPr>
              <w:t>定额</w:t>
            </w:r>
          </w:p>
          <w:p w14:paraId="2993B680">
            <w:pPr>
              <w:jc w:val="center"/>
              <w:rPr>
                <w:rFonts w:hint="eastAsia"/>
                <w:szCs w:val="21"/>
              </w:rPr>
            </w:pPr>
            <w:r>
              <w:rPr>
                <w:rFonts w:hint="eastAsia"/>
                <w:szCs w:val="21"/>
              </w:rPr>
              <w:t>单位</w:t>
            </w:r>
          </w:p>
        </w:tc>
        <w:tc>
          <w:tcPr>
            <w:tcW w:w="426" w:type="dxa"/>
            <w:gridSpan w:val="2"/>
            <w:vMerge w:val="restart"/>
            <w:tcBorders>
              <w:left w:val="single" w:color="auto" w:sz="6" w:space="0"/>
            </w:tcBorders>
            <w:noWrap w:val="0"/>
            <w:vAlign w:val="center"/>
          </w:tcPr>
          <w:p w14:paraId="712B7464">
            <w:pPr>
              <w:jc w:val="center"/>
              <w:rPr>
                <w:rFonts w:hint="eastAsia"/>
                <w:szCs w:val="21"/>
              </w:rPr>
            </w:pPr>
            <w:r>
              <w:rPr>
                <w:rFonts w:hint="eastAsia"/>
                <w:szCs w:val="21"/>
              </w:rPr>
              <w:t>数量</w:t>
            </w:r>
          </w:p>
        </w:tc>
        <w:tc>
          <w:tcPr>
            <w:tcW w:w="2096" w:type="dxa"/>
            <w:gridSpan w:val="5"/>
            <w:tcBorders>
              <w:left w:val="single" w:color="auto" w:sz="6" w:space="0"/>
              <w:right w:val="single" w:color="auto" w:sz="6" w:space="0"/>
            </w:tcBorders>
            <w:noWrap w:val="0"/>
            <w:vAlign w:val="center"/>
          </w:tcPr>
          <w:p w14:paraId="1DB2B130">
            <w:pPr>
              <w:jc w:val="center"/>
              <w:rPr>
                <w:rFonts w:hint="eastAsia"/>
                <w:szCs w:val="21"/>
              </w:rPr>
            </w:pPr>
            <w:r>
              <w:rPr>
                <w:rFonts w:hint="eastAsia"/>
                <w:szCs w:val="21"/>
              </w:rPr>
              <w:t>单价</w:t>
            </w:r>
          </w:p>
        </w:tc>
        <w:tc>
          <w:tcPr>
            <w:tcW w:w="4352" w:type="dxa"/>
            <w:gridSpan w:val="8"/>
            <w:tcBorders>
              <w:left w:val="single" w:color="auto" w:sz="6" w:space="0"/>
            </w:tcBorders>
            <w:noWrap w:val="0"/>
            <w:vAlign w:val="center"/>
          </w:tcPr>
          <w:p w14:paraId="2D8769BF">
            <w:pPr>
              <w:jc w:val="center"/>
              <w:rPr>
                <w:rFonts w:hint="eastAsia"/>
                <w:szCs w:val="21"/>
              </w:rPr>
            </w:pPr>
            <w:r>
              <w:rPr>
                <w:rFonts w:hint="eastAsia"/>
                <w:szCs w:val="21"/>
              </w:rPr>
              <w:t>合价</w:t>
            </w:r>
          </w:p>
        </w:tc>
      </w:tr>
      <w:tr w14:paraId="641812A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62CCEC29">
            <w:pPr>
              <w:jc w:val="center"/>
              <w:rPr>
                <w:rFonts w:hint="eastAsia" w:ascii="黑体" w:eastAsia="黑体"/>
                <w:szCs w:val="21"/>
              </w:rPr>
            </w:pPr>
          </w:p>
        </w:tc>
        <w:tc>
          <w:tcPr>
            <w:tcW w:w="683" w:type="dxa"/>
            <w:gridSpan w:val="2"/>
            <w:vMerge w:val="continue"/>
            <w:tcBorders>
              <w:right w:val="single" w:color="auto" w:sz="6" w:space="0"/>
            </w:tcBorders>
            <w:noWrap w:val="0"/>
            <w:vAlign w:val="center"/>
          </w:tcPr>
          <w:p w14:paraId="257115C6">
            <w:pPr>
              <w:jc w:val="center"/>
              <w:rPr>
                <w:rFonts w:hint="eastAsia"/>
                <w:szCs w:val="21"/>
              </w:rPr>
            </w:pPr>
          </w:p>
        </w:tc>
        <w:tc>
          <w:tcPr>
            <w:tcW w:w="683" w:type="dxa"/>
            <w:vMerge w:val="continue"/>
            <w:tcBorders>
              <w:left w:val="single" w:color="auto" w:sz="6" w:space="0"/>
            </w:tcBorders>
            <w:noWrap w:val="0"/>
            <w:vAlign w:val="center"/>
          </w:tcPr>
          <w:p w14:paraId="6F1B002E">
            <w:pPr>
              <w:jc w:val="center"/>
              <w:rPr>
                <w:rFonts w:hint="eastAsia"/>
                <w:szCs w:val="21"/>
              </w:rPr>
            </w:pPr>
          </w:p>
        </w:tc>
        <w:tc>
          <w:tcPr>
            <w:tcW w:w="426" w:type="dxa"/>
            <w:gridSpan w:val="2"/>
            <w:vMerge w:val="continue"/>
            <w:tcBorders>
              <w:left w:val="single" w:color="auto" w:sz="6" w:space="0"/>
            </w:tcBorders>
            <w:noWrap w:val="0"/>
            <w:vAlign w:val="center"/>
          </w:tcPr>
          <w:p w14:paraId="340FD841">
            <w:pPr>
              <w:jc w:val="center"/>
              <w:rPr>
                <w:rFonts w:hint="eastAsia"/>
                <w:szCs w:val="21"/>
              </w:rPr>
            </w:pPr>
          </w:p>
        </w:tc>
        <w:tc>
          <w:tcPr>
            <w:tcW w:w="426" w:type="dxa"/>
            <w:tcBorders>
              <w:left w:val="single" w:color="auto" w:sz="6" w:space="0"/>
            </w:tcBorders>
            <w:noWrap w:val="0"/>
            <w:vAlign w:val="center"/>
          </w:tcPr>
          <w:p w14:paraId="2C1AB9C7">
            <w:pPr>
              <w:jc w:val="center"/>
              <w:rPr>
                <w:rFonts w:hint="eastAsia"/>
                <w:szCs w:val="21"/>
              </w:rPr>
            </w:pPr>
            <w:r>
              <w:rPr>
                <w:rFonts w:hint="eastAsia"/>
                <w:szCs w:val="21"/>
              </w:rPr>
              <w:t>人工费</w:t>
            </w:r>
          </w:p>
        </w:tc>
        <w:tc>
          <w:tcPr>
            <w:tcW w:w="523" w:type="dxa"/>
            <w:gridSpan w:val="2"/>
            <w:tcBorders>
              <w:left w:val="single" w:color="auto" w:sz="6" w:space="0"/>
            </w:tcBorders>
            <w:noWrap w:val="0"/>
            <w:vAlign w:val="center"/>
          </w:tcPr>
          <w:p w14:paraId="309563A5">
            <w:pPr>
              <w:jc w:val="center"/>
              <w:rPr>
                <w:rFonts w:hint="eastAsia"/>
                <w:szCs w:val="21"/>
              </w:rPr>
            </w:pPr>
            <w:r>
              <w:rPr>
                <w:rFonts w:hint="eastAsia"/>
                <w:szCs w:val="21"/>
              </w:rPr>
              <w:t>材料费</w:t>
            </w:r>
          </w:p>
        </w:tc>
        <w:tc>
          <w:tcPr>
            <w:tcW w:w="522" w:type="dxa"/>
            <w:tcBorders>
              <w:right w:val="single" w:color="auto" w:sz="6" w:space="0"/>
            </w:tcBorders>
            <w:noWrap w:val="0"/>
            <w:vAlign w:val="center"/>
          </w:tcPr>
          <w:p w14:paraId="11E484E5">
            <w:pPr>
              <w:jc w:val="center"/>
              <w:rPr>
                <w:rFonts w:hint="eastAsia"/>
                <w:szCs w:val="21"/>
              </w:rPr>
            </w:pPr>
            <w:r>
              <w:rPr>
                <w:rFonts w:hint="eastAsia"/>
                <w:szCs w:val="21"/>
              </w:rPr>
              <w:t>机械费</w:t>
            </w:r>
          </w:p>
        </w:tc>
        <w:tc>
          <w:tcPr>
            <w:tcW w:w="625" w:type="dxa"/>
            <w:tcBorders>
              <w:right w:val="single" w:color="auto" w:sz="6" w:space="0"/>
            </w:tcBorders>
            <w:noWrap w:val="0"/>
            <w:vAlign w:val="center"/>
          </w:tcPr>
          <w:p w14:paraId="1156B0FC">
            <w:pPr>
              <w:jc w:val="center"/>
              <w:rPr>
                <w:rFonts w:hint="eastAsia"/>
                <w:szCs w:val="21"/>
              </w:rPr>
            </w:pPr>
            <w:r>
              <w:rPr>
                <w:rFonts w:hint="eastAsia"/>
                <w:szCs w:val="21"/>
              </w:rPr>
              <w:t>管理费和利润</w:t>
            </w:r>
          </w:p>
        </w:tc>
        <w:tc>
          <w:tcPr>
            <w:tcW w:w="943" w:type="dxa"/>
            <w:tcBorders>
              <w:left w:val="single" w:color="auto" w:sz="6" w:space="0"/>
            </w:tcBorders>
            <w:noWrap w:val="0"/>
            <w:vAlign w:val="center"/>
          </w:tcPr>
          <w:p w14:paraId="0DE2CA8E">
            <w:pPr>
              <w:jc w:val="center"/>
              <w:rPr>
                <w:rFonts w:hint="eastAsia"/>
                <w:szCs w:val="21"/>
              </w:rPr>
            </w:pPr>
            <w:r>
              <w:rPr>
                <w:rFonts w:hint="eastAsia"/>
                <w:szCs w:val="21"/>
              </w:rPr>
              <w:t>人工费</w:t>
            </w:r>
          </w:p>
        </w:tc>
        <w:tc>
          <w:tcPr>
            <w:tcW w:w="1351" w:type="dxa"/>
            <w:gridSpan w:val="4"/>
            <w:tcBorders>
              <w:left w:val="single" w:color="auto" w:sz="6" w:space="0"/>
            </w:tcBorders>
            <w:noWrap w:val="0"/>
            <w:vAlign w:val="center"/>
          </w:tcPr>
          <w:p w14:paraId="64F52A4A">
            <w:pPr>
              <w:jc w:val="center"/>
              <w:rPr>
                <w:rFonts w:hint="eastAsia"/>
                <w:szCs w:val="21"/>
              </w:rPr>
            </w:pPr>
            <w:r>
              <w:rPr>
                <w:rFonts w:hint="eastAsia"/>
                <w:szCs w:val="21"/>
              </w:rPr>
              <w:t>材料费</w:t>
            </w:r>
          </w:p>
        </w:tc>
        <w:tc>
          <w:tcPr>
            <w:tcW w:w="948" w:type="dxa"/>
            <w:gridSpan w:val="2"/>
            <w:tcBorders>
              <w:left w:val="single" w:color="auto" w:sz="6" w:space="0"/>
              <w:right w:val="single" w:color="auto" w:sz="6" w:space="0"/>
            </w:tcBorders>
            <w:noWrap w:val="0"/>
            <w:vAlign w:val="center"/>
          </w:tcPr>
          <w:p w14:paraId="0A2A6D20">
            <w:pPr>
              <w:jc w:val="center"/>
              <w:rPr>
                <w:rFonts w:hint="eastAsia"/>
                <w:szCs w:val="21"/>
              </w:rPr>
            </w:pPr>
            <w:r>
              <w:rPr>
                <w:rFonts w:hint="eastAsia"/>
                <w:szCs w:val="21"/>
              </w:rPr>
              <w:t>机械费</w:t>
            </w:r>
          </w:p>
        </w:tc>
        <w:tc>
          <w:tcPr>
            <w:tcW w:w="1110" w:type="dxa"/>
            <w:tcBorders>
              <w:left w:val="single" w:color="auto" w:sz="6" w:space="0"/>
            </w:tcBorders>
            <w:noWrap w:val="0"/>
            <w:vAlign w:val="center"/>
          </w:tcPr>
          <w:p w14:paraId="16A25104">
            <w:pPr>
              <w:jc w:val="center"/>
              <w:rPr>
                <w:rFonts w:hint="eastAsia"/>
                <w:szCs w:val="21"/>
              </w:rPr>
            </w:pPr>
            <w:r>
              <w:rPr>
                <w:rFonts w:hint="eastAsia"/>
                <w:szCs w:val="21"/>
              </w:rPr>
              <w:t>管理</w:t>
            </w:r>
          </w:p>
          <w:p w14:paraId="5891FE79">
            <w:pPr>
              <w:jc w:val="center"/>
              <w:rPr>
                <w:rFonts w:hint="eastAsia"/>
                <w:szCs w:val="21"/>
              </w:rPr>
            </w:pPr>
            <w:r>
              <w:rPr>
                <w:rFonts w:hint="eastAsia"/>
                <w:szCs w:val="21"/>
              </w:rPr>
              <w:t>费和</w:t>
            </w:r>
          </w:p>
          <w:p w14:paraId="67BE2BCB">
            <w:pPr>
              <w:jc w:val="center"/>
              <w:rPr>
                <w:rFonts w:hint="eastAsia"/>
                <w:szCs w:val="21"/>
              </w:rPr>
            </w:pPr>
            <w:r>
              <w:rPr>
                <w:rFonts w:hint="eastAsia"/>
                <w:szCs w:val="21"/>
              </w:rPr>
              <w:t>利润</w:t>
            </w:r>
          </w:p>
        </w:tc>
      </w:tr>
      <w:tr w14:paraId="211F57E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0" w:type="dxa"/>
            <w:noWrap w:val="0"/>
            <w:vAlign w:val="center"/>
          </w:tcPr>
          <w:p w14:paraId="7152612E">
            <w:pPr>
              <w:jc w:val="center"/>
              <w:rPr>
                <w:rFonts w:hint="eastAsia" w:ascii="黑体" w:eastAsia="黑体"/>
                <w:szCs w:val="21"/>
              </w:rPr>
            </w:pPr>
          </w:p>
        </w:tc>
        <w:tc>
          <w:tcPr>
            <w:tcW w:w="683" w:type="dxa"/>
            <w:gridSpan w:val="2"/>
            <w:tcBorders>
              <w:right w:val="single" w:color="auto" w:sz="6" w:space="0"/>
            </w:tcBorders>
            <w:noWrap w:val="0"/>
            <w:vAlign w:val="center"/>
          </w:tcPr>
          <w:p w14:paraId="4E5C4E7E">
            <w:pPr>
              <w:jc w:val="center"/>
              <w:rPr>
                <w:rFonts w:hint="eastAsia"/>
                <w:szCs w:val="21"/>
              </w:rPr>
            </w:pPr>
          </w:p>
        </w:tc>
        <w:tc>
          <w:tcPr>
            <w:tcW w:w="683" w:type="dxa"/>
            <w:tcBorders>
              <w:left w:val="single" w:color="auto" w:sz="6" w:space="0"/>
            </w:tcBorders>
            <w:noWrap w:val="0"/>
            <w:vAlign w:val="center"/>
          </w:tcPr>
          <w:p w14:paraId="4D2F53AE">
            <w:pPr>
              <w:jc w:val="center"/>
              <w:rPr>
                <w:rFonts w:hint="eastAsia"/>
                <w:szCs w:val="21"/>
              </w:rPr>
            </w:pPr>
          </w:p>
        </w:tc>
        <w:tc>
          <w:tcPr>
            <w:tcW w:w="426" w:type="dxa"/>
            <w:gridSpan w:val="2"/>
            <w:tcBorders>
              <w:left w:val="single" w:color="auto" w:sz="6" w:space="0"/>
            </w:tcBorders>
            <w:noWrap w:val="0"/>
            <w:vAlign w:val="center"/>
          </w:tcPr>
          <w:p w14:paraId="4186E9B4">
            <w:pPr>
              <w:jc w:val="center"/>
              <w:rPr>
                <w:rFonts w:hint="eastAsia"/>
                <w:szCs w:val="21"/>
              </w:rPr>
            </w:pPr>
          </w:p>
        </w:tc>
        <w:tc>
          <w:tcPr>
            <w:tcW w:w="426" w:type="dxa"/>
            <w:tcBorders>
              <w:left w:val="single" w:color="auto" w:sz="6" w:space="0"/>
            </w:tcBorders>
            <w:noWrap w:val="0"/>
            <w:vAlign w:val="center"/>
          </w:tcPr>
          <w:p w14:paraId="1CD8CE91">
            <w:pPr>
              <w:jc w:val="center"/>
              <w:rPr>
                <w:rFonts w:hint="eastAsia"/>
                <w:szCs w:val="21"/>
              </w:rPr>
            </w:pPr>
          </w:p>
        </w:tc>
        <w:tc>
          <w:tcPr>
            <w:tcW w:w="523" w:type="dxa"/>
            <w:gridSpan w:val="2"/>
            <w:tcBorders>
              <w:left w:val="single" w:color="auto" w:sz="6" w:space="0"/>
            </w:tcBorders>
            <w:noWrap w:val="0"/>
            <w:vAlign w:val="center"/>
          </w:tcPr>
          <w:p w14:paraId="3ED818FD">
            <w:pPr>
              <w:jc w:val="center"/>
              <w:rPr>
                <w:rFonts w:hint="eastAsia"/>
                <w:szCs w:val="21"/>
              </w:rPr>
            </w:pPr>
          </w:p>
        </w:tc>
        <w:tc>
          <w:tcPr>
            <w:tcW w:w="522" w:type="dxa"/>
            <w:tcBorders>
              <w:right w:val="single" w:color="auto" w:sz="6" w:space="0"/>
            </w:tcBorders>
            <w:noWrap w:val="0"/>
            <w:vAlign w:val="center"/>
          </w:tcPr>
          <w:p w14:paraId="5C3125D5">
            <w:pPr>
              <w:jc w:val="center"/>
              <w:rPr>
                <w:rFonts w:hint="eastAsia"/>
                <w:szCs w:val="21"/>
              </w:rPr>
            </w:pPr>
          </w:p>
        </w:tc>
        <w:tc>
          <w:tcPr>
            <w:tcW w:w="625" w:type="dxa"/>
            <w:tcBorders>
              <w:right w:val="single" w:color="auto" w:sz="6" w:space="0"/>
            </w:tcBorders>
            <w:noWrap w:val="0"/>
            <w:vAlign w:val="center"/>
          </w:tcPr>
          <w:p w14:paraId="5C802DA8">
            <w:pPr>
              <w:jc w:val="center"/>
              <w:rPr>
                <w:rFonts w:hint="eastAsia"/>
                <w:szCs w:val="21"/>
              </w:rPr>
            </w:pPr>
          </w:p>
        </w:tc>
        <w:tc>
          <w:tcPr>
            <w:tcW w:w="943" w:type="dxa"/>
            <w:tcBorders>
              <w:left w:val="single" w:color="auto" w:sz="6" w:space="0"/>
            </w:tcBorders>
            <w:noWrap w:val="0"/>
            <w:vAlign w:val="center"/>
          </w:tcPr>
          <w:p w14:paraId="6FDE22D6">
            <w:pPr>
              <w:jc w:val="center"/>
              <w:rPr>
                <w:rFonts w:hint="eastAsia"/>
                <w:szCs w:val="21"/>
              </w:rPr>
            </w:pPr>
          </w:p>
        </w:tc>
        <w:tc>
          <w:tcPr>
            <w:tcW w:w="1351" w:type="dxa"/>
            <w:gridSpan w:val="4"/>
            <w:tcBorders>
              <w:left w:val="single" w:color="auto" w:sz="6" w:space="0"/>
            </w:tcBorders>
            <w:noWrap w:val="0"/>
            <w:vAlign w:val="center"/>
          </w:tcPr>
          <w:p w14:paraId="4EF05CDB">
            <w:pPr>
              <w:jc w:val="center"/>
              <w:rPr>
                <w:rFonts w:hint="eastAsia"/>
                <w:szCs w:val="21"/>
              </w:rPr>
            </w:pPr>
          </w:p>
        </w:tc>
        <w:tc>
          <w:tcPr>
            <w:tcW w:w="948" w:type="dxa"/>
            <w:gridSpan w:val="2"/>
            <w:tcBorders>
              <w:left w:val="single" w:color="auto" w:sz="6" w:space="0"/>
              <w:right w:val="single" w:color="auto" w:sz="6" w:space="0"/>
            </w:tcBorders>
            <w:noWrap w:val="0"/>
            <w:vAlign w:val="center"/>
          </w:tcPr>
          <w:p w14:paraId="0885BCE2">
            <w:pPr>
              <w:jc w:val="center"/>
              <w:rPr>
                <w:rFonts w:hint="eastAsia"/>
                <w:szCs w:val="21"/>
              </w:rPr>
            </w:pPr>
          </w:p>
        </w:tc>
        <w:tc>
          <w:tcPr>
            <w:tcW w:w="1110" w:type="dxa"/>
            <w:tcBorders>
              <w:left w:val="single" w:color="auto" w:sz="6" w:space="0"/>
            </w:tcBorders>
            <w:noWrap w:val="0"/>
            <w:vAlign w:val="center"/>
          </w:tcPr>
          <w:p w14:paraId="6899C801">
            <w:pPr>
              <w:jc w:val="center"/>
              <w:rPr>
                <w:rFonts w:hint="eastAsia"/>
                <w:szCs w:val="21"/>
              </w:rPr>
            </w:pPr>
          </w:p>
        </w:tc>
      </w:tr>
      <w:tr w14:paraId="3C8B12E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noWrap w:val="0"/>
            <w:vAlign w:val="center"/>
          </w:tcPr>
          <w:p w14:paraId="4F864A02">
            <w:pPr>
              <w:jc w:val="center"/>
              <w:rPr>
                <w:rFonts w:hint="eastAsia" w:ascii="黑体" w:eastAsia="黑体"/>
                <w:szCs w:val="21"/>
              </w:rPr>
            </w:pPr>
          </w:p>
        </w:tc>
        <w:tc>
          <w:tcPr>
            <w:tcW w:w="683" w:type="dxa"/>
            <w:gridSpan w:val="2"/>
            <w:tcBorders>
              <w:right w:val="single" w:color="auto" w:sz="6" w:space="0"/>
            </w:tcBorders>
            <w:noWrap w:val="0"/>
            <w:vAlign w:val="center"/>
          </w:tcPr>
          <w:p w14:paraId="66F90F73">
            <w:pPr>
              <w:jc w:val="center"/>
              <w:rPr>
                <w:rFonts w:hint="eastAsia"/>
                <w:szCs w:val="21"/>
              </w:rPr>
            </w:pPr>
          </w:p>
        </w:tc>
        <w:tc>
          <w:tcPr>
            <w:tcW w:w="683" w:type="dxa"/>
            <w:tcBorders>
              <w:left w:val="single" w:color="auto" w:sz="6" w:space="0"/>
            </w:tcBorders>
            <w:noWrap w:val="0"/>
            <w:vAlign w:val="center"/>
          </w:tcPr>
          <w:p w14:paraId="5C9F96FE">
            <w:pPr>
              <w:jc w:val="center"/>
              <w:rPr>
                <w:rFonts w:hint="eastAsia"/>
                <w:szCs w:val="21"/>
              </w:rPr>
            </w:pPr>
          </w:p>
        </w:tc>
        <w:tc>
          <w:tcPr>
            <w:tcW w:w="426" w:type="dxa"/>
            <w:gridSpan w:val="2"/>
            <w:tcBorders>
              <w:left w:val="single" w:color="auto" w:sz="6" w:space="0"/>
            </w:tcBorders>
            <w:noWrap w:val="0"/>
            <w:vAlign w:val="center"/>
          </w:tcPr>
          <w:p w14:paraId="5BD82321">
            <w:pPr>
              <w:jc w:val="center"/>
              <w:rPr>
                <w:rFonts w:hint="eastAsia"/>
                <w:szCs w:val="21"/>
              </w:rPr>
            </w:pPr>
          </w:p>
        </w:tc>
        <w:tc>
          <w:tcPr>
            <w:tcW w:w="426" w:type="dxa"/>
            <w:tcBorders>
              <w:left w:val="single" w:color="auto" w:sz="6" w:space="0"/>
            </w:tcBorders>
            <w:noWrap w:val="0"/>
            <w:vAlign w:val="center"/>
          </w:tcPr>
          <w:p w14:paraId="0903F338">
            <w:pPr>
              <w:jc w:val="center"/>
              <w:rPr>
                <w:rFonts w:hint="eastAsia"/>
                <w:szCs w:val="21"/>
              </w:rPr>
            </w:pPr>
          </w:p>
        </w:tc>
        <w:tc>
          <w:tcPr>
            <w:tcW w:w="523" w:type="dxa"/>
            <w:gridSpan w:val="2"/>
            <w:tcBorders>
              <w:left w:val="single" w:color="auto" w:sz="6" w:space="0"/>
            </w:tcBorders>
            <w:noWrap w:val="0"/>
            <w:vAlign w:val="center"/>
          </w:tcPr>
          <w:p w14:paraId="4D84B764">
            <w:pPr>
              <w:jc w:val="center"/>
              <w:rPr>
                <w:rFonts w:hint="eastAsia"/>
                <w:szCs w:val="21"/>
              </w:rPr>
            </w:pPr>
          </w:p>
        </w:tc>
        <w:tc>
          <w:tcPr>
            <w:tcW w:w="522" w:type="dxa"/>
            <w:tcBorders>
              <w:right w:val="single" w:color="auto" w:sz="6" w:space="0"/>
            </w:tcBorders>
            <w:noWrap w:val="0"/>
            <w:vAlign w:val="center"/>
          </w:tcPr>
          <w:p w14:paraId="4E6C2BF0">
            <w:pPr>
              <w:jc w:val="center"/>
              <w:rPr>
                <w:rFonts w:hint="eastAsia"/>
                <w:szCs w:val="21"/>
              </w:rPr>
            </w:pPr>
          </w:p>
        </w:tc>
        <w:tc>
          <w:tcPr>
            <w:tcW w:w="625" w:type="dxa"/>
            <w:tcBorders>
              <w:right w:val="single" w:color="auto" w:sz="6" w:space="0"/>
            </w:tcBorders>
            <w:noWrap w:val="0"/>
            <w:vAlign w:val="center"/>
          </w:tcPr>
          <w:p w14:paraId="5FEE8EAD">
            <w:pPr>
              <w:jc w:val="center"/>
              <w:rPr>
                <w:rFonts w:hint="eastAsia"/>
                <w:szCs w:val="21"/>
              </w:rPr>
            </w:pPr>
          </w:p>
        </w:tc>
        <w:tc>
          <w:tcPr>
            <w:tcW w:w="943" w:type="dxa"/>
            <w:tcBorders>
              <w:left w:val="single" w:color="auto" w:sz="6" w:space="0"/>
            </w:tcBorders>
            <w:noWrap w:val="0"/>
            <w:vAlign w:val="center"/>
          </w:tcPr>
          <w:p w14:paraId="07378FE9">
            <w:pPr>
              <w:jc w:val="center"/>
              <w:rPr>
                <w:rFonts w:hint="eastAsia"/>
                <w:szCs w:val="21"/>
              </w:rPr>
            </w:pPr>
          </w:p>
        </w:tc>
        <w:tc>
          <w:tcPr>
            <w:tcW w:w="1351" w:type="dxa"/>
            <w:gridSpan w:val="4"/>
            <w:tcBorders>
              <w:left w:val="single" w:color="auto" w:sz="6" w:space="0"/>
            </w:tcBorders>
            <w:noWrap w:val="0"/>
            <w:vAlign w:val="center"/>
          </w:tcPr>
          <w:p w14:paraId="3EA78E12">
            <w:pPr>
              <w:jc w:val="center"/>
              <w:rPr>
                <w:rFonts w:hint="eastAsia"/>
                <w:szCs w:val="21"/>
              </w:rPr>
            </w:pPr>
          </w:p>
        </w:tc>
        <w:tc>
          <w:tcPr>
            <w:tcW w:w="948" w:type="dxa"/>
            <w:gridSpan w:val="2"/>
            <w:tcBorders>
              <w:left w:val="single" w:color="auto" w:sz="6" w:space="0"/>
              <w:right w:val="single" w:color="auto" w:sz="6" w:space="0"/>
            </w:tcBorders>
            <w:noWrap w:val="0"/>
            <w:vAlign w:val="center"/>
          </w:tcPr>
          <w:p w14:paraId="3315D7C2">
            <w:pPr>
              <w:jc w:val="center"/>
              <w:rPr>
                <w:rFonts w:hint="eastAsia"/>
                <w:szCs w:val="21"/>
              </w:rPr>
            </w:pPr>
          </w:p>
        </w:tc>
        <w:tc>
          <w:tcPr>
            <w:tcW w:w="1110" w:type="dxa"/>
            <w:tcBorders>
              <w:left w:val="single" w:color="auto" w:sz="6" w:space="0"/>
            </w:tcBorders>
            <w:noWrap w:val="0"/>
            <w:vAlign w:val="center"/>
          </w:tcPr>
          <w:p w14:paraId="1FE3096E">
            <w:pPr>
              <w:jc w:val="center"/>
              <w:rPr>
                <w:rFonts w:hint="eastAsia"/>
                <w:szCs w:val="21"/>
              </w:rPr>
            </w:pPr>
          </w:p>
        </w:tc>
      </w:tr>
      <w:tr w14:paraId="7D5EF2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noWrap w:val="0"/>
            <w:vAlign w:val="center"/>
          </w:tcPr>
          <w:p w14:paraId="75901927">
            <w:pPr>
              <w:jc w:val="center"/>
              <w:rPr>
                <w:rFonts w:hint="eastAsia" w:ascii="黑体" w:eastAsia="黑体"/>
                <w:szCs w:val="21"/>
              </w:rPr>
            </w:pPr>
          </w:p>
        </w:tc>
        <w:tc>
          <w:tcPr>
            <w:tcW w:w="683" w:type="dxa"/>
            <w:gridSpan w:val="2"/>
            <w:tcBorders>
              <w:right w:val="single" w:color="auto" w:sz="6" w:space="0"/>
            </w:tcBorders>
            <w:noWrap w:val="0"/>
            <w:vAlign w:val="center"/>
          </w:tcPr>
          <w:p w14:paraId="381B537D">
            <w:pPr>
              <w:jc w:val="center"/>
              <w:rPr>
                <w:rFonts w:hint="eastAsia"/>
                <w:szCs w:val="21"/>
              </w:rPr>
            </w:pPr>
          </w:p>
        </w:tc>
        <w:tc>
          <w:tcPr>
            <w:tcW w:w="683" w:type="dxa"/>
            <w:tcBorders>
              <w:left w:val="single" w:color="auto" w:sz="6" w:space="0"/>
            </w:tcBorders>
            <w:noWrap w:val="0"/>
            <w:vAlign w:val="center"/>
          </w:tcPr>
          <w:p w14:paraId="38C6EFE0">
            <w:pPr>
              <w:jc w:val="center"/>
              <w:rPr>
                <w:rFonts w:hint="eastAsia"/>
                <w:szCs w:val="21"/>
              </w:rPr>
            </w:pPr>
          </w:p>
        </w:tc>
        <w:tc>
          <w:tcPr>
            <w:tcW w:w="426" w:type="dxa"/>
            <w:gridSpan w:val="2"/>
            <w:tcBorders>
              <w:left w:val="single" w:color="auto" w:sz="6" w:space="0"/>
            </w:tcBorders>
            <w:noWrap w:val="0"/>
            <w:vAlign w:val="center"/>
          </w:tcPr>
          <w:p w14:paraId="37A80B7B">
            <w:pPr>
              <w:jc w:val="center"/>
              <w:rPr>
                <w:rFonts w:hint="eastAsia"/>
                <w:szCs w:val="21"/>
              </w:rPr>
            </w:pPr>
          </w:p>
        </w:tc>
        <w:tc>
          <w:tcPr>
            <w:tcW w:w="426" w:type="dxa"/>
            <w:tcBorders>
              <w:left w:val="single" w:color="auto" w:sz="6" w:space="0"/>
            </w:tcBorders>
            <w:noWrap w:val="0"/>
            <w:vAlign w:val="center"/>
          </w:tcPr>
          <w:p w14:paraId="0A9A65F8">
            <w:pPr>
              <w:jc w:val="center"/>
              <w:rPr>
                <w:rFonts w:hint="eastAsia"/>
                <w:szCs w:val="21"/>
              </w:rPr>
            </w:pPr>
          </w:p>
        </w:tc>
        <w:tc>
          <w:tcPr>
            <w:tcW w:w="523" w:type="dxa"/>
            <w:gridSpan w:val="2"/>
            <w:tcBorders>
              <w:left w:val="single" w:color="auto" w:sz="6" w:space="0"/>
            </w:tcBorders>
            <w:noWrap w:val="0"/>
            <w:vAlign w:val="center"/>
          </w:tcPr>
          <w:p w14:paraId="4D0A9A65">
            <w:pPr>
              <w:jc w:val="center"/>
              <w:rPr>
                <w:rFonts w:hint="eastAsia"/>
                <w:szCs w:val="21"/>
              </w:rPr>
            </w:pPr>
          </w:p>
        </w:tc>
        <w:tc>
          <w:tcPr>
            <w:tcW w:w="522" w:type="dxa"/>
            <w:tcBorders>
              <w:right w:val="single" w:color="auto" w:sz="6" w:space="0"/>
            </w:tcBorders>
            <w:noWrap w:val="0"/>
            <w:vAlign w:val="center"/>
          </w:tcPr>
          <w:p w14:paraId="3C85CFC8">
            <w:pPr>
              <w:jc w:val="center"/>
              <w:rPr>
                <w:rFonts w:hint="eastAsia"/>
                <w:szCs w:val="21"/>
              </w:rPr>
            </w:pPr>
          </w:p>
        </w:tc>
        <w:tc>
          <w:tcPr>
            <w:tcW w:w="625" w:type="dxa"/>
            <w:tcBorders>
              <w:right w:val="single" w:color="auto" w:sz="6" w:space="0"/>
            </w:tcBorders>
            <w:noWrap w:val="0"/>
            <w:vAlign w:val="center"/>
          </w:tcPr>
          <w:p w14:paraId="70EAE035">
            <w:pPr>
              <w:jc w:val="center"/>
              <w:rPr>
                <w:rFonts w:hint="eastAsia"/>
                <w:szCs w:val="21"/>
              </w:rPr>
            </w:pPr>
          </w:p>
        </w:tc>
        <w:tc>
          <w:tcPr>
            <w:tcW w:w="943" w:type="dxa"/>
            <w:tcBorders>
              <w:left w:val="single" w:color="auto" w:sz="6" w:space="0"/>
            </w:tcBorders>
            <w:noWrap w:val="0"/>
            <w:vAlign w:val="center"/>
          </w:tcPr>
          <w:p w14:paraId="10D56413">
            <w:pPr>
              <w:jc w:val="center"/>
              <w:rPr>
                <w:rFonts w:hint="eastAsia"/>
                <w:szCs w:val="21"/>
              </w:rPr>
            </w:pPr>
          </w:p>
        </w:tc>
        <w:tc>
          <w:tcPr>
            <w:tcW w:w="1351" w:type="dxa"/>
            <w:gridSpan w:val="4"/>
            <w:tcBorders>
              <w:left w:val="single" w:color="auto" w:sz="6" w:space="0"/>
            </w:tcBorders>
            <w:noWrap w:val="0"/>
            <w:vAlign w:val="center"/>
          </w:tcPr>
          <w:p w14:paraId="50FB69A1">
            <w:pPr>
              <w:jc w:val="center"/>
              <w:rPr>
                <w:rFonts w:hint="eastAsia"/>
                <w:szCs w:val="21"/>
              </w:rPr>
            </w:pPr>
          </w:p>
        </w:tc>
        <w:tc>
          <w:tcPr>
            <w:tcW w:w="948" w:type="dxa"/>
            <w:gridSpan w:val="2"/>
            <w:tcBorders>
              <w:left w:val="single" w:color="auto" w:sz="6" w:space="0"/>
              <w:right w:val="single" w:color="auto" w:sz="6" w:space="0"/>
            </w:tcBorders>
            <w:noWrap w:val="0"/>
            <w:vAlign w:val="center"/>
          </w:tcPr>
          <w:p w14:paraId="70F6015C">
            <w:pPr>
              <w:jc w:val="center"/>
              <w:rPr>
                <w:rFonts w:hint="eastAsia"/>
                <w:szCs w:val="21"/>
              </w:rPr>
            </w:pPr>
          </w:p>
        </w:tc>
        <w:tc>
          <w:tcPr>
            <w:tcW w:w="1110" w:type="dxa"/>
            <w:tcBorders>
              <w:left w:val="single" w:color="auto" w:sz="6" w:space="0"/>
            </w:tcBorders>
            <w:noWrap w:val="0"/>
            <w:vAlign w:val="center"/>
          </w:tcPr>
          <w:p w14:paraId="1B93EA50">
            <w:pPr>
              <w:jc w:val="center"/>
              <w:rPr>
                <w:rFonts w:hint="eastAsia"/>
                <w:szCs w:val="21"/>
              </w:rPr>
            </w:pPr>
          </w:p>
        </w:tc>
      </w:tr>
      <w:tr w14:paraId="15BA565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noWrap w:val="0"/>
            <w:vAlign w:val="center"/>
          </w:tcPr>
          <w:p w14:paraId="36E40178">
            <w:pPr>
              <w:jc w:val="center"/>
              <w:rPr>
                <w:rFonts w:hint="eastAsia" w:ascii="黑体" w:eastAsia="黑体"/>
                <w:szCs w:val="21"/>
              </w:rPr>
            </w:pPr>
          </w:p>
        </w:tc>
        <w:tc>
          <w:tcPr>
            <w:tcW w:w="683" w:type="dxa"/>
            <w:gridSpan w:val="2"/>
            <w:tcBorders>
              <w:right w:val="single" w:color="auto" w:sz="6" w:space="0"/>
            </w:tcBorders>
            <w:noWrap w:val="0"/>
            <w:vAlign w:val="center"/>
          </w:tcPr>
          <w:p w14:paraId="7E75D3A7">
            <w:pPr>
              <w:jc w:val="center"/>
              <w:rPr>
                <w:rFonts w:hint="eastAsia"/>
                <w:szCs w:val="21"/>
              </w:rPr>
            </w:pPr>
          </w:p>
        </w:tc>
        <w:tc>
          <w:tcPr>
            <w:tcW w:w="683" w:type="dxa"/>
            <w:tcBorders>
              <w:left w:val="single" w:color="auto" w:sz="6" w:space="0"/>
            </w:tcBorders>
            <w:noWrap w:val="0"/>
            <w:vAlign w:val="center"/>
          </w:tcPr>
          <w:p w14:paraId="31456329">
            <w:pPr>
              <w:jc w:val="center"/>
              <w:rPr>
                <w:rFonts w:hint="eastAsia"/>
                <w:szCs w:val="21"/>
              </w:rPr>
            </w:pPr>
          </w:p>
        </w:tc>
        <w:tc>
          <w:tcPr>
            <w:tcW w:w="426" w:type="dxa"/>
            <w:gridSpan w:val="2"/>
            <w:tcBorders>
              <w:left w:val="single" w:color="auto" w:sz="6" w:space="0"/>
            </w:tcBorders>
            <w:noWrap w:val="0"/>
            <w:vAlign w:val="center"/>
          </w:tcPr>
          <w:p w14:paraId="26D9C0E5">
            <w:pPr>
              <w:jc w:val="center"/>
              <w:rPr>
                <w:rFonts w:hint="eastAsia"/>
                <w:szCs w:val="21"/>
              </w:rPr>
            </w:pPr>
          </w:p>
        </w:tc>
        <w:tc>
          <w:tcPr>
            <w:tcW w:w="426" w:type="dxa"/>
            <w:tcBorders>
              <w:left w:val="single" w:color="auto" w:sz="6" w:space="0"/>
            </w:tcBorders>
            <w:noWrap w:val="0"/>
            <w:vAlign w:val="center"/>
          </w:tcPr>
          <w:p w14:paraId="179F63C9">
            <w:pPr>
              <w:jc w:val="center"/>
              <w:rPr>
                <w:rFonts w:hint="eastAsia"/>
                <w:szCs w:val="21"/>
              </w:rPr>
            </w:pPr>
          </w:p>
        </w:tc>
        <w:tc>
          <w:tcPr>
            <w:tcW w:w="523" w:type="dxa"/>
            <w:gridSpan w:val="2"/>
            <w:tcBorders>
              <w:left w:val="single" w:color="auto" w:sz="6" w:space="0"/>
            </w:tcBorders>
            <w:noWrap w:val="0"/>
            <w:vAlign w:val="center"/>
          </w:tcPr>
          <w:p w14:paraId="12624337">
            <w:pPr>
              <w:jc w:val="center"/>
              <w:rPr>
                <w:rFonts w:hint="eastAsia"/>
                <w:szCs w:val="21"/>
              </w:rPr>
            </w:pPr>
          </w:p>
        </w:tc>
        <w:tc>
          <w:tcPr>
            <w:tcW w:w="522" w:type="dxa"/>
            <w:tcBorders>
              <w:right w:val="single" w:color="auto" w:sz="6" w:space="0"/>
            </w:tcBorders>
            <w:noWrap w:val="0"/>
            <w:vAlign w:val="center"/>
          </w:tcPr>
          <w:p w14:paraId="1D9B7053">
            <w:pPr>
              <w:jc w:val="center"/>
              <w:rPr>
                <w:rFonts w:hint="eastAsia"/>
                <w:szCs w:val="21"/>
              </w:rPr>
            </w:pPr>
          </w:p>
        </w:tc>
        <w:tc>
          <w:tcPr>
            <w:tcW w:w="625" w:type="dxa"/>
            <w:tcBorders>
              <w:right w:val="single" w:color="auto" w:sz="6" w:space="0"/>
            </w:tcBorders>
            <w:noWrap w:val="0"/>
            <w:vAlign w:val="center"/>
          </w:tcPr>
          <w:p w14:paraId="1BE8128F">
            <w:pPr>
              <w:jc w:val="center"/>
              <w:rPr>
                <w:rFonts w:hint="eastAsia"/>
                <w:szCs w:val="21"/>
              </w:rPr>
            </w:pPr>
          </w:p>
        </w:tc>
        <w:tc>
          <w:tcPr>
            <w:tcW w:w="943" w:type="dxa"/>
            <w:tcBorders>
              <w:left w:val="single" w:color="auto" w:sz="6" w:space="0"/>
            </w:tcBorders>
            <w:noWrap w:val="0"/>
            <w:vAlign w:val="center"/>
          </w:tcPr>
          <w:p w14:paraId="76CEEA51">
            <w:pPr>
              <w:jc w:val="center"/>
              <w:rPr>
                <w:rFonts w:hint="eastAsia"/>
                <w:szCs w:val="21"/>
              </w:rPr>
            </w:pPr>
          </w:p>
        </w:tc>
        <w:tc>
          <w:tcPr>
            <w:tcW w:w="1351" w:type="dxa"/>
            <w:gridSpan w:val="4"/>
            <w:tcBorders>
              <w:left w:val="single" w:color="auto" w:sz="6" w:space="0"/>
            </w:tcBorders>
            <w:noWrap w:val="0"/>
            <w:vAlign w:val="center"/>
          </w:tcPr>
          <w:p w14:paraId="523DCB5C">
            <w:pPr>
              <w:jc w:val="center"/>
              <w:rPr>
                <w:rFonts w:hint="eastAsia"/>
                <w:szCs w:val="21"/>
              </w:rPr>
            </w:pPr>
          </w:p>
        </w:tc>
        <w:tc>
          <w:tcPr>
            <w:tcW w:w="948" w:type="dxa"/>
            <w:gridSpan w:val="2"/>
            <w:tcBorders>
              <w:left w:val="single" w:color="auto" w:sz="6" w:space="0"/>
              <w:right w:val="single" w:color="auto" w:sz="6" w:space="0"/>
            </w:tcBorders>
            <w:noWrap w:val="0"/>
            <w:vAlign w:val="center"/>
          </w:tcPr>
          <w:p w14:paraId="46753860">
            <w:pPr>
              <w:jc w:val="center"/>
              <w:rPr>
                <w:rFonts w:hint="eastAsia"/>
                <w:szCs w:val="21"/>
              </w:rPr>
            </w:pPr>
          </w:p>
        </w:tc>
        <w:tc>
          <w:tcPr>
            <w:tcW w:w="1110" w:type="dxa"/>
            <w:tcBorders>
              <w:left w:val="single" w:color="auto" w:sz="6" w:space="0"/>
            </w:tcBorders>
            <w:noWrap w:val="0"/>
            <w:vAlign w:val="center"/>
          </w:tcPr>
          <w:p w14:paraId="5DB49D02">
            <w:pPr>
              <w:jc w:val="center"/>
              <w:rPr>
                <w:rFonts w:hint="eastAsia"/>
                <w:szCs w:val="21"/>
              </w:rPr>
            </w:pPr>
          </w:p>
        </w:tc>
      </w:tr>
      <w:tr w14:paraId="65E6F9D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383" w:type="dxa"/>
            <w:gridSpan w:val="3"/>
            <w:tcBorders>
              <w:right w:val="single" w:color="auto" w:sz="6" w:space="0"/>
            </w:tcBorders>
            <w:noWrap w:val="0"/>
            <w:vAlign w:val="center"/>
          </w:tcPr>
          <w:p w14:paraId="1A04AF8D">
            <w:pPr>
              <w:jc w:val="center"/>
              <w:rPr>
                <w:rFonts w:hint="eastAsia" w:ascii="宋体" w:hAnsi="宋体"/>
                <w:szCs w:val="21"/>
              </w:rPr>
            </w:pPr>
            <w:r>
              <w:rPr>
                <w:rFonts w:hint="eastAsia" w:ascii="宋体" w:hAnsi="宋体"/>
                <w:szCs w:val="21"/>
              </w:rPr>
              <w:t>人工单价</w:t>
            </w:r>
          </w:p>
        </w:tc>
        <w:tc>
          <w:tcPr>
            <w:tcW w:w="3205" w:type="dxa"/>
            <w:gridSpan w:val="8"/>
            <w:tcBorders>
              <w:left w:val="single" w:color="auto" w:sz="6" w:space="0"/>
              <w:right w:val="single" w:color="auto" w:sz="6" w:space="0"/>
            </w:tcBorders>
            <w:noWrap w:val="0"/>
            <w:vAlign w:val="center"/>
          </w:tcPr>
          <w:p w14:paraId="19EEA30D">
            <w:pPr>
              <w:jc w:val="center"/>
              <w:rPr>
                <w:rFonts w:hint="eastAsia"/>
                <w:szCs w:val="21"/>
              </w:rPr>
            </w:pPr>
            <w:r>
              <w:rPr>
                <w:rFonts w:hint="eastAsia"/>
                <w:szCs w:val="21"/>
              </w:rPr>
              <w:t>小计</w:t>
            </w:r>
          </w:p>
        </w:tc>
        <w:tc>
          <w:tcPr>
            <w:tcW w:w="943" w:type="dxa"/>
            <w:tcBorders>
              <w:left w:val="single" w:color="auto" w:sz="6" w:space="0"/>
            </w:tcBorders>
            <w:noWrap w:val="0"/>
            <w:vAlign w:val="center"/>
          </w:tcPr>
          <w:p w14:paraId="04EF0B4E">
            <w:pPr>
              <w:jc w:val="center"/>
              <w:rPr>
                <w:rFonts w:hint="eastAsia"/>
                <w:szCs w:val="21"/>
              </w:rPr>
            </w:pPr>
          </w:p>
        </w:tc>
        <w:tc>
          <w:tcPr>
            <w:tcW w:w="1351" w:type="dxa"/>
            <w:gridSpan w:val="4"/>
            <w:tcBorders>
              <w:left w:val="single" w:color="auto" w:sz="6" w:space="0"/>
            </w:tcBorders>
            <w:noWrap w:val="0"/>
            <w:vAlign w:val="center"/>
          </w:tcPr>
          <w:p w14:paraId="237A1BFB">
            <w:pPr>
              <w:jc w:val="center"/>
              <w:rPr>
                <w:rFonts w:hint="eastAsia"/>
                <w:szCs w:val="21"/>
              </w:rPr>
            </w:pPr>
          </w:p>
        </w:tc>
        <w:tc>
          <w:tcPr>
            <w:tcW w:w="948" w:type="dxa"/>
            <w:gridSpan w:val="2"/>
            <w:tcBorders>
              <w:left w:val="single" w:color="auto" w:sz="6" w:space="0"/>
            </w:tcBorders>
            <w:noWrap w:val="0"/>
            <w:vAlign w:val="center"/>
          </w:tcPr>
          <w:p w14:paraId="4826DB5E">
            <w:pPr>
              <w:jc w:val="center"/>
              <w:rPr>
                <w:rFonts w:hint="eastAsia"/>
                <w:szCs w:val="21"/>
              </w:rPr>
            </w:pPr>
          </w:p>
        </w:tc>
        <w:tc>
          <w:tcPr>
            <w:tcW w:w="1110" w:type="dxa"/>
            <w:tcBorders>
              <w:left w:val="single" w:color="auto" w:sz="6" w:space="0"/>
            </w:tcBorders>
            <w:noWrap w:val="0"/>
            <w:vAlign w:val="center"/>
          </w:tcPr>
          <w:p w14:paraId="5566852E">
            <w:pPr>
              <w:jc w:val="center"/>
              <w:rPr>
                <w:rFonts w:hint="eastAsia"/>
                <w:szCs w:val="21"/>
              </w:rPr>
            </w:pPr>
          </w:p>
        </w:tc>
      </w:tr>
      <w:tr w14:paraId="4C9C6B2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383" w:type="dxa"/>
            <w:gridSpan w:val="3"/>
            <w:tcBorders>
              <w:right w:val="single" w:color="auto" w:sz="6" w:space="0"/>
            </w:tcBorders>
            <w:noWrap w:val="0"/>
            <w:vAlign w:val="center"/>
          </w:tcPr>
          <w:p w14:paraId="05C26780">
            <w:pPr>
              <w:jc w:val="center"/>
              <w:rPr>
                <w:rFonts w:hint="eastAsia"/>
                <w:szCs w:val="21"/>
              </w:rPr>
            </w:pPr>
            <w:r>
              <w:rPr>
                <w:rFonts w:hint="eastAsia"/>
                <w:szCs w:val="21"/>
              </w:rPr>
              <w:t xml:space="preserve">    元/工日</w:t>
            </w:r>
          </w:p>
        </w:tc>
        <w:tc>
          <w:tcPr>
            <w:tcW w:w="3205" w:type="dxa"/>
            <w:gridSpan w:val="8"/>
            <w:tcBorders>
              <w:left w:val="single" w:color="auto" w:sz="6" w:space="0"/>
              <w:right w:val="single" w:color="auto" w:sz="6" w:space="0"/>
            </w:tcBorders>
            <w:noWrap w:val="0"/>
            <w:vAlign w:val="center"/>
          </w:tcPr>
          <w:p w14:paraId="7368CEC5">
            <w:pPr>
              <w:jc w:val="center"/>
              <w:rPr>
                <w:rFonts w:hint="eastAsia"/>
                <w:szCs w:val="21"/>
              </w:rPr>
            </w:pPr>
            <w:r>
              <w:rPr>
                <w:rFonts w:hint="eastAsia"/>
                <w:szCs w:val="21"/>
              </w:rPr>
              <w:t>未计价材料费</w:t>
            </w:r>
          </w:p>
        </w:tc>
        <w:tc>
          <w:tcPr>
            <w:tcW w:w="4352" w:type="dxa"/>
            <w:gridSpan w:val="8"/>
            <w:tcBorders>
              <w:left w:val="single" w:color="auto" w:sz="6" w:space="0"/>
            </w:tcBorders>
            <w:noWrap w:val="0"/>
            <w:vAlign w:val="center"/>
          </w:tcPr>
          <w:p w14:paraId="49F00DC5">
            <w:pPr>
              <w:jc w:val="center"/>
              <w:rPr>
                <w:rFonts w:hint="eastAsia"/>
                <w:szCs w:val="21"/>
              </w:rPr>
            </w:pPr>
          </w:p>
        </w:tc>
      </w:tr>
      <w:tr w14:paraId="0303A9C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588" w:type="dxa"/>
            <w:gridSpan w:val="11"/>
            <w:tcBorders>
              <w:right w:val="single" w:color="auto" w:sz="6" w:space="0"/>
            </w:tcBorders>
            <w:noWrap w:val="0"/>
            <w:vAlign w:val="center"/>
          </w:tcPr>
          <w:p w14:paraId="1A0EFA0B">
            <w:pPr>
              <w:jc w:val="center"/>
              <w:rPr>
                <w:rFonts w:hint="eastAsia"/>
                <w:szCs w:val="21"/>
              </w:rPr>
            </w:pPr>
            <w:r>
              <w:rPr>
                <w:rFonts w:hint="eastAsia"/>
                <w:szCs w:val="21"/>
              </w:rPr>
              <w:t>清单项目综合单价</w:t>
            </w:r>
          </w:p>
        </w:tc>
        <w:tc>
          <w:tcPr>
            <w:tcW w:w="4352" w:type="dxa"/>
            <w:gridSpan w:val="8"/>
            <w:tcBorders>
              <w:left w:val="single" w:color="auto" w:sz="6" w:space="0"/>
            </w:tcBorders>
            <w:noWrap w:val="0"/>
            <w:vAlign w:val="center"/>
          </w:tcPr>
          <w:p w14:paraId="5C7E4929">
            <w:pPr>
              <w:jc w:val="center"/>
              <w:rPr>
                <w:rFonts w:hint="eastAsia"/>
                <w:szCs w:val="21"/>
              </w:rPr>
            </w:pPr>
          </w:p>
        </w:tc>
      </w:tr>
      <w:tr w14:paraId="0F68D5B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0" w:type="dxa"/>
            <w:vMerge w:val="restart"/>
            <w:noWrap w:val="0"/>
            <w:vAlign w:val="center"/>
          </w:tcPr>
          <w:p w14:paraId="24718879">
            <w:pPr>
              <w:jc w:val="center"/>
              <w:rPr>
                <w:rFonts w:hint="eastAsia" w:ascii="宋体" w:hAnsi="宋体"/>
                <w:szCs w:val="21"/>
              </w:rPr>
            </w:pPr>
            <w:r>
              <w:rPr>
                <w:rFonts w:hint="eastAsia" w:ascii="宋体" w:hAnsi="宋体"/>
                <w:szCs w:val="21"/>
              </w:rPr>
              <w:t>材</w:t>
            </w:r>
          </w:p>
          <w:p w14:paraId="7399D7F5">
            <w:pPr>
              <w:jc w:val="center"/>
              <w:rPr>
                <w:rFonts w:hint="eastAsia" w:ascii="宋体" w:hAnsi="宋体"/>
                <w:szCs w:val="21"/>
              </w:rPr>
            </w:pPr>
            <w:r>
              <w:rPr>
                <w:rFonts w:hint="eastAsia" w:ascii="宋体" w:hAnsi="宋体"/>
                <w:szCs w:val="21"/>
              </w:rPr>
              <w:t>料</w:t>
            </w:r>
          </w:p>
          <w:p w14:paraId="342530C3">
            <w:pPr>
              <w:jc w:val="center"/>
              <w:rPr>
                <w:rFonts w:hint="eastAsia" w:ascii="宋体" w:hAnsi="宋体"/>
                <w:szCs w:val="21"/>
              </w:rPr>
            </w:pPr>
            <w:r>
              <w:rPr>
                <w:rFonts w:hint="eastAsia" w:ascii="宋体" w:hAnsi="宋体"/>
                <w:szCs w:val="21"/>
              </w:rPr>
              <w:t>费</w:t>
            </w:r>
          </w:p>
          <w:p w14:paraId="24D7686D">
            <w:pPr>
              <w:jc w:val="center"/>
              <w:rPr>
                <w:rFonts w:hint="eastAsia" w:ascii="宋体" w:hAnsi="宋体"/>
                <w:szCs w:val="21"/>
              </w:rPr>
            </w:pPr>
            <w:r>
              <w:rPr>
                <w:rFonts w:hint="eastAsia" w:ascii="宋体" w:hAnsi="宋体"/>
                <w:szCs w:val="21"/>
              </w:rPr>
              <w:t>明</w:t>
            </w:r>
          </w:p>
          <w:p w14:paraId="751E5516">
            <w:pPr>
              <w:jc w:val="center"/>
              <w:rPr>
                <w:rFonts w:hint="eastAsia" w:ascii="黑体" w:eastAsia="黑体"/>
                <w:szCs w:val="21"/>
              </w:rPr>
            </w:pPr>
            <w:r>
              <w:rPr>
                <w:rFonts w:hint="eastAsia" w:ascii="宋体" w:hAnsi="宋体"/>
                <w:szCs w:val="21"/>
              </w:rPr>
              <w:t>细</w:t>
            </w:r>
          </w:p>
        </w:tc>
        <w:tc>
          <w:tcPr>
            <w:tcW w:w="2218" w:type="dxa"/>
            <w:gridSpan w:val="6"/>
            <w:noWrap w:val="0"/>
            <w:vAlign w:val="center"/>
          </w:tcPr>
          <w:p w14:paraId="4371D5A1">
            <w:pPr>
              <w:jc w:val="center"/>
              <w:rPr>
                <w:rFonts w:hint="eastAsia"/>
                <w:szCs w:val="21"/>
              </w:rPr>
            </w:pPr>
            <w:r>
              <w:rPr>
                <w:rFonts w:hint="eastAsia"/>
                <w:szCs w:val="21"/>
              </w:rPr>
              <w:t>主要材料名称、规格、型号</w:t>
            </w:r>
          </w:p>
        </w:tc>
        <w:tc>
          <w:tcPr>
            <w:tcW w:w="523" w:type="dxa"/>
            <w:gridSpan w:val="2"/>
            <w:tcBorders>
              <w:left w:val="single" w:color="auto" w:sz="6" w:space="0"/>
            </w:tcBorders>
            <w:noWrap w:val="0"/>
            <w:vAlign w:val="center"/>
          </w:tcPr>
          <w:p w14:paraId="6A3F300A">
            <w:pPr>
              <w:jc w:val="center"/>
              <w:rPr>
                <w:rFonts w:hint="eastAsia"/>
                <w:szCs w:val="21"/>
              </w:rPr>
            </w:pPr>
            <w:r>
              <w:rPr>
                <w:rFonts w:hint="eastAsia"/>
                <w:szCs w:val="21"/>
              </w:rPr>
              <w:t>单位</w:t>
            </w:r>
          </w:p>
        </w:tc>
        <w:tc>
          <w:tcPr>
            <w:tcW w:w="1147" w:type="dxa"/>
            <w:gridSpan w:val="2"/>
            <w:tcBorders>
              <w:right w:val="single" w:color="auto" w:sz="6" w:space="0"/>
            </w:tcBorders>
            <w:noWrap w:val="0"/>
            <w:vAlign w:val="center"/>
          </w:tcPr>
          <w:p w14:paraId="1C5CE208">
            <w:pPr>
              <w:jc w:val="center"/>
              <w:rPr>
                <w:rFonts w:hint="eastAsia"/>
                <w:szCs w:val="21"/>
              </w:rPr>
            </w:pPr>
            <w:r>
              <w:rPr>
                <w:rFonts w:hint="eastAsia"/>
                <w:szCs w:val="21"/>
              </w:rPr>
              <w:t>数量</w:t>
            </w:r>
          </w:p>
        </w:tc>
        <w:tc>
          <w:tcPr>
            <w:tcW w:w="943" w:type="dxa"/>
            <w:tcBorders>
              <w:left w:val="single" w:color="auto" w:sz="6" w:space="0"/>
            </w:tcBorders>
            <w:noWrap w:val="0"/>
            <w:vAlign w:val="center"/>
          </w:tcPr>
          <w:p w14:paraId="4C1A0087">
            <w:pPr>
              <w:jc w:val="center"/>
              <w:rPr>
                <w:rFonts w:hint="eastAsia"/>
                <w:szCs w:val="21"/>
              </w:rPr>
            </w:pPr>
            <w:r>
              <w:rPr>
                <w:rFonts w:hint="eastAsia"/>
                <w:szCs w:val="21"/>
              </w:rPr>
              <w:t>单价（元）</w:t>
            </w:r>
          </w:p>
        </w:tc>
        <w:tc>
          <w:tcPr>
            <w:tcW w:w="1009" w:type="dxa"/>
            <w:gridSpan w:val="3"/>
            <w:tcBorders>
              <w:left w:val="single" w:color="auto" w:sz="6" w:space="0"/>
            </w:tcBorders>
            <w:noWrap w:val="0"/>
            <w:vAlign w:val="center"/>
          </w:tcPr>
          <w:p w14:paraId="4A013AB2">
            <w:pPr>
              <w:jc w:val="center"/>
              <w:rPr>
                <w:rFonts w:hint="eastAsia"/>
                <w:szCs w:val="21"/>
              </w:rPr>
            </w:pPr>
            <w:r>
              <w:rPr>
                <w:rFonts w:hint="eastAsia"/>
                <w:szCs w:val="21"/>
              </w:rPr>
              <w:t>合价（元）</w:t>
            </w:r>
          </w:p>
        </w:tc>
        <w:tc>
          <w:tcPr>
            <w:tcW w:w="1290" w:type="dxa"/>
            <w:gridSpan w:val="3"/>
            <w:tcBorders>
              <w:right w:val="single" w:color="auto" w:sz="6" w:space="0"/>
            </w:tcBorders>
            <w:noWrap w:val="0"/>
            <w:vAlign w:val="center"/>
          </w:tcPr>
          <w:p w14:paraId="319C95E8">
            <w:pPr>
              <w:jc w:val="center"/>
              <w:rPr>
                <w:rFonts w:hint="eastAsia"/>
                <w:szCs w:val="21"/>
              </w:rPr>
            </w:pPr>
            <w:r>
              <w:rPr>
                <w:rFonts w:hint="eastAsia"/>
                <w:szCs w:val="21"/>
              </w:rPr>
              <w:t>暂估单价（元）</w:t>
            </w:r>
          </w:p>
        </w:tc>
        <w:tc>
          <w:tcPr>
            <w:tcW w:w="1110" w:type="dxa"/>
            <w:tcBorders>
              <w:left w:val="single" w:color="auto" w:sz="6" w:space="0"/>
            </w:tcBorders>
            <w:noWrap w:val="0"/>
            <w:vAlign w:val="center"/>
          </w:tcPr>
          <w:p w14:paraId="4F208E31">
            <w:pPr>
              <w:jc w:val="center"/>
              <w:rPr>
                <w:rFonts w:hint="eastAsia"/>
                <w:szCs w:val="21"/>
              </w:rPr>
            </w:pPr>
            <w:r>
              <w:rPr>
                <w:rFonts w:hint="eastAsia"/>
                <w:szCs w:val="21"/>
              </w:rPr>
              <w:t>暂估合价（元）</w:t>
            </w:r>
          </w:p>
        </w:tc>
      </w:tr>
      <w:tr w14:paraId="3323C8D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3D71ED39">
            <w:pPr>
              <w:jc w:val="center"/>
              <w:rPr>
                <w:rFonts w:hint="eastAsia" w:ascii="黑体" w:eastAsia="黑体"/>
                <w:szCs w:val="21"/>
              </w:rPr>
            </w:pPr>
          </w:p>
        </w:tc>
        <w:tc>
          <w:tcPr>
            <w:tcW w:w="2218" w:type="dxa"/>
            <w:gridSpan w:val="6"/>
            <w:noWrap w:val="0"/>
            <w:vAlign w:val="center"/>
          </w:tcPr>
          <w:p w14:paraId="781E8D5C">
            <w:pPr>
              <w:jc w:val="center"/>
              <w:rPr>
                <w:rFonts w:hint="eastAsia"/>
                <w:szCs w:val="21"/>
              </w:rPr>
            </w:pPr>
          </w:p>
        </w:tc>
        <w:tc>
          <w:tcPr>
            <w:tcW w:w="523" w:type="dxa"/>
            <w:gridSpan w:val="2"/>
            <w:tcBorders>
              <w:left w:val="single" w:color="auto" w:sz="6" w:space="0"/>
            </w:tcBorders>
            <w:noWrap w:val="0"/>
            <w:vAlign w:val="center"/>
          </w:tcPr>
          <w:p w14:paraId="49DDEE83">
            <w:pPr>
              <w:jc w:val="center"/>
              <w:rPr>
                <w:rFonts w:hint="eastAsia"/>
                <w:szCs w:val="21"/>
              </w:rPr>
            </w:pPr>
          </w:p>
        </w:tc>
        <w:tc>
          <w:tcPr>
            <w:tcW w:w="1147" w:type="dxa"/>
            <w:gridSpan w:val="2"/>
            <w:tcBorders>
              <w:right w:val="single" w:color="auto" w:sz="6" w:space="0"/>
            </w:tcBorders>
            <w:noWrap w:val="0"/>
            <w:vAlign w:val="center"/>
          </w:tcPr>
          <w:p w14:paraId="2A5670A7">
            <w:pPr>
              <w:jc w:val="center"/>
              <w:rPr>
                <w:rFonts w:hint="eastAsia"/>
                <w:szCs w:val="21"/>
              </w:rPr>
            </w:pPr>
          </w:p>
        </w:tc>
        <w:tc>
          <w:tcPr>
            <w:tcW w:w="943" w:type="dxa"/>
            <w:tcBorders>
              <w:left w:val="single" w:color="auto" w:sz="6" w:space="0"/>
            </w:tcBorders>
            <w:noWrap w:val="0"/>
            <w:vAlign w:val="center"/>
          </w:tcPr>
          <w:p w14:paraId="52B3BC94">
            <w:pPr>
              <w:jc w:val="center"/>
              <w:rPr>
                <w:rFonts w:hint="eastAsia"/>
                <w:szCs w:val="21"/>
              </w:rPr>
            </w:pPr>
          </w:p>
        </w:tc>
        <w:tc>
          <w:tcPr>
            <w:tcW w:w="1009" w:type="dxa"/>
            <w:gridSpan w:val="3"/>
            <w:tcBorders>
              <w:left w:val="single" w:color="auto" w:sz="6" w:space="0"/>
            </w:tcBorders>
            <w:noWrap w:val="0"/>
            <w:vAlign w:val="center"/>
          </w:tcPr>
          <w:p w14:paraId="39904939">
            <w:pPr>
              <w:jc w:val="center"/>
              <w:rPr>
                <w:rFonts w:hint="eastAsia"/>
                <w:szCs w:val="21"/>
              </w:rPr>
            </w:pPr>
          </w:p>
        </w:tc>
        <w:tc>
          <w:tcPr>
            <w:tcW w:w="1290" w:type="dxa"/>
            <w:gridSpan w:val="3"/>
            <w:tcBorders>
              <w:right w:val="single" w:color="auto" w:sz="6" w:space="0"/>
            </w:tcBorders>
            <w:noWrap w:val="0"/>
            <w:vAlign w:val="center"/>
          </w:tcPr>
          <w:p w14:paraId="109969C8">
            <w:pPr>
              <w:jc w:val="center"/>
              <w:rPr>
                <w:szCs w:val="21"/>
              </w:rPr>
            </w:pPr>
          </w:p>
        </w:tc>
        <w:tc>
          <w:tcPr>
            <w:tcW w:w="1110" w:type="dxa"/>
            <w:tcBorders>
              <w:left w:val="single" w:color="auto" w:sz="6" w:space="0"/>
            </w:tcBorders>
            <w:noWrap w:val="0"/>
            <w:vAlign w:val="center"/>
          </w:tcPr>
          <w:p w14:paraId="50C605C2">
            <w:pPr>
              <w:jc w:val="center"/>
              <w:rPr>
                <w:szCs w:val="21"/>
              </w:rPr>
            </w:pPr>
          </w:p>
        </w:tc>
      </w:tr>
      <w:tr w14:paraId="52F4C13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6008114D">
            <w:pPr>
              <w:jc w:val="center"/>
              <w:rPr>
                <w:rFonts w:hint="eastAsia" w:ascii="黑体" w:eastAsia="黑体"/>
                <w:szCs w:val="21"/>
              </w:rPr>
            </w:pPr>
          </w:p>
        </w:tc>
        <w:tc>
          <w:tcPr>
            <w:tcW w:w="2218" w:type="dxa"/>
            <w:gridSpan w:val="6"/>
            <w:noWrap w:val="0"/>
            <w:vAlign w:val="center"/>
          </w:tcPr>
          <w:p w14:paraId="4E34859F">
            <w:pPr>
              <w:jc w:val="center"/>
              <w:rPr>
                <w:rFonts w:hint="eastAsia"/>
                <w:szCs w:val="21"/>
              </w:rPr>
            </w:pPr>
          </w:p>
        </w:tc>
        <w:tc>
          <w:tcPr>
            <w:tcW w:w="523" w:type="dxa"/>
            <w:gridSpan w:val="2"/>
            <w:tcBorders>
              <w:left w:val="single" w:color="auto" w:sz="6" w:space="0"/>
            </w:tcBorders>
            <w:noWrap w:val="0"/>
            <w:vAlign w:val="center"/>
          </w:tcPr>
          <w:p w14:paraId="6A569953">
            <w:pPr>
              <w:jc w:val="center"/>
              <w:rPr>
                <w:rFonts w:hint="eastAsia"/>
                <w:szCs w:val="21"/>
              </w:rPr>
            </w:pPr>
          </w:p>
        </w:tc>
        <w:tc>
          <w:tcPr>
            <w:tcW w:w="1147" w:type="dxa"/>
            <w:gridSpan w:val="2"/>
            <w:tcBorders>
              <w:right w:val="single" w:color="auto" w:sz="6" w:space="0"/>
            </w:tcBorders>
            <w:noWrap w:val="0"/>
            <w:vAlign w:val="center"/>
          </w:tcPr>
          <w:p w14:paraId="49DE104B">
            <w:pPr>
              <w:jc w:val="center"/>
              <w:rPr>
                <w:rFonts w:hint="eastAsia"/>
                <w:szCs w:val="21"/>
              </w:rPr>
            </w:pPr>
          </w:p>
        </w:tc>
        <w:tc>
          <w:tcPr>
            <w:tcW w:w="943" w:type="dxa"/>
            <w:tcBorders>
              <w:left w:val="single" w:color="auto" w:sz="6" w:space="0"/>
            </w:tcBorders>
            <w:noWrap w:val="0"/>
            <w:vAlign w:val="center"/>
          </w:tcPr>
          <w:p w14:paraId="3A092F3D">
            <w:pPr>
              <w:jc w:val="center"/>
              <w:rPr>
                <w:rFonts w:hint="eastAsia"/>
                <w:szCs w:val="21"/>
              </w:rPr>
            </w:pPr>
          </w:p>
        </w:tc>
        <w:tc>
          <w:tcPr>
            <w:tcW w:w="1009" w:type="dxa"/>
            <w:gridSpan w:val="3"/>
            <w:tcBorders>
              <w:left w:val="single" w:color="auto" w:sz="6" w:space="0"/>
            </w:tcBorders>
            <w:noWrap w:val="0"/>
            <w:vAlign w:val="center"/>
          </w:tcPr>
          <w:p w14:paraId="0FF4A13D">
            <w:pPr>
              <w:jc w:val="center"/>
              <w:rPr>
                <w:rFonts w:hint="eastAsia"/>
                <w:szCs w:val="21"/>
              </w:rPr>
            </w:pPr>
          </w:p>
        </w:tc>
        <w:tc>
          <w:tcPr>
            <w:tcW w:w="1290" w:type="dxa"/>
            <w:gridSpan w:val="3"/>
            <w:tcBorders>
              <w:right w:val="single" w:color="auto" w:sz="6" w:space="0"/>
            </w:tcBorders>
            <w:noWrap w:val="0"/>
            <w:vAlign w:val="center"/>
          </w:tcPr>
          <w:p w14:paraId="4EF2D857">
            <w:pPr>
              <w:jc w:val="center"/>
              <w:rPr>
                <w:szCs w:val="21"/>
              </w:rPr>
            </w:pPr>
          </w:p>
        </w:tc>
        <w:tc>
          <w:tcPr>
            <w:tcW w:w="1110" w:type="dxa"/>
            <w:tcBorders>
              <w:left w:val="single" w:color="auto" w:sz="6" w:space="0"/>
            </w:tcBorders>
            <w:noWrap w:val="0"/>
            <w:vAlign w:val="center"/>
          </w:tcPr>
          <w:p w14:paraId="4A3E651A">
            <w:pPr>
              <w:jc w:val="center"/>
              <w:rPr>
                <w:szCs w:val="21"/>
              </w:rPr>
            </w:pPr>
          </w:p>
        </w:tc>
      </w:tr>
      <w:tr w14:paraId="6815A32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3A71C926">
            <w:pPr>
              <w:jc w:val="center"/>
              <w:rPr>
                <w:rFonts w:hint="eastAsia" w:ascii="黑体" w:eastAsia="黑体"/>
                <w:szCs w:val="21"/>
              </w:rPr>
            </w:pPr>
          </w:p>
        </w:tc>
        <w:tc>
          <w:tcPr>
            <w:tcW w:w="2218" w:type="dxa"/>
            <w:gridSpan w:val="6"/>
            <w:noWrap w:val="0"/>
            <w:vAlign w:val="center"/>
          </w:tcPr>
          <w:p w14:paraId="128C7E14">
            <w:pPr>
              <w:jc w:val="center"/>
              <w:rPr>
                <w:rFonts w:hint="eastAsia"/>
                <w:szCs w:val="21"/>
              </w:rPr>
            </w:pPr>
          </w:p>
        </w:tc>
        <w:tc>
          <w:tcPr>
            <w:tcW w:w="523" w:type="dxa"/>
            <w:gridSpan w:val="2"/>
            <w:tcBorders>
              <w:left w:val="single" w:color="auto" w:sz="6" w:space="0"/>
            </w:tcBorders>
            <w:noWrap w:val="0"/>
            <w:vAlign w:val="center"/>
          </w:tcPr>
          <w:p w14:paraId="770B4D27">
            <w:pPr>
              <w:jc w:val="center"/>
              <w:rPr>
                <w:rFonts w:hint="eastAsia"/>
                <w:szCs w:val="21"/>
              </w:rPr>
            </w:pPr>
          </w:p>
        </w:tc>
        <w:tc>
          <w:tcPr>
            <w:tcW w:w="1147" w:type="dxa"/>
            <w:gridSpan w:val="2"/>
            <w:tcBorders>
              <w:right w:val="single" w:color="auto" w:sz="6" w:space="0"/>
            </w:tcBorders>
            <w:noWrap w:val="0"/>
            <w:vAlign w:val="center"/>
          </w:tcPr>
          <w:p w14:paraId="67E1F9A1">
            <w:pPr>
              <w:jc w:val="center"/>
              <w:rPr>
                <w:rFonts w:hint="eastAsia"/>
                <w:szCs w:val="21"/>
              </w:rPr>
            </w:pPr>
          </w:p>
        </w:tc>
        <w:tc>
          <w:tcPr>
            <w:tcW w:w="943" w:type="dxa"/>
            <w:tcBorders>
              <w:left w:val="single" w:color="auto" w:sz="6" w:space="0"/>
            </w:tcBorders>
            <w:noWrap w:val="0"/>
            <w:vAlign w:val="center"/>
          </w:tcPr>
          <w:p w14:paraId="10E1D755">
            <w:pPr>
              <w:jc w:val="center"/>
              <w:rPr>
                <w:rFonts w:hint="eastAsia"/>
                <w:szCs w:val="21"/>
              </w:rPr>
            </w:pPr>
          </w:p>
        </w:tc>
        <w:tc>
          <w:tcPr>
            <w:tcW w:w="1009" w:type="dxa"/>
            <w:gridSpan w:val="3"/>
            <w:tcBorders>
              <w:left w:val="single" w:color="auto" w:sz="6" w:space="0"/>
            </w:tcBorders>
            <w:noWrap w:val="0"/>
            <w:vAlign w:val="center"/>
          </w:tcPr>
          <w:p w14:paraId="739668D1">
            <w:pPr>
              <w:jc w:val="center"/>
              <w:rPr>
                <w:rFonts w:hint="eastAsia"/>
                <w:szCs w:val="21"/>
              </w:rPr>
            </w:pPr>
          </w:p>
        </w:tc>
        <w:tc>
          <w:tcPr>
            <w:tcW w:w="1290" w:type="dxa"/>
            <w:gridSpan w:val="3"/>
            <w:tcBorders>
              <w:right w:val="single" w:color="auto" w:sz="6" w:space="0"/>
            </w:tcBorders>
            <w:noWrap w:val="0"/>
            <w:vAlign w:val="center"/>
          </w:tcPr>
          <w:p w14:paraId="1559FF6B">
            <w:pPr>
              <w:jc w:val="center"/>
              <w:rPr>
                <w:szCs w:val="21"/>
              </w:rPr>
            </w:pPr>
          </w:p>
        </w:tc>
        <w:tc>
          <w:tcPr>
            <w:tcW w:w="1110" w:type="dxa"/>
            <w:tcBorders>
              <w:left w:val="single" w:color="auto" w:sz="6" w:space="0"/>
            </w:tcBorders>
            <w:noWrap w:val="0"/>
            <w:vAlign w:val="center"/>
          </w:tcPr>
          <w:p w14:paraId="1B0BCC54">
            <w:pPr>
              <w:jc w:val="center"/>
              <w:rPr>
                <w:szCs w:val="21"/>
              </w:rPr>
            </w:pPr>
          </w:p>
        </w:tc>
      </w:tr>
      <w:tr w14:paraId="124EEA6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0E05C422">
            <w:pPr>
              <w:jc w:val="center"/>
              <w:rPr>
                <w:rFonts w:hint="eastAsia" w:ascii="黑体" w:eastAsia="黑体"/>
                <w:szCs w:val="21"/>
              </w:rPr>
            </w:pPr>
          </w:p>
        </w:tc>
        <w:tc>
          <w:tcPr>
            <w:tcW w:w="2218" w:type="dxa"/>
            <w:gridSpan w:val="6"/>
            <w:noWrap w:val="0"/>
            <w:vAlign w:val="center"/>
          </w:tcPr>
          <w:p w14:paraId="1577D1A0">
            <w:pPr>
              <w:ind w:firstLine="210" w:firstLineChars="100"/>
              <w:jc w:val="center"/>
              <w:rPr>
                <w:rFonts w:hint="eastAsia"/>
                <w:szCs w:val="21"/>
              </w:rPr>
            </w:pPr>
          </w:p>
        </w:tc>
        <w:tc>
          <w:tcPr>
            <w:tcW w:w="523" w:type="dxa"/>
            <w:gridSpan w:val="2"/>
            <w:tcBorders>
              <w:left w:val="single" w:color="auto" w:sz="6" w:space="0"/>
            </w:tcBorders>
            <w:noWrap w:val="0"/>
            <w:vAlign w:val="center"/>
          </w:tcPr>
          <w:p w14:paraId="40690721">
            <w:pPr>
              <w:ind w:firstLine="210" w:firstLineChars="100"/>
              <w:jc w:val="center"/>
              <w:rPr>
                <w:rFonts w:hint="eastAsia"/>
                <w:szCs w:val="21"/>
              </w:rPr>
            </w:pPr>
          </w:p>
        </w:tc>
        <w:tc>
          <w:tcPr>
            <w:tcW w:w="1147" w:type="dxa"/>
            <w:gridSpan w:val="2"/>
            <w:tcBorders>
              <w:right w:val="single" w:color="auto" w:sz="6" w:space="0"/>
            </w:tcBorders>
            <w:noWrap w:val="0"/>
            <w:vAlign w:val="center"/>
          </w:tcPr>
          <w:p w14:paraId="22E74A4A">
            <w:pPr>
              <w:jc w:val="center"/>
              <w:rPr>
                <w:rFonts w:hint="eastAsia"/>
                <w:szCs w:val="21"/>
              </w:rPr>
            </w:pPr>
          </w:p>
        </w:tc>
        <w:tc>
          <w:tcPr>
            <w:tcW w:w="943" w:type="dxa"/>
            <w:tcBorders>
              <w:left w:val="single" w:color="auto" w:sz="6" w:space="0"/>
            </w:tcBorders>
            <w:noWrap w:val="0"/>
            <w:vAlign w:val="center"/>
          </w:tcPr>
          <w:p w14:paraId="5D7E1FDF">
            <w:pPr>
              <w:jc w:val="center"/>
              <w:rPr>
                <w:rFonts w:hint="eastAsia"/>
                <w:szCs w:val="21"/>
              </w:rPr>
            </w:pPr>
          </w:p>
        </w:tc>
        <w:tc>
          <w:tcPr>
            <w:tcW w:w="1009" w:type="dxa"/>
            <w:gridSpan w:val="3"/>
            <w:tcBorders>
              <w:left w:val="single" w:color="auto" w:sz="6" w:space="0"/>
            </w:tcBorders>
            <w:noWrap w:val="0"/>
            <w:vAlign w:val="center"/>
          </w:tcPr>
          <w:p w14:paraId="462B82ED">
            <w:pPr>
              <w:jc w:val="center"/>
              <w:rPr>
                <w:rFonts w:hint="eastAsia"/>
                <w:szCs w:val="21"/>
              </w:rPr>
            </w:pPr>
          </w:p>
        </w:tc>
        <w:tc>
          <w:tcPr>
            <w:tcW w:w="1290" w:type="dxa"/>
            <w:gridSpan w:val="3"/>
            <w:tcBorders>
              <w:right w:val="single" w:color="auto" w:sz="6" w:space="0"/>
            </w:tcBorders>
            <w:noWrap w:val="0"/>
            <w:vAlign w:val="center"/>
          </w:tcPr>
          <w:p w14:paraId="6E8E3165">
            <w:pPr>
              <w:jc w:val="center"/>
              <w:rPr>
                <w:szCs w:val="21"/>
              </w:rPr>
            </w:pPr>
          </w:p>
        </w:tc>
        <w:tc>
          <w:tcPr>
            <w:tcW w:w="1110" w:type="dxa"/>
            <w:tcBorders>
              <w:left w:val="single" w:color="auto" w:sz="6" w:space="0"/>
            </w:tcBorders>
            <w:noWrap w:val="0"/>
            <w:vAlign w:val="center"/>
          </w:tcPr>
          <w:p w14:paraId="18F4C08D">
            <w:pPr>
              <w:jc w:val="center"/>
              <w:rPr>
                <w:szCs w:val="21"/>
              </w:rPr>
            </w:pPr>
          </w:p>
        </w:tc>
      </w:tr>
      <w:tr w14:paraId="2C5DC10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6618D6D1">
            <w:pPr>
              <w:jc w:val="center"/>
              <w:rPr>
                <w:rFonts w:hint="eastAsia"/>
                <w:szCs w:val="21"/>
              </w:rPr>
            </w:pPr>
          </w:p>
        </w:tc>
        <w:tc>
          <w:tcPr>
            <w:tcW w:w="3888" w:type="dxa"/>
            <w:gridSpan w:val="10"/>
            <w:tcBorders>
              <w:right w:val="single" w:color="auto" w:sz="6" w:space="0"/>
            </w:tcBorders>
            <w:noWrap w:val="0"/>
            <w:vAlign w:val="center"/>
          </w:tcPr>
          <w:p w14:paraId="6A6C0AC5">
            <w:pPr>
              <w:jc w:val="center"/>
              <w:rPr>
                <w:rFonts w:hint="eastAsia"/>
                <w:szCs w:val="21"/>
              </w:rPr>
            </w:pPr>
            <w:r>
              <w:rPr>
                <w:rFonts w:hint="eastAsia"/>
                <w:szCs w:val="21"/>
              </w:rPr>
              <w:t>其他材料费</w:t>
            </w:r>
          </w:p>
        </w:tc>
        <w:tc>
          <w:tcPr>
            <w:tcW w:w="943" w:type="dxa"/>
            <w:tcBorders>
              <w:left w:val="single" w:color="auto" w:sz="6" w:space="0"/>
            </w:tcBorders>
            <w:noWrap w:val="0"/>
            <w:vAlign w:val="center"/>
          </w:tcPr>
          <w:p w14:paraId="254B46C1">
            <w:pPr>
              <w:jc w:val="center"/>
              <w:rPr>
                <w:rFonts w:hint="eastAsia"/>
                <w:szCs w:val="21"/>
              </w:rPr>
            </w:pPr>
            <w:r>
              <w:rPr>
                <w:rFonts w:hint="eastAsia"/>
                <w:szCs w:val="21"/>
              </w:rPr>
              <w:t>—</w:t>
            </w:r>
          </w:p>
        </w:tc>
        <w:tc>
          <w:tcPr>
            <w:tcW w:w="1009" w:type="dxa"/>
            <w:gridSpan w:val="3"/>
            <w:tcBorders>
              <w:left w:val="single" w:color="auto" w:sz="6" w:space="0"/>
            </w:tcBorders>
            <w:noWrap w:val="0"/>
            <w:vAlign w:val="center"/>
          </w:tcPr>
          <w:p w14:paraId="3226EAE3">
            <w:pPr>
              <w:jc w:val="center"/>
              <w:rPr>
                <w:rFonts w:hint="eastAsia"/>
                <w:szCs w:val="21"/>
              </w:rPr>
            </w:pPr>
          </w:p>
        </w:tc>
        <w:tc>
          <w:tcPr>
            <w:tcW w:w="1290" w:type="dxa"/>
            <w:gridSpan w:val="3"/>
            <w:tcBorders>
              <w:right w:val="single" w:color="auto" w:sz="6" w:space="0"/>
            </w:tcBorders>
            <w:noWrap w:val="0"/>
            <w:vAlign w:val="center"/>
          </w:tcPr>
          <w:p w14:paraId="554AFB40">
            <w:pPr>
              <w:jc w:val="center"/>
              <w:rPr>
                <w:rFonts w:hint="eastAsia"/>
                <w:szCs w:val="21"/>
              </w:rPr>
            </w:pPr>
            <w:r>
              <w:rPr>
                <w:rFonts w:hint="eastAsia"/>
                <w:szCs w:val="21"/>
              </w:rPr>
              <w:t>—</w:t>
            </w:r>
          </w:p>
        </w:tc>
        <w:tc>
          <w:tcPr>
            <w:tcW w:w="1110" w:type="dxa"/>
            <w:tcBorders>
              <w:left w:val="single" w:color="auto" w:sz="6" w:space="0"/>
            </w:tcBorders>
            <w:noWrap w:val="0"/>
            <w:vAlign w:val="center"/>
          </w:tcPr>
          <w:p w14:paraId="6ABD1EE9">
            <w:pPr>
              <w:jc w:val="center"/>
              <w:rPr>
                <w:rFonts w:hint="eastAsia"/>
                <w:szCs w:val="21"/>
              </w:rPr>
            </w:pPr>
          </w:p>
        </w:tc>
      </w:tr>
      <w:tr w14:paraId="64171D3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0" w:type="dxa"/>
            <w:vMerge w:val="continue"/>
            <w:noWrap w:val="0"/>
            <w:vAlign w:val="center"/>
          </w:tcPr>
          <w:p w14:paraId="07CEF22D">
            <w:pPr>
              <w:jc w:val="center"/>
              <w:rPr>
                <w:rFonts w:hint="eastAsia"/>
                <w:szCs w:val="21"/>
              </w:rPr>
            </w:pPr>
          </w:p>
        </w:tc>
        <w:tc>
          <w:tcPr>
            <w:tcW w:w="3888" w:type="dxa"/>
            <w:gridSpan w:val="10"/>
            <w:tcBorders>
              <w:right w:val="single" w:color="auto" w:sz="6" w:space="0"/>
            </w:tcBorders>
            <w:noWrap w:val="0"/>
            <w:vAlign w:val="center"/>
          </w:tcPr>
          <w:p w14:paraId="2296BAE8">
            <w:pPr>
              <w:jc w:val="center"/>
              <w:rPr>
                <w:rFonts w:hint="eastAsia"/>
                <w:szCs w:val="21"/>
              </w:rPr>
            </w:pPr>
            <w:r>
              <w:rPr>
                <w:rFonts w:hint="eastAsia"/>
                <w:szCs w:val="21"/>
              </w:rPr>
              <w:t>材料费小计</w:t>
            </w:r>
          </w:p>
        </w:tc>
        <w:tc>
          <w:tcPr>
            <w:tcW w:w="943" w:type="dxa"/>
            <w:tcBorders>
              <w:left w:val="single" w:color="auto" w:sz="6" w:space="0"/>
            </w:tcBorders>
            <w:noWrap w:val="0"/>
            <w:vAlign w:val="center"/>
          </w:tcPr>
          <w:p w14:paraId="68DA633B">
            <w:pPr>
              <w:jc w:val="center"/>
              <w:rPr>
                <w:rFonts w:hint="eastAsia"/>
                <w:szCs w:val="21"/>
              </w:rPr>
            </w:pPr>
            <w:r>
              <w:rPr>
                <w:rFonts w:hint="eastAsia"/>
                <w:szCs w:val="21"/>
              </w:rPr>
              <w:t>—</w:t>
            </w:r>
          </w:p>
        </w:tc>
        <w:tc>
          <w:tcPr>
            <w:tcW w:w="1009" w:type="dxa"/>
            <w:gridSpan w:val="3"/>
            <w:tcBorders>
              <w:left w:val="single" w:color="auto" w:sz="6" w:space="0"/>
            </w:tcBorders>
            <w:noWrap w:val="0"/>
            <w:vAlign w:val="center"/>
          </w:tcPr>
          <w:p w14:paraId="5B3F5A73">
            <w:pPr>
              <w:jc w:val="center"/>
              <w:rPr>
                <w:rFonts w:hint="eastAsia"/>
                <w:szCs w:val="21"/>
              </w:rPr>
            </w:pPr>
          </w:p>
        </w:tc>
        <w:tc>
          <w:tcPr>
            <w:tcW w:w="1290" w:type="dxa"/>
            <w:gridSpan w:val="3"/>
            <w:tcBorders>
              <w:right w:val="single" w:color="auto" w:sz="6" w:space="0"/>
            </w:tcBorders>
            <w:noWrap w:val="0"/>
            <w:vAlign w:val="center"/>
          </w:tcPr>
          <w:p w14:paraId="0A4F11DE">
            <w:pPr>
              <w:jc w:val="center"/>
              <w:rPr>
                <w:rFonts w:hint="eastAsia"/>
                <w:szCs w:val="21"/>
              </w:rPr>
            </w:pPr>
            <w:r>
              <w:rPr>
                <w:rFonts w:hint="eastAsia"/>
                <w:szCs w:val="21"/>
              </w:rPr>
              <w:t>—</w:t>
            </w:r>
          </w:p>
        </w:tc>
        <w:tc>
          <w:tcPr>
            <w:tcW w:w="1110" w:type="dxa"/>
            <w:tcBorders>
              <w:left w:val="single" w:color="auto" w:sz="6" w:space="0"/>
            </w:tcBorders>
            <w:noWrap w:val="0"/>
            <w:vAlign w:val="center"/>
          </w:tcPr>
          <w:p w14:paraId="6C50478D">
            <w:pPr>
              <w:jc w:val="center"/>
              <w:rPr>
                <w:rFonts w:hint="eastAsia"/>
                <w:szCs w:val="21"/>
              </w:rPr>
            </w:pPr>
          </w:p>
        </w:tc>
      </w:tr>
    </w:tbl>
    <w:p w14:paraId="544BDD74">
      <w:pPr>
        <w:rPr>
          <w:rFonts w:hint="eastAsia" w:ascii="黑体" w:eastAsia="黑体"/>
        </w:rPr>
      </w:pPr>
    </w:p>
    <w:p w14:paraId="2F1193F4">
      <w:pPr>
        <w:rPr>
          <w:rFonts w:hint="eastAsia"/>
        </w:rPr>
      </w:pPr>
      <w:r>
        <w:rPr>
          <w:rFonts w:hint="eastAsia" w:ascii="宋体" w:hAnsi="宋体"/>
        </w:rPr>
        <w:t>注</w:t>
      </w:r>
      <w:r>
        <w:rPr>
          <w:rFonts w:hint="eastAsia" w:ascii="黑体" w:eastAsia="黑体"/>
        </w:rPr>
        <w:t>：1.</w:t>
      </w:r>
      <w:r>
        <w:rPr>
          <w:rFonts w:hint="eastAsia"/>
        </w:rPr>
        <w:t>如不使用省级或行业建设主管部门发布的计价依据，可不填定额编号、名称等。</w:t>
      </w:r>
    </w:p>
    <w:p w14:paraId="5DCE24ED">
      <w:pPr>
        <w:ind w:firstLine="420" w:firstLineChars="200"/>
        <w:rPr>
          <w:rFonts w:hint="eastAsia"/>
        </w:rPr>
      </w:pPr>
      <w:r>
        <w:rPr>
          <w:rFonts w:hint="eastAsia"/>
        </w:rPr>
        <w:t>2.招标文件提供了暂估单价的材料，按暂估的单价填入表内“暂估单价”栏及“暂估合价”栏。</w:t>
      </w:r>
    </w:p>
    <w:p w14:paraId="5769D2A2">
      <w:pPr>
        <w:rPr>
          <w:rFonts w:hint="eastAsia"/>
        </w:rPr>
      </w:pPr>
    </w:p>
    <w:p w14:paraId="5E23C176">
      <w:pPr>
        <w:rPr>
          <w:rFonts w:hint="eastAsia"/>
        </w:rPr>
      </w:pPr>
    </w:p>
    <w:p w14:paraId="38E74195">
      <w:pPr>
        <w:pStyle w:val="20"/>
        <w:rPr>
          <w:rFonts w:hint="eastAsia"/>
        </w:rPr>
      </w:pPr>
      <w:bookmarkStart w:id="2594" w:name="_Toc108514180"/>
      <w:r>
        <w:rPr>
          <w:rFonts w:hint="eastAsia"/>
        </w:rPr>
        <w:t>4.11总价措施项目清单与计价表</w:t>
      </w:r>
      <w:bookmarkEnd w:id="2594"/>
    </w:p>
    <w:p w14:paraId="3AE5CDAB">
      <w:pPr>
        <w:spacing w:before="120" w:beforeLines="50" w:after="120" w:afterLines="50"/>
        <w:jc w:val="center"/>
        <w:rPr>
          <w:rFonts w:hint="eastAsia" w:ascii="黑体" w:eastAsia="黑体"/>
          <w:sz w:val="28"/>
          <w:szCs w:val="28"/>
        </w:rPr>
      </w:pPr>
      <w:r>
        <w:rPr>
          <w:rFonts w:hint="eastAsia" w:ascii="黑体" w:eastAsia="黑体"/>
          <w:sz w:val="28"/>
          <w:szCs w:val="28"/>
        </w:rPr>
        <w:t>总价措施项目清单与计价表</w:t>
      </w:r>
    </w:p>
    <w:p w14:paraId="6C81F42F">
      <w:pPr>
        <w:rPr>
          <w:rFonts w:hint="eastAsia"/>
        </w:rPr>
      </w:pPr>
      <w:r>
        <w:rPr>
          <w:rFonts w:hint="eastAsia"/>
        </w:rPr>
        <w:t>工程名称：                        标段名称：                     第  页 共  页</w:t>
      </w:r>
    </w:p>
    <w:tbl>
      <w:tblPr>
        <w:tblStyle w:val="15"/>
        <w:tblW w:w="8813"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152"/>
        <w:gridCol w:w="2368"/>
        <w:gridCol w:w="1260"/>
        <w:gridCol w:w="1260"/>
        <w:gridCol w:w="1260"/>
        <w:gridCol w:w="937"/>
      </w:tblGrid>
      <w:tr w14:paraId="7EB9E51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576" w:type="dxa"/>
            <w:noWrap w:val="0"/>
            <w:vAlign w:val="center"/>
          </w:tcPr>
          <w:p w14:paraId="7B1DE7A1">
            <w:pPr>
              <w:jc w:val="center"/>
              <w:rPr>
                <w:rFonts w:hint="eastAsia"/>
              </w:rPr>
            </w:pPr>
            <w:r>
              <w:rPr>
                <w:rFonts w:hint="eastAsia"/>
              </w:rPr>
              <w:t>序号</w:t>
            </w:r>
          </w:p>
        </w:tc>
        <w:tc>
          <w:tcPr>
            <w:tcW w:w="1152" w:type="dxa"/>
            <w:noWrap w:val="0"/>
            <w:vAlign w:val="center"/>
          </w:tcPr>
          <w:p w14:paraId="02FB3AE1">
            <w:pPr>
              <w:jc w:val="center"/>
              <w:rPr>
                <w:rFonts w:hint="eastAsia"/>
              </w:rPr>
            </w:pPr>
            <w:r>
              <w:rPr>
                <w:rFonts w:hint="eastAsia"/>
              </w:rPr>
              <w:t>项目编码</w:t>
            </w:r>
          </w:p>
        </w:tc>
        <w:tc>
          <w:tcPr>
            <w:tcW w:w="2368" w:type="dxa"/>
            <w:noWrap w:val="0"/>
            <w:vAlign w:val="center"/>
          </w:tcPr>
          <w:p w14:paraId="50F52085">
            <w:pPr>
              <w:jc w:val="center"/>
              <w:rPr>
                <w:rFonts w:hint="eastAsia"/>
              </w:rPr>
            </w:pPr>
            <w:r>
              <w:rPr>
                <w:rFonts w:hint="eastAsia"/>
              </w:rPr>
              <w:t>项目名称</w:t>
            </w:r>
          </w:p>
        </w:tc>
        <w:tc>
          <w:tcPr>
            <w:tcW w:w="1260" w:type="dxa"/>
            <w:noWrap w:val="0"/>
            <w:vAlign w:val="center"/>
          </w:tcPr>
          <w:p w14:paraId="00C1810A">
            <w:pPr>
              <w:jc w:val="center"/>
              <w:rPr>
                <w:rFonts w:hint="eastAsia"/>
              </w:rPr>
            </w:pPr>
            <w:r>
              <w:rPr>
                <w:rFonts w:hint="eastAsia"/>
              </w:rPr>
              <w:t>计算基础</w:t>
            </w:r>
          </w:p>
        </w:tc>
        <w:tc>
          <w:tcPr>
            <w:tcW w:w="1260" w:type="dxa"/>
            <w:noWrap w:val="0"/>
            <w:vAlign w:val="center"/>
          </w:tcPr>
          <w:p w14:paraId="6E3CB3AA">
            <w:pPr>
              <w:jc w:val="center"/>
              <w:rPr>
                <w:rFonts w:hint="eastAsia"/>
              </w:rPr>
            </w:pPr>
            <w:r>
              <w:rPr>
                <w:rFonts w:hint="eastAsia"/>
              </w:rPr>
              <w:t>费率(％)</w:t>
            </w:r>
          </w:p>
        </w:tc>
        <w:tc>
          <w:tcPr>
            <w:tcW w:w="1260" w:type="dxa"/>
            <w:noWrap w:val="0"/>
            <w:vAlign w:val="center"/>
          </w:tcPr>
          <w:p w14:paraId="7172DB9E">
            <w:pPr>
              <w:jc w:val="center"/>
              <w:rPr>
                <w:rFonts w:hint="eastAsia"/>
              </w:rPr>
            </w:pPr>
            <w:r>
              <w:rPr>
                <w:rFonts w:hint="eastAsia"/>
              </w:rPr>
              <w:t>金额(元)</w:t>
            </w:r>
          </w:p>
        </w:tc>
        <w:tc>
          <w:tcPr>
            <w:tcW w:w="937" w:type="dxa"/>
            <w:noWrap w:val="0"/>
            <w:vAlign w:val="center"/>
          </w:tcPr>
          <w:p w14:paraId="0C1C3BA9">
            <w:pPr>
              <w:jc w:val="center"/>
              <w:rPr>
                <w:rFonts w:hint="eastAsia"/>
              </w:rPr>
            </w:pPr>
            <w:r>
              <w:rPr>
                <w:rFonts w:hint="eastAsia"/>
              </w:rPr>
              <w:t>备注</w:t>
            </w:r>
          </w:p>
        </w:tc>
      </w:tr>
      <w:tr w14:paraId="790A5C4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noWrap w:val="0"/>
            <w:vAlign w:val="center"/>
          </w:tcPr>
          <w:p w14:paraId="58EE382F">
            <w:pPr>
              <w:jc w:val="center"/>
              <w:rPr>
                <w:rFonts w:hint="eastAsia" w:ascii="黑体" w:eastAsia="黑体"/>
              </w:rPr>
            </w:pPr>
          </w:p>
        </w:tc>
        <w:tc>
          <w:tcPr>
            <w:tcW w:w="1152" w:type="dxa"/>
            <w:noWrap w:val="0"/>
            <w:vAlign w:val="center"/>
          </w:tcPr>
          <w:p w14:paraId="0D13E2DF">
            <w:pPr>
              <w:rPr>
                <w:rFonts w:hint="eastAsia"/>
              </w:rPr>
            </w:pPr>
          </w:p>
        </w:tc>
        <w:tc>
          <w:tcPr>
            <w:tcW w:w="2368" w:type="dxa"/>
            <w:noWrap w:val="0"/>
            <w:vAlign w:val="center"/>
          </w:tcPr>
          <w:p w14:paraId="24CC7BCD">
            <w:pPr>
              <w:rPr>
                <w:rFonts w:hint="eastAsia"/>
              </w:rPr>
            </w:pPr>
            <w:r>
              <w:rPr>
                <w:rFonts w:hint="eastAsia"/>
              </w:rPr>
              <w:t>安全文明施工费</w:t>
            </w:r>
          </w:p>
        </w:tc>
        <w:tc>
          <w:tcPr>
            <w:tcW w:w="1260" w:type="dxa"/>
            <w:noWrap w:val="0"/>
            <w:vAlign w:val="center"/>
          </w:tcPr>
          <w:p w14:paraId="6188C769">
            <w:pPr>
              <w:jc w:val="center"/>
              <w:rPr>
                <w:rFonts w:hint="eastAsia"/>
              </w:rPr>
            </w:pPr>
          </w:p>
        </w:tc>
        <w:tc>
          <w:tcPr>
            <w:tcW w:w="1260" w:type="dxa"/>
            <w:noWrap w:val="0"/>
            <w:vAlign w:val="center"/>
          </w:tcPr>
          <w:p w14:paraId="2CB193E5">
            <w:pPr>
              <w:jc w:val="center"/>
              <w:rPr>
                <w:rFonts w:hint="eastAsia"/>
              </w:rPr>
            </w:pPr>
          </w:p>
        </w:tc>
        <w:tc>
          <w:tcPr>
            <w:tcW w:w="1260" w:type="dxa"/>
            <w:noWrap w:val="0"/>
            <w:vAlign w:val="center"/>
          </w:tcPr>
          <w:p w14:paraId="41C436FA">
            <w:pPr>
              <w:jc w:val="center"/>
              <w:rPr>
                <w:rFonts w:hint="eastAsia"/>
              </w:rPr>
            </w:pPr>
          </w:p>
        </w:tc>
        <w:tc>
          <w:tcPr>
            <w:tcW w:w="937" w:type="dxa"/>
            <w:noWrap w:val="0"/>
            <w:vAlign w:val="center"/>
          </w:tcPr>
          <w:p w14:paraId="4C51AAA8">
            <w:pPr>
              <w:jc w:val="center"/>
              <w:rPr>
                <w:rFonts w:hint="eastAsia"/>
              </w:rPr>
            </w:pPr>
          </w:p>
        </w:tc>
      </w:tr>
      <w:tr w14:paraId="6D7F6D1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bottom w:val="single" w:color="auto" w:sz="6" w:space="0"/>
            </w:tcBorders>
            <w:noWrap w:val="0"/>
            <w:vAlign w:val="center"/>
          </w:tcPr>
          <w:p w14:paraId="19AF36A7">
            <w:pPr>
              <w:jc w:val="center"/>
              <w:rPr>
                <w:rFonts w:hint="eastAsia" w:ascii="黑体" w:eastAsia="黑体"/>
              </w:rPr>
            </w:pPr>
          </w:p>
        </w:tc>
        <w:tc>
          <w:tcPr>
            <w:tcW w:w="1152" w:type="dxa"/>
            <w:noWrap w:val="0"/>
            <w:vAlign w:val="center"/>
          </w:tcPr>
          <w:p w14:paraId="151AF9F9">
            <w:pPr>
              <w:rPr>
                <w:rFonts w:hint="eastAsia"/>
              </w:rPr>
            </w:pPr>
          </w:p>
        </w:tc>
        <w:tc>
          <w:tcPr>
            <w:tcW w:w="2368" w:type="dxa"/>
            <w:noWrap w:val="0"/>
            <w:vAlign w:val="center"/>
          </w:tcPr>
          <w:p w14:paraId="4B353266">
            <w:pPr>
              <w:rPr>
                <w:rFonts w:hint="eastAsia"/>
              </w:rPr>
            </w:pPr>
            <w:r>
              <w:rPr>
                <w:rFonts w:hint="eastAsia"/>
              </w:rPr>
              <w:t>夜间施工增加费</w:t>
            </w:r>
          </w:p>
        </w:tc>
        <w:tc>
          <w:tcPr>
            <w:tcW w:w="1260" w:type="dxa"/>
            <w:noWrap w:val="0"/>
            <w:vAlign w:val="center"/>
          </w:tcPr>
          <w:p w14:paraId="57674AAD">
            <w:pPr>
              <w:jc w:val="center"/>
              <w:rPr>
                <w:rFonts w:hint="eastAsia"/>
              </w:rPr>
            </w:pPr>
          </w:p>
        </w:tc>
        <w:tc>
          <w:tcPr>
            <w:tcW w:w="1260" w:type="dxa"/>
            <w:noWrap w:val="0"/>
            <w:vAlign w:val="center"/>
          </w:tcPr>
          <w:p w14:paraId="2F1FB18F">
            <w:pPr>
              <w:jc w:val="center"/>
              <w:rPr>
                <w:rFonts w:hint="eastAsia"/>
              </w:rPr>
            </w:pPr>
          </w:p>
        </w:tc>
        <w:tc>
          <w:tcPr>
            <w:tcW w:w="1260" w:type="dxa"/>
            <w:noWrap w:val="0"/>
            <w:vAlign w:val="center"/>
          </w:tcPr>
          <w:p w14:paraId="216BC066">
            <w:pPr>
              <w:jc w:val="center"/>
              <w:rPr>
                <w:rFonts w:hint="eastAsia"/>
              </w:rPr>
            </w:pPr>
          </w:p>
        </w:tc>
        <w:tc>
          <w:tcPr>
            <w:tcW w:w="937" w:type="dxa"/>
            <w:noWrap w:val="0"/>
            <w:vAlign w:val="center"/>
          </w:tcPr>
          <w:p w14:paraId="4936D5E7">
            <w:pPr>
              <w:jc w:val="center"/>
              <w:rPr>
                <w:rFonts w:hint="eastAsia"/>
              </w:rPr>
            </w:pPr>
          </w:p>
        </w:tc>
      </w:tr>
      <w:tr w14:paraId="725BADF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tcBorders>
              <w:top w:val="single" w:color="auto" w:sz="6" w:space="0"/>
            </w:tcBorders>
            <w:noWrap w:val="0"/>
            <w:vAlign w:val="center"/>
          </w:tcPr>
          <w:p w14:paraId="3BACA6EE">
            <w:pPr>
              <w:jc w:val="center"/>
              <w:rPr>
                <w:rFonts w:hint="eastAsia" w:ascii="黑体" w:eastAsia="黑体"/>
              </w:rPr>
            </w:pPr>
          </w:p>
        </w:tc>
        <w:tc>
          <w:tcPr>
            <w:tcW w:w="1152" w:type="dxa"/>
            <w:noWrap w:val="0"/>
            <w:vAlign w:val="center"/>
          </w:tcPr>
          <w:p w14:paraId="3736E0AD">
            <w:pPr>
              <w:rPr>
                <w:rFonts w:hint="eastAsia"/>
              </w:rPr>
            </w:pPr>
          </w:p>
        </w:tc>
        <w:tc>
          <w:tcPr>
            <w:tcW w:w="2368" w:type="dxa"/>
            <w:noWrap w:val="0"/>
            <w:vAlign w:val="center"/>
          </w:tcPr>
          <w:p w14:paraId="7F2BE786">
            <w:pPr>
              <w:rPr>
                <w:rFonts w:hint="eastAsia"/>
              </w:rPr>
            </w:pPr>
            <w:r>
              <w:rPr>
                <w:rFonts w:hint="eastAsia"/>
              </w:rPr>
              <w:t>二次搬运费</w:t>
            </w:r>
          </w:p>
        </w:tc>
        <w:tc>
          <w:tcPr>
            <w:tcW w:w="1260" w:type="dxa"/>
            <w:noWrap w:val="0"/>
            <w:vAlign w:val="center"/>
          </w:tcPr>
          <w:p w14:paraId="3AA2750A">
            <w:pPr>
              <w:jc w:val="center"/>
              <w:rPr>
                <w:rFonts w:hint="eastAsia"/>
              </w:rPr>
            </w:pPr>
          </w:p>
        </w:tc>
        <w:tc>
          <w:tcPr>
            <w:tcW w:w="1260" w:type="dxa"/>
            <w:noWrap w:val="0"/>
            <w:vAlign w:val="center"/>
          </w:tcPr>
          <w:p w14:paraId="400FA557">
            <w:pPr>
              <w:jc w:val="center"/>
              <w:rPr>
                <w:rFonts w:hint="eastAsia"/>
              </w:rPr>
            </w:pPr>
          </w:p>
        </w:tc>
        <w:tc>
          <w:tcPr>
            <w:tcW w:w="1260" w:type="dxa"/>
            <w:noWrap w:val="0"/>
            <w:vAlign w:val="center"/>
          </w:tcPr>
          <w:p w14:paraId="1BA2952E">
            <w:pPr>
              <w:jc w:val="center"/>
              <w:rPr>
                <w:rFonts w:hint="eastAsia"/>
              </w:rPr>
            </w:pPr>
          </w:p>
        </w:tc>
        <w:tc>
          <w:tcPr>
            <w:tcW w:w="937" w:type="dxa"/>
            <w:noWrap w:val="0"/>
            <w:vAlign w:val="center"/>
          </w:tcPr>
          <w:p w14:paraId="6B78E247">
            <w:pPr>
              <w:jc w:val="center"/>
              <w:rPr>
                <w:rFonts w:hint="eastAsia"/>
              </w:rPr>
            </w:pPr>
          </w:p>
        </w:tc>
      </w:tr>
      <w:tr w14:paraId="0DE5162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576" w:type="dxa"/>
            <w:noWrap w:val="0"/>
            <w:vAlign w:val="center"/>
          </w:tcPr>
          <w:p w14:paraId="68E727D1">
            <w:pPr>
              <w:jc w:val="center"/>
              <w:rPr>
                <w:rFonts w:hint="eastAsia" w:ascii="黑体" w:eastAsia="黑体"/>
              </w:rPr>
            </w:pPr>
          </w:p>
        </w:tc>
        <w:tc>
          <w:tcPr>
            <w:tcW w:w="1152" w:type="dxa"/>
            <w:noWrap w:val="0"/>
            <w:vAlign w:val="center"/>
          </w:tcPr>
          <w:p w14:paraId="6D411D27">
            <w:pPr>
              <w:rPr>
                <w:rFonts w:hint="eastAsia"/>
              </w:rPr>
            </w:pPr>
          </w:p>
        </w:tc>
        <w:tc>
          <w:tcPr>
            <w:tcW w:w="2368" w:type="dxa"/>
            <w:noWrap w:val="0"/>
            <w:vAlign w:val="center"/>
          </w:tcPr>
          <w:p w14:paraId="75BFBB2C">
            <w:pPr>
              <w:rPr>
                <w:rFonts w:hint="eastAsia"/>
              </w:rPr>
            </w:pPr>
            <w:r>
              <w:rPr>
                <w:rFonts w:hint="eastAsia"/>
              </w:rPr>
              <w:t>冬雨季施工增加费</w:t>
            </w:r>
          </w:p>
        </w:tc>
        <w:tc>
          <w:tcPr>
            <w:tcW w:w="1260" w:type="dxa"/>
            <w:noWrap w:val="0"/>
            <w:vAlign w:val="center"/>
          </w:tcPr>
          <w:p w14:paraId="5DFFDEFC">
            <w:pPr>
              <w:jc w:val="center"/>
              <w:rPr>
                <w:rFonts w:hint="eastAsia"/>
              </w:rPr>
            </w:pPr>
          </w:p>
        </w:tc>
        <w:tc>
          <w:tcPr>
            <w:tcW w:w="1260" w:type="dxa"/>
            <w:noWrap w:val="0"/>
            <w:vAlign w:val="center"/>
          </w:tcPr>
          <w:p w14:paraId="01D8DE16">
            <w:pPr>
              <w:jc w:val="center"/>
              <w:rPr>
                <w:rFonts w:hint="eastAsia"/>
              </w:rPr>
            </w:pPr>
          </w:p>
        </w:tc>
        <w:tc>
          <w:tcPr>
            <w:tcW w:w="1260" w:type="dxa"/>
            <w:noWrap w:val="0"/>
            <w:vAlign w:val="center"/>
          </w:tcPr>
          <w:p w14:paraId="55E020C3">
            <w:pPr>
              <w:jc w:val="center"/>
              <w:rPr>
                <w:rFonts w:hint="eastAsia"/>
              </w:rPr>
            </w:pPr>
          </w:p>
        </w:tc>
        <w:tc>
          <w:tcPr>
            <w:tcW w:w="937" w:type="dxa"/>
            <w:noWrap w:val="0"/>
            <w:vAlign w:val="center"/>
          </w:tcPr>
          <w:p w14:paraId="4CF512AB">
            <w:pPr>
              <w:jc w:val="center"/>
              <w:rPr>
                <w:rFonts w:hint="eastAsia"/>
              </w:rPr>
            </w:pPr>
          </w:p>
        </w:tc>
      </w:tr>
      <w:tr w14:paraId="3A770AE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noWrap w:val="0"/>
            <w:vAlign w:val="center"/>
          </w:tcPr>
          <w:p w14:paraId="5C8875CF">
            <w:pPr>
              <w:jc w:val="center"/>
              <w:rPr>
                <w:rFonts w:hint="eastAsia" w:ascii="黑体" w:eastAsia="黑体"/>
              </w:rPr>
            </w:pPr>
          </w:p>
        </w:tc>
        <w:tc>
          <w:tcPr>
            <w:tcW w:w="1152" w:type="dxa"/>
            <w:noWrap w:val="0"/>
            <w:vAlign w:val="center"/>
          </w:tcPr>
          <w:p w14:paraId="0160D4B6">
            <w:pPr>
              <w:rPr>
                <w:rFonts w:hint="eastAsia"/>
              </w:rPr>
            </w:pPr>
          </w:p>
        </w:tc>
        <w:tc>
          <w:tcPr>
            <w:tcW w:w="2368" w:type="dxa"/>
            <w:noWrap w:val="0"/>
            <w:vAlign w:val="center"/>
          </w:tcPr>
          <w:p w14:paraId="2D568250">
            <w:pPr>
              <w:rPr>
                <w:rFonts w:hint="eastAsia"/>
              </w:rPr>
            </w:pPr>
            <w:r>
              <w:rPr>
                <w:rFonts w:hint="eastAsia"/>
              </w:rPr>
              <w:t>已完工程及设备保护费</w:t>
            </w:r>
          </w:p>
        </w:tc>
        <w:tc>
          <w:tcPr>
            <w:tcW w:w="1260" w:type="dxa"/>
            <w:noWrap w:val="0"/>
            <w:vAlign w:val="center"/>
          </w:tcPr>
          <w:p w14:paraId="2E3ACA8A">
            <w:pPr>
              <w:jc w:val="center"/>
              <w:rPr>
                <w:rFonts w:hint="eastAsia"/>
              </w:rPr>
            </w:pPr>
          </w:p>
        </w:tc>
        <w:tc>
          <w:tcPr>
            <w:tcW w:w="1260" w:type="dxa"/>
            <w:noWrap w:val="0"/>
            <w:vAlign w:val="center"/>
          </w:tcPr>
          <w:p w14:paraId="717EEA13">
            <w:pPr>
              <w:jc w:val="center"/>
              <w:rPr>
                <w:rFonts w:hint="eastAsia"/>
              </w:rPr>
            </w:pPr>
          </w:p>
        </w:tc>
        <w:tc>
          <w:tcPr>
            <w:tcW w:w="1260" w:type="dxa"/>
            <w:noWrap w:val="0"/>
            <w:vAlign w:val="center"/>
          </w:tcPr>
          <w:p w14:paraId="63356196">
            <w:pPr>
              <w:jc w:val="center"/>
              <w:rPr>
                <w:rFonts w:hint="eastAsia"/>
              </w:rPr>
            </w:pPr>
          </w:p>
        </w:tc>
        <w:tc>
          <w:tcPr>
            <w:tcW w:w="937" w:type="dxa"/>
            <w:noWrap w:val="0"/>
            <w:vAlign w:val="center"/>
          </w:tcPr>
          <w:p w14:paraId="76262C8A">
            <w:pPr>
              <w:jc w:val="center"/>
              <w:rPr>
                <w:rFonts w:hint="eastAsia"/>
              </w:rPr>
            </w:pPr>
          </w:p>
        </w:tc>
      </w:tr>
      <w:tr w14:paraId="7370BED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noWrap w:val="0"/>
            <w:vAlign w:val="center"/>
          </w:tcPr>
          <w:p w14:paraId="1587B853">
            <w:pPr>
              <w:jc w:val="center"/>
              <w:rPr>
                <w:rFonts w:hint="eastAsia" w:ascii="黑体" w:eastAsia="黑体"/>
              </w:rPr>
            </w:pPr>
          </w:p>
        </w:tc>
        <w:tc>
          <w:tcPr>
            <w:tcW w:w="1152" w:type="dxa"/>
            <w:noWrap w:val="0"/>
            <w:vAlign w:val="center"/>
          </w:tcPr>
          <w:p w14:paraId="576B07F3">
            <w:pPr>
              <w:rPr>
                <w:rFonts w:hint="eastAsia"/>
              </w:rPr>
            </w:pPr>
          </w:p>
        </w:tc>
        <w:tc>
          <w:tcPr>
            <w:tcW w:w="2368" w:type="dxa"/>
            <w:noWrap w:val="0"/>
            <w:vAlign w:val="center"/>
          </w:tcPr>
          <w:p w14:paraId="7399D77D">
            <w:pPr>
              <w:rPr>
                <w:rFonts w:hint="eastAsia"/>
              </w:rPr>
            </w:pPr>
          </w:p>
        </w:tc>
        <w:tc>
          <w:tcPr>
            <w:tcW w:w="1260" w:type="dxa"/>
            <w:noWrap w:val="0"/>
            <w:vAlign w:val="center"/>
          </w:tcPr>
          <w:p w14:paraId="28BCED10">
            <w:pPr>
              <w:jc w:val="center"/>
              <w:rPr>
                <w:rFonts w:hint="eastAsia"/>
              </w:rPr>
            </w:pPr>
          </w:p>
        </w:tc>
        <w:tc>
          <w:tcPr>
            <w:tcW w:w="1260" w:type="dxa"/>
            <w:noWrap w:val="0"/>
            <w:vAlign w:val="center"/>
          </w:tcPr>
          <w:p w14:paraId="2F6FFAC4">
            <w:pPr>
              <w:jc w:val="center"/>
              <w:rPr>
                <w:rFonts w:hint="eastAsia"/>
              </w:rPr>
            </w:pPr>
          </w:p>
        </w:tc>
        <w:tc>
          <w:tcPr>
            <w:tcW w:w="1260" w:type="dxa"/>
            <w:noWrap w:val="0"/>
            <w:vAlign w:val="center"/>
          </w:tcPr>
          <w:p w14:paraId="456857F1">
            <w:pPr>
              <w:jc w:val="center"/>
              <w:rPr>
                <w:rFonts w:hint="eastAsia"/>
              </w:rPr>
            </w:pPr>
          </w:p>
        </w:tc>
        <w:tc>
          <w:tcPr>
            <w:tcW w:w="937" w:type="dxa"/>
            <w:noWrap w:val="0"/>
            <w:vAlign w:val="center"/>
          </w:tcPr>
          <w:p w14:paraId="2B5744A2">
            <w:pPr>
              <w:jc w:val="center"/>
              <w:rPr>
                <w:rFonts w:hint="eastAsia"/>
              </w:rPr>
            </w:pPr>
          </w:p>
        </w:tc>
      </w:tr>
      <w:tr w14:paraId="02E674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noWrap w:val="0"/>
            <w:vAlign w:val="center"/>
          </w:tcPr>
          <w:p w14:paraId="7781CEEA">
            <w:pPr>
              <w:jc w:val="center"/>
              <w:rPr>
                <w:rFonts w:hint="eastAsia" w:ascii="黑体" w:eastAsia="黑体"/>
              </w:rPr>
            </w:pPr>
          </w:p>
        </w:tc>
        <w:tc>
          <w:tcPr>
            <w:tcW w:w="1152" w:type="dxa"/>
            <w:noWrap w:val="0"/>
            <w:vAlign w:val="center"/>
          </w:tcPr>
          <w:p w14:paraId="09A5B573">
            <w:pPr>
              <w:rPr>
                <w:rFonts w:hint="eastAsia"/>
              </w:rPr>
            </w:pPr>
          </w:p>
        </w:tc>
        <w:tc>
          <w:tcPr>
            <w:tcW w:w="2368" w:type="dxa"/>
            <w:noWrap w:val="0"/>
            <w:vAlign w:val="center"/>
          </w:tcPr>
          <w:p w14:paraId="3B16D1E7">
            <w:pPr>
              <w:rPr>
                <w:rFonts w:hint="eastAsia"/>
              </w:rPr>
            </w:pPr>
          </w:p>
        </w:tc>
        <w:tc>
          <w:tcPr>
            <w:tcW w:w="1260" w:type="dxa"/>
            <w:noWrap w:val="0"/>
            <w:vAlign w:val="center"/>
          </w:tcPr>
          <w:p w14:paraId="62EE2A1F">
            <w:pPr>
              <w:jc w:val="center"/>
              <w:rPr>
                <w:rFonts w:hint="eastAsia"/>
              </w:rPr>
            </w:pPr>
          </w:p>
        </w:tc>
        <w:tc>
          <w:tcPr>
            <w:tcW w:w="1260" w:type="dxa"/>
            <w:noWrap w:val="0"/>
            <w:vAlign w:val="center"/>
          </w:tcPr>
          <w:p w14:paraId="202F8854">
            <w:pPr>
              <w:jc w:val="center"/>
              <w:rPr>
                <w:rFonts w:hint="eastAsia"/>
              </w:rPr>
            </w:pPr>
          </w:p>
        </w:tc>
        <w:tc>
          <w:tcPr>
            <w:tcW w:w="1260" w:type="dxa"/>
            <w:noWrap w:val="0"/>
            <w:vAlign w:val="center"/>
          </w:tcPr>
          <w:p w14:paraId="0C388C63">
            <w:pPr>
              <w:jc w:val="center"/>
              <w:rPr>
                <w:rFonts w:hint="eastAsia"/>
              </w:rPr>
            </w:pPr>
          </w:p>
        </w:tc>
        <w:tc>
          <w:tcPr>
            <w:tcW w:w="937" w:type="dxa"/>
            <w:noWrap w:val="0"/>
            <w:vAlign w:val="center"/>
          </w:tcPr>
          <w:p w14:paraId="65AF2018">
            <w:pPr>
              <w:jc w:val="center"/>
              <w:rPr>
                <w:rFonts w:hint="eastAsia"/>
              </w:rPr>
            </w:pPr>
          </w:p>
        </w:tc>
      </w:tr>
      <w:tr w14:paraId="7ABAAF7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576" w:type="dxa"/>
            <w:noWrap w:val="0"/>
            <w:vAlign w:val="center"/>
          </w:tcPr>
          <w:p w14:paraId="2A087C31">
            <w:pPr>
              <w:jc w:val="center"/>
              <w:rPr>
                <w:rFonts w:hint="eastAsia" w:ascii="黑体" w:eastAsia="黑体"/>
              </w:rPr>
            </w:pPr>
          </w:p>
        </w:tc>
        <w:tc>
          <w:tcPr>
            <w:tcW w:w="1152" w:type="dxa"/>
            <w:noWrap w:val="0"/>
            <w:vAlign w:val="center"/>
          </w:tcPr>
          <w:p w14:paraId="55D10E66">
            <w:pPr>
              <w:rPr>
                <w:rFonts w:hint="eastAsia"/>
              </w:rPr>
            </w:pPr>
          </w:p>
        </w:tc>
        <w:tc>
          <w:tcPr>
            <w:tcW w:w="2368" w:type="dxa"/>
            <w:noWrap w:val="0"/>
            <w:vAlign w:val="center"/>
          </w:tcPr>
          <w:p w14:paraId="18D600C9">
            <w:pPr>
              <w:rPr>
                <w:rFonts w:hint="eastAsia"/>
              </w:rPr>
            </w:pPr>
          </w:p>
        </w:tc>
        <w:tc>
          <w:tcPr>
            <w:tcW w:w="1260" w:type="dxa"/>
            <w:noWrap w:val="0"/>
            <w:vAlign w:val="center"/>
          </w:tcPr>
          <w:p w14:paraId="552AC033">
            <w:pPr>
              <w:jc w:val="center"/>
              <w:rPr>
                <w:rFonts w:hint="eastAsia"/>
              </w:rPr>
            </w:pPr>
          </w:p>
        </w:tc>
        <w:tc>
          <w:tcPr>
            <w:tcW w:w="1260" w:type="dxa"/>
            <w:noWrap w:val="0"/>
            <w:vAlign w:val="center"/>
          </w:tcPr>
          <w:p w14:paraId="79E79BA9">
            <w:pPr>
              <w:jc w:val="center"/>
              <w:rPr>
                <w:rFonts w:hint="eastAsia"/>
              </w:rPr>
            </w:pPr>
          </w:p>
        </w:tc>
        <w:tc>
          <w:tcPr>
            <w:tcW w:w="1260" w:type="dxa"/>
            <w:noWrap w:val="0"/>
            <w:vAlign w:val="center"/>
          </w:tcPr>
          <w:p w14:paraId="67CABC5A">
            <w:pPr>
              <w:jc w:val="center"/>
              <w:rPr>
                <w:rFonts w:hint="eastAsia"/>
              </w:rPr>
            </w:pPr>
          </w:p>
        </w:tc>
        <w:tc>
          <w:tcPr>
            <w:tcW w:w="937" w:type="dxa"/>
            <w:noWrap w:val="0"/>
            <w:vAlign w:val="center"/>
          </w:tcPr>
          <w:p w14:paraId="55B93451">
            <w:pPr>
              <w:jc w:val="center"/>
              <w:rPr>
                <w:rFonts w:hint="eastAsia"/>
              </w:rPr>
            </w:pPr>
          </w:p>
        </w:tc>
      </w:tr>
      <w:tr w14:paraId="6B521EE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76" w:type="dxa"/>
            <w:noWrap w:val="0"/>
            <w:vAlign w:val="center"/>
          </w:tcPr>
          <w:p w14:paraId="41A536CE">
            <w:pPr>
              <w:jc w:val="center"/>
              <w:rPr>
                <w:rFonts w:hint="eastAsia" w:ascii="黑体" w:eastAsia="黑体"/>
              </w:rPr>
            </w:pPr>
          </w:p>
        </w:tc>
        <w:tc>
          <w:tcPr>
            <w:tcW w:w="1152" w:type="dxa"/>
            <w:noWrap w:val="0"/>
            <w:vAlign w:val="center"/>
          </w:tcPr>
          <w:p w14:paraId="1F97E66D">
            <w:pPr>
              <w:rPr>
                <w:rFonts w:hint="eastAsia"/>
              </w:rPr>
            </w:pPr>
          </w:p>
        </w:tc>
        <w:tc>
          <w:tcPr>
            <w:tcW w:w="2368" w:type="dxa"/>
            <w:noWrap w:val="0"/>
            <w:vAlign w:val="center"/>
          </w:tcPr>
          <w:p w14:paraId="024F3F3E">
            <w:pPr>
              <w:rPr>
                <w:rFonts w:hint="eastAsia"/>
              </w:rPr>
            </w:pPr>
          </w:p>
        </w:tc>
        <w:tc>
          <w:tcPr>
            <w:tcW w:w="1260" w:type="dxa"/>
            <w:noWrap w:val="0"/>
            <w:vAlign w:val="center"/>
          </w:tcPr>
          <w:p w14:paraId="3F206ECD">
            <w:pPr>
              <w:jc w:val="center"/>
              <w:rPr>
                <w:rFonts w:hint="eastAsia"/>
              </w:rPr>
            </w:pPr>
          </w:p>
        </w:tc>
        <w:tc>
          <w:tcPr>
            <w:tcW w:w="1260" w:type="dxa"/>
            <w:noWrap w:val="0"/>
            <w:vAlign w:val="center"/>
          </w:tcPr>
          <w:p w14:paraId="53CC2B0B">
            <w:pPr>
              <w:jc w:val="center"/>
              <w:rPr>
                <w:rFonts w:hint="eastAsia"/>
              </w:rPr>
            </w:pPr>
          </w:p>
        </w:tc>
        <w:tc>
          <w:tcPr>
            <w:tcW w:w="1260" w:type="dxa"/>
            <w:noWrap w:val="0"/>
            <w:vAlign w:val="center"/>
          </w:tcPr>
          <w:p w14:paraId="5C6F3944">
            <w:pPr>
              <w:jc w:val="center"/>
              <w:rPr>
                <w:rFonts w:hint="eastAsia"/>
              </w:rPr>
            </w:pPr>
          </w:p>
        </w:tc>
        <w:tc>
          <w:tcPr>
            <w:tcW w:w="937" w:type="dxa"/>
            <w:noWrap w:val="0"/>
            <w:vAlign w:val="center"/>
          </w:tcPr>
          <w:p w14:paraId="5D47B71E">
            <w:pPr>
              <w:jc w:val="center"/>
              <w:rPr>
                <w:rFonts w:hint="eastAsia"/>
              </w:rPr>
            </w:pPr>
          </w:p>
        </w:tc>
      </w:tr>
      <w:tr w14:paraId="69039F2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6616" w:type="dxa"/>
            <w:gridSpan w:val="5"/>
            <w:noWrap w:val="0"/>
            <w:vAlign w:val="center"/>
          </w:tcPr>
          <w:p w14:paraId="36B00ABE">
            <w:pPr>
              <w:jc w:val="center"/>
              <w:rPr>
                <w:rFonts w:hint="eastAsia"/>
              </w:rPr>
            </w:pPr>
            <w:r>
              <w:rPr>
                <w:rFonts w:hint="eastAsia" w:ascii="黑体" w:eastAsia="黑体"/>
              </w:rPr>
              <w:t>合计</w:t>
            </w:r>
          </w:p>
        </w:tc>
        <w:tc>
          <w:tcPr>
            <w:tcW w:w="1260" w:type="dxa"/>
            <w:noWrap w:val="0"/>
            <w:vAlign w:val="center"/>
          </w:tcPr>
          <w:p w14:paraId="473C6029">
            <w:pPr>
              <w:jc w:val="center"/>
              <w:rPr>
                <w:rFonts w:hint="eastAsia"/>
              </w:rPr>
            </w:pPr>
          </w:p>
        </w:tc>
        <w:tc>
          <w:tcPr>
            <w:tcW w:w="937" w:type="dxa"/>
            <w:noWrap w:val="0"/>
            <w:vAlign w:val="center"/>
          </w:tcPr>
          <w:p w14:paraId="7DF87EB8">
            <w:pPr>
              <w:jc w:val="center"/>
              <w:rPr>
                <w:rFonts w:hint="eastAsia"/>
              </w:rPr>
            </w:pPr>
          </w:p>
        </w:tc>
      </w:tr>
    </w:tbl>
    <w:p w14:paraId="028F15DF">
      <w:pPr>
        <w:autoSpaceDE w:val="0"/>
        <w:autoSpaceDN w:val="0"/>
        <w:adjustRightInd w:val="0"/>
        <w:snapToGrid w:val="0"/>
        <w:jc w:val="left"/>
        <w:rPr>
          <w:rFonts w:hint="eastAsia" w:ascii="宋体" w:hAnsi="宋体" w:cs="宋体"/>
          <w:kern w:val="0"/>
          <w:sz w:val="19"/>
          <w:szCs w:val="19"/>
        </w:rPr>
      </w:pPr>
    </w:p>
    <w:p w14:paraId="7DD8B6EB">
      <w:r>
        <w:t>编制人（造价人员）：</w:t>
      </w:r>
      <w:r>
        <w:rPr>
          <w:rFonts w:hint="eastAsia"/>
        </w:rPr>
        <w:t xml:space="preserve">                           </w:t>
      </w:r>
      <w:r>
        <w:t>复核人（造价工程师）：</w:t>
      </w:r>
    </w:p>
    <w:p w14:paraId="4D28B9D2">
      <w:pPr>
        <w:autoSpaceDE w:val="0"/>
        <w:autoSpaceDN w:val="0"/>
        <w:adjustRightInd w:val="0"/>
        <w:snapToGrid w:val="0"/>
        <w:jc w:val="left"/>
        <w:rPr>
          <w:kern w:val="0"/>
          <w:sz w:val="24"/>
        </w:rPr>
      </w:pPr>
    </w:p>
    <w:p w14:paraId="641DFBDD">
      <w:pPr>
        <w:ind w:left="735" w:hanging="735" w:hangingChars="350"/>
      </w:pPr>
      <w:r>
        <w:rPr>
          <w:rFonts w:hint="eastAsia" w:ascii="宋体" w:hAnsi="宋体"/>
        </w:rPr>
        <w:t>注：1．</w:t>
      </w:r>
      <w:r>
        <w:rPr>
          <w:rFonts w:ascii="宋体" w:hAnsi="宋体"/>
        </w:rPr>
        <w:t>“计价基础”中安全文明施工费可为“定额人工费+定额机械费”，其他项目可为“定额人工费+定额机械费</w:t>
      </w:r>
      <w:r>
        <w:t>”。</w:t>
      </w:r>
    </w:p>
    <w:p w14:paraId="2EF8EE04">
      <w:pPr>
        <w:ind w:left="735" w:leftChars="200" w:hanging="315" w:hangingChars="150"/>
      </w:pPr>
      <w:r>
        <w:rPr>
          <w:rFonts w:hint="eastAsia"/>
        </w:rPr>
        <w:t>2．</w:t>
      </w:r>
      <w:r>
        <w:t>按施工方案计算的措施费，若无“计算基础”和“费率”的数值，也可只填“金额”数值，但应在</w:t>
      </w:r>
      <w:r>
        <w:rPr>
          <w:rFonts w:hint="eastAsia"/>
        </w:rPr>
        <w:t>备注栏说明</w:t>
      </w:r>
      <w:r>
        <w:t>施工方案出处</w:t>
      </w:r>
      <w:r>
        <w:rPr>
          <w:rFonts w:hint="eastAsia"/>
        </w:rPr>
        <w:t>或</w:t>
      </w:r>
      <w:r>
        <w:t>计算方法。</w:t>
      </w:r>
    </w:p>
    <w:p w14:paraId="31AC8CCA">
      <w:pPr>
        <w:rPr>
          <w:rFonts w:hint="eastAsia"/>
        </w:rPr>
      </w:pPr>
    </w:p>
    <w:p w14:paraId="1A9B48C4">
      <w:pPr>
        <w:rPr>
          <w:rFonts w:hint="eastAsia"/>
        </w:rPr>
      </w:pPr>
    </w:p>
    <w:p w14:paraId="12DC1393">
      <w:pPr>
        <w:rPr>
          <w:rFonts w:hint="eastAsia"/>
        </w:rPr>
      </w:pPr>
    </w:p>
    <w:p w14:paraId="3831564D">
      <w:pPr>
        <w:pStyle w:val="20"/>
        <w:rPr>
          <w:rFonts w:hint="eastAsia"/>
        </w:rPr>
      </w:pPr>
      <w:bookmarkStart w:id="2595" w:name="_Toc108514181"/>
      <w:r>
        <w:rPr>
          <w:rFonts w:hint="eastAsia"/>
        </w:rPr>
        <w:t>4.12其他项目清单与计价汇总表</w:t>
      </w:r>
      <w:bookmarkEnd w:id="2595"/>
    </w:p>
    <w:p w14:paraId="2AC0F515">
      <w:pPr>
        <w:spacing w:before="120" w:beforeLines="50" w:after="120" w:afterLines="50"/>
        <w:jc w:val="center"/>
        <w:rPr>
          <w:rFonts w:ascii="黑体" w:eastAsia="黑体"/>
          <w:sz w:val="28"/>
          <w:szCs w:val="28"/>
        </w:rPr>
      </w:pPr>
      <w:r>
        <w:rPr>
          <w:rFonts w:hint="eastAsia" w:ascii="黑体" w:eastAsia="黑体"/>
          <w:sz w:val="28"/>
          <w:szCs w:val="28"/>
        </w:rPr>
        <w:t>其他项目清单与计价汇总表</w:t>
      </w:r>
    </w:p>
    <w:p w14:paraId="71CDBB3A">
      <w:pPr>
        <w:rPr>
          <w:rFonts w:hint="eastAsia"/>
        </w:rPr>
      </w:pPr>
      <w:r>
        <w:rPr>
          <w:rFonts w:hint="eastAsia"/>
        </w:rPr>
        <w:t>工程名称：                         标段名称：                  第  页 共  页</w:t>
      </w:r>
    </w:p>
    <w:tbl>
      <w:tblPr>
        <w:tblStyle w:val="15"/>
        <w:tblW w:w="8463"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2924"/>
        <w:gridCol w:w="1573"/>
        <w:gridCol w:w="1573"/>
        <w:gridCol w:w="1574"/>
      </w:tblGrid>
      <w:tr w14:paraId="0110684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noWrap w:val="0"/>
            <w:vAlign w:val="center"/>
          </w:tcPr>
          <w:p w14:paraId="4364556D">
            <w:pPr>
              <w:jc w:val="center"/>
              <w:rPr>
                <w:rFonts w:hint="eastAsia"/>
              </w:rPr>
            </w:pPr>
            <w:r>
              <w:rPr>
                <w:rFonts w:hint="eastAsia"/>
              </w:rPr>
              <w:t>序号</w:t>
            </w:r>
          </w:p>
        </w:tc>
        <w:tc>
          <w:tcPr>
            <w:tcW w:w="2924" w:type="dxa"/>
            <w:noWrap w:val="0"/>
            <w:vAlign w:val="center"/>
          </w:tcPr>
          <w:p w14:paraId="6F8B190E">
            <w:pPr>
              <w:jc w:val="center"/>
              <w:rPr>
                <w:rFonts w:hint="eastAsia"/>
              </w:rPr>
            </w:pPr>
            <w:r>
              <w:rPr>
                <w:rFonts w:hint="eastAsia"/>
              </w:rPr>
              <w:t>项目名称</w:t>
            </w:r>
          </w:p>
        </w:tc>
        <w:tc>
          <w:tcPr>
            <w:tcW w:w="1573" w:type="dxa"/>
            <w:noWrap w:val="0"/>
            <w:vAlign w:val="center"/>
          </w:tcPr>
          <w:p w14:paraId="391496D3">
            <w:pPr>
              <w:jc w:val="center"/>
              <w:rPr>
                <w:rFonts w:hint="eastAsia"/>
              </w:rPr>
            </w:pPr>
            <w:r>
              <w:rPr>
                <w:rFonts w:hint="eastAsia"/>
              </w:rPr>
              <w:t>金额(元)</w:t>
            </w:r>
          </w:p>
        </w:tc>
        <w:tc>
          <w:tcPr>
            <w:tcW w:w="1573" w:type="dxa"/>
            <w:noWrap w:val="0"/>
            <w:vAlign w:val="center"/>
          </w:tcPr>
          <w:p w14:paraId="125C2815">
            <w:pPr>
              <w:jc w:val="center"/>
              <w:rPr>
                <w:rFonts w:hint="eastAsia"/>
              </w:rPr>
            </w:pPr>
            <w:r>
              <w:rPr>
                <w:rFonts w:hint="eastAsia"/>
              </w:rPr>
              <w:t>结算金额(元)</w:t>
            </w:r>
          </w:p>
        </w:tc>
        <w:tc>
          <w:tcPr>
            <w:tcW w:w="1574" w:type="dxa"/>
            <w:noWrap w:val="0"/>
            <w:vAlign w:val="center"/>
          </w:tcPr>
          <w:p w14:paraId="573EA5ED">
            <w:pPr>
              <w:jc w:val="center"/>
              <w:rPr>
                <w:rFonts w:hint="eastAsia"/>
              </w:rPr>
            </w:pPr>
            <w:r>
              <w:rPr>
                <w:rFonts w:hint="eastAsia"/>
              </w:rPr>
              <w:t>备注</w:t>
            </w:r>
          </w:p>
        </w:tc>
      </w:tr>
      <w:tr w14:paraId="61CF54B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noWrap w:val="0"/>
            <w:vAlign w:val="center"/>
          </w:tcPr>
          <w:p w14:paraId="3A99843F">
            <w:pPr>
              <w:jc w:val="center"/>
              <w:rPr>
                <w:rFonts w:hint="eastAsia" w:ascii="黑体" w:eastAsia="黑体"/>
              </w:rPr>
            </w:pPr>
            <w:r>
              <w:rPr>
                <w:rFonts w:hint="eastAsia" w:ascii="黑体" w:eastAsia="黑体"/>
              </w:rPr>
              <w:t>1</w:t>
            </w:r>
          </w:p>
        </w:tc>
        <w:tc>
          <w:tcPr>
            <w:tcW w:w="2924" w:type="dxa"/>
            <w:noWrap w:val="0"/>
            <w:vAlign w:val="center"/>
          </w:tcPr>
          <w:p w14:paraId="536C0909">
            <w:pPr>
              <w:rPr>
                <w:rFonts w:hint="eastAsia"/>
              </w:rPr>
            </w:pPr>
            <w:r>
              <w:rPr>
                <w:rFonts w:hint="eastAsia"/>
              </w:rPr>
              <w:t>暂列金额</w:t>
            </w:r>
          </w:p>
        </w:tc>
        <w:tc>
          <w:tcPr>
            <w:tcW w:w="1573" w:type="dxa"/>
            <w:noWrap w:val="0"/>
            <w:vAlign w:val="center"/>
          </w:tcPr>
          <w:p w14:paraId="3D6C379C">
            <w:pPr>
              <w:jc w:val="center"/>
              <w:rPr>
                <w:rFonts w:hint="eastAsia"/>
              </w:rPr>
            </w:pPr>
          </w:p>
        </w:tc>
        <w:tc>
          <w:tcPr>
            <w:tcW w:w="1573" w:type="dxa"/>
            <w:noWrap w:val="0"/>
            <w:vAlign w:val="center"/>
          </w:tcPr>
          <w:p w14:paraId="5FDE87D7">
            <w:pPr>
              <w:jc w:val="center"/>
              <w:rPr>
                <w:rFonts w:hint="eastAsia"/>
              </w:rPr>
            </w:pPr>
          </w:p>
        </w:tc>
        <w:tc>
          <w:tcPr>
            <w:tcW w:w="1574" w:type="dxa"/>
            <w:noWrap w:val="0"/>
            <w:vAlign w:val="center"/>
          </w:tcPr>
          <w:p w14:paraId="0342420B">
            <w:pPr>
              <w:jc w:val="center"/>
              <w:rPr>
                <w:rFonts w:hint="eastAsia"/>
              </w:rPr>
            </w:pPr>
            <w:r>
              <w:rPr>
                <w:rFonts w:hint="eastAsia"/>
              </w:rPr>
              <w:t>明细详见</w:t>
            </w:r>
          </w:p>
          <w:p w14:paraId="673CD16C">
            <w:pPr>
              <w:jc w:val="center"/>
              <w:rPr>
                <w:rFonts w:hint="eastAsia"/>
              </w:rPr>
            </w:pPr>
            <w:r>
              <w:rPr>
                <w:rFonts w:hint="eastAsia"/>
              </w:rPr>
              <w:t>表4.12-1</w:t>
            </w:r>
          </w:p>
        </w:tc>
      </w:tr>
      <w:tr w14:paraId="1C42BB1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bottom w:val="single" w:color="auto" w:sz="6" w:space="0"/>
            </w:tcBorders>
            <w:noWrap w:val="0"/>
            <w:vAlign w:val="center"/>
          </w:tcPr>
          <w:p w14:paraId="3AFA8FF1">
            <w:pPr>
              <w:jc w:val="center"/>
              <w:rPr>
                <w:rFonts w:hint="eastAsia" w:ascii="黑体" w:eastAsia="黑体"/>
              </w:rPr>
            </w:pPr>
            <w:r>
              <w:rPr>
                <w:rFonts w:hint="eastAsia" w:ascii="黑体" w:eastAsia="黑体"/>
              </w:rPr>
              <w:t>2</w:t>
            </w:r>
          </w:p>
        </w:tc>
        <w:tc>
          <w:tcPr>
            <w:tcW w:w="2924" w:type="dxa"/>
            <w:noWrap w:val="0"/>
            <w:vAlign w:val="center"/>
          </w:tcPr>
          <w:p w14:paraId="1B74E8B7">
            <w:pPr>
              <w:rPr>
                <w:rFonts w:hint="eastAsia"/>
              </w:rPr>
            </w:pPr>
            <w:r>
              <w:rPr>
                <w:rFonts w:hint="eastAsia"/>
              </w:rPr>
              <w:t>暂估价</w:t>
            </w:r>
          </w:p>
        </w:tc>
        <w:tc>
          <w:tcPr>
            <w:tcW w:w="1573" w:type="dxa"/>
            <w:noWrap w:val="0"/>
            <w:vAlign w:val="center"/>
          </w:tcPr>
          <w:p w14:paraId="60F244D5">
            <w:pPr>
              <w:jc w:val="center"/>
              <w:rPr>
                <w:rFonts w:hint="eastAsia"/>
              </w:rPr>
            </w:pPr>
          </w:p>
        </w:tc>
        <w:tc>
          <w:tcPr>
            <w:tcW w:w="1573" w:type="dxa"/>
            <w:noWrap w:val="0"/>
            <w:vAlign w:val="center"/>
          </w:tcPr>
          <w:p w14:paraId="0353FB35">
            <w:pPr>
              <w:jc w:val="center"/>
              <w:rPr>
                <w:rFonts w:hint="eastAsia"/>
              </w:rPr>
            </w:pPr>
          </w:p>
        </w:tc>
        <w:tc>
          <w:tcPr>
            <w:tcW w:w="1574" w:type="dxa"/>
            <w:noWrap w:val="0"/>
            <w:vAlign w:val="center"/>
          </w:tcPr>
          <w:p w14:paraId="3D377657">
            <w:pPr>
              <w:jc w:val="center"/>
              <w:rPr>
                <w:rFonts w:hint="eastAsia"/>
              </w:rPr>
            </w:pPr>
          </w:p>
        </w:tc>
      </w:tr>
      <w:tr w14:paraId="75DF2E3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6" w:space="0"/>
            </w:tcBorders>
            <w:noWrap w:val="0"/>
            <w:vAlign w:val="center"/>
          </w:tcPr>
          <w:p w14:paraId="0924725D">
            <w:pPr>
              <w:jc w:val="center"/>
              <w:rPr>
                <w:rFonts w:hint="eastAsia" w:ascii="黑体" w:eastAsia="黑体"/>
              </w:rPr>
            </w:pPr>
            <w:r>
              <w:rPr>
                <w:rFonts w:hint="eastAsia" w:ascii="黑体" w:eastAsia="黑体"/>
              </w:rPr>
              <w:t>2.1</w:t>
            </w:r>
          </w:p>
        </w:tc>
        <w:tc>
          <w:tcPr>
            <w:tcW w:w="2924" w:type="dxa"/>
            <w:noWrap w:val="0"/>
            <w:vAlign w:val="center"/>
          </w:tcPr>
          <w:p w14:paraId="40AEFA5F">
            <w:pPr>
              <w:rPr>
                <w:rFonts w:hint="eastAsia"/>
              </w:rPr>
            </w:pPr>
            <w:r>
              <w:rPr>
                <w:rFonts w:hint="eastAsia"/>
              </w:rPr>
              <w:t>材料（工程设备）暂估价</w:t>
            </w:r>
          </w:p>
        </w:tc>
        <w:tc>
          <w:tcPr>
            <w:tcW w:w="1573" w:type="dxa"/>
            <w:noWrap w:val="0"/>
            <w:vAlign w:val="center"/>
          </w:tcPr>
          <w:p w14:paraId="2A9E2C16">
            <w:pPr>
              <w:jc w:val="center"/>
              <w:rPr>
                <w:rFonts w:hint="eastAsia"/>
              </w:rPr>
            </w:pPr>
            <w:r>
              <w:rPr>
                <w:rFonts w:hint="eastAsia"/>
                <w:szCs w:val="21"/>
              </w:rPr>
              <w:t>—</w:t>
            </w:r>
          </w:p>
        </w:tc>
        <w:tc>
          <w:tcPr>
            <w:tcW w:w="1573" w:type="dxa"/>
            <w:noWrap w:val="0"/>
            <w:vAlign w:val="center"/>
          </w:tcPr>
          <w:p w14:paraId="0429E2E7">
            <w:pPr>
              <w:jc w:val="center"/>
              <w:rPr>
                <w:rFonts w:hint="eastAsia"/>
              </w:rPr>
            </w:pPr>
          </w:p>
        </w:tc>
        <w:tc>
          <w:tcPr>
            <w:tcW w:w="1574" w:type="dxa"/>
            <w:noWrap w:val="0"/>
            <w:vAlign w:val="center"/>
          </w:tcPr>
          <w:p w14:paraId="55B4EB83">
            <w:pPr>
              <w:jc w:val="center"/>
              <w:rPr>
                <w:rFonts w:hint="eastAsia"/>
              </w:rPr>
            </w:pPr>
            <w:r>
              <w:rPr>
                <w:rFonts w:hint="eastAsia"/>
              </w:rPr>
              <w:t>明细详见</w:t>
            </w:r>
          </w:p>
          <w:p w14:paraId="635CA611">
            <w:pPr>
              <w:jc w:val="center"/>
              <w:rPr>
                <w:rFonts w:hint="eastAsia"/>
              </w:rPr>
            </w:pPr>
            <w:r>
              <w:rPr>
                <w:rFonts w:hint="eastAsia"/>
              </w:rPr>
              <w:t>表4.12-2</w:t>
            </w:r>
          </w:p>
        </w:tc>
      </w:tr>
      <w:tr w14:paraId="5EB3E3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noWrap w:val="0"/>
            <w:vAlign w:val="center"/>
          </w:tcPr>
          <w:p w14:paraId="0BE09E90">
            <w:pPr>
              <w:jc w:val="center"/>
              <w:rPr>
                <w:rFonts w:hint="eastAsia" w:ascii="黑体" w:eastAsia="黑体"/>
              </w:rPr>
            </w:pPr>
            <w:r>
              <w:rPr>
                <w:rFonts w:hint="eastAsia" w:ascii="黑体" w:eastAsia="黑体"/>
              </w:rPr>
              <w:t>2.2</w:t>
            </w:r>
          </w:p>
        </w:tc>
        <w:tc>
          <w:tcPr>
            <w:tcW w:w="2924" w:type="dxa"/>
            <w:noWrap w:val="0"/>
            <w:vAlign w:val="center"/>
          </w:tcPr>
          <w:p w14:paraId="411B0677">
            <w:pPr>
              <w:rPr>
                <w:rFonts w:hint="eastAsia"/>
              </w:rPr>
            </w:pPr>
            <w:r>
              <w:rPr>
                <w:rFonts w:hint="eastAsia"/>
              </w:rPr>
              <w:t>专业工程暂估价</w:t>
            </w:r>
          </w:p>
        </w:tc>
        <w:tc>
          <w:tcPr>
            <w:tcW w:w="1573" w:type="dxa"/>
            <w:noWrap w:val="0"/>
            <w:vAlign w:val="center"/>
          </w:tcPr>
          <w:p w14:paraId="059959EA">
            <w:pPr>
              <w:jc w:val="center"/>
              <w:rPr>
                <w:rFonts w:hint="eastAsia"/>
              </w:rPr>
            </w:pPr>
          </w:p>
        </w:tc>
        <w:tc>
          <w:tcPr>
            <w:tcW w:w="1573" w:type="dxa"/>
            <w:noWrap w:val="0"/>
            <w:vAlign w:val="center"/>
          </w:tcPr>
          <w:p w14:paraId="7791EF3D">
            <w:pPr>
              <w:jc w:val="center"/>
              <w:rPr>
                <w:rFonts w:hint="eastAsia"/>
              </w:rPr>
            </w:pPr>
          </w:p>
        </w:tc>
        <w:tc>
          <w:tcPr>
            <w:tcW w:w="1574" w:type="dxa"/>
            <w:noWrap w:val="0"/>
            <w:vAlign w:val="center"/>
          </w:tcPr>
          <w:p w14:paraId="3AC635FF">
            <w:pPr>
              <w:jc w:val="center"/>
              <w:rPr>
                <w:rFonts w:hint="eastAsia"/>
              </w:rPr>
            </w:pPr>
            <w:r>
              <w:rPr>
                <w:rFonts w:hint="eastAsia"/>
              </w:rPr>
              <w:t>明细详见</w:t>
            </w:r>
          </w:p>
          <w:p w14:paraId="7A0D0092">
            <w:pPr>
              <w:jc w:val="center"/>
              <w:rPr>
                <w:rFonts w:hint="eastAsia"/>
              </w:rPr>
            </w:pPr>
            <w:r>
              <w:rPr>
                <w:rFonts w:hint="eastAsia"/>
              </w:rPr>
              <w:t>表4.12-3</w:t>
            </w:r>
          </w:p>
        </w:tc>
      </w:tr>
      <w:tr w14:paraId="394C0A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noWrap w:val="0"/>
            <w:vAlign w:val="center"/>
          </w:tcPr>
          <w:p w14:paraId="2BEE6088">
            <w:pPr>
              <w:jc w:val="center"/>
              <w:rPr>
                <w:rFonts w:hint="eastAsia" w:ascii="黑体" w:eastAsia="黑体"/>
              </w:rPr>
            </w:pPr>
            <w:r>
              <w:rPr>
                <w:rFonts w:hint="eastAsia" w:ascii="黑体" w:eastAsia="黑体"/>
              </w:rPr>
              <w:t>3</w:t>
            </w:r>
          </w:p>
        </w:tc>
        <w:tc>
          <w:tcPr>
            <w:tcW w:w="2924" w:type="dxa"/>
            <w:noWrap w:val="0"/>
            <w:vAlign w:val="center"/>
          </w:tcPr>
          <w:p w14:paraId="6E234C11">
            <w:pPr>
              <w:rPr>
                <w:rFonts w:hint="eastAsia"/>
              </w:rPr>
            </w:pPr>
            <w:r>
              <w:rPr>
                <w:rFonts w:hint="eastAsia"/>
              </w:rPr>
              <w:t>计日工</w:t>
            </w:r>
          </w:p>
        </w:tc>
        <w:tc>
          <w:tcPr>
            <w:tcW w:w="1573" w:type="dxa"/>
            <w:noWrap w:val="0"/>
            <w:vAlign w:val="center"/>
          </w:tcPr>
          <w:p w14:paraId="43C8E3FC">
            <w:pPr>
              <w:jc w:val="center"/>
              <w:rPr>
                <w:rFonts w:hint="eastAsia"/>
              </w:rPr>
            </w:pPr>
          </w:p>
        </w:tc>
        <w:tc>
          <w:tcPr>
            <w:tcW w:w="1573" w:type="dxa"/>
            <w:noWrap w:val="0"/>
            <w:vAlign w:val="center"/>
          </w:tcPr>
          <w:p w14:paraId="31F99C3D">
            <w:pPr>
              <w:jc w:val="center"/>
              <w:rPr>
                <w:rFonts w:hint="eastAsia"/>
              </w:rPr>
            </w:pPr>
          </w:p>
        </w:tc>
        <w:tc>
          <w:tcPr>
            <w:tcW w:w="1574" w:type="dxa"/>
            <w:noWrap w:val="0"/>
            <w:vAlign w:val="center"/>
          </w:tcPr>
          <w:p w14:paraId="0208695C">
            <w:pPr>
              <w:jc w:val="center"/>
              <w:rPr>
                <w:rFonts w:hint="eastAsia"/>
              </w:rPr>
            </w:pPr>
            <w:r>
              <w:rPr>
                <w:rFonts w:hint="eastAsia"/>
              </w:rPr>
              <w:t>明细详见</w:t>
            </w:r>
          </w:p>
          <w:p w14:paraId="36F7AE8A">
            <w:pPr>
              <w:jc w:val="center"/>
              <w:rPr>
                <w:rFonts w:hint="eastAsia"/>
              </w:rPr>
            </w:pPr>
            <w:r>
              <w:rPr>
                <w:rFonts w:hint="eastAsia"/>
              </w:rPr>
              <w:t>表4.12-4</w:t>
            </w:r>
          </w:p>
        </w:tc>
      </w:tr>
      <w:tr w14:paraId="4995BCB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noWrap w:val="0"/>
            <w:vAlign w:val="center"/>
          </w:tcPr>
          <w:p w14:paraId="250B815C">
            <w:pPr>
              <w:jc w:val="center"/>
              <w:rPr>
                <w:rFonts w:hint="eastAsia" w:ascii="黑体" w:eastAsia="黑体"/>
              </w:rPr>
            </w:pPr>
            <w:r>
              <w:rPr>
                <w:rFonts w:hint="eastAsia" w:ascii="黑体" w:eastAsia="黑体"/>
              </w:rPr>
              <w:t>4</w:t>
            </w:r>
          </w:p>
        </w:tc>
        <w:tc>
          <w:tcPr>
            <w:tcW w:w="2924" w:type="dxa"/>
            <w:noWrap w:val="0"/>
            <w:vAlign w:val="center"/>
          </w:tcPr>
          <w:p w14:paraId="5E445F57">
            <w:pPr>
              <w:rPr>
                <w:rFonts w:hint="eastAsia"/>
              </w:rPr>
            </w:pPr>
            <w:r>
              <w:rPr>
                <w:rFonts w:hint="eastAsia"/>
              </w:rPr>
              <w:t>总承包服务费</w:t>
            </w:r>
          </w:p>
        </w:tc>
        <w:tc>
          <w:tcPr>
            <w:tcW w:w="1573" w:type="dxa"/>
            <w:noWrap w:val="0"/>
            <w:vAlign w:val="center"/>
          </w:tcPr>
          <w:p w14:paraId="7727AFB4">
            <w:pPr>
              <w:jc w:val="center"/>
              <w:rPr>
                <w:rFonts w:hint="eastAsia"/>
              </w:rPr>
            </w:pPr>
          </w:p>
        </w:tc>
        <w:tc>
          <w:tcPr>
            <w:tcW w:w="1573" w:type="dxa"/>
            <w:noWrap w:val="0"/>
            <w:vAlign w:val="center"/>
          </w:tcPr>
          <w:p w14:paraId="07EC9681">
            <w:pPr>
              <w:jc w:val="center"/>
              <w:rPr>
                <w:rFonts w:hint="eastAsia"/>
              </w:rPr>
            </w:pPr>
          </w:p>
        </w:tc>
        <w:tc>
          <w:tcPr>
            <w:tcW w:w="1574" w:type="dxa"/>
            <w:noWrap w:val="0"/>
            <w:vAlign w:val="center"/>
          </w:tcPr>
          <w:p w14:paraId="31CFE0E9">
            <w:pPr>
              <w:jc w:val="center"/>
              <w:rPr>
                <w:rFonts w:hint="eastAsia"/>
              </w:rPr>
            </w:pPr>
            <w:r>
              <w:rPr>
                <w:rFonts w:hint="eastAsia"/>
              </w:rPr>
              <w:t>明细详见</w:t>
            </w:r>
          </w:p>
          <w:p w14:paraId="1E52BB50">
            <w:pPr>
              <w:jc w:val="center"/>
              <w:rPr>
                <w:rFonts w:hint="eastAsia"/>
              </w:rPr>
            </w:pPr>
            <w:r>
              <w:rPr>
                <w:rFonts w:hint="eastAsia"/>
              </w:rPr>
              <w:t>表4.12-5</w:t>
            </w:r>
          </w:p>
        </w:tc>
      </w:tr>
      <w:tr w14:paraId="5B7FD0B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noWrap w:val="0"/>
            <w:vAlign w:val="center"/>
          </w:tcPr>
          <w:p w14:paraId="6BD60F70">
            <w:pPr>
              <w:jc w:val="center"/>
              <w:rPr>
                <w:rFonts w:hint="eastAsia"/>
              </w:rPr>
            </w:pPr>
          </w:p>
        </w:tc>
        <w:tc>
          <w:tcPr>
            <w:tcW w:w="2924" w:type="dxa"/>
            <w:noWrap w:val="0"/>
            <w:vAlign w:val="center"/>
          </w:tcPr>
          <w:p w14:paraId="32D4E6F8">
            <w:pPr>
              <w:rPr>
                <w:rFonts w:hint="eastAsia"/>
              </w:rPr>
            </w:pPr>
          </w:p>
        </w:tc>
        <w:tc>
          <w:tcPr>
            <w:tcW w:w="1573" w:type="dxa"/>
            <w:noWrap w:val="0"/>
            <w:vAlign w:val="center"/>
          </w:tcPr>
          <w:p w14:paraId="756134DE">
            <w:pPr>
              <w:jc w:val="center"/>
              <w:rPr>
                <w:rFonts w:hint="eastAsia"/>
              </w:rPr>
            </w:pPr>
          </w:p>
        </w:tc>
        <w:tc>
          <w:tcPr>
            <w:tcW w:w="1573" w:type="dxa"/>
            <w:noWrap w:val="0"/>
            <w:vAlign w:val="center"/>
          </w:tcPr>
          <w:p w14:paraId="18D7BEBA">
            <w:pPr>
              <w:jc w:val="center"/>
              <w:rPr>
                <w:rFonts w:hint="eastAsia"/>
              </w:rPr>
            </w:pPr>
          </w:p>
        </w:tc>
        <w:tc>
          <w:tcPr>
            <w:tcW w:w="1574" w:type="dxa"/>
            <w:noWrap w:val="0"/>
            <w:vAlign w:val="center"/>
          </w:tcPr>
          <w:p w14:paraId="5E52DBD2">
            <w:pPr>
              <w:jc w:val="center"/>
              <w:rPr>
                <w:rFonts w:hint="eastAsia"/>
              </w:rPr>
            </w:pPr>
          </w:p>
        </w:tc>
      </w:tr>
      <w:tr w14:paraId="576E79C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noWrap w:val="0"/>
            <w:vAlign w:val="center"/>
          </w:tcPr>
          <w:p w14:paraId="101A3D5A">
            <w:pPr>
              <w:jc w:val="center"/>
              <w:rPr>
                <w:rFonts w:hint="eastAsia"/>
              </w:rPr>
            </w:pPr>
          </w:p>
        </w:tc>
        <w:tc>
          <w:tcPr>
            <w:tcW w:w="2924" w:type="dxa"/>
            <w:noWrap w:val="0"/>
            <w:vAlign w:val="center"/>
          </w:tcPr>
          <w:p w14:paraId="1A82A365">
            <w:pPr>
              <w:rPr>
                <w:rFonts w:hint="eastAsia"/>
              </w:rPr>
            </w:pPr>
          </w:p>
        </w:tc>
        <w:tc>
          <w:tcPr>
            <w:tcW w:w="1573" w:type="dxa"/>
            <w:noWrap w:val="0"/>
            <w:vAlign w:val="center"/>
          </w:tcPr>
          <w:p w14:paraId="550C3DB0">
            <w:pPr>
              <w:jc w:val="center"/>
              <w:rPr>
                <w:rFonts w:hint="eastAsia"/>
              </w:rPr>
            </w:pPr>
          </w:p>
        </w:tc>
        <w:tc>
          <w:tcPr>
            <w:tcW w:w="1573" w:type="dxa"/>
            <w:noWrap w:val="0"/>
            <w:vAlign w:val="center"/>
          </w:tcPr>
          <w:p w14:paraId="3AFC372D">
            <w:pPr>
              <w:jc w:val="center"/>
              <w:rPr>
                <w:rFonts w:hint="eastAsia"/>
              </w:rPr>
            </w:pPr>
          </w:p>
        </w:tc>
        <w:tc>
          <w:tcPr>
            <w:tcW w:w="1574" w:type="dxa"/>
            <w:noWrap w:val="0"/>
            <w:vAlign w:val="center"/>
          </w:tcPr>
          <w:p w14:paraId="23CEBFDB">
            <w:pPr>
              <w:jc w:val="center"/>
              <w:rPr>
                <w:rFonts w:hint="eastAsia"/>
              </w:rPr>
            </w:pPr>
          </w:p>
        </w:tc>
      </w:tr>
      <w:tr w14:paraId="34D7724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noWrap w:val="0"/>
            <w:vAlign w:val="center"/>
          </w:tcPr>
          <w:p w14:paraId="27DAEA34">
            <w:pPr>
              <w:jc w:val="center"/>
              <w:rPr>
                <w:rFonts w:hint="eastAsia"/>
              </w:rPr>
            </w:pPr>
          </w:p>
        </w:tc>
        <w:tc>
          <w:tcPr>
            <w:tcW w:w="2924" w:type="dxa"/>
            <w:noWrap w:val="0"/>
            <w:vAlign w:val="center"/>
          </w:tcPr>
          <w:p w14:paraId="7A8B059B">
            <w:pPr>
              <w:rPr>
                <w:rFonts w:hint="eastAsia"/>
              </w:rPr>
            </w:pPr>
          </w:p>
        </w:tc>
        <w:tc>
          <w:tcPr>
            <w:tcW w:w="1573" w:type="dxa"/>
            <w:noWrap w:val="0"/>
            <w:vAlign w:val="center"/>
          </w:tcPr>
          <w:p w14:paraId="1561711E">
            <w:pPr>
              <w:jc w:val="center"/>
              <w:rPr>
                <w:rFonts w:hint="eastAsia"/>
              </w:rPr>
            </w:pPr>
          </w:p>
        </w:tc>
        <w:tc>
          <w:tcPr>
            <w:tcW w:w="1573" w:type="dxa"/>
            <w:noWrap w:val="0"/>
            <w:vAlign w:val="center"/>
          </w:tcPr>
          <w:p w14:paraId="5FA05267">
            <w:pPr>
              <w:jc w:val="center"/>
              <w:rPr>
                <w:rFonts w:hint="eastAsia"/>
              </w:rPr>
            </w:pPr>
          </w:p>
        </w:tc>
        <w:tc>
          <w:tcPr>
            <w:tcW w:w="1574" w:type="dxa"/>
            <w:noWrap w:val="0"/>
            <w:vAlign w:val="center"/>
          </w:tcPr>
          <w:p w14:paraId="6153F40C">
            <w:pPr>
              <w:jc w:val="center"/>
              <w:rPr>
                <w:rFonts w:hint="eastAsia"/>
              </w:rPr>
            </w:pPr>
          </w:p>
        </w:tc>
      </w:tr>
      <w:tr w14:paraId="68937FD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3743" w:type="dxa"/>
            <w:gridSpan w:val="2"/>
            <w:noWrap w:val="0"/>
            <w:vAlign w:val="center"/>
          </w:tcPr>
          <w:p w14:paraId="128EDE52">
            <w:pPr>
              <w:jc w:val="center"/>
              <w:rPr>
                <w:rFonts w:hint="eastAsia"/>
              </w:rPr>
            </w:pPr>
            <w:r>
              <w:rPr>
                <w:rFonts w:hint="eastAsia"/>
              </w:rPr>
              <w:t>合计</w:t>
            </w:r>
          </w:p>
        </w:tc>
        <w:tc>
          <w:tcPr>
            <w:tcW w:w="1573" w:type="dxa"/>
            <w:noWrap w:val="0"/>
            <w:vAlign w:val="center"/>
          </w:tcPr>
          <w:p w14:paraId="5B676825">
            <w:pPr>
              <w:jc w:val="center"/>
              <w:rPr>
                <w:rFonts w:hint="eastAsia"/>
              </w:rPr>
            </w:pPr>
          </w:p>
        </w:tc>
        <w:tc>
          <w:tcPr>
            <w:tcW w:w="1573" w:type="dxa"/>
            <w:noWrap w:val="0"/>
            <w:vAlign w:val="center"/>
          </w:tcPr>
          <w:p w14:paraId="43DC7D35">
            <w:pPr>
              <w:jc w:val="center"/>
              <w:rPr>
                <w:rFonts w:hint="eastAsia"/>
              </w:rPr>
            </w:pPr>
          </w:p>
        </w:tc>
        <w:tc>
          <w:tcPr>
            <w:tcW w:w="1574" w:type="dxa"/>
            <w:noWrap w:val="0"/>
            <w:vAlign w:val="center"/>
          </w:tcPr>
          <w:p w14:paraId="4D687D61">
            <w:pPr>
              <w:jc w:val="center"/>
              <w:rPr>
                <w:rFonts w:hint="eastAsia"/>
              </w:rPr>
            </w:pPr>
            <w:r>
              <w:rPr>
                <w:rFonts w:hint="eastAsia"/>
              </w:rPr>
              <w:t>—</w:t>
            </w:r>
          </w:p>
        </w:tc>
      </w:tr>
    </w:tbl>
    <w:p w14:paraId="39E8B072">
      <w:pPr>
        <w:spacing w:before="120" w:beforeLines="50"/>
        <w:rPr>
          <w:rFonts w:hint="eastAsia"/>
        </w:rPr>
      </w:pPr>
      <w:r>
        <w:rPr>
          <w:rFonts w:hint="eastAsia" w:ascii="宋体" w:hAnsi="宋体"/>
        </w:rPr>
        <w:t>注：材</w:t>
      </w:r>
      <w:r>
        <w:rPr>
          <w:rFonts w:hint="eastAsia"/>
        </w:rPr>
        <w:t>料（工程设备）暂估单价进入清单项目综合单价，此处不汇总。</w:t>
      </w:r>
    </w:p>
    <w:p w14:paraId="1C27A106">
      <w:pPr>
        <w:spacing w:before="120" w:beforeLines="50"/>
        <w:rPr>
          <w:rFonts w:hint="eastAsia"/>
        </w:rPr>
      </w:pPr>
    </w:p>
    <w:p w14:paraId="759955C7">
      <w:pPr>
        <w:spacing w:before="120" w:beforeLines="50"/>
        <w:rPr>
          <w:rFonts w:hint="eastAsia"/>
        </w:rPr>
      </w:pPr>
    </w:p>
    <w:p w14:paraId="56659709">
      <w:pPr>
        <w:spacing w:before="120" w:beforeLines="50"/>
        <w:rPr>
          <w:rFonts w:hint="eastAsia"/>
        </w:rPr>
      </w:pPr>
    </w:p>
    <w:p w14:paraId="03AEC3EB">
      <w:pPr>
        <w:spacing w:before="120" w:beforeLines="50"/>
        <w:rPr>
          <w:rFonts w:hint="eastAsia"/>
        </w:rPr>
      </w:pPr>
    </w:p>
    <w:p w14:paraId="46060FDD">
      <w:pPr>
        <w:spacing w:before="120" w:beforeLines="50"/>
        <w:rPr>
          <w:rFonts w:hint="eastAsia"/>
        </w:rPr>
      </w:pPr>
    </w:p>
    <w:p w14:paraId="3B3ADF7C">
      <w:pPr>
        <w:pStyle w:val="20"/>
        <w:rPr>
          <w:rFonts w:hint="eastAsia"/>
        </w:rPr>
      </w:pPr>
      <w:bookmarkStart w:id="2596" w:name="_Toc108514182"/>
      <w:r>
        <w:rPr>
          <w:rFonts w:hint="eastAsia"/>
        </w:rPr>
        <w:t>4.12-1暂列金额明细表</w:t>
      </w:r>
      <w:bookmarkEnd w:id="2596"/>
    </w:p>
    <w:p w14:paraId="1D7094F2">
      <w:pPr>
        <w:spacing w:before="120" w:beforeLines="50" w:after="120" w:afterLines="50"/>
        <w:jc w:val="center"/>
        <w:rPr>
          <w:rFonts w:ascii="黑体" w:eastAsia="黑体"/>
          <w:sz w:val="28"/>
          <w:szCs w:val="28"/>
        </w:rPr>
      </w:pPr>
      <w:r>
        <w:rPr>
          <w:rFonts w:hint="eastAsia" w:ascii="黑体" w:eastAsia="黑体"/>
          <w:sz w:val="28"/>
          <w:szCs w:val="28"/>
        </w:rPr>
        <w:t>暂列金额明细表</w:t>
      </w:r>
    </w:p>
    <w:p w14:paraId="4978AE38">
      <w:pPr>
        <w:rPr>
          <w:rFonts w:hint="eastAsia"/>
        </w:rPr>
      </w:pPr>
      <w:r>
        <w:rPr>
          <w:rFonts w:hint="eastAsia"/>
        </w:rPr>
        <w:t>工程名称：                            标段名称：               第  页  共  页</w:t>
      </w:r>
    </w:p>
    <w:tbl>
      <w:tblPr>
        <w:tblStyle w:val="15"/>
        <w:tblW w:w="846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3069"/>
        <w:gridCol w:w="1527"/>
        <w:gridCol w:w="1527"/>
        <w:gridCol w:w="1527"/>
      </w:tblGrid>
      <w:tr w14:paraId="6689EAE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noWrap w:val="0"/>
            <w:vAlign w:val="center"/>
          </w:tcPr>
          <w:p w14:paraId="31D42C2E">
            <w:pPr>
              <w:jc w:val="center"/>
              <w:rPr>
                <w:rFonts w:hint="eastAsia"/>
              </w:rPr>
            </w:pPr>
            <w:r>
              <w:rPr>
                <w:rFonts w:hint="eastAsia"/>
              </w:rPr>
              <w:t>序号</w:t>
            </w:r>
          </w:p>
        </w:tc>
        <w:tc>
          <w:tcPr>
            <w:tcW w:w="3069" w:type="dxa"/>
            <w:noWrap w:val="0"/>
            <w:vAlign w:val="center"/>
          </w:tcPr>
          <w:p w14:paraId="7BEE1B70">
            <w:pPr>
              <w:jc w:val="center"/>
              <w:rPr>
                <w:rFonts w:hint="eastAsia"/>
              </w:rPr>
            </w:pPr>
            <w:r>
              <w:rPr>
                <w:rFonts w:hint="eastAsia"/>
              </w:rPr>
              <w:t>项目名称</w:t>
            </w:r>
          </w:p>
        </w:tc>
        <w:tc>
          <w:tcPr>
            <w:tcW w:w="1526" w:type="dxa"/>
            <w:noWrap w:val="0"/>
            <w:vAlign w:val="center"/>
          </w:tcPr>
          <w:p w14:paraId="399DEF29">
            <w:pPr>
              <w:jc w:val="center"/>
              <w:rPr>
                <w:rFonts w:hint="eastAsia"/>
              </w:rPr>
            </w:pPr>
            <w:r>
              <w:rPr>
                <w:rFonts w:hint="eastAsia"/>
              </w:rPr>
              <w:t>计量单位</w:t>
            </w:r>
          </w:p>
        </w:tc>
        <w:tc>
          <w:tcPr>
            <w:tcW w:w="1527" w:type="dxa"/>
            <w:noWrap w:val="0"/>
            <w:vAlign w:val="center"/>
          </w:tcPr>
          <w:p w14:paraId="1CE25203">
            <w:pPr>
              <w:jc w:val="center"/>
              <w:rPr>
                <w:rFonts w:hint="eastAsia"/>
              </w:rPr>
            </w:pPr>
            <w:r>
              <w:rPr>
                <w:rFonts w:hint="eastAsia"/>
              </w:rPr>
              <w:t>暂定金额</w:t>
            </w:r>
          </w:p>
          <w:p w14:paraId="33413377">
            <w:pPr>
              <w:jc w:val="center"/>
              <w:rPr>
                <w:rFonts w:hint="eastAsia"/>
              </w:rPr>
            </w:pPr>
            <w:r>
              <w:rPr>
                <w:rFonts w:hint="eastAsia"/>
              </w:rPr>
              <w:t>(元)</w:t>
            </w:r>
          </w:p>
        </w:tc>
        <w:tc>
          <w:tcPr>
            <w:tcW w:w="1527" w:type="dxa"/>
            <w:noWrap w:val="0"/>
            <w:vAlign w:val="center"/>
          </w:tcPr>
          <w:p w14:paraId="31461E45">
            <w:pPr>
              <w:jc w:val="center"/>
              <w:rPr>
                <w:rFonts w:hint="eastAsia"/>
              </w:rPr>
            </w:pPr>
            <w:r>
              <w:rPr>
                <w:rFonts w:hint="eastAsia"/>
              </w:rPr>
              <w:t>备注</w:t>
            </w:r>
          </w:p>
        </w:tc>
      </w:tr>
      <w:tr w14:paraId="43637A6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noWrap w:val="0"/>
            <w:vAlign w:val="center"/>
          </w:tcPr>
          <w:p w14:paraId="24F832D6">
            <w:pPr>
              <w:jc w:val="center"/>
              <w:rPr>
                <w:rFonts w:hint="eastAsia"/>
              </w:rPr>
            </w:pPr>
          </w:p>
        </w:tc>
        <w:tc>
          <w:tcPr>
            <w:tcW w:w="3069" w:type="dxa"/>
            <w:noWrap w:val="0"/>
            <w:vAlign w:val="center"/>
          </w:tcPr>
          <w:p w14:paraId="2D9CDB39">
            <w:pPr>
              <w:jc w:val="center"/>
              <w:rPr>
                <w:rFonts w:hint="eastAsia"/>
              </w:rPr>
            </w:pPr>
          </w:p>
        </w:tc>
        <w:tc>
          <w:tcPr>
            <w:tcW w:w="1526" w:type="dxa"/>
            <w:noWrap w:val="0"/>
            <w:vAlign w:val="center"/>
          </w:tcPr>
          <w:p w14:paraId="6B2DECBB">
            <w:pPr>
              <w:jc w:val="center"/>
              <w:rPr>
                <w:rFonts w:hint="eastAsia"/>
              </w:rPr>
            </w:pPr>
          </w:p>
        </w:tc>
        <w:tc>
          <w:tcPr>
            <w:tcW w:w="1527" w:type="dxa"/>
            <w:noWrap w:val="0"/>
            <w:vAlign w:val="center"/>
          </w:tcPr>
          <w:p w14:paraId="087A06CB">
            <w:pPr>
              <w:jc w:val="center"/>
              <w:rPr>
                <w:rFonts w:hint="eastAsia"/>
              </w:rPr>
            </w:pPr>
          </w:p>
        </w:tc>
        <w:tc>
          <w:tcPr>
            <w:tcW w:w="1527" w:type="dxa"/>
            <w:noWrap w:val="0"/>
            <w:vAlign w:val="center"/>
          </w:tcPr>
          <w:p w14:paraId="6C9801CE">
            <w:pPr>
              <w:jc w:val="center"/>
              <w:rPr>
                <w:rFonts w:hint="eastAsia"/>
              </w:rPr>
            </w:pPr>
          </w:p>
        </w:tc>
      </w:tr>
      <w:tr w14:paraId="654E6E5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bottom w:val="single" w:color="auto" w:sz="6" w:space="0"/>
            </w:tcBorders>
            <w:noWrap w:val="0"/>
            <w:vAlign w:val="center"/>
          </w:tcPr>
          <w:p w14:paraId="2FBC1837">
            <w:pPr>
              <w:jc w:val="center"/>
              <w:rPr>
                <w:rFonts w:hint="eastAsia" w:ascii="黑体" w:eastAsia="黑体"/>
              </w:rPr>
            </w:pPr>
          </w:p>
        </w:tc>
        <w:tc>
          <w:tcPr>
            <w:tcW w:w="3069" w:type="dxa"/>
            <w:noWrap w:val="0"/>
            <w:vAlign w:val="center"/>
          </w:tcPr>
          <w:p w14:paraId="65000C49">
            <w:pPr>
              <w:rPr>
                <w:rFonts w:hint="eastAsia"/>
              </w:rPr>
            </w:pPr>
          </w:p>
        </w:tc>
        <w:tc>
          <w:tcPr>
            <w:tcW w:w="1526" w:type="dxa"/>
            <w:noWrap w:val="0"/>
            <w:vAlign w:val="center"/>
          </w:tcPr>
          <w:p w14:paraId="1709B965">
            <w:pPr>
              <w:jc w:val="center"/>
              <w:rPr>
                <w:rFonts w:hint="eastAsia"/>
              </w:rPr>
            </w:pPr>
          </w:p>
        </w:tc>
        <w:tc>
          <w:tcPr>
            <w:tcW w:w="1527" w:type="dxa"/>
            <w:noWrap w:val="0"/>
            <w:vAlign w:val="center"/>
          </w:tcPr>
          <w:p w14:paraId="41F63A6B">
            <w:pPr>
              <w:jc w:val="center"/>
              <w:rPr>
                <w:rFonts w:hint="eastAsia"/>
              </w:rPr>
            </w:pPr>
          </w:p>
        </w:tc>
        <w:tc>
          <w:tcPr>
            <w:tcW w:w="1527" w:type="dxa"/>
            <w:noWrap w:val="0"/>
            <w:vAlign w:val="center"/>
          </w:tcPr>
          <w:p w14:paraId="0A792AFC">
            <w:pPr>
              <w:jc w:val="center"/>
              <w:rPr>
                <w:rFonts w:hint="eastAsia"/>
              </w:rPr>
            </w:pPr>
          </w:p>
        </w:tc>
      </w:tr>
      <w:tr w14:paraId="1B963D2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6" w:space="0"/>
            </w:tcBorders>
            <w:noWrap w:val="0"/>
            <w:vAlign w:val="center"/>
          </w:tcPr>
          <w:p w14:paraId="3ACA70F9">
            <w:pPr>
              <w:jc w:val="center"/>
              <w:rPr>
                <w:rFonts w:hint="eastAsia" w:ascii="黑体" w:eastAsia="黑体"/>
              </w:rPr>
            </w:pPr>
          </w:p>
        </w:tc>
        <w:tc>
          <w:tcPr>
            <w:tcW w:w="3069" w:type="dxa"/>
            <w:noWrap w:val="0"/>
            <w:vAlign w:val="center"/>
          </w:tcPr>
          <w:p w14:paraId="2880903F">
            <w:pPr>
              <w:rPr>
                <w:rFonts w:hint="eastAsia"/>
              </w:rPr>
            </w:pPr>
          </w:p>
        </w:tc>
        <w:tc>
          <w:tcPr>
            <w:tcW w:w="1526" w:type="dxa"/>
            <w:noWrap w:val="0"/>
            <w:vAlign w:val="center"/>
          </w:tcPr>
          <w:p w14:paraId="656E29C1">
            <w:pPr>
              <w:jc w:val="center"/>
              <w:rPr>
                <w:rFonts w:hint="eastAsia"/>
              </w:rPr>
            </w:pPr>
          </w:p>
        </w:tc>
        <w:tc>
          <w:tcPr>
            <w:tcW w:w="1527" w:type="dxa"/>
            <w:noWrap w:val="0"/>
            <w:vAlign w:val="center"/>
          </w:tcPr>
          <w:p w14:paraId="0476996D">
            <w:pPr>
              <w:jc w:val="center"/>
              <w:rPr>
                <w:rFonts w:hint="eastAsia"/>
              </w:rPr>
            </w:pPr>
          </w:p>
        </w:tc>
        <w:tc>
          <w:tcPr>
            <w:tcW w:w="1527" w:type="dxa"/>
            <w:noWrap w:val="0"/>
            <w:vAlign w:val="center"/>
          </w:tcPr>
          <w:p w14:paraId="41EE26B7">
            <w:pPr>
              <w:jc w:val="center"/>
              <w:rPr>
                <w:rFonts w:hint="eastAsia"/>
              </w:rPr>
            </w:pPr>
          </w:p>
        </w:tc>
      </w:tr>
      <w:tr w14:paraId="5E50CD1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noWrap w:val="0"/>
            <w:vAlign w:val="center"/>
          </w:tcPr>
          <w:p w14:paraId="2CB165C3">
            <w:pPr>
              <w:jc w:val="center"/>
              <w:rPr>
                <w:rFonts w:hint="eastAsia" w:ascii="黑体" w:eastAsia="黑体"/>
              </w:rPr>
            </w:pPr>
          </w:p>
        </w:tc>
        <w:tc>
          <w:tcPr>
            <w:tcW w:w="3069" w:type="dxa"/>
            <w:noWrap w:val="0"/>
            <w:vAlign w:val="center"/>
          </w:tcPr>
          <w:p w14:paraId="5A7E0620">
            <w:pPr>
              <w:rPr>
                <w:rFonts w:hint="eastAsia"/>
              </w:rPr>
            </w:pPr>
          </w:p>
        </w:tc>
        <w:tc>
          <w:tcPr>
            <w:tcW w:w="1526" w:type="dxa"/>
            <w:noWrap w:val="0"/>
            <w:vAlign w:val="center"/>
          </w:tcPr>
          <w:p w14:paraId="56FC966E">
            <w:pPr>
              <w:jc w:val="center"/>
              <w:rPr>
                <w:rFonts w:hint="eastAsia"/>
              </w:rPr>
            </w:pPr>
          </w:p>
        </w:tc>
        <w:tc>
          <w:tcPr>
            <w:tcW w:w="1527" w:type="dxa"/>
            <w:noWrap w:val="0"/>
            <w:vAlign w:val="center"/>
          </w:tcPr>
          <w:p w14:paraId="4687FCE6">
            <w:pPr>
              <w:jc w:val="center"/>
              <w:rPr>
                <w:rFonts w:hint="eastAsia"/>
              </w:rPr>
            </w:pPr>
          </w:p>
        </w:tc>
        <w:tc>
          <w:tcPr>
            <w:tcW w:w="1527" w:type="dxa"/>
            <w:noWrap w:val="0"/>
            <w:vAlign w:val="center"/>
          </w:tcPr>
          <w:p w14:paraId="25144D8A">
            <w:pPr>
              <w:jc w:val="center"/>
              <w:rPr>
                <w:rFonts w:hint="eastAsia"/>
              </w:rPr>
            </w:pPr>
          </w:p>
        </w:tc>
      </w:tr>
      <w:tr w14:paraId="2F22EF7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noWrap w:val="0"/>
            <w:vAlign w:val="center"/>
          </w:tcPr>
          <w:p w14:paraId="1D6FD2F0">
            <w:pPr>
              <w:jc w:val="center"/>
              <w:rPr>
                <w:rFonts w:hint="eastAsia" w:ascii="黑体" w:eastAsia="黑体"/>
              </w:rPr>
            </w:pPr>
          </w:p>
        </w:tc>
        <w:tc>
          <w:tcPr>
            <w:tcW w:w="3069" w:type="dxa"/>
            <w:noWrap w:val="0"/>
            <w:vAlign w:val="center"/>
          </w:tcPr>
          <w:p w14:paraId="5996F5C1">
            <w:pPr>
              <w:rPr>
                <w:rFonts w:hint="eastAsia"/>
              </w:rPr>
            </w:pPr>
          </w:p>
        </w:tc>
        <w:tc>
          <w:tcPr>
            <w:tcW w:w="1526" w:type="dxa"/>
            <w:noWrap w:val="0"/>
            <w:vAlign w:val="center"/>
          </w:tcPr>
          <w:p w14:paraId="35FED7C5">
            <w:pPr>
              <w:jc w:val="center"/>
              <w:rPr>
                <w:rFonts w:hint="eastAsia"/>
              </w:rPr>
            </w:pPr>
          </w:p>
        </w:tc>
        <w:tc>
          <w:tcPr>
            <w:tcW w:w="1527" w:type="dxa"/>
            <w:noWrap w:val="0"/>
            <w:vAlign w:val="center"/>
          </w:tcPr>
          <w:p w14:paraId="352431BA">
            <w:pPr>
              <w:jc w:val="center"/>
              <w:rPr>
                <w:rFonts w:hint="eastAsia"/>
              </w:rPr>
            </w:pPr>
          </w:p>
        </w:tc>
        <w:tc>
          <w:tcPr>
            <w:tcW w:w="1527" w:type="dxa"/>
            <w:noWrap w:val="0"/>
            <w:vAlign w:val="center"/>
          </w:tcPr>
          <w:p w14:paraId="61743F05">
            <w:pPr>
              <w:jc w:val="center"/>
              <w:rPr>
                <w:rFonts w:hint="eastAsia"/>
              </w:rPr>
            </w:pPr>
          </w:p>
        </w:tc>
      </w:tr>
      <w:tr w14:paraId="6F3DD53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noWrap w:val="0"/>
            <w:vAlign w:val="center"/>
          </w:tcPr>
          <w:p w14:paraId="10ABCF8D">
            <w:pPr>
              <w:jc w:val="center"/>
              <w:rPr>
                <w:rFonts w:hint="eastAsia" w:ascii="黑体" w:eastAsia="黑体"/>
              </w:rPr>
            </w:pPr>
          </w:p>
        </w:tc>
        <w:tc>
          <w:tcPr>
            <w:tcW w:w="3069" w:type="dxa"/>
            <w:noWrap w:val="0"/>
            <w:vAlign w:val="center"/>
          </w:tcPr>
          <w:p w14:paraId="0C200048">
            <w:pPr>
              <w:rPr>
                <w:rFonts w:hint="eastAsia"/>
              </w:rPr>
            </w:pPr>
          </w:p>
        </w:tc>
        <w:tc>
          <w:tcPr>
            <w:tcW w:w="1526" w:type="dxa"/>
            <w:noWrap w:val="0"/>
            <w:vAlign w:val="center"/>
          </w:tcPr>
          <w:p w14:paraId="2662E313">
            <w:pPr>
              <w:jc w:val="center"/>
              <w:rPr>
                <w:rFonts w:hint="eastAsia"/>
              </w:rPr>
            </w:pPr>
          </w:p>
        </w:tc>
        <w:tc>
          <w:tcPr>
            <w:tcW w:w="1527" w:type="dxa"/>
            <w:noWrap w:val="0"/>
            <w:vAlign w:val="center"/>
          </w:tcPr>
          <w:p w14:paraId="42BBA6AE">
            <w:pPr>
              <w:jc w:val="center"/>
              <w:rPr>
                <w:rFonts w:hint="eastAsia"/>
              </w:rPr>
            </w:pPr>
          </w:p>
        </w:tc>
        <w:tc>
          <w:tcPr>
            <w:tcW w:w="1527" w:type="dxa"/>
            <w:noWrap w:val="0"/>
            <w:vAlign w:val="center"/>
          </w:tcPr>
          <w:p w14:paraId="537299B3">
            <w:pPr>
              <w:jc w:val="center"/>
              <w:rPr>
                <w:rFonts w:hint="eastAsia"/>
              </w:rPr>
            </w:pPr>
          </w:p>
        </w:tc>
      </w:tr>
      <w:tr w14:paraId="5EC40A0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noWrap w:val="0"/>
            <w:vAlign w:val="center"/>
          </w:tcPr>
          <w:p w14:paraId="3CE45A46">
            <w:pPr>
              <w:jc w:val="center"/>
              <w:rPr>
                <w:rFonts w:hint="eastAsia"/>
              </w:rPr>
            </w:pPr>
          </w:p>
        </w:tc>
        <w:tc>
          <w:tcPr>
            <w:tcW w:w="3069" w:type="dxa"/>
            <w:noWrap w:val="0"/>
            <w:vAlign w:val="center"/>
          </w:tcPr>
          <w:p w14:paraId="27FBA19D">
            <w:pPr>
              <w:rPr>
                <w:rFonts w:hint="eastAsia"/>
              </w:rPr>
            </w:pPr>
          </w:p>
        </w:tc>
        <w:tc>
          <w:tcPr>
            <w:tcW w:w="1526" w:type="dxa"/>
            <w:noWrap w:val="0"/>
            <w:vAlign w:val="center"/>
          </w:tcPr>
          <w:p w14:paraId="53B1E71A">
            <w:pPr>
              <w:jc w:val="center"/>
              <w:rPr>
                <w:rFonts w:hint="eastAsia"/>
              </w:rPr>
            </w:pPr>
          </w:p>
        </w:tc>
        <w:tc>
          <w:tcPr>
            <w:tcW w:w="1527" w:type="dxa"/>
            <w:noWrap w:val="0"/>
            <w:vAlign w:val="center"/>
          </w:tcPr>
          <w:p w14:paraId="3633C1C9">
            <w:pPr>
              <w:jc w:val="center"/>
              <w:rPr>
                <w:rFonts w:hint="eastAsia"/>
              </w:rPr>
            </w:pPr>
          </w:p>
        </w:tc>
        <w:tc>
          <w:tcPr>
            <w:tcW w:w="1527" w:type="dxa"/>
            <w:noWrap w:val="0"/>
            <w:vAlign w:val="center"/>
          </w:tcPr>
          <w:p w14:paraId="68E6F356">
            <w:pPr>
              <w:jc w:val="center"/>
              <w:rPr>
                <w:rFonts w:hint="eastAsia"/>
              </w:rPr>
            </w:pPr>
          </w:p>
        </w:tc>
      </w:tr>
      <w:tr w14:paraId="64BBFB5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noWrap w:val="0"/>
            <w:vAlign w:val="center"/>
          </w:tcPr>
          <w:p w14:paraId="6D4C6397">
            <w:pPr>
              <w:jc w:val="center"/>
              <w:rPr>
                <w:rFonts w:hint="eastAsia"/>
              </w:rPr>
            </w:pPr>
          </w:p>
        </w:tc>
        <w:tc>
          <w:tcPr>
            <w:tcW w:w="3069" w:type="dxa"/>
            <w:noWrap w:val="0"/>
            <w:vAlign w:val="center"/>
          </w:tcPr>
          <w:p w14:paraId="09F65A9F">
            <w:pPr>
              <w:rPr>
                <w:rFonts w:hint="eastAsia"/>
              </w:rPr>
            </w:pPr>
          </w:p>
        </w:tc>
        <w:tc>
          <w:tcPr>
            <w:tcW w:w="1526" w:type="dxa"/>
            <w:noWrap w:val="0"/>
            <w:vAlign w:val="center"/>
          </w:tcPr>
          <w:p w14:paraId="0BAEFFF0">
            <w:pPr>
              <w:jc w:val="center"/>
              <w:rPr>
                <w:rFonts w:hint="eastAsia"/>
              </w:rPr>
            </w:pPr>
          </w:p>
        </w:tc>
        <w:tc>
          <w:tcPr>
            <w:tcW w:w="1527" w:type="dxa"/>
            <w:noWrap w:val="0"/>
            <w:vAlign w:val="center"/>
          </w:tcPr>
          <w:p w14:paraId="05A84A81">
            <w:pPr>
              <w:jc w:val="center"/>
              <w:rPr>
                <w:rFonts w:hint="eastAsia"/>
              </w:rPr>
            </w:pPr>
          </w:p>
        </w:tc>
        <w:tc>
          <w:tcPr>
            <w:tcW w:w="1527" w:type="dxa"/>
            <w:noWrap w:val="0"/>
            <w:vAlign w:val="center"/>
          </w:tcPr>
          <w:p w14:paraId="2331833F">
            <w:pPr>
              <w:jc w:val="center"/>
              <w:rPr>
                <w:rFonts w:hint="eastAsia"/>
              </w:rPr>
            </w:pPr>
          </w:p>
        </w:tc>
      </w:tr>
      <w:tr w14:paraId="1C75A7F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861" w:hRule="atLeast"/>
          <w:jc w:val="center"/>
        </w:trPr>
        <w:tc>
          <w:tcPr>
            <w:tcW w:w="820" w:type="dxa"/>
            <w:noWrap w:val="0"/>
            <w:vAlign w:val="center"/>
          </w:tcPr>
          <w:p w14:paraId="0B6E059C">
            <w:pPr>
              <w:jc w:val="center"/>
              <w:rPr>
                <w:rFonts w:hint="eastAsia"/>
              </w:rPr>
            </w:pPr>
          </w:p>
        </w:tc>
        <w:tc>
          <w:tcPr>
            <w:tcW w:w="3069" w:type="dxa"/>
            <w:noWrap w:val="0"/>
            <w:vAlign w:val="center"/>
          </w:tcPr>
          <w:p w14:paraId="4E7338AA">
            <w:pPr>
              <w:rPr>
                <w:rFonts w:hint="eastAsia"/>
              </w:rPr>
            </w:pPr>
          </w:p>
        </w:tc>
        <w:tc>
          <w:tcPr>
            <w:tcW w:w="1526" w:type="dxa"/>
            <w:noWrap w:val="0"/>
            <w:vAlign w:val="center"/>
          </w:tcPr>
          <w:p w14:paraId="6985BDC9">
            <w:pPr>
              <w:jc w:val="center"/>
              <w:rPr>
                <w:rFonts w:hint="eastAsia"/>
              </w:rPr>
            </w:pPr>
          </w:p>
        </w:tc>
        <w:tc>
          <w:tcPr>
            <w:tcW w:w="1527" w:type="dxa"/>
            <w:noWrap w:val="0"/>
            <w:vAlign w:val="center"/>
          </w:tcPr>
          <w:p w14:paraId="1090B90D">
            <w:pPr>
              <w:jc w:val="center"/>
              <w:rPr>
                <w:rFonts w:hint="eastAsia"/>
              </w:rPr>
            </w:pPr>
          </w:p>
        </w:tc>
        <w:tc>
          <w:tcPr>
            <w:tcW w:w="1527" w:type="dxa"/>
            <w:noWrap w:val="0"/>
            <w:vAlign w:val="center"/>
          </w:tcPr>
          <w:p w14:paraId="2746A941">
            <w:pPr>
              <w:jc w:val="center"/>
              <w:rPr>
                <w:rFonts w:hint="eastAsia"/>
              </w:rPr>
            </w:pPr>
          </w:p>
        </w:tc>
      </w:tr>
      <w:tr w14:paraId="377AE4B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noWrap w:val="0"/>
            <w:vAlign w:val="center"/>
          </w:tcPr>
          <w:p w14:paraId="4E3BDD00">
            <w:pPr>
              <w:jc w:val="center"/>
              <w:rPr>
                <w:rFonts w:hint="eastAsia"/>
              </w:rPr>
            </w:pPr>
          </w:p>
        </w:tc>
        <w:tc>
          <w:tcPr>
            <w:tcW w:w="3069" w:type="dxa"/>
            <w:noWrap w:val="0"/>
            <w:vAlign w:val="center"/>
          </w:tcPr>
          <w:p w14:paraId="7442F38A">
            <w:pPr>
              <w:rPr>
                <w:rFonts w:hint="eastAsia"/>
              </w:rPr>
            </w:pPr>
          </w:p>
        </w:tc>
        <w:tc>
          <w:tcPr>
            <w:tcW w:w="1526" w:type="dxa"/>
            <w:noWrap w:val="0"/>
            <w:vAlign w:val="center"/>
          </w:tcPr>
          <w:p w14:paraId="4334B1A4">
            <w:pPr>
              <w:jc w:val="center"/>
              <w:rPr>
                <w:rFonts w:hint="eastAsia"/>
              </w:rPr>
            </w:pPr>
          </w:p>
        </w:tc>
        <w:tc>
          <w:tcPr>
            <w:tcW w:w="1527" w:type="dxa"/>
            <w:noWrap w:val="0"/>
            <w:vAlign w:val="center"/>
          </w:tcPr>
          <w:p w14:paraId="1594364B">
            <w:pPr>
              <w:jc w:val="center"/>
              <w:rPr>
                <w:rFonts w:hint="eastAsia"/>
              </w:rPr>
            </w:pPr>
          </w:p>
        </w:tc>
        <w:tc>
          <w:tcPr>
            <w:tcW w:w="1527" w:type="dxa"/>
            <w:noWrap w:val="0"/>
            <w:vAlign w:val="center"/>
          </w:tcPr>
          <w:p w14:paraId="5833FCF6">
            <w:pPr>
              <w:jc w:val="center"/>
              <w:rPr>
                <w:rFonts w:hint="eastAsia"/>
              </w:rPr>
            </w:pPr>
          </w:p>
        </w:tc>
      </w:tr>
      <w:tr w14:paraId="46CB181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5416" w:type="dxa"/>
            <w:gridSpan w:val="3"/>
            <w:noWrap w:val="0"/>
            <w:vAlign w:val="center"/>
          </w:tcPr>
          <w:p w14:paraId="4A3D4C04">
            <w:pPr>
              <w:jc w:val="center"/>
              <w:rPr>
                <w:rFonts w:hint="eastAsia"/>
              </w:rPr>
            </w:pPr>
            <w:r>
              <w:rPr>
                <w:rFonts w:hint="eastAsia"/>
              </w:rPr>
              <w:t>合计</w:t>
            </w:r>
          </w:p>
        </w:tc>
        <w:tc>
          <w:tcPr>
            <w:tcW w:w="1526" w:type="dxa"/>
            <w:noWrap w:val="0"/>
            <w:vAlign w:val="center"/>
          </w:tcPr>
          <w:p w14:paraId="13BDA441">
            <w:pPr>
              <w:jc w:val="center"/>
              <w:rPr>
                <w:rFonts w:hint="eastAsia"/>
              </w:rPr>
            </w:pPr>
          </w:p>
        </w:tc>
        <w:tc>
          <w:tcPr>
            <w:tcW w:w="1527" w:type="dxa"/>
            <w:noWrap w:val="0"/>
            <w:vAlign w:val="center"/>
          </w:tcPr>
          <w:p w14:paraId="7D405486">
            <w:pPr>
              <w:jc w:val="center"/>
              <w:rPr>
                <w:rFonts w:hint="eastAsia"/>
              </w:rPr>
            </w:pPr>
            <w:r>
              <w:rPr>
                <w:rFonts w:hint="eastAsia"/>
              </w:rPr>
              <w:t>—</w:t>
            </w:r>
          </w:p>
        </w:tc>
      </w:tr>
    </w:tbl>
    <w:p w14:paraId="5173780B">
      <w:pPr>
        <w:spacing w:before="120" w:beforeLines="50"/>
        <w:ind w:left="420" w:hanging="420" w:hangingChars="200"/>
        <w:rPr>
          <w:rFonts w:hint="eastAsia" w:ascii="宋体" w:hAnsi="宋体"/>
        </w:rPr>
      </w:pPr>
      <w:r>
        <w:rPr>
          <w:rFonts w:hint="eastAsia" w:ascii="宋体" w:hAnsi="宋体"/>
        </w:rPr>
        <w:t>注：此表由招标人填写，如不能详列明细，也可只列暂列金总额，投标人应将上述暂列金额计入投标总价中。</w:t>
      </w:r>
    </w:p>
    <w:p w14:paraId="05B9FA3C">
      <w:pPr>
        <w:spacing w:before="120" w:beforeLines="50"/>
        <w:rPr>
          <w:rFonts w:hint="eastAsia" w:ascii="宋体" w:hAnsi="宋体"/>
        </w:rPr>
      </w:pPr>
    </w:p>
    <w:p w14:paraId="59663B79">
      <w:pPr>
        <w:spacing w:before="120" w:beforeLines="50"/>
        <w:rPr>
          <w:rFonts w:hint="eastAsia" w:ascii="黑体" w:eastAsia="黑体"/>
        </w:rPr>
      </w:pPr>
    </w:p>
    <w:p w14:paraId="4D418683">
      <w:pPr>
        <w:pStyle w:val="20"/>
        <w:rPr>
          <w:rFonts w:hint="eastAsia"/>
        </w:rPr>
      </w:pPr>
      <w:bookmarkStart w:id="2597" w:name="_Toc108514183"/>
      <w:r>
        <w:rPr>
          <w:rFonts w:hint="eastAsia"/>
        </w:rPr>
        <w:t>4.12-2材料（工程设备）暂估单价表</w:t>
      </w:r>
      <w:bookmarkEnd w:id="2597"/>
    </w:p>
    <w:p w14:paraId="138A4A01">
      <w:pPr>
        <w:rPr>
          <w:rFonts w:hint="eastAsia" w:ascii="黑体" w:eastAsia="黑体"/>
          <w:sz w:val="24"/>
        </w:rPr>
      </w:pPr>
    </w:p>
    <w:p w14:paraId="21C9A886">
      <w:pPr>
        <w:spacing w:before="120" w:beforeLines="50" w:after="120" w:afterLines="50"/>
        <w:jc w:val="center"/>
        <w:rPr>
          <w:rFonts w:hint="eastAsia" w:ascii="黑体" w:eastAsia="黑体"/>
          <w:sz w:val="28"/>
          <w:szCs w:val="28"/>
        </w:rPr>
      </w:pPr>
      <w:r>
        <w:rPr>
          <w:rFonts w:hint="eastAsia" w:ascii="黑体" w:eastAsia="黑体"/>
          <w:sz w:val="28"/>
          <w:szCs w:val="28"/>
        </w:rPr>
        <w:t>材料（工程设备）暂估单价表</w:t>
      </w:r>
    </w:p>
    <w:p w14:paraId="0547CCEA">
      <w:pPr>
        <w:spacing w:before="120" w:beforeLines="50" w:after="120" w:afterLines="50"/>
        <w:jc w:val="center"/>
        <w:rPr>
          <w:rFonts w:ascii="黑体" w:eastAsia="黑体"/>
          <w:sz w:val="28"/>
          <w:szCs w:val="28"/>
        </w:rPr>
      </w:pPr>
    </w:p>
    <w:p w14:paraId="2FBA0E95">
      <w:pPr>
        <w:rPr>
          <w:rFonts w:hint="eastAsia"/>
        </w:rPr>
      </w:pPr>
      <w:r>
        <w:rPr>
          <w:rFonts w:hint="eastAsia"/>
        </w:rPr>
        <w:t>工程名称：                      标段名称：                   第  页  共  页</w:t>
      </w:r>
    </w:p>
    <w:tbl>
      <w:tblPr>
        <w:tblStyle w:val="15"/>
        <w:tblW w:w="8595"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502"/>
        <w:gridCol w:w="661"/>
        <w:gridCol w:w="1080"/>
        <w:gridCol w:w="959"/>
        <w:gridCol w:w="1475"/>
        <w:gridCol w:w="1399"/>
        <w:gridCol w:w="828"/>
      </w:tblGrid>
      <w:tr w14:paraId="3E65D39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vMerge w:val="restart"/>
            <w:noWrap w:val="0"/>
            <w:vAlign w:val="center"/>
          </w:tcPr>
          <w:p w14:paraId="3F873630">
            <w:pPr>
              <w:jc w:val="center"/>
              <w:rPr>
                <w:rFonts w:hint="eastAsia"/>
              </w:rPr>
            </w:pPr>
            <w:r>
              <w:rPr>
                <w:rFonts w:hint="eastAsia"/>
              </w:rPr>
              <w:t>序号</w:t>
            </w:r>
          </w:p>
        </w:tc>
        <w:tc>
          <w:tcPr>
            <w:tcW w:w="1502" w:type="dxa"/>
            <w:vMerge w:val="restart"/>
            <w:noWrap w:val="0"/>
            <w:vAlign w:val="center"/>
          </w:tcPr>
          <w:p w14:paraId="55509BC6">
            <w:pPr>
              <w:jc w:val="center"/>
              <w:rPr>
                <w:rFonts w:hint="eastAsia"/>
              </w:rPr>
            </w:pPr>
            <w:r>
              <w:rPr>
                <w:rFonts w:hint="eastAsia"/>
              </w:rPr>
              <w:t>材料（工程设备）名称、规格、型号</w:t>
            </w:r>
          </w:p>
        </w:tc>
        <w:tc>
          <w:tcPr>
            <w:tcW w:w="661" w:type="dxa"/>
            <w:vMerge w:val="restart"/>
            <w:noWrap w:val="0"/>
            <w:vAlign w:val="center"/>
          </w:tcPr>
          <w:p w14:paraId="3AA43DCF">
            <w:pPr>
              <w:jc w:val="center"/>
              <w:rPr>
                <w:rFonts w:hint="eastAsia"/>
              </w:rPr>
            </w:pPr>
            <w:r>
              <w:rPr>
                <w:rFonts w:hint="eastAsia"/>
              </w:rPr>
              <w:t>计量单位</w:t>
            </w:r>
          </w:p>
        </w:tc>
        <w:tc>
          <w:tcPr>
            <w:tcW w:w="2039" w:type="dxa"/>
            <w:gridSpan w:val="2"/>
            <w:noWrap w:val="0"/>
            <w:vAlign w:val="center"/>
          </w:tcPr>
          <w:p w14:paraId="12418C76">
            <w:pPr>
              <w:jc w:val="center"/>
              <w:rPr>
                <w:rFonts w:hint="eastAsia"/>
              </w:rPr>
            </w:pPr>
            <w:r>
              <w:rPr>
                <w:rFonts w:hint="eastAsia"/>
              </w:rPr>
              <w:t>数量</w:t>
            </w:r>
          </w:p>
        </w:tc>
        <w:tc>
          <w:tcPr>
            <w:tcW w:w="2874" w:type="dxa"/>
            <w:gridSpan w:val="2"/>
            <w:noWrap w:val="0"/>
            <w:vAlign w:val="center"/>
          </w:tcPr>
          <w:p w14:paraId="56708E7D">
            <w:pPr>
              <w:jc w:val="center"/>
              <w:rPr>
                <w:rFonts w:hint="eastAsia"/>
              </w:rPr>
            </w:pPr>
            <w:r>
              <w:rPr>
                <w:rFonts w:hint="eastAsia"/>
              </w:rPr>
              <w:t>暂估 (元)</w:t>
            </w:r>
          </w:p>
        </w:tc>
        <w:tc>
          <w:tcPr>
            <w:tcW w:w="828" w:type="dxa"/>
            <w:noWrap w:val="0"/>
            <w:vAlign w:val="center"/>
          </w:tcPr>
          <w:p w14:paraId="6D8CB7DF">
            <w:pPr>
              <w:jc w:val="center"/>
              <w:rPr>
                <w:rFonts w:hint="eastAsia"/>
              </w:rPr>
            </w:pPr>
            <w:r>
              <w:rPr>
                <w:rFonts w:hint="eastAsia"/>
              </w:rPr>
              <w:t>备注</w:t>
            </w:r>
          </w:p>
        </w:tc>
      </w:tr>
      <w:tr w14:paraId="5E251EA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691" w:type="dxa"/>
            <w:vMerge w:val="continue"/>
            <w:noWrap w:val="0"/>
            <w:vAlign w:val="center"/>
          </w:tcPr>
          <w:p w14:paraId="6F27D6F4">
            <w:pPr>
              <w:jc w:val="center"/>
              <w:rPr>
                <w:rFonts w:hint="eastAsia"/>
              </w:rPr>
            </w:pPr>
          </w:p>
        </w:tc>
        <w:tc>
          <w:tcPr>
            <w:tcW w:w="1502" w:type="dxa"/>
            <w:vMerge w:val="continue"/>
            <w:noWrap w:val="0"/>
            <w:vAlign w:val="center"/>
          </w:tcPr>
          <w:p w14:paraId="232E4583">
            <w:pPr>
              <w:jc w:val="center"/>
              <w:rPr>
                <w:rFonts w:hint="eastAsia"/>
              </w:rPr>
            </w:pPr>
          </w:p>
        </w:tc>
        <w:tc>
          <w:tcPr>
            <w:tcW w:w="661" w:type="dxa"/>
            <w:vMerge w:val="continue"/>
            <w:noWrap w:val="0"/>
            <w:vAlign w:val="center"/>
          </w:tcPr>
          <w:p w14:paraId="70948CE1">
            <w:pPr>
              <w:jc w:val="center"/>
              <w:rPr>
                <w:rFonts w:hint="eastAsia"/>
              </w:rPr>
            </w:pPr>
          </w:p>
        </w:tc>
        <w:tc>
          <w:tcPr>
            <w:tcW w:w="1080" w:type="dxa"/>
            <w:noWrap w:val="0"/>
            <w:vAlign w:val="center"/>
          </w:tcPr>
          <w:p w14:paraId="0B1FD8B2">
            <w:pPr>
              <w:jc w:val="center"/>
              <w:rPr>
                <w:rFonts w:hint="eastAsia"/>
              </w:rPr>
            </w:pPr>
            <w:r>
              <w:rPr>
                <w:rFonts w:hint="eastAsia"/>
              </w:rPr>
              <w:t>暂估</w:t>
            </w:r>
          </w:p>
        </w:tc>
        <w:tc>
          <w:tcPr>
            <w:tcW w:w="959" w:type="dxa"/>
            <w:noWrap w:val="0"/>
            <w:vAlign w:val="center"/>
          </w:tcPr>
          <w:p w14:paraId="0138AD61">
            <w:pPr>
              <w:jc w:val="center"/>
              <w:rPr>
                <w:rFonts w:hint="eastAsia"/>
              </w:rPr>
            </w:pPr>
            <w:r>
              <w:rPr>
                <w:rFonts w:hint="eastAsia"/>
              </w:rPr>
              <w:t>确认</w:t>
            </w:r>
          </w:p>
        </w:tc>
        <w:tc>
          <w:tcPr>
            <w:tcW w:w="1475" w:type="dxa"/>
            <w:noWrap w:val="0"/>
            <w:vAlign w:val="center"/>
          </w:tcPr>
          <w:p w14:paraId="2D325B20">
            <w:pPr>
              <w:jc w:val="center"/>
              <w:rPr>
                <w:rFonts w:hint="eastAsia"/>
              </w:rPr>
            </w:pPr>
            <w:r>
              <w:rPr>
                <w:rFonts w:hint="eastAsia"/>
              </w:rPr>
              <w:t>单价</w:t>
            </w:r>
          </w:p>
        </w:tc>
        <w:tc>
          <w:tcPr>
            <w:tcW w:w="1399" w:type="dxa"/>
            <w:noWrap w:val="0"/>
            <w:vAlign w:val="center"/>
          </w:tcPr>
          <w:p w14:paraId="070CC767">
            <w:pPr>
              <w:jc w:val="center"/>
              <w:rPr>
                <w:rFonts w:hint="eastAsia"/>
              </w:rPr>
            </w:pPr>
            <w:r>
              <w:rPr>
                <w:rFonts w:hint="eastAsia"/>
              </w:rPr>
              <w:t>合价</w:t>
            </w:r>
          </w:p>
        </w:tc>
        <w:tc>
          <w:tcPr>
            <w:tcW w:w="828" w:type="dxa"/>
            <w:noWrap w:val="0"/>
            <w:vAlign w:val="center"/>
          </w:tcPr>
          <w:p w14:paraId="143543A7">
            <w:pPr>
              <w:jc w:val="center"/>
              <w:rPr>
                <w:rFonts w:hint="eastAsia"/>
              </w:rPr>
            </w:pPr>
          </w:p>
        </w:tc>
      </w:tr>
      <w:tr w14:paraId="052EE49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bottom w:val="single" w:color="auto" w:sz="6" w:space="0"/>
            </w:tcBorders>
            <w:noWrap w:val="0"/>
            <w:vAlign w:val="center"/>
          </w:tcPr>
          <w:p w14:paraId="4FE6628B">
            <w:pPr>
              <w:jc w:val="center"/>
              <w:rPr>
                <w:rFonts w:hint="eastAsia"/>
              </w:rPr>
            </w:pPr>
          </w:p>
        </w:tc>
        <w:tc>
          <w:tcPr>
            <w:tcW w:w="1502" w:type="dxa"/>
            <w:noWrap w:val="0"/>
            <w:vAlign w:val="center"/>
          </w:tcPr>
          <w:p w14:paraId="3B1B28FB">
            <w:pPr>
              <w:jc w:val="center"/>
              <w:rPr>
                <w:rFonts w:hint="eastAsia"/>
              </w:rPr>
            </w:pPr>
          </w:p>
        </w:tc>
        <w:tc>
          <w:tcPr>
            <w:tcW w:w="661" w:type="dxa"/>
            <w:noWrap w:val="0"/>
            <w:vAlign w:val="center"/>
          </w:tcPr>
          <w:p w14:paraId="1997FBED">
            <w:pPr>
              <w:jc w:val="center"/>
              <w:rPr>
                <w:rFonts w:hint="eastAsia"/>
              </w:rPr>
            </w:pPr>
          </w:p>
        </w:tc>
        <w:tc>
          <w:tcPr>
            <w:tcW w:w="1080" w:type="dxa"/>
            <w:noWrap w:val="0"/>
            <w:vAlign w:val="center"/>
          </w:tcPr>
          <w:p w14:paraId="6D5F93AC">
            <w:pPr>
              <w:jc w:val="center"/>
              <w:rPr>
                <w:rFonts w:hint="eastAsia"/>
              </w:rPr>
            </w:pPr>
          </w:p>
        </w:tc>
        <w:tc>
          <w:tcPr>
            <w:tcW w:w="959" w:type="dxa"/>
            <w:noWrap w:val="0"/>
            <w:vAlign w:val="center"/>
          </w:tcPr>
          <w:p w14:paraId="3AEA091F">
            <w:pPr>
              <w:jc w:val="center"/>
              <w:rPr>
                <w:rFonts w:hint="eastAsia"/>
              </w:rPr>
            </w:pPr>
          </w:p>
        </w:tc>
        <w:tc>
          <w:tcPr>
            <w:tcW w:w="1475" w:type="dxa"/>
            <w:noWrap w:val="0"/>
            <w:vAlign w:val="center"/>
          </w:tcPr>
          <w:p w14:paraId="0E621B0F">
            <w:pPr>
              <w:jc w:val="center"/>
              <w:rPr>
                <w:rFonts w:hint="eastAsia"/>
              </w:rPr>
            </w:pPr>
          </w:p>
        </w:tc>
        <w:tc>
          <w:tcPr>
            <w:tcW w:w="1399" w:type="dxa"/>
            <w:noWrap w:val="0"/>
            <w:vAlign w:val="center"/>
          </w:tcPr>
          <w:p w14:paraId="24E6ED75">
            <w:pPr>
              <w:jc w:val="center"/>
              <w:rPr>
                <w:rFonts w:hint="eastAsia"/>
              </w:rPr>
            </w:pPr>
          </w:p>
        </w:tc>
        <w:tc>
          <w:tcPr>
            <w:tcW w:w="828" w:type="dxa"/>
            <w:noWrap w:val="0"/>
            <w:vAlign w:val="center"/>
          </w:tcPr>
          <w:p w14:paraId="0D4AA25A">
            <w:pPr>
              <w:jc w:val="center"/>
              <w:rPr>
                <w:rFonts w:hint="eastAsia"/>
              </w:rPr>
            </w:pPr>
          </w:p>
        </w:tc>
      </w:tr>
      <w:tr w14:paraId="0B5BD6C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tcBorders>
              <w:top w:val="single" w:color="auto" w:sz="6" w:space="0"/>
            </w:tcBorders>
            <w:noWrap w:val="0"/>
            <w:vAlign w:val="center"/>
          </w:tcPr>
          <w:p w14:paraId="0B1E1442">
            <w:pPr>
              <w:jc w:val="center"/>
              <w:rPr>
                <w:rFonts w:hint="eastAsia"/>
              </w:rPr>
            </w:pPr>
          </w:p>
        </w:tc>
        <w:tc>
          <w:tcPr>
            <w:tcW w:w="1502" w:type="dxa"/>
            <w:noWrap w:val="0"/>
            <w:vAlign w:val="center"/>
          </w:tcPr>
          <w:p w14:paraId="4C384FC8">
            <w:pPr>
              <w:jc w:val="center"/>
              <w:rPr>
                <w:rFonts w:hint="eastAsia"/>
              </w:rPr>
            </w:pPr>
          </w:p>
        </w:tc>
        <w:tc>
          <w:tcPr>
            <w:tcW w:w="661" w:type="dxa"/>
            <w:noWrap w:val="0"/>
            <w:vAlign w:val="center"/>
          </w:tcPr>
          <w:p w14:paraId="5008EC75">
            <w:pPr>
              <w:jc w:val="center"/>
              <w:rPr>
                <w:rFonts w:hint="eastAsia"/>
              </w:rPr>
            </w:pPr>
          </w:p>
        </w:tc>
        <w:tc>
          <w:tcPr>
            <w:tcW w:w="1080" w:type="dxa"/>
            <w:noWrap w:val="0"/>
            <w:vAlign w:val="center"/>
          </w:tcPr>
          <w:p w14:paraId="48A65484">
            <w:pPr>
              <w:jc w:val="center"/>
              <w:rPr>
                <w:rFonts w:hint="eastAsia"/>
              </w:rPr>
            </w:pPr>
          </w:p>
        </w:tc>
        <w:tc>
          <w:tcPr>
            <w:tcW w:w="959" w:type="dxa"/>
            <w:noWrap w:val="0"/>
            <w:vAlign w:val="center"/>
          </w:tcPr>
          <w:p w14:paraId="5B354749">
            <w:pPr>
              <w:jc w:val="center"/>
              <w:rPr>
                <w:rFonts w:hint="eastAsia"/>
              </w:rPr>
            </w:pPr>
          </w:p>
        </w:tc>
        <w:tc>
          <w:tcPr>
            <w:tcW w:w="1475" w:type="dxa"/>
            <w:noWrap w:val="0"/>
            <w:vAlign w:val="center"/>
          </w:tcPr>
          <w:p w14:paraId="1DF58548">
            <w:pPr>
              <w:jc w:val="center"/>
              <w:rPr>
                <w:rFonts w:hint="eastAsia"/>
              </w:rPr>
            </w:pPr>
          </w:p>
        </w:tc>
        <w:tc>
          <w:tcPr>
            <w:tcW w:w="1399" w:type="dxa"/>
            <w:noWrap w:val="0"/>
            <w:vAlign w:val="center"/>
          </w:tcPr>
          <w:p w14:paraId="5DD872D8">
            <w:pPr>
              <w:jc w:val="center"/>
              <w:rPr>
                <w:rFonts w:hint="eastAsia"/>
              </w:rPr>
            </w:pPr>
          </w:p>
        </w:tc>
        <w:tc>
          <w:tcPr>
            <w:tcW w:w="828" w:type="dxa"/>
            <w:noWrap w:val="0"/>
            <w:vAlign w:val="center"/>
          </w:tcPr>
          <w:p w14:paraId="15BBEBCD">
            <w:pPr>
              <w:jc w:val="center"/>
              <w:rPr>
                <w:rFonts w:hint="eastAsia"/>
              </w:rPr>
            </w:pPr>
          </w:p>
        </w:tc>
      </w:tr>
      <w:tr w14:paraId="4ECF3E4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noWrap w:val="0"/>
            <w:vAlign w:val="center"/>
          </w:tcPr>
          <w:p w14:paraId="34B07718">
            <w:pPr>
              <w:jc w:val="center"/>
              <w:rPr>
                <w:rFonts w:hint="eastAsia"/>
              </w:rPr>
            </w:pPr>
          </w:p>
        </w:tc>
        <w:tc>
          <w:tcPr>
            <w:tcW w:w="1502" w:type="dxa"/>
            <w:noWrap w:val="0"/>
            <w:vAlign w:val="center"/>
          </w:tcPr>
          <w:p w14:paraId="23906D0E">
            <w:pPr>
              <w:jc w:val="center"/>
              <w:rPr>
                <w:rFonts w:hint="eastAsia"/>
              </w:rPr>
            </w:pPr>
          </w:p>
        </w:tc>
        <w:tc>
          <w:tcPr>
            <w:tcW w:w="661" w:type="dxa"/>
            <w:noWrap w:val="0"/>
            <w:vAlign w:val="center"/>
          </w:tcPr>
          <w:p w14:paraId="3D20824A">
            <w:pPr>
              <w:jc w:val="center"/>
              <w:rPr>
                <w:rFonts w:hint="eastAsia"/>
              </w:rPr>
            </w:pPr>
          </w:p>
        </w:tc>
        <w:tc>
          <w:tcPr>
            <w:tcW w:w="1080" w:type="dxa"/>
            <w:noWrap w:val="0"/>
            <w:vAlign w:val="center"/>
          </w:tcPr>
          <w:p w14:paraId="3526DDAA">
            <w:pPr>
              <w:jc w:val="center"/>
              <w:rPr>
                <w:rFonts w:hint="eastAsia"/>
              </w:rPr>
            </w:pPr>
          </w:p>
        </w:tc>
        <w:tc>
          <w:tcPr>
            <w:tcW w:w="959" w:type="dxa"/>
            <w:noWrap w:val="0"/>
            <w:vAlign w:val="center"/>
          </w:tcPr>
          <w:p w14:paraId="39B962D3">
            <w:pPr>
              <w:jc w:val="center"/>
              <w:rPr>
                <w:rFonts w:hint="eastAsia"/>
              </w:rPr>
            </w:pPr>
          </w:p>
        </w:tc>
        <w:tc>
          <w:tcPr>
            <w:tcW w:w="1475" w:type="dxa"/>
            <w:noWrap w:val="0"/>
            <w:vAlign w:val="center"/>
          </w:tcPr>
          <w:p w14:paraId="581425D5">
            <w:pPr>
              <w:jc w:val="center"/>
              <w:rPr>
                <w:rFonts w:hint="eastAsia"/>
              </w:rPr>
            </w:pPr>
          </w:p>
        </w:tc>
        <w:tc>
          <w:tcPr>
            <w:tcW w:w="1399" w:type="dxa"/>
            <w:noWrap w:val="0"/>
            <w:vAlign w:val="center"/>
          </w:tcPr>
          <w:p w14:paraId="56E8548B">
            <w:pPr>
              <w:jc w:val="center"/>
              <w:rPr>
                <w:rFonts w:hint="eastAsia"/>
              </w:rPr>
            </w:pPr>
          </w:p>
        </w:tc>
        <w:tc>
          <w:tcPr>
            <w:tcW w:w="828" w:type="dxa"/>
            <w:noWrap w:val="0"/>
            <w:vAlign w:val="center"/>
          </w:tcPr>
          <w:p w14:paraId="4C00C1CD">
            <w:pPr>
              <w:jc w:val="center"/>
              <w:rPr>
                <w:rFonts w:hint="eastAsia"/>
              </w:rPr>
            </w:pPr>
          </w:p>
        </w:tc>
      </w:tr>
      <w:tr w14:paraId="73A1304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noWrap w:val="0"/>
            <w:vAlign w:val="center"/>
          </w:tcPr>
          <w:p w14:paraId="253B85D7">
            <w:pPr>
              <w:jc w:val="center"/>
              <w:rPr>
                <w:rFonts w:hint="eastAsia"/>
              </w:rPr>
            </w:pPr>
          </w:p>
        </w:tc>
        <w:tc>
          <w:tcPr>
            <w:tcW w:w="1502" w:type="dxa"/>
            <w:noWrap w:val="0"/>
            <w:vAlign w:val="center"/>
          </w:tcPr>
          <w:p w14:paraId="6B5B7946">
            <w:pPr>
              <w:jc w:val="center"/>
              <w:rPr>
                <w:rFonts w:hint="eastAsia"/>
              </w:rPr>
            </w:pPr>
          </w:p>
        </w:tc>
        <w:tc>
          <w:tcPr>
            <w:tcW w:w="661" w:type="dxa"/>
            <w:noWrap w:val="0"/>
            <w:vAlign w:val="center"/>
          </w:tcPr>
          <w:p w14:paraId="1E92CF78">
            <w:pPr>
              <w:jc w:val="center"/>
              <w:rPr>
                <w:rFonts w:hint="eastAsia"/>
              </w:rPr>
            </w:pPr>
          </w:p>
        </w:tc>
        <w:tc>
          <w:tcPr>
            <w:tcW w:w="1080" w:type="dxa"/>
            <w:noWrap w:val="0"/>
            <w:vAlign w:val="center"/>
          </w:tcPr>
          <w:p w14:paraId="029F7338">
            <w:pPr>
              <w:jc w:val="center"/>
              <w:rPr>
                <w:rFonts w:hint="eastAsia"/>
              </w:rPr>
            </w:pPr>
          </w:p>
        </w:tc>
        <w:tc>
          <w:tcPr>
            <w:tcW w:w="959" w:type="dxa"/>
            <w:noWrap w:val="0"/>
            <w:vAlign w:val="center"/>
          </w:tcPr>
          <w:p w14:paraId="5B44DC44">
            <w:pPr>
              <w:jc w:val="center"/>
              <w:rPr>
                <w:rFonts w:hint="eastAsia"/>
              </w:rPr>
            </w:pPr>
          </w:p>
        </w:tc>
        <w:tc>
          <w:tcPr>
            <w:tcW w:w="1475" w:type="dxa"/>
            <w:noWrap w:val="0"/>
            <w:vAlign w:val="center"/>
          </w:tcPr>
          <w:p w14:paraId="608193F1">
            <w:pPr>
              <w:jc w:val="center"/>
              <w:rPr>
                <w:rFonts w:hint="eastAsia"/>
              </w:rPr>
            </w:pPr>
          </w:p>
        </w:tc>
        <w:tc>
          <w:tcPr>
            <w:tcW w:w="1399" w:type="dxa"/>
            <w:noWrap w:val="0"/>
            <w:vAlign w:val="center"/>
          </w:tcPr>
          <w:p w14:paraId="16F0FB1D">
            <w:pPr>
              <w:jc w:val="center"/>
              <w:rPr>
                <w:rFonts w:hint="eastAsia"/>
              </w:rPr>
            </w:pPr>
          </w:p>
        </w:tc>
        <w:tc>
          <w:tcPr>
            <w:tcW w:w="828" w:type="dxa"/>
            <w:noWrap w:val="0"/>
            <w:vAlign w:val="center"/>
          </w:tcPr>
          <w:p w14:paraId="481A3D50">
            <w:pPr>
              <w:jc w:val="center"/>
              <w:rPr>
                <w:rFonts w:hint="eastAsia"/>
              </w:rPr>
            </w:pPr>
          </w:p>
        </w:tc>
      </w:tr>
      <w:tr w14:paraId="069E9EC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noWrap w:val="0"/>
            <w:vAlign w:val="center"/>
          </w:tcPr>
          <w:p w14:paraId="29EB4B12">
            <w:pPr>
              <w:jc w:val="center"/>
              <w:rPr>
                <w:rFonts w:hint="eastAsia"/>
              </w:rPr>
            </w:pPr>
          </w:p>
        </w:tc>
        <w:tc>
          <w:tcPr>
            <w:tcW w:w="1502" w:type="dxa"/>
            <w:noWrap w:val="0"/>
            <w:vAlign w:val="center"/>
          </w:tcPr>
          <w:p w14:paraId="62008B92">
            <w:pPr>
              <w:jc w:val="center"/>
              <w:rPr>
                <w:rFonts w:hint="eastAsia"/>
              </w:rPr>
            </w:pPr>
          </w:p>
        </w:tc>
        <w:tc>
          <w:tcPr>
            <w:tcW w:w="661" w:type="dxa"/>
            <w:noWrap w:val="0"/>
            <w:vAlign w:val="center"/>
          </w:tcPr>
          <w:p w14:paraId="1CA0243E">
            <w:pPr>
              <w:jc w:val="center"/>
              <w:rPr>
                <w:rFonts w:hint="eastAsia"/>
              </w:rPr>
            </w:pPr>
          </w:p>
        </w:tc>
        <w:tc>
          <w:tcPr>
            <w:tcW w:w="1080" w:type="dxa"/>
            <w:noWrap w:val="0"/>
            <w:vAlign w:val="center"/>
          </w:tcPr>
          <w:p w14:paraId="30263746">
            <w:pPr>
              <w:jc w:val="center"/>
              <w:rPr>
                <w:rFonts w:hint="eastAsia"/>
              </w:rPr>
            </w:pPr>
          </w:p>
        </w:tc>
        <w:tc>
          <w:tcPr>
            <w:tcW w:w="959" w:type="dxa"/>
            <w:noWrap w:val="0"/>
            <w:vAlign w:val="center"/>
          </w:tcPr>
          <w:p w14:paraId="231D52D9">
            <w:pPr>
              <w:jc w:val="center"/>
              <w:rPr>
                <w:rFonts w:hint="eastAsia"/>
              </w:rPr>
            </w:pPr>
          </w:p>
        </w:tc>
        <w:tc>
          <w:tcPr>
            <w:tcW w:w="1475" w:type="dxa"/>
            <w:noWrap w:val="0"/>
            <w:vAlign w:val="center"/>
          </w:tcPr>
          <w:p w14:paraId="48F7186E">
            <w:pPr>
              <w:jc w:val="center"/>
              <w:rPr>
                <w:rFonts w:hint="eastAsia"/>
              </w:rPr>
            </w:pPr>
          </w:p>
        </w:tc>
        <w:tc>
          <w:tcPr>
            <w:tcW w:w="1399" w:type="dxa"/>
            <w:noWrap w:val="0"/>
            <w:vAlign w:val="center"/>
          </w:tcPr>
          <w:p w14:paraId="251891FB">
            <w:pPr>
              <w:jc w:val="center"/>
              <w:rPr>
                <w:rFonts w:hint="eastAsia"/>
              </w:rPr>
            </w:pPr>
          </w:p>
        </w:tc>
        <w:tc>
          <w:tcPr>
            <w:tcW w:w="828" w:type="dxa"/>
            <w:noWrap w:val="0"/>
            <w:vAlign w:val="center"/>
          </w:tcPr>
          <w:p w14:paraId="2410974A">
            <w:pPr>
              <w:jc w:val="center"/>
              <w:rPr>
                <w:rFonts w:hint="eastAsia"/>
              </w:rPr>
            </w:pPr>
          </w:p>
        </w:tc>
      </w:tr>
      <w:tr w14:paraId="77C1554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91" w:type="dxa"/>
            <w:noWrap w:val="0"/>
            <w:vAlign w:val="center"/>
          </w:tcPr>
          <w:p w14:paraId="4EEB2CA4">
            <w:pPr>
              <w:jc w:val="center"/>
              <w:rPr>
                <w:rFonts w:hint="eastAsia"/>
              </w:rPr>
            </w:pPr>
          </w:p>
        </w:tc>
        <w:tc>
          <w:tcPr>
            <w:tcW w:w="1502" w:type="dxa"/>
            <w:noWrap w:val="0"/>
            <w:vAlign w:val="center"/>
          </w:tcPr>
          <w:p w14:paraId="0AFE64E8">
            <w:pPr>
              <w:jc w:val="center"/>
              <w:rPr>
                <w:rFonts w:hint="eastAsia"/>
              </w:rPr>
            </w:pPr>
          </w:p>
        </w:tc>
        <w:tc>
          <w:tcPr>
            <w:tcW w:w="661" w:type="dxa"/>
            <w:noWrap w:val="0"/>
            <w:vAlign w:val="center"/>
          </w:tcPr>
          <w:p w14:paraId="010D9989">
            <w:pPr>
              <w:jc w:val="center"/>
              <w:rPr>
                <w:rFonts w:hint="eastAsia"/>
              </w:rPr>
            </w:pPr>
          </w:p>
        </w:tc>
        <w:tc>
          <w:tcPr>
            <w:tcW w:w="1080" w:type="dxa"/>
            <w:noWrap w:val="0"/>
            <w:vAlign w:val="center"/>
          </w:tcPr>
          <w:p w14:paraId="7A3AC80D">
            <w:pPr>
              <w:jc w:val="center"/>
              <w:rPr>
                <w:rFonts w:hint="eastAsia"/>
              </w:rPr>
            </w:pPr>
          </w:p>
        </w:tc>
        <w:tc>
          <w:tcPr>
            <w:tcW w:w="959" w:type="dxa"/>
            <w:noWrap w:val="0"/>
            <w:vAlign w:val="center"/>
          </w:tcPr>
          <w:p w14:paraId="078AD949">
            <w:pPr>
              <w:jc w:val="center"/>
              <w:rPr>
                <w:rFonts w:hint="eastAsia"/>
              </w:rPr>
            </w:pPr>
          </w:p>
        </w:tc>
        <w:tc>
          <w:tcPr>
            <w:tcW w:w="1475" w:type="dxa"/>
            <w:noWrap w:val="0"/>
            <w:vAlign w:val="center"/>
          </w:tcPr>
          <w:p w14:paraId="1DB378D8">
            <w:pPr>
              <w:jc w:val="center"/>
              <w:rPr>
                <w:rFonts w:hint="eastAsia"/>
              </w:rPr>
            </w:pPr>
          </w:p>
        </w:tc>
        <w:tc>
          <w:tcPr>
            <w:tcW w:w="1399" w:type="dxa"/>
            <w:noWrap w:val="0"/>
            <w:vAlign w:val="center"/>
          </w:tcPr>
          <w:p w14:paraId="6851C70A">
            <w:pPr>
              <w:jc w:val="center"/>
              <w:rPr>
                <w:rFonts w:hint="eastAsia"/>
              </w:rPr>
            </w:pPr>
          </w:p>
        </w:tc>
        <w:tc>
          <w:tcPr>
            <w:tcW w:w="828" w:type="dxa"/>
            <w:noWrap w:val="0"/>
            <w:vAlign w:val="center"/>
          </w:tcPr>
          <w:p w14:paraId="091B5D44">
            <w:pPr>
              <w:jc w:val="center"/>
              <w:rPr>
                <w:rFonts w:hint="eastAsia"/>
              </w:rPr>
            </w:pPr>
          </w:p>
        </w:tc>
      </w:tr>
      <w:tr w14:paraId="1C42A23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noWrap w:val="0"/>
            <w:vAlign w:val="center"/>
          </w:tcPr>
          <w:p w14:paraId="65CA0458">
            <w:pPr>
              <w:jc w:val="center"/>
              <w:rPr>
                <w:rFonts w:hint="eastAsia"/>
              </w:rPr>
            </w:pPr>
          </w:p>
        </w:tc>
        <w:tc>
          <w:tcPr>
            <w:tcW w:w="1502" w:type="dxa"/>
            <w:noWrap w:val="0"/>
            <w:vAlign w:val="center"/>
          </w:tcPr>
          <w:p w14:paraId="1FF9325F">
            <w:pPr>
              <w:jc w:val="center"/>
              <w:rPr>
                <w:rFonts w:hint="eastAsia"/>
              </w:rPr>
            </w:pPr>
          </w:p>
        </w:tc>
        <w:tc>
          <w:tcPr>
            <w:tcW w:w="661" w:type="dxa"/>
            <w:noWrap w:val="0"/>
            <w:vAlign w:val="center"/>
          </w:tcPr>
          <w:p w14:paraId="64D4696D">
            <w:pPr>
              <w:jc w:val="center"/>
              <w:rPr>
                <w:rFonts w:hint="eastAsia"/>
              </w:rPr>
            </w:pPr>
          </w:p>
        </w:tc>
        <w:tc>
          <w:tcPr>
            <w:tcW w:w="1080" w:type="dxa"/>
            <w:noWrap w:val="0"/>
            <w:vAlign w:val="center"/>
          </w:tcPr>
          <w:p w14:paraId="1D8D28D2">
            <w:pPr>
              <w:jc w:val="center"/>
              <w:rPr>
                <w:rFonts w:hint="eastAsia"/>
              </w:rPr>
            </w:pPr>
          </w:p>
        </w:tc>
        <w:tc>
          <w:tcPr>
            <w:tcW w:w="959" w:type="dxa"/>
            <w:noWrap w:val="0"/>
            <w:vAlign w:val="center"/>
          </w:tcPr>
          <w:p w14:paraId="19CD1039">
            <w:pPr>
              <w:jc w:val="center"/>
              <w:rPr>
                <w:rFonts w:hint="eastAsia"/>
              </w:rPr>
            </w:pPr>
          </w:p>
        </w:tc>
        <w:tc>
          <w:tcPr>
            <w:tcW w:w="1475" w:type="dxa"/>
            <w:noWrap w:val="0"/>
            <w:vAlign w:val="center"/>
          </w:tcPr>
          <w:p w14:paraId="406B7F66">
            <w:pPr>
              <w:jc w:val="center"/>
              <w:rPr>
                <w:rFonts w:hint="eastAsia"/>
              </w:rPr>
            </w:pPr>
          </w:p>
        </w:tc>
        <w:tc>
          <w:tcPr>
            <w:tcW w:w="1399" w:type="dxa"/>
            <w:noWrap w:val="0"/>
            <w:vAlign w:val="center"/>
          </w:tcPr>
          <w:p w14:paraId="055DD3A4">
            <w:pPr>
              <w:jc w:val="center"/>
              <w:rPr>
                <w:rFonts w:hint="eastAsia"/>
              </w:rPr>
            </w:pPr>
          </w:p>
        </w:tc>
        <w:tc>
          <w:tcPr>
            <w:tcW w:w="828" w:type="dxa"/>
            <w:noWrap w:val="0"/>
            <w:vAlign w:val="center"/>
          </w:tcPr>
          <w:p w14:paraId="508BF0EC">
            <w:pPr>
              <w:jc w:val="center"/>
              <w:rPr>
                <w:rFonts w:hint="eastAsia"/>
              </w:rPr>
            </w:pPr>
          </w:p>
        </w:tc>
      </w:tr>
      <w:tr w14:paraId="6D2632C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91" w:type="dxa"/>
            <w:noWrap w:val="0"/>
            <w:vAlign w:val="center"/>
          </w:tcPr>
          <w:p w14:paraId="7F1FB6AB">
            <w:pPr>
              <w:jc w:val="center"/>
              <w:rPr>
                <w:rFonts w:hint="eastAsia"/>
              </w:rPr>
            </w:pPr>
          </w:p>
        </w:tc>
        <w:tc>
          <w:tcPr>
            <w:tcW w:w="1502" w:type="dxa"/>
            <w:noWrap w:val="0"/>
            <w:vAlign w:val="center"/>
          </w:tcPr>
          <w:p w14:paraId="7F86B081">
            <w:pPr>
              <w:jc w:val="center"/>
              <w:rPr>
                <w:rFonts w:hint="eastAsia"/>
              </w:rPr>
            </w:pPr>
          </w:p>
        </w:tc>
        <w:tc>
          <w:tcPr>
            <w:tcW w:w="661" w:type="dxa"/>
            <w:noWrap w:val="0"/>
            <w:vAlign w:val="center"/>
          </w:tcPr>
          <w:p w14:paraId="5D140C54">
            <w:pPr>
              <w:jc w:val="center"/>
              <w:rPr>
                <w:rFonts w:hint="eastAsia"/>
              </w:rPr>
            </w:pPr>
          </w:p>
        </w:tc>
        <w:tc>
          <w:tcPr>
            <w:tcW w:w="1080" w:type="dxa"/>
            <w:noWrap w:val="0"/>
            <w:vAlign w:val="center"/>
          </w:tcPr>
          <w:p w14:paraId="2A23B580">
            <w:pPr>
              <w:jc w:val="center"/>
              <w:rPr>
                <w:rFonts w:hint="eastAsia"/>
              </w:rPr>
            </w:pPr>
          </w:p>
        </w:tc>
        <w:tc>
          <w:tcPr>
            <w:tcW w:w="959" w:type="dxa"/>
            <w:noWrap w:val="0"/>
            <w:vAlign w:val="center"/>
          </w:tcPr>
          <w:p w14:paraId="501C7F79">
            <w:pPr>
              <w:jc w:val="center"/>
              <w:rPr>
                <w:rFonts w:hint="eastAsia"/>
              </w:rPr>
            </w:pPr>
          </w:p>
        </w:tc>
        <w:tc>
          <w:tcPr>
            <w:tcW w:w="1475" w:type="dxa"/>
            <w:noWrap w:val="0"/>
            <w:vAlign w:val="center"/>
          </w:tcPr>
          <w:p w14:paraId="3D463387">
            <w:pPr>
              <w:jc w:val="center"/>
              <w:rPr>
                <w:rFonts w:hint="eastAsia"/>
              </w:rPr>
            </w:pPr>
          </w:p>
        </w:tc>
        <w:tc>
          <w:tcPr>
            <w:tcW w:w="1399" w:type="dxa"/>
            <w:noWrap w:val="0"/>
            <w:vAlign w:val="center"/>
          </w:tcPr>
          <w:p w14:paraId="0A2AAED3">
            <w:pPr>
              <w:jc w:val="center"/>
              <w:rPr>
                <w:rFonts w:hint="eastAsia"/>
              </w:rPr>
            </w:pPr>
          </w:p>
        </w:tc>
        <w:tc>
          <w:tcPr>
            <w:tcW w:w="828" w:type="dxa"/>
            <w:noWrap w:val="0"/>
            <w:vAlign w:val="center"/>
          </w:tcPr>
          <w:p w14:paraId="7FCDEC81">
            <w:pPr>
              <w:jc w:val="center"/>
              <w:rPr>
                <w:rFonts w:hint="eastAsia"/>
              </w:rPr>
            </w:pPr>
          </w:p>
        </w:tc>
      </w:tr>
      <w:tr w14:paraId="2AF8CE1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2854" w:type="dxa"/>
            <w:gridSpan w:val="3"/>
            <w:noWrap w:val="0"/>
            <w:vAlign w:val="center"/>
          </w:tcPr>
          <w:p w14:paraId="6C93EA38">
            <w:pPr>
              <w:jc w:val="center"/>
              <w:rPr>
                <w:rFonts w:hint="eastAsia"/>
              </w:rPr>
            </w:pPr>
            <w:r>
              <w:rPr>
                <w:rFonts w:hint="eastAsia"/>
              </w:rPr>
              <w:t>合计</w:t>
            </w:r>
          </w:p>
        </w:tc>
        <w:tc>
          <w:tcPr>
            <w:tcW w:w="1080" w:type="dxa"/>
            <w:noWrap w:val="0"/>
            <w:vAlign w:val="center"/>
          </w:tcPr>
          <w:p w14:paraId="434F832B">
            <w:pPr>
              <w:jc w:val="center"/>
              <w:rPr>
                <w:rFonts w:hint="eastAsia"/>
              </w:rPr>
            </w:pPr>
          </w:p>
        </w:tc>
        <w:tc>
          <w:tcPr>
            <w:tcW w:w="959" w:type="dxa"/>
            <w:noWrap w:val="0"/>
            <w:vAlign w:val="center"/>
          </w:tcPr>
          <w:p w14:paraId="54693B1D">
            <w:pPr>
              <w:jc w:val="center"/>
              <w:rPr>
                <w:rFonts w:hint="eastAsia"/>
              </w:rPr>
            </w:pPr>
          </w:p>
        </w:tc>
        <w:tc>
          <w:tcPr>
            <w:tcW w:w="1475" w:type="dxa"/>
            <w:noWrap w:val="0"/>
            <w:vAlign w:val="center"/>
          </w:tcPr>
          <w:p w14:paraId="70C8989E">
            <w:pPr>
              <w:jc w:val="center"/>
              <w:rPr>
                <w:rFonts w:hint="eastAsia"/>
              </w:rPr>
            </w:pPr>
          </w:p>
        </w:tc>
        <w:tc>
          <w:tcPr>
            <w:tcW w:w="1399" w:type="dxa"/>
            <w:noWrap w:val="0"/>
            <w:vAlign w:val="center"/>
          </w:tcPr>
          <w:p w14:paraId="538EF118">
            <w:pPr>
              <w:jc w:val="center"/>
              <w:rPr>
                <w:rFonts w:hint="eastAsia"/>
              </w:rPr>
            </w:pPr>
          </w:p>
        </w:tc>
        <w:tc>
          <w:tcPr>
            <w:tcW w:w="828" w:type="dxa"/>
            <w:noWrap w:val="0"/>
            <w:vAlign w:val="center"/>
          </w:tcPr>
          <w:p w14:paraId="51ABD249">
            <w:pPr>
              <w:jc w:val="center"/>
              <w:rPr>
                <w:rFonts w:hint="eastAsia"/>
              </w:rPr>
            </w:pPr>
          </w:p>
        </w:tc>
      </w:tr>
    </w:tbl>
    <w:p w14:paraId="2A5A8058">
      <w:pPr>
        <w:spacing w:before="120" w:beforeLines="50"/>
        <w:rPr>
          <w:rFonts w:hint="eastAsia" w:ascii="黑体" w:eastAsia="黑体"/>
        </w:rPr>
      </w:pPr>
    </w:p>
    <w:p w14:paraId="6157CB6A">
      <w:pPr>
        <w:spacing w:before="120" w:beforeLines="50"/>
        <w:ind w:left="420" w:hanging="420" w:hangingChars="200"/>
        <w:rPr>
          <w:rFonts w:hint="eastAsia" w:ascii="宋体" w:hAnsi="宋体"/>
        </w:rPr>
      </w:pPr>
      <w:r>
        <w:rPr>
          <w:rFonts w:hint="eastAsia" w:ascii="宋体" w:hAnsi="宋体"/>
        </w:rPr>
        <w:t>注：此表由招标人填写“暂估单价”，并在备注栏说明暂估价的材料、工程设备拟用在那些清单项目上，投标人应将上述材料、工程设备暂估单价计入工程量清单综合单价报价中。</w:t>
      </w:r>
    </w:p>
    <w:p w14:paraId="3F91C0DE">
      <w:pPr>
        <w:pStyle w:val="20"/>
        <w:rPr>
          <w:rFonts w:hint="eastAsia"/>
        </w:rPr>
      </w:pPr>
      <w:bookmarkStart w:id="2598" w:name="_Toc108514184"/>
      <w:r>
        <w:rPr>
          <w:rFonts w:hint="eastAsia"/>
        </w:rPr>
        <w:t>4.12-3专业工程暂估价表</w:t>
      </w:r>
      <w:bookmarkEnd w:id="2598"/>
    </w:p>
    <w:p w14:paraId="51D553F6">
      <w:pPr>
        <w:spacing w:before="120" w:beforeLines="50" w:after="120" w:afterLines="50"/>
        <w:jc w:val="center"/>
        <w:rPr>
          <w:rFonts w:hint="eastAsia" w:ascii="黑体" w:eastAsia="黑体"/>
          <w:sz w:val="28"/>
          <w:szCs w:val="28"/>
        </w:rPr>
      </w:pPr>
    </w:p>
    <w:p w14:paraId="5F2CE3DB">
      <w:pPr>
        <w:spacing w:before="120" w:beforeLines="50" w:after="120" w:afterLines="50"/>
        <w:jc w:val="center"/>
        <w:rPr>
          <w:rFonts w:ascii="黑体" w:eastAsia="黑体"/>
          <w:sz w:val="28"/>
          <w:szCs w:val="28"/>
        </w:rPr>
      </w:pPr>
      <w:r>
        <w:rPr>
          <w:rFonts w:hint="eastAsia" w:ascii="黑体" w:eastAsia="黑体"/>
          <w:sz w:val="28"/>
          <w:szCs w:val="28"/>
        </w:rPr>
        <w:t>专业工程暂估价表</w:t>
      </w:r>
    </w:p>
    <w:p w14:paraId="3FCBFD33">
      <w:pPr>
        <w:rPr>
          <w:rFonts w:hint="eastAsia"/>
        </w:rPr>
      </w:pPr>
      <w:r>
        <w:rPr>
          <w:rFonts w:hint="eastAsia"/>
        </w:rPr>
        <w:t>工程名称：                         标段名称：                第  页  共  页</w:t>
      </w:r>
    </w:p>
    <w:tbl>
      <w:tblPr>
        <w:tblStyle w:val="15"/>
        <w:tblW w:w="8497"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558"/>
        <w:gridCol w:w="2458"/>
        <w:gridCol w:w="2485"/>
        <w:gridCol w:w="1155"/>
      </w:tblGrid>
      <w:tr w14:paraId="2363636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noWrap w:val="0"/>
            <w:vAlign w:val="center"/>
          </w:tcPr>
          <w:p w14:paraId="4044733C">
            <w:pPr>
              <w:jc w:val="center"/>
              <w:rPr>
                <w:rFonts w:hint="eastAsia"/>
              </w:rPr>
            </w:pPr>
            <w:r>
              <w:rPr>
                <w:rFonts w:hint="eastAsia"/>
              </w:rPr>
              <w:t>序号</w:t>
            </w:r>
          </w:p>
        </w:tc>
        <w:tc>
          <w:tcPr>
            <w:tcW w:w="1558" w:type="dxa"/>
            <w:noWrap w:val="0"/>
            <w:vAlign w:val="center"/>
          </w:tcPr>
          <w:p w14:paraId="0FE53CE8">
            <w:pPr>
              <w:jc w:val="center"/>
              <w:rPr>
                <w:rFonts w:hint="eastAsia"/>
              </w:rPr>
            </w:pPr>
            <w:r>
              <w:rPr>
                <w:rFonts w:hint="eastAsia"/>
              </w:rPr>
              <w:t>工程名称</w:t>
            </w:r>
          </w:p>
        </w:tc>
        <w:tc>
          <w:tcPr>
            <w:tcW w:w="2458" w:type="dxa"/>
            <w:noWrap w:val="0"/>
            <w:vAlign w:val="center"/>
          </w:tcPr>
          <w:p w14:paraId="3208648D">
            <w:pPr>
              <w:jc w:val="center"/>
              <w:rPr>
                <w:rFonts w:hint="eastAsia"/>
              </w:rPr>
            </w:pPr>
            <w:r>
              <w:rPr>
                <w:rFonts w:hint="eastAsia"/>
              </w:rPr>
              <w:t>工程内容</w:t>
            </w:r>
          </w:p>
        </w:tc>
        <w:tc>
          <w:tcPr>
            <w:tcW w:w="2485" w:type="dxa"/>
            <w:noWrap w:val="0"/>
            <w:vAlign w:val="center"/>
          </w:tcPr>
          <w:p w14:paraId="60F83CBE">
            <w:pPr>
              <w:jc w:val="center"/>
              <w:rPr>
                <w:rFonts w:hint="eastAsia"/>
                <w:bdr w:val="single" w:color="auto" w:sz="4" w:space="0"/>
              </w:rPr>
            </w:pPr>
            <w:r>
              <w:rPr>
                <w:rFonts w:hint="eastAsia"/>
              </w:rPr>
              <w:t>暂估金额(元)</w:t>
            </w:r>
          </w:p>
        </w:tc>
        <w:tc>
          <w:tcPr>
            <w:tcW w:w="1155" w:type="dxa"/>
            <w:noWrap w:val="0"/>
            <w:vAlign w:val="center"/>
          </w:tcPr>
          <w:p w14:paraId="138ECFAB">
            <w:pPr>
              <w:jc w:val="center"/>
              <w:rPr>
                <w:rFonts w:hint="eastAsia"/>
              </w:rPr>
            </w:pPr>
            <w:r>
              <w:rPr>
                <w:rFonts w:hint="eastAsia"/>
              </w:rPr>
              <w:t>备注</w:t>
            </w:r>
          </w:p>
        </w:tc>
      </w:tr>
      <w:tr w14:paraId="56795A9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noWrap w:val="0"/>
            <w:vAlign w:val="center"/>
          </w:tcPr>
          <w:p w14:paraId="01F85FC2">
            <w:pPr>
              <w:jc w:val="center"/>
              <w:rPr>
                <w:rFonts w:hint="eastAsia" w:ascii="黑体" w:eastAsia="黑体"/>
              </w:rPr>
            </w:pPr>
          </w:p>
        </w:tc>
        <w:tc>
          <w:tcPr>
            <w:tcW w:w="1558" w:type="dxa"/>
            <w:noWrap w:val="0"/>
            <w:vAlign w:val="center"/>
          </w:tcPr>
          <w:p w14:paraId="6C0C4515">
            <w:pPr>
              <w:jc w:val="center"/>
              <w:rPr>
                <w:rFonts w:hint="eastAsia"/>
              </w:rPr>
            </w:pPr>
          </w:p>
        </w:tc>
        <w:tc>
          <w:tcPr>
            <w:tcW w:w="2458" w:type="dxa"/>
            <w:noWrap w:val="0"/>
            <w:vAlign w:val="center"/>
          </w:tcPr>
          <w:p w14:paraId="4554C11A">
            <w:pPr>
              <w:jc w:val="center"/>
              <w:rPr>
                <w:rFonts w:hint="eastAsia"/>
              </w:rPr>
            </w:pPr>
          </w:p>
        </w:tc>
        <w:tc>
          <w:tcPr>
            <w:tcW w:w="2485" w:type="dxa"/>
            <w:noWrap w:val="0"/>
            <w:vAlign w:val="center"/>
          </w:tcPr>
          <w:p w14:paraId="60B613AB">
            <w:pPr>
              <w:jc w:val="center"/>
              <w:rPr>
                <w:rFonts w:hint="eastAsia"/>
              </w:rPr>
            </w:pPr>
          </w:p>
        </w:tc>
        <w:tc>
          <w:tcPr>
            <w:tcW w:w="1155" w:type="dxa"/>
            <w:noWrap w:val="0"/>
            <w:vAlign w:val="center"/>
          </w:tcPr>
          <w:p w14:paraId="298F00A3">
            <w:pPr>
              <w:jc w:val="center"/>
              <w:rPr>
                <w:rFonts w:hint="eastAsia"/>
              </w:rPr>
            </w:pPr>
          </w:p>
        </w:tc>
      </w:tr>
      <w:tr w14:paraId="18644BB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bottom w:val="single" w:color="auto" w:sz="6" w:space="0"/>
            </w:tcBorders>
            <w:noWrap w:val="0"/>
            <w:vAlign w:val="center"/>
          </w:tcPr>
          <w:p w14:paraId="4219AF9F">
            <w:pPr>
              <w:jc w:val="center"/>
              <w:rPr>
                <w:rFonts w:hint="eastAsia" w:ascii="黑体" w:eastAsia="黑体"/>
              </w:rPr>
            </w:pPr>
          </w:p>
        </w:tc>
        <w:tc>
          <w:tcPr>
            <w:tcW w:w="1558" w:type="dxa"/>
            <w:noWrap w:val="0"/>
            <w:vAlign w:val="center"/>
          </w:tcPr>
          <w:p w14:paraId="5FB951C2">
            <w:pPr>
              <w:jc w:val="center"/>
              <w:rPr>
                <w:rFonts w:hint="eastAsia"/>
              </w:rPr>
            </w:pPr>
          </w:p>
        </w:tc>
        <w:tc>
          <w:tcPr>
            <w:tcW w:w="2458" w:type="dxa"/>
            <w:noWrap w:val="0"/>
            <w:vAlign w:val="center"/>
          </w:tcPr>
          <w:p w14:paraId="5C30C683">
            <w:pPr>
              <w:jc w:val="center"/>
              <w:rPr>
                <w:rFonts w:hint="eastAsia"/>
              </w:rPr>
            </w:pPr>
          </w:p>
        </w:tc>
        <w:tc>
          <w:tcPr>
            <w:tcW w:w="2485" w:type="dxa"/>
            <w:noWrap w:val="0"/>
            <w:vAlign w:val="center"/>
          </w:tcPr>
          <w:p w14:paraId="5ED27CCA">
            <w:pPr>
              <w:jc w:val="center"/>
              <w:rPr>
                <w:rFonts w:hint="eastAsia"/>
              </w:rPr>
            </w:pPr>
          </w:p>
        </w:tc>
        <w:tc>
          <w:tcPr>
            <w:tcW w:w="1155" w:type="dxa"/>
            <w:noWrap w:val="0"/>
            <w:vAlign w:val="center"/>
          </w:tcPr>
          <w:p w14:paraId="15C4CEAF">
            <w:pPr>
              <w:jc w:val="center"/>
              <w:rPr>
                <w:rFonts w:hint="eastAsia"/>
              </w:rPr>
            </w:pPr>
          </w:p>
        </w:tc>
      </w:tr>
      <w:tr w14:paraId="4FEB0ED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tcBorders>
              <w:top w:val="single" w:color="auto" w:sz="6" w:space="0"/>
            </w:tcBorders>
            <w:noWrap w:val="0"/>
            <w:vAlign w:val="center"/>
          </w:tcPr>
          <w:p w14:paraId="58F68CFA">
            <w:pPr>
              <w:jc w:val="center"/>
              <w:rPr>
                <w:rFonts w:hint="eastAsia" w:ascii="黑体" w:eastAsia="黑体"/>
              </w:rPr>
            </w:pPr>
          </w:p>
        </w:tc>
        <w:tc>
          <w:tcPr>
            <w:tcW w:w="1558" w:type="dxa"/>
            <w:noWrap w:val="0"/>
            <w:vAlign w:val="center"/>
          </w:tcPr>
          <w:p w14:paraId="3FC837E6">
            <w:pPr>
              <w:jc w:val="center"/>
              <w:rPr>
                <w:rFonts w:hint="eastAsia"/>
              </w:rPr>
            </w:pPr>
          </w:p>
        </w:tc>
        <w:tc>
          <w:tcPr>
            <w:tcW w:w="2458" w:type="dxa"/>
            <w:noWrap w:val="0"/>
            <w:vAlign w:val="center"/>
          </w:tcPr>
          <w:p w14:paraId="45EBD38A">
            <w:pPr>
              <w:jc w:val="center"/>
              <w:rPr>
                <w:rFonts w:hint="eastAsia"/>
              </w:rPr>
            </w:pPr>
          </w:p>
        </w:tc>
        <w:tc>
          <w:tcPr>
            <w:tcW w:w="2485" w:type="dxa"/>
            <w:noWrap w:val="0"/>
            <w:vAlign w:val="center"/>
          </w:tcPr>
          <w:p w14:paraId="0DA14A66">
            <w:pPr>
              <w:jc w:val="center"/>
              <w:rPr>
                <w:rFonts w:hint="eastAsia"/>
              </w:rPr>
            </w:pPr>
          </w:p>
        </w:tc>
        <w:tc>
          <w:tcPr>
            <w:tcW w:w="1155" w:type="dxa"/>
            <w:noWrap w:val="0"/>
            <w:vAlign w:val="center"/>
          </w:tcPr>
          <w:p w14:paraId="35735BA4">
            <w:pPr>
              <w:jc w:val="center"/>
              <w:rPr>
                <w:rFonts w:hint="eastAsia"/>
              </w:rPr>
            </w:pPr>
          </w:p>
        </w:tc>
      </w:tr>
      <w:tr w14:paraId="32CD71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noWrap w:val="0"/>
            <w:vAlign w:val="center"/>
          </w:tcPr>
          <w:p w14:paraId="61BF6A25">
            <w:pPr>
              <w:jc w:val="center"/>
              <w:rPr>
                <w:rFonts w:hint="eastAsia" w:ascii="黑体" w:eastAsia="黑体"/>
              </w:rPr>
            </w:pPr>
          </w:p>
        </w:tc>
        <w:tc>
          <w:tcPr>
            <w:tcW w:w="1558" w:type="dxa"/>
            <w:noWrap w:val="0"/>
            <w:vAlign w:val="center"/>
          </w:tcPr>
          <w:p w14:paraId="3CE28EAA">
            <w:pPr>
              <w:jc w:val="center"/>
              <w:rPr>
                <w:rFonts w:hint="eastAsia"/>
              </w:rPr>
            </w:pPr>
          </w:p>
        </w:tc>
        <w:tc>
          <w:tcPr>
            <w:tcW w:w="2458" w:type="dxa"/>
            <w:noWrap w:val="0"/>
            <w:vAlign w:val="center"/>
          </w:tcPr>
          <w:p w14:paraId="4C73A00C">
            <w:pPr>
              <w:jc w:val="center"/>
              <w:rPr>
                <w:rFonts w:hint="eastAsia"/>
              </w:rPr>
            </w:pPr>
          </w:p>
        </w:tc>
        <w:tc>
          <w:tcPr>
            <w:tcW w:w="2485" w:type="dxa"/>
            <w:noWrap w:val="0"/>
            <w:vAlign w:val="center"/>
          </w:tcPr>
          <w:p w14:paraId="0E552E41">
            <w:pPr>
              <w:jc w:val="center"/>
              <w:rPr>
                <w:rFonts w:hint="eastAsia"/>
              </w:rPr>
            </w:pPr>
          </w:p>
        </w:tc>
        <w:tc>
          <w:tcPr>
            <w:tcW w:w="1155" w:type="dxa"/>
            <w:noWrap w:val="0"/>
            <w:vAlign w:val="center"/>
          </w:tcPr>
          <w:p w14:paraId="6C041DE8">
            <w:pPr>
              <w:jc w:val="center"/>
              <w:rPr>
                <w:rFonts w:hint="eastAsia"/>
              </w:rPr>
            </w:pPr>
          </w:p>
        </w:tc>
      </w:tr>
      <w:tr w14:paraId="3CF3934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noWrap w:val="0"/>
            <w:vAlign w:val="center"/>
          </w:tcPr>
          <w:p w14:paraId="066FE79D">
            <w:pPr>
              <w:jc w:val="center"/>
              <w:rPr>
                <w:rFonts w:hint="eastAsia" w:ascii="黑体" w:eastAsia="黑体"/>
              </w:rPr>
            </w:pPr>
          </w:p>
        </w:tc>
        <w:tc>
          <w:tcPr>
            <w:tcW w:w="1558" w:type="dxa"/>
            <w:noWrap w:val="0"/>
            <w:vAlign w:val="center"/>
          </w:tcPr>
          <w:p w14:paraId="2A75A67E">
            <w:pPr>
              <w:jc w:val="center"/>
              <w:rPr>
                <w:rFonts w:hint="eastAsia"/>
              </w:rPr>
            </w:pPr>
          </w:p>
        </w:tc>
        <w:tc>
          <w:tcPr>
            <w:tcW w:w="2458" w:type="dxa"/>
            <w:noWrap w:val="0"/>
            <w:vAlign w:val="center"/>
          </w:tcPr>
          <w:p w14:paraId="57F52AB9">
            <w:pPr>
              <w:jc w:val="center"/>
              <w:rPr>
                <w:rFonts w:hint="eastAsia"/>
              </w:rPr>
            </w:pPr>
          </w:p>
        </w:tc>
        <w:tc>
          <w:tcPr>
            <w:tcW w:w="2485" w:type="dxa"/>
            <w:noWrap w:val="0"/>
            <w:vAlign w:val="center"/>
          </w:tcPr>
          <w:p w14:paraId="2AC9B26B">
            <w:pPr>
              <w:jc w:val="center"/>
              <w:rPr>
                <w:rFonts w:hint="eastAsia"/>
              </w:rPr>
            </w:pPr>
          </w:p>
        </w:tc>
        <w:tc>
          <w:tcPr>
            <w:tcW w:w="1155" w:type="dxa"/>
            <w:noWrap w:val="0"/>
            <w:vAlign w:val="center"/>
          </w:tcPr>
          <w:p w14:paraId="723410A5">
            <w:pPr>
              <w:jc w:val="center"/>
              <w:rPr>
                <w:rFonts w:hint="eastAsia"/>
              </w:rPr>
            </w:pPr>
          </w:p>
        </w:tc>
      </w:tr>
      <w:tr w14:paraId="7DB2E5F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noWrap w:val="0"/>
            <w:vAlign w:val="center"/>
          </w:tcPr>
          <w:p w14:paraId="56B278D0">
            <w:pPr>
              <w:jc w:val="center"/>
              <w:rPr>
                <w:rFonts w:hint="eastAsia" w:ascii="黑体" w:eastAsia="黑体"/>
              </w:rPr>
            </w:pPr>
          </w:p>
        </w:tc>
        <w:tc>
          <w:tcPr>
            <w:tcW w:w="1558" w:type="dxa"/>
            <w:noWrap w:val="0"/>
            <w:vAlign w:val="center"/>
          </w:tcPr>
          <w:p w14:paraId="052F39C4">
            <w:pPr>
              <w:jc w:val="center"/>
              <w:rPr>
                <w:rFonts w:hint="eastAsia"/>
              </w:rPr>
            </w:pPr>
          </w:p>
        </w:tc>
        <w:tc>
          <w:tcPr>
            <w:tcW w:w="2458" w:type="dxa"/>
            <w:noWrap w:val="0"/>
            <w:vAlign w:val="center"/>
          </w:tcPr>
          <w:p w14:paraId="07BD2C3B">
            <w:pPr>
              <w:jc w:val="center"/>
              <w:rPr>
                <w:rFonts w:hint="eastAsia"/>
              </w:rPr>
            </w:pPr>
          </w:p>
        </w:tc>
        <w:tc>
          <w:tcPr>
            <w:tcW w:w="2485" w:type="dxa"/>
            <w:noWrap w:val="0"/>
            <w:vAlign w:val="center"/>
          </w:tcPr>
          <w:p w14:paraId="207905C1">
            <w:pPr>
              <w:jc w:val="center"/>
              <w:rPr>
                <w:rFonts w:hint="eastAsia"/>
              </w:rPr>
            </w:pPr>
          </w:p>
        </w:tc>
        <w:tc>
          <w:tcPr>
            <w:tcW w:w="1155" w:type="dxa"/>
            <w:noWrap w:val="0"/>
            <w:vAlign w:val="center"/>
          </w:tcPr>
          <w:p w14:paraId="07D03031">
            <w:pPr>
              <w:jc w:val="center"/>
              <w:rPr>
                <w:rFonts w:hint="eastAsia"/>
              </w:rPr>
            </w:pPr>
          </w:p>
        </w:tc>
      </w:tr>
      <w:tr w14:paraId="3B2713E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noWrap w:val="0"/>
            <w:vAlign w:val="center"/>
          </w:tcPr>
          <w:p w14:paraId="385B4264">
            <w:pPr>
              <w:jc w:val="center"/>
              <w:rPr>
                <w:rFonts w:hint="eastAsia"/>
              </w:rPr>
            </w:pPr>
          </w:p>
        </w:tc>
        <w:tc>
          <w:tcPr>
            <w:tcW w:w="1558" w:type="dxa"/>
            <w:noWrap w:val="0"/>
            <w:vAlign w:val="center"/>
          </w:tcPr>
          <w:p w14:paraId="52961578">
            <w:pPr>
              <w:jc w:val="center"/>
              <w:rPr>
                <w:rFonts w:hint="eastAsia"/>
              </w:rPr>
            </w:pPr>
          </w:p>
        </w:tc>
        <w:tc>
          <w:tcPr>
            <w:tcW w:w="2458" w:type="dxa"/>
            <w:noWrap w:val="0"/>
            <w:vAlign w:val="center"/>
          </w:tcPr>
          <w:p w14:paraId="0E58474C">
            <w:pPr>
              <w:jc w:val="center"/>
              <w:rPr>
                <w:rFonts w:hint="eastAsia"/>
              </w:rPr>
            </w:pPr>
          </w:p>
        </w:tc>
        <w:tc>
          <w:tcPr>
            <w:tcW w:w="2485" w:type="dxa"/>
            <w:noWrap w:val="0"/>
            <w:vAlign w:val="center"/>
          </w:tcPr>
          <w:p w14:paraId="2C96E985">
            <w:pPr>
              <w:jc w:val="center"/>
              <w:rPr>
                <w:rFonts w:hint="eastAsia"/>
              </w:rPr>
            </w:pPr>
          </w:p>
        </w:tc>
        <w:tc>
          <w:tcPr>
            <w:tcW w:w="1155" w:type="dxa"/>
            <w:noWrap w:val="0"/>
            <w:vAlign w:val="center"/>
          </w:tcPr>
          <w:p w14:paraId="0ABFBBD3">
            <w:pPr>
              <w:jc w:val="center"/>
              <w:rPr>
                <w:rFonts w:hint="eastAsia"/>
              </w:rPr>
            </w:pPr>
          </w:p>
        </w:tc>
      </w:tr>
      <w:tr w14:paraId="76D9B14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noWrap w:val="0"/>
            <w:vAlign w:val="center"/>
          </w:tcPr>
          <w:p w14:paraId="22B513AC">
            <w:pPr>
              <w:jc w:val="center"/>
              <w:rPr>
                <w:rFonts w:hint="eastAsia"/>
              </w:rPr>
            </w:pPr>
          </w:p>
        </w:tc>
        <w:tc>
          <w:tcPr>
            <w:tcW w:w="1558" w:type="dxa"/>
            <w:noWrap w:val="0"/>
            <w:vAlign w:val="center"/>
          </w:tcPr>
          <w:p w14:paraId="06C2C71E">
            <w:pPr>
              <w:jc w:val="center"/>
              <w:rPr>
                <w:rFonts w:hint="eastAsia"/>
              </w:rPr>
            </w:pPr>
          </w:p>
        </w:tc>
        <w:tc>
          <w:tcPr>
            <w:tcW w:w="2458" w:type="dxa"/>
            <w:noWrap w:val="0"/>
            <w:vAlign w:val="center"/>
          </w:tcPr>
          <w:p w14:paraId="5CA3D434">
            <w:pPr>
              <w:jc w:val="center"/>
              <w:rPr>
                <w:rFonts w:hint="eastAsia"/>
              </w:rPr>
            </w:pPr>
          </w:p>
        </w:tc>
        <w:tc>
          <w:tcPr>
            <w:tcW w:w="2485" w:type="dxa"/>
            <w:noWrap w:val="0"/>
            <w:vAlign w:val="center"/>
          </w:tcPr>
          <w:p w14:paraId="1060E915">
            <w:pPr>
              <w:jc w:val="center"/>
              <w:rPr>
                <w:rFonts w:hint="eastAsia"/>
              </w:rPr>
            </w:pPr>
          </w:p>
        </w:tc>
        <w:tc>
          <w:tcPr>
            <w:tcW w:w="1155" w:type="dxa"/>
            <w:noWrap w:val="0"/>
            <w:vAlign w:val="center"/>
          </w:tcPr>
          <w:p w14:paraId="197E8892">
            <w:pPr>
              <w:jc w:val="center"/>
              <w:rPr>
                <w:rFonts w:hint="eastAsia"/>
              </w:rPr>
            </w:pPr>
          </w:p>
        </w:tc>
      </w:tr>
      <w:tr w14:paraId="116EC27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1" w:type="dxa"/>
            <w:noWrap w:val="0"/>
            <w:vAlign w:val="center"/>
          </w:tcPr>
          <w:p w14:paraId="5EC92E8F">
            <w:pPr>
              <w:jc w:val="center"/>
              <w:rPr>
                <w:rFonts w:hint="eastAsia"/>
              </w:rPr>
            </w:pPr>
          </w:p>
        </w:tc>
        <w:tc>
          <w:tcPr>
            <w:tcW w:w="1558" w:type="dxa"/>
            <w:noWrap w:val="0"/>
            <w:vAlign w:val="center"/>
          </w:tcPr>
          <w:p w14:paraId="1E770680">
            <w:pPr>
              <w:jc w:val="center"/>
              <w:rPr>
                <w:rFonts w:hint="eastAsia"/>
              </w:rPr>
            </w:pPr>
          </w:p>
        </w:tc>
        <w:tc>
          <w:tcPr>
            <w:tcW w:w="2458" w:type="dxa"/>
            <w:noWrap w:val="0"/>
            <w:vAlign w:val="center"/>
          </w:tcPr>
          <w:p w14:paraId="652765FF">
            <w:pPr>
              <w:jc w:val="center"/>
              <w:rPr>
                <w:rFonts w:hint="eastAsia"/>
              </w:rPr>
            </w:pPr>
          </w:p>
        </w:tc>
        <w:tc>
          <w:tcPr>
            <w:tcW w:w="2485" w:type="dxa"/>
            <w:noWrap w:val="0"/>
            <w:vAlign w:val="center"/>
          </w:tcPr>
          <w:p w14:paraId="0AF7A9D2">
            <w:pPr>
              <w:jc w:val="center"/>
              <w:rPr>
                <w:rFonts w:hint="eastAsia"/>
              </w:rPr>
            </w:pPr>
          </w:p>
        </w:tc>
        <w:tc>
          <w:tcPr>
            <w:tcW w:w="1155" w:type="dxa"/>
            <w:noWrap w:val="0"/>
            <w:vAlign w:val="center"/>
          </w:tcPr>
          <w:p w14:paraId="1D3C075A">
            <w:pPr>
              <w:jc w:val="center"/>
              <w:rPr>
                <w:rFonts w:hint="eastAsia"/>
              </w:rPr>
            </w:pPr>
          </w:p>
        </w:tc>
      </w:tr>
      <w:tr w14:paraId="08305ED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41" w:type="dxa"/>
            <w:noWrap w:val="0"/>
            <w:vAlign w:val="center"/>
          </w:tcPr>
          <w:p w14:paraId="433F7294">
            <w:pPr>
              <w:jc w:val="center"/>
              <w:rPr>
                <w:rFonts w:hint="eastAsia"/>
              </w:rPr>
            </w:pPr>
          </w:p>
        </w:tc>
        <w:tc>
          <w:tcPr>
            <w:tcW w:w="1558" w:type="dxa"/>
            <w:noWrap w:val="0"/>
            <w:vAlign w:val="center"/>
          </w:tcPr>
          <w:p w14:paraId="2807A0CA">
            <w:pPr>
              <w:jc w:val="center"/>
              <w:rPr>
                <w:rFonts w:hint="eastAsia"/>
              </w:rPr>
            </w:pPr>
          </w:p>
        </w:tc>
        <w:tc>
          <w:tcPr>
            <w:tcW w:w="2458" w:type="dxa"/>
            <w:noWrap w:val="0"/>
            <w:vAlign w:val="center"/>
          </w:tcPr>
          <w:p w14:paraId="607D553B">
            <w:pPr>
              <w:jc w:val="center"/>
              <w:rPr>
                <w:rFonts w:hint="eastAsia"/>
              </w:rPr>
            </w:pPr>
          </w:p>
        </w:tc>
        <w:tc>
          <w:tcPr>
            <w:tcW w:w="2485" w:type="dxa"/>
            <w:noWrap w:val="0"/>
            <w:vAlign w:val="center"/>
          </w:tcPr>
          <w:p w14:paraId="47A31774">
            <w:pPr>
              <w:jc w:val="center"/>
              <w:rPr>
                <w:rFonts w:hint="eastAsia"/>
              </w:rPr>
            </w:pPr>
          </w:p>
        </w:tc>
        <w:tc>
          <w:tcPr>
            <w:tcW w:w="1155" w:type="dxa"/>
            <w:noWrap w:val="0"/>
            <w:vAlign w:val="center"/>
          </w:tcPr>
          <w:p w14:paraId="79D0D4FA">
            <w:pPr>
              <w:jc w:val="center"/>
              <w:rPr>
                <w:rFonts w:hint="eastAsia"/>
              </w:rPr>
            </w:pPr>
          </w:p>
        </w:tc>
      </w:tr>
      <w:tr w14:paraId="69422FF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857" w:type="dxa"/>
            <w:gridSpan w:val="3"/>
            <w:noWrap w:val="0"/>
            <w:vAlign w:val="center"/>
          </w:tcPr>
          <w:p w14:paraId="640D97AD">
            <w:pPr>
              <w:jc w:val="center"/>
              <w:rPr>
                <w:rFonts w:hint="eastAsia"/>
              </w:rPr>
            </w:pPr>
            <w:r>
              <w:rPr>
                <w:rFonts w:hint="eastAsia"/>
              </w:rPr>
              <w:t>合计</w:t>
            </w:r>
          </w:p>
        </w:tc>
        <w:tc>
          <w:tcPr>
            <w:tcW w:w="2485" w:type="dxa"/>
            <w:noWrap w:val="0"/>
            <w:vAlign w:val="center"/>
          </w:tcPr>
          <w:p w14:paraId="5545B06B">
            <w:pPr>
              <w:jc w:val="center"/>
              <w:rPr>
                <w:rFonts w:hint="eastAsia"/>
              </w:rPr>
            </w:pPr>
          </w:p>
        </w:tc>
        <w:tc>
          <w:tcPr>
            <w:tcW w:w="1155" w:type="dxa"/>
            <w:noWrap w:val="0"/>
            <w:vAlign w:val="center"/>
          </w:tcPr>
          <w:p w14:paraId="3DD11344">
            <w:pPr>
              <w:jc w:val="center"/>
              <w:rPr>
                <w:rFonts w:hint="eastAsia"/>
              </w:rPr>
            </w:pPr>
          </w:p>
        </w:tc>
      </w:tr>
    </w:tbl>
    <w:p w14:paraId="3CA2B290">
      <w:pPr>
        <w:spacing w:before="120" w:beforeLines="50"/>
        <w:rPr>
          <w:rFonts w:hint="eastAsia" w:ascii="黑体" w:eastAsia="黑体"/>
        </w:rPr>
      </w:pPr>
    </w:p>
    <w:p w14:paraId="3AB74DA6">
      <w:pPr>
        <w:spacing w:before="120" w:beforeLines="50"/>
        <w:ind w:left="420" w:hanging="420" w:hangingChars="200"/>
        <w:rPr>
          <w:rFonts w:hint="eastAsia" w:ascii="宋体" w:hAnsi="宋体"/>
        </w:rPr>
      </w:pPr>
      <w:r>
        <w:rPr>
          <w:rFonts w:hint="eastAsia" w:ascii="宋体" w:hAnsi="宋体"/>
        </w:rPr>
        <w:t>注：此表“暂估金额”由招标人填写，投标人应将“暂估金额”计入投标总价中。结算时按合同约定结算金额填写。</w:t>
      </w:r>
    </w:p>
    <w:p w14:paraId="0062EF87">
      <w:pPr>
        <w:pStyle w:val="20"/>
        <w:rPr>
          <w:rFonts w:hint="eastAsia"/>
        </w:rPr>
      </w:pPr>
      <w:bookmarkStart w:id="2599" w:name="_Toc108514185"/>
      <w:r>
        <w:rPr>
          <w:rFonts w:hint="eastAsia"/>
        </w:rPr>
        <w:t>4.12-4计日工表</w:t>
      </w:r>
      <w:bookmarkEnd w:id="2599"/>
    </w:p>
    <w:p w14:paraId="0C404627">
      <w:pPr>
        <w:spacing w:before="120" w:beforeLines="50" w:after="120" w:afterLines="50"/>
        <w:jc w:val="center"/>
        <w:rPr>
          <w:rFonts w:hint="eastAsia" w:ascii="黑体" w:eastAsia="黑体"/>
          <w:sz w:val="28"/>
          <w:szCs w:val="28"/>
        </w:rPr>
      </w:pPr>
    </w:p>
    <w:p w14:paraId="71B436FC">
      <w:pPr>
        <w:spacing w:before="120" w:beforeLines="50" w:after="120" w:afterLines="50"/>
        <w:jc w:val="center"/>
        <w:rPr>
          <w:rFonts w:hint="eastAsia" w:ascii="黑体" w:eastAsia="黑体"/>
          <w:sz w:val="28"/>
          <w:szCs w:val="28"/>
        </w:rPr>
      </w:pPr>
      <w:r>
        <w:rPr>
          <w:rFonts w:hint="eastAsia" w:ascii="黑体" w:eastAsia="黑体"/>
          <w:sz w:val="28"/>
          <w:szCs w:val="28"/>
        </w:rPr>
        <w:t>计日工表</w:t>
      </w:r>
    </w:p>
    <w:p w14:paraId="3FFE6D24">
      <w:pPr>
        <w:spacing w:before="120" w:beforeLines="50" w:after="120" w:afterLines="50"/>
        <w:jc w:val="center"/>
        <w:rPr>
          <w:rFonts w:ascii="黑体" w:eastAsia="黑体"/>
          <w:sz w:val="28"/>
          <w:szCs w:val="28"/>
        </w:rPr>
      </w:pPr>
    </w:p>
    <w:p w14:paraId="22A93E16">
      <w:pPr>
        <w:rPr>
          <w:rFonts w:hint="eastAsia"/>
        </w:rPr>
      </w:pPr>
      <w:r>
        <w:rPr>
          <w:rFonts w:hint="eastAsia"/>
        </w:rPr>
        <w:t>工程名称：                           标段名称：        　　  第  页  共  页</w:t>
      </w:r>
    </w:p>
    <w:tbl>
      <w:tblPr>
        <w:tblStyle w:val="15"/>
        <w:tblW w:w="8732"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917"/>
        <w:gridCol w:w="715"/>
        <w:gridCol w:w="904"/>
        <w:gridCol w:w="901"/>
        <w:gridCol w:w="1216"/>
        <w:gridCol w:w="1134"/>
        <w:gridCol w:w="1162"/>
      </w:tblGrid>
      <w:tr w14:paraId="0E6405B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vMerge w:val="restart"/>
            <w:noWrap w:val="0"/>
            <w:vAlign w:val="center"/>
          </w:tcPr>
          <w:p w14:paraId="038CD5A4">
            <w:pPr>
              <w:jc w:val="center"/>
              <w:rPr>
                <w:rFonts w:hint="eastAsia"/>
              </w:rPr>
            </w:pPr>
            <w:r>
              <w:rPr>
                <w:rFonts w:hint="eastAsia"/>
              </w:rPr>
              <w:t>编号</w:t>
            </w:r>
          </w:p>
        </w:tc>
        <w:tc>
          <w:tcPr>
            <w:tcW w:w="1917" w:type="dxa"/>
            <w:vMerge w:val="restart"/>
            <w:tcBorders>
              <w:right w:val="single" w:color="auto" w:sz="6" w:space="0"/>
            </w:tcBorders>
            <w:noWrap w:val="0"/>
            <w:vAlign w:val="center"/>
          </w:tcPr>
          <w:p w14:paraId="32327DD2">
            <w:pPr>
              <w:jc w:val="center"/>
              <w:rPr>
                <w:rFonts w:hint="eastAsia"/>
              </w:rPr>
            </w:pPr>
            <w:r>
              <w:rPr>
                <w:rFonts w:hint="eastAsia"/>
              </w:rPr>
              <w:t>项目名称</w:t>
            </w:r>
          </w:p>
        </w:tc>
        <w:tc>
          <w:tcPr>
            <w:tcW w:w="715" w:type="dxa"/>
            <w:vMerge w:val="restart"/>
            <w:tcBorders>
              <w:left w:val="single" w:color="auto" w:sz="6" w:space="0"/>
            </w:tcBorders>
            <w:noWrap w:val="0"/>
            <w:vAlign w:val="center"/>
          </w:tcPr>
          <w:p w14:paraId="613D4822">
            <w:pPr>
              <w:jc w:val="center"/>
              <w:rPr>
                <w:rFonts w:hint="eastAsia"/>
              </w:rPr>
            </w:pPr>
            <w:r>
              <w:rPr>
                <w:rFonts w:hint="eastAsia"/>
              </w:rPr>
              <w:t>单位</w:t>
            </w:r>
          </w:p>
        </w:tc>
        <w:tc>
          <w:tcPr>
            <w:tcW w:w="904" w:type="dxa"/>
            <w:vMerge w:val="restart"/>
            <w:tcBorders>
              <w:right w:val="single" w:color="auto" w:sz="6" w:space="0"/>
            </w:tcBorders>
            <w:noWrap w:val="0"/>
            <w:vAlign w:val="center"/>
          </w:tcPr>
          <w:p w14:paraId="29427AAA">
            <w:pPr>
              <w:jc w:val="center"/>
              <w:rPr>
                <w:rFonts w:hint="eastAsia"/>
              </w:rPr>
            </w:pPr>
            <w:r>
              <w:rPr>
                <w:rFonts w:hint="eastAsia"/>
              </w:rPr>
              <w:t>暂定</w:t>
            </w:r>
          </w:p>
          <w:p w14:paraId="262B75BD">
            <w:pPr>
              <w:jc w:val="center"/>
              <w:rPr>
                <w:rFonts w:hint="eastAsia"/>
              </w:rPr>
            </w:pPr>
            <w:r>
              <w:rPr>
                <w:rFonts w:hint="eastAsia"/>
              </w:rPr>
              <w:t>数量</w:t>
            </w:r>
          </w:p>
        </w:tc>
        <w:tc>
          <w:tcPr>
            <w:tcW w:w="901" w:type="dxa"/>
            <w:vMerge w:val="restart"/>
            <w:tcBorders>
              <w:left w:val="single" w:color="auto" w:sz="6" w:space="0"/>
            </w:tcBorders>
            <w:noWrap w:val="0"/>
            <w:vAlign w:val="center"/>
          </w:tcPr>
          <w:p w14:paraId="530D612E">
            <w:pPr>
              <w:jc w:val="center"/>
              <w:rPr>
                <w:rFonts w:hint="eastAsia"/>
              </w:rPr>
            </w:pPr>
            <w:r>
              <w:rPr>
                <w:rFonts w:hint="eastAsia"/>
              </w:rPr>
              <w:t>实际</w:t>
            </w:r>
          </w:p>
          <w:p w14:paraId="6AA525EB">
            <w:pPr>
              <w:jc w:val="center"/>
              <w:rPr>
                <w:rFonts w:hint="eastAsia"/>
              </w:rPr>
            </w:pPr>
            <w:r>
              <w:rPr>
                <w:rFonts w:hint="eastAsia"/>
              </w:rPr>
              <w:t>数量</w:t>
            </w:r>
          </w:p>
        </w:tc>
        <w:tc>
          <w:tcPr>
            <w:tcW w:w="1216" w:type="dxa"/>
            <w:vMerge w:val="restart"/>
            <w:noWrap w:val="0"/>
            <w:vAlign w:val="center"/>
          </w:tcPr>
          <w:p w14:paraId="12C10981">
            <w:pPr>
              <w:jc w:val="center"/>
              <w:rPr>
                <w:rFonts w:hint="eastAsia"/>
              </w:rPr>
            </w:pPr>
            <w:r>
              <w:rPr>
                <w:rFonts w:hint="eastAsia"/>
              </w:rPr>
              <w:t>单价（元）</w:t>
            </w:r>
          </w:p>
        </w:tc>
        <w:tc>
          <w:tcPr>
            <w:tcW w:w="2296" w:type="dxa"/>
            <w:gridSpan w:val="2"/>
            <w:noWrap w:val="0"/>
            <w:vAlign w:val="center"/>
          </w:tcPr>
          <w:p w14:paraId="767B1B68">
            <w:pPr>
              <w:jc w:val="center"/>
              <w:rPr>
                <w:rFonts w:hint="eastAsia"/>
              </w:rPr>
            </w:pPr>
            <w:r>
              <w:rPr>
                <w:rFonts w:hint="eastAsia"/>
              </w:rPr>
              <w:t>合价（元）</w:t>
            </w:r>
          </w:p>
        </w:tc>
      </w:tr>
      <w:tr w14:paraId="68A18B5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vMerge w:val="continue"/>
            <w:noWrap w:val="0"/>
            <w:vAlign w:val="center"/>
          </w:tcPr>
          <w:p w14:paraId="6F913949">
            <w:pPr>
              <w:jc w:val="center"/>
              <w:rPr>
                <w:rFonts w:hint="eastAsia"/>
              </w:rPr>
            </w:pPr>
          </w:p>
        </w:tc>
        <w:tc>
          <w:tcPr>
            <w:tcW w:w="1917" w:type="dxa"/>
            <w:vMerge w:val="continue"/>
            <w:tcBorders>
              <w:right w:val="single" w:color="auto" w:sz="6" w:space="0"/>
            </w:tcBorders>
            <w:noWrap w:val="0"/>
            <w:vAlign w:val="center"/>
          </w:tcPr>
          <w:p w14:paraId="0ECB23EA">
            <w:pPr>
              <w:jc w:val="center"/>
              <w:rPr>
                <w:rFonts w:hint="eastAsia"/>
              </w:rPr>
            </w:pPr>
          </w:p>
        </w:tc>
        <w:tc>
          <w:tcPr>
            <w:tcW w:w="715" w:type="dxa"/>
            <w:vMerge w:val="continue"/>
            <w:tcBorders>
              <w:left w:val="single" w:color="auto" w:sz="6" w:space="0"/>
            </w:tcBorders>
            <w:noWrap w:val="0"/>
            <w:vAlign w:val="center"/>
          </w:tcPr>
          <w:p w14:paraId="4BE0AA2D">
            <w:pPr>
              <w:jc w:val="center"/>
              <w:rPr>
                <w:rFonts w:hint="eastAsia"/>
              </w:rPr>
            </w:pPr>
          </w:p>
        </w:tc>
        <w:tc>
          <w:tcPr>
            <w:tcW w:w="904" w:type="dxa"/>
            <w:vMerge w:val="continue"/>
            <w:tcBorders>
              <w:right w:val="single" w:color="auto" w:sz="6" w:space="0"/>
            </w:tcBorders>
            <w:noWrap w:val="0"/>
            <w:vAlign w:val="center"/>
          </w:tcPr>
          <w:p w14:paraId="7C4ED3FB">
            <w:pPr>
              <w:jc w:val="center"/>
              <w:rPr>
                <w:rFonts w:hint="eastAsia"/>
              </w:rPr>
            </w:pPr>
          </w:p>
        </w:tc>
        <w:tc>
          <w:tcPr>
            <w:tcW w:w="901" w:type="dxa"/>
            <w:vMerge w:val="continue"/>
            <w:tcBorders>
              <w:left w:val="single" w:color="auto" w:sz="6" w:space="0"/>
            </w:tcBorders>
            <w:noWrap w:val="0"/>
            <w:vAlign w:val="center"/>
          </w:tcPr>
          <w:p w14:paraId="0B6ECABA">
            <w:pPr>
              <w:jc w:val="center"/>
              <w:rPr>
                <w:rFonts w:hint="eastAsia"/>
              </w:rPr>
            </w:pPr>
          </w:p>
        </w:tc>
        <w:tc>
          <w:tcPr>
            <w:tcW w:w="1216" w:type="dxa"/>
            <w:vMerge w:val="continue"/>
            <w:noWrap w:val="0"/>
            <w:vAlign w:val="center"/>
          </w:tcPr>
          <w:p w14:paraId="4EBA746C">
            <w:pPr>
              <w:jc w:val="center"/>
              <w:rPr>
                <w:rFonts w:hint="eastAsia"/>
              </w:rPr>
            </w:pPr>
          </w:p>
        </w:tc>
        <w:tc>
          <w:tcPr>
            <w:tcW w:w="1134" w:type="dxa"/>
            <w:noWrap w:val="0"/>
            <w:vAlign w:val="center"/>
          </w:tcPr>
          <w:p w14:paraId="3DF84547">
            <w:pPr>
              <w:jc w:val="center"/>
              <w:rPr>
                <w:rFonts w:hint="eastAsia"/>
              </w:rPr>
            </w:pPr>
            <w:r>
              <w:rPr>
                <w:rFonts w:hint="eastAsia"/>
              </w:rPr>
              <w:t>暂定</w:t>
            </w:r>
          </w:p>
        </w:tc>
        <w:tc>
          <w:tcPr>
            <w:tcW w:w="1162" w:type="dxa"/>
            <w:noWrap w:val="0"/>
            <w:vAlign w:val="center"/>
          </w:tcPr>
          <w:p w14:paraId="5B9822BF">
            <w:pPr>
              <w:jc w:val="center"/>
              <w:rPr>
                <w:rFonts w:hint="eastAsia"/>
              </w:rPr>
            </w:pPr>
            <w:r>
              <w:rPr>
                <w:rFonts w:hint="eastAsia"/>
              </w:rPr>
              <w:t>实际</w:t>
            </w:r>
          </w:p>
        </w:tc>
      </w:tr>
      <w:tr w14:paraId="3F8FB0F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1C324609">
            <w:pPr>
              <w:jc w:val="center"/>
              <w:rPr>
                <w:rFonts w:hint="eastAsia" w:ascii="黑体" w:eastAsia="黑体"/>
              </w:rPr>
            </w:pPr>
            <w:r>
              <w:rPr>
                <w:rFonts w:hint="eastAsia" w:ascii="黑体" w:eastAsia="黑体"/>
              </w:rPr>
              <w:t>一</w:t>
            </w:r>
          </w:p>
        </w:tc>
        <w:tc>
          <w:tcPr>
            <w:tcW w:w="1917" w:type="dxa"/>
            <w:tcBorders>
              <w:right w:val="single" w:color="auto" w:sz="6" w:space="0"/>
            </w:tcBorders>
            <w:noWrap w:val="0"/>
            <w:vAlign w:val="center"/>
          </w:tcPr>
          <w:p w14:paraId="4C9F350C">
            <w:pPr>
              <w:jc w:val="center"/>
              <w:rPr>
                <w:rFonts w:hint="eastAsia"/>
              </w:rPr>
            </w:pPr>
            <w:r>
              <w:rPr>
                <w:rFonts w:hint="eastAsia"/>
              </w:rPr>
              <w:t>人工</w:t>
            </w:r>
          </w:p>
        </w:tc>
        <w:tc>
          <w:tcPr>
            <w:tcW w:w="715" w:type="dxa"/>
            <w:tcBorders>
              <w:left w:val="single" w:color="auto" w:sz="6" w:space="0"/>
            </w:tcBorders>
            <w:noWrap w:val="0"/>
            <w:vAlign w:val="center"/>
          </w:tcPr>
          <w:p w14:paraId="013378CF">
            <w:pPr>
              <w:jc w:val="center"/>
              <w:rPr>
                <w:rFonts w:hint="eastAsia"/>
              </w:rPr>
            </w:pPr>
          </w:p>
        </w:tc>
        <w:tc>
          <w:tcPr>
            <w:tcW w:w="904" w:type="dxa"/>
            <w:tcBorders>
              <w:right w:val="single" w:color="auto" w:sz="6" w:space="0"/>
            </w:tcBorders>
            <w:noWrap w:val="0"/>
            <w:vAlign w:val="center"/>
          </w:tcPr>
          <w:p w14:paraId="09EBE871">
            <w:pPr>
              <w:jc w:val="center"/>
              <w:rPr>
                <w:rFonts w:hint="eastAsia"/>
              </w:rPr>
            </w:pPr>
          </w:p>
        </w:tc>
        <w:tc>
          <w:tcPr>
            <w:tcW w:w="901" w:type="dxa"/>
            <w:tcBorders>
              <w:left w:val="single" w:color="auto" w:sz="6" w:space="0"/>
            </w:tcBorders>
            <w:noWrap w:val="0"/>
            <w:vAlign w:val="center"/>
          </w:tcPr>
          <w:p w14:paraId="2E6F02B8">
            <w:pPr>
              <w:jc w:val="center"/>
              <w:rPr>
                <w:rFonts w:hint="eastAsia"/>
              </w:rPr>
            </w:pPr>
          </w:p>
        </w:tc>
        <w:tc>
          <w:tcPr>
            <w:tcW w:w="1216" w:type="dxa"/>
            <w:noWrap w:val="0"/>
            <w:vAlign w:val="center"/>
          </w:tcPr>
          <w:p w14:paraId="65331221">
            <w:pPr>
              <w:jc w:val="center"/>
              <w:rPr>
                <w:rFonts w:hint="eastAsia"/>
              </w:rPr>
            </w:pPr>
          </w:p>
        </w:tc>
        <w:tc>
          <w:tcPr>
            <w:tcW w:w="1134" w:type="dxa"/>
            <w:noWrap w:val="0"/>
            <w:vAlign w:val="center"/>
          </w:tcPr>
          <w:p w14:paraId="6A8263B0">
            <w:pPr>
              <w:jc w:val="center"/>
              <w:rPr>
                <w:rFonts w:hint="eastAsia"/>
              </w:rPr>
            </w:pPr>
          </w:p>
        </w:tc>
        <w:tc>
          <w:tcPr>
            <w:tcW w:w="1162" w:type="dxa"/>
            <w:noWrap w:val="0"/>
            <w:vAlign w:val="center"/>
          </w:tcPr>
          <w:p w14:paraId="3AE8046E">
            <w:pPr>
              <w:jc w:val="center"/>
              <w:rPr>
                <w:rFonts w:hint="eastAsia"/>
              </w:rPr>
            </w:pPr>
          </w:p>
        </w:tc>
      </w:tr>
      <w:tr w14:paraId="7BA4C8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bottom w:val="single" w:color="auto" w:sz="6" w:space="0"/>
            </w:tcBorders>
            <w:noWrap w:val="0"/>
            <w:vAlign w:val="center"/>
          </w:tcPr>
          <w:p w14:paraId="3FF5A925">
            <w:pPr>
              <w:jc w:val="center"/>
              <w:rPr>
                <w:rFonts w:hint="eastAsia" w:ascii="黑体" w:eastAsia="黑体"/>
              </w:rPr>
            </w:pPr>
            <w:r>
              <w:rPr>
                <w:rFonts w:hint="eastAsia" w:ascii="黑体" w:eastAsia="黑体"/>
              </w:rPr>
              <w:t>1</w:t>
            </w:r>
          </w:p>
        </w:tc>
        <w:tc>
          <w:tcPr>
            <w:tcW w:w="1917" w:type="dxa"/>
            <w:tcBorders>
              <w:right w:val="single" w:color="auto" w:sz="6" w:space="0"/>
            </w:tcBorders>
            <w:noWrap w:val="0"/>
            <w:vAlign w:val="center"/>
          </w:tcPr>
          <w:p w14:paraId="5A445892">
            <w:pPr>
              <w:jc w:val="center"/>
              <w:rPr>
                <w:rFonts w:hint="eastAsia"/>
              </w:rPr>
            </w:pPr>
          </w:p>
        </w:tc>
        <w:tc>
          <w:tcPr>
            <w:tcW w:w="715" w:type="dxa"/>
            <w:tcBorders>
              <w:left w:val="single" w:color="auto" w:sz="6" w:space="0"/>
            </w:tcBorders>
            <w:noWrap w:val="0"/>
            <w:vAlign w:val="center"/>
          </w:tcPr>
          <w:p w14:paraId="17769C7C">
            <w:pPr>
              <w:jc w:val="center"/>
              <w:rPr>
                <w:rFonts w:hint="eastAsia"/>
              </w:rPr>
            </w:pPr>
          </w:p>
        </w:tc>
        <w:tc>
          <w:tcPr>
            <w:tcW w:w="904" w:type="dxa"/>
            <w:tcBorders>
              <w:right w:val="single" w:color="auto" w:sz="6" w:space="0"/>
            </w:tcBorders>
            <w:noWrap w:val="0"/>
            <w:vAlign w:val="center"/>
          </w:tcPr>
          <w:p w14:paraId="13C0845B">
            <w:pPr>
              <w:jc w:val="center"/>
              <w:rPr>
                <w:rFonts w:hint="eastAsia"/>
              </w:rPr>
            </w:pPr>
          </w:p>
        </w:tc>
        <w:tc>
          <w:tcPr>
            <w:tcW w:w="901" w:type="dxa"/>
            <w:tcBorders>
              <w:left w:val="single" w:color="auto" w:sz="6" w:space="0"/>
            </w:tcBorders>
            <w:noWrap w:val="0"/>
            <w:vAlign w:val="center"/>
          </w:tcPr>
          <w:p w14:paraId="4E98EC8D">
            <w:pPr>
              <w:jc w:val="center"/>
              <w:rPr>
                <w:rFonts w:hint="eastAsia"/>
              </w:rPr>
            </w:pPr>
          </w:p>
        </w:tc>
        <w:tc>
          <w:tcPr>
            <w:tcW w:w="1216" w:type="dxa"/>
            <w:noWrap w:val="0"/>
            <w:vAlign w:val="center"/>
          </w:tcPr>
          <w:p w14:paraId="69592F08">
            <w:pPr>
              <w:jc w:val="center"/>
              <w:rPr>
                <w:rFonts w:hint="eastAsia"/>
              </w:rPr>
            </w:pPr>
          </w:p>
        </w:tc>
        <w:tc>
          <w:tcPr>
            <w:tcW w:w="1134" w:type="dxa"/>
            <w:noWrap w:val="0"/>
            <w:vAlign w:val="center"/>
          </w:tcPr>
          <w:p w14:paraId="03BAB745">
            <w:pPr>
              <w:jc w:val="center"/>
              <w:rPr>
                <w:rFonts w:hint="eastAsia"/>
              </w:rPr>
            </w:pPr>
          </w:p>
        </w:tc>
        <w:tc>
          <w:tcPr>
            <w:tcW w:w="1162" w:type="dxa"/>
            <w:noWrap w:val="0"/>
            <w:vAlign w:val="center"/>
          </w:tcPr>
          <w:p w14:paraId="538A2CFF">
            <w:pPr>
              <w:jc w:val="center"/>
              <w:rPr>
                <w:rFonts w:hint="eastAsia"/>
              </w:rPr>
            </w:pPr>
          </w:p>
        </w:tc>
      </w:tr>
      <w:tr w14:paraId="2F22499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tcBorders>
              <w:top w:val="single" w:color="auto" w:sz="6" w:space="0"/>
            </w:tcBorders>
            <w:noWrap w:val="0"/>
            <w:vAlign w:val="center"/>
          </w:tcPr>
          <w:p w14:paraId="39E6996C">
            <w:pPr>
              <w:jc w:val="center"/>
              <w:rPr>
                <w:rFonts w:hint="eastAsia" w:ascii="黑体" w:eastAsia="黑体"/>
              </w:rPr>
            </w:pPr>
            <w:r>
              <w:rPr>
                <w:rFonts w:hint="eastAsia" w:ascii="黑体" w:eastAsia="黑体"/>
              </w:rPr>
              <w:t>2</w:t>
            </w:r>
          </w:p>
        </w:tc>
        <w:tc>
          <w:tcPr>
            <w:tcW w:w="1917" w:type="dxa"/>
            <w:tcBorders>
              <w:right w:val="single" w:color="auto" w:sz="6" w:space="0"/>
            </w:tcBorders>
            <w:noWrap w:val="0"/>
            <w:vAlign w:val="center"/>
          </w:tcPr>
          <w:p w14:paraId="5C2D7D4A">
            <w:pPr>
              <w:jc w:val="center"/>
              <w:rPr>
                <w:rFonts w:hint="eastAsia"/>
              </w:rPr>
            </w:pPr>
          </w:p>
        </w:tc>
        <w:tc>
          <w:tcPr>
            <w:tcW w:w="715" w:type="dxa"/>
            <w:tcBorders>
              <w:left w:val="single" w:color="auto" w:sz="6" w:space="0"/>
            </w:tcBorders>
            <w:noWrap w:val="0"/>
            <w:vAlign w:val="center"/>
          </w:tcPr>
          <w:p w14:paraId="1A2B98CF">
            <w:pPr>
              <w:jc w:val="center"/>
              <w:rPr>
                <w:rFonts w:hint="eastAsia"/>
              </w:rPr>
            </w:pPr>
          </w:p>
        </w:tc>
        <w:tc>
          <w:tcPr>
            <w:tcW w:w="904" w:type="dxa"/>
            <w:tcBorders>
              <w:right w:val="single" w:color="auto" w:sz="6" w:space="0"/>
            </w:tcBorders>
            <w:noWrap w:val="0"/>
            <w:vAlign w:val="center"/>
          </w:tcPr>
          <w:p w14:paraId="3E81E0E4">
            <w:pPr>
              <w:jc w:val="center"/>
              <w:rPr>
                <w:rFonts w:hint="eastAsia"/>
              </w:rPr>
            </w:pPr>
          </w:p>
        </w:tc>
        <w:tc>
          <w:tcPr>
            <w:tcW w:w="901" w:type="dxa"/>
            <w:tcBorders>
              <w:left w:val="single" w:color="auto" w:sz="6" w:space="0"/>
            </w:tcBorders>
            <w:noWrap w:val="0"/>
            <w:vAlign w:val="center"/>
          </w:tcPr>
          <w:p w14:paraId="22B0B9BB">
            <w:pPr>
              <w:jc w:val="center"/>
              <w:rPr>
                <w:rFonts w:hint="eastAsia"/>
              </w:rPr>
            </w:pPr>
          </w:p>
        </w:tc>
        <w:tc>
          <w:tcPr>
            <w:tcW w:w="1216" w:type="dxa"/>
            <w:noWrap w:val="0"/>
            <w:vAlign w:val="center"/>
          </w:tcPr>
          <w:p w14:paraId="32A7FE0F">
            <w:pPr>
              <w:jc w:val="center"/>
              <w:rPr>
                <w:rFonts w:hint="eastAsia"/>
              </w:rPr>
            </w:pPr>
          </w:p>
        </w:tc>
        <w:tc>
          <w:tcPr>
            <w:tcW w:w="1134" w:type="dxa"/>
            <w:noWrap w:val="0"/>
            <w:vAlign w:val="center"/>
          </w:tcPr>
          <w:p w14:paraId="0E53E35A">
            <w:pPr>
              <w:jc w:val="center"/>
              <w:rPr>
                <w:rFonts w:hint="eastAsia"/>
              </w:rPr>
            </w:pPr>
          </w:p>
        </w:tc>
        <w:tc>
          <w:tcPr>
            <w:tcW w:w="1162" w:type="dxa"/>
            <w:noWrap w:val="0"/>
            <w:vAlign w:val="center"/>
          </w:tcPr>
          <w:p w14:paraId="2D5F3324">
            <w:pPr>
              <w:jc w:val="center"/>
              <w:rPr>
                <w:rFonts w:hint="eastAsia"/>
              </w:rPr>
            </w:pPr>
          </w:p>
        </w:tc>
      </w:tr>
      <w:tr w14:paraId="23F3122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03DDBC08">
            <w:pPr>
              <w:jc w:val="center"/>
              <w:rPr>
                <w:rFonts w:hint="eastAsia" w:ascii="黑体" w:eastAsia="黑体"/>
              </w:rPr>
            </w:pPr>
            <w:r>
              <w:rPr>
                <w:rFonts w:hint="eastAsia" w:ascii="黑体" w:eastAsia="黑体"/>
              </w:rPr>
              <w:t>3</w:t>
            </w:r>
          </w:p>
        </w:tc>
        <w:tc>
          <w:tcPr>
            <w:tcW w:w="1917" w:type="dxa"/>
            <w:tcBorders>
              <w:right w:val="single" w:color="auto" w:sz="6" w:space="0"/>
            </w:tcBorders>
            <w:noWrap w:val="0"/>
            <w:vAlign w:val="center"/>
          </w:tcPr>
          <w:p w14:paraId="40CBC870">
            <w:pPr>
              <w:jc w:val="center"/>
              <w:rPr>
                <w:rFonts w:hint="eastAsia"/>
              </w:rPr>
            </w:pPr>
          </w:p>
        </w:tc>
        <w:tc>
          <w:tcPr>
            <w:tcW w:w="715" w:type="dxa"/>
            <w:tcBorders>
              <w:left w:val="single" w:color="auto" w:sz="6" w:space="0"/>
            </w:tcBorders>
            <w:noWrap w:val="0"/>
            <w:vAlign w:val="center"/>
          </w:tcPr>
          <w:p w14:paraId="74FA029A">
            <w:pPr>
              <w:jc w:val="center"/>
              <w:rPr>
                <w:rFonts w:hint="eastAsia"/>
              </w:rPr>
            </w:pPr>
          </w:p>
        </w:tc>
        <w:tc>
          <w:tcPr>
            <w:tcW w:w="904" w:type="dxa"/>
            <w:tcBorders>
              <w:right w:val="single" w:color="auto" w:sz="6" w:space="0"/>
            </w:tcBorders>
            <w:noWrap w:val="0"/>
            <w:vAlign w:val="center"/>
          </w:tcPr>
          <w:p w14:paraId="4F6209BE">
            <w:pPr>
              <w:jc w:val="center"/>
              <w:rPr>
                <w:rFonts w:hint="eastAsia"/>
              </w:rPr>
            </w:pPr>
          </w:p>
        </w:tc>
        <w:tc>
          <w:tcPr>
            <w:tcW w:w="901" w:type="dxa"/>
            <w:tcBorders>
              <w:left w:val="single" w:color="auto" w:sz="6" w:space="0"/>
            </w:tcBorders>
            <w:noWrap w:val="0"/>
            <w:vAlign w:val="center"/>
          </w:tcPr>
          <w:p w14:paraId="1034E255">
            <w:pPr>
              <w:jc w:val="center"/>
              <w:rPr>
                <w:rFonts w:hint="eastAsia"/>
              </w:rPr>
            </w:pPr>
          </w:p>
        </w:tc>
        <w:tc>
          <w:tcPr>
            <w:tcW w:w="1216" w:type="dxa"/>
            <w:noWrap w:val="0"/>
            <w:vAlign w:val="center"/>
          </w:tcPr>
          <w:p w14:paraId="5AF00897">
            <w:pPr>
              <w:jc w:val="center"/>
              <w:rPr>
                <w:rFonts w:hint="eastAsia"/>
              </w:rPr>
            </w:pPr>
          </w:p>
        </w:tc>
        <w:tc>
          <w:tcPr>
            <w:tcW w:w="1134" w:type="dxa"/>
            <w:noWrap w:val="0"/>
            <w:vAlign w:val="center"/>
          </w:tcPr>
          <w:p w14:paraId="34481F0C">
            <w:pPr>
              <w:jc w:val="center"/>
              <w:rPr>
                <w:rFonts w:hint="eastAsia"/>
              </w:rPr>
            </w:pPr>
          </w:p>
        </w:tc>
        <w:tc>
          <w:tcPr>
            <w:tcW w:w="1162" w:type="dxa"/>
            <w:noWrap w:val="0"/>
            <w:vAlign w:val="center"/>
          </w:tcPr>
          <w:p w14:paraId="333B5E38">
            <w:pPr>
              <w:jc w:val="center"/>
              <w:rPr>
                <w:rFonts w:hint="eastAsia"/>
              </w:rPr>
            </w:pPr>
          </w:p>
        </w:tc>
      </w:tr>
      <w:tr w14:paraId="0738DCA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noWrap w:val="0"/>
            <w:vAlign w:val="center"/>
          </w:tcPr>
          <w:p w14:paraId="2B64E039">
            <w:pPr>
              <w:jc w:val="center"/>
              <w:rPr>
                <w:rFonts w:hint="eastAsia"/>
              </w:rPr>
            </w:pPr>
            <w:r>
              <w:rPr>
                <w:rFonts w:hint="eastAsia"/>
              </w:rPr>
              <w:t>人工小计</w:t>
            </w:r>
          </w:p>
        </w:tc>
        <w:tc>
          <w:tcPr>
            <w:tcW w:w="1134" w:type="dxa"/>
            <w:tcBorders>
              <w:left w:val="single" w:color="auto" w:sz="6" w:space="0"/>
            </w:tcBorders>
            <w:noWrap w:val="0"/>
            <w:vAlign w:val="center"/>
          </w:tcPr>
          <w:p w14:paraId="7E43E078">
            <w:pPr>
              <w:jc w:val="center"/>
              <w:rPr>
                <w:rFonts w:hint="eastAsia"/>
              </w:rPr>
            </w:pPr>
          </w:p>
        </w:tc>
        <w:tc>
          <w:tcPr>
            <w:tcW w:w="1162" w:type="dxa"/>
            <w:tcBorders>
              <w:left w:val="single" w:color="auto" w:sz="6" w:space="0"/>
            </w:tcBorders>
            <w:noWrap w:val="0"/>
            <w:vAlign w:val="center"/>
          </w:tcPr>
          <w:p w14:paraId="1311B042">
            <w:pPr>
              <w:jc w:val="center"/>
              <w:rPr>
                <w:rFonts w:hint="eastAsia"/>
              </w:rPr>
            </w:pPr>
          </w:p>
        </w:tc>
      </w:tr>
      <w:tr w14:paraId="3CA5BD3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053A42B4">
            <w:pPr>
              <w:jc w:val="center"/>
              <w:rPr>
                <w:rFonts w:hint="eastAsia"/>
              </w:rPr>
            </w:pPr>
            <w:r>
              <w:rPr>
                <w:rFonts w:hint="eastAsia"/>
              </w:rPr>
              <w:t>二</w:t>
            </w:r>
          </w:p>
        </w:tc>
        <w:tc>
          <w:tcPr>
            <w:tcW w:w="1917" w:type="dxa"/>
            <w:tcBorders>
              <w:right w:val="single" w:color="auto" w:sz="6" w:space="0"/>
            </w:tcBorders>
            <w:noWrap w:val="0"/>
            <w:vAlign w:val="center"/>
          </w:tcPr>
          <w:p w14:paraId="6B1F0EF1">
            <w:pPr>
              <w:jc w:val="center"/>
              <w:rPr>
                <w:rFonts w:hint="eastAsia"/>
              </w:rPr>
            </w:pPr>
            <w:r>
              <w:rPr>
                <w:rFonts w:hint="eastAsia"/>
              </w:rPr>
              <w:t>材料</w:t>
            </w:r>
          </w:p>
        </w:tc>
        <w:tc>
          <w:tcPr>
            <w:tcW w:w="715" w:type="dxa"/>
            <w:tcBorders>
              <w:left w:val="single" w:color="auto" w:sz="6" w:space="0"/>
            </w:tcBorders>
            <w:noWrap w:val="0"/>
            <w:vAlign w:val="center"/>
          </w:tcPr>
          <w:p w14:paraId="0108DAAC">
            <w:pPr>
              <w:jc w:val="center"/>
              <w:rPr>
                <w:rFonts w:hint="eastAsia"/>
              </w:rPr>
            </w:pPr>
          </w:p>
        </w:tc>
        <w:tc>
          <w:tcPr>
            <w:tcW w:w="904" w:type="dxa"/>
            <w:tcBorders>
              <w:right w:val="single" w:color="auto" w:sz="6" w:space="0"/>
            </w:tcBorders>
            <w:noWrap w:val="0"/>
            <w:vAlign w:val="center"/>
          </w:tcPr>
          <w:p w14:paraId="261129FF">
            <w:pPr>
              <w:jc w:val="center"/>
              <w:rPr>
                <w:rFonts w:hint="eastAsia"/>
              </w:rPr>
            </w:pPr>
          </w:p>
        </w:tc>
        <w:tc>
          <w:tcPr>
            <w:tcW w:w="901" w:type="dxa"/>
            <w:tcBorders>
              <w:left w:val="single" w:color="auto" w:sz="6" w:space="0"/>
            </w:tcBorders>
            <w:noWrap w:val="0"/>
            <w:vAlign w:val="center"/>
          </w:tcPr>
          <w:p w14:paraId="069A6182">
            <w:pPr>
              <w:jc w:val="center"/>
              <w:rPr>
                <w:rFonts w:hint="eastAsia"/>
              </w:rPr>
            </w:pPr>
          </w:p>
        </w:tc>
        <w:tc>
          <w:tcPr>
            <w:tcW w:w="1216" w:type="dxa"/>
            <w:noWrap w:val="0"/>
            <w:vAlign w:val="center"/>
          </w:tcPr>
          <w:p w14:paraId="6601152C">
            <w:pPr>
              <w:jc w:val="center"/>
              <w:rPr>
                <w:rFonts w:hint="eastAsia"/>
              </w:rPr>
            </w:pPr>
          </w:p>
        </w:tc>
        <w:tc>
          <w:tcPr>
            <w:tcW w:w="1134" w:type="dxa"/>
            <w:noWrap w:val="0"/>
            <w:vAlign w:val="center"/>
          </w:tcPr>
          <w:p w14:paraId="1CD3ED9F">
            <w:pPr>
              <w:jc w:val="center"/>
              <w:rPr>
                <w:rFonts w:hint="eastAsia"/>
              </w:rPr>
            </w:pPr>
          </w:p>
        </w:tc>
        <w:tc>
          <w:tcPr>
            <w:tcW w:w="1162" w:type="dxa"/>
            <w:noWrap w:val="0"/>
            <w:vAlign w:val="center"/>
          </w:tcPr>
          <w:p w14:paraId="6E7F5EEC">
            <w:pPr>
              <w:jc w:val="center"/>
              <w:rPr>
                <w:rFonts w:hint="eastAsia"/>
              </w:rPr>
            </w:pPr>
          </w:p>
        </w:tc>
      </w:tr>
      <w:tr w14:paraId="2641051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7AFAC79F">
            <w:pPr>
              <w:jc w:val="center"/>
              <w:rPr>
                <w:rFonts w:hint="eastAsia" w:ascii="黑体" w:eastAsia="黑体"/>
              </w:rPr>
            </w:pPr>
            <w:r>
              <w:rPr>
                <w:rFonts w:hint="eastAsia" w:ascii="黑体" w:eastAsia="黑体"/>
              </w:rPr>
              <w:t>1</w:t>
            </w:r>
          </w:p>
        </w:tc>
        <w:tc>
          <w:tcPr>
            <w:tcW w:w="1917" w:type="dxa"/>
            <w:tcBorders>
              <w:right w:val="single" w:color="auto" w:sz="6" w:space="0"/>
            </w:tcBorders>
            <w:noWrap w:val="0"/>
            <w:vAlign w:val="center"/>
          </w:tcPr>
          <w:p w14:paraId="29F2B42E">
            <w:pPr>
              <w:jc w:val="center"/>
              <w:rPr>
                <w:rFonts w:hint="eastAsia"/>
              </w:rPr>
            </w:pPr>
          </w:p>
        </w:tc>
        <w:tc>
          <w:tcPr>
            <w:tcW w:w="715" w:type="dxa"/>
            <w:tcBorders>
              <w:left w:val="single" w:color="auto" w:sz="6" w:space="0"/>
            </w:tcBorders>
            <w:noWrap w:val="0"/>
            <w:vAlign w:val="center"/>
          </w:tcPr>
          <w:p w14:paraId="5759EBC3">
            <w:pPr>
              <w:jc w:val="center"/>
              <w:rPr>
                <w:rFonts w:hint="eastAsia"/>
              </w:rPr>
            </w:pPr>
          </w:p>
        </w:tc>
        <w:tc>
          <w:tcPr>
            <w:tcW w:w="904" w:type="dxa"/>
            <w:tcBorders>
              <w:right w:val="single" w:color="auto" w:sz="6" w:space="0"/>
            </w:tcBorders>
            <w:noWrap w:val="0"/>
            <w:vAlign w:val="center"/>
          </w:tcPr>
          <w:p w14:paraId="0619087C">
            <w:pPr>
              <w:jc w:val="center"/>
              <w:rPr>
                <w:rFonts w:hint="eastAsia"/>
              </w:rPr>
            </w:pPr>
          </w:p>
        </w:tc>
        <w:tc>
          <w:tcPr>
            <w:tcW w:w="901" w:type="dxa"/>
            <w:tcBorders>
              <w:left w:val="single" w:color="auto" w:sz="6" w:space="0"/>
            </w:tcBorders>
            <w:noWrap w:val="0"/>
            <w:vAlign w:val="center"/>
          </w:tcPr>
          <w:p w14:paraId="5CA6F1DD">
            <w:pPr>
              <w:jc w:val="center"/>
              <w:rPr>
                <w:rFonts w:hint="eastAsia"/>
              </w:rPr>
            </w:pPr>
          </w:p>
        </w:tc>
        <w:tc>
          <w:tcPr>
            <w:tcW w:w="1216" w:type="dxa"/>
            <w:noWrap w:val="0"/>
            <w:vAlign w:val="center"/>
          </w:tcPr>
          <w:p w14:paraId="58E50B67">
            <w:pPr>
              <w:jc w:val="center"/>
              <w:rPr>
                <w:rFonts w:hint="eastAsia"/>
              </w:rPr>
            </w:pPr>
          </w:p>
        </w:tc>
        <w:tc>
          <w:tcPr>
            <w:tcW w:w="1134" w:type="dxa"/>
            <w:noWrap w:val="0"/>
            <w:vAlign w:val="center"/>
          </w:tcPr>
          <w:p w14:paraId="28CEAE06">
            <w:pPr>
              <w:jc w:val="center"/>
              <w:rPr>
                <w:rFonts w:hint="eastAsia"/>
              </w:rPr>
            </w:pPr>
          </w:p>
        </w:tc>
        <w:tc>
          <w:tcPr>
            <w:tcW w:w="1162" w:type="dxa"/>
            <w:noWrap w:val="0"/>
            <w:vAlign w:val="center"/>
          </w:tcPr>
          <w:p w14:paraId="68943088">
            <w:pPr>
              <w:jc w:val="center"/>
              <w:rPr>
                <w:rFonts w:hint="eastAsia"/>
              </w:rPr>
            </w:pPr>
          </w:p>
        </w:tc>
      </w:tr>
      <w:tr w14:paraId="333BC5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48EC2E2A">
            <w:pPr>
              <w:jc w:val="center"/>
              <w:rPr>
                <w:rFonts w:hint="eastAsia" w:ascii="黑体" w:eastAsia="黑体"/>
              </w:rPr>
            </w:pPr>
            <w:r>
              <w:rPr>
                <w:rFonts w:hint="eastAsia" w:ascii="黑体" w:eastAsia="黑体"/>
              </w:rPr>
              <w:t>2</w:t>
            </w:r>
          </w:p>
        </w:tc>
        <w:tc>
          <w:tcPr>
            <w:tcW w:w="1917" w:type="dxa"/>
            <w:tcBorders>
              <w:right w:val="single" w:color="auto" w:sz="6" w:space="0"/>
            </w:tcBorders>
            <w:noWrap w:val="0"/>
            <w:vAlign w:val="center"/>
          </w:tcPr>
          <w:p w14:paraId="0B56B12B">
            <w:pPr>
              <w:jc w:val="center"/>
              <w:rPr>
                <w:rFonts w:hint="eastAsia"/>
              </w:rPr>
            </w:pPr>
          </w:p>
        </w:tc>
        <w:tc>
          <w:tcPr>
            <w:tcW w:w="715" w:type="dxa"/>
            <w:tcBorders>
              <w:left w:val="single" w:color="auto" w:sz="6" w:space="0"/>
            </w:tcBorders>
            <w:noWrap w:val="0"/>
            <w:vAlign w:val="center"/>
          </w:tcPr>
          <w:p w14:paraId="23750E7B">
            <w:pPr>
              <w:jc w:val="center"/>
              <w:rPr>
                <w:rFonts w:hint="eastAsia"/>
              </w:rPr>
            </w:pPr>
          </w:p>
        </w:tc>
        <w:tc>
          <w:tcPr>
            <w:tcW w:w="904" w:type="dxa"/>
            <w:tcBorders>
              <w:right w:val="single" w:color="auto" w:sz="6" w:space="0"/>
            </w:tcBorders>
            <w:noWrap w:val="0"/>
            <w:vAlign w:val="center"/>
          </w:tcPr>
          <w:p w14:paraId="0C54AF90">
            <w:pPr>
              <w:jc w:val="center"/>
              <w:rPr>
                <w:rFonts w:hint="eastAsia"/>
              </w:rPr>
            </w:pPr>
          </w:p>
        </w:tc>
        <w:tc>
          <w:tcPr>
            <w:tcW w:w="901" w:type="dxa"/>
            <w:tcBorders>
              <w:left w:val="single" w:color="auto" w:sz="6" w:space="0"/>
            </w:tcBorders>
            <w:noWrap w:val="0"/>
            <w:vAlign w:val="center"/>
          </w:tcPr>
          <w:p w14:paraId="7C69102A">
            <w:pPr>
              <w:jc w:val="center"/>
              <w:rPr>
                <w:rFonts w:hint="eastAsia"/>
              </w:rPr>
            </w:pPr>
          </w:p>
        </w:tc>
        <w:tc>
          <w:tcPr>
            <w:tcW w:w="1216" w:type="dxa"/>
            <w:noWrap w:val="0"/>
            <w:vAlign w:val="center"/>
          </w:tcPr>
          <w:p w14:paraId="139D75E4">
            <w:pPr>
              <w:jc w:val="center"/>
              <w:rPr>
                <w:rFonts w:hint="eastAsia"/>
              </w:rPr>
            </w:pPr>
          </w:p>
        </w:tc>
        <w:tc>
          <w:tcPr>
            <w:tcW w:w="1134" w:type="dxa"/>
            <w:noWrap w:val="0"/>
            <w:vAlign w:val="center"/>
          </w:tcPr>
          <w:p w14:paraId="6FD65B49">
            <w:pPr>
              <w:jc w:val="center"/>
              <w:rPr>
                <w:rFonts w:hint="eastAsia"/>
              </w:rPr>
            </w:pPr>
          </w:p>
        </w:tc>
        <w:tc>
          <w:tcPr>
            <w:tcW w:w="1162" w:type="dxa"/>
            <w:noWrap w:val="0"/>
            <w:vAlign w:val="center"/>
          </w:tcPr>
          <w:p w14:paraId="7197C5A3">
            <w:pPr>
              <w:jc w:val="center"/>
              <w:rPr>
                <w:rFonts w:hint="eastAsia"/>
              </w:rPr>
            </w:pPr>
          </w:p>
        </w:tc>
      </w:tr>
      <w:tr w14:paraId="261A749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4CC4ED13">
            <w:pPr>
              <w:jc w:val="center"/>
              <w:rPr>
                <w:rFonts w:hint="eastAsia" w:ascii="黑体" w:eastAsia="黑体"/>
              </w:rPr>
            </w:pPr>
            <w:r>
              <w:rPr>
                <w:rFonts w:hint="eastAsia" w:ascii="黑体" w:eastAsia="黑体"/>
              </w:rPr>
              <w:t>3</w:t>
            </w:r>
          </w:p>
        </w:tc>
        <w:tc>
          <w:tcPr>
            <w:tcW w:w="1917" w:type="dxa"/>
            <w:tcBorders>
              <w:right w:val="single" w:color="auto" w:sz="6" w:space="0"/>
            </w:tcBorders>
            <w:noWrap w:val="0"/>
            <w:vAlign w:val="center"/>
          </w:tcPr>
          <w:p w14:paraId="2811106A">
            <w:pPr>
              <w:jc w:val="center"/>
              <w:rPr>
                <w:rFonts w:hint="eastAsia"/>
              </w:rPr>
            </w:pPr>
          </w:p>
        </w:tc>
        <w:tc>
          <w:tcPr>
            <w:tcW w:w="715" w:type="dxa"/>
            <w:tcBorders>
              <w:left w:val="single" w:color="auto" w:sz="6" w:space="0"/>
            </w:tcBorders>
            <w:noWrap w:val="0"/>
            <w:vAlign w:val="center"/>
          </w:tcPr>
          <w:p w14:paraId="334152A5">
            <w:pPr>
              <w:jc w:val="center"/>
              <w:rPr>
                <w:rFonts w:hint="eastAsia"/>
              </w:rPr>
            </w:pPr>
          </w:p>
        </w:tc>
        <w:tc>
          <w:tcPr>
            <w:tcW w:w="904" w:type="dxa"/>
            <w:tcBorders>
              <w:right w:val="single" w:color="auto" w:sz="6" w:space="0"/>
            </w:tcBorders>
            <w:noWrap w:val="0"/>
            <w:vAlign w:val="center"/>
          </w:tcPr>
          <w:p w14:paraId="5670EB7E">
            <w:pPr>
              <w:jc w:val="center"/>
              <w:rPr>
                <w:rFonts w:hint="eastAsia"/>
              </w:rPr>
            </w:pPr>
          </w:p>
        </w:tc>
        <w:tc>
          <w:tcPr>
            <w:tcW w:w="901" w:type="dxa"/>
            <w:tcBorders>
              <w:left w:val="single" w:color="auto" w:sz="6" w:space="0"/>
            </w:tcBorders>
            <w:noWrap w:val="0"/>
            <w:vAlign w:val="center"/>
          </w:tcPr>
          <w:p w14:paraId="24CF6F62">
            <w:pPr>
              <w:jc w:val="center"/>
              <w:rPr>
                <w:rFonts w:hint="eastAsia"/>
              </w:rPr>
            </w:pPr>
          </w:p>
        </w:tc>
        <w:tc>
          <w:tcPr>
            <w:tcW w:w="1216" w:type="dxa"/>
            <w:noWrap w:val="0"/>
            <w:vAlign w:val="center"/>
          </w:tcPr>
          <w:p w14:paraId="7554A745">
            <w:pPr>
              <w:jc w:val="center"/>
              <w:rPr>
                <w:rFonts w:hint="eastAsia"/>
              </w:rPr>
            </w:pPr>
          </w:p>
        </w:tc>
        <w:tc>
          <w:tcPr>
            <w:tcW w:w="1134" w:type="dxa"/>
            <w:noWrap w:val="0"/>
            <w:vAlign w:val="center"/>
          </w:tcPr>
          <w:p w14:paraId="24EF1DD8">
            <w:pPr>
              <w:jc w:val="center"/>
              <w:rPr>
                <w:rFonts w:hint="eastAsia"/>
              </w:rPr>
            </w:pPr>
          </w:p>
        </w:tc>
        <w:tc>
          <w:tcPr>
            <w:tcW w:w="1162" w:type="dxa"/>
            <w:noWrap w:val="0"/>
            <w:vAlign w:val="center"/>
          </w:tcPr>
          <w:p w14:paraId="673526F8">
            <w:pPr>
              <w:jc w:val="center"/>
              <w:rPr>
                <w:rFonts w:hint="eastAsia"/>
              </w:rPr>
            </w:pPr>
          </w:p>
        </w:tc>
      </w:tr>
      <w:tr w14:paraId="15F908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noWrap w:val="0"/>
            <w:vAlign w:val="center"/>
          </w:tcPr>
          <w:p w14:paraId="733853FC">
            <w:pPr>
              <w:jc w:val="center"/>
              <w:rPr>
                <w:rFonts w:hint="eastAsia"/>
              </w:rPr>
            </w:pPr>
            <w:r>
              <w:rPr>
                <w:rFonts w:hint="eastAsia"/>
              </w:rPr>
              <w:t>材料小计</w:t>
            </w:r>
          </w:p>
        </w:tc>
        <w:tc>
          <w:tcPr>
            <w:tcW w:w="1134" w:type="dxa"/>
            <w:tcBorders>
              <w:left w:val="single" w:color="auto" w:sz="6" w:space="0"/>
            </w:tcBorders>
            <w:noWrap w:val="0"/>
            <w:vAlign w:val="center"/>
          </w:tcPr>
          <w:p w14:paraId="41212FE4">
            <w:pPr>
              <w:jc w:val="center"/>
              <w:rPr>
                <w:rFonts w:hint="eastAsia"/>
              </w:rPr>
            </w:pPr>
          </w:p>
        </w:tc>
        <w:tc>
          <w:tcPr>
            <w:tcW w:w="1162" w:type="dxa"/>
            <w:tcBorders>
              <w:left w:val="single" w:color="auto" w:sz="6" w:space="0"/>
            </w:tcBorders>
            <w:noWrap w:val="0"/>
            <w:vAlign w:val="center"/>
          </w:tcPr>
          <w:p w14:paraId="3CCF8A20">
            <w:pPr>
              <w:jc w:val="center"/>
              <w:rPr>
                <w:rFonts w:hint="eastAsia"/>
              </w:rPr>
            </w:pPr>
          </w:p>
        </w:tc>
      </w:tr>
      <w:tr w14:paraId="3DF6592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2735BEDF">
            <w:pPr>
              <w:jc w:val="center"/>
              <w:rPr>
                <w:rFonts w:hint="eastAsia"/>
              </w:rPr>
            </w:pPr>
            <w:r>
              <w:rPr>
                <w:rFonts w:hint="eastAsia"/>
              </w:rPr>
              <w:t>三</w:t>
            </w:r>
          </w:p>
        </w:tc>
        <w:tc>
          <w:tcPr>
            <w:tcW w:w="1917" w:type="dxa"/>
            <w:tcBorders>
              <w:right w:val="single" w:color="auto" w:sz="6" w:space="0"/>
            </w:tcBorders>
            <w:noWrap w:val="0"/>
            <w:vAlign w:val="center"/>
          </w:tcPr>
          <w:p w14:paraId="1FB69CD1">
            <w:pPr>
              <w:jc w:val="center"/>
              <w:rPr>
                <w:rFonts w:hint="eastAsia"/>
              </w:rPr>
            </w:pPr>
            <w:r>
              <w:rPr>
                <w:rFonts w:hint="eastAsia"/>
              </w:rPr>
              <w:t>施工机械</w:t>
            </w:r>
          </w:p>
        </w:tc>
        <w:tc>
          <w:tcPr>
            <w:tcW w:w="715" w:type="dxa"/>
            <w:tcBorders>
              <w:left w:val="single" w:color="auto" w:sz="6" w:space="0"/>
            </w:tcBorders>
            <w:noWrap w:val="0"/>
            <w:vAlign w:val="center"/>
          </w:tcPr>
          <w:p w14:paraId="179594E2">
            <w:pPr>
              <w:jc w:val="center"/>
              <w:rPr>
                <w:rFonts w:hint="eastAsia"/>
              </w:rPr>
            </w:pPr>
          </w:p>
        </w:tc>
        <w:tc>
          <w:tcPr>
            <w:tcW w:w="904" w:type="dxa"/>
            <w:tcBorders>
              <w:right w:val="single" w:color="auto" w:sz="6" w:space="0"/>
            </w:tcBorders>
            <w:noWrap w:val="0"/>
            <w:vAlign w:val="center"/>
          </w:tcPr>
          <w:p w14:paraId="693984E6">
            <w:pPr>
              <w:jc w:val="center"/>
              <w:rPr>
                <w:rFonts w:hint="eastAsia"/>
              </w:rPr>
            </w:pPr>
          </w:p>
        </w:tc>
        <w:tc>
          <w:tcPr>
            <w:tcW w:w="901" w:type="dxa"/>
            <w:tcBorders>
              <w:left w:val="single" w:color="auto" w:sz="6" w:space="0"/>
            </w:tcBorders>
            <w:noWrap w:val="0"/>
            <w:vAlign w:val="center"/>
          </w:tcPr>
          <w:p w14:paraId="17A44A5E">
            <w:pPr>
              <w:jc w:val="center"/>
              <w:rPr>
                <w:rFonts w:hint="eastAsia"/>
              </w:rPr>
            </w:pPr>
          </w:p>
        </w:tc>
        <w:tc>
          <w:tcPr>
            <w:tcW w:w="1216" w:type="dxa"/>
            <w:noWrap w:val="0"/>
            <w:vAlign w:val="center"/>
          </w:tcPr>
          <w:p w14:paraId="4C15179A">
            <w:pPr>
              <w:jc w:val="center"/>
              <w:rPr>
                <w:rFonts w:hint="eastAsia"/>
              </w:rPr>
            </w:pPr>
          </w:p>
        </w:tc>
        <w:tc>
          <w:tcPr>
            <w:tcW w:w="1134" w:type="dxa"/>
            <w:noWrap w:val="0"/>
            <w:vAlign w:val="center"/>
          </w:tcPr>
          <w:p w14:paraId="56E47F8B">
            <w:pPr>
              <w:jc w:val="center"/>
              <w:rPr>
                <w:rFonts w:hint="eastAsia"/>
              </w:rPr>
            </w:pPr>
          </w:p>
        </w:tc>
        <w:tc>
          <w:tcPr>
            <w:tcW w:w="1162" w:type="dxa"/>
            <w:noWrap w:val="0"/>
            <w:vAlign w:val="center"/>
          </w:tcPr>
          <w:p w14:paraId="3B083E00">
            <w:pPr>
              <w:jc w:val="center"/>
              <w:rPr>
                <w:rFonts w:hint="eastAsia"/>
              </w:rPr>
            </w:pPr>
          </w:p>
        </w:tc>
      </w:tr>
      <w:tr w14:paraId="6C2DF77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260FBE80">
            <w:pPr>
              <w:jc w:val="center"/>
              <w:rPr>
                <w:rFonts w:hint="eastAsia" w:ascii="黑体" w:eastAsia="黑体"/>
              </w:rPr>
            </w:pPr>
            <w:r>
              <w:rPr>
                <w:rFonts w:hint="eastAsia" w:ascii="黑体" w:eastAsia="黑体"/>
              </w:rPr>
              <w:t>1</w:t>
            </w:r>
          </w:p>
        </w:tc>
        <w:tc>
          <w:tcPr>
            <w:tcW w:w="1917" w:type="dxa"/>
            <w:tcBorders>
              <w:right w:val="single" w:color="auto" w:sz="6" w:space="0"/>
            </w:tcBorders>
            <w:noWrap w:val="0"/>
            <w:vAlign w:val="center"/>
          </w:tcPr>
          <w:p w14:paraId="22B5D9C0">
            <w:pPr>
              <w:jc w:val="center"/>
              <w:rPr>
                <w:rFonts w:hint="eastAsia"/>
              </w:rPr>
            </w:pPr>
          </w:p>
        </w:tc>
        <w:tc>
          <w:tcPr>
            <w:tcW w:w="715" w:type="dxa"/>
            <w:tcBorders>
              <w:left w:val="single" w:color="auto" w:sz="6" w:space="0"/>
            </w:tcBorders>
            <w:noWrap w:val="0"/>
            <w:vAlign w:val="center"/>
          </w:tcPr>
          <w:p w14:paraId="797B0259">
            <w:pPr>
              <w:jc w:val="center"/>
              <w:rPr>
                <w:rFonts w:hint="eastAsia"/>
              </w:rPr>
            </w:pPr>
          </w:p>
        </w:tc>
        <w:tc>
          <w:tcPr>
            <w:tcW w:w="904" w:type="dxa"/>
            <w:tcBorders>
              <w:right w:val="single" w:color="auto" w:sz="6" w:space="0"/>
            </w:tcBorders>
            <w:noWrap w:val="0"/>
            <w:vAlign w:val="center"/>
          </w:tcPr>
          <w:p w14:paraId="09E4F370">
            <w:pPr>
              <w:jc w:val="center"/>
              <w:rPr>
                <w:rFonts w:hint="eastAsia"/>
              </w:rPr>
            </w:pPr>
          </w:p>
        </w:tc>
        <w:tc>
          <w:tcPr>
            <w:tcW w:w="901" w:type="dxa"/>
            <w:tcBorders>
              <w:left w:val="single" w:color="auto" w:sz="6" w:space="0"/>
            </w:tcBorders>
            <w:noWrap w:val="0"/>
            <w:vAlign w:val="center"/>
          </w:tcPr>
          <w:p w14:paraId="3D3B7C46">
            <w:pPr>
              <w:jc w:val="center"/>
              <w:rPr>
                <w:rFonts w:hint="eastAsia"/>
              </w:rPr>
            </w:pPr>
          </w:p>
        </w:tc>
        <w:tc>
          <w:tcPr>
            <w:tcW w:w="1216" w:type="dxa"/>
            <w:noWrap w:val="0"/>
            <w:vAlign w:val="center"/>
          </w:tcPr>
          <w:p w14:paraId="1D82DD83">
            <w:pPr>
              <w:jc w:val="center"/>
              <w:rPr>
                <w:rFonts w:hint="eastAsia"/>
              </w:rPr>
            </w:pPr>
          </w:p>
        </w:tc>
        <w:tc>
          <w:tcPr>
            <w:tcW w:w="1134" w:type="dxa"/>
            <w:noWrap w:val="0"/>
            <w:vAlign w:val="center"/>
          </w:tcPr>
          <w:p w14:paraId="5814E83C">
            <w:pPr>
              <w:jc w:val="center"/>
              <w:rPr>
                <w:rFonts w:hint="eastAsia"/>
              </w:rPr>
            </w:pPr>
          </w:p>
        </w:tc>
        <w:tc>
          <w:tcPr>
            <w:tcW w:w="1162" w:type="dxa"/>
            <w:noWrap w:val="0"/>
            <w:vAlign w:val="center"/>
          </w:tcPr>
          <w:p w14:paraId="1B2667AF">
            <w:pPr>
              <w:jc w:val="center"/>
              <w:rPr>
                <w:rFonts w:hint="eastAsia"/>
              </w:rPr>
            </w:pPr>
          </w:p>
        </w:tc>
      </w:tr>
      <w:tr w14:paraId="7DF9E3A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3BDD5CCB">
            <w:pPr>
              <w:jc w:val="center"/>
              <w:rPr>
                <w:rFonts w:hint="eastAsia" w:ascii="黑体" w:eastAsia="黑体"/>
              </w:rPr>
            </w:pPr>
            <w:r>
              <w:rPr>
                <w:rFonts w:hint="eastAsia" w:ascii="黑体" w:eastAsia="黑体"/>
              </w:rPr>
              <w:t>2</w:t>
            </w:r>
          </w:p>
        </w:tc>
        <w:tc>
          <w:tcPr>
            <w:tcW w:w="1917" w:type="dxa"/>
            <w:tcBorders>
              <w:right w:val="single" w:color="auto" w:sz="6" w:space="0"/>
            </w:tcBorders>
            <w:noWrap w:val="0"/>
            <w:vAlign w:val="center"/>
          </w:tcPr>
          <w:p w14:paraId="6D6712C9">
            <w:pPr>
              <w:jc w:val="center"/>
              <w:rPr>
                <w:rFonts w:hint="eastAsia"/>
              </w:rPr>
            </w:pPr>
          </w:p>
        </w:tc>
        <w:tc>
          <w:tcPr>
            <w:tcW w:w="715" w:type="dxa"/>
            <w:tcBorders>
              <w:left w:val="single" w:color="auto" w:sz="6" w:space="0"/>
            </w:tcBorders>
            <w:noWrap w:val="0"/>
            <w:vAlign w:val="center"/>
          </w:tcPr>
          <w:p w14:paraId="009CE1B0">
            <w:pPr>
              <w:jc w:val="center"/>
              <w:rPr>
                <w:rFonts w:hint="eastAsia"/>
              </w:rPr>
            </w:pPr>
          </w:p>
        </w:tc>
        <w:tc>
          <w:tcPr>
            <w:tcW w:w="904" w:type="dxa"/>
            <w:tcBorders>
              <w:right w:val="single" w:color="auto" w:sz="6" w:space="0"/>
            </w:tcBorders>
            <w:noWrap w:val="0"/>
            <w:vAlign w:val="center"/>
          </w:tcPr>
          <w:p w14:paraId="0574D87B">
            <w:pPr>
              <w:jc w:val="center"/>
              <w:rPr>
                <w:rFonts w:hint="eastAsia"/>
              </w:rPr>
            </w:pPr>
          </w:p>
        </w:tc>
        <w:tc>
          <w:tcPr>
            <w:tcW w:w="901" w:type="dxa"/>
            <w:tcBorders>
              <w:left w:val="single" w:color="auto" w:sz="6" w:space="0"/>
            </w:tcBorders>
            <w:noWrap w:val="0"/>
            <w:vAlign w:val="center"/>
          </w:tcPr>
          <w:p w14:paraId="66BAB233">
            <w:pPr>
              <w:jc w:val="center"/>
              <w:rPr>
                <w:rFonts w:hint="eastAsia"/>
              </w:rPr>
            </w:pPr>
          </w:p>
        </w:tc>
        <w:tc>
          <w:tcPr>
            <w:tcW w:w="1216" w:type="dxa"/>
            <w:noWrap w:val="0"/>
            <w:vAlign w:val="center"/>
          </w:tcPr>
          <w:p w14:paraId="4E3089FD">
            <w:pPr>
              <w:jc w:val="center"/>
              <w:rPr>
                <w:rFonts w:hint="eastAsia"/>
              </w:rPr>
            </w:pPr>
          </w:p>
        </w:tc>
        <w:tc>
          <w:tcPr>
            <w:tcW w:w="1134" w:type="dxa"/>
            <w:noWrap w:val="0"/>
            <w:vAlign w:val="center"/>
          </w:tcPr>
          <w:p w14:paraId="7FA33D9A">
            <w:pPr>
              <w:jc w:val="center"/>
              <w:rPr>
                <w:rFonts w:hint="eastAsia"/>
              </w:rPr>
            </w:pPr>
          </w:p>
        </w:tc>
        <w:tc>
          <w:tcPr>
            <w:tcW w:w="1162" w:type="dxa"/>
            <w:noWrap w:val="0"/>
            <w:vAlign w:val="center"/>
          </w:tcPr>
          <w:p w14:paraId="05073FBF">
            <w:pPr>
              <w:jc w:val="center"/>
              <w:rPr>
                <w:rFonts w:hint="eastAsia"/>
              </w:rPr>
            </w:pPr>
          </w:p>
        </w:tc>
      </w:tr>
      <w:tr w14:paraId="581110D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83" w:type="dxa"/>
            <w:noWrap w:val="0"/>
            <w:vAlign w:val="center"/>
          </w:tcPr>
          <w:p w14:paraId="529E8E15">
            <w:pPr>
              <w:jc w:val="center"/>
              <w:rPr>
                <w:rFonts w:hint="eastAsia" w:ascii="黑体" w:eastAsia="黑体"/>
              </w:rPr>
            </w:pPr>
            <w:r>
              <w:rPr>
                <w:rFonts w:hint="eastAsia" w:ascii="黑体" w:eastAsia="黑体"/>
              </w:rPr>
              <w:t>3</w:t>
            </w:r>
          </w:p>
        </w:tc>
        <w:tc>
          <w:tcPr>
            <w:tcW w:w="1917" w:type="dxa"/>
            <w:tcBorders>
              <w:right w:val="single" w:color="auto" w:sz="6" w:space="0"/>
            </w:tcBorders>
            <w:noWrap w:val="0"/>
            <w:vAlign w:val="center"/>
          </w:tcPr>
          <w:p w14:paraId="3AB0C220">
            <w:pPr>
              <w:jc w:val="center"/>
              <w:rPr>
                <w:rFonts w:hint="eastAsia"/>
              </w:rPr>
            </w:pPr>
          </w:p>
        </w:tc>
        <w:tc>
          <w:tcPr>
            <w:tcW w:w="715" w:type="dxa"/>
            <w:tcBorders>
              <w:left w:val="single" w:color="auto" w:sz="6" w:space="0"/>
            </w:tcBorders>
            <w:noWrap w:val="0"/>
            <w:vAlign w:val="center"/>
          </w:tcPr>
          <w:p w14:paraId="2A86B561">
            <w:pPr>
              <w:jc w:val="center"/>
              <w:rPr>
                <w:rFonts w:hint="eastAsia"/>
              </w:rPr>
            </w:pPr>
          </w:p>
        </w:tc>
        <w:tc>
          <w:tcPr>
            <w:tcW w:w="904" w:type="dxa"/>
            <w:tcBorders>
              <w:right w:val="single" w:color="auto" w:sz="6" w:space="0"/>
            </w:tcBorders>
            <w:noWrap w:val="0"/>
            <w:vAlign w:val="center"/>
          </w:tcPr>
          <w:p w14:paraId="74D94506">
            <w:pPr>
              <w:jc w:val="center"/>
              <w:rPr>
                <w:rFonts w:hint="eastAsia"/>
              </w:rPr>
            </w:pPr>
          </w:p>
        </w:tc>
        <w:tc>
          <w:tcPr>
            <w:tcW w:w="901" w:type="dxa"/>
            <w:tcBorders>
              <w:left w:val="single" w:color="auto" w:sz="6" w:space="0"/>
            </w:tcBorders>
            <w:noWrap w:val="0"/>
            <w:vAlign w:val="center"/>
          </w:tcPr>
          <w:p w14:paraId="16AC21E1">
            <w:pPr>
              <w:jc w:val="center"/>
              <w:rPr>
                <w:rFonts w:hint="eastAsia"/>
              </w:rPr>
            </w:pPr>
          </w:p>
        </w:tc>
        <w:tc>
          <w:tcPr>
            <w:tcW w:w="1216" w:type="dxa"/>
            <w:noWrap w:val="0"/>
            <w:vAlign w:val="center"/>
          </w:tcPr>
          <w:p w14:paraId="18FB7203">
            <w:pPr>
              <w:jc w:val="center"/>
              <w:rPr>
                <w:rFonts w:hint="eastAsia"/>
              </w:rPr>
            </w:pPr>
          </w:p>
        </w:tc>
        <w:tc>
          <w:tcPr>
            <w:tcW w:w="1134" w:type="dxa"/>
            <w:noWrap w:val="0"/>
            <w:vAlign w:val="center"/>
          </w:tcPr>
          <w:p w14:paraId="5F00C0E2">
            <w:pPr>
              <w:jc w:val="center"/>
              <w:rPr>
                <w:rFonts w:hint="eastAsia"/>
              </w:rPr>
            </w:pPr>
          </w:p>
        </w:tc>
        <w:tc>
          <w:tcPr>
            <w:tcW w:w="1162" w:type="dxa"/>
            <w:noWrap w:val="0"/>
            <w:vAlign w:val="center"/>
          </w:tcPr>
          <w:p w14:paraId="43144644">
            <w:pPr>
              <w:jc w:val="center"/>
              <w:rPr>
                <w:rFonts w:hint="eastAsia"/>
              </w:rPr>
            </w:pPr>
          </w:p>
        </w:tc>
      </w:tr>
      <w:tr w14:paraId="2AC07FC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noWrap w:val="0"/>
            <w:vAlign w:val="center"/>
          </w:tcPr>
          <w:p w14:paraId="24179C68">
            <w:pPr>
              <w:jc w:val="center"/>
              <w:rPr>
                <w:rFonts w:hint="eastAsia"/>
              </w:rPr>
            </w:pPr>
            <w:r>
              <w:rPr>
                <w:rFonts w:hint="eastAsia"/>
              </w:rPr>
              <w:t>施工机械小计</w:t>
            </w:r>
          </w:p>
        </w:tc>
        <w:tc>
          <w:tcPr>
            <w:tcW w:w="1134" w:type="dxa"/>
            <w:noWrap w:val="0"/>
            <w:vAlign w:val="center"/>
          </w:tcPr>
          <w:p w14:paraId="582A6122">
            <w:pPr>
              <w:jc w:val="center"/>
              <w:rPr>
                <w:rFonts w:hint="eastAsia"/>
              </w:rPr>
            </w:pPr>
          </w:p>
        </w:tc>
        <w:tc>
          <w:tcPr>
            <w:tcW w:w="1162" w:type="dxa"/>
            <w:noWrap w:val="0"/>
            <w:vAlign w:val="center"/>
          </w:tcPr>
          <w:p w14:paraId="22E68C38">
            <w:pPr>
              <w:jc w:val="center"/>
              <w:rPr>
                <w:rFonts w:hint="eastAsia"/>
              </w:rPr>
            </w:pPr>
          </w:p>
        </w:tc>
      </w:tr>
      <w:tr w14:paraId="6B68B7C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noWrap w:val="0"/>
            <w:vAlign w:val="center"/>
          </w:tcPr>
          <w:p w14:paraId="35C9B257">
            <w:pPr>
              <w:rPr>
                <w:rFonts w:hint="eastAsia"/>
              </w:rPr>
            </w:pPr>
            <w:r>
              <w:rPr>
                <w:rFonts w:hint="eastAsia"/>
              </w:rPr>
              <w:t>四、企业管理费和利润</w:t>
            </w:r>
          </w:p>
        </w:tc>
        <w:tc>
          <w:tcPr>
            <w:tcW w:w="1134" w:type="dxa"/>
            <w:noWrap w:val="0"/>
            <w:vAlign w:val="center"/>
          </w:tcPr>
          <w:p w14:paraId="44B2F8CB">
            <w:pPr>
              <w:jc w:val="center"/>
              <w:rPr>
                <w:rFonts w:hint="eastAsia"/>
              </w:rPr>
            </w:pPr>
          </w:p>
        </w:tc>
        <w:tc>
          <w:tcPr>
            <w:tcW w:w="1162" w:type="dxa"/>
            <w:noWrap w:val="0"/>
            <w:vAlign w:val="center"/>
          </w:tcPr>
          <w:p w14:paraId="5B3A3FC5">
            <w:pPr>
              <w:jc w:val="center"/>
              <w:rPr>
                <w:rFonts w:hint="eastAsia"/>
              </w:rPr>
            </w:pPr>
          </w:p>
        </w:tc>
      </w:tr>
      <w:tr w14:paraId="04FD91B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436" w:type="dxa"/>
            <w:gridSpan w:val="6"/>
            <w:noWrap w:val="0"/>
            <w:vAlign w:val="center"/>
          </w:tcPr>
          <w:p w14:paraId="79B8A8FE">
            <w:pPr>
              <w:jc w:val="center"/>
              <w:rPr>
                <w:rFonts w:hint="eastAsia"/>
              </w:rPr>
            </w:pPr>
            <w:r>
              <w:rPr>
                <w:rFonts w:hint="eastAsia"/>
              </w:rPr>
              <w:t>总计</w:t>
            </w:r>
          </w:p>
        </w:tc>
        <w:tc>
          <w:tcPr>
            <w:tcW w:w="1134" w:type="dxa"/>
            <w:noWrap w:val="0"/>
            <w:vAlign w:val="center"/>
          </w:tcPr>
          <w:p w14:paraId="021BA3CA">
            <w:pPr>
              <w:jc w:val="center"/>
              <w:rPr>
                <w:rFonts w:hint="eastAsia"/>
              </w:rPr>
            </w:pPr>
          </w:p>
        </w:tc>
        <w:tc>
          <w:tcPr>
            <w:tcW w:w="1162" w:type="dxa"/>
            <w:noWrap w:val="0"/>
            <w:vAlign w:val="center"/>
          </w:tcPr>
          <w:p w14:paraId="7BE12C4F">
            <w:pPr>
              <w:jc w:val="center"/>
              <w:rPr>
                <w:rFonts w:hint="eastAsia"/>
              </w:rPr>
            </w:pPr>
          </w:p>
        </w:tc>
      </w:tr>
    </w:tbl>
    <w:p w14:paraId="0196DE38">
      <w:pPr>
        <w:spacing w:before="120" w:beforeLines="50" w:line="300" w:lineRule="exact"/>
        <w:rPr>
          <w:rFonts w:hint="eastAsia" w:ascii="黑体" w:eastAsia="黑体"/>
        </w:rPr>
      </w:pPr>
    </w:p>
    <w:p w14:paraId="6121B151">
      <w:pPr>
        <w:spacing w:before="120" w:beforeLines="50" w:line="300" w:lineRule="exact"/>
        <w:ind w:left="420" w:hanging="420" w:hangingChars="200"/>
        <w:rPr>
          <w:rFonts w:hint="eastAsia" w:ascii="宋体" w:hAnsi="宋体"/>
        </w:rPr>
      </w:pPr>
      <w:r>
        <w:rPr>
          <w:rFonts w:hint="eastAsia" w:ascii="宋体" w:hAnsi="宋体"/>
        </w:rPr>
        <w:t>注：此表项目名称、暂定数量由招标人填写，编制招标控制价时，单价由招标人按有关计价规定确定：投标时，单价由投标人自主报价，按暂定数量计算合价计入投标总价中。结算时，按承发包双方确认的实际数量计算合价。</w:t>
      </w:r>
    </w:p>
    <w:p w14:paraId="34716DB9">
      <w:pPr>
        <w:spacing w:line="300" w:lineRule="exact"/>
        <w:rPr>
          <w:rFonts w:hint="eastAsia" w:ascii="黑体" w:eastAsia="黑体"/>
        </w:rPr>
      </w:pPr>
    </w:p>
    <w:p w14:paraId="36E96126">
      <w:pPr>
        <w:pStyle w:val="20"/>
        <w:rPr>
          <w:rFonts w:hint="eastAsia"/>
        </w:rPr>
      </w:pPr>
      <w:bookmarkStart w:id="2600" w:name="_Toc108514186"/>
      <w:r>
        <w:rPr>
          <w:rFonts w:hint="eastAsia"/>
        </w:rPr>
        <w:t>4.12-5总承包服务费计价表</w:t>
      </w:r>
      <w:bookmarkEnd w:id="2600"/>
    </w:p>
    <w:p w14:paraId="7D85D49D">
      <w:pPr>
        <w:spacing w:before="120" w:beforeLines="50" w:after="120" w:afterLines="50"/>
        <w:jc w:val="center"/>
        <w:rPr>
          <w:rFonts w:hint="eastAsia" w:ascii="黑体" w:eastAsia="黑体"/>
          <w:sz w:val="28"/>
          <w:szCs w:val="28"/>
        </w:rPr>
      </w:pPr>
    </w:p>
    <w:p w14:paraId="171937A6">
      <w:pPr>
        <w:spacing w:before="120" w:beforeLines="50" w:after="120" w:afterLines="50"/>
        <w:jc w:val="center"/>
        <w:rPr>
          <w:rFonts w:ascii="黑体" w:eastAsia="黑体"/>
          <w:sz w:val="28"/>
          <w:szCs w:val="28"/>
        </w:rPr>
      </w:pPr>
      <w:r>
        <w:rPr>
          <w:rFonts w:hint="eastAsia" w:ascii="黑体" w:eastAsia="黑体"/>
          <w:sz w:val="28"/>
          <w:szCs w:val="28"/>
        </w:rPr>
        <w:t>总承包服务费计价表</w:t>
      </w:r>
    </w:p>
    <w:p w14:paraId="0B7079D8">
      <w:pPr>
        <w:spacing w:after="120" w:afterLines="50"/>
        <w:rPr>
          <w:rFonts w:hint="eastAsia"/>
        </w:rPr>
      </w:pPr>
      <w:r>
        <w:rPr>
          <w:rFonts w:hint="eastAsia"/>
        </w:rPr>
        <w:t>工程名称：                        标段名称：               第  页  共  页</w:t>
      </w:r>
    </w:p>
    <w:tbl>
      <w:tblPr>
        <w:tblStyle w:val="15"/>
        <w:tblW w:w="8541"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2175"/>
        <w:gridCol w:w="1080"/>
        <w:gridCol w:w="1080"/>
        <w:gridCol w:w="1164"/>
        <w:gridCol w:w="830"/>
        <w:gridCol w:w="1572"/>
      </w:tblGrid>
      <w:tr w14:paraId="3E0ECA8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noWrap w:val="0"/>
            <w:vAlign w:val="center"/>
          </w:tcPr>
          <w:p w14:paraId="022A799D">
            <w:pPr>
              <w:jc w:val="center"/>
              <w:rPr>
                <w:rFonts w:hint="eastAsia"/>
              </w:rPr>
            </w:pPr>
            <w:r>
              <w:rPr>
                <w:rFonts w:hint="eastAsia"/>
              </w:rPr>
              <w:t>序号</w:t>
            </w:r>
          </w:p>
        </w:tc>
        <w:tc>
          <w:tcPr>
            <w:tcW w:w="2175" w:type="dxa"/>
            <w:noWrap w:val="0"/>
            <w:vAlign w:val="center"/>
          </w:tcPr>
          <w:p w14:paraId="7A712721">
            <w:pPr>
              <w:jc w:val="center"/>
              <w:rPr>
                <w:rFonts w:hint="eastAsia"/>
              </w:rPr>
            </w:pPr>
            <w:r>
              <w:rPr>
                <w:rFonts w:hint="eastAsia"/>
              </w:rPr>
              <w:t>工程名称</w:t>
            </w:r>
          </w:p>
        </w:tc>
        <w:tc>
          <w:tcPr>
            <w:tcW w:w="1080" w:type="dxa"/>
            <w:tcBorders>
              <w:right w:val="single" w:color="auto" w:sz="6" w:space="0"/>
            </w:tcBorders>
            <w:noWrap w:val="0"/>
            <w:vAlign w:val="center"/>
          </w:tcPr>
          <w:p w14:paraId="70ED73A8">
            <w:pPr>
              <w:jc w:val="center"/>
              <w:rPr>
                <w:rFonts w:hint="eastAsia"/>
              </w:rPr>
            </w:pPr>
            <w:r>
              <w:rPr>
                <w:rFonts w:hint="eastAsia"/>
              </w:rPr>
              <w:t>项目价值（元）</w:t>
            </w:r>
          </w:p>
        </w:tc>
        <w:tc>
          <w:tcPr>
            <w:tcW w:w="1080" w:type="dxa"/>
            <w:tcBorders>
              <w:left w:val="single" w:color="auto" w:sz="6" w:space="0"/>
            </w:tcBorders>
            <w:noWrap w:val="0"/>
            <w:vAlign w:val="center"/>
          </w:tcPr>
          <w:p w14:paraId="11886B32">
            <w:pPr>
              <w:jc w:val="center"/>
              <w:rPr>
                <w:rFonts w:hint="eastAsia"/>
              </w:rPr>
            </w:pPr>
            <w:r>
              <w:rPr>
                <w:rFonts w:hint="eastAsia"/>
              </w:rPr>
              <w:t>服务内容</w:t>
            </w:r>
          </w:p>
        </w:tc>
        <w:tc>
          <w:tcPr>
            <w:tcW w:w="1164" w:type="dxa"/>
            <w:noWrap w:val="0"/>
            <w:vAlign w:val="center"/>
          </w:tcPr>
          <w:p w14:paraId="146100ED">
            <w:pPr>
              <w:jc w:val="center"/>
              <w:rPr>
                <w:rFonts w:hint="eastAsia"/>
              </w:rPr>
            </w:pPr>
            <w:r>
              <w:rPr>
                <w:rFonts w:hint="eastAsia"/>
              </w:rPr>
              <w:t>计算基础</w:t>
            </w:r>
          </w:p>
        </w:tc>
        <w:tc>
          <w:tcPr>
            <w:tcW w:w="830" w:type="dxa"/>
            <w:noWrap w:val="0"/>
            <w:vAlign w:val="center"/>
          </w:tcPr>
          <w:p w14:paraId="514C154F">
            <w:pPr>
              <w:jc w:val="center"/>
              <w:rPr>
                <w:rFonts w:hint="eastAsia"/>
              </w:rPr>
            </w:pPr>
            <w:r>
              <w:rPr>
                <w:rFonts w:hint="eastAsia"/>
              </w:rPr>
              <w:t>费率</w:t>
            </w:r>
            <w:r>
              <w:rPr>
                <w:rFonts w:hint="eastAsia" w:ascii="宋体" w:hAnsi="宋体"/>
              </w:rPr>
              <w:t>（%）</w:t>
            </w:r>
          </w:p>
        </w:tc>
        <w:tc>
          <w:tcPr>
            <w:tcW w:w="1572" w:type="dxa"/>
            <w:noWrap w:val="0"/>
            <w:vAlign w:val="center"/>
          </w:tcPr>
          <w:p w14:paraId="68BCF22C">
            <w:pPr>
              <w:jc w:val="center"/>
              <w:rPr>
                <w:rFonts w:hint="eastAsia"/>
              </w:rPr>
            </w:pPr>
            <w:r>
              <w:rPr>
                <w:rFonts w:hint="eastAsia"/>
              </w:rPr>
              <w:t>金额（元）</w:t>
            </w:r>
          </w:p>
        </w:tc>
      </w:tr>
      <w:tr w14:paraId="650C747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noWrap w:val="0"/>
            <w:vAlign w:val="center"/>
          </w:tcPr>
          <w:p w14:paraId="285C8F38">
            <w:pPr>
              <w:jc w:val="center"/>
              <w:rPr>
                <w:rFonts w:hint="eastAsia" w:ascii="黑体" w:eastAsia="黑体"/>
              </w:rPr>
            </w:pPr>
            <w:r>
              <w:rPr>
                <w:rFonts w:hint="eastAsia" w:ascii="黑体" w:eastAsia="黑体"/>
              </w:rPr>
              <w:t>1</w:t>
            </w:r>
          </w:p>
        </w:tc>
        <w:tc>
          <w:tcPr>
            <w:tcW w:w="2175" w:type="dxa"/>
            <w:noWrap w:val="0"/>
            <w:vAlign w:val="center"/>
          </w:tcPr>
          <w:p w14:paraId="7489069D">
            <w:pPr>
              <w:rPr>
                <w:rFonts w:hint="eastAsia"/>
              </w:rPr>
            </w:pPr>
            <w:r>
              <w:rPr>
                <w:rFonts w:hint="eastAsia"/>
              </w:rPr>
              <w:t>发包人发包专业工程</w:t>
            </w:r>
          </w:p>
        </w:tc>
        <w:tc>
          <w:tcPr>
            <w:tcW w:w="1080" w:type="dxa"/>
            <w:tcBorders>
              <w:right w:val="single" w:color="auto" w:sz="6" w:space="0"/>
            </w:tcBorders>
            <w:noWrap w:val="0"/>
            <w:vAlign w:val="center"/>
          </w:tcPr>
          <w:p w14:paraId="31B91602">
            <w:pPr>
              <w:jc w:val="center"/>
              <w:rPr>
                <w:rFonts w:hint="eastAsia"/>
              </w:rPr>
            </w:pPr>
          </w:p>
        </w:tc>
        <w:tc>
          <w:tcPr>
            <w:tcW w:w="1080" w:type="dxa"/>
            <w:tcBorders>
              <w:left w:val="single" w:color="auto" w:sz="6" w:space="0"/>
            </w:tcBorders>
            <w:noWrap w:val="0"/>
            <w:vAlign w:val="center"/>
          </w:tcPr>
          <w:p w14:paraId="6D11DC3B">
            <w:pPr>
              <w:jc w:val="center"/>
              <w:rPr>
                <w:rFonts w:hint="eastAsia"/>
              </w:rPr>
            </w:pPr>
          </w:p>
        </w:tc>
        <w:tc>
          <w:tcPr>
            <w:tcW w:w="1164" w:type="dxa"/>
            <w:noWrap w:val="0"/>
            <w:vAlign w:val="center"/>
          </w:tcPr>
          <w:p w14:paraId="6D1B7322">
            <w:pPr>
              <w:jc w:val="center"/>
              <w:rPr>
                <w:rFonts w:hint="eastAsia"/>
              </w:rPr>
            </w:pPr>
          </w:p>
        </w:tc>
        <w:tc>
          <w:tcPr>
            <w:tcW w:w="830" w:type="dxa"/>
            <w:noWrap w:val="0"/>
            <w:vAlign w:val="center"/>
          </w:tcPr>
          <w:p w14:paraId="6DA4CA10">
            <w:pPr>
              <w:jc w:val="center"/>
              <w:rPr>
                <w:rFonts w:hint="eastAsia"/>
              </w:rPr>
            </w:pPr>
          </w:p>
        </w:tc>
        <w:tc>
          <w:tcPr>
            <w:tcW w:w="1572" w:type="dxa"/>
            <w:noWrap w:val="0"/>
            <w:vAlign w:val="center"/>
          </w:tcPr>
          <w:p w14:paraId="4614F15E">
            <w:pPr>
              <w:jc w:val="center"/>
              <w:rPr>
                <w:rFonts w:hint="eastAsia"/>
              </w:rPr>
            </w:pPr>
          </w:p>
        </w:tc>
      </w:tr>
      <w:tr w14:paraId="1CABC06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bottom w:val="single" w:color="auto" w:sz="6" w:space="0"/>
            </w:tcBorders>
            <w:noWrap w:val="0"/>
            <w:vAlign w:val="center"/>
          </w:tcPr>
          <w:p w14:paraId="4F6AB95F">
            <w:pPr>
              <w:jc w:val="center"/>
              <w:rPr>
                <w:rFonts w:hint="eastAsia" w:ascii="黑体" w:eastAsia="黑体"/>
              </w:rPr>
            </w:pPr>
            <w:r>
              <w:rPr>
                <w:rFonts w:hint="eastAsia" w:ascii="黑体" w:eastAsia="黑体"/>
              </w:rPr>
              <w:t>2</w:t>
            </w:r>
          </w:p>
        </w:tc>
        <w:tc>
          <w:tcPr>
            <w:tcW w:w="2175" w:type="dxa"/>
            <w:noWrap w:val="0"/>
            <w:vAlign w:val="center"/>
          </w:tcPr>
          <w:p w14:paraId="4DFE3115">
            <w:pPr>
              <w:rPr>
                <w:rFonts w:hint="eastAsia"/>
              </w:rPr>
            </w:pPr>
            <w:r>
              <w:rPr>
                <w:rFonts w:hint="eastAsia"/>
              </w:rPr>
              <w:t>发包人提供材料</w:t>
            </w:r>
          </w:p>
        </w:tc>
        <w:tc>
          <w:tcPr>
            <w:tcW w:w="1080" w:type="dxa"/>
            <w:tcBorders>
              <w:right w:val="single" w:color="auto" w:sz="6" w:space="0"/>
            </w:tcBorders>
            <w:noWrap w:val="0"/>
            <w:vAlign w:val="center"/>
          </w:tcPr>
          <w:p w14:paraId="494DABB2">
            <w:pPr>
              <w:jc w:val="center"/>
              <w:rPr>
                <w:rFonts w:hint="eastAsia"/>
              </w:rPr>
            </w:pPr>
          </w:p>
        </w:tc>
        <w:tc>
          <w:tcPr>
            <w:tcW w:w="1080" w:type="dxa"/>
            <w:tcBorders>
              <w:left w:val="single" w:color="auto" w:sz="6" w:space="0"/>
            </w:tcBorders>
            <w:noWrap w:val="0"/>
            <w:vAlign w:val="center"/>
          </w:tcPr>
          <w:p w14:paraId="29C873AA">
            <w:pPr>
              <w:jc w:val="center"/>
              <w:rPr>
                <w:rFonts w:hint="eastAsia"/>
              </w:rPr>
            </w:pPr>
          </w:p>
        </w:tc>
        <w:tc>
          <w:tcPr>
            <w:tcW w:w="1164" w:type="dxa"/>
            <w:noWrap w:val="0"/>
            <w:vAlign w:val="center"/>
          </w:tcPr>
          <w:p w14:paraId="234BCA28">
            <w:pPr>
              <w:jc w:val="center"/>
              <w:rPr>
                <w:rFonts w:hint="eastAsia"/>
              </w:rPr>
            </w:pPr>
          </w:p>
        </w:tc>
        <w:tc>
          <w:tcPr>
            <w:tcW w:w="830" w:type="dxa"/>
            <w:noWrap w:val="0"/>
            <w:vAlign w:val="center"/>
          </w:tcPr>
          <w:p w14:paraId="63AA6FBF">
            <w:pPr>
              <w:jc w:val="center"/>
              <w:rPr>
                <w:rFonts w:hint="eastAsia"/>
              </w:rPr>
            </w:pPr>
          </w:p>
        </w:tc>
        <w:tc>
          <w:tcPr>
            <w:tcW w:w="1572" w:type="dxa"/>
            <w:noWrap w:val="0"/>
            <w:vAlign w:val="center"/>
          </w:tcPr>
          <w:p w14:paraId="512F1D89">
            <w:pPr>
              <w:jc w:val="center"/>
              <w:rPr>
                <w:rFonts w:hint="eastAsia"/>
              </w:rPr>
            </w:pPr>
          </w:p>
        </w:tc>
      </w:tr>
      <w:tr w14:paraId="6270178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tcBorders>
              <w:top w:val="single" w:color="auto" w:sz="6" w:space="0"/>
            </w:tcBorders>
            <w:noWrap w:val="0"/>
            <w:vAlign w:val="center"/>
          </w:tcPr>
          <w:p w14:paraId="0338C284">
            <w:pPr>
              <w:jc w:val="center"/>
              <w:rPr>
                <w:rFonts w:hint="eastAsia" w:ascii="黑体" w:eastAsia="黑体"/>
              </w:rPr>
            </w:pPr>
          </w:p>
        </w:tc>
        <w:tc>
          <w:tcPr>
            <w:tcW w:w="2175" w:type="dxa"/>
            <w:noWrap w:val="0"/>
            <w:vAlign w:val="center"/>
          </w:tcPr>
          <w:p w14:paraId="789DA09D">
            <w:pPr>
              <w:jc w:val="center"/>
              <w:rPr>
                <w:rFonts w:hint="eastAsia"/>
              </w:rPr>
            </w:pPr>
          </w:p>
        </w:tc>
        <w:tc>
          <w:tcPr>
            <w:tcW w:w="1080" w:type="dxa"/>
            <w:tcBorders>
              <w:right w:val="single" w:color="auto" w:sz="6" w:space="0"/>
            </w:tcBorders>
            <w:noWrap w:val="0"/>
            <w:vAlign w:val="center"/>
          </w:tcPr>
          <w:p w14:paraId="36BD67A8">
            <w:pPr>
              <w:jc w:val="center"/>
              <w:rPr>
                <w:rFonts w:hint="eastAsia"/>
              </w:rPr>
            </w:pPr>
          </w:p>
        </w:tc>
        <w:tc>
          <w:tcPr>
            <w:tcW w:w="1080" w:type="dxa"/>
            <w:tcBorders>
              <w:left w:val="single" w:color="auto" w:sz="6" w:space="0"/>
            </w:tcBorders>
            <w:noWrap w:val="0"/>
            <w:vAlign w:val="center"/>
          </w:tcPr>
          <w:p w14:paraId="2F17B724">
            <w:pPr>
              <w:jc w:val="center"/>
              <w:rPr>
                <w:rFonts w:hint="eastAsia"/>
              </w:rPr>
            </w:pPr>
          </w:p>
        </w:tc>
        <w:tc>
          <w:tcPr>
            <w:tcW w:w="1164" w:type="dxa"/>
            <w:noWrap w:val="0"/>
            <w:vAlign w:val="center"/>
          </w:tcPr>
          <w:p w14:paraId="1FA1B5F4">
            <w:pPr>
              <w:jc w:val="center"/>
              <w:rPr>
                <w:rFonts w:hint="eastAsia"/>
              </w:rPr>
            </w:pPr>
          </w:p>
        </w:tc>
        <w:tc>
          <w:tcPr>
            <w:tcW w:w="830" w:type="dxa"/>
            <w:noWrap w:val="0"/>
            <w:vAlign w:val="center"/>
          </w:tcPr>
          <w:p w14:paraId="01AD20C5">
            <w:pPr>
              <w:jc w:val="center"/>
              <w:rPr>
                <w:rFonts w:hint="eastAsia"/>
              </w:rPr>
            </w:pPr>
          </w:p>
        </w:tc>
        <w:tc>
          <w:tcPr>
            <w:tcW w:w="1572" w:type="dxa"/>
            <w:noWrap w:val="0"/>
            <w:vAlign w:val="center"/>
          </w:tcPr>
          <w:p w14:paraId="4516F00F">
            <w:pPr>
              <w:jc w:val="center"/>
              <w:rPr>
                <w:rFonts w:hint="eastAsia"/>
              </w:rPr>
            </w:pPr>
          </w:p>
        </w:tc>
      </w:tr>
      <w:tr w14:paraId="16E8D0D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noWrap w:val="0"/>
            <w:vAlign w:val="center"/>
          </w:tcPr>
          <w:p w14:paraId="15FF98F9">
            <w:pPr>
              <w:jc w:val="center"/>
              <w:rPr>
                <w:rFonts w:hint="eastAsia" w:ascii="黑体" w:eastAsia="黑体"/>
              </w:rPr>
            </w:pPr>
          </w:p>
        </w:tc>
        <w:tc>
          <w:tcPr>
            <w:tcW w:w="2175" w:type="dxa"/>
            <w:noWrap w:val="0"/>
            <w:vAlign w:val="center"/>
          </w:tcPr>
          <w:p w14:paraId="3F7E1A86">
            <w:pPr>
              <w:jc w:val="center"/>
              <w:rPr>
                <w:rFonts w:hint="eastAsia"/>
              </w:rPr>
            </w:pPr>
          </w:p>
        </w:tc>
        <w:tc>
          <w:tcPr>
            <w:tcW w:w="1080" w:type="dxa"/>
            <w:tcBorders>
              <w:right w:val="single" w:color="auto" w:sz="6" w:space="0"/>
            </w:tcBorders>
            <w:noWrap w:val="0"/>
            <w:vAlign w:val="center"/>
          </w:tcPr>
          <w:p w14:paraId="6A335F83">
            <w:pPr>
              <w:jc w:val="center"/>
              <w:rPr>
                <w:rFonts w:hint="eastAsia"/>
              </w:rPr>
            </w:pPr>
          </w:p>
        </w:tc>
        <w:tc>
          <w:tcPr>
            <w:tcW w:w="1080" w:type="dxa"/>
            <w:tcBorders>
              <w:left w:val="single" w:color="auto" w:sz="6" w:space="0"/>
            </w:tcBorders>
            <w:noWrap w:val="0"/>
            <w:vAlign w:val="center"/>
          </w:tcPr>
          <w:p w14:paraId="523525FA">
            <w:pPr>
              <w:jc w:val="center"/>
              <w:rPr>
                <w:rFonts w:hint="eastAsia"/>
              </w:rPr>
            </w:pPr>
          </w:p>
        </w:tc>
        <w:tc>
          <w:tcPr>
            <w:tcW w:w="1164" w:type="dxa"/>
            <w:noWrap w:val="0"/>
            <w:vAlign w:val="center"/>
          </w:tcPr>
          <w:p w14:paraId="1A4D090D">
            <w:pPr>
              <w:jc w:val="center"/>
              <w:rPr>
                <w:rFonts w:hint="eastAsia"/>
              </w:rPr>
            </w:pPr>
          </w:p>
        </w:tc>
        <w:tc>
          <w:tcPr>
            <w:tcW w:w="830" w:type="dxa"/>
            <w:noWrap w:val="0"/>
            <w:vAlign w:val="center"/>
          </w:tcPr>
          <w:p w14:paraId="4B542BB1">
            <w:pPr>
              <w:jc w:val="center"/>
              <w:rPr>
                <w:rFonts w:hint="eastAsia"/>
              </w:rPr>
            </w:pPr>
          </w:p>
        </w:tc>
        <w:tc>
          <w:tcPr>
            <w:tcW w:w="1572" w:type="dxa"/>
            <w:noWrap w:val="0"/>
            <w:vAlign w:val="center"/>
          </w:tcPr>
          <w:p w14:paraId="4A05D81A">
            <w:pPr>
              <w:jc w:val="center"/>
              <w:rPr>
                <w:rFonts w:hint="eastAsia"/>
              </w:rPr>
            </w:pPr>
          </w:p>
        </w:tc>
      </w:tr>
      <w:tr w14:paraId="26A2677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noWrap w:val="0"/>
            <w:vAlign w:val="center"/>
          </w:tcPr>
          <w:p w14:paraId="2A93C799">
            <w:pPr>
              <w:jc w:val="center"/>
              <w:rPr>
                <w:rFonts w:hint="eastAsia" w:ascii="黑体" w:eastAsia="黑体"/>
              </w:rPr>
            </w:pPr>
          </w:p>
        </w:tc>
        <w:tc>
          <w:tcPr>
            <w:tcW w:w="2175" w:type="dxa"/>
            <w:noWrap w:val="0"/>
            <w:vAlign w:val="center"/>
          </w:tcPr>
          <w:p w14:paraId="43B6C5BB">
            <w:pPr>
              <w:jc w:val="center"/>
              <w:rPr>
                <w:rFonts w:hint="eastAsia"/>
              </w:rPr>
            </w:pPr>
          </w:p>
        </w:tc>
        <w:tc>
          <w:tcPr>
            <w:tcW w:w="1080" w:type="dxa"/>
            <w:tcBorders>
              <w:right w:val="single" w:color="auto" w:sz="6" w:space="0"/>
            </w:tcBorders>
            <w:noWrap w:val="0"/>
            <w:vAlign w:val="center"/>
          </w:tcPr>
          <w:p w14:paraId="23B76F03">
            <w:pPr>
              <w:jc w:val="center"/>
              <w:rPr>
                <w:rFonts w:hint="eastAsia"/>
              </w:rPr>
            </w:pPr>
          </w:p>
        </w:tc>
        <w:tc>
          <w:tcPr>
            <w:tcW w:w="1080" w:type="dxa"/>
            <w:tcBorders>
              <w:left w:val="single" w:color="auto" w:sz="6" w:space="0"/>
            </w:tcBorders>
            <w:noWrap w:val="0"/>
            <w:vAlign w:val="center"/>
          </w:tcPr>
          <w:p w14:paraId="08E291D9">
            <w:pPr>
              <w:jc w:val="center"/>
              <w:rPr>
                <w:rFonts w:hint="eastAsia"/>
              </w:rPr>
            </w:pPr>
          </w:p>
        </w:tc>
        <w:tc>
          <w:tcPr>
            <w:tcW w:w="1164" w:type="dxa"/>
            <w:noWrap w:val="0"/>
            <w:vAlign w:val="center"/>
          </w:tcPr>
          <w:p w14:paraId="19AA6E89">
            <w:pPr>
              <w:jc w:val="center"/>
              <w:rPr>
                <w:rFonts w:hint="eastAsia"/>
              </w:rPr>
            </w:pPr>
          </w:p>
        </w:tc>
        <w:tc>
          <w:tcPr>
            <w:tcW w:w="830" w:type="dxa"/>
            <w:noWrap w:val="0"/>
            <w:vAlign w:val="center"/>
          </w:tcPr>
          <w:p w14:paraId="4F10F3E5">
            <w:pPr>
              <w:jc w:val="center"/>
              <w:rPr>
                <w:rFonts w:hint="eastAsia"/>
              </w:rPr>
            </w:pPr>
          </w:p>
        </w:tc>
        <w:tc>
          <w:tcPr>
            <w:tcW w:w="1572" w:type="dxa"/>
            <w:noWrap w:val="0"/>
            <w:vAlign w:val="center"/>
          </w:tcPr>
          <w:p w14:paraId="24628B31">
            <w:pPr>
              <w:jc w:val="center"/>
              <w:rPr>
                <w:rFonts w:hint="eastAsia"/>
              </w:rPr>
            </w:pPr>
          </w:p>
        </w:tc>
      </w:tr>
      <w:tr w14:paraId="008F6BE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noWrap w:val="0"/>
            <w:vAlign w:val="center"/>
          </w:tcPr>
          <w:p w14:paraId="30A52474">
            <w:pPr>
              <w:jc w:val="center"/>
              <w:rPr>
                <w:rFonts w:hint="eastAsia" w:ascii="黑体" w:eastAsia="黑体"/>
              </w:rPr>
            </w:pPr>
          </w:p>
        </w:tc>
        <w:tc>
          <w:tcPr>
            <w:tcW w:w="2175" w:type="dxa"/>
            <w:noWrap w:val="0"/>
            <w:vAlign w:val="center"/>
          </w:tcPr>
          <w:p w14:paraId="6154A7E3">
            <w:pPr>
              <w:jc w:val="center"/>
              <w:rPr>
                <w:rFonts w:hint="eastAsia"/>
              </w:rPr>
            </w:pPr>
          </w:p>
        </w:tc>
        <w:tc>
          <w:tcPr>
            <w:tcW w:w="1080" w:type="dxa"/>
            <w:tcBorders>
              <w:right w:val="single" w:color="auto" w:sz="6" w:space="0"/>
            </w:tcBorders>
            <w:noWrap w:val="0"/>
            <w:vAlign w:val="center"/>
          </w:tcPr>
          <w:p w14:paraId="62EFFAD5">
            <w:pPr>
              <w:jc w:val="center"/>
              <w:rPr>
                <w:rFonts w:hint="eastAsia"/>
              </w:rPr>
            </w:pPr>
          </w:p>
        </w:tc>
        <w:tc>
          <w:tcPr>
            <w:tcW w:w="1080" w:type="dxa"/>
            <w:tcBorders>
              <w:left w:val="single" w:color="auto" w:sz="6" w:space="0"/>
            </w:tcBorders>
            <w:noWrap w:val="0"/>
            <w:vAlign w:val="center"/>
          </w:tcPr>
          <w:p w14:paraId="2A55B3D8">
            <w:pPr>
              <w:jc w:val="center"/>
              <w:rPr>
                <w:rFonts w:hint="eastAsia"/>
              </w:rPr>
            </w:pPr>
          </w:p>
        </w:tc>
        <w:tc>
          <w:tcPr>
            <w:tcW w:w="1164" w:type="dxa"/>
            <w:noWrap w:val="0"/>
            <w:vAlign w:val="center"/>
          </w:tcPr>
          <w:p w14:paraId="5A7F2D06">
            <w:pPr>
              <w:jc w:val="center"/>
              <w:rPr>
                <w:rFonts w:hint="eastAsia"/>
              </w:rPr>
            </w:pPr>
          </w:p>
        </w:tc>
        <w:tc>
          <w:tcPr>
            <w:tcW w:w="830" w:type="dxa"/>
            <w:noWrap w:val="0"/>
            <w:vAlign w:val="center"/>
          </w:tcPr>
          <w:p w14:paraId="05E5465A">
            <w:pPr>
              <w:jc w:val="center"/>
              <w:rPr>
                <w:rFonts w:hint="eastAsia"/>
              </w:rPr>
            </w:pPr>
          </w:p>
        </w:tc>
        <w:tc>
          <w:tcPr>
            <w:tcW w:w="1572" w:type="dxa"/>
            <w:noWrap w:val="0"/>
            <w:vAlign w:val="center"/>
          </w:tcPr>
          <w:p w14:paraId="442F026E">
            <w:pPr>
              <w:jc w:val="center"/>
              <w:rPr>
                <w:rFonts w:hint="eastAsia"/>
              </w:rPr>
            </w:pPr>
          </w:p>
        </w:tc>
      </w:tr>
      <w:tr w14:paraId="4154D6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noWrap w:val="0"/>
            <w:vAlign w:val="center"/>
          </w:tcPr>
          <w:p w14:paraId="2732BBD6">
            <w:pPr>
              <w:jc w:val="center"/>
              <w:rPr>
                <w:rFonts w:hint="eastAsia"/>
              </w:rPr>
            </w:pPr>
          </w:p>
        </w:tc>
        <w:tc>
          <w:tcPr>
            <w:tcW w:w="2175" w:type="dxa"/>
            <w:noWrap w:val="0"/>
            <w:vAlign w:val="center"/>
          </w:tcPr>
          <w:p w14:paraId="730DBFA1">
            <w:pPr>
              <w:jc w:val="center"/>
              <w:rPr>
                <w:rFonts w:hint="eastAsia"/>
              </w:rPr>
            </w:pPr>
          </w:p>
        </w:tc>
        <w:tc>
          <w:tcPr>
            <w:tcW w:w="1080" w:type="dxa"/>
            <w:tcBorders>
              <w:right w:val="single" w:color="auto" w:sz="6" w:space="0"/>
            </w:tcBorders>
            <w:noWrap w:val="0"/>
            <w:vAlign w:val="center"/>
          </w:tcPr>
          <w:p w14:paraId="28DD53BC">
            <w:pPr>
              <w:jc w:val="center"/>
              <w:rPr>
                <w:rFonts w:hint="eastAsia"/>
              </w:rPr>
            </w:pPr>
          </w:p>
        </w:tc>
        <w:tc>
          <w:tcPr>
            <w:tcW w:w="1080" w:type="dxa"/>
            <w:tcBorders>
              <w:left w:val="single" w:color="auto" w:sz="6" w:space="0"/>
            </w:tcBorders>
            <w:noWrap w:val="0"/>
            <w:vAlign w:val="center"/>
          </w:tcPr>
          <w:p w14:paraId="1CC01E2B">
            <w:pPr>
              <w:jc w:val="center"/>
              <w:rPr>
                <w:rFonts w:hint="eastAsia"/>
              </w:rPr>
            </w:pPr>
          </w:p>
        </w:tc>
        <w:tc>
          <w:tcPr>
            <w:tcW w:w="1164" w:type="dxa"/>
            <w:noWrap w:val="0"/>
            <w:vAlign w:val="center"/>
          </w:tcPr>
          <w:p w14:paraId="241EF7F7">
            <w:pPr>
              <w:jc w:val="center"/>
              <w:rPr>
                <w:rFonts w:hint="eastAsia"/>
              </w:rPr>
            </w:pPr>
          </w:p>
        </w:tc>
        <w:tc>
          <w:tcPr>
            <w:tcW w:w="830" w:type="dxa"/>
            <w:noWrap w:val="0"/>
            <w:vAlign w:val="center"/>
          </w:tcPr>
          <w:p w14:paraId="7D882BF1">
            <w:pPr>
              <w:jc w:val="center"/>
              <w:rPr>
                <w:rFonts w:hint="eastAsia"/>
              </w:rPr>
            </w:pPr>
          </w:p>
        </w:tc>
        <w:tc>
          <w:tcPr>
            <w:tcW w:w="1572" w:type="dxa"/>
            <w:noWrap w:val="0"/>
            <w:vAlign w:val="center"/>
          </w:tcPr>
          <w:p w14:paraId="15E7B5E0">
            <w:pPr>
              <w:jc w:val="center"/>
              <w:rPr>
                <w:rFonts w:hint="eastAsia"/>
              </w:rPr>
            </w:pPr>
          </w:p>
        </w:tc>
      </w:tr>
      <w:tr w14:paraId="2A82A17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noWrap w:val="0"/>
            <w:vAlign w:val="center"/>
          </w:tcPr>
          <w:p w14:paraId="5302A006">
            <w:pPr>
              <w:jc w:val="center"/>
              <w:rPr>
                <w:rFonts w:hint="eastAsia"/>
              </w:rPr>
            </w:pPr>
          </w:p>
        </w:tc>
        <w:tc>
          <w:tcPr>
            <w:tcW w:w="2175" w:type="dxa"/>
            <w:noWrap w:val="0"/>
            <w:vAlign w:val="center"/>
          </w:tcPr>
          <w:p w14:paraId="0E5D2A25">
            <w:pPr>
              <w:jc w:val="center"/>
              <w:rPr>
                <w:rFonts w:hint="eastAsia"/>
              </w:rPr>
            </w:pPr>
          </w:p>
        </w:tc>
        <w:tc>
          <w:tcPr>
            <w:tcW w:w="1080" w:type="dxa"/>
            <w:tcBorders>
              <w:right w:val="single" w:color="auto" w:sz="6" w:space="0"/>
            </w:tcBorders>
            <w:noWrap w:val="0"/>
            <w:vAlign w:val="center"/>
          </w:tcPr>
          <w:p w14:paraId="41C12C39">
            <w:pPr>
              <w:jc w:val="center"/>
              <w:rPr>
                <w:rFonts w:hint="eastAsia"/>
              </w:rPr>
            </w:pPr>
          </w:p>
        </w:tc>
        <w:tc>
          <w:tcPr>
            <w:tcW w:w="1080" w:type="dxa"/>
            <w:tcBorders>
              <w:left w:val="single" w:color="auto" w:sz="6" w:space="0"/>
            </w:tcBorders>
            <w:noWrap w:val="0"/>
            <w:vAlign w:val="center"/>
          </w:tcPr>
          <w:p w14:paraId="75DB9F51">
            <w:pPr>
              <w:jc w:val="center"/>
              <w:rPr>
                <w:rFonts w:hint="eastAsia"/>
              </w:rPr>
            </w:pPr>
          </w:p>
        </w:tc>
        <w:tc>
          <w:tcPr>
            <w:tcW w:w="1164" w:type="dxa"/>
            <w:noWrap w:val="0"/>
            <w:vAlign w:val="center"/>
          </w:tcPr>
          <w:p w14:paraId="6191D805">
            <w:pPr>
              <w:jc w:val="center"/>
              <w:rPr>
                <w:rFonts w:hint="eastAsia"/>
              </w:rPr>
            </w:pPr>
          </w:p>
        </w:tc>
        <w:tc>
          <w:tcPr>
            <w:tcW w:w="830" w:type="dxa"/>
            <w:noWrap w:val="0"/>
            <w:vAlign w:val="center"/>
          </w:tcPr>
          <w:p w14:paraId="5F09E072">
            <w:pPr>
              <w:jc w:val="center"/>
              <w:rPr>
                <w:rFonts w:hint="eastAsia"/>
              </w:rPr>
            </w:pPr>
          </w:p>
        </w:tc>
        <w:tc>
          <w:tcPr>
            <w:tcW w:w="1572" w:type="dxa"/>
            <w:noWrap w:val="0"/>
            <w:vAlign w:val="center"/>
          </w:tcPr>
          <w:p w14:paraId="2962C749">
            <w:pPr>
              <w:jc w:val="center"/>
              <w:rPr>
                <w:rFonts w:hint="eastAsia"/>
              </w:rPr>
            </w:pPr>
          </w:p>
        </w:tc>
      </w:tr>
      <w:tr w14:paraId="2B137C4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noWrap w:val="0"/>
            <w:vAlign w:val="center"/>
          </w:tcPr>
          <w:p w14:paraId="3E62063D">
            <w:pPr>
              <w:jc w:val="center"/>
              <w:rPr>
                <w:rFonts w:hint="eastAsia"/>
              </w:rPr>
            </w:pPr>
          </w:p>
        </w:tc>
        <w:tc>
          <w:tcPr>
            <w:tcW w:w="2175" w:type="dxa"/>
            <w:noWrap w:val="0"/>
            <w:vAlign w:val="center"/>
          </w:tcPr>
          <w:p w14:paraId="485B49F0">
            <w:pPr>
              <w:jc w:val="center"/>
              <w:rPr>
                <w:rFonts w:hint="eastAsia"/>
              </w:rPr>
            </w:pPr>
          </w:p>
        </w:tc>
        <w:tc>
          <w:tcPr>
            <w:tcW w:w="1080" w:type="dxa"/>
            <w:tcBorders>
              <w:right w:val="single" w:color="auto" w:sz="6" w:space="0"/>
            </w:tcBorders>
            <w:noWrap w:val="0"/>
            <w:vAlign w:val="center"/>
          </w:tcPr>
          <w:p w14:paraId="1C6B742F">
            <w:pPr>
              <w:jc w:val="center"/>
              <w:rPr>
                <w:rFonts w:hint="eastAsia"/>
              </w:rPr>
            </w:pPr>
          </w:p>
        </w:tc>
        <w:tc>
          <w:tcPr>
            <w:tcW w:w="1080" w:type="dxa"/>
            <w:tcBorders>
              <w:left w:val="single" w:color="auto" w:sz="6" w:space="0"/>
            </w:tcBorders>
            <w:noWrap w:val="0"/>
            <w:vAlign w:val="center"/>
          </w:tcPr>
          <w:p w14:paraId="3F0256D3">
            <w:pPr>
              <w:jc w:val="center"/>
              <w:rPr>
                <w:rFonts w:hint="eastAsia"/>
              </w:rPr>
            </w:pPr>
          </w:p>
        </w:tc>
        <w:tc>
          <w:tcPr>
            <w:tcW w:w="1164" w:type="dxa"/>
            <w:noWrap w:val="0"/>
            <w:vAlign w:val="center"/>
          </w:tcPr>
          <w:p w14:paraId="2DDA1EB8">
            <w:pPr>
              <w:jc w:val="center"/>
              <w:rPr>
                <w:rFonts w:hint="eastAsia"/>
              </w:rPr>
            </w:pPr>
          </w:p>
        </w:tc>
        <w:tc>
          <w:tcPr>
            <w:tcW w:w="830" w:type="dxa"/>
            <w:noWrap w:val="0"/>
            <w:vAlign w:val="center"/>
          </w:tcPr>
          <w:p w14:paraId="22ECDD82">
            <w:pPr>
              <w:jc w:val="center"/>
              <w:rPr>
                <w:rFonts w:hint="eastAsia"/>
              </w:rPr>
            </w:pPr>
          </w:p>
        </w:tc>
        <w:tc>
          <w:tcPr>
            <w:tcW w:w="1572" w:type="dxa"/>
            <w:noWrap w:val="0"/>
            <w:vAlign w:val="center"/>
          </w:tcPr>
          <w:p w14:paraId="54DBF207">
            <w:pPr>
              <w:jc w:val="center"/>
              <w:rPr>
                <w:rFonts w:hint="eastAsia"/>
              </w:rPr>
            </w:pPr>
          </w:p>
        </w:tc>
      </w:tr>
      <w:tr w14:paraId="3143FAB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40" w:type="dxa"/>
            <w:noWrap w:val="0"/>
            <w:vAlign w:val="center"/>
          </w:tcPr>
          <w:p w14:paraId="75382C51">
            <w:pPr>
              <w:jc w:val="center"/>
              <w:rPr>
                <w:rFonts w:hint="eastAsia"/>
              </w:rPr>
            </w:pPr>
          </w:p>
        </w:tc>
        <w:tc>
          <w:tcPr>
            <w:tcW w:w="2175" w:type="dxa"/>
            <w:noWrap w:val="0"/>
            <w:vAlign w:val="center"/>
          </w:tcPr>
          <w:p w14:paraId="6D770AC1">
            <w:pPr>
              <w:jc w:val="center"/>
              <w:rPr>
                <w:rFonts w:hint="eastAsia" w:ascii="宋体" w:hAnsi="宋体"/>
              </w:rPr>
            </w:pPr>
            <w:r>
              <w:rPr>
                <w:rFonts w:hint="eastAsia"/>
              </w:rPr>
              <w:t>合计</w:t>
            </w:r>
          </w:p>
        </w:tc>
        <w:tc>
          <w:tcPr>
            <w:tcW w:w="1080" w:type="dxa"/>
            <w:tcBorders>
              <w:right w:val="single" w:color="auto" w:sz="6" w:space="0"/>
            </w:tcBorders>
            <w:noWrap w:val="0"/>
            <w:vAlign w:val="center"/>
          </w:tcPr>
          <w:p w14:paraId="194F2C75">
            <w:pPr>
              <w:jc w:val="center"/>
              <w:rPr>
                <w:rFonts w:hint="eastAsia"/>
              </w:rPr>
            </w:pPr>
            <w:r>
              <w:rPr>
                <w:rFonts w:hint="eastAsia" w:ascii="宋体" w:hAnsi="宋体"/>
              </w:rPr>
              <w:t>—</w:t>
            </w:r>
          </w:p>
        </w:tc>
        <w:tc>
          <w:tcPr>
            <w:tcW w:w="1080" w:type="dxa"/>
            <w:tcBorders>
              <w:left w:val="single" w:color="auto" w:sz="6" w:space="0"/>
            </w:tcBorders>
            <w:noWrap w:val="0"/>
            <w:vAlign w:val="center"/>
          </w:tcPr>
          <w:p w14:paraId="1EDCC6CB">
            <w:pPr>
              <w:jc w:val="center"/>
              <w:rPr>
                <w:rFonts w:hint="eastAsia"/>
              </w:rPr>
            </w:pPr>
            <w:r>
              <w:rPr>
                <w:rFonts w:hint="eastAsia" w:ascii="宋体" w:hAnsi="宋体"/>
              </w:rPr>
              <w:t>—</w:t>
            </w:r>
          </w:p>
        </w:tc>
        <w:tc>
          <w:tcPr>
            <w:tcW w:w="1164" w:type="dxa"/>
            <w:noWrap w:val="0"/>
            <w:vAlign w:val="center"/>
          </w:tcPr>
          <w:p w14:paraId="4F6BA590">
            <w:pPr>
              <w:jc w:val="center"/>
              <w:rPr>
                <w:rFonts w:hint="eastAsia"/>
              </w:rPr>
            </w:pPr>
          </w:p>
        </w:tc>
        <w:tc>
          <w:tcPr>
            <w:tcW w:w="830" w:type="dxa"/>
            <w:noWrap w:val="0"/>
            <w:vAlign w:val="center"/>
          </w:tcPr>
          <w:p w14:paraId="591E4592">
            <w:pPr>
              <w:jc w:val="center"/>
              <w:rPr>
                <w:rFonts w:hint="eastAsia"/>
              </w:rPr>
            </w:pPr>
            <w:r>
              <w:rPr>
                <w:rFonts w:hint="eastAsia" w:ascii="宋体" w:hAnsi="宋体"/>
              </w:rPr>
              <w:t>—</w:t>
            </w:r>
          </w:p>
        </w:tc>
        <w:tc>
          <w:tcPr>
            <w:tcW w:w="1572" w:type="dxa"/>
            <w:noWrap w:val="0"/>
            <w:vAlign w:val="center"/>
          </w:tcPr>
          <w:p w14:paraId="2783866E">
            <w:pPr>
              <w:jc w:val="center"/>
              <w:rPr>
                <w:rFonts w:hint="eastAsia"/>
              </w:rPr>
            </w:pPr>
          </w:p>
        </w:tc>
      </w:tr>
    </w:tbl>
    <w:p w14:paraId="625D2BB1">
      <w:pPr>
        <w:spacing w:before="120" w:beforeLines="50"/>
        <w:rPr>
          <w:rFonts w:hint="eastAsia"/>
        </w:rPr>
      </w:pPr>
    </w:p>
    <w:p w14:paraId="550164CA">
      <w:pPr>
        <w:spacing w:before="120" w:beforeLines="50"/>
        <w:ind w:left="420" w:hanging="420" w:hangingChars="200"/>
        <w:rPr>
          <w:rFonts w:hint="eastAsia" w:ascii="宋体" w:hAnsi="宋体"/>
        </w:rPr>
      </w:pPr>
      <w:r>
        <w:rPr>
          <w:rFonts w:hint="eastAsia" w:ascii="宋体" w:hAnsi="宋体"/>
        </w:rPr>
        <w:t>注：此表项目名称、服务内容由招标人填写，编制招标控制价时，费率及金额由招标人按有关计价规定确定：投标时，费率及金额由投标人自主报价，计入投标总价中。</w:t>
      </w:r>
    </w:p>
    <w:p w14:paraId="53CD6277">
      <w:pPr>
        <w:pStyle w:val="20"/>
        <w:rPr>
          <w:rFonts w:hint="eastAsia"/>
        </w:rPr>
      </w:pPr>
      <w:bookmarkStart w:id="2601" w:name="_Toc108514187"/>
      <w:r>
        <w:rPr>
          <w:rFonts w:hint="eastAsia"/>
        </w:rPr>
        <w:t>4.13规费、税金项目计价表</w:t>
      </w:r>
      <w:bookmarkEnd w:id="2601"/>
    </w:p>
    <w:p w14:paraId="581D782D">
      <w:pPr>
        <w:rPr>
          <w:rFonts w:hint="eastAsia" w:ascii="黑体" w:eastAsia="黑体"/>
          <w:sz w:val="24"/>
        </w:rPr>
      </w:pPr>
    </w:p>
    <w:p w14:paraId="14AF666B">
      <w:pPr>
        <w:spacing w:before="120" w:beforeLines="50" w:after="120" w:afterLines="50"/>
        <w:jc w:val="center"/>
        <w:rPr>
          <w:rFonts w:hint="eastAsia" w:ascii="黑体" w:eastAsia="黑体"/>
          <w:sz w:val="28"/>
          <w:szCs w:val="28"/>
        </w:rPr>
      </w:pPr>
      <w:r>
        <w:rPr>
          <w:rFonts w:hint="eastAsia" w:ascii="黑体" w:eastAsia="黑体"/>
          <w:sz w:val="28"/>
          <w:szCs w:val="28"/>
        </w:rPr>
        <w:t>规费、税金项目计价表</w:t>
      </w:r>
    </w:p>
    <w:p w14:paraId="1A6C0D1A">
      <w:pPr>
        <w:spacing w:before="120" w:beforeLines="50" w:after="120" w:afterLines="50"/>
        <w:jc w:val="center"/>
        <w:rPr>
          <w:rFonts w:ascii="黑体" w:eastAsia="黑体"/>
          <w:sz w:val="28"/>
          <w:szCs w:val="28"/>
        </w:rPr>
      </w:pPr>
    </w:p>
    <w:p w14:paraId="1197B5AE">
      <w:pPr>
        <w:rPr>
          <w:rFonts w:hint="eastAsia"/>
        </w:rPr>
      </w:pPr>
      <w:r>
        <w:rPr>
          <w:rFonts w:hint="eastAsia"/>
        </w:rPr>
        <w:t>工程名称：                        标段名称：                 第  页  共  页</w:t>
      </w:r>
    </w:p>
    <w:tbl>
      <w:tblPr>
        <w:tblStyle w:val="15"/>
        <w:tblW w:w="852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790"/>
        <w:gridCol w:w="1790"/>
        <w:gridCol w:w="1226"/>
        <w:gridCol w:w="1365"/>
        <w:gridCol w:w="1373"/>
      </w:tblGrid>
      <w:tr w14:paraId="2DE1778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84" w:type="dxa"/>
            <w:noWrap w:val="0"/>
            <w:vAlign w:val="center"/>
          </w:tcPr>
          <w:p w14:paraId="30EDDCCA">
            <w:pPr>
              <w:jc w:val="center"/>
              <w:rPr>
                <w:rFonts w:hint="eastAsia"/>
              </w:rPr>
            </w:pPr>
            <w:r>
              <w:rPr>
                <w:rFonts w:hint="eastAsia"/>
              </w:rPr>
              <w:t>序号</w:t>
            </w:r>
          </w:p>
        </w:tc>
        <w:tc>
          <w:tcPr>
            <w:tcW w:w="1790" w:type="dxa"/>
            <w:noWrap w:val="0"/>
            <w:vAlign w:val="center"/>
          </w:tcPr>
          <w:p w14:paraId="60FFBFA6">
            <w:pPr>
              <w:jc w:val="center"/>
              <w:rPr>
                <w:rFonts w:hint="eastAsia"/>
              </w:rPr>
            </w:pPr>
            <w:r>
              <w:rPr>
                <w:rFonts w:hint="eastAsia"/>
              </w:rPr>
              <w:t>项目名称</w:t>
            </w:r>
          </w:p>
        </w:tc>
        <w:tc>
          <w:tcPr>
            <w:tcW w:w="1790" w:type="dxa"/>
            <w:noWrap w:val="0"/>
            <w:vAlign w:val="center"/>
          </w:tcPr>
          <w:p w14:paraId="67F54E38">
            <w:pPr>
              <w:jc w:val="center"/>
              <w:rPr>
                <w:rFonts w:hint="eastAsia"/>
              </w:rPr>
            </w:pPr>
            <w:r>
              <w:rPr>
                <w:rFonts w:hint="eastAsia"/>
              </w:rPr>
              <w:t>计算基础</w:t>
            </w:r>
          </w:p>
        </w:tc>
        <w:tc>
          <w:tcPr>
            <w:tcW w:w="1226" w:type="dxa"/>
            <w:noWrap w:val="0"/>
            <w:vAlign w:val="center"/>
          </w:tcPr>
          <w:p w14:paraId="38748C99">
            <w:pPr>
              <w:jc w:val="center"/>
              <w:rPr>
                <w:rFonts w:hint="eastAsia"/>
              </w:rPr>
            </w:pPr>
            <w:r>
              <w:rPr>
                <w:rFonts w:hint="eastAsia"/>
              </w:rPr>
              <w:t>计算基数</w:t>
            </w:r>
          </w:p>
        </w:tc>
        <w:tc>
          <w:tcPr>
            <w:tcW w:w="1365" w:type="dxa"/>
            <w:noWrap w:val="0"/>
            <w:vAlign w:val="center"/>
          </w:tcPr>
          <w:p w14:paraId="44F45D0E">
            <w:pPr>
              <w:jc w:val="center"/>
              <w:rPr>
                <w:rFonts w:hint="eastAsia"/>
              </w:rPr>
            </w:pPr>
            <w:r>
              <w:rPr>
                <w:rFonts w:hint="eastAsia"/>
              </w:rPr>
              <w:t>费率（%）</w:t>
            </w:r>
          </w:p>
        </w:tc>
        <w:tc>
          <w:tcPr>
            <w:tcW w:w="1373" w:type="dxa"/>
            <w:noWrap w:val="0"/>
            <w:vAlign w:val="center"/>
          </w:tcPr>
          <w:p w14:paraId="3F321ED0">
            <w:pPr>
              <w:jc w:val="center"/>
              <w:rPr>
                <w:rFonts w:hint="eastAsia"/>
              </w:rPr>
            </w:pPr>
            <w:r>
              <w:rPr>
                <w:rFonts w:hint="eastAsia"/>
              </w:rPr>
              <w:t>金额（元）</w:t>
            </w:r>
          </w:p>
        </w:tc>
      </w:tr>
      <w:tr w14:paraId="0A3A4E8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984" w:type="dxa"/>
            <w:noWrap w:val="0"/>
            <w:vAlign w:val="center"/>
          </w:tcPr>
          <w:p w14:paraId="517BE2DA">
            <w:pPr>
              <w:jc w:val="center"/>
              <w:rPr>
                <w:rFonts w:hint="eastAsia" w:ascii="黑体" w:eastAsia="黑体"/>
              </w:rPr>
            </w:pPr>
            <w:r>
              <w:rPr>
                <w:rFonts w:hint="eastAsia" w:ascii="黑体" w:eastAsia="黑体"/>
              </w:rPr>
              <w:t>1</w:t>
            </w:r>
          </w:p>
        </w:tc>
        <w:tc>
          <w:tcPr>
            <w:tcW w:w="1790" w:type="dxa"/>
            <w:noWrap w:val="0"/>
            <w:vAlign w:val="center"/>
          </w:tcPr>
          <w:p w14:paraId="075F69C9">
            <w:pPr>
              <w:jc w:val="center"/>
              <w:rPr>
                <w:rFonts w:hint="eastAsia"/>
              </w:rPr>
            </w:pPr>
            <w:r>
              <w:rPr>
                <w:rFonts w:hint="eastAsia"/>
              </w:rPr>
              <w:t>规费</w:t>
            </w:r>
          </w:p>
        </w:tc>
        <w:tc>
          <w:tcPr>
            <w:tcW w:w="1790" w:type="dxa"/>
            <w:noWrap w:val="0"/>
            <w:vAlign w:val="center"/>
          </w:tcPr>
          <w:p w14:paraId="4BC216E8">
            <w:pPr>
              <w:jc w:val="center"/>
              <w:rPr>
                <w:rFonts w:hint="eastAsia"/>
              </w:rPr>
            </w:pPr>
            <w:r>
              <w:rPr>
                <w:rFonts w:hint="eastAsia"/>
              </w:rPr>
              <w:t>人工费+机械费</w:t>
            </w:r>
          </w:p>
        </w:tc>
        <w:tc>
          <w:tcPr>
            <w:tcW w:w="1226" w:type="dxa"/>
            <w:noWrap w:val="0"/>
            <w:vAlign w:val="center"/>
          </w:tcPr>
          <w:p w14:paraId="4B61056A">
            <w:pPr>
              <w:jc w:val="center"/>
              <w:rPr>
                <w:rFonts w:hint="eastAsia"/>
              </w:rPr>
            </w:pPr>
          </w:p>
        </w:tc>
        <w:tc>
          <w:tcPr>
            <w:tcW w:w="1365" w:type="dxa"/>
            <w:noWrap w:val="0"/>
            <w:vAlign w:val="center"/>
          </w:tcPr>
          <w:p w14:paraId="446A75B4">
            <w:pPr>
              <w:jc w:val="center"/>
              <w:rPr>
                <w:rFonts w:hint="eastAsia"/>
              </w:rPr>
            </w:pPr>
          </w:p>
        </w:tc>
        <w:tc>
          <w:tcPr>
            <w:tcW w:w="1373" w:type="dxa"/>
            <w:noWrap w:val="0"/>
            <w:vAlign w:val="center"/>
          </w:tcPr>
          <w:p w14:paraId="5C9FA9F1">
            <w:pPr>
              <w:jc w:val="center"/>
              <w:rPr>
                <w:rFonts w:hint="eastAsia"/>
              </w:rPr>
            </w:pPr>
          </w:p>
        </w:tc>
      </w:tr>
      <w:tr w14:paraId="6143A42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84" w:type="dxa"/>
            <w:tcBorders>
              <w:bottom w:val="single" w:color="auto" w:sz="6" w:space="0"/>
            </w:tcBorders>
            <w:noWrap w:val="0"/>
            <w:vAlign w:val="center"/>
          </w:tcPr>
          <w:p w14:paraId="6297E5FF">
            <w:pPr>
              <w:jc w:val="center"/>
              <w:rPr>
                <w:rFonts w:hint="eastAsia" w:ascii="黑体" w:eastAsia="黑体"/>
              </w:rPr>
            </w:pPr>
            <w:r>
              <w:rPr>
                <w:rFonts w:hint="eastAsia" w:ascii="黑体" w:eastAsia="黑体"/>
              </w:rPr>
              <w:t>1.1</w:t>
            </w:r>
          </w:p>
        </w:tc>
        <w:tc>
          <w:tcPr>
            <w:tcW w:w="1790" w:type="dxa"/>
            <w:noWrap w:val="0"/>
            <w:vAlign w:val="center"/>
          </w:tcPr>
          <w:p w14:paraId="1926E434">
            <w:pPr>
              <w:jc w:val="center"/>
              <w:rPr>
                <w:rFonts w:hint="eastAsia"/>
              </w:rPr>
            </w:pPr>
            <w:r>
              <w:rPr>
                <w:rFonts w:hint="eastAsia"/>
              </w:rPr>
              <w:t>社会保险费</w:t>
            </w:r>
          </w:p>
        </w:tc>
        <w:tc>
          <w:tcPr>
            <w:tcW w:w="1790" w:type="dxa"/>
            <w:noWrap w:val="0"/>
            <w:vAlign w:val="center"/>
          </w:tcPr>
          <w:p w14:paraId="0F97DC0C">
            <w:pPr>
              <w:jc w:val="center"/>
              <w:rPr>
                <w:rFonts w:hint="eastAsia"/>
              </w:rPr>
            </w:pPr>
            <w:r>
              <w:rPr>
                <w:rFonts w:hint="eastAsia"/>
              </w:rPr>
              <w:t>人工费+机械费</w:t>
            </w:r>
          </w:p>
        </w:tc>
        <w:tc>
          <w:tcPr>
            <w:tcW w:w="1226" w:type="dxa"/>
            <w:noWrap w:val="0"/>
            <w:vAlign w:val="center"/>
          </w:tcPr>
          <w:p w14:paraId="3FF8F92C">
            <w:pPr>
              <w:jc w:val="center"/>
              <w:rPr>
                <w:rFonts w:hint="eastAsia"/>
              </w:rPr>
            </w:pPr>
          </w:p>
        </w:tc>
        <w:tc>
          <w:tcPr>
            <w:tcW w:w="1365" w:type="dxa"/>
            <w:noWrap w:val="0"/>
            <w:vAlign w:val="center"/>
          </w:tcPr>
          <w:p w14:paraId="21F3073B">
            <w:pPr>
              <w:jc w:val="center"/>
              <w:rPr>
                <w:rFonts w:hint="eastAsia"/>
              </w:rPr>
            </w:pPr>
          </w:p>
        </w:tc>
        <w:tc>
          <w:tcPr>
            <w:tcW w:w="1373" w:type="dxa"/>
            <w:noWrap w:val="0"/>
            <w:vAlign w:val="center"/>
          </w:tcPr>
          <w:p w14:paraId="132CB20D">
            <w:pPr>
              <w:jc w:val="center"/>
              <w:rPr>
                <w:rFonts w:hint="eastAsia"/>
              </w:rPr>
            </w:pPr>
          </w:p>
        </w:tc>
      </w:tr>
      <w:tr w14:paraId="13C98DA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770" w:hRule="atLeast"/>
          <w:jc w:val="center"/>
        </w:trPr>
        <w:tc>
          <w:tcPr>
            <w:tcW w:w="984" w:type="dxa"/>
            <w:tcBorders>
              <w:top w:val="single" w:color="auto" w:sz="6" w:space="0"/>
            </w:tcBorders>
            <w:noWrap w:val="0"/>
            <w:vAlign w:val="center"/>
          </w:tcPr>
          <w:p w14:paraId="02AB497B">
            <w:pPr>
              <w:jc w:val="center"/>
              <w:rPr>
                <w:rFonts w:hint="eastAsia" w:ascii="黑体" w:eastAsia="黑体"/>
              </w:rPr>
            </w:pPr>
            <w:r>
              <w:rPr>
                <w:rFonts w:hint="eastAsia" w:ascii="黑体" w:eastAsia="黑体"/>
              </w:rPr>
              <w:t>（1）</w:t>
            </w:r>
          </w:p>
        </w:tc>
        <w:tc>
          <w:tcPr>
            <w:tcW w:w="1790" w:type="dxa"/>
            <w:noWrap w:val="0"/>
            <w:vAlign w:val="center"/>
          </w:tcPr>
          <w:p w14:paraId="4358DFA2">
            <w:pPr>
              <w:jc w:val="center"/>
              <w:rPr>
                <w:rFonts w:hint="eastAsia"/>
              </w:rPr>
            </w:pPr>
            <w:r>
              <w:rPr>
                <w:rFonts w:hint="eastAsia"/>
              </w:rPr>
              <w:t>养老保险费</w:t>
            </w:r>
          </w:p>
        </w:tc>
        <w:tc>
          <w:tcPr>
            <w:tcW w:w="1790" w:type="dxa"/>
            <w:noWrap w:val="0"/>
            <w:vAlign w:val="center"/>
          </w:tcPr>
          <w:p w14:paraId="6FECBB2D">
            <w:pPr>
              <w:jc w:val="center"/>
              <w:rPr>
                <w:rFonts w:hint="eastAsia"/>
              </w:rPr>
            </w:pPr>
            <w:r>
              <w:rPr>
                <w:rFonts w:hint="eastAsia"/>
              </w:rPr>
              <w:t>人工费+机械费</w:t>
            </w:r>
          </w:p>
        </w:tc>
        <w:tc>
          <w:tcPr>
            <w:tcW w:w="1226" w:type="dxa"/>
            <w:noWrap w:val="0"/>
            <w:vAlign w:val="center"/>
          </w:tcPr>
          <w:p w14:paraId="2B375179">
            <w:pPr>
              <w:jc w:val="center"/>
              <w:rPr>
                <w:rFonts w:hint="eastAsia"/>
              </w:rPr>
            </w:pPr>
          </w:p>
        </w:tc>
        <w:tc>
          <w:tcPr>
            <w:tcW w:w="1365" w:type="dxa"/>
            <w:noWrap w:val="0"/>
            <w:vAlign w:val="center"/>
          </w:tcPr>
          <w:p w14:paraId="2115C0B1">
            <w:pPr>
              <w:jc w:val="center"/>
              <w:rPr>
                <w:rFonts w:hint="eastAsia"/>
              </w:rPr>
            </w:pPr>
          </w:p>
        </w:tc>
        <w:tc>
          <w:tcPr>
            <w:tcW w:w="1373" w:type="dxa"/>
            <w:noWrap w:val="0"/>
            <w:vAlign w:val="center"/>
          </w:tcPr>
          <w:p w14:paraId="36AAEEE1">
            <w:pPr>
              <w:jc w:val="center"/>
              <w:rPr>
                <w:rFonts w:hint="eastAsia"/>
              </w:rPr>
            </w:pPr>
          </w:p>
        </w:tc>
      </w:tr>
      <w:tr w14:paraId="4B2DB4B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4" w:type="dxa"/>
            <w:noWrap w:val="0"/>
            <w:vAlign w:val="center"/>
          </w:tcPr>
          <w:p w14:paraId="3BD9D1BB">
            <w:pPr>
              <w:jc w:val="center"/>
              <w:rPr>
                <w:rFonts w:hint="eastAsia" w:ascii="黑体" w:eastAsia="黑体"/>
              </w:rPr>
            </w:pPr>
            <w:r>
              <w:rPr>
                <w:rFonts w:hint="eastAsia" w:ascii="黑体" w:eastAsia="黑体"/>
              </w:rPr>
              <w:t>（2）</w:t>
            </w:r>
          </w:p>
        </w:tc>
        <w:tc>
          <w:tcPr>
            <w:tcW w:w="1790" w:type="dxa"/>
            <w:noWrap w:val="0"/>
            <w:vAlign w:val="center"/>
          </w:tcPr>
          <w:p w14:paraId="5236706F">
            <w:pPr>
              <w:jc w:val="center"/>
              <w:rPr>
                <w:rFonts w:hint="eastAsia"/>
              </w:rPr>
            </w:pPr>
            <w:r>
              <w:rPr>
                <w:rFonts w:hint="eastAsia"/>
              </w:rPr>
              <w:t>失业保险费</w:t>
            </w:r>
          </w:p>
        </w:tc>
        <w:tc>
          <w:tcPr>
            <w:tcW w:w="1790" w:type="dxa"/>
            <w:noWrap w:val="0"/>
            <w:vAlign w:val="center"/>
          </w:tcPr>
          <w:p w14:paraId="627278EF">
            <w:pPr>
              <w:jc w:val="center"/>
              <w:rPr>
                <w:rFonts w:hint="eastAsia"/>
              </w:rPr>
            </w:pPr>
            <w:r>
              <w:rPr>
                <w:rFonts w:hint="eastAsia"/>
              </w:rPr>
              <w:t>人工费+机械费</w:t>
            </w:r>
          </w:p>
        </w:tc>
        <w:tc>
          <w:tcPr>
            <w:tcW w:w="1226" w:type="dxa"/>
            <w:noWrap w:val="0"/>
            <w:vAlign w:val="center"/>
          </w:tcPr>
          <w:p w14:paraId="6A46185C">
            <w:pPr>
              <w:jc w:val="center"/>
              <w:rPr>
                <w:rFonts w:hint="eastAsia"/>
              </w:rPr>
            </w:pPr>
          </w:p>
        </w:tc>
        <w:tc>
          <w:tcPr>
            <w:tcW w:w="1365" w:type="dxa"/>
            <w:noWrap w:val="0"/>
            <w:vAlign w:val="center"/>
          </w:tcPr>
          <w:p w14:paraId="6DB21082">
            <w:pPr>
              <w:jc w:val="center"/>
              <w:rPr>
                <w:rFonts w:hint="eastAsia"/>
              </w:rPr>
            </w:pPr>
          </w:p>
        </w:tc>
        <w:tc>
          <w:tcPr>
            <w:tcW w:w="1373" w:type="dxa"/>
            <w:noWrap w:val="0"/>
            <w:vAlign w:val="center"/>
          </w:tcPr>
          <w:p w14:paraId="4E40F88B">
            <w:pPr>
              <w:jc w:val="center"/>
              <w:rPr>
                <w:rFonts w:hint="eastAsia"/>
              </w:rPr>
            </w:pPr>
          </w:p>
        </w:tc>
      </w:tr>
      <w:tr w14:paraId="525F9AD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984" w:type="dxa"/>
            <w:noWrap w:val="0"/>
            <w:vAlign w:val="center"/>
          </w:tcPr>
          <w:p w14:paraId="670AE411">
            <w:pPr>
              <w:jc w:val="center"/>
              <w:rPr>
                <w:rFonts w:hint="eastAsia" w:ascii="黑体" w:eastAsia="黑体"/>
              </w:rPr>
            </w:pPr>
            <w:r>
              <w:rPr>
                <w:rFonts w:hint="eastAsia" w:ascii="黑体" w:eastAsia="黑体"/>
              </w:rPr>
              <w:t>（3）</w:t>
            </w:r>
          </w:p>
        </w:tc>
        <w:tc>
          <w:tcPr>
            <w:tcW w:w="1790" w:type="dxa"/>
            <w:noWrap w:val="0"/>
            <w:vAlign w:val="center"/>
          </w:tcPr>
          <w:p w14:paraId="60CBA3F0">
            <w:pPr>
              <w:jc w:val="center"/>
              <w:rPr>
                <w:rFonts w:hint="eastAsia"/>
              </w:rPr>
            </w:pPr>
            <w:r>
              <w:rPr>
                <w:rFonts w:hint="eastAsia"/>
              </w:rPr>
              <w:t>医疗保险费</w:t>
            </w:r>
          </w:p>
        </w:tc>
        <w:tc>
          <w:tcPr>
            <w:tcW w:w="1790" w:type="dxa"/>
            <w:noWrap w:val="0"/>
            <w:vAlign w:val="center"/>
          </w:tcPr>
          <w:p w14:paraId="54401C43">
            <w:pPr>
              <w:jc w:val="center"/>
              <w:rPr>
                <w:rFonts w:hint="eastAsia"/>
              </w:rPr>
            </w:pPr>
            <w:r>
              <w:rPr>
                <w:rFonts w:hint="eastAsia"/>
              </w:rPr>
              <w:t>人工费+机械费</w:t>
            </w:r>
          </w:p>
        </w:tc>
        <w:tc>
          <w:tcPr>
            <w:tcW w:w="1226" w:type="dxa"/>
            <w:noWrap w:val="0"/>
            <w:vAlign w:val="center"/>
          </w:tcPr>
          <w:p w14:paraId="6436FE70">
            <w:pPr>
              <w:jc w:val="center"/>
              <w:rPr>
                <w:rFonts w:hint="eastAsia"/>
              </w:rPr>
            </w:pPr>
          </w:p>
        </w:tc>
        <w:tc>
          <w:tcPr>
            <w:tcW w:w="1365" w:type="dxa"/>
            <w:noWrap w:val="0"/>
            <w:vAlign w:val="center"/>
          </w:tcPr>
          <w:p w14:paraId="1B8163E0">
            <w:pPr>
              <w:jc w:val="center"/>
              <w:rPr>
                <w:rFonts w:hint="eastAsia"/>
              </w:rPr>
            </w:pPr>
          </w:p>
        </w:tc>
        <w:tc>
          <w:tcPr>
            <w:tcW w:w="1373" w:type="dxa"/>
            <w:noWrap w:val="0"/>
            <w:vAlign w:val="center"/>
          </w:tcPr>
          <w:p w14:paraId="7EE6646E">
            <w:pPr>
              <w:jc w:val="center"/>
              <w:rPr>
                <w:rFonts w:hint="eastAsia"/>
              </w:rPr>
            </w:pPr>
          </w:p>
        </w:tc>
      </w:tr>
      <w:tr w14:paraId="074CC48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616" w:hRule="atLeast"/>
          <w:jc w:val="center"/>
        </w:trPr>
        <w:tc>
          <w:tcPr>
            <w:tcW w:w="984" w:type="dxa"/>
            <w:noWrap w:val="0"/>
            <w:vAlign w:val="center"/>
          </w:tcPr>
          <w:p w14:paraId="6B591F60">
            <w:pPr>
              <w:jc w:val="center"/>
              <w:rPr>
                <w:rFonts w:hint="eastAsia" w:ascii="黑体" w:eastAsia="黑体"/>
              </w:rPr>
            </w:pPr>
            <w:r>
              <w:rPr>
                <w:rFonts w:hint="eastAsia" w:ascii="黑体" w:eastAsia="黑体"/>
              </w:rPr>
              <w:t>（4）</w:t>
            </w:r>
          </w:p>
        </w:tc>
        <w:tc>
          <w:tcPr>
            <w:tcW w:w="1790" w:type="dxa"/>
            <w:noWrap w:val="0"/>
            <w:vAlign w:val="center"/>
          </w:tcPr>
          <w:p w14:paraId="40210F47">
            <w:pPr>
              <w:jc w:val="center"/>
              <w:rPr>
                <w:rFonts w:hint="eastAsia"/>
              </w:rPr>
            </w:pPr>
            <w:r>
              <w:rPr>
                <w:rFonts w:hint="eastAsia"/>
              </w:rPr>
              <w:t>工伤保险费</w:t>
            </w:r>
          </w:p>
        </w:tc>
        <w:tc>
          <w:tcPr>
            <w:tcW w:w="1790" w:type="dxa"/>
            <w:noWrap w:val="0"/>
            <w:vAlign w:val="center"/>
          </w:tcPr>
          <w:p w14:paraId="1E19AC21">
            <w:pPr>
              <w:jc w:val="center"/>
              <w:rPr>
                <w:rFonts w:hint="eastAsia"/>
              </w:rPr>
            </w:pPr>
            <w:r>
              <w:rPr>
                <w:rFonts w:hint="eastAsia"/>
              </w:rPr>
              <w:t>人工费+机械费</w:t>
            </w:r>
          </w:p>
        </w:tc>
        <w:tc>
          <w:tcPr>
            <w:tcW w:w="1226" w:type="dxa"/>
            <w:noWrap w:val="0"/>
            <w:vAlign w:val="center"/>
          </w:tcPr>
          <w:p w14:paraId="22F5F3FF">
            <w:pPr>
              <w:jc w:val="center"/>
              <w:rPr>
                <w:rFonts w:hint="eastAsia"/>
              </w:rPr>
            </w:pPr>
          </w:p>
        </w:tc>
        <w:tc>
          <w:tcPr>
            <w:tcW w:w="1365" w:type="dxa"/>
            <w:noWrap w:val="0"/>
            <w:vAlign w:val="center"/>
          </w:tcPr>
          <w:p w14:paraId="1B307C1D">
            <w:pPr>
              <w:jc w:val="center"/>
              <w:rPr>
                <w:rFonts w:hint="eastAsia"/>
              </w:rPr>
            </w:pPr>
          </w:p>
        </w:tc>
        <w:tc>
          <w:tcPr>
            <w:tcW w:w="1373" w:type="dxa"/>
            <w:noWrap w:val="0"/>
            <w:vAlign w:val="center"/>
          </w:tcPr>
          <w:p w14:paraId="784CAF93">
            <w:pPr>
              <w:jc w:val="center"/>
              <w:rPr>
                <w:rFonts w:hint="eastAsia"/>
              </w:rPr>
            </w:pPr>
          </w:p>
        </w:tc>
      </w:tr>
      <w:tr w14:paraId="02A2024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84" w:type="dxa"/>
            <w:noWrap w:val="0"/>
            <w:vAlign w:val="center"/>
          </w:tcPr>
          <w:p w14:paraId="344209DB">
            <w:pPr>
              <w:jc w:val="center"/>
              <w:rPr>
                <w:rFonts w:hint="eastAsia" w:ascii="黑体" w:eastAsia="黑体"/>
              </w:rPr>
            </w:pPr>
            <w:r>
              <w:rPr>
                <w:rFonts w:hint="eastAsia" w:ascii="黑体" w:eastAsia="黑体"/>
              </w:rPr>
              <w:t>（5）</w:t>
            </w:r>
          </w:p>
        </w:tc>
        <w:tc>
          <w:tcPr>
            <w:tcW w:w="1790" w:type="dxa"/>
            <w:noWrap w:val="0"/>
            <w:vAlign w:val="center"/>
          </w:tcPr>
          <w:p w14:paraId="43385F1A">
            <w:pPr>
              <w:jc w:val="center"/>
              <w:rPr>
                <w:rFonts w:hint="eastAsia"/>
              </w:rPr>
            </w:pPr>
            <w:r>
              <w:rPr>
                <w:rFonts w:hint="eastAsia"/>
              </w:rPr>
              <w:t>生育保险费</w:t>
            </w:r>
          </w:p>
        </w:tc>
        <w:tc>
          <w:tcPr>
            <w:tcW w:w="1790" w:type="dxa"/>
            <w:noWrap w:val="0"/>
            <w:vAlign w:val="center"/>
          </w:tcPr>
          <w:p w14:paraId="14838B60">
            <w:pPr>
              <w:jc w:val="center"/>
              <w:rPr>
                <w:rFonts w:hint="eastAsia"/>
              </w:rPr>
            </w:pPr>
            <w:r>
              <w:rPr>
                <w:rFonts w:hint="eastAsia"/>
              </w:rPr>
              <w:t>人工费+机械费</w:t>
            </w:r>
          </w:p>
        </w:tc>
        <w:tc>
          <w:tcPr>
            <w:tcW w:w="1226" w:type="dxa"/>
            <w:noWrap w:val="0"/>
            <w:vAlign w:val="center"/>
          </w:tcPr>
          <w:p w14:paraId="0D4BD70A">
            <w:pPr>
              <w:jc w:val="center"/>
              <w:rPr>
                <w:rFonts w:hint="eastAsia"/>
              </w:rPr>
            </w:pPr>
          </w:p>
        </w:tc>
        <w:tc>
          <w:tcPr>
            <w:tcW w:w="1365" w:type="dxa"/>
            <w:noWrap w:val="0"/>
            <w:vAlign w:val="center"/>
          </w:tcPr>
          <w:p w14:paraId="54C89CD2">
            <w:pPr>
              <w:jc w:val="center"/>
              <w:rPr>
                <w:rFonts w:hint="eastAsia"/>
              </w:rPr>
            </w:pPr>
          </w:p>
        </w:tc>
        <w:tc>
          <w:tcPr>
            <w:tcW w:w="1373" w:type="dxa"/>
            <w:noWrap w:val="0"/>
            <w:vAlign w:val="center"/>
          </w:tcPr>
          <w:p w14:paraId="6F8F459D">
            <w:pPr>
              <w:jc w:val="center"/>
              <w:rPr>
                <w:rFonts w:hint="eastAsia"/>
              </w:rPr>
            </w:pPr>
          </w:p>
        </w:tc>
      </w:tr>
      <w:tr w14:paraId="31661C8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84" w:type="dxa"/>
            <w:noWrap w:val="0"/>
            <w:vAlign w:val="center"/>
          </w:tcPr>
          <w:p w14:paraId="1EACFB75">
            <w:pPr>
              <w:jc w:val="center"/>
              <w:rPr>
                <w:rFonts w:hint="eastAsia" w:ascii="黑体" w:eastAsia="黑体"/>
              </w:rPr>
            </w:pPr>
            <w:r>
              <w:rPr>
                <w:rFonts w:hint="eastAsia" w:ascii="黑体" w:eastAsia="黑体"/>
              </w:rPr>
              <w:t>1.2</w:t>
            </w:r>
          </w:p>
        </w:tc>
        <w:tc>
          <w:tcPr>
            <w:tcW w:w="1790" w:type="dxa"/>
            <w:noWrap w:val="0"/>
            <w:vAlign w:val="center"/>
          </w:tcPr>
          <w:p w14:paraId="7F41F047">
            <w:pPr>
              <w:jc w:val="center"/>
              <w:rPr>
                <w:rFonts w:hint="eastAsia"/>
              </w:rPr>
            </w:pPr>
            <w:r>
              <w:rPr>
                <w:rFonts w:hint="eastAsia"/>
              </w:rPr>
              <w:t>住房公积金</w:t>
            </w:r>
          </w:p>
        </w:tc>
        <w:tc>
          <w:tcPr>
            <w:tcW w:w="1790" w:type="dxa"/>
            <w:noWrap w:val="0"/>
            <w:vAlign w:val="center"/>
          </w:tcPr>
          <w:p w14:paraId="7795FEBB">
            <w:pPr>
              <w:jc w:val="center"/>
              <w:rPr>
                <w:rFonts w:hint="eastAsia"/>
              </w:rPr>
            </w:pPr>
            <w:r>
              <w:rPr>
                <w:rFonts w:hint="eastAsia"/>
              </w:rPr>
              <w:t>人工费+机械费</w:t>
            </w:r>
          </w:p>
        </w:tc>
        <w:tc>
          <w:tcPr>
            <w:tcW w:w="1226" w:type="dxa"/>
            <w:noWrap w:val="0"/>
            <w:vAlign w:val="center"/>
          </w:tcPr>
          <w:p w14:paraId="7E2CD753">
            <w:pPr>
              <w:jc w:val="center"/>
              <w:rPr>
                <w:rFonts w:hint="eastAsia"/>
              </w:rPr>
            </w:pPr>
          </w:p>
        </w:tc>
        <w:tc>
          <w:tcPr>
            <w:tcW w:w="1365" w:type="dxa"/>
            <w:noWrap w:val="0"/>
            <w:vAlign w:val="center"/>
          </w:tcPr>
          <w:p w14:paraId="733CE933">
            <w:pPr>
              <w:jc w:val="center"/>
              <w:rPr>
                <w:rFonts w:hint="eastAsia"/>
              </w:rPr>
            </w:pPr>
          </w:p>
        </w:tc>
        <w:tc>
          <w:tcPr>
            <w:tcW w:w="1373" w:type="dxa"/>
            <w:noWrap w:val="0"/>
            <w:vAlign w:val="center"/>
          </w:tcPr>
          <w:p w14:paraId="3BF17861">
            <w:pPr>
              <w:jc w:val="center"/>
              <w:rPr>
                <w:rFonts w:hint="eastAsia"/>
              </w:rPr>
            </w:pPr>
          </w:p>
        </w:tc>
      </w:tr>
      <w:tr w14:paraId="05D7011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84" w:type="dxa"/>
            <w:noWrap w:val="0"/>
            <w:vAlign w:val="center"/>
          </w:tcPr>
          <w:p w14:paraId="004CC956">
            <w:pPr>
              <w:jc w:val="center"/>
              <w:rPr>
                <w:rFonts w:hint="eastAsia" w:ascii="黑体" w:eastAsia="黑体"/>
              </w:rPr>
            </w:pPr>
            <w:r>
              <w:rPr>
                <w:rFonts w:hint="eastAsia" w:ascii="黑体" w:eastAsia="黑体"/>
              </w:rPr>
              <w:t>1.3</w:t>
            </w:r>
          </w:p>
        </w:tc>
        <w:tc>
          <w:tcPr>
            <w:tcW w:w="1790" w:type="dxa"/>
            <w:noWrap w:val="0"/>
            <w:vAlign w:val="center"/>
          </w:tcPr>
          <w:p w14:paraId="6D209524">
            <w:pPr>
              <w:jc w:val="center"/>
              <w:rPr>
                <w:rFonts w:hint="eastAsia"/>
              </w:rPr>
            </w:pPr>
            <w:r>
              <w:rPr>
                <w:rFonts w:hint="eastAsia"/>
              </w:rPr>
              <w:t>工程排污费</w:t>
            </w:r>
          </w:p>
        </w:tc>
        <w:tc>
          <w:tcPr>
            <w:tcW w:w="1790" w:type="dxa"/>
            <w:noWrap w:val="0"/>
            <w:vAlign w:val="center"/>
          </w:tcPr>
          <w:p w14:paraId="0A0DAF83">
            <w:pPr>
              <w:jc w:val="center"/>
              <w:rPr>
                <w:rFonts w:hint="eastAsia"/>
              </w:rPr>
            </w:pPr>
            <w:r>
              <w:rPr>
                <w:rFonts w:hint="eastAsia"/>
              </w:rPr>
              <w:t>人工费+机械费</w:t>
            </w:r>
          </w:p>
        </w:tc>
        <w:tc>
          <w:tcPr>
            <w:tcW w:w="1226" w:type="dxa"/>
            <w:noWrap w:val="0"/>
            <w:vAlign w:val="center"/>
          </w:tcPr>
          <w:p w14:paraId="1A6D8E9C">
            <w:pPr>
              <w:jc w:val="center"/>
              <w:rPr>
                <w:rFonts w:hint="eastAsia"/>
              </w:rPr>
            </w:pPr>
          </w:p>
        </w:tc>
        <w:tc>
          <w:tcPr>
            <w:tcW w:w="1365" w:type="dxa"/>
            <w:noWrap w:val="0"/>
            <w:vAlign w:val="center"/>
          </w:tcPr>
          <w:p w14:paraId="226B234D">
            <w:pPr>
              <w:jc w:val="center"/>
              <w:rPr>
                <w:rFonts w:hint="eastAsia"/>
              </w:rPr>
            </w:pPr>
          </w:p>
        </w:tc>
        <w:tc>
          <w:tcPr>
            <w:tcW w:w="1373" w:type="dxa"/>
            <w:noWrap w:val="0"/>
            <w:vAlign w:val="center"/>
          </w:tcPr>
          <w:p w14:paraId="5EA7A340">
            <w:pPr>
              <w:jc w:val="center"/>
              <w:rPr>
                <w:rFonts w:hint="eastAsia"/>
              </w:rPr>
            </w:pPr>
          </w:p>
        </w:tc>
      </w:tr>
      <w:tr w14:paraId="0608B76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668" w:hRule="atLeast"/>
          <w:jc w:val="center"/>
        </w:trPr>
        <w:tc>
          <w:tcPr>
            <w:tcW w:w="984" w:type="dxa"/>
            <w:noWrap w:val="0"/>
            <w:vAlign w:val="center"/>
          </w:tcPr>
          <w:p w14:paraId="5F444ECB">
            <w:pPr>
              <w:jc w:val="center"/>
              <w:rPr>
                <w:rFonts w:hint="eastAsia"/>
              </w:rPr>
            </w:pPr>
          </w:p>
        </w:tc>
        <w:tc>
          <w:tcPr>
            <w:tcW w:w="1790" w:type="dxa"/>
            <w:noWrap w:val="0"/>
            <w:vAlign w:val="center"/>
          </w:tcPr>
          <w:p w14:paraId="6DF92698">
            <w:pPr>
              <w:jc w:val="center"/>
              <w:rPr>
                <w:rFonts w:hint="eastAsia"/>
              </w:rPr>
            </w:pPr>
          </w:p>
        </w:tc>
        <w:tc>
          <w:tcPr>
            <w:tcW w:w="1790" w:type="dxa"/>
            <w:noWrap w:val="0"/>
            <w:vAlign w:val="center"/>
          </w:tcPr>
          <w:p w14:paraId="487C7A17">
            <w:pPr>
              <w:jc w:val="center"/>
              <w:rPr>
                <w:rFonts w:hint="eastAsia"/>
              </w:rPr>
            </w:pPr>
          </w:p>
        </w:tc>
        <w:tc>
          <w:tcPr>
            <w:tcW w:w="1226" w:type="dxa"/>
            <w:noWrap w:val="0"/>
            <w:vAlign w:val="center"/>
          </w:tcPr>
          <w:p w14:paraId="147C1D31">
            <w:pPr>
              <w:jc w:val="center"/>
              <w:rPr>
                <w:rFonts w:hint="eastAsia"/>
              </w:rPr>
            </w:pPr>
          </w:p>
        </w:tc>
        <w:tc>
          <w:tcPr>
            <w:tcW w:w="1365" w:type="dxa"/>
            <w:noWrap w:val="0"/>
            <w:vAlign w:val="center"/>
          </w:tcPr>
          <w:p w14:paraId="67B506D6">
            <w:pPr>
              <w:jc w:val="center"/>
              <w:rPr>
                <w:rFonts w:hint="eastAsia"/>
              </w:rPr>
            </w:pPr>
          </w:p>
        </w:tc>
        <w:tc>
          <w:tcPr>
            <w:tcW w:w="1373" w:type="dxa"/>
            <w:noWrap w:val="0"/>
            <w:vAlign w:val="center"/>
          </w:tcPr>
          <w:p w14:paraId="7AA3AEFB">
            <w:pPr>
              <w:jc w:val="center"/>
              <w:rPr>
                <w:rFonts w:hint="eastAsia"/>
              </w:rPr>
            </w:pPr>
          </w:p>
        </w:tc>
      </w:tr>
      <w:tr w14:paraId="146D934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84" w:type="dxa"/>
            <w:noWrap w:val="0"/>
            <w:vAlign w:val="center"/>
          </w:tcPr>
          <w:p w14:paraId="52924041">
            <w:pPr>
              <w:jc w:val="center"/>
              <w:rPr>
                <w:rFonts w:hint="eastAsia"/>
              </w:rPr>
            </w:pPr>
            <w:r>
              <w:rPr>
                <w:rFonts w:hint="eastAsia"/>
              </w:rPr>
              <w:t>2</w:t>
            </w:r>
          </w:p>
        </w:tc>
        <w:tc>
          <w:tcPr>
            <w:tcW w:w="1790" w:type="dxa"/>
            <w:noWrap w:val="0"/>
            <w:vAlign w:val="center"/>
          </w:tcPr>
          <w:p w14:paraId="7CE2A285">
            <w:pPr>
              <w:jc w:val="center"/>
              <w:rPr>
                <w:rFonts w:hint="eastAsia"/>
              </w:rPr>
            </w:pPr>
            <w:r>
              <w:rPr>
                <w:rFonts w:hint="eastAsia"/>
              </w:rPr>
              <w:t>税金</w:t>
            </w:r>
          </w:p>
        </w:tc>
        <w:tc>
          <w:tcPr>
            <w:tcW w:w="1790" w:type="dxa"/>
            <w:noWrap w:val="0"/>
            <w:vAlign w:val="center"/>
          </w:tcPr>
          <w:p w14:paraId="41A5DC6A">
            <w:pPr>
              <w:jc w:val="center"/>
              <w:rPr>
                <w:rFonts w:hint="eastAsia"/>
              </w:rPr>
            </w:pPr>
            <w:r>
              <w:rPr>
                <w:rFonts w:hint="eastAsia"/>
              </w:rPr>
              <w:t>分部分项工程费+措施项目费+其他项目费+规</w:t>
            </w:r>
            <w:r>
              <w:rPr>
                <w:rFonts w:hint="eastAsia" w:ascii="宋体" w:hAnsi="宋体"/>
              </w:rPr>
              <w:t>费</w:t>
            </w:r>
          </w:p>
        </w:tc>
        <w:tc>
          <w:tcPr>
            <w:tcW w:w="1226" w:type="dxa"/>
            <w:noWrap w:val="0"/>
            <w:vAlign w:val="center"/>
          </w:tcPr>
          <w:p w14:paraId="5951FB16">
            <w:pPr>
              <w:jc w:val="center"/>
              <w:rPr>
                <w:rFonts w:hint="eastAsia"/>
              </w:rPr>
            </w:pPr>
          </w:p>
        </w:tc>
        <w:tc>
          <w:tcPr>
            <w:tcW w:w="1365" w:type="dxa"/>
            <w:noWrap w:val="0"/>
            <w:vAlign w:val="center"/>
          </w:tcPr>
          <w:p w14:paraId="069AF4E8">
            <w:pPr>
              <w:jc w:val="center"/>
              <w:rPr>
                <w:rFonts w:hint="eastAsia"/>
              </w:rPr>
            </w:pPr>
          </w:p>
        </w:tc>
        <w:tc>
          <w:tcPr>
            <w:tcW w:w="1373" w:type="dxa"/>
            <w:noWrap w:val="0"/>
            <w:vAlign w:val="center"/>
          </w:tcPr>
          <w:p w14:paraId="0C807411">
            <w:pPr>
              <w:jc w:val="center"/>
              <w:rPr>
                <w:rFonts w:hint="eastAsia"/>
              </w:rPr>
            </w:pPr>
          </w:p>
        </w:tc>
      </w:tr>
      <w:tr w14:paraId="1B8AE79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790" w:type="dxa"/>
            <w:gridSpan w:val="4"/>
            <w:noWrap w:val="0"/>
            <w:vAlign w:val="center"/>
          </w:tcPr>
          <w:p w14:paraId="0C44CDD9">
            <w:pPr>
              <w:jc w:val="center"/>
              <w:rPr>
                <w:rFonts w:hint="eastAsia"/>
              </w:rPr>
            </w:pPr>
            <w:r>
              <w:rPr>
                <w:rFonts w:hint="eastAsia"/>
              </w:rPr>
              <w:t>合计</w:t>
            </w:r>
          </w:p>
        </w:tc>
        <w:tc>
          <w:tcPr>
            <w:tcW w:w="1365" w:type="dxa"/>
            <w:noWrap w:val="0"/>
            <w:vAlign w:val="center"/>
          </w:tcPr>
          <w:p w14:paraId="483E4824">
            <w:pPr>
              <w:jc w:val="center"/>
              <w:rPr>
                <w:rFonts w:hint="eastAsia"/>
              </w:rPr>
            </w:pPr>
          </w:p>
        </w:tc>
        <w:tc>
          <w:tcPr>
            <w:tcW w:w="1373" w:type="dxa"/>
            <w:noWrap w:val="0"/>
            <w:vAlign w:val="center"/>
          </w:tcPr>
          <w:p w14:paraId="665461C9">
            <w:pPr>
              <w:jc w:val="center"/>
              <w:rPr>
                <w:rFonts w:hint="eastAsia"/>
              </w:rPr>
            </w:pPr>
          </w:p>
        </w:tc>
      </w:tr>
    </w:tbl>
    <w:p w14:paraId="4EBDA3D0">
      <w:pPr>
        <w:rPr>
          <w:rFonts w:hint="eastAsia"/>
        </w:rPr>
      </w:pPr>
    </w:p>
    <w:p w14:paraId="5E8D6E2C">
      <w:pPr>
        <w:rPr>
          <w:rFonts w:hint="eastAsia"/>
        </w:rPr>
      </w:pPr>
    </w:p>
    <w:p w14:paraId="0164E139">
      <w:pPr>
        <w:rPr>
          <w:rFonts w:hint="eastAsia"/>
        </w:rPr>
      </w:pPr>
      <w:r>
        <w:t>编制人（造价人员）：</w:t>
      </w:r>
      <w:r>
        <w:rPr>
          <w:rFonts w:hint="eastAsia"/>
        </w:rPr>
        <w:t xml:space="preserve">                           </w:t>
      </w:r>
      <w:r>
        <w:t>复核人（造价工程师）：</w:t>
      </w:r>
    </w:p>
    <w:p w14:paraId="0DA97616">
      <w:pPr>
        <w:rPr>
          <w:rFonts w:hint="eastAsia"/>
        </w:rPr>
      </w:pPr>
    </w:p>
    <w:p w14:paraId="5CA5AE5A">
      <w:pPr>
        <w:rPr>
          <w:rFonts w:hint="eastAsia"/>
        </w:rPr>
      </w:pPr>
    </w:p>
    <w:p w14:paraId="381E399A">
      <w:pPr>
        <w:spacing w:before="120" w:beforeLines="50"/>
        <w:rPr>
          <w:rFonts w:hint="eastAsia"/>
        </w:rPr>
        <w:sectPr>
          <w:pgSz w:w="11907" w:h="16840"/>
          <w:pgMar w:top="1701" w:right="1531" w:bottom="1588" w:left="1474" w:header="851" w:footer="851" w:gutter="0"/>
          <w:cols w:space="720" w:num="1"/>
          <w:docGrid w:linePitch="312" w:charSpace="0"/>
        </w:sectPr>
      </w:pPr>
    </w:p>
    <w:p w14:paraId="09E056FA">
      <w:pPr>
        <w:pStyle w:val="20"/>
        <w:rPr>
          <w:rFonts w:hint="eastAsia"/>
        </w:rPr>
      </w:pPr>
      <w:bookmarkStart w:id="2602" w:name="_Toc108514188"/>
      <w:r>
        <w:rPr>
          <w:rFonts w:hint="eastAsia"/>
        </w:rPr>
        <w:t>4.14发包人提供材料和工程设备一览表</w:t>
      </w:r>
      <w:bookmarkEnd w:id="2602"/>
    </w:p>
    <w:p w14:paraId="4C4684B9">
      <w:pPr>
        <w:rPr>
          <w:rFonts w:hint="eastAsia"/>
          <w:szCs w:val="21"/>
        </w:rPr>
      </w:pPr>
    </w:p>
    <w:p w14:paraId="0B6F02CB">
      <w:pPr>
        <w:rPr>
          <w:rFonts w:hint="eastAsia"/>
          <w:szCs w:val="21"/>
        </w:rPr>
      </w:pPr>
    </w:p>
    <w:p w14:paraId="64EC51CC">
      <w:pPr>
        <w:jc w:val="center"/>
        <w:rPr>
          <w:rFonts w:hint="eastAsia" w:ascii="黑体" w:eastAsia="黑体"/>
          <w:sz w:val="28"/>
          <w:szCs w:val="28"/>
        </w:rPr>
      </w:pPr>
      <w:r>
        <w:rPr>
          <w:rFonts w:hint="eastAsia" w:ascii="黑体" w:eastAsia="黑体"/>
          <w:sz w:val="28"/>
          <w:szCs w:val="28"/>
        </w:rPr>
        <w:t>发包人提供材料和工程设备一览表</w:t>
      </w:r>
    </w:p>
    <w:p w14:paraId="4C8EFD07">
      <w:pPr>
        <w:jc w:val="center"/>
        <w:rPr>
          <w:rFonts w:hint="eastAsia"/>
          <w:szCs w:val="21"/>
        </w:rPr>
      </w:pPr>
    </w:p>
    <w:p w14:paraId="1C3FFA07">
      <w:pPr>
        <w:rPr>
          <w:rFonts w:hint="eastAsia"/>
        </w:rPr>
      </w:pPr>
      <w:r>
        <w:rPr>
          <w:rFonts w:hint="eastAsia"/>
        </w:rPr>
        <w:t>工程名称：                        标段名称：                   第  页  共  页</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980"/>
        <w:gridCol w:w="900"/>
        <w:gridCol w:w="900"/>
        <w:gridCol w:w="846"/>
        <w:gridCol w:w="1355"/>
        <w:gridCol w:w="1579"/>
        <w:gridCol w:w="900"/>
      </w:tblGrid>
      <w:tr w14:paraId="597B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48" w:type="dxa"/>
            <w:noWrap w:val="0"/>
            <w:vAlign w:val="center"/>
          </w:tcPr>
          <w:p w14:paraId="5D8B4AF4">
            <w:pPr>
              <w:jc w:val="center"/>
              <w:rPr>
                <w:rFonts w:hint="eastAsia"/>
                <w:szCs w:val="21"/>
              </w:rPr>
            </w:pPr>
            <w:r>
              <w:rPr>
                <w:rFonts w:hint="eastAsia"/>
                <w:szCs w:val="21"/>
              </w:rPr>
              <w:t>序号</w:t>
            </w:r>
          </w:p>
        </w:tc>
        <w:tc>
          <w:tcPr>
            <w:tcW w:w="1980" w:type="dxa"/>
            <w:noWrap w:val="0"/>
            <w:vAlign w:val="center"/>
          </w:tcPr>
          <w:p w14:paraId="29B4E572">
            <w:pPr>
              <w:jc w:val="center"/>
              <w:rPr>
                <w:rFonts w:hint="eastAsia"/>
                <w:szCs w:val="21"/>
              </w:rPr>
            </w:pPr>
            <w:r>
              <w:rPr>
                <w:rFonts w:hint="eastAsia"/>
                <w:szCs w:val="21"/>
              </w:rPr>
              <w:t>材料（工程设备）名称、规格、型号</w:t>
            </w:r>
          </w:p>
        </w:tc>
        <w:tc>
          <w:tcPr>
            <w:tcW w:w="900" w:type="dxa"/>
            <w:noWrap w:val="0"/>
            <w:vAlign w:val="center"/>
          </w:tcPr>
          <w:p w14:paraId="399D1B6E">
            <w:pPr>
              <w:jc w:val="center"/>
              <w:rPr>
                <w:rFonts w:hint="eastAsia"/>
                <w:szCs w:val="21"/>
              </w:rPr>
            </w:pPr>
            <w:r>
              <w:rPr>
                <w:rFonts w:hint="eastAsia"/>
                <w:szCs w:val="21"/>
              </w:rPr>
              <w:t>单位</w:t>
            </w:r>
          </w:p>
        </w:tc>
        <w:tc>
          <w:tcPr>
            <w:tcW w:w="900" w:type="dxa"/>
            <w:noWrap w:val="0"/>
            <w:vAlign w:val="center"/>
          </w:tcPr>
          <w:p w14:paraId="76D1EDF1">
            <w:pPr>
              <w:jc w:val="center"/>
              <w:rPr>
                <w:rFonts w:hint="eastAsia"/>
                <w:szCs w:val="21"/>
              </w:rPr>
            </w:pPr>
            <w:r>
              <w:rPr>
                <w:rFonts w:hint="eastAsia"/>
                <w:szCs w:val="21"/>
              </w:rPr>
              <w:t>数量</w:t>
            </w:r>
          </w:p>
        </w:tc>
        <w:tc>
          <w:tcPr>
            <w:tcW w:w="846" w:type="dxa"/>
            <w:noWrap w:val="0"/>
            <w:vAlign w:val="center"/>
          </w:tcPr>
          <w:p w14:paraId="45C047EE">
            <w:pPr>
              <w:jc w:val="center"/>
              <w:rPr>
                <w:rFonts w:hint="eastAsia"/>
                <w:szCs w:val="21"/>
              </w:rPr>
            </w:pPr>
            <w:r>
              <w:rPr>
                <w:rFonts w:hint="eastAsia"/>
                <w:szCs w:val="21"/>
              </w:rPr>
              <w:t>单价（元）</w:t>
            </w:r>
          </w:p>
        </w:tc>
        <w:tc>
          <w:tcPr>
            <w:tcW w:w="1355" w:type="dxa"/>
            <w:noWrap w:val="0"/>
            <w:vAlign w:val="center"/>
          </w:tcPr>
          <w:p w14:paraId="04417957">
            <w:pPr>
              <w:jc w:val="center"/>
              <w:rPr>
                <w:rFonts w:hint="eastAsia"/>
                <w:szCs w:val="21"/>
              </w:rPr>
            </w:pPr>
            <w:r>
              <w:rPr>
                <w:rFonts w:hint="eastAsia"/>
                <w:szCs w:val="21"/>
              </w:rPr>
              <w:t>交货</w:t>
            </w:r>
          </w:p>
          <w:p w14:paraId="0754D742">
            <w:pPr>
              <w:jc w:val="center"/>
              <w:rPr>
                <w:rFonts w:hint="eastAsia"/>
                <w:szCs w:val="21"/>
              </w:rPr>
            </w:pPr>
            <w:r>
              <w:rPr>
                <w:rFonts w:hint="eastAsia"/>
                <w:szCs w:val="21"/>
              </w:rPr>
              <w:t>方式</w:t>
            </w:r>
          </w:p>
        </w:tc>
        <w:tc>
          <w:tcPr>
            <w:tcW w:w="1579" w:type="dxa"/>
            <w:noWrap w:val="0"/>
            <w:vAlign w:val="center"/>
          </w:tcPr>
          <w:p w14:paraId="7243B370">
            <w:pPr>
              <w:jc w:val="center"/>
              <w:rPr>
                <w:rFonts w:hint="eastAsia"/>
                <w:szCs w:val="21"/>
              </w:rPr>
            </w:pPr>
            <w:r>
              <w:rPr>
                <w:rFonts w:hint="eastAsia"/>
                <w:szCs w:val="21"/>
              </w:rPr>
              <w:t>送达</w:t>
            </w:r>
          </w:p>
          <w:p w14:paraId="1F41E589">
            <w:pPr>
              <w:jc w:val="center"/>
              <w:rPr>
                <w:rFonts w:hint="eastAsia"/>
                <w:szCs w:val="21"/>
              </w:rPr>
            </w:pPr>
            <w:r>
              <w:rPr>
                <w:rFonts w:hint="eastAsia"/>
                <w:szCs w:val="21"/>
              </w:rPr>
              <w:t>地点</w:t>
            </w:r>
          </w:p>
        </w:tc>
        <w:tc>
          <w:tcPr>
            <w:tcW w:w="900" w:type="dxa"/>
            <w:noWrap w:val="0"/>
            <w:vAlign w:val="center"/>
          </w:tcPr>
          <w:p w14:paraId="7F88D6E7">
            <w:pPr>
              <w:jc w:val="center"/>
              <w:rPr>
                <w:rFonts w:hint="eastAsia"/>
                <w:szCs w:val="21"/>
              </w:rPr>
            </w:pPr>
            <w:r>
              <w:rPr>
                <w:rFonts w:hint="eastAsia"/>
                <w:szCs w:val="21"/>
              </w:rPr>
              <w:t>备注</w:t>
            </w:r>
          </w:p>
        </w:tc>
      </w:tr>
      <w:tr w14:paraId="7C82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0" w:hRule="atLeast"/>
        </w:trPr>
        <w:tc>
          <w:tcPr>
            <w:tcW w:w="648" w:type="dxa"/>
            <w:noWrap w:val="0"/>
            <w:vAlign w:val="center"/>
          </w:tcPr>
          <w:p w14:paraId="36484047">
            <w:pPr>
              <w:jc w:val="center"/>
              <w:rPr>
                <w:rFonts w:hint="eastAsia"/>
                <w:szCs w:val="21"/>
              </w:rPr>
            </w:pPr>
          </w:p>
        </w:tc>
        <w:tc>
          <w:tcPr>
            <w:tcW w:w="1980" w:type="dxa"/>
            <w:noWrap w:val="0"/>
            <w:vAlign w:val="center"/>
          </w:tcPr>
          <w:p w14:paraId="15A4CC12">
            <w:pPr>
              <w:jc w:val="center"/>
              <w:rPr>
                <w:rFonts w:hint="eastAsia"/>
                <w:szCs w:val="21"/>
              </w:rPr>
            </w:pPr>
          </w:p>
        </w:tc>
        <w:tc>
          <w:tcPr>
            <w:tcW w:w="900" w:type="dxa"/>
            <w:noWrap w:val="0"/>
            <w:vAlign w:val="center"/>
          </w:tcPr>
          <w:p w14:paraId="2F2B1AE5">
            <w:pPr>
              <w:jc w:val="center"/>
              <w:rPr>
                <w:rFonts w:hint="eastAsia"/>
                <w:szCs w:val="21"/>
              </w:rPr>
            </w:pPr>
          </w:p>
        </w:tc>
        <w:tc>
          <w:tcPr>
            <w:tcW w:w="900" w:type="dxa"/>
            <w:noWrap w:val="0"/>
            <w:vAlign w:val="center"/>
          </w:tcPr>
          <w:p w14:paraId="0019A30C">
            <w:pPr>
              <w:jc w:val="center"/>
              <w:rPr>
                <w:rFonts w:hint="eastAsia"/>
                <w:szCs w:val="21"/>
              </w:rPr>
            </w:pPr>
          </w:p>
        </w:tc>
        <w:tc>
          <w:tcPr>
            <w:tcW w:w="846" w:type="dxa"/>
            <w:noWrap w:val="0"/>
            <w:vAlign w:val="center"/>
          </w:tcPr>
          <w:p w14:paraId="752932F8">
            <w:pPr>
              <w:jc w:val="center"/>
              <w:rPr>
                <w:rFonts w:hint="eastAsia"/>
                <w:szCs w:val="21"/>
              </w:rPr>
            </w:pPr>
          </w:p>
        </w:tc>
        <w:tc>
          <w:tcPr>
            <w:tcW w:w="1355" w:type="dxa"/>
            <w:noWrap w:val="0"/>
            <w:vAlign w:val="center"/>
          </w:tcPr>
          <w:p w14:paraId="7971B6CE">
            <w:pPr>
              <w:jc w:val="center"/>
              <w:rPr>
                <w:rFonts w:hint="eastAsia"/>
                <w:szCs w:val="21"/>
              </w:rPr>
            </w:pPr>
          </w:p>
        </w:tc>
        <w:tc>
          <w:tcPr>
            <w:tcW w:w="1579" w:type="dxa"/>
            <w:noWrap w:val="0"/>
            <w:vAlign w:val="center"/>
          </w:tcPr>
          <w:p w14:paraId="30A0D152">
            <w:pPr>
              <w:jc w:val="center"/>
              <w:rPr>
                <w:rFonts w:hint="eastAsia"/>
                <w:szCs w:val="21"/>
              </w:rPr>
            </w:pPr>
          </w:p>
        </w:tc>
        <w:tc>
          <w:tcPr>
            <w:tcW w:w="900" w:type="dxa"/>
            <w:noWrap w:val="0"/>
            <w:vAlign w:val="center"/>
          </w:tcPr>
          <w:p w14:paraId="4B190BC2">
            <w:pPr>
              <w:jc w:val="center"/>
              <w:rPr>
                <w:rFonts w:hint="eastAsia"/>
                <w:szCs w:val="21"/>
              </w:rPr>
            </w:pPr>
          </w:p>
        </w:tc>
      </w:tr>
      <w:tr w14:paraId="0D88F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339587C8">
            <w:pPr>
              <w:jc w:val="center"/>
              <w:rPr>
                <w:rFonts w:hint="eastAsia"/>
                <w:szCs w:val="21"/>
              </w:rPr>
            </w:pPr>
          </w:p>
        </w:tc>
        <w:tc>
          <w:tcPr>
            <w:tcW w:w="1980" w:type="dxa"/>
            <w:noWrap w:val="0"/>
            <w:vAlign w:val="center"/>
          </w:tcPr>
          <w:p w14:paraId="2B24F19B">
            <w:pPr>
              <w:jc w:val="center"/>
              <w:rPr>
                <w:rFonts w:hint="eastAsia"/>
                <w:szCs w:val="21"/>
              </w:rPr>
            </w:pPr>
          </w:p>
        </w:tc>
        <w:tc>
          <w:tcPr>
            <w:tcW w:w="900" w:type="dxa"/>
            <w:noWrap w:val="0"/>
            <w:vAlign w:val="center"/>
          </w:tcPr>
          <w:p w14:paraId="2E59A626">
            <w:pPr>
              <w:jc w:val="center"/>
              <w:rPr>
                <w:rFonts w:hint="eastAsia"/>
                <w:szCs w:val="21"/>
              </w:rPr>
            </w:pPr>
          </w:p>
        </w:tc>
        <w:tc>
          <w:tcPr>
            <w:tcW w:w="900" w:type="dxa"/>
            <w:noWrap w:val="0"/>
            <w:vAlign w:val="center"/>
          </w:tcPr>
          <w:p w14:paraId="4E4FAD06">
            <w:pPr>
              <w:jc w:val="center"/>
              <w:rPr>
                <w:rFonts w:hint="eastAsia"/>
                <w:szCs w:val="21"/>
              </w:rPr>
            </w:pPr>
          </w:p>
        </w:tc>
        <w:tc>
          <w:tcPr>
            <w:tcW w:w="846" w:type="dxa"/>
            <w:noWrap w:val="0"/>
            <w:vAlign w:val="center"/>
          </w:tcPr>
          <w:p w14:paraId="0D4F0336">
            <w:pPr>
              <w:jc w:val="center"/>
              <w:rPr>
                <w:rFonts w:hint="eastAsia"/>
                <w:szCs w:val="21"/>
              </w:rPr>
            </w:pPr>
          </w:p>
        </w:tc>
        <w:tc>
          <w:tcPr>
            <w:tcW w:w="1355" w:type="dxa"/>
            <w:noWrap w:val="0"/>
            <w:vAlign w:val="center"/>
          </w:tcPr>
          <w:p w14:paraId="35E6A166">
            <w:pPr>
              <w:jc w:val="center"/>
              <w:rPr>
                <w:rFonts w:hint="eastAsia"/>
                <w:szCs w:val="21"/>
              </w:rPr>
            </w:pPr>
          </w:p>
        </w:tc>
        <w:tc>
          <w:tcPr>
            <w:tcW w:w="1579" w:type="dxa"/>
            <w:noWrap w:val="0"/>
            <w:vAlign w:val="center"/>
          </w:tcPr>
          <w:p w14:paraId="283B2351">
            <w:pPr>
              <w:jc w:val="center"/>
              <w:rPr>
                <w:rFonts w:hint="eastAsia"/>
                <w:szCs w:val="21"/>
              </w:rPr>
            </w:pPr>
          </w:p>
        </w:tc>
        <w:tc>
          <w:tcPr>
            <w:tcW w:w="900" w:type="dxa"/>
            <w:noWrap w:val="0"/>
            <w:vAlign w:val="center"/>
          </w:tcPr>
          <w:p w14:paraId="64750D35">
            <w:pPr>
              <w:jc w:val="center"/>
              <w:rPr>
                <w:rFonts w:hint="eastAsia"/>
                <w:szCs w:val="21"/>
              </w:rPr>
            </w:pPr>
          </w:p>
        </w:tc>
      </w:tr>
      <w:tr w14:paraId="0193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09425B77">
            <w:pPr>
              <w:jc w:val="center"/>
              <w:rPr>
                <w:rFonts w:hint="eastAsia"/>
                <w:szCs w:val="21"/>
              </w:rPr>
            </w:pPr>
          </w:p>
        </w:tc>
        <w:tc>
          <w:tcPr>
            <w:tcW w:w="1980" w:type="dxa"/>
            <w:noWrap w:val="0"/>
            <w:vAlign w:val="center"/>
          </w:tcPr>
          <w:p w14:paraId="0B96D0B4">
            <w:pPr>
              <w:jc w:val="center"/>
              <w:rPr>
                <w:rFonts w:hint="eastAsia"/>
                <w:szCs w:val="21"/>
              </w:rPr>
            </w:pPr>
          </w:p>
        </w:tc>
        <w:tc>
          <w:tcPr>
            <w:tcW w:w="900" w:type="dxa"/>
            <w:noWrap w:val="0"/>
            <w:vAlign w:val="center"/>
          </w:tcPr>
          <w:p w14:paraId="3761C95C">
            <w:pPr>
              <w:jc w:val="center"/>
              <w:rPr>
                <w:rFonts w:hint="eastAsia"/>
                <w:szCs w:val="21"/>
              </w:rPr>
            </w:pPr>
          </w:p>
        </w:tc>
        <w:tc>
          <w:tcPr>
            <w:tcW w:w="900" w:type="dxa"/>
            <w:noWrap w:val="0"/>
            <w:vAlign w:val="center"/>
          </w:tcPr>
          <w:p w14:paraId="3758EE84">
            <w:pPr>
              <w:jc w:val="center"/>
              <w:rPr>
                <w:rFonts w:hint="eastAsia"/>
                <w:szCs w:val="21"/>
              </w:rPr>
            </w:pPr>
          </w:p>
        </w:tc>
        <w:tc>
          <w:tcPr>
            <w:tcW w:w="846" w:type="dxa"/>
            <w:noWrap w:val="0"/>
            <w:vAlign w:val="center"/>
          </w:tcPr>
          <w:p w14:paraId="6E15D39C">
            <w:pPr>
              <w:jc w:val="center"/>
              <w:rPr>
                <w:rFonts w:hint="eastAsia"/>
                <w:szCs w:val="21"/>
              </w:rPr>
            </w:pPr>
          </w:p>
        </w:tc>
        <w:tc>
          <w:tcPr>
            <w:tcW w:w="1355" w:type="dxa"/>
            <w:noWrap w:val="0"/>
            <w:vAlign w:val="center"/>
          </w:tcPr>
          <w:p w14:paraId="3C2C7386">
            <w:pPr>
              <w:jc w:val="center"/>
              <w:rPr>
                <w:rFonts w:hint="eastAsia"/>
                <w:szCs w:val="21"/>
              </w:rPr>
            </w:pPr>
          </w:p>
        </w:tc>
        <w:tc>
          <w:tcPr>
            <w:tcW w:w="1579" w:type="dxa"/>
            <w:noWrap w:val="0"/>
            <w:vAlign w:val="center"/>
          </w:tcPr>
          <w:p w14:paraId="5CDAE365">
            <w:pPr>
              <w:jc w:val="center"/>
              <w:rPr>
                <w:rFonts w:hint="eastAsia"/>
                <w:szCs w:val="21"/>
              </w:rPr>
            </w:pPr>
          </w:p>
        </w:tc>
        <w:tc>
          <w:tcPr>
            <w:tcW w:w="900" w:type="dxa"/>
            <w:noWrap w:val="0"/>
            <w:vAlign w:val="center"/>
          </w:tcPr>
          <w:p w14:paraId="78A76696">
            <w:pPr>
              <w:jc w:val="center"/>
              <w:rPr>
                <w:rFonts w:hint="eastAsia"/>
                <w:szCs w:val="21"/>
              </w:rPr>
            </w:pPr>
          </w:p>
        </w:tc>
      </w:tr>
      <w:tr w14:paraId="01CD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7A9CD5B3">
            <w:pPr>
              <w:jc w:val="center"/>
              <w:rPr>
                <w:rFonts w:hint="eastAsia"/>
                <w:szCs w:val="21"/>
              </w:rPr>
            </w:pPr>
          </w:p>
        </w:tc>
        <w:tc>
          <w:tcPr>
            <w:tcW w:w="1980" w:type="dxa"/>
            <w:noWrap w:val="0"/>
            <w:vAlign w:val="center"/>
          </w:tcPr>
          <w:p w14:paraId="41EF69DC">
            <w:pPr>
              <w:jc w:val="center"/>
              <w:rPr>
                <w:rFonts w:hint="eastAsia"/>
                <w:szCs w:val="21"/>
              </w:rPr>
            </w:pPr>
          </w:p>
        </w:tc>
        <w:tc>
          <w:tcPr>
            <w:tcW w:w="900" w:type="dxa"/>
            <w:noWrap w:val="0"/>
            <w:vAlign w:val="center"/>
          </w:tcPr>
          <w:p w14:paraId="2FC176DC">
            <w:pPr>
              <w:jc w:val="center"/>
              <w:rPr>
                <w:rFonts w:hint="eastAsia"/>
                <w:szCs w:val="21"/>
              </w:rPr>
            </w:pPr>
          </w:p>
        </w:tc>
        <w:tc>
          <w:tcPr>
            <w:tcW w:w="900" w:type="dxa"/>
            <w:noWrap w:val="0"/>
            <w:vAlign w:val="center"/>
          </w:tcPr>
          <w:p w14:paraId="022227BD">
            <w:pPr>
              <w:jc w:val="center"/>
              <w:rPr>
                <w:rFonts w:hint="eastAsia"/>
                <w:szCs w:val="21"/>
              </w:rPr>
            </w:pPr>
          </w:p>
        </w:tc>
        <w:tc>
          <w:tcPr>
            <w:tcW w:w="846" w:type="dxa"/>
            <w:noWrap w:val="0"/>
            <w:vAlign w:val="center"/>
          </w:tcPr>
          <w:p w14:paraId="0C9E6C35">
            <w:pPr>
              <w:jc w:val="center"/>
              <w:rPr>
                <w:rFonts w:hint="eastAsia"/>
                <w:szCs w:val="21"/>
              </w:rPr>
            </w:pPr>
          </w:p>
        </w:tc>
        <w:tc>
          <w:tcPr>
            <w:tcW w:w="1355" w:type="dxa"/>
            <w:noWrap w:val="0"/>
            <w:vAlign w:val="center"/>
          </w:tcPr>
          <w:p w14:paraId="66548774">
            <w:pPr>
              <w:jc w:val="center"/>
              <w:rPr>
                <w:rFonts w:hint="eastAsia"/>
                <w:szCs w:val="21"/>
              </w:rPr>
            </w:pPr>
          </w:p>
        </w:tc>
        <w:tc>
          <w:tcPr>
            <w:tcW w:w="1579" w:type="dxa"/>
            <w:noWrap w:val="0"/>
            <w:vAlign w:val="center"/>
          </w:tcPr>
          <w:p w14:paraId="48C40332">
            <w:pPr>
              <w:jc w:val="center"/>
              <w:rPr>
                <w:rFonts w:hint="eastAsia"/>
                <w:szCs w:val="21"/>
              </w:rPr>
            </w:pPr>
          </w:p>
        </w:tc>
        <w:tc>
          <w:tcPr>
            <w:tcW w:w="900" w:type="dxa"/>
            <w:noWrap w:val="0"/>
            <w:vAlign w:val="center"/>
          </w:tcPr>
          <w:p w14:paraId="4DBCCC63">
            <w:pPr>
              <w:jc w:val="center"/>
              <w:rPr>
                <w:rFonts w:hint="eastAsia"/>
                <w:szCs w:val="21"/>
              </w:rPr>
            </w:pPr>
          </w:p>
        </w:tc>
      </w:tr>
      <w:tr w14:paraId="5FAD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351F9BBF">
            <w:pPr>
              <w:jc w:val="center"/>
              <w:rPr>
                <w:rFonts w:hint="eastAsia"/>
                <w:szCs w:val="21"/>
              </w:rPr>
            </w:pPr>
          </w:p>
        </w:tc>
        <w:tc>
          <w:tcPr>
            <w:tcW w:w="1980" w:type="dxa"/>
            <w:noWrap w:val="0"/>
            <w:vAlign w:val="center"/>
          </w:tcPr>
          <w:p w14:paraId="7BC9FF01">
            <w:pPr>
              <w:jc w:val="center"/>
              <w:rPr>
                <w:rFonts w:hint="eastAsia"/>
                <w:szCs w:val="21"/>
              </w:rPr>
            </w:pPr>
          </w:p>
        </w:tc>
        <w:tc>
          <w:tcPr>
            <w:tcW w:w="900" w:type="dxa"/>
            <w:noWrap w:val="0"/>
            <w:vAlign w:val="center"/>
          </w:tcPr>
          <w:p w14:paraId="64E4A11D">
            <w:pPr>
              <w:jc w:val="center"/>
              <w:rPr>
                <w:rFonts w:hint="eastAsia"/>
                <w:szCs w:val="21"/>
              </w:rPr>
            </w:pPr>
          </w:p>
        </w:tc>
        <w:tc>
          <w:tcPr>
            <w:tcW w:w="900" w:type="dxa"/>
            <w:noWrap w:val="0"/>
            <w:vAlign w:val="center"/>
          </w:tcPr>
          <w:p w14:paraId="4921C84D">
            <w:pPr>
              <w:jc w:val="center"/>
              <w:rPr>
                <w:rFonts w:hint="eastAsia"/>
                <w:szCs w:val="21"/>
              </w:rPr>
            </w:pPr>
          </w:p>
        </w:tc>
        <w:tc>
          <w:tcPr>
            <w:tcW w:w="846" w:type="dxa"/>
            <w:noWrap w:val="0"/>
            <w:vAlign w:val="center"/>
          </w:tcPr>
          <w:p w14:paraId="75622EAE">
            <w:pPr>
              <w:jc w:val="center"/>
              <w:rPr>
                <w:rFonts w:hint="eastAsia"/>
                <w:szCs w:val="21"/>
              </w:rPr>
            </w:pPr>
          </w:p>
        </w:tc>
        <w:tc>
          <w:tcPr>
            <w:tcW w:w="1355" w:type="dxa"/>
            <w:noWrap w:val="0"/>
            <w:vAlign w:val="center"/>
          </w:tcPr>
          <w:p w14:paraId="1D38C686">
            <w:pPr>
              <w:jc w:val="center"/>
              <w:rPr>
                <w:rFonts w:hint="eastAsia"/>
                <w:szCs w:val="21"/>
              </w:rPr>
            </w:pPr>
          </w:p>
        </w:tc>
        <w:tc>
          <w:tcPr>
            <w:tcW w:w="1579" w:type="dxa"/>
            <w:noWrap w:val="0"/>
            <w:vAlign w:val="center"/>
          </w:tcPr>
          <w:p w14:paraId="1B05CA62">
            <w:pPr>
              <w:jc w:val="center"/>
              <w:rPr>
                <w:rFonts w:hint="eastAsia"/>
                <w:szCs w:val="21"/>
              </w:rPr>
            </w:pPr>
          </w:p>
        </w:tc>
        <w:tc>
          <w:tcPr>
            <w:tcW w:w="900" w:type="dxa"/>
            <w:noWrap w:val="0"/>
            <w:vAlign w:val="center"/>
          </w:tcPr>
          <w:p w14:paraId="46BC89C9">
            <w:pPr>
              <w:jc w:val="center"/>
              <w:rPr>
                <w:rFonts w:hint="eastAsia"/>
                <w:szCs w:val="21"/>
              </w:rPr>
            </w:pPr>
          </w:p>
        </w:tc>
      </w:tr>
      <w:tr w14:paraId="2284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146F1B1A">
            <w:pPr>
              <w:jc w:val="center"/>
              <w:rPr>
                <w:rFonts w:hint="eastAsia"/>
                <w:szCs w:val="21"/>
              </w:rPr>
            </w:pPr>
          </w:p>
        </w:tc>
        <w:tc>
          <w:tcPr>
            <w:tcW w:w="1980" w:type="dxa"/>
            <w:noWrap w:val="0"/>
            <w:vAlign w:val="center"/>
          </w:tcPr>
          <w:p w14:paraId="72FD3518">
            <w:pPr>
              <w:jc w:val="center"/>
              <w:rPr>
                <w:rFonts w:hint="eastAsia"/>
                <w:szCs w:val="21"/>
              </w:rPr>
            </w:pPr>
          </w:p>
        </w:tc>
        <w:tc>
          <w:tcPr>
            <w:tcW w:w="900" w:type="dxa"/>
            <w:noWrap w:val="0"/>
            <w:vAlign w:val="center"/>
          </w:tcPr>
          <w:p w14:paraId="12F8985B">
            <w:pPr>
              <w:jc w:val="center"/>
              <w:rPr>
                <w:rFonts w:hint="eastAsia"/>
                <w:szCs w:val="21"/>
              </w:rPr>
            </w:pPr>
          </w:p>
        </w:tc>
        <w:tc>
          <w:tcPr>
            <w:tcW w:w="900" w:type="dxa"/>
            <w:noWrap w:val="0"/>
            <w:vAlign w:val="center"/>
          </w:tcPr>
          <w:p w14:paraId="7767ED64">
            <w:pPr>
              <w:jc w:val="center"/>
              <w:rPr>
                <w:rFonts w:hint="eastAsia"/>
                <w:szCs w:val="21"/>
              </w:rPr>
            </w:pPr>
          </w:p>
        </w:tc>
        <w:tc>
          <w:tcPr>
            <w:tcW w:w="846" w:type="dxa"/>
            <w:noWrap w:val="0"/>
            <w:vAlign w:val="center"/>
          </w:tcPr>
          <w:p w14:paraId="17EEA9DD">
            <w:pPr>
              <w:jc w:val="center"/>
              <w:rPr>
                <w:rFonts w:hint="eastAsia"/>
                <w:szCs w:val="21"/>
              </w:rPr>
            </w:pPr>
          </w:p>
        </w:tc>
        <w:tc>
          <w:tcPr>
            <w:tcW w:w="1355" w:type="dxa"/>
            <w:noWrap w:val="0"/>
            <w:vAlign w:val="center"/>
          </w:tcPr>
          <w:p w14:paraId="4BAD7F68">
            <w:pPr>
              <w:jc w:val="center"/>
              <w:rPr>
                <w:rFonts w:hint="eastAsia"/>
                <w:szCs w:val="21"/>
              </w:rPr>
            </w:pPr>
          </w:p>
        </w:tc>
        <w:tc>
          <w:tcPr>
            <w:tcW w:w="1579" w:type="dxa"/>
            <w:noWrap w:val="0"/>
            <w:vAlign w:val="center"/>
          </w:tcPr>
          <w:p w14:paraId="2920414F">
            <w:pPr>
              <w:jc w:val="center"/>
              <w:rPr>
                <w:rFonts w:hint="eastAsia"/>
                <w:szCs w:val="21"/>
              </w:rPr>
            </w:pPr>
          </w:p>
        </w:tc>
        <w:tc>
          <w:tcPr>
            <w:tcW w:w="900" w:type="dxa"/>
            <w:noWrap w:val="0"/>
            <w:vAlign w:val="center"/>
          </w:tcPr>
          <w:p w14:paraId="40245FDF">
            <w:pPr>
              <w:jc w:val="center"/>
              <w:rPr>
                <w:rFonts w:hint="eastAsia"/>
                <w:szCs w:val="21"/>
              </w:rPr>
            </w:pPr>
          </w:p>
        </w:tc>
      </w:tr>
      <w:tr w14:paraId="4241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5052D566">
            <w:pPr>
              <w:jc w:val="center"/>
              <w:rPr>
                <w:rFonts w:hint="eastAsia"/>
                <w:szCs w:val="21"/>
              </w:rPr>
            </w:pPr>
          </w:p>
        </w:tc>
        <w:tc>
          <w:tcPr>
            <w:tcW w:w="1980" w:type="dxa"/>
            <w:noWrap w:val="0"/>
            <w:vAlign w:val="center"/>
          </w:tcPr>
          <w:p w14:paraId="07FFB484">
            <w:pPr>
              <w:jc w:val="center"/>
              <w:rPr>
                <w:rFonts w:hint="eastAsia"/>
                <w:szCs w:val="21"/>
              </w:rPr>
            </w:pPr>
          </w:p>
        </w:tc>
        <w:tc>
          <w:tcPr>
            <w:tcW w:w="900" w:type="dxa"/>
            <w:noWrap w:val="0"/>
            <w:vAlign w:val="center"/>
          </w:tcPr>
          <w:p w14:paraId="78E5DEAA">
            <w:pPr>
              <w:jc w:val="center"/>
              <w:rPr>
                <w:rFonts w:hint="eastAsia"/>
                <w:szCs w:val="21"/>
              </w:rPr>
            </w:pPr>
          </w:p>
        </w:tc>
        <w:tc>
          <w:tcPr>
            <w:tcW w:w="900" w:type="dxa"/>
            <w:noWrap w:val="0"/>
            <w:vAlign w:val="center"/>
          </w:tcPr>
          <w:p w14:paraId="51494F98">
            <w:pPr>
              <w:jc w:val="center"/>
              <w:rPr>
                <w:rFonts w:hint="eastAsia"/>
                <w:szCs w:val="21"/>
              </w:rPr>
            </w:pPr>
          </w:p>
        </w:tc>
        <w:tc>
          <w:tcPr>
            <w:tcW w:w="846" w:type="dxa"/>
            <w:noWrap w:val="0"/>
            <w:vAlign w:val="center"/>
          </w:tcPr>
          <w:p w14:paraId="6392E09F">
            <w:pPr>
              <w:jc w:val="center"/>
              <w:rPr>
                <w:rFonts w:hint="eastAsia"/>
                <w:szCs w:val="21"/>
              </w:rPr>
            </w:pPr>
          </w:p>
        </w:tc>
        <w:tc>
          <w:tcPr>
            <w:tcW w:w="1355" w:type="dxa"/>
            <w:noWrap w:val="0"/>
            <w:vAlign w:val="center"/>
          </w:tcPr>
          <w:p w14:paraId="627CC45C">
            <w:pPr>
              <w:jc w:val="center"/>
              <w:rPr>
                <w:rFonts w:hint="eastAsia"/>
                <w:szCs w:val="21"/>
              </w:rPr>
            </w:pPr>
          </w:p>
        </w:tc>
        <w:tc>
          <w:tcPr>
            <w:tcW w:w="1579" w:type="dxa"/>
            <w:noWrap w:val="0"/>
            <w:vAlign w:val="center"/>
          </w:tcPr>
          <w:p w14:paraId="69AED27A">
            <w:pPr>
              <w:jc w:val="center"/>
              <w:rPr>
                <w:rFonts w:hint="eastAsia"/>
                <w:szCs w:val="21"/>
              </w:rPr>
            </w:pPr>
          </w:p>
        </w:tc>
        <w:tc>
          <w:tcPr>
            <w:tcW w:w="900" w:type="dxa"/>
            <w:noWrap w:val="0"/>
            <w:vAlign w:val="center"/>
          </w:tcPr>
          <w:p w14:paraId="283873C1">
            <w:pPr>
              <w:jc w:val="center"/>
              <w:rPr>
                <w:rFonts w:hint="eastAsia"/>
                <w:szCs w:val="21"/>
              </w:rPr>
            </w:pPr>
          </w:p>
        </w:tc>
      </w:tr>
      <w:tr w14:paraId="6F74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37065154">
            <w:pPr>
              <w:jc w:val="center"/>
              <w:rPr>
                <w:rFonts w:hint="eastAsia"/>
                <w:szCs w:val="21"/>
              </w:rPr>
            </w:pPr>
          </w:p>
        </w:tc>
        <w:tc>
          <w:tcPr>
            <w:tcW w:w="1980" w:type="dxa"/>
            <w:noWrap w:val="0"/>
            <w:vAlign w:val="center"/>
          </w:tcPr>
          <w:p w14:paraId="49F8C876">
            <w:pPr>
              <w:jc w:val="center"/>
              <w:rPr>
                <w:rFonts w:hint="eastAsia"/>
                <w:szCs w:val="21"/>
              </w:rPr>
            </w:pPr>
          </w:p>
        </w:tc>
        <w:tc>
          <w:tcPr>
            <w:tcW w:w="900" w:type="dxa"/>
            <w:noWrap w:val="0"/>
            <w:vAlign w:val="center"/>
          </w:tcPr>
          <w:p w14:paraId="1F213194">
            <w:pPr>
              <w:jc w:val="center"/>
              <w:rPr>
                <w:rFonts w:hint="eastAsia"/>
                <w:szCs w:val="21"/>
              </w:rPr>
            </w:pPr>
          </w:p>
        </w:tc>
        <w:tc>
          <w:tcPr>
            <w:tcW w:w="900" w:type="dxa"/>
            <w:noWrap w:val="0"/>
            <w:vAlign w:val="center"/>
          </w:tcPr>
          <w:p w14:paraId="47001246">
            <w:pPr>
              <w:jc w:val="center"/>
              <w:rPr>
                <w:rFonts w:hint="eastAsia"/>
                <w:szCs w:val="21"/>
              </w:rPr>
            </w:pPr>
          </w:p>
        </w:tc>
        <w:tc>
          <w:tcPr>
            <w:tcW w:w="846" w:type="dxa"/>
            <w:noWrap w:val="0"/>
            <w:vAlign w:val="center"/>
          </w:tcPr>
          <w:p w14:paraId="0D3F7476">
            <w:pPr>
              <w:jc w:val="center"/>
              <w:rPr>
                <w:rFonts w:hint="eastAsia"/>
                <w:szCs w:val="21"/>
              </w:rPr>
            </w:pPr>
          </w:p>
        </w:tc>
        <w:tc>
          <w:tcPr>
            <w:tcW w:w="1355" w:type="dxa"/>
            <w:noWrap w:val="0"/>
            <w:vAlign w:val="center"/>
          </w:tcPr>
          <w:p w14:paraId="05B73529">
            <w:pPr>
              <w:jc w:val="center"/>
              <w:rPr>
                <w:rFonts w:hint="eastAsia"/>
                <w:szCs w:val="21"/>
              </w:rPr>
            </w:pPr>
          </w:p>
        </w:tc>
        <w:tc>
          <w:tcPr>
            <w:tcW w:w="1579" w:type="dxa"/>
            <w:noWrap w:val="0"/>
            <w:vAlign w:val="center"/>
          </w:tcPr>
          <w:p w14:paraId="2D1865E6">
            <w:pPr>
              <w:jc w:val="center"/>
              <w:rPr>
                <w:rFonts w:hint="eastAsia"/>
                <w:szCs w:val="21"/>
              </w:rPr>
            </w:pPr>
          </w:p>
        </w:tc>
        <w:tc>
          <w:tcPr>
            <w:tcW w:w="900" w:type="dxa"/>
            <w:noWrap w:val="0"/>
            <w:vAlign w:val="center"/>
          </w:tcPr>
          <w:p w14:paraId="59463D5A">
            <w:pPr>
              <w:jc w:val="center"/>
              <w:rPr>
                <w:rFonts w:hint="eastAsia"/>
                <w:szCs w:val="21"/>
              </w:rPr>
            </w:pPr>
          </w:p>
        </w:tc>
      </w:tr>
      <w:tr w14:paraId="3FA9E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22E6D54C">
            <w:pPr>
              <w:jc w:val="center"/>
              <w:rPr>
                <w:rFonts w:hint="eastAsia"/>
                <w:szCs w:val="21"/>
              </w:rPr>
            </w:pPr>
          </w:p>
        </w:tc>
        <w:tc>
          <w:tcPr>
            <w:tcW w:w="1980" w:type="dxa"/>
            <w:noWrap w:val="0"/>
            <w:vAlign w:val="center"/>
          </w:tcPr>
          <w:p w14:paraId="34D19802">
            <w:pPr>
              <w:jc w:val="center"/>
              <w:rPr>
                <w:rFonts w:hint="eastAsia"/>
                <w:szCs w:val="21"/>
              </w:rPr>
            </w:pPr>
          </w:p>
        </w:tc>
        <w:tc>
          <w:tcPr>
            <w:tcW w:w="900" w:type="dxa"/>
            <w:noWrap w:val="0"/>
            <w:vAlign w:val="center"/>
          </w:tcPr>
          <w:p w14:paraId="468C7199">
            <w:pPr>
              <w:jc w:val="center"/>
              <w:rPr>
                <w:rFonts w:hint="eastAsia"/>
                <w:szCs w:val="21"/>
              </w:rPr>
            </w:pPr>
          </w:p>
        </w:tc>
        <w:tc>
          <w:tcPr>
            <w:tcW w:w="900" w:type="dxa"/>
            <w:noWrap w:val="0"/>
            <w:vAlign w:val="center"/>
          </w:tcPr>
          <w:p w14:paraId="0D47B50F">
            <w:pPr>
              <w:jc w:val="center"/>
              <w:rPr>
                <w:rFonts w:hint="eastAsia"/>
                <w:szCs w:val="21"/>
              </w:rPr>
            </w:pPr>
          </w:p>
        </w:tc>
        <w:tc>
          <w:tcPr>
            <w:tcW w:w="846" w:type="dxa"/>
            <w:noWrap w:val="0"/>
            <w:vAlign w:val="center"/>
          </w:tcPr>
          <w:p w14:paraId="702DBF39">
            <w:pPr>
              <w:jc w:val="center"/>
              <w:rPr>
                <w:rFonts w:hint="eastAsia"/>
                <w:szCs w:val="21"/>
              </w:rPr>
            </w:pPr>
          </w:p>
        </w:tc>
        <w:tc>
          <w:tcPr>
            <w:tcW w:w="1355" w:type="dxa"/>
            <w:noWrap w:val="0"/>
            <w:vAlign w:val="center"/>
          </w:tcPr>
          <w:p w14:paraId="0CC4EEA9">
            <w:pPr>
              <w:jc w:val="center"/>
              <w:rPr>
                <w:rFonts w:hint="eastAsia"/>
                <w:szCs w:val="21"/>
              </w:rPr>
            </w:pPr>
          </w:p>
        </w:tc>
        <w:tc>
          <w:tcPr>
            <w:tcW w:w="1579" w:type="dxa"/>
            <w:noWrap w:val="0"/>
            <w:vAlign w:val="center"/>
          </w:tcPr>
          <w:p w14:paraId="51718866">
            <w:pPr>
              <w:jc w:val="center"/>
              <w:rPr>
                <w:rFonts w:hint="eastAsia"/>
                <w:szCs w:val="21"/>
              </w:rPr>
            </w:pPr>
          </w:p>
        </w:tc>
        <w:tc>
          <w:tcPr>
            <w:tcW w:w="900" w:type="dxa"/>
            <w:noWrap w:val="0"/>
            <w:vAlign w:val="center"/>
          </w:tcPr>
          <w:p w14:paraId="423EAF32">
            <w:pPr>
              <w:jc w:val="center"/>
              <w:rPr>
                <w:rFonts w:hint="eastAsia"/>
                <w:szCs w:val="21"/>
              </w:rPr>
            </w:pPr>
          </w:p>
        </w:tc>
      </w:tr>
      <w:tr w14:paraId="5816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0" w:hRule="atLeast"/>
        </w:trPr>
        <w:tc>
          <w:tcPr>
            <w:tcW w:w="648" w:type="dxa"/>
            <w:noWrap w:val="0"/>
            <w:vAlign w:val="center"/>
          </w:tcPr>
          <w:p w14:paraId="366C1EE4">
            <w:pPr>
              <w:jc w:val="center"/>
              <w:rPr>
                <w:rFonts w:hint="eastAsia"/>
                <w:szCs w:val="21"/>
              </w:rPr>
            </w:pPr>
          </w:p>
        </w:tc>
        <w:tc>
          <w:tcPr>
            <w:tcW w:w="1980" w:type="dxa"/>
            <w:noWrap w:val="0"/>
            <w:vAlign w:val="center"/>
          </w:tcPr>
          <w:p w14:paraId="5CB2540E">
            <w:pPr>
              <w:jc w:val="center"/>
              <w:rPr>
                <w:rFonts w:hint="eastAsia"/>
                <w:szCs w:val="21"/>
              </w:rPr>
            </w:pPr>
          </w:p>
        </w:tc>
        <w:tc>
          <w:tcPr>
            <w:tcW w:w="900" w:type="dxa"/>
            <w:noWrap w:val="0"/>
            <w:vAlign w:val="center"/>
          </w:tcPr>
          <w:p w14:paraId="59CA2A9D">
            <w:pPr>
              <w:jc w:val="center"/>
              <w:rPr>
                <w:rFonts w:hint="eastAsia"/>
                <w:szCs w:val="21"/>
              </w:rPr>
            </w:pPr>
          </w:p>
        </w:tc>
        <w:tc>
          <w:tcPr>
            <w:tcW w:w="900" w:type="dxa"/>
            <w:noWrap w:val="0"/>
            <w:vAlign w:val="center"/>
          </w:tcPr>
          <w:p w14:paraId="70A292B2">
            <w:pPr>
              <w:jc w:val="center"/>
              <w:rPr>
                <w:rFonts w:hint="eastAsia"/>
                <w:szCs w:val="21"/>
              </w:rPr>
            </w:pPr>
          </w:p>
        </w:tc>
        <w:tc>
          <w:tcPr>
            <w:tcW w:w="846" w:type="dxa"/>
            <w:noWrap w:val="0"/>
            <w:vAlign w:val="center"/>
          </w:tcPr>
          <w:p w14:paraId="357623FA">
            <w:pPr>
              <w:jc w:val="center"/>
              <w:rPr>
                <w:rFonts w:hint="eastAsia"/>
                <w:szCs w:val="21"/>
              </w:rPr>
            </w:pPr>
          </w:p>
        </w:tc>
        <w:tc>
          <w:tcPr>
            <w:tcW w:w="1355" w:type="dxa"/>
            <w:noWrap w:val="0"/>
            <w:vAlign w:val="center"/>
          </w:tcPr>
          <w:p w14:paraId="6FFEAD66">
            <w:pPr>
              <w:jc w:val="center"/>
              <w:rPr>
                <w:rFonts w:hint="eastAsia"/>
                <w:szCs w:val="21"/>
              </w:rPr>
            </w:pPr>
          </w:p>
        </w:tc>
        <w:tc>
          <w:tcPr>
            <w:tcW w:w="1579" w:type="dxa"/>
            <w:noWrap w:val="0"/>
            <w:vAlign w:val="center"/>
          </w:tcPr>
          <w:p w14:paraId="2E3A1BD3">
            <w:pPr>
              <w:jc w:val="center"/>
              <w:rPr>
                <w:rFonts w:hint="eastAsia"/>
                <w:szCs w:val="21"/>
              </w:rPr>
            </w:pPr>
          </w:p>
        </w:tc>
        <w:tc>
          <w:tcPr>
            <w:tcW w:w="900" w:type="dxa"/>
            <w:noWrap w:val="0"/>
            <w:vAlign w:val="center"/>
          </w:tcPr>
          <w:p w14:paraId="2973AC52">
            <w:pPr>
              <w:jc w:val="center"/>
              <w:rPr>
                <w:rFonts w:hint="eastAsia"/>
                <w:szCs w:val="21"/>
              </w:rPr>
            </w:pPr>
          </w:p>
        </w:tc>
      </w:tr>
      <w:tr w14:paraId="23A7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48" w:type="dxa"/>
            <w:noWrap w:val="0"/>
            <w:vAlign w:val="center"/>
          </w:tcPr>
          <w:p w14:paraId="7AF5087D">
            <w:pPr>
              <w:jc w:val="center"/>
              <w:rPr>
                <w:rFonts w:hint="eastAsia"/>
                <w:szCs w:val="21"/>
              </w:rPr>
            </w:pPr>
          </w:p>
        </w:tc>
        <w:tc>
          <w:tcPr>
            <w:tcW w:w="1980" w:type="dxa"/>
            <w:noWrap w:val="0"/>
            <w:vAlign w:val="center"/>
          </w:tcPr>
          <w:p w14:paraId="65E4CC65">
            <w:pPr>
              <w:jc w:val="center"/>
              <w:rPr>
                <w:rFonts w:hint="eastAsia"/>
                <w:szCs w:val="21"/>
              </w:rPr>
            </w:pPr>
          </w:p>
        </w:tc>
        <w:tc>
          <w:tcPr>
            <w:tcW w:w="900" w:type="dxa"/>
            <w:noWrap w:val="0"/>
            <w:vAlign w:val="center"/>
          </w:tcPr>
          <w:p w14:paraId="1BACC831">
            <w:pPr>
              <w:jc w:val="center"/>
              <w:rPr>
                <w:rFonts w:hint="eastAsia"/>
                <w:szCs w:val="21"/>
              </w:rPr>
            </w:pPr>
          </w:p>
        </w:tc>
        <w:tc>
          <w:tcPr>
            <w:tcW w:w="900" w:type="dxa"/>
            <w:noWrap w:val="0"/>
            <w:vAlign w:val="center"/>
          </w:tcPr>
          <w:p w14:paraId="161B77B3">
            <w:pPr>
              <w:jc w:val="center"/>
              <w:rPr>
                <w:rFonts w:hint="eastAsia"/>
                <w:szCs w:val="21"/>
              </w:rPr>
            </w:pPr>
          </w:p>
        </w:tc>
        <w:tc>
          <w:tcPr>
            <w:tcW w:w="846" w:type="dxa"/>
            <w:noWrap w:val="0"/>
            <w:vAlign w:val="center"/>
          </w:tcPr>
          <w:p w14:paraId="618E1A5F">
            <w:pPr>
              <w:jc w:val="center"/>
              <w:rPr>
                <w:rFonts w:hint="eastAsia"/>
                <w:szCs w:val="21"/>
              </w:rPr>
            </w:pPr>
          </w:p>
        </w:tc>
        <w:tc>
          <w:tcPr>
            <w:tcW w:w="1355" w:type="dxa"/>
            <w:noWrap w:val="0"/>
            <w:vAlign w:val="center"/>
          </w:tcPr>
          <w:p w14:paraId="683D1014">
            <w:pPr>
              <w:jc w:val="center"/>
              <w:rPr>
                <w:rFonts w:hint="eastAsia"/>
                <w:szCs w:val="21"/>
              </w:rPr>
            </w:pPr>
          </w:p>
        </w:tc>
        <w:tc>
          <w:tcPr>
            <w:tcW w:w="1579" w:type="dxa"/>
            <w:noWrap w:val="0"/>
            <w:vAlign w:val="center"/>
          </w:tcPr>
          <w:p w14:paraId="7216B060">
            <w:pPr>
              <w:jc w:val="center"/>
              <w:rPr>
                <w:rFonts w:hint="eastAsia"/>
                <w:szCs w:val="21"/>
              </w:rPr>
            </w:pPr>
          </w:p>
        </w:tc>
        <w:tc>
          <w:tcPr>
            <w:tcW w:w="900" w:type="dxa"/>
            <w:noWrap w:val="0"/>
            <w:vAlign w:val="center"/>
          </w:tcPr>
          <w:p w14:paraId="3894D5DE">
            <w:pPr>
              <w:jc w:val="center"/>
              <w:rPr>
                <w:rFonts w:hint="eastAsia"/>
                <w:szCs w:val="21"/>
              </w:rPr>
            </w:pPr>
          </w:p>
        </w:tc>
      </w:tr>
    </w:tbl>
    <w:p w14:paraId="6412190A">
      <w:pPr>
        <w:rPr>
          <w:rFonts w:hint="eastAsia"/>
          <w:szCs w:val="21"/>
        </w:rPr>
      </w:pPr>
    </w:p>
    <w:p w14:paraId="0A3D0ED4">
      <w:pPr>
        <w:rPr>
          <w:rFonts w:hint="eastAsia"/>
          <w:szCs w:val="21"/>
        </w:rPr>
      </w:pPr>
    </w:p>
    <w:p w14:paraId="3F3AC6D1">
      <w:pPr>
        <w:rPr>
          <w:rFonts w:hint="eastAsia"/>
          <w:szCs w:val="21"/>
        </w:rPr>
      </w:pPr>
      <w:r>
        <w:rPr>
          <w:rFonts w:hint="eastAsia"/>
          <w:szCs w:val="21"/>
        </w:rPr>
        <w:t>注：此表由招标人填写，供投标人在投标报价、确定总承包服务费时参考。</w:t>
      </w:r>
    </w:p>
    <w:p w14:paraId="39718AE6">
      <w:pPr>
        <w:rPr>
          <w:rFonts w:hint="eastAsia"/>
          <w:szCs w:val="21"/>
        </w:rPr>
      </w:pPr>
    </w:p>
    <w:p w14:paraId="7013D7DC">
      <w:pPr>
        <w:pStyle w:val="20"/>
        <w:rPr>
          <w:rFonts w:hint="eastAsia" w:ascii="宋体" w:hAnsi="宋体" w:eastAsia="宋体"/>
        </w:rPr>
      </w:pPr>
      <w:bookmarkStart w:id="2603" w:name="_Toc108514189"/>
      <w:r>
        <w:rPr>
          <w:rFonts w:hint="eastAsia"/>
        </w:rPr>
        <w:t>4.15承包人提供主要材料和工程设备一览表</w:t>
      </w:r>
      <w:r>
        <w:rPr>
          <w:rFonts w:hint="eastAsia" w:ascii="宋体" w:hAnsi="宋体" w:eastAsia="宋体"/>
        </w:rPr>
        <w:t>（适用于造价信息差额调整法）</w:t>
      </w:r>
      <w:bookmarkEnd w:id="2603"/>
    </w:p>
    <w:p w14:paraId="4259D2E6">
      <w:pPr>
        <w:rPr>
          <w:rFonts w:hint="eastAsia"/>
          <w:szCs w:val="21"/>
        </w:rPr>
      </w:pPr>
    </w:p>
    <w:p w14:paraId="1B0F99D4">
      <w:pPr>
        <w:rPr>
          <w:rFonts w:hint="eastAsia"/>
          <w:szCs w:val="21"/>
        </w:rPr>
      </w:pPr>
    </w:p>
    <w:p w14:paraId="738E3750">
      <w:pPr>
        <w:jc w:val="center"/>
        <w:rPr>
          <w:rFonts w:hint="eastAsia" w:ascii="黑体" w:eastAsia="黑体"/>
          <w:sz w:val="28"/>
          <w:szCs w:val="28"/>
        </w:rPr>
      </w:pPr>
      <w:r>
        <w:rPr>
          <w:rFonts w:hint="eastAsia" w:ascii="黑体" w:eastAsia="黑体"/>
          <w:sz w:val="28"/>
          <w:szCs w:val="28"/>
        </w:rPr>
        <w:t>承包人提供主要材料和工程设备一览表</w:t>
      </w:r>
    </w:p>
    <w:p w14:paraId="380E2FE9">
      <w:pPr>
        <w:jc w:val="center"/>
        <w:rPr>
          <w:rFonts w:hint="eastAsia"/>
          <w:szCs w:val="21"/>
        </w:rPr>
      </w:pPr>
    </w:p>
    <w:p w14:paraId="48504B4A">
      <w:pPr>
        <w:rPr>
          <w:rFonts w:hint="eastAsia"/>
        </w:rPr>
      </w:pPr>
      <w:r>
        <w:rPr>
          <w:rFonts w:hint="eastAsia"/>
        </w:rPr>
        <w:t>工程名称：                        标段名称：                 第  页  共  页</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1725"/>
        <w:gridCol w:w="649"/>
        <w:gridCol w:w="768"/>
        <w:gridCol w:w="880"/>
        <w:gridCol w:w="929"/>
        <w:gridCol w:w="1374"/>
        <w:gridCol w:w="1551"/>
        <w:gridCol w:w="655"/>
      </w:tblGrid>
      <w:tr w14:paraId="5092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587" w:type="dxa"/>
            <w:noWrap w:val="0"/>
            <w:vAlign w:val="center"/>
          </w:tcPr>
          <w:p w14:paraId="18079B89">
            <w:pPr>
              <w:jc w:val="center"/>
              <w:rPr>
                <w:rFonts w:hint="eastAsia"/>
                <w:szCs w:val="21"/>
              </w:rPr>
            </w:pPr>
            <w:r>
              <w:rPr>
                <w:rFonts w:hint="eastAsia"/>
                <w:szCs w:val="21"/>
              </w:rPr>
              <w:t>序号</w:t>
            </w:r>
          </w:p>
        </w:tc>
        <w:tc>
          <w:tcPr>
            <w:tcW w:w="1725" w:type="dxa"/>
            <w:noWrap w:val="0"/>
            <w:vAlign w:val="center"/>
          </w:tcPr>
          <w:p w14:paraId="49A59FC7">
            <w:pPr>
              <w:jc w:val="center"/>
              <w:rPr>
                <w:rFonts w:hint="eastAsia"/>
                <w:szCs w:val="21"/>
              </w:rPr>
            </w:pPr>
            <w:r>
              <w:rPr>
                <w:rFonts w:hint="eastAsia"/>
                <w:szCs w:val="21"/>
              </w:rPr>
              <w:t>名称、规格、型号</w:t>
            </w:r>
          </w:p>
        </w:tc>
        <w:tc>
          <w:tcPr>
            <w:tcW w:w="649" w:type="dxa"/>
            <w:noWrap w:val="0"/>
            <w:vAlign w:val="center"/>
          </w:tcPr>
          <w:p w14:paraId="7CE6ED05">
            <w:pPr>
              <w:jc w:val="center"/>
              <w:rPr>
                <w:rFonts w:hint="eastAsia"/>
                <w:szCs w:val="21"/>
              </w:rPr>
            </w:pPr>
            <w:r>
              <w:rPr>
                <w:rFonts w:hint="eastAsia"/>
                <w:szCs w:val="21"/>
              </w:rPr>
              <w:t>单位</w:t>
            </w:r>
          </w:p>
        </w:tc>
        <w:tc>
          <w:tcPr>
            <w:tcW w:w="768" w:type="dxa"/>
            <w:noWrap w:val="0"/>
            <w:vAlign w:val="center"/>
          </w:tcPr>
          <w:p w14:paraId="53EBDBFA">
            <w:pPr>
              <w:jc w:val="center"/>
              <w:rPr>
                <w:rFonts w:hint="eastAsia"/>
                <w:szCs w:val="21"/>
              </w:rPr>
            </w:pPr>
            <w:r>
              <w:rPr>
                <w:rFonts w:hint="eastAsia"/>
                <w:szCs w:val="21"/>
              </w:rPr>
              <w:t>数量</w:t>
            </w:r>
          </w:p>
        </w:tc>
        <w:tc>
          <w:tcPr>
            <w:tcW w:w="880" w:type="dxa"/>
            <w:noWrap w:val="0"/>
            <w:vAlign w:val="center"/>
          </w:tcPr>
          <w:p w14:paraId="2DB4FF7D">
            <w:pPr>
              <w:jc w:val="center"/>
              <w:rPr>
                <w:rFonts w:hint="eastAsia"/>
                <w:szCs w:val="21"/>
              </w:rPr>
            </w:pPr>
            <w:r>
              <w:rPr>
                <w:rFonts w:hint="eastAsia"/>
                <w:szCs w:val="21"/>
              </w:rPr>
              <w:t>风险</w:t>
            </w:r>
          </w:p>
          <w:p w14:paraId="4AD33F2C">
            <w:pPr>
              <w:jc w:val="center"/>
              <w:rPr>
                <w:rFonts w:hint="eastAsia"/>
                <w:szCs w:val="21"/>
              </w:rPr>
            </w:pPr>
            <w:r>
              <w:rPr>
                <w:rFonts w:hint="eastAsia"/>
                <w:szCs w:val="21"/>
              </w:rPr>
              <w:t>系数（%）</w:t>
            </w:r>
          </w:p>
        </w:tc>
        <w:tc>
          <w:tcPr>
            <w:tcW w:w="929" w:type="dxa"/>
            <w:noWrap w:val="0"/>
            <w:vAlign w:val="center"/>
          </w:tcPr>
          <w:p w14:paraId="169D5AA1">
            <w:pPr>
              <w:jc w:val="center"/>
              <w:rPr>
                <w:rFonts w:hint="eastAsia"/>
                <w:szCs w:val="21"/>
              </w:rPr>
            </w:pPr>
            <w:r>
              <w:rPr>
                <w:rFonts w:hint="eastAsia"/>
                <w:szCs w:val="21"/>
              </w:rPr>
              <w:t>基准</w:t>
            </w:r>
          </w:p>
          <w:p w14:paraId="4946AA50">
            <w:pPr>
              <w:jc w:val="center"/>
              <w:rPr>
                <w:rFonts w:hint="eastAsia"/>
                <w:szCs w:val="21"/>
              </w:rPr>
            </w:pPr>
            <w:r>
              <w:rPr>
                <w:rFonts w:hint="eastAsia"/>
                <w:szCs w:val="21"/>
              </w:rPr>
              <w:t>单价（元）</w:t>
            </w:r>
          </w:p>
        </w:tc>
        <w:tc>
          <w:tcPr>
            <w:tcW w:w="1374" w:type="dxa"/>
            <w:noWrap w:val="0"/>
            <w:vAlign w:val="center"/>
          </w:tcPr>
          <w:p w14:paraId="030E6771">
            <w:pPr>
              <w:jc w:val="center"/>
              <w:rPr>
                <w:rFonts w:hint="eastAsia"/>
                <w:szCs w:val="21"/>
              </w:rPr>
            </w:pPr>
            <w:r>
              <w:rPr>
                <w:rFonts w:hint="eastAsia"/>
                <w:szCs w:val="21"/>
              </w:rPr>
              <w:t>投标单价（元）</w:t>
            </w:r>
          </w:p>
        </w:tc>
        <w:tc>
          <w:tcPr>
            <w:tcW w:w="1551" w:type="dxa"/>
            <w:noWrap w:val="0"/>
            <w:vAlign w:val="center"/>
          </w:tcPr>
          <w:p w14:paraId="0B24E2C5">
            <w:pPr>
              <w:jc w:val="center"/>
              <w:rPr>
                <w:rFonts w:hint="eastAsia"/>
                <w:szCs w:val="21"/>
              </w:rPr>
            </w:pPr>
            <w:r>
              <w:rPr>
                <w:rFonts w:hint="eastAsia"/>
                <w:szCs w:val="21"/>
              </w:rPr>
              <w:t>发承包人确认单价（元）</w:t>
            </w:r>
          </w:p>
        </w:tc>
        <w:tc>
          <w:tcPr>
            <w:tcW w:w="655" w:type="dxa"/>
            <w:noWrap w:val="0"/>
            <w:vAlign w:val="center"/>
          </w:tcPr>
          <w:p w14:paraId="663E0D24">
            <w:pPr>
              <w:jc w:val="center"/>
              <w:rPr>
                <w:rFonts w:hint="eastAsia"/>
                <w:szCs w:val="21"/>
              </w:rPr>
            </w:pPr>
            <w:r>
              <w:rPr>
                <w:rFonts w:hint="eastAsia"/>
                <w:szCs w:val="21"/>
              </w:rPr>
              <w:t>备注</w:t>
            </w:r>
          </w:p>
        </w:tc>
      </w:tr>
      <w:tr w14:paraId="6334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735E218D">
            <w:pPr>
              <w:jc w:val="center"/>
              <w:rPr>
                <w:rFonts w:hint="eastAsia"/>
                <w:szCs w:val="21"/>
              </w:rPr>
            </w:pPr>
          </w:p>
        </w:tc>
        <w:tc>
          <w:tcPr>
            <w:tcW w:w="1725" w:type="dxa"/>
            <w:noWrap w:val="0"/>
            <w:vAlign w:val="center"/>
          </w:tcPr>
          <w:p w14:paraId="724BE5B6">
            <w:pPr>
              <w:jc w:val="center"/>
              <w:rPr>
                <w:rFonts w:hint="eastAsia"/>
                <w:szCs w:val="21"/>
              </w:rPr>
            </w:pPr>
          </w:p>
        </w:tc>
        <w:tc>
          <w:tcPr>
            <w:tcW w:w="649" w:type="dxa"/>
            <w:noWrap w:val="0"/>
            <w:vAlign w:val="center"/>
          </w:tcPr>
          <w:p w14:paraId="0418335A">
            <w:pPr>
              <w:jc w:val="center"/>
              <w:rPr>
                <w:rFonts w:hint="eastAsia"/>
                <w:szCs w:val="21"/>
              </w:rPr>
            </w:pPr>
          </w:p>
        </w:tc>
        <w:tc>
          <w:tcPr>
            <w:tcW w:w="768" w:type="dxa"/>
            <w:noWrap w:val="0"/>
            <w:vAlign w:val="center"/>
          </w:tcPr>
          <w:p w14:paraId="421A2B64">
            <w:pPr>
              <w:jc w:val="center"/>
              <w:rPr>
                <w:rFonts w:hint="eastAsia"/>
                <w:szCs w:val="21"/>
              </w:rPr>
            </w:pPr>
          </w:p>
        </w:tc>
        <w:tc>
          <w:tcPr>
            <w:tcW w:w="880" w:type="dxa"/>
            <w:noWrap w:val="0"/>
            <w:vAlign w:val="center"/>
          </w:tcPr>
          <w:p w14:paraId="7EEB17EC">
            <w:pPr>
              <w:jc w:val="center"/>
              <w:rPr>
                <w:rFonts w:hint="eastAsia"/>
                <w:szCs w:val="21"/>
              </w:rPr>
            </w:pPr>
          </w:p>
        </w:tc>
        <w:tc>
          <w:tcPr>
            <w:tcW w:w="929" w:type="dxa"/>
            <w:noWrap w:val="0"/>
            <w:vAlign w:val="center"/>
          </w:tcPr>
          <w:p w14:paraId="21E2CD30">
            <w:pPr>
              <w:jc w:val="center"/>
              <w:rPr>
                <w:rFonts w:hint="eastAsia"/>
                <w:szCs w:val="21"/>
              </w:rPr>
            </w:pPr>
          </w:p>
        </w:tc>
        <w:tc>
          <w:tcPr>
            <w:tcW w:w="1374" w:type="dxa"/>
            <w:noWrap w:val="0"/>
            <w:vAlign w:val="center"/>
          </w:tcPr>
          <w:p w14:paraId="596B4884">
            <w:pPr>
              <w:jc w:val="center"/>
              <w:rPr>
                <w:rFonts w:hint="eastAsia"/>
                <w:szCs w:val="21"/>
              </w:rPr>
            </w:pPr>
          </w:p>
        </w:tc>
        <w:tc>
          <w:tcPr>
            <w:tcW w:w="1551" w:type="dxa"/>
            <w:noWrap w:val="0"/>
            <w:vAlign w:val="center"/>
          </w:tcPr>
          <w:p w14:paraId="4049AB4A">
            <w:pPr>
              <w:jc w:val="center"/>
              <w:rPr>
                <w:rFonts w:hint="eastAsia"/>
                <w:szCs w:val="21"/>
              </w:rPr>
            </w:pPr>
          </w:p>
        </w:tc>
        <w:tc>
          <w:tcPr>
            <w:tcW w:w="655" w:type="dxa"/>
            <w:noWrap w:val="0"/>
            <w:vAlign w:val="center"/>
          </w:tcPr>
          <w:p w14:paraId="1F66DBA5">
            <w:pPr>
              <w:jc w:val="center"/>
              <w:rPr>
                <w:rFonts w:hint="eastAsia"/>
                <w:szCs w:val="21"/>
              </w:rPr>
            </w:pPr>
          </w:p>
        </w:tc>
      </w:tr>
      <w:tr w14:paraId="22EC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4788380B">
            <w:pPr>
              <w:jc w:val="center"/>
              <w:rPr>
                <w:rFonts w:hint="eastAsia"/>
                <w:szCs w:val="21"/>
              </w:rPr>
            </w:pPr>
          </w:p>
        </w:tc>
        <w:tc>
          <w:tcPr>
            <w:tcW w:w="1725" w:type="dxa"/>
            <w:noWrap w:val="0"/>
            <w:vAlign w:val="center"/>
          </w:tcPr>
          <w:p w14:paraId="283B0314">
            <w:pPr>
              <w:jc w:val="center"/>
              <w:rPr>
                <w:rFonts w:hint="eastAsia"/>
                <w:szCs w:val="21"/>
              </w:rPr>
            </w:pPr>
          </w:p>
        </w:tc>
        <w:tc>
          <w:tcPr>
            <w:tcW w:w="649" w:type="dxa"/>
            <w:noWrap w:val="0"/>
            <w:vAlign w:val="center"/>
          </w:tcPr>
          <w:p w14:paraId="0E5E429C">
            <w:pPr>
              <w:jc w:val="center"/>
              <w:rPr>
                <w:rFonts w:hint="eastAsia"/>
                <w:szCs w:val="21"/>
              </w:rPr>
            </w:pPr>
          </w:p>
        </w:tc>
        <w:tc>
          <w:tcPr>
            <w:tcW w:w="768" w:type="dxa"/>
            <w:noWrap w:val="0"/>
            <w:vAlign w:val="center"/>
          </w:tcPr>
          <w:p w14:paraId="7D4924B7">
            <w:pPr>
              <w:jc w:val="center"/>
              <w:rPr>
                <w:rFonts w:hint="eastAsia"/>
                <w:szCs w:val="21"/>
              </w:rPr>
            </w:pPr>
          </w:p>
        </w:tc>
        <w:tc>
          <w:tcPr>
            <w:tcW w:w="880" w:type="dxa"/>
            <w:noWrap w:val="0"/>
            <w:vAlign w:val="center"/>
          </w:tcPr>
          <w:p w14:paraId="6FE1FD8A">
            <w:pPr>
              <w:jc w:val="center"/>
              <w:rPr>
                <w:rFonts w:hint="eastAsia"/>
                <w:szCs w:val="21"/>
              </w:rPr>
            </w:pPr>
          </w:p>
        </w:tc>
        <w:tc>
          <w:tcPr>
            <w:tcW w:w="929" w:type="dxa"/>
            <w:noWrap w:val="0"/>
            <w:vAlign w:val="center"/>
          </w:tcPr>
          <w:p w14:paraId="3471098C">
            <w:pPr>
              <w:jc w:val="center"/>
              <w:rPr>
                <w:rFonts w:hint="eastAsia"/>
                <w:szCs w:val="21"/>
              </w:rPr>
            </w:pPr>
          </w:p>
        </w:tc>
        <w:tc>
          <w:tcPr>
            <w:tcW w:w="1374" w:type="dxa"/>
            <w:noWrap w:val="0"/>
            <w:vAlign w:val="center"/>
          </w:tcPr>
          <w:p w14:paraId="5B25B0A0">
            <w:pPr>
              <w:jc w:val="center"/>
              <w:rPr>
                <w:rFonts w:hint="eastAsia"/>
                <w:szCs w:val="21"/>
              </w:rPr>
            </w:pPr>
          </w:p>
        </w:tc>
        <w:tc>
          <w:tcPr>
            <w:tcW w:w="1551" w:type="dxa"/>
            <w:noWrap w:val="0"/>
            <w:vAlign w:val="center"/>
          </w:tcPr>
          <w:p w14:paraId="498E4DB9">
            <w:pPr>
              <w:jc w:val="center"/>
              <w:rPr>
                <w:rFonts w:hint="eastAsia"/>
                <w:szCs w:val="21"/>
              </w:rPr>
            </w:pPr>
          </w:p>
        </w:tc>
        <w:tc>
          <w:tcPr>
            <w:tcW w:w="655" w:type="dxa"/>
            <w:noWrap w:val="0"/>
            <w:vAlign w:val="center"/>
          </w:tcPr>
          <w:p w14:paraId="7750BA16">
            <w:pPr>
              <w:jc w:val="center"/>
              <w:rPr>
                <w:rFonts w:hint="eastAsia"/>
                <w:szCs w:val="21"/>
              </w:rPr>
            </w:pPr>
          </w:p>
        </w:tc>
      </w:tr>
      <w:tr w14:paraId="36E54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77496F7C">
            <w:pPr>
              <w:jc w:val="center"/>
              <w:rPr>
                <w:rFonts w:hint="eastAsia"/>
                <w:szCs w:val="21"/>
              </w:rPr>
            </w:pPr>
          </w:p>
        </w:tc>
        <w:tc>
          <w:tcPr>
            <w:tcW w:w="1725" w:type="dxa"/>
            <w:noWrap w:val="0"/>
            <w:vAlign w:val="center"/>
          </w:tcPr>
          <w:p w14:paraId="37AC00D4">
            <w:pPr>
              <w:jc w:val="center"/>
              <w:rPr>
                <w:rFonts w:hint="eastAsia"/>
                <w:szCs w:val="21"/>
              </w:rPr>
            </w:pPr>
          </w:p>
        </w:tc>
        <w:tc>
          <w:tcPr>
            <w:tcW w:w="649" w:type="dxa"/>
            <w:noWrap w:val="0"/>
            <w:vAlign w:val="center"/>
          </w:tcPr>
          <w:p w14:paraId="2E5D8410">
            <w:pPr>
              <w:jc w:val="center"/>
              <w:rPr>
                <w:rFonts w:hint="eastAsia"/>
                <w:szCs w:val="21"/>
              </w:rPr>
            </w:pPr>
          </w:p>
        </w:tc>
        <w:tc>
          <w:tcPr>
            <w:tcW w:w="768" w:type="dxa"/>
            <w:noWrap w:val="0"/>
            <w:vAlign w:val="center"/>
          </w:tcPr>
          <w:p w14:paraId="4094A4C8">
            <w:pPr>
              <w:jc w:val="center"/>
              <w:rPr>
                <w:rFonts w:hint="eastAsia"/>
                <w:szCs w:val="21"/>
              </w:rPr>
            </w:pPr>
          </w:p>
        </w:tc>
        <w:tc>
          <w:tcPr>
            <w:tcW w:w="880" w:type="dxa"/>
            <w:noWrap w:val="0"/>
            <w:vAlign w:val="center"/>
          </w:tcPr>
          <w:p w14:paraId="3EABF2DC">
            <w:pPr>
              <w:jc w:val="center"/>
              <w:rPr>
                <w:rFonts w:hint="eastAsia"/>
                <w:szCs w:val="21"/>
              </w:rPr>
            </w:pPr>
          </w:p>
        </w:tc>
        <w:tc>
          <w:tcPr>
            <w:tcW w:w="929" w:type="dxa"/>
            <w:noWrap w:val="0"/>
            <w:vAlign w:val="center"/>
          </w:tcPr>
          <w:p w14:paraId="083E08CD">
            <w:pPr>
              <w:jc w:val="center"/>
              <w:rPr>
                <w:rFonts w:hint="eastAsia"/>
                <w:szCs w:val="21"/>
              </w:rPr>
            </w:pPr>
          </w:p>
        </w:tc>
        <w:tc>
          <w:tcPr>
            <w:tcW w:w="1374" w:type="dxa"/>
            <w:noWrap w:val="0"/>
            <w:vAlign w:val="center"/>
          </w:tcPr>
          <w:p w14:paraId="08BB9E6C">
            <w:pPr>
              <w:jc w:val="center"/>
              <w:rPr>
                <w:rFonts w:hint="eastAsia"/>
                <w:szCs w:val="21"/>
              </w:rPr>
            </w:pPr>
          </w:p>
        </w:tc>
        <w:tc>
          <w:tcPr>
            <w:tcW w:w="1551" w:type="dxa"/>
            <w:noWrap w:val="0"/>
            <w:vAlign w:val="center"/>
          </w:tcPr>
          <w:p w14:paraId="2142C59B">
            <w:pPr>
              <w:jc w:val="center"/>
              <w:rPr>
                <w:rFonts w:hint="eastAsia"/>
                <w:szCs w:val="21"/>
              </w:rPr>
            </w:pPr>
          </w:p>
        </w:tc>
        <w:tc>
          <w:tcPr>
            <w:tcW w:w="655" w:type="dxa"/>
            <w:noWrap w:val="0"/>
            <w:vAlign w:val="center"/>
          </w:tcPr>
          <w:p w14:paraId="3F670978">
            <w:pPr>
              <w:jc w:val="center"/>
              <w:rPr>
                <w:rFonts w:hint="eastAsia"/>
                <w:szCs w:val="21"/>
              </w:rPr>
            </w:pPr>
          </w:p>
        </w:tc>
      </w:tr>
      <w:tr w14:paraId="3629D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568C8B01">
            <w:pPr>
              <w:jc w:val="center"/>
              <w:rPr>
                <w:rFonts w:hint="eastAsia"/>
                <w:szCs w:val="21"/>
              </w:rPr>
            </w:pPr>
          </w:p>
        </w:tc>
        <w:tc>
          <w:tcPr>
            <w:tcW w:w="1725" w:type="dxa"/>
            <w:noWrap w:val="0"/>
            <w:vAlign w:val="center"/>
          </w:tcPr>
          <w:p w14:paraId="6481CB29">
            <w:pPr>
              <w:jc w:val="center"/>
              <w:rPr>
                <w:rFonts w:hint="eastAsia"/>
                <w:szCs w:val="21"/>
              </w:rPr>
            </w:pPr>
          </w:p>
        </w:tc>
        <w:tc>
          <w:tcPr>
            <w:tcW w:w="649" w:type="dxa"/>
            <w:noWrap w:val="0"/>
            <w:vAlign w:val="center"/>
          </w:tcPr>
          <w:p w14:paraId="64979839">
            <w:pPr>
              <w:jc w:val="center"/>
              <w:rPr>
                <w:rFonts w:hint="eastAsia"/>
                <w:szCs w:val="21"/>
              </w:rPr>
            </w:pPr>
          </w:p>
        </w:tc>
        <w:tc>
          <w:tcPr>
            <w:tcW w:w="768" w:type="dxa"/>
            <w:noWrap w:val="0"/>
            <w:vAlign w:val="center"/>
          </w:tcPr>
          <w:p w14:paraId="01499C45">
            <w:pPr>
              <w:jc w:val="center"/>
              <w:rPr>
                <w:rFonts w:hint="eastAsia"/>
                <w:szCs w:val="21"/>
              </w:rPr>
            </w:pPr>
          </w:p>
        </w:tc>
        <w:tc>
          <w:tcPr>
            <w:tcW w:w="880" w:type="dxa"/>
            <w:noWrap w:val="0"/>
            <w:vAlign w:val="center"/>
          </w:tcPr>
          <w:p w14:paraId="40C29BE7">
            <w:pPr>
              <w:jc w:val="center"/>
              <w:rPr>
                <w:rFonts w:hint="eastAsia"/>
                <w:szCs w:val="21"/>
              </w:rPr>
            </w:pPr>
          </w:p>
        </w:tc>
        <w:tc>
          <w:tcPr>
            <w:tcW w:w="929" w:type="dxa"/>
            <w:noWrap w:val="0"/>
            <w:vAlign w:val="center"/>
          </w:tcPr>
          <w:p w14:paraId="670344BC">
            <w:pPr>
              <w:jc w:val="center"/>
              <w:rPr>
                <w:rFonts w:hint="eastAsia"/>
                <w:szCs w:val="21"/>
              </w:rPr>
            </w:pPr>
          </w:p>
        </w:tc>
        <w:tc>
          <w:tcPr>
            <w:tcW w:w="1374" w:type="dxa"/>
            <w:noWrap w:val="0"/>
            <w:vAlign w:val="center"/>
          </w:tcPr>
          <w:p w14:paraId="15807D2D">
            <w:pPr>
              <w:jc w:val="center"/>
              <w:rPr>
                <w:rFonts w:hint="eastAsia"/>
                <w:szCs w:val="21"/>
              </w:rPr>
            </w:pPr>
          </w:p>
        </w:tc>
        <w:tc>
          <w:tcPr>
            <w:tcW w:w="1551" w:type="dxa"/>
            <w:noWrap w:val="0"/>
            <w:vAlign w:val="center"/>
          </w:tcPr>
          <w:p w14:paraId="681E6348">
            <w:pPr>
              <w:jc w:val="center"/>
              <w:rPr>
                <w:rFonts w:hint="eastAsia"/>
                <w:szCs w:val="21"/>
              </w:rPr>
            </w:pPr>
          </w:p>
        </w:tc>
        <w:tc>
          <w:tcPr>
            <w:tcW w:w="655" w:type="dxa"/>
            <w:noWrap w:val="0"/>
            <w:vAlign w:val="center"/>
          </w:tcPr>
          <w:p w14:paraId="35950AD9">
            <w:pPr>
              <w:jc w:val="center"/>
              <w:rPr>
                <w:rFonts w:hint="eastAsia"/>
                <w:szCs w:val="21"/>
              </w:rPr>
            </w:pPr>
          </w:p>
        </w:tc>
      </w:tr>
      <w:tr w14:paraId="6339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5DC0CA20">
            <w:pPr>
              <w:jc w:val="center"/>
              <w:rPr>
                <w:rFonts w:hint="eastAsia"/>
                <w:szCs w:val="21"/>
              </w:rPr>
            </w:pPr>
          </w:p>
        </w:tc>
        <w:tc>
          <w:tcPr>
            <w:tcW w:w="1725" w:type="dxa"/>
            <w:noWrap w:val="0"/>
            <w:vAlign w:val="center"/>
          </w:tcPr>
          <w:p w14:paraId="6B82F034">
            <w:pPr>
              <w:jc w:val="center"/>
              <w:rPr>
                <w:rFonts w:hint="eastAsia"/>
                <w:szCs w:val="21"/>
              </w:rPr>
            </w:pPr>
          </w:p>
        </w:tc>
        <w:tc>
          <w:tcPr>
            <w:tcW w:w="649" w:type="dxa"/>
            <w:noWrap w:val="0"/>
            <w:vAlign w:val="center"/>
          </w:tcPr>
          <w:p w14:paraId="0909B5CC">
            <w:pPr>
              <w:jc w:val="center"/>
              <w:rPr>
                <w:rFonts w:hint="eastAsia"/>
                <w:szCs w:val="21"/>
              </w:rPr>
            </w:pPr>
          </w:p>
        </w:tc>
        <w:tc>
          <w:tcPr>
            <w:tcW w:w="768" w:type="dxa"/>
            <w:noWrap w:val="0"/>
            <w:vAlign w:val="center"/>
          </w:tcPr>
          <w:p w14:paraId="5A975DBF">
            <w:pPr>
              <w:jc w:val="center"/>
              <w:rPr>
                <w:rFonts w:hint="eastAsia"/>
                <w:szCs w:val="21"/>
              </w:rPr>
            </w:pPr>
          </w:p>
        </w:tc>
        <w:tc>
          <w:tcPr>
            <w:tcW w:w="880" w:type="dxa"/>
            <w:noWrap w:val="0"/>
            <w:vAlign w:val="center"/>
          </w:tcPr>
          <w:p w14:paraId="3E27BB87">
            <w:pPr>
              <w:jc w:val="center"/>
              <w:rPr>
                <w:rFonts w:hint="eastAsia"/>
                <w:szCs w:val="21"/>
              </w:rPr>
            </w:pPr>
          </w:p>
        </w:tc>
        <w:tc>
          <w:tcPr>
            <w:tcW w:w="929" w:type="dxa"/>
            <w:noWrap w:val="0"/>
            <w:vAlign w:val="center"/>
          </w:tcPr>
          <w:p w14:paraId="51C2F44E">
            <w:pPr>
              <w:jc w:val="center"/>
              <w:rPr>
                <w:rFonts w:hint="eastAsia"/>
                <w:szCs w:val="21"/>
              </w:rPr>
            </w:pPr>
          </w:p>
        </w:tc>
        <w:tc>
          <w:tcPr>
            <w:tcW w:w="1374" w:type="dxa"/>
            <w:noWrap w:val="0"/>
            <w:vAlign w:val="center"/>
          </w:tcPr>
          <w:p w14:paraId="2A2ACD86">
            <w:pPr>
              <w:jc w:val="center"/>
              <w:rPr>
                <w:rFonts w:hint="eastAsia"/>
                <w:szCs w:val="21"/>
              </w:rPr>
            </w:pPr>
          </w:p>
        </w:tc>
        <w:tc>
          <w:tcPr>
            <w:tcW w:w="1551" w:type="dxa"/>
            <w:noWrap w:val="0"/>
            <w:vAlign w:val="center"/>
          </w:tcPr>
          <w:p w14:paraId="08AE0816">
            <w:pPr>
              <w:jc w:val="center"/>
              <w:rPr>
                <w:rFonts w:hint="eastAsia"/>
                <w:szCs w:val="21"/>
              </w:rPr>
            </w:pPr>
          </w:p>
        </w:tc>
        <w:tc>
          <w:tcPr>
            <w:tcW w:w="655" w:type="dxa"/>
            <w:noWrap w:val="0"/>
            <w:vAlign w:val="center"/>
          </w:tcPr>
          <w:p w14:paraId="33A33028">
            <w:pPr>
              <w:jc w:val="center"/>
              <w:rPr>
                <w:rFonts w:hint="eastAsia"/>
                <w:szCs w:val="21"/>
              </w:rPr>
            </w:pPr>
          </w:p>
        </w:tc>
      </w:tr>
      <w:tr w14:paraId="5729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786E9314">
            <w:pPr>
              <w:jc w:val="center"/>
              <w:rPr>
                <w:rFonts w:hint="eastAsia"/>
                <w:szCs w:val="21"/>
              </w:rPr>
            </w:pPr>
          </w:p>
        </w:tc>
        <w:tc>
          <w:tcPr>
            <w:tcW w:w="1725" w:type="dxa"/>
            <w:noWrap w:val="0"/>
            <w:vAlign w:val="center"/>
          </w:tcPr>
          <w:p w14:paraId="62177ABE">
            <w:pPr>
              <w:jc w:val="center"/>
              <w:rPr>
                <w:rFonts w:hint="eastAsia"/>
                <w:szCs w:val="21"/>
              </w:rPr>
            </w:pPr>
          </w:p>
        </w:tc>
        <w:tc>
          <w:tcPr>
            <w:tcW w:w="649" w:type="dxa"/>
            <w:noWrap w:val="0"/>
            <w:vAlign w:val="center"/>
          </w:tcPr>
          <w:p w14:paraId="65A0C851">
            <w:pPr>
              <w:jc w:val="center"/>
              <w:rPr>
                <w:rFonts w:hint="eastAsia"/>
                <w:szCs w:val="21"/>
              </w:rPr>
            </w:pPr>
          </w:p>
        </w:tc>
        <w:tc>
          <w:tcPr>
            <w:tcW w:w="768" w:type="dxa"/>
            <w:noWrap w:val="0"/>
            <w:vAlign w:val="center"/>
          </w:tcPr>
          <w:p w14:paraId="7E6C8249">
            <w:pPr>
              <w:jc w:val="center"/>
              <w:rPr>
                <w:rFonts w:hint="eastAsia"/>
                <w:szCs w:val="21"/>
              </w:rPr>
            </w:pPr>
          </w:p>
        </w:tc>
        <w:tc>
          <w:tcPr>
            <w:tcW w:w="880" w:type="dxa"/>
            <w:noWrap w:val="0"/>
            <w:vAlign w:val="center"/>
          </w:tcPr>
          <w:p w14:paraId="75D1DCAC">
            <w:pPr>
              <w:jc w:val="center"/>
              <w:rPr>
                <w:rFonts w:hint="eastAsia"/>
                <w:szCs w:val="21"/>
              </w:rPr>
            </w:pPr>
          </w:p>
        </w:tc>
        <w:tc>
          <w:tcPr>
            <w:tcW w:w="929" w:type="dxa"/>
            <w:noWrap w:val="0"/>
            <w:vAlign w:val="center"/>
          </w:tcPr>
          <w:p w14:paraId="7A65C128">
            <w:pPr>
              <w:jc w:val="center"/>
              <w:rPr>
                <w:rFonts w:hint="eastAsia"/>
                <w:szCs w:val="21"/>
              </w:rPr>
            </w:pPr>
          </w:p>
        </w:tc>
        <w:tc>
          <w:tcPr>
            <w:tcW w:w="1374" w:type="dxa"/>
            <w:noWrap w:val="0"/>
            <w:vAlign w:val="center"/>
          </w:tcPr>
          <w:p w14:paraId="7D2BF0C4">
            <w:pPr>
              <w:jc w:val="center"/>
              <w:rPr>
                <w:rFonts w:hint="eastAsia"/>
                <w:szCs w:val="21"/>
              </w:rPr>
            </w:pPr>
          </w:p>
        </w:tc>
        <w:tc>
          <w:tcPr>
            <w:tcW w:w="1551" w:type="dxa"/>
            <w:noWrap w:val="0"/>
            <w:vAlign w:val="center"/>
          </w:tcPr>
          <w:p w14:paraId="3E7E13A6">
            <w:pPr>
              <w:jc w:val="center"/>
              <w:rPr>
                <w:rFonts w:hint="eastAsia"/>
                <w:szCs w:val="21"/>
              </w:rPr>
            </w:pPr>
          </w:p>
        </w:tc>
        <w:tc>
          <w:tcPr>
            <w:tcW w:w="655" w:type="dxa"/>
            <w:noWrap w:val="0"/>
            <w:vAlign w:val="center"/>
          </w:tcPr>
          <w:p w14:paraId="1C1572F4">
            <w:pPr>
              <w:jc w:val="center"/>
              <w:rPr>
                <w:rFonts w:hint="eastAsia"/>
                <w:szCs w:val="21"/>
              </w:rPr>
            </w:pPr>
          </w:p>
        </w:tc>
      </w:tr>
      <w:tr w14:paraId="30EC8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62EE8E52">
            <w:pPr>
              <w:jc w:val="center"/>
              <w:rPr>
                <w:rFonts w:hint="eastAsia"/>
                <w:szCs w:val="21"/>
              </w:rPr>
            </w:pPr>
          </w:p>
        </w:tc>
        <w:tc>
          <w:tcPr>
            <w:tcW w:w="1725" w:type="dxa"/>
            <w:noWrap w:val="0"/>
            <w:vAlign w:val="center"/>
          </w:tcPr>
          <w:p w14:paraId="2A58E86A">
            <w:pPr>
              <w:jc w:val="center"/>
              <w:rPr>
                <w:rFonts w:hint="eastAsia"/>
                <w:szCs w:val="21"/>
              </w:rPr>
            </w:pPr>
          </w:p>
        </w:tc>
        <w:tc>
          <w:tcPr>
            <w:tcW w:w="649" w:type="dxa"/>
            <w:noWrap w:val="0"/>
            <w:vAlign w:val="center"/>
          </w:tcPr>
          <w:p w14:paraId="2DC6A16B">
            <w:pPr>
              <w:jc w:val="center"/>
              <w:rPr>
                <w:rFonts w:hint="eastAsia"/>
                <w:szCs w:val="21"/>
              </w:rPr>
            </w:pPr>
          </w:p>
        </w:tc>
        <w:tc>
          <w:tcPr>
            <w:tcW w:w="768" w:type="dxa"/>
            <w:noWrap w:val="0"/>
            <w:vAlign w:val="center"/>
          </w:tcPr>
          <w:p w14:paraId="4F558B32">
            <w:pPr>
              <w:jc w:val="center"/>
              <w:rPr>
                <w:rFonts w:hint="eastAsia"/>
                <w:szCs w:val="21"/>
              </w:rPr>
            </w:pPr>
          </w:p>
        </w:tc>
        <w:tc>
          <w:tcPr>
            <w:tcW w:w="880" w:type="dxa"/>
            <w:noWrap w:val="0"/>
            <w:vAlign w:val="center"/>
          </w:tcPr>
          <w:p w14:paraId="22B4081D">
            <w:pPr>
              <w:jc w:val="center"/>
              <w:rPr>
                <w:rFonts w:hint="eastAsia"/>
                <w:szCs w:val="21"/>
              </w:rPr>
            </w:pPr>
          </w:p>
        </w:tc>
        <w:tc>
          <w:tcPr>
            <w:tcW w:w="929" w:type="dxa"/>
            <w:noWrap w:val="0"/>
            <w:vAlign w:val="center"/>
          </w:tcPr>
          <w:p w14:paraId="02E9EC00">
            <w:pPr>
              <w:jc w:val="center"/>
              <w:rPr>
                <w:rFonts w:hint="eastAsia"/>
                <w:szCs w:val="21"/>
              </w:rPr>
            </w:pPr>
          </w:p>
        </w:tc>
        <w:tc>
          <w:tcPr>
            <w:tcW w:w="1374" w:type="dxa"/>
            <w:noWrap w:val="0"/>
            <w:vAlign w:val="center"/>
          </w:tcPr>
          <w:p w14:paraId="14C343AB">
            <w:pPr>
              <w:jc w:val="center"/>
              <w:rPr>
                <w:rFonts w:hint="eastAsia"/>
                <w:szCs w:val="21"/>
              </w:rPr>
            </w:pPr>
          </w:p>
        </w:tc>
        <w:tc>
          <w:tcPr>
            <w:tcW w:w="1551" w:type="dxa"/>
            <w:noWrap w:val="0"/>
            <w:vAlign w:val="center"/>
          </w:tcPr>
          <w:p w14:paraId="769F6B2A">
            <w:pPr>
              <w:jc w:val="center"/>
              <w:rPr>
                <w:rFonts w:hint="eastAsia"/>
                <w:szCs w:val="21"/>
              </w:rPr>
            </w:pPr>
          </w:p>
        </w:tc>
        <w:tc>
          <w:tcPr>
            <w:tcW w:w="655" w:type="dxa"/>
            <w:noWrap w:val="0"/>
            <w:vAlign w:val="center"/>
          </w:tcPr>
          <w:p w14:paraId="5B55E6F7">
            <w:pPr>
              <w:jc w:val="center"/>
              <w:rPr>
                <w:rFonts w:hint="eastAsia"/>
                <w:szCs w:val="21"/>
              </w:rPr>
            </w:pPr>
          </w:p>
        </w:tc>
      </w:tr>
      <w:tr w14:paraId="7E405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3BBFF2AA">
            <w:pPr>
              <w:jc w:val="center"/>
              <w:rPr>
                <w:rFonts w:hint="eastAsia"/>
                <w:szCs w:val="21"/>
              </w:rPr>
            </w:pPr>
          </w:p>
        </w:tc>
        <w:tc>
          <w:tcPr>
            <w:tcW w:w="1725" w:type="dxa"/>
            <w:noWrap w:val="0"/>
            <w:vAlign w:val="center"/>
          </w:tcPr>
          <w:p w14:paraId="69ABD35E">
            <w:pPr>
              <w:jc w:val="center"/>
              <w:rPr>
                <w:rFonts w:hint="eastAsia"/>
                <w:szCs w:val="21"/>
              </w:rPr>
            </w:pPr>
          </w:p>
        </w:tc>
        <w:tc>
          <w:tcPr>
            <w:tcW w:w="649" w:type="dxa"/>
            <w:noWrap w:val="0"/>
            <w:vAlign w:val="center"/>
          </w:tcPr>
          <w:p w14:paraId="2E51D8DB">
            <w:pPr>
              <w:jc w:val="center"/>
              <w:rPr>
                <w:rFonts w:hint="eastAsia"/>
                <w:szCs w:val="21"/>
              </w:rPr>
            </w:pPr>
          </w:p>
        </w:tc>
        <w:tc>
          <w:tcPr>
            <w:tcW w:w="768" w:type="dxa"/>
            <w:noWrap w:val="0"/>
            <w:vAlign w:val="center"/>
          </w:tcPr>
          <w:p w14:paraId="38673E57">
            <w:pPr>
              <w:jc w:val="center"/>
              <w:rPr>
                <w:rFonts w:hint="eastAsia"/>
                <w:szCs w:val="21"/>
              </w:rPr>
            </w:pPr>
          </w:p>
        </w:tc>
        <w:tc>
          <w:tcPr>
            <w:tcW w:w="880" w:type="dxa"/>
            <w:noWrap w:val="0"/>
            <w:vAlign w:val="center"/>
          </w:tcPr>
          <w:p w14:paraId="4B2F3497">
            <w:pPr>
              <w:jc w:val="center"/>
              <w:rPr>
                <w:rFonts w:hint="eastAsia"/>
                <w:szCs w:val="21"/>
              </w:rPr>
            </w:pPr>
          </w:p>
        </w:tc>
        <w:tc>
          <w:tcPr>
            <w:tcW w:w="929" w:type="dxa"/>
            <w:noWrap w:val="0"/>
            <w:vAlign w:val="center"/>
          </w:tcPr>
          <w:p w14:paraId="1FB4069C">
            <w:pPr>
              <w:jc w:val="center"/>
              <w:rPr>
                <w:rFonts w:hint="eastAsia"/>
                <w:szCs w:val="21"/>
              </w:rPr>
            </w:pPr>
          </w:p>
        </w:tc>
        <w:tc>
          <w:tcPr>
            <w:tcW w:w="1374" w:type="dxa"/>
            <w:noWrap w:val="0"/>
            <w:vAlign w:val="center"/>
          </w:tcPr>
          <w:p w14:paraId="72E24BD4">
            <w:pPr>
              <w:jc w:val="center"/>
              <w:rPr>
                <w:rFonts w:hint="eastAsia"/>
                <w:szCs w:val="21"/>
              </w:rPr>
            </w:pPr>
          </w:p>
        </w:tc>
        <w:tc>
          <w:tcPr>
            <w:tcW w:w="1551" w:type="dxa"/>
            <w:noWrap w:val="0"/>
            <w:vAlign w:val="center"/>
          </w:tcPr>
          <w:p w14:paraId="067DAA53">
            <w:pPr>
              <w:jc w:val="center"/>
              <w:rPr>
                <w:rFonts w:hint="eastAsia"/>
                <w:szCs w:val="21"/>
              </w:rPr>
            </w:pPr>
          </w:p>
        </w:tc>
        <w:tc>
          <w:tcPr>
            <w:tcW w:w="655" w:type="dxa"/>
            <w:noWrap w:val="0"/>
            <w:vAlign w:val="center"/>
          </w:tcPr>
          <w:p w14:paraId="0E8F4EA6">
            <w:pPr>
              <w:jc w:val="center"/>
              <w:rPr>
                <w:rFonts w:hint="eastAsia"/>
                <w:szCs w:val="21"/>
              </w:rPr>
            </w:pPr>
          </w:p>
        </w:tc>
      </w:tr>
      <w:tr w14:paraId="4F30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1A45064C">
            <w:pPr>
              <w:jc w:val="center"/>
              <w:rPr>
                <w:rFonts w:hint="eastAsia"/>
                <w:szCs w:val="21"/>
              </w:rPr>
            </w:pPr>
          </w:p>
        </w:tc>
        <w:tc>
          <w:tcPr>
            <w:tcW w:w="1725" w:type="dxa"/>
            <w:noWrap w:val="0"/>
            <w:vAlign w:val="center"/>
          </w:tcPr>
          <w:p w14:paraId="3C242A9B">
            <w:pPr>
              <w:jc w:val="center"/>
              <w:rPr>
                <w:rFonts w:hint="eastAsia"/>
                <w:szCs w:val="21"/>
              </w:rPr>
            </w:pPr>
          </w:p>
        </w:tc>
        <w:tc>
          <w:tcPr>
            <w:tcW w:w="649" w:type="dxa"/>
            <w:noWrap w:val="0"/>
            <w:vAlign w:val="center"/>
          </w:tcPr>
          <w:p w14:paraId="576CFD35">
            <w:pPr>
              <w:jc w:val="center"/>
              <w:rPr>
                <w:rFonts w:hint="eastAsia"/>
                <w:szCs w:val="21"/>
              </w:rPr>
            </w:pPr>
          </w:p>
        </w:tc>
        <w:tc>
          <w:tcPr>
            <w:tcW w:w="768" w:type="dxa"/>
            <w:noWrap w:val="0"/>
            <w:vAlign w:val="center"/>
          </w:tcPr>
          <w:p w14:paraId="250FFAD3">
            <w:pPr>
              <w:jc w:val="center"/>
              <w:rPr>
                <w:rFonts w:hint="eastAsia"/>
                <w:szCs w:val="21"/>
              </w:rPr>
            </w:pPr>
          </w:p>
        </w:tc>
        <w:tc>
          <w:tcPr>
            <w:tcW w:w="880" w:type="dxa"/>
            <w:noWrap w:val="0"/>
            <w:vAlign w:val="center"/>
          </w:tcPr>
          <w:p w14:paraId="51346278">
            <w:pPr>
              <w:jc w:val="center"/>
              <w:rPr>
                <w:rFonts w:hint="eastAsia"/>
                <w:szCs w:val="21"/>
              </w:rPr>
            </w:pPr>
          </w:p>
        </w:tc>
        <w:tc>
          <w:tcPr>
            <w:tcW w:w="929" w:type="dxa"/>
            <w:noWrap w:val="0"/>
            <w:vAlign w:val="center"/>
          </w:tcPr>
          <w:p w14:paraId="03AA7EC8">
            <w:pPr>
              <w:jc w:val="center"/>
              <w:rPr>
                <w:rFonts w:hint="eastAsia"/>
                <w:szCs w:val="21"/>
              </w:rPr>
            </w:pPr>
          </w:p>
        </w:tc>
        <w:tc>
          <w:tcPr>
            <w:tcW w:w="1374" w:type="dxa"/>
            <w:noWrap w:val="0"/>
            <w:vAlign w:val="center"/>
          </w:tcPr>
          <w:p w14:paraId="08DF1AF4">
            <w:pPr>
              <w:jc w:val="center"/>
              <w:rPr>
                <w:rFonts w:hint="eastAsia"/>
                <w:szCs w:val="21"/>
              </w:rPr>
            </w:pPr>
          </w:p>
        </w:tc>
        <w:tc>
          <w:tcPr>
            <w:tcW w:w="1551" w:type="dxa"/>
            <w:noWrap w:val="0"/>
            <w:vAlign w:val="center"/>
          </w:tcPr>
          <w:p w14:paraId="024094E3">
            <w:pPr>
              <w:jc w:val="center"/>
              <w:rPr>
                <w:rFonts w:hint="eastAsia"/>
                <w:szCs w:val="21"/>
              </w:rPr>
            </w:pPr>
          </w:p>
        </w:tc>
        <w:tc>
          <w:tcPr>
            <w:tcW w:w="655" w:type="dxa"/>
            <w:noWrap w:val="0"/>
            <w:vAlign w:val="center"/>
          </w:tcPr>
          <w:p w14:paraId="61AF1E8E">
            <w:pPr>
              <w:jc w:val="center"/>
              <w:rPr>
                <w:rFonts w:hint="eastAsia"/>
                <w:szCs w:val="21"/>
              </w:rPr>
            </w:pPr>
          </w:p>
        </w:tc>
      </w:tr>
      <w:tr w14:paraId="1D50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6EE5C924">
            <w:pPr>
              <w:jc w:val="center"/>
              <w:rPr>
                <w:rFonts w:hint="eastAsia"/>
                <w:szCs w:val="21"/>
              </w:rPr>
            </w:pPr>
          </w:p>
        </w:tc>
        <w:tc>
          <w:tcPr>
            <w:tcW w:w="1725" w:type="dxa"/>
            <w:noWrap w:val="0"/>
            <w:vAlign w:val="center"/>
          </w:tcPr>
          <w:p w14:paraId="79AEFA5C">
            <w:pPr>
              <w:jc w:val="center"/>
              <w:rPr>
                <w:rFonts w:hint="eastAsia"/>
                <w:szCs w:val="21"/>
              </w:rPr>
            </w:pPr>
          </w:p>
        </w:tc>
        <w:tc>
          <w:tcPr>
            <w:tcW w:w="649" w:type="dxa"/>
            <w:noWrap w:val="0"/>
            <w:vAlign w:val="center"/>
          </w:tcPr>
          <w:p w14:paraId="7410B218">
            <w:pPr>
              <w:jc w:val="center"/>
              <w:rPr>
                <w:rFonts w:hint="eastAsia"/>
                <w:szCs w:val="21"/>
              </w:rPr>
            </w:pPr>
          </w:p>
        </w:tc>
        <w:tc>
          <w:tcPr>
            <w:tcW w:w="768" w:type="dxa"/>
            <w:noWrap w:val="0"/>
            <w:vAlign w:val="center"/>
          </w:tcPr>
          <w:p w14:paraId="5C8CD223">
            <w:pPr>
              <w:jc w:val="center"/>
              <w:rPr>
                <w:rFonts w:hint="eastAsia"/>
                <w:szCs w:val="21"/>
              </w:rPr>
            </w:pPr>
          </w:p>
        </w:tc>
        <w:tc>
          <w:tcPr>
            <w:tcW w:w="880" w:type="dxa"/>
            <w:noWrap w:val="0"/>
            <w:vAlign w:val="center"/>
          </w:tcPr>
          <w:p w14:paraId="6645D701">
            <w:pPr>
              <w:jc w:val="center"/>
              <w:rPr>
                <w:rFonts w:hint="eastAsia"/>
                <w:szCs w:val="21"/>
              </w:rPr>
            </w:pPr>
          </w:p>
        </w:tc>
        <w:tc>
          <w:tcPr>
            <w:tcW w:w="929" w:type="dxa"/>
            <w:noWrap w:val="0"/>
            <w:vAlign w:val="center"/>
          </w:tcPr>
          <w:p w14:paraId="4AE5F1CE">
            <w:pPr>
              <w:jc w:val="center"/>
              <w:rPr>
                <w:rFonts w:hint="eastAsia"/>
                <w:szCs w:val="21"/>
              </w:rPr>
            </w:pPr>
          </w:p>
        </w:tc>
        <w:tc>
          <w:tcPr>
            <w:tcW w:w="1374" w:type="dxa"/>
            <w:noWrap w:val="0"/>
            <w:vAlign w:val="center"/>
          </w:tcPr>
          <w:p w14:paraId="1C6F34E3">
            <w:pPr>
              <w:jc w:val="center"/>
              <w:rPr>
                <w:rFonts w:hint="eastAsia"/>
                <w:szCs w:val="21"/>
              </w:rPr>
            </w:pPr>
          </w:p>
        </w:tc>
        <w:tc>
          <w:tcPr>
            <w:tcW w:w="1551" w:type="dxa"/>
            <w:noWrap w:val="0"/>
            <w:vAlign w:val="center"/>
          </w:tcPr>
          <w:p w14:paraId="1C507200">
            <w:pPr>
              <w:jc w:val="center"/>
              <w:rPr>
                <w:rFonts w:hint="eastAsia"/>
                <w:szCs w:val="21"/>
              </w:rPr>
            </w:pPr>
          </w:p>
        </w:tc>
        <w:tc>
          <w:tcPr>
            <w:tcW w:w="655" w:type="dxa"/>
            <w:noWrap w:val="0"/>
            <w:vAlign w:val="center"/>
          </w:tcPr>
          <w:p w14:paraId="6ADCD82C">
            <w:pPr>
              <w:jc w:val="center"/>
              <w:rPr>
                <w:rFonts w:hint="eastAsia"/>
                <w:szCs w:val="21"/>
              </w:rPr>
            </w:pPr>
          </w:p>
        </w:tc>
      </w:tr>
      <w:tr w14:paraId="610D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587" w:type="dxa"/>
            <w:noWrap w:val="0"/>
            <w:vAlign w:val="center"/>
          </w:tcPr>
          <w:p w14:paraId="7B109BFA">
            <w:pPr>
              <w:jc w:val="center"/>
              <w:rPr>
                <w:rFonts w:hint="eastAsia"/>
                <w:szCs w:val="21"/>
              </w:rPr>
            </w:pPr>
          </w:p>
        </w:tc>
        <w:tc>
          <w:tcPr>
            <w:tcW w:w="1725" w:type="dxa"/>
            <w:noWrap w:val="0"/>
            <w:vAlign w:val="center"/>
          </w:tcPr>
          <w:p w14:paraId="4F8B1AD3">
            <w:pPr>
              <w:jc w:val="center"/>
              <w:rPr>
                <w:rFonts w:hint="eastAsia"/>
                <w:szCs w:val="21"/>
              </w:rPr>
            </w:pPr>
          </w:p>
        </w:tc>
        <w:tc>
          <w:tcPr>
            <w:tcW w:w="649" w:type="dxa"/>
            <w:noWrap w:val="0"/>
            <w:vAlign w:val="center"/>
          </w:tcPr>
          <w:p w14:paraId="691D303F">
            <w:pPr>
              <w:jc w:val="center"/>
              <w:rPr>
                <w:rFonts w:hint="eastAsia"/>
                <w:szCs w:val="21"/>
              </w:rPr>
            </w:pPr>
          </w:p>
        </w:tc>
        <w:tc>
          <w:tcPr>
            <w:tcW w:w="768" w:type="dxa"/>
            <w:noWrap w:val="0"/>
            <w:vAlign w:val="center"/>
          </w:tcPr>
          <w:p w14:paraId="779DFB0B">
            <w:pPr>
              <w:jc w:val="center"/>
              <w:rPr>
                <w:rFonts w:hint="eastAsia"/>
                <w:szCs w:val="21"/>
              </w:rPr>
            </w:pPr>
          </w:p>
        </w:tc>
        <w:tc>
          <w:tcPr>
            <w:tcW w:w="880" w:type="dxa"/>
            <w:noWrap w:val="0"/>
            <w:vAlign w:val="center"/>
          </w:tcPr>
          <w:p w14:paraId="1A04C575">
            <w:pPr>
              <w:jc w:val="center"/>
              <w:rPr>
                <w:rFonts w:hint="eastAsia"/>
                <w:szCs w:val="21"/>
              </w:rPr>
            </w:pPr>
          </w:p>
        </w:tc>
        <w:tc>
          <w:tcPr>
            <w:tcW w:w="929" w:type="dxa"/>
            <w:noWrap w:val="0"/>
            <w:vAlign w:val="center"/>
          </w:tcPr>
          <w:p w14:paraId="0F9F9008">
            <w:pPr>
              <w:jc w:val="center"/>
              <w:rPr>
                <w:rFonts w:hint="eastAsia"/>
                <w:szCs w:val="21"/>
              </w:rPr>
            </w:pPr>
          </w:p>
        </w:tc>
        <w:tc>
          <w:tcPr>
            <w:tcW w:w="1374" w:type="dxa"/>
            <w:noWrap w:val="0"/>
            <w:vAlign w:val="center"/>
          </w:tcPr>
          <w:p w14:paraId="279612F8">
            <w:pPr>
              <w:jc w:val="center"/>
              <w:rPr>
                <w:rFonts w:hint="eastAsia"/>
                <w:szCs w:val="21"/>
              </w:rPr>
            </w:pPr>
          </w:p>
        </w:tc>
        <w:tc>
          <w:tcPr>
            <w:tcW w:w="1551" w:type="dxa"/>
            <w:noWrap w:val="0"/>
            <w:vAlign w:val="center"/>
          </w:tcPr>
          <w:p w14:paraId="72AB69FE">
            <w:pPr>
              <w:jc w:val="center"/>
              <w:rPr>
                <w:rFonts w:hint="eastAsia"/>
                <w:szCs w:val="21"/>
              </w:rPr>
            </w:pPr>
          </w:p>
        </w:tc>
        <w:tc>
          <w:tcPr>
            <w:tcW w:w="655" w:type="dxa"/>
            <w:noWrap w:val="0"/>
            <w:vAlign w:val="center"/>
          </w:tcPr>
          <w:p w14:paraId="0D830C50">
            <w:pPr>
              <w:jc w:val="center"/>
              <w:rPr>
                <w:rFonts w:hint="eastAsia"/>
                <w:szCs w:val="21"/>
              </w:rPr>
            </w:pPr>
          </w:p>
        </w:tc>
      </w:tr>
    </w:tbl>
    <w:p w14:paraId="7BDCD33A">
      <w:pPr>
        <w:rPr>
          <w:rFonts w:hint="eastAsia"/>
          <w:szCs w:val="21"/>
        </w:rPr>
      </w:pPr>
    </w:p>
    <w:p w14:paraId="1827F546">
      <w:pPr>
        <w:rPr>
          <w:rFonts w:hint="eastAsia" w:ascii="宋体" w:hAnsi="宋体"/>
          <w:szCs w:val="21"/>
        </w:rPr>
      </w:pPr>
      <w:r>
        <w:rPr>
          <w:rFonts w:hint="eastAsia" w:ascii="宋体" w:hAnsi="宋体"/>
          <w:szCs w:val="21"/>
        </w:rPr>
        <w:t>注：1．此表由招标人填写除“投标单价”栏的内容，投标人在投标时自主确定投标单价。</w:t>
      </w:r>
    </w:p>
    <w:p w14:paraId="12CE288A">
      <w:pPr>
        <w:ind w:left="735" w:hanging="735" w:hangingChars="350"/>
        <w:rPr>
          <w:rFonts w:hint="eastAsia" w:ascii="宋体" w:hAnsi="宋体"/>
          <w:szCs w:val="21"/>
        </w:rPr>
      </w:pPr>
      <w:r>
        <w:rPr>
          <w:rFonts w:hint="eastAsia" w:ascii="宋体" w:hAnsi="宋体"/>
          <w:szCs w:val="21"/>
        </w:rPr>
        <w:t xml:space="preserve">    2．招标人应优先采用工程造价管理机构发布的单价作为基准单价，未发布的，通过市场调查确定其基准单价。</w:t>
      </w:r>
    </w:p>
    <w:p w14:paraId="73AC25BC">
      <w:pPr>
        <w:pStyle w:val="20"/>
        <w:rPr>
          <w:rFonts w:hint="eastAsia" w:ascii="宋体" w:hAnsi="宋体" w:eastAsia="宋体"/>
        </w:rPr>
      </w:pPr>
      <w:bookmarkStart w:id="2604" w:name="_Toc108514190"/>
      <w:r>
        <w:rPr>
          <w:rFonts w:hint="eastAsia"/>
        </w:rPr>
        <w:t>4.16承包人提供主要材料和工程设备一览表</w:t>
      </w:r>
      <w:r>
        <w:rPr>
          <w:rFonts w:hint="eastAsia" w:ascii="宋体" w:hAnsi="宋体" w:eastAsia="宋体"/>
        </w:rPr>
        <w:t>（适用于价格指数差额调整法）</w:t>
      </w:r>
      <w:bookmarkEnd w:id="2604"/>
    </w:p>
    <w:p w14:paraId="1FD0E127">
      <w:pPr>
        <w:rPr>
          <w:rFonts w:hint="eastAsia"/>
          <w:szCs w:val="21"/>
        </w:rPr>
      </w:pPr>
    </w:p>
    <w:p w14:paraId="2D9D7070">
      <w:pPr>
        <w:rPr>
          <w:rFonts w:hint="eastAsia"/>
          <w:szCs w:val="21"/>
        </w:rPr>
      </w:pPr>
    </w:p>
    <w:p w14:paraId="4DBA256B">
      <w:pPr>
        <w:jc w:val="center"/>
        <w:rPr>
          <w:rFonts w:hint="eastAsia" w:ascii="黑体" w:eastAsia="黑体"/>
          <w:sz w:val="28"/>
          <w:szCs w:val="28"/>
        </w:rPr>
      </w:pPr>
      <w:r>
        <w:rPr>
          <w:rFonts w:hint="eastAsia" w:ascii="黑体" w:eastAsia="黑体"/>
          <w:sz w:val="28"/>
          <w:szCs w:val="28"/>
        </w:rPr>
        <w:t>承包人提供主要材料和工程设备一览表</w:t>
      </w:r>
    </w:p>
    <w:p w14:paraId="33977278">
      <w:pPr>
        <w:jc w:val="center"/>
        <w:rPr>
          <w:rFonts w:hint="eastAsia"/>
          <w:szCs w:val="21"/>
        </w:rPr>
      </w:pPr>
    </w:p>
    <w:p w14:paraId="570A73C3">
      <w:pPr>
        <w:rPr>
          <w:rFonts w:hint="eastAsia"/>
        </w:rPr>
      </w:pPr>
      <w:r>
        <w:rPr>
          <w:rFonts w:hint="eastAsia"/>
        </w:rPr>
        <w:t>工程名称：                        标段名称：                 第  页  共  页</w:t>
      </w:r>
    </w:p>
    <w:tbl>
      <w:tblPr>
        <w:tblStyle w:val="1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1844"/>
        <w:gridCol w:w="1440"/>
        <w:gridCol w:w="1800"/>
        <w:gridCol w:w="1732"/>
        <w:gridCol w:w="1477"/>
      </w:tblGrid>
      <w:tr w14:paraId="7BD1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35F5C09B">
            <w:pPr>
              <w:jc w:val="center"/>
              <w:rPr>
                <w:rFonts w:hint="eastAsia"/>
                <w:szCs w:val="21"/>
              </w:rPr>
            </w:pPr>
            <w:r>
              <w:rPr>
                <w:rFonts w:hint="eastAsia"/>
                <w:szCs w:val="21"/>
              </w:rPr>
              <w:t>序号</w:t>
            </w:r>
          </w:p>
        </w:tc>
        <w:tc>
          <w:tcPr>
            <w:tcW w:w="1844" w:type="dxa"/>
            <w:noWrap w:val="0"/>
            <w:vAlign w:val="center"/>
          </w:tcPr>
          <w:p w14:paraId="3E6FE68E">
            <w:pPr>
              <w:jc w:val="center"/>
              <w:rPr>
                <w:rFonts w:hint="eastAsia"/>
                <w:szCs w:val="21"/>
              </w:rPr>
            </w:pPr>
            <w:r>
              <w:rPr>
                <w:rFonts w:hint="eastAsia"/>
                <w:szCs w:val="21"/>
              </w:rPr>
              <w:t>名称、规格、型号</w:t>
            </w:r>
          </w:p>
        </w:tc>
        <w:tc>
          <w:tcPr>
            <w:tcW w:w="1440" w:type="dxa"/>
            <w:noWrap w:val="0"/>
            <w:vAlign w:val="center"/>
          </w:tcPr>
          <w:p w14:paraId="73578EEC">
            <w:pPr>
              <w:jc w:val="center"/>
              <w:rPr>
                <w:rFonts w:hint="eastAsia"/>
                <w:szCs w:val="21"/>
              </w:rPr>
            </w:pPr>
            <w:r>
              <w:rPr>
                <w:rFonts w:hint="eastAsia"/>
                <w:szCs w:val="21"/>
              </w:rPr>
              <w:t>变值权重B</w:t>
            </w:r>
          </w:p>
        </w:tc>
        <w:tc>
          <w:tcPr>
            <w:tcW w:w="1800" w:type="dxa"/>
            <w:noWrap w:val="0"/>
            <w:vAlign w:val="center"/>
          </w:tcPr>
          <w:p w14:paraId="1BBF4388">
            <w:pPr>
              <w:jc w:val="center"/>
              <w:rPr>
                <w:rFonts w:hint="eastAsia"/>
                <w:szCs w:val="21"/>
                <w:vertAlign w:val="subscript"/>
              </w:rPr>
            </w:pPr>
            <w:r>
              <w:rPr>
                <w:rFonts w:hint="eastAsia"/>
                <w:szCs w:val="21"/>
              </w:rPr>
              <w:t>基本价格指数F</w:t>
            </w:r>
            <w:r>
              <w:rPr>
                <w:rFonts w:hint="eastAsia"/>
                <w:szCs w:val="21"/>
                <w:vertAlign w:val="subscript"/>
              </w:rPr>
              <w:t>0</w:t>
            </w:r>
          </w:p>
        </w:tc>
        <w:tc>
          <w:tcPr>
            <w:tcW w:w="1732" w:type="dxa"/>
            <w:noWrap w:val="0"/>
            <w:vAlign w:val="center"/>
          </w:tcPr>
          <w:p w14:paraId="77555D7D">
            <w:pPr>
              <w:jc w:val="center"/>
              <w:rPr>
                <w:rFonts w:hint="eastAsia"/>
                <w:szCs w:val="21"/>
                <w:vertAlign w:val="subscript"/>
              </w:rPr>
            </w:pPr>
            <w:r>
              <w:rPr>
                <w:rFonts w:hint="eastAsia"/>
                <w:szCs w:val="21"/>
              </w:rPr>
              <w:t>现行价格指数F</w:t>
            </w:r>
            <w:r>
              <w:rPr>
                <w:rFonts w:hint="eastAsia"/>
                <w:szCs w:val="21"/>
                <w:vertAlign w:val="subscript"/>
              </w:rPr>
              <w:t>t</w:t>
            </w:r>
          </w:p>
        </w:tc>
        <w:tc>
          <w:tcPr>
            <w:tcW w:w="1477" w:type="dxa"/>
            <w:noWrap w:val="0"/>
            <w:vAlign w:val="center"/>
          </w:tcPr>
          <w:p w14:paraId="6F4E8CDA">
            <w:pPr>
              <w:jc w:val="center"/>
              <w:rPr>
                <w:rFonts w:hint="eastAsia"/>
                <w:szCs w:val="21"/>
              </w:rPr>
            </w:pPr>
            <w:r>
              <w:rPr>
                <w:rFonts w:hint="eastAsia"/>
                <w:szCs w:val="21"/>
              </w:rPr>
              <w:t>备注</w:t>
            </w:r>
          </w:p>
        </w:tc>
      </w:tr>
      <w:tr w14:paraId="60CA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398C34D5">
            <w:pPr>
              <w:jc w:val="center"/>
              <w:rPr>
                <w:rFonts w:hint="eastAsia"/>
                <w:szCs w:val="21"/>
              </w:rPr>
            </w:pPr>
          </w:p>
        </w:tc>
        <w:tc>
          <w:tcPr>
            <w:tcW w:w="1844" w:type="dxa"/>
            <w:noWrap w:val="0"/>
            <w:vAlign w:val="center"/>
          </w:tcPr>
          <w:p w14:paraId="1114344E">
            <w:pPr>
              <w:jc w:val="center"/>
              <w:rPr>
                <w:rFonts w:hint="eastAsia"/>
                <w:szCs w:val="21"/>
              </w:rPr>
            </w:pPr>
          </w:p>
        </w:tc>
        <w:tc>
          <w:tcPr>
            <w:tcW w:w="1440" w:type="dxa"/>
            <w:noWrap w:val="0"/>
            <w:vAlign w:val="center"/>
          </w:tcPr>
          <w:p w14:paraId="7B7CCD0A">
            <w:pPr>
              <w:jc w:val="center"/>
              <w:rPr>
                <w:rFonts w:hint="eastAsia"/>
                <w:szCs w:val="21"/>
              </w:rPr>
            </w:pPr>
          </w:p>
        </w:tc>
        <w:tc>
          <w:tcPr>
            <w:tcW w:w="1800" w:type="dxa"/>
            <w:noWrap w:val="0"/>
            <w:vAlign w:val="center"/>
          </w:tcPr>
          <w:p w14:paraId="638D3F0F">
            <w:pPr>
              <w:jc w:val="center"/>
              <w:rPr>
                <w:rFonts w:hint="eastAsia"/>
                <w:szCs w:val="21"/>
              </w:rPr>
            </w:pPr>
          </w:p>
        </w:tc>
        <w:tc>
          <w:tcPr>
            <w:tcW w:w="1732" w:type="dxa"/>
            <w:noWrap w:val="0"/>
            <w:vAlign w:val="center"/>
          </w:tcPr>
          <w:p w14:paraId="3C7E4F6F">
            <w:pPr>
              <w:jc w:val="center"/>
              <w:rPr>
                <w:rFonts w:hint="eastAsia"/>
                <w:szCs w:val="21"/>
              </w:rPr>
            </w:pPr>
          </w:p>
        </w:tc>
        <w:tc>
          <w:tcPr>
            <w:tcW w:w="1477" w:type="dxa"/>
            <w:noWrap w:val="0"/>
            <w:vAlign w:val="center"/>
          </w:tcPr>
          <w:p w14:paraId="2601374A">
            <w:pPr>
              <w:jc w:val="center"/>
              <w:rPr>
                <w:rFonts w:hint="eastAsia"/>
                <w:szCs w:val="21"/>
              </w:rPr>
            </w:pPr>
          </w:p>
        </w:tc>
      </w:tr>
      <w:tr w14:paraId="312F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0428933D">
            <w:pPr>
              <w:jc w:val="center"/>
              <w:rPr>
                <w:rFonts w:hint="eastAsia"/>
                <w:szCs w:val="21"/>
              </w:rPr>
            </w:pPr>
          </w:p>
        </w:tc>
        <w:tc>
          <w:tcPr>
            <w:tcW w:w="1844" w:type="dxa"/>
            <w:noWrap w:val="0"/>
            <w:vAlign w:val="center"/>
          </w:tcPr>
          <w:p w14:paraId="3E6ED3A1">
            <w:pPr>
              <w:jc w:val="center"/>
              <w:rPr>
                <w:rFonts w:hint="eastAsia"/>
                <w:szCs w:val="21"/>
              </w:rPr>
            </w:pPr>
          </w:p>
        </w:tc>
        <w:tc>
          <w:tcPr>
            <w:tcW w:w="1440" w:type="dxa"/>
            <w:noWrap w:val="0"/>
            <w:vAlign w:val="center"/>
          </w:tcPr>
          <w:p w14:paraId="127789AC">
            <w:pPr>
              <w:jc w:val="center"/>
              <w:rPr>
                <w:rFonts w:hint="eastAsia"/>
                <w:szCs w:val="21"/>
              </w:rPr>
            </w:pPr>
          </w:p>
        </w:tc>
        <w:tc>
          <w:tcPr>
            <w:tcW w:w="1800" w:type="dxa"/>
            <w:noWrap w:val="0"/>
            <w:vAlign w:val="center"/>
          </w:tcPr>
          <w:p w14:paraId="34E4C53E">
            <w:pPr>
              <w:jc w:val="center"/>
              <w:rPr>
                <w:rFonts w:hint="eastAsia"/>
                <w:szCs w:val="21"/>
              </w:rPr>
            </w:pPr>
          </w:p>
        </w:tc>
        <w:tc>
          <w:tcPr>
            <w:tcW w:w="1732" w:type="dxa"/>
            <w:noWrap w:val="0"/>
            <w:vAlign w:val="center"/>
          </w:tcPr>
          <w:p w14:paraId="29ED8007">
            <w:pPr>
              <w:jc w:val="center"/>
              <w:rPr>
                <w:rFonts w:hint="eastAsia"/>
                <w:szCs w:val="21"/>
              </w:rPr>
            </w:pPr>
          </w:p>
        </w:tc>
        <w:tc>
          <w:tcPr>
            <w:tcW w:w="1477" w:type="dxa"/>
            <w:noWrap w:val="0"/>
            <w:vAlign w:val="center"/>
          </w:tcPr>
          <w:p w14:paraId="70DF1858">
            <w:pPr>
              <w:jc w:val="center"/>
              <w:rPr>
                <w:rFonts w:hint="eastAsia"/>
                <w:szCs w:val="21"/>
              </w:rPr>
            </w:pPr>
          </w:p>
        </w:tc>
      </w:tr>
      <w:tr w14:paraId="602C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426E7EC8">
            <w:pPr>
              <w:jc w:val="center"/>
              <w:rPr>
                <w:rFonts w:hint="eastAsia"/>
                <w:szCs w:val="21"/>
              </w:rPr>
            </w:pPr>
          </w:p>
        </w:tc>
        <w:tc>
          <w:tcPr>
            <w:tcW w:w="1844" w:type="dxa"/>
            <w:noWrap w:val="0"/>
            <w:vAlign w:val="center"/>
          </w:tcPr>
          <w:p w14:paraId="5B8B1FF6">
            <w:pPr>
              <w:jc w:val="center"/>
              <w:rPr>
                <w:rFonts w:hint="eastAsia"/>
                <w:szCs w:val="21"/>
              </w:rPr>
            </w:pPr>
          </w:p>
        </w:tc>
        <w:tc>
          <w:tcPr>
            <w:tcW w:w="1440" w:type="dxa"/>
            <w:noWrap w:val="0"/>
            <w:vAlign w:val="center"/>
          </w:tcPr>
          <w:p w14:paraId="01499A39">
            <w:pPr>
              <w:jc w:val="center"/>
              <w:rPr>
                <w:rFonts w:hint="eastAsia"/>
                <w:szCs w:val="21"/>
              </w:rPr>
            </w:pPr>
          </w:p>
        </w:tc>
        <w:tc>
          <w:tcPr>
            <w:tcW w:w="1800" w:type="dxa"/>
            <w:noWrap w:val="0"/>
            <w:vAlign w:val="center"/>
          </w:tcPr>
          <w:p w14:paraId="52664CB5">
            <w:pPr>
              <w:jc w:val="center"/>
              <w:rPr>
                <w:rFonts w:hint="eastAsia"/>
                <w:szCs w:val="21"/>
              </w:rPr>
            </w:pPr>
          </w:p>
        </w:tc>
        <w:tc>
          <w:tcPr>
            <w:tcW w:w="1732" w:type="dxa"/>
            <w:noWrap w:val="0"/>
            <w:vAlign w:val="center"/>
          </w:tcPr>
          <w:p w14:paraId="656756E3">
            <w:pPr>
              <w:jc w:val="center"/>
              <w:rPr>
                <w:rFonts w:hint="eastAsia"/>
                <w:szCs w:val="21"/>
              </w:rPr>
            </w:pPr>
          </w:p>
        </w:tc>
        <w:tc>
          <w:tcPr>
            <w:tcW w:w="1477" w:type="dxa"/>
            <w:noWrap w:val="0"/>
            <w:vAlign w:val="center"/>
          </w:tcPr>
          <w:p w14:paraId="0C947D50">
            <w:pPr>
              <w:jc w:val="center"/>
              <w:rPr>
                <w:rFonts w:hint="eastAsia"/>
                <w:szCs w:val="21"/>
              </w:rPr>
            </w:pPr>
          </w:p>
        </w:tc>
      </w:tr>
      <w:tr w14:paraId="382A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5BB6D85D">
            <w:pPr>
              <w:jc w:val="center"/>
              <w:rPr>
                <w:rFonts w:hint="eastAsia"/>
                <w:szCs w:val="21"/>
              </w:rPr>
            </w:pPr>
          </w:p>
        </w:tc>
        <w:tc>
          <w:tcPr>
            <w:tcW w:w="1844" w:type="dxa"/>
            <w:noWrap w:val="0"/>
            <w:vAlign w:val="center"/>
          </w:tcPr>
          <w:p w14:paraId="7F0B46CD">
            <w:pPr>
              <w:jc w:val="center"/>
              <w:rPr>
                <w:rFonts w:hint="eastAsia"/>
                <w:szCs w:val="21"/>
              </w:rPr>
            </w:pPr>
          </w:p>
        </w:tc>
        <w:tc>
          <w:tcPr>
            <w:tcW w:w="1440" w:type="dxa"/>
            <w:noWrap w:val="0"/>
            <w:vAlign w:val="center"/>
          </w:tcPr>
          <w:p w14:paraId="08DBAF34">
            <w:pPr>
              <w:jc w:val="center"/>
              <w:rPr>
                <w:rFonts w:hint="eastAsia"/>
                <w:szCs w:val="21"/>
              </w:rPr>
            </w:pPr>
          </w:p>
        </w:tc>
        <w:tc>
          <w:tcPr>
            <w:tcW w:w="1800" w:type="dxa"/>
            <w:noWrap w:val="0"/>
            <w:vAlign w:val="center"/>
          </w:tcPr>
          <w:p w14:paraId="06FB4A9D">
            <w:pPr>
              <w:jc w:val="center"/>
              <w:rPr>
                <w:rFonts w:hint="eastAsia"/>
                <w:szCs w:val="21"/>
              </w:rPr>
            </w:pPr>
          </w:p>
        </w:tc>
        <w:tc>
          <w:tcPr>
            <w:tcW w:w="1732" w:type="dxa"/>
            <w:noWrap w:val="0"/>
            <w:vAlign w:val="center"/>
          </w:tcPr>
          <w:p w14:paraId="3B2661B6">
            <w:pPr>
              <w:jc w:val="center"/>
              <w:rPr>
                <w:rFonts w:hint="eastAsia"/>
                <w:szCs w:val="21"/>
              </w:rPr>
            </w:pPr>
          </w:p>
        </w:tc>
        <w:tc>
          <w:tcPr>
            <w:tcW w:w="1477" w:type="dxa"/>
            <w:noWrap w:val="0"/>
            <w:vAlign w:val="center"/>
          </w:tcPr>
          <w:p w14:paraId="0C0518A8">
            <w:pPr>
              <w:jc w:val="center"/>
              <w:rPr>
                <w:rFonts w:hint="eastAsia"/>
                <w:szCs w:val="21"/>
              </w:rPr>
            </w:pPr>
          </w:p>
        </w:tc>
      </w:tr>
      <w:tr w14:paraId="1BE26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63484A22">
            <w:pPr>
              <w:jc w:val="center"/>
              <w:rPr>
                <w:rFonts w:hint="eastAsia"/>
                <w:szCs w:val="21"/>
              </w:rPr>
            </w:pPr>
          </w:p>
        </w:tc>
        <w:tc>
          <w:tcPr>
            <w:tcW w:w="1844" w:type="dxa"/>
            <w:noWrap w:val="0"/>
            <w:vAlign w:val="center"/>
          </w:tcPr>
          <w:p w14:paraId="3EEB0429">
            <w:pPr>
              <w:jc w:val="center"/>
              <w:rPr>
                <w:rFonts w:hint="eastAsia"/>
                <w:szCs w:val="21"/>
              </w:rPr>
            </w:pPr>
          </w:p>
        </w:tc>
        <w:tc>
          <w:tcPr>
            <w:tcW w:w="1440" w:type="dxa"/>
            <w:noWrap w:val="0"/>
            <w:vAlign w:val="center"/>
          </w:tcPr>
          <w:p w14:paraId="222AE20B">
            <w:pPr>
              <w:jc w:val="center"/>
              <w:rPr>
                <w:rFonts w:hint="eastAsia"/>
                <w:szCs w:val="21"/>
              </w:rPr>
            </w:pPr>
          </w:p>
        </w:tc>
        <w:tc>
          <w:tcPr>
            <w:tcW w:w="1800" w:type="dxa"/>
            <w:noWrap w:val="0"/>
            <w:vAlign w:val="center"/>
          </w:tcPr>
          <w:p w14:paraId="064CAC2A">
            <w:pPr>
              <w:jc w:val="center"/>
              <w:rPr>
                <w:rFonts w:hint="eastAsia"/>
                <w:szCs w:val="21"/>
              </w:rPr>
            </w:pPr>
          </w:p>
        </w:tc>
        <w:tc>
          <w:tcPr>
            <w:tcW w:w="1732" w:type="dxa"/>
            <w:noWrap w:val="0"/>
            <w:vAlign w:val="center"/>
          </w:tcPr>
          <w:p w14:paraId="16309504">
            <w:pPr>
              <w:jc w:val="center"/>
              <w:rPr>
                <w:rFonts w:hint="eastAsia"/>
                <w:szCs w:val="21"/>
              </w:rPr>
            </w:pPr>
          </w:p>
        </w:tc>
        <w:tc>
          <w:tcPr>
            <w:tcW w:w="1477" w:type="dxa"/>
            <w:noWrap w:val="0"/>
            <w:vAlign w:val="center"/>
          </w:tcPr>
          <w:p w14:paraId="16B96B0D">
            <w:pPr>
              <w:jc w:val="center"/>
              <w:rPr>
                <w:rFonts w:hint="eastAsia"/>
                <w:szCs w:val="21"/>
              </w:rPr>
            </w:pPr>
          </w:p>
        </w:tc>
      </w:tr>
      <w:tr w14:paraId="6656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57543660">
            <w:pPr>
              <w:jc w:val="center"/>
              <w:rPr>
                <w:rFonts w:hint="eastAsia"/>
                <w:szCs w:val="21"/>
              </w:rPr>
            </w:pPr>
          </w:p>
        </w:tc>
        <w:tc>
          <w:tcPr>
            <w:tcW w:w="1844" w:type="dxa"/>
            <w:noWrap w:val="0"/>
            <w:vAlign w:val="center"/>
          </w:tcPr>
          <w:p w14:paraId="08E9E4FA">
            <w:pPr>
              <w:jc w:val="center"/>
              <w:rPr>
                <w:rFonts w:hint="eastAsia"/>
                <w:szCs w:val="21"/>
              </w:rPr>
            </w:pPr>
          </w:p>
        </w:tc>
        <w:tc>
          <w:tcPr>
            <w:tcW w:w="1440" w:type="dxa"/>
            <w:noWrap w:val="0"/>
            <w:vAlign w:val="center"/>
          </w:tcPr>
          <w:p w14:paraId="0D7A35F1">
            <w:pPr>
              <w:jc w:val="center"/>
              <w:rPr>
                <w:rFonts w:hint="eastAsia"/>
                <w:szCs w:val="21"/>
              </w:rPr>
            </w:pPr>
          </w:p>
        </w:tc>
        <w:tc>
          <w:tcPr>
            <w:tcW w:w="1800" w:type="dxa"/>
            <w:noWrap w:val="0"/>
            <w:vAlign w:val="center"/>
          </w:tcPr>
          <w:p w14:paraId="5516F1AF">
            <w:pPr>
              <w:jc w:val="center"/>
              <w:rPr>
                <w:rFonts w:hint="eastAsia"/>
                <w:szCs w:val="21"/>
              </w:rPr>
            </w:pPr>
          </w:p>
        </w:tc>
        <w:tc>
          <w:tcPr>
            <w:tcW w:w="1732" w:type="dxa"/>
            <w:noWrap w:val="0"/>
            <w:vAlign w:val="center"/>
          </w:tcPr>
          <w:p w14:paraId="05DF31F5">
            <w:pPr>
              <w:jc w:val="center"/>
              <w:rPr>
                <w:rFonts w:hint="eastAsia"/>
                <w:szCs w:val="21"/>
              </w:rPr>
            </w:pPr>
          </w:p>
        </w:tc>
        <w:tc>
          <w:tcPr>
            <w:tcW w:w="1477" w:type="dxa"/>
            <w:noWrap w:val="0"/>
            <w:vAlign w:val="center"/>
          </w:tcPr>
          <w:p w14:paraId="30756D70">
            <w:pPr>
              <w:jc w:val="center"/>
              <w:rPr>
                <w:rFonts w:hint="eastAsia"/>
                <w:szCs w:val="21"/>
              </w:rPr>
            </w:pPr>
          </w:p>
        </w:tc>
      </w:tr>
      <w:tr w14:paraId="2A63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7671BF9F">
            <w:pPr>
              <w:jc w:val="center"/>
              <w:rPr>
                <w:rFonts w:hint="eastAsia"/>
                <w:szCs w:val="21"/>
              </w:rPr>
            </w:pPr>
          </w:p>
        </w:tc>
        <w:tc>
          <w:tcPr>
            <w:tcW w:w="1844" w:type="dxa"/>
            <w:noWrap w:val="0"/>
            <w:vAlign w:val="center"/>
          </w:tcPr>
          <w:p w14:paraId="722929C7">
            <w:pPr>
              <w:jc w:val="center"/>
              <w:rPr>
                <w:rFonts w:hint="eastAsia"/>
                <w:szCs w:val="21"/>
              </w:rPr>
            </w:pPr>
          </w:p>
        </w:tc>
        <w:tc>
          <w:tcPr>
            <w:tcW w:w="1440" w:type="dxa"/>
            <w:noWrap w:val="0"/>
            <w:vAlign w:val="center"/>
          </w:tcPr>
          <w:p w14:paraId="538CD26D">
            <w:pPr>
              <w:jc w:val="center"/>
              <w:rPr>
                <w:rFonts w:hint="eastAsia"/>
                <w:szCs w:val="21"/>
              </w:rPr>
            </w:pPr>
          </w:p>
        </w:tc>
        <w:tc>
          <w:tcPr>
            <w:tcW w:w="1800" w:type="dxa"/>
            <w:noWrap w:val="0"/>
            <w:vAlign w:val="center"/>
          </w:tcPr>
          <w:p w14:paraId="04F329D7">
            <w:pPr>
              <w:jc w:val="center"/>
              <w:rPr>
                <w:rFonts w:hint="eastAsia"/>
                <w:szCs w:val="21"/>
              </w:rPr>
            </w:pPr>
          </w:p>
        </w:tc>
        <w:tc>
          <w:tcPr>
            <w:tcW w:w="1732" w:type="dxa"/>
            <w:noWrap w:val="0"/>
            <w:vAlign w:val="center"/>
          </w:tcPr>
          <w:p w14:paraId="283DB9AB">
            <w:pPr>
              <w:jc w:val="center"/>
              <w:rPr>
                <w:rFonts w:hint="eastAsia"/>
                <w:szCs w:val="21"/>
              </w:rPr>
            </w:pPr>
          </w:p>
        </w:tc>
        <w:tc>
          <w:tcPr>
            <w:tcW w:w="1477" w:type="dxa"/>
            <w:noWrap w:val="0"/>
            <w:vAlign w:val="center"/>
          </w:tcPr>
          <w:p w14:paraId="17796F27">
            <w:pPr>
              <w:jc w:val="center"/>
              <w:rPr>
                <w:rFonts w:hint="eastAsia"/>
                <w:szCs w:val="21"/>
              </w:rPr>
            </w:pPr>
          </w:p>
        </w:tc>
      </w:tr>
      <w:tr w14:paraId="4DBA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04" w:type="dxa"/>
            <w:noWrap w:val="0"/>
            <w:vAlign w:val="center"/>
          </w:tcPr>
          <w:p w14:paraId="2FD1DE08">
            <w:pPr>
              <w:jc w:val="center"/>
              <w:rPr>
                <w:rFonts w:hint="eastAsia"/>
                <w:szCs w:val="21"/>
              </w:rPr>
            </w:pPr>
          </w:p>
        </w:tc>
        <w:tc>
          <w:tcPr>
            <w:tcW w:w="1844" w:type="dxa"/>
            <w:noWrap w:val="0"/>
            <w:vAlign w:val="center"/>
          </w:tcPr>
          <w:p w14:paraId="08AE0E72">
            <w:pPr>
              <w:jc w:val="center"/>
              <w:rPr>
                <w:rFonts w:hint="eastAsia"/>
                <w:szCs w:val="21"/>
              </w:rPr>
            </w:pPr>
            <w:r>
              <w:rPr>
                <w:rFonts w:hint="eastAsia"/>
                <w:szCs w:val="21"/>
              </w:rPr>
              <w:t>定值权重A</w:t>
            </w:r>
          </w:p>
        </w:tc>
        <w:tc>
          <w:tcPr>
            <w:tcW w:w="1440" w:type="dxa"/>
            <w:noWrap w:val="0"/>
            <w:vAlign w:val="center"/>
          </w:tcPr>
          <w:p w14:paraId="1BF36BF1">
            <w:pPr>
              <w:jc w:val="center"/>
              <w:rPr>
                <w:rFonts w:hint="eastAsia"/>
                <w:szCs w:val="21"/>
              </w:rPr>
            </w:pPr>
          </w:p>
        </w:tc>
        <w:tc>
          <w:tcPr>
            <w:tcW w:w="1800" w:type="dxa"/>
            <w:noWrap w:val="0"/>
            <w:vAlign w:val="center"/>
          </w:tcPr>
          <w:p w14:paraId="5CDFB257">
            <w:pPr>
              <w:jc w:val="center"/>
              <w:rPr>
                <w:rFonts w:hint="eastAsia"/>
                <w:szCs w:val="21"/>
              </w:rPr>
            </w:pPr>
            <w:r>
              <w:rPr>
                <w:rFonts w:hint="eastAsia" w:ascii="宋体" w:hAnsi="宋体"/>
              </w:rPr>
              <w:t>—</w:t>
            </w:r>
          </w:p>
        </w:tc>
        <w:tc>
          <w:tcPr>
            <w:tcW w:w="1732" w:type="dxa"/>
            <w:noWrap w:val="0"/>
            <w:vAlign w:val="center"/>
          </w:tcPr>
          <w:p w14:paraId="51D474C0">
            <w:pPr>
              <w:jc w:val="center"/>
              <w:rPr>
                <w:rFonts w:hint="eastAsia"/>
                <w:szCs w:val="21"/>
              </w:rPr>
            </w:pPr>
            <w:r>
              <w:rPr>
                <w:rFonts w:hint="eastAsia" w:ascii="宋体" w:hAnsi="宋体"/>
              </w:rPr>
              <w:t>—</w:t>
            </w:r>
          </w:p>
        </w:tc>
        <w:tc>
          <w:tcPr>
            <w:tcW w:w="1477" w:type="dxa"/>
            <w:noWrap w:val="0"/>
            <w:vAlign w:val="center"/>
          </w:tcPr>
          <w:p w14:paraId="419337B1">
            <w:pPr>
              <w:jc w:val="center"/>
              <w:rPr>
                <w:rFonts w:hint="eastAsia"/>
                <w:szCs w:val="21"/>
              </w:rPr>
            </w:pPr>
          </w:p>
        </w:tc>
      </w:tr>
      <w:tr w14:paraId="7B40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2448" w:type="dxa"/>
            <w:gridSpan w:val="2"/>
            <w:noWrap w:val="0"/>
            <w:vAlign w:val="center"/>
          </w:tcPr>
          <w:p w14:paraId="66383BEB">
            <w:pPr>
              <w:jc w:val="center"/>
              <w:rPr>
                <w:rFonts w:hint="eastAsia"/>
                <w:szCs w:val="21"/>
              </w:rPr>
            </w:pPr>
            <w:r>
              <w:rPr>
                <w:rFonts w:hint="eastAsia"/>
                <w:szCs w:val="21"/>
              </w:rPr>
              <w:t>合计</w:t>
            </w:r>
          </w:p>
        </w:tc>
        <w:tc>
          <w:tcPr>
            <w:tcW w:w="1440" w:type="dxa"/>
            <w:noWrap w:val="0"/>
            <w:vAlign w:val="center"/>
          </w:tcPr>
          <w:p w14:paraId="2098BABF">
            <w:pPr>
              <w:jc w:val="center"/>
              <w:rPr>
                <w:rFonts w:hint="eastAsia"/>
                <w:szCs w:val="21"/>
              </w:rPr>
            </w:pPr>
            <w:r>
              <w:rPr>
                <w:rFonts w:hint="eastAsia"/>
                <w:szCs w:val="21"/>
              </w:rPr>
              <w:t>1</w:t>
            </w:r>
          </w:p>
        </w:tc>
        <w:tc>
          <w:tcPr>
            <w:tcW w:w="1800" w:type="dxa"/>
            <w:noWrap w:val="0"/>
            <w:vAlign w:val="center"/>
          </w:tcPr>
          <w:p w14:paraId="658BEE78">
            <w:pPr>
              <w:jc w:val="center"/>
              <w:rPr>
                <w:rFonts w:hint="eastAsia"/>
                <w:szCs w:val="21"/>
              </w:rPr>
            </w:pPr>
            <w:r>
              <w:rPr>
                <w:rFonts w:hint="eastAsia" w:ascii="宋体" w:hAnsi="宋体"/>
              </w:rPr>
              <w:t>—</w:t>
            </w:r>
          </w:p>
        </w:tc>
        <w:tc>
          <w:tcPr>
            <w:tcW w:w="1732" w:type="dxa"/>
            <w:noWrap w:val="0"/>
            <w:vAlign w:val="center"/>
          </w:tcPr>
          <w:p w14:paraId="4989B28D">
            <w:pPr>
              <w:jc w:val="center"/>
              <w:rPr>
                <w:rFonts w:hint="eastAsia"/>
                <w:szCs w:val="21"/>
              </w:rPr>
            </w:pPr>
            <w:r>
              <w:rPr>
                <w:rFonts w:hint="eastAsia" w:ascii="宋体" w:hAnsi="宋体"/>
              </w:rPr>
              <w:t>—</w:t>
            </w:r>
          </w:p>
        </w:tc>
        <w:tc>
          <w:tcPr>
            <w:tcW w:w="1477" w:type="dxa"/>
            <w:noWrap w:val="0"/>
            <w:vAlign w:val="center"/>
          </w:tcPr>
          <w:p w14:paraId="41827C30">
            <w:pPr>
              <w:jc w:val="center"/>
              <w:rPr>
                <w:rFonts w:hint="eastAsia"/>
                <w:szCs w:val="21"/>
              </w:rPr>
            </w:pPr>
          </w:p>
        </w:tc>
      </w:tr>
    </w:tbl>
    <w:p w14:paraId="6ECE8BCF">
      <w:pPr>
        <w:rPr>
          <w:rFonts w:hint="eastAsia"/>
          <w:szCs w:val="21"/>
        </w:rPr>
      </w:pPr>
    </w:p>
    <w:p w14:paraId="39905FB4">
      <w:pPr>
        <w:rPr>
          <w:rFonts w:hint="eastAsia"/>
          <w:szCs w:val="21"/>
        </w:rPr>
      </w:pPr>
    </w:p>
    <w:p w14:paraId="54735F5C">
      <w:pPr>
        <w:rPr>
          <w:rFonts w:hint="eastAsia"/>
          <w:szCs w:val="21"/>
        </w:rPr>
      </w:pPr>
    </w:p>
    <w:p w14:paraId="1E2F887B">
      <w:pPr>
        <w:ind w:left="840" w:hanging="840" w:hangingChars="400"/>
        <w:rPr>
          <w:rFonts w:hint="eastAsia"/>
          <w:szCs w:val="21"/>
        </w:rPr>
      </w:pPr>
      <w:r>
        <w:rPr>
          <w:rFonts w:hint="eastAsia"/>
          <w:szCs w:val="21"/>
        </w:rPr>
        <w:t>注：1．“名称、规格、型号”、“ 基本价格指数”栏由招标人填写，基本价格指数应首先采用工程造价管理机构发布的价格指数，没有时，可用发布的价格代替。如人工、机械也采用本法调整，由招标人在“名称”栏填写。</w:t>
      </w:r>
    </w:p>
    <w:p w14:paraId="1C486241">
      <w:pPr>
        <w:ind w:left="855" w:leftChars="207" w:hanging="420" w:hangingChars="200"/>
        <w:rPr>
          <w:rFonts w:hint="eastAsia"/>
          <w:szCs w:val="21"/>
        </w:rPr>
      </w:pPr>
      <w:r>
        <w:rPr>
          <w:rFonts w:hint="eastAsia"/>
          <w:szCs w:val="21"/>
        </w:rPr>
        <w:t>2．“变值权重”栏由投标人根据该项人工、机械费和材料、工程设备价值在投标总报价中所站比例填写，1减去其比例为定值权重。</w:t>
      </w:r>
    </w:p>
    <w:p w14:paraId="275A35A4">
      <w:pPr>
        <w:ind w:left="855" w:leftChars="207" w:hanging="420" w:hangingChars="200"/>
        <w:rPr>
          <w:rFonts w:hint="eastAsia"/>
          <w:szCs w:val="21"/>
        </w:rPr>
      </w:pPr>
      <w:r>
        <w:rPr>
          <w:rFonts w:hint="eastAsia"/>
          <w:szCs w:val="21"/>
        </w:rPr>
        <w:t>3．“现行价格指数”按约定的付款证书相关周期最后一天的前42天的各项价格指数填写，该指数应首先采用工程造价管理机构发布的价格指数，没有时，可用发布的价格代替。</w:t>
      </w:r>
    </w:p>
    <w:p w14:paraId="137131C3">
      <w:pPr>
        <w:rPr>
          <w:rFonts w:hint="eastAsia"/>
          <w:szCs w:val="21"/>
        </w:rPr>
      </w:pPr>
    </w:p>
    <w:p w14:paraId="645F2383">
      <w:pPr>
        <w:rPr>
          <w:rFonts w:hint="eastAsia"/>
          <w:szCs w:val="21"/>
        </w:rPr>
      </w:pPr>
    </w:p>
    <w:p w14:paraId="71036EEF">
      <w:pPr>
        <w:rPr>
          <w:rFonts w:hint="eastAsia"/>
          <w:szCs w:val="21"/>
        </w:rPr>
      </w:pPr>
    </w:p>
    <w:p w14:paraId="3D02E43C">
      <w:pPr>
        <w:rPr>
          <w:rFonts w:hint="eastAsia"/>
          <w:szCs w:val="21"/>
        </w:rPr>
      </w:pPr>
    </w:p>
    <w:p w14:paraId="386616A4">
      <w:pPr>
        <w:rPr>
          <w:rFonts w:hint="eastAsia"/>
          <w:szCs w:val="21"/>
        </w:rPr>
      </w:pPr>
    </w:p>
    <w:p w14:paraId="5A316834">
      <w:pPr>
        <w:rPr>
          <w:rFonts w:hint="eastAsia"/>
          <w:szCs w:val="21"/>
        </w:rPr>
      </w:pPr>
    </w:p>
    <w:p w14:paraId="383EC8FD">
      <w:pPr>
        <w:rPr>
          <w:rFonts w:hint="eastAsia"/>
          <w:szCs w:val="21"/>
        </w:rPr>
      </w:pPr>
    </w:p>
    <w:p w14:paraId="60D0E64C">
      <w:pPr>
        <w:rPr>
          <w:rFonts w:hint="eastAsia"/>
          <w:szCs w:val="21"/>
        </w:rPr>
      </w:pPr>
    </w:p>
    <w:p w14:paraId="34565367">
      <w:pPr>
        <w:rPr>
          <w:rFonts w:hint="eastAsia"/>
          <w:szCs w:val="21"/>
        </w:rPr>
      </w:pPr>
    </w:p>
    <w:p w14:paraId="04184F9F">
      <w:pPr>
        <w:rPr>
          <w:rFonts w:hint="eastAsia"/>
          <w:szCs w:val="21"/>
        </w:rPr>
      </w:pPr>
    </w:p>
    <w:p w14:paraId="1DFC9226">
      <w:pPr>
        <w:rPr>
          <w:rFonts w:hint="eastAsia"/>
          <w:szCs w:val="21"/>
        </w:rPr>
      </w:pPr>
    </w:p>
    <w:p w14:paraId="495C5F4D">
      <w:pPr>
        <w:rPr>
          <w:rFonts w:hint="eastAsia"/>
          <w:szCs w:val="21"/>
        </w:rPr>
      </w:pPr>
    </w:p>
    <w:p w14:paraId="539BA5C3">
      <w:pPr>
        <w:rPr>
          <w:rFonts w:hint="eastAsia"/>
          <w:szCs w:val="21"/>
        </w:rPr>
      </w:pPr>
    </w:p>
    <w:p w14:paraId="72C51887">
      <w:pPr>
        <w:pStyle w:val="2"/>
        <w:spacing w:before="120" w:after="120" w:line="400" w:lineRule="exact"/>
        <w:jc w:val="center"/>
        <w:rPr>
          <w:rFonts w:hint="eastAsia" w:ascii="黑体" w:hAnsi="黑体" w:eastAsia="黑体"/>
          <w:b w:val="0"/>
          <w:bCs w:val="0"/>
          <w:sz w:val="48"/>
          <w:szCs w:val="48"/>
        </w:rPr>
      </w:pPr>
      <w:bookmarkStart w:id="2605" w:name="_Toc108514191"/>
      <w:r>
        <w:rPr>
          <w:rFonts w:hint="eastAsia" w:ascii="黑体" w:hAnsi="黑体" w:eastAsia="黑体"/>
          <w:b w:val="0"/>
          <w:bCs w:val="0"/>
          <w:sz w:val="48"/>
          <w:szCs w:val="48"/>
        </w:rPr>
        <w:t>第二卷</w:t>
      </w:r>
      <w:bookmarkEnd w:id="2605"/>
    </w:p>
    <w:p w14:paraId="1103BADE">
      <w:pPr>
        <w:rPr>
          <w:rFonts w:hint="eastAsia" w:ascii="黑体" w:eastAsia="黑体"/>
          <w:sz w:val="48"/>
          <w:szCs w:val="48"/>
        </w:rPr>
      </w:pPr>
    </w:p>
    <w:p w14:paraId="259DAD0E">
      <w:pPr>
        <w:spacing w:line="420" w:lineRule="exact"/>
        <w:jc w:val="center"/>
        <w:rPr>
          <w:rFonts w:hint="eastAsia" w:ascii="楷体_GB2312" w:eastAsia="楷体_GB2312"/>
        </w:rPr>
      </w:pPr>
      <w:r>
        <w:rPr>
          <w:szCs w:val="21"/>
        </w:rPr>
        <w:br w:type="page"/>
      </w:r>
    </w:p>
    <w:p w14:paraId="2E144748">
      <w:pPr>
        <w:spacing w:line="420" w:lineRule="exact"/>
        <w:jc w:val="center"/>
        <w:rPr>
          <w:rFonts w:hint="eastAsia" w:ascii="楷体_GB2312" w:eastAsia="楷体_GB2312"/>
        </w:rPr>
      </w:pPr>
    </w:p>
    <w:p w14:paraId="5241283B">
      <w:pPr>
        <w:spacing w:line="420" w:lineRule="exact"/>
        <w:jc w:val="center"/>
        <w:rPr>
          <w:rFonts w:hint="eastAsia" w:ascii="楷体_GB2312" w:eastAsia="楷体_GB2312"/>
        </w:rPr>
      </w:pPr>
    </w:p>
    <w:p w14:paraId="35C27047">
      <w:pPr>
        <w:spacing w:line="420" w:lineRule="exact"/>
        <w:jc w:val="center"/>
        <w:rPr>
          <w:rFonts w:hint="eastAsia" w:ascii="楷体_GB2312" w:eastAsia="楷体_GB2312"/>
        </w:rPr>
      </w:pPr>
    </w:p>
    <w:p w14:paraId="0A613031">
      <w:pPr>
        <w:spacing w:line="420" w:lineRule="exact"/>
        <w:jc w:val="center"/>
        <w:rPr>
          <w:rFonts w:hint="eastAsia" w:ascii="楷体_GB2312" w:eastAsia="楷体_GB2312"/>
        </w:rPr>
      </w:pPr>
    </w:p>
    <w:p w14:paraId="4FE5D12B">
      <w:pPr>
        <w:pStyle w:val="2"/>
        <w:spacing w:before="120" w:after="120" w:line="400" w:lineRule="exact"/>
        <w:jc w:val="center"/>
        <w:rPr>
          <w:rFonts w:hint="eastAsia" w:ascii="黑体" w:hAnsi="黑体" w:eastAsia="黑体"/>
          <w:b w:val="0"/>
          <w:bCs w:val="0"/>
          <w:sz w:val="32"/>
        </w:rPr>
      </w:pPr>
      <w:bookmarkStart w:id="2606" w:name="_Toc108514192"/>
      <w:r>
        <w:rPr>
          <w:rFonts w:hint="eastAsia" w:ascii="黑体" w:hAnsi="黑体" w:eastAsia="黑体"/>
          <w:b w:val="0"/>
          <w:bCs w:val="0"/>
          <w:sz w:val="32"/>
        </w:rPr>
        <w:t>第六章  图  纸</w:t>
      </w:r>
      <w:bookmarkEnd w:id="2606"/>
    </w:p>
    <w:p w14:paraId="6EA98801">
      <w:pPr>
        <w:jc w:val="center"/>
        <w:rPr>
          <w:rFonts w:hint="eastAsia" w:ascii="黑体" w:eastAsia="黑体"/>
          <w:sz w:val="44"/>
          <w:szCs w:val="44"/>
        </w:rPr>
      </w:pPr>
      <w:r>
        <w:rPr>
          <w:rFonts w:hint="eastAsia" w:ascii="黑体" w:eastAsia="黑体"/>
          <w:sz w:val="44"/>
          <w:szCs w:val="44"/>
        </w:rPr>
        <w:t xml:space="preserve"> </w:t>
      </w:r>
    </w:p>
    <w:p w14:paraId="1A666B3A">
      <w:pPr>
        <w:jc w:val="center"/>
        <w:rPr>
          <w:rFonts w:hint="eastAsia" w:ascii="黑体" w:eastAsia="黑体"/>
          <w:sz w:val="44"/>
          <w:szCs w:val="44"/>
        </w:rPr>
      </w:pPr>
    </w:p>
    <w:p w14:paraId="04EF63AF">
      <w:pPr>
        <w:jc w:val="center"/>
        <w:rPr>
          <w:rFonts w:hint="eastAsia" w:ascii="黑体" w:eastAsia="黑体"/>
          <w:sz w:val="44"/>
          <w:szCs w:val="44"/>
        </w:rPr>
      </w:pPr>
    </w:p>
    <w:p w14:paraId="5D1275B6">
      <w:pPr>
        <w:jc w:val="center"/>
        <w:rPr>
          <w:rFonts w:hint="eastAsia" w:ascii="黑体" w:eastAsia="黑体"/>
          <w:sz w:val="44"/>
          <w:szCs w:val="44"/>
        </w:rPr>
      </w:pPr>
    </w:p>
    <w:p w14:paraId="1D6C4A89">
      <w:pPr>
        <w:jc w:val="center"/>
        <w:rPr>
          <w:rFonts w:hint="eastAsia" w:ascii="黑体" w:eastAsia="黑体"/>
          <w:sz w:val="44"/>
          <w:szCs w:val="44"/>
        </w:rPr>
      </w:pPr>
    </w:p>
    <w:p w14:paraId="393543E3">
      <w:pPr>
        <w:jc w:val="center"/>
        <w:rPr>
          <w:rFonts w:hint="eastAsia" w:ascii="黑体" w:eastAsia="黑体"/>
          <w:sz w:val="44"/>
          <w:szCs w:val="44"/>
        </w:rPr>
      </w:pPr>
    </w:p>
    <w:p w14:paraId="4EADD9C2">
      <w:pPr>
        <w:jc w:val="center"/>
        <w:rPr>
          <w:rFonts w:hint="eastAsia" w:ascii="黑体" w:eastAsia="黑体"/>
          <w:sz w:val="44"/>
          <w:szCs w:val="44"/>
        </w:rPr>
      </w:pPr>
    </w:p>
    <w:p w14:paraId="63D83DB2">
      <w:pPr>
        <w:jc w:val="center"/>
        <w:rPr>
          <w:rFonts w:hint="eastAsia" w:ascii="黑体" w:eastAsia="黑体"/>
          <w:sz w:val="44"/>
          <w:szCs w:val="44"/>
        </w:rPr>
      </w:pPr>
    </w:p>
    <w:p w14:paraId="5D686425">
      <w:pPr>
        <w:jc w:val="center"/>
        <w:rPr>
          <w:rFonts w:hint="eastAsia" w:ascii="黑体" w:eastAsia="黑体"/>
          <w:sz w:val="44"/>
          <w:szCs w:val="44"/>
        </w:rPr>
      </w:pPr>
    </w:p>
    <w:p w14:paraId="142A09B8">
      <w:pPr>
        <w:jc w:val="center"/>
        <w:rPr>
          <w:rFonts w:hint="eastAsia" w:ascii="黑体" w:eastAsia="黑体"/>
          <w:sz w:val="44"/>
          <w:szCs w:val="44"/>
        </w:rPr>
      </w:pPr>
    </w:p>
    <w:p w14:paraId="09F869C8">
      <w:pPr>
        <w:jc w:val="center"/>
        <w:rPr>
          <w:rFonts w:hint="eastAsia" w:ascii="黑体" w:eastAsia="黑体"/>
          <w:sz w:val="44"/>
          <w:szCs w:val="44"/>
        </w:rPr>
      </w:pPr>
    </w:p>
    <w:p w14:paraId="00BEBF0C">
      <w:pPr>
        <w:jc w:val="center"/>
        <w:rPr>
          <w:rFonts w:hint="eastAsia" w:ascii="黑体" w:eastAsia="黑体"/>
          <w:sz w:val="44"/>
          <w:szCs w:val="44"/>
        </w:rPr>
      </w:pPr>
    </w:p>
    <w:p w14:paraId="44945964">
      <w:pPr>
        <w:jc w:val="center"/>
        <w:rPr>
          <w:rFonts w:hint="eastAsia" w:ascii="黑体" w:eastAsia="黑体"/>
          <w:sz w:val="44"/>
          <w:szCs w:val="44"/>
        </w:rPr>
      </w:pPr>
    </w:p>
    <w:p w14:paraId="3FAC47DF">
      <w:pPr>
        <w:jc w:val="center"/>
        <w:rPr>
          <w:rFonts w:hint="eastAsia" w:ascii="黑体" w:eastAsia="黑体"/>
          <w:sz w:val="44"/>
          <w:szCs w:val="44"/>
        </w:rPr>
      </w:pPr>
    </w:p>
    <w:p w14:paraId="03ECA40E">
      <w:pPr>
        <w:jc w:val="center"/>
        <w:rPr>
          <w:rFonts w:hint="eastAsia" w:ascii="黑体" w:eastAsia="黑体"/>
          <w:sz w:val="44"/>
          <w:szCs w:val="44"/>
        </w:rPr>
      </w:pPr>
    </w:p>
    <w:p w14:paraId="31982577">
      <w:pPr>
        <w:jc w:val="center"/>
        <w:rPr>
          <w:rFonts w:hint="eastAsia" w:ascii="黑体" w:eastAsia="黑体"/>
          <w:sz w:val="44"/>
          <w:szCs w:val="44"/>
        </w:rPr>
      </w:pPr>
    </w:p>
    <w:p w14:paraId="32DA9A37">
      <w:pPr>
        <w:jc w:val="center"/>
        <w:rPr>
          <w:rFonts w:hint="eastAsia" w:ascii="黑体" w:eastAsia="黑体"/>
          <w:sz w:val="44"/>
          <w:szCs w:val="44"/>
        </w:rPr>
      </w:pPr>
    </w:p>
    <w:p w14:paraId="7459C57E">
      <w:pPr>
        <w:jc w:val="center"/>
        <w:rPr>
          <w:rFonts w:hint="eastAsia" w:ascii="黑体" w:eastAsia="黑体"/>
          <w:sz w:val="44"/>
          <w:szCs w:val="44"/>
        </w:rPr>
      </w:pPr>
    </w:p>
    <w:p w14:paraId="261BE528">
      <w:pPr>
        <w:pStyle w:val="18"/>
        <w:rPr>
          <w:rFonts w:hint="eastAsia"/>
          <w:sz w:val="24"/>
          <w:szCs w:val="24"/>
        </w:rPr>
      </w:pPr>
      <w:bookmarkStart w:id="2607" w:name="_Toc108514193"/>
      <w:r>
        <w:rPr>
          <w:rFonts w:hint="eastAsia"/>
          <w:sz w:val="24"/>
          <w:szCs w:val="24"/>
        </w:rPr>
        <w:t>1．图纸目录</w:t>
      </w:r>
      <w:bookmarkEnd w:id="2607"/>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1453"/>
        <w:gridCol w:w="1453"/>
        <w:gridCol w:w="1453"/>
        <w:gridCol w:w="1454"/>
        <w:gridCol w:w="1454"/>
      </w:tblGrid>
      <w:tr w14:paraId="4C32A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DDE3FDB">
            <w:pPr>
              <w:jc w:val="center"/>
              <w:rPr>
                <w:rFonts w:hint="eastAsia" w:ascii="宋体" w:hAnsi="宋体"/>
                <w:szCs w:val="21"/>
              </w:rPr>
            </w:pPr>
            <w:r>
              <w:rPr>
                <w:rFonts w:hint="eastAsia" w:ascii="宋体" w:hAnsi="宋体"/>
                <w:szCs w:val="21"/>
              </w:rPr>
              <w:t>序号</w:t>
            </w:r>
          </w:p>
        </w:tc>
        <w:tc>
          <w:tcPr>
            <w:tcW w:w="1453" w:type="dxa"/>
            <w:noWrap w:val="0"/>
            <w:vAlign w:val="center"/>
          </w:tcPr>
          <w:p w14:paraId="19926700">
            <w:pPr>
              <w:jc w:val="center"/>
              <w:rPr>
                <w:rFonts w:hint="eastAsia" w:ascii="宋体" w:hAnsi="宋体"/>
                <w:szCs w:val="21"/>
              </w:rPr>
            </w:pPr>
            <w:r>
              <w:rPr>
                <w:rFonts w:hint="eastAsia" w:ascii="宋体" w:hAnsi="宋体"/>
                <w:szCs w:val="21"/>
              </w:rPr>
              <w:t>图名</w:t>
            </w:r>
          </w:p>
        </w:tc>
        <w:tc>
          <w:tcPr>
            <w:tcW w:w="1453" w:type="dxa"/>
            <w:noWrap w:val="0"/>
            <w:vAlign w:val="center"/>
          </w:tcPr>
          <w:p w14:paraId="43A3D974">
            <w:pPr>
              <w:jc w:val="center"/>
              <w:rPr>
                <w:rFonts w:hint="eastAsia" w:ascii="宋体" w:hAnsi="宋体"/>
                <w:szCs w:val="21"/>
              </w:rPr>
            </w:pPr>
            <w:r>
              <w:rPr>
                <w:rFonts w:hint="eastAsia" w:ascii="宋体" w:hAnsi="宋体"/>
                <w:szCs w:val="21"/>
              </w:rPr>
              <w:t>图号</w:t>
            </w:r>
          </w:p>
        </w:tc>
        <w:tc>
          <w:tcPr>
            <w:tcW w:w="1453" w:type="dxa"/>
            <w:noWrap w:val="0"/>
            <w:vAlign w:val="center"/>
          </w:tcPr>
          <w:p w14:paraId="0C884B41">
            <w:pPr>
              <w:jc w:val="center"/>
              <w:rPr>
                <w:rFonts w:hint="eastAsia" w:ascii="宋体" w:hAnsi="宋体"/>
                <w:szCs w:val="21"/>
              </w:rPr>
            </w:pPr>
            <w:r>
              <w:rPr>
                <w:rFonts w:hint="eastAsia" w:ascii="宋体" w:hAnsi="宋体"/>
                <w:szCs w:val="21"/>
              </w:rPr>
              <w:t>版本</w:t>
            </w:r>
          </w:p>
        </w:tc>
        <w:tc>
          <w:tcPr>
            <w:tcW w:w="1454" w:type="dxa"/>
            <w:noWrap w:val="0"/>
            <w:vAlign w:val="center"/>
          </w:tcPr>
          <w:p w14:paraId="715A228E">
            <w:pPr>
              <w:jc w:val="center"/>
              <w:rPr>
                <w:rFonts w:hint="eastAsia" w:ascii="宋体" w:hAnsi="宋体"/>
                <w:szCs w:val="21"/>
              </w:rPr>
            </w:pPr>
            <w:r>
              <w:rPr>
                <w:rFonts w:hint="eastAsia" w:ascii="宋体" w:hAnsi="宋体"/>
                <w:szCs w:val="21"/>
              </w:rPr>
              <w:t>出图日期</w:t>
            </w:r>
          </w:p>
        </w:tc>
        <w:tc>
          <w:tcPr>
            <w:tcW w:w="1454" w:type="dxa"/>
            <w:noWrap w:val="0"/>
            <w:vAlign w:val="center"/>
          </w:tcPr>
          <w:p w14:paraId="55EBA6C7">
            <w:pPr>
              <w:jc w:val="center"/>
              <w:rPr>
                <w:rFonts w:hint="eastAsia" w:ascii="宋体" w:hAnsi="宋体"/>
                <w:szCs w:val="21"/>
              </w:rPr>
            </w:pPr>
            <w:r>
              <w:rPr>
                <w:rFonts w:hint="eastAsia" w:ascii="宋体" w:hAnsi="宋体"/>
                <w:szCs w:val="21"/>
              </w:rPr>
              <w:t>备注</w:t>
            </w:r>
          </w:p>
        </w:tc>
      </w:tr>
      <w:tr w14:paraId="7BF8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B0033B6">
            <w:pPr>
              <w:jc w:val="center"/>
              <w:rPr>
                <w:rFonts w:hint="eastAsia" w:ascii="宋体" w:hAnsi="宋体"/>
                <w:szCs w:val="21"/>
              </w:rPr>
            </w:pPr>
          </w:p>
        </w:tc>
        <w:tc>
          <w:tcPr>
            <w:tcW w:w="1453" w:type="dxa"/>
            <w:noWrap w:val="0"/>
            <w:vAlign w:val="center"/>
          </w:tcPr>
          <w:p w14:paraId="50ECB93B">
            <w:pPr>
              <w:jc w:val="center"/>
              <w:rPr>
                <w:rFonts w:hint="eastAsia" w:ascii="宋体" w:hAnsi="宋体"/>
                <w:szCs w:val="21"/>
              </w:rPr>
            </w:pPr>
          </w:p>
        </w:tc>
        <w:tc>
          <w:tcPr>
            <w:tcW w:w="1453" w:type="dxa"/>
            <w:noWrap w:val="0"/>
            <w:vAlign w:val="center"/>
          </w:tcPr>
          <w:p w14:paraId="7295ADA5">
            <w:pPr>
              <w:jc w:val="center"/>
              <w:rPr>
                <w:rFonts w:hint="eastAsia" w:ascii="宋体" w:hAnsi="宋体"/>
                <w:szCs w:val="21"/>
              </w:rPr>
            </w:pPr>
          </w:p>
        </w:tc>
        <w:tc>
          <w:tcPr>
            <w:tcW w:w="1453" w:type="dxa"/>
            <w:noWrap w:val="0"/>
            <w:vAlign w:val="center"/>
          </w:tcPr>
          <w:p w14:paraId="3779DE54">
            <w:pPr>
              <w:jc w:val="center"/>
              <w:rPr>
                <w:rFonts w:hint="eastAsia" w:ascii="宋体" w:hAnsi="宋体"/>
                <w:szCs w:val="21"/>
              </w:rPr>
            </w:pPr>
          </w:p>
        </w:tc>
        <w:tc>
          <w:tcPr>
            <w:tcW w:w="1454" w:type="dxa"/>
            <w:noWrap w:val="0"/>
            <w:vAlign w:val="center"/>
          </w:tcPr>
          <w:p w14:paraId="0A18AC7A">
            <w:pPr>
              <w:jc w:val="center"/>
              <w:rPr>
                <w:rFonts w:hint="eastAsia" w:ascii="宋体" w:hAnsi="宋体"/>
                <w:szCs w:val="21"/>
              </w:rPr>
            </w:pPr>
          </w:p>
        </w:tc>
        <w:tc>
          <w:tcPr>
            <w:tcW w:w="1454" w:type="dxa"/>
            <w:noWrap w:val="0"/>
            <w:vAlign w:val="center"/>
          </w:tcPr>
          <w:p w14:paraId="288B93BB">
            <w:pPr>
              <w:jc w:val="center"/>
              <w:rPr>
                <w:rFonts w:hint="eastAsia" w:ascii="宋体" w:hAnsi="宋体"/>
                <w:szCs w:val="21"/>
              </w:rPr>
            </w:pPr>
          </w:p>
        </w:tc>
      </w:tr>
      <w:tr w14:paraId="7B0DB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5B1685BF">
            <w:pPr>
              <w:jc w:val="center"/>
              <w:rPr>
                <w:rFonts w:hint="eastAsia" w:ascii="宋体" w:hAnsi="宋体"/>
                <w:szCs w:val="21"/>
              </w:rPr>
            </w:pPr>
          </w:p>
        </w:tc>
        <w:tc>
          <w:tcPr>
            <w:tcW w:w="1453" w:type="dxa"/>
            <w:noWrap w:val="0"/>
            <w:vAlign w:val="center"/>
          </w:tcPr>
          <w:p w14:paraId="3405B08E">
            <w:pPr>
              <w:jc w:val="center"/>
              <w:rPr>
                <w:rFonts w:hint="eastAsia" w:ascii="宋体" w:hAnsi="宋体"/>
                <w:szCs w:val="21"/>
              </w:rPr>
            </w:pPr>
          </w:p>
        </w:tc>
        <w:tc>
          <w:tcPr>
            <w:tcW w:w="1453" w:type="dxa"/>
            <w:noWrap w:val="0"/>
            <w:vAlign w:val="center"/>
          </w:tcPr>
          <w:p w14:paraId="22AA52B7">
            <w:pPr>
              <w:jc w:val="center"/>
              <w:rPr>
                <w:rFonts w:hint="eastAsia" w:ascii="宋体" w:hAnsi="宋体"/>
                <w:szCs w:val="21"/>
              </w:rPr>
            </w:pPr>
          </w:p>
        </w:tc>
        <w:tc>
          <w:tcPr>
            <w:tcW w:w="1453" w:type="dxa"/>
            <w:noWrap w:val="0"/>
            <w:vAlign w:val="center"/>
          </w:tcPr>
          <w:p w14:paraId="6CB1E32D">
            <w:pPr>
              <w:jc w:val="center"/>
              <w:rPr>
                <w:rFonts w:hint="eastAsia" w:ascii="宋体" w:hAnsi="宋体"/>
                <w:szCs w:val="21"/>
              </w:rPr>
            </w:pPr>
          </w:p>
        </w:tc>
        <w:tc>
          <w:tcPr>
            <w:tcW w:w="1454" w:type="dxa"/>
            <w:noWrap w:val="0"/>
            <w:vAlign w:val="center"/>
          </w:tcPr>
          <w:p w14:paraId="47768CE1">
            <w:pPr>
              <w:jc w:val="center"/>
              <w:rPr>
                <w:rFonts w:hint="eastAsia" w:ascii="宋体" w:hAnsi="宋体"/>
                <w:szCs w:val="21"/>
              </w:rPr>
            </w:pPr>
          </w:p>
        </w:tc>
        <w:tc>
          <w:tcPr>
            <w:tcW w:w="1454" w:type="dxa"/>
            <w:noWrap w:val="0"/>
            <w:vAlign w:val="center"/>
          </w:tcPr>
          <w:p w14:paraId="4692EBCE">
            <w:pPr>
              <w:jc w:val="center"/>
              <w:rPr>
                <w:rFonts w:hint="eastAsia" w:ascii="宋体" w:hAnsi="宋体"/>
                <w:szCs w:val="21"/>
              </w:rPr>
            </w:pPr>
          </w:p>
        </w:tc>
      </w:tr>
      <w:tr w14:paraId="46B5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EBB4A20">
            <w:pPr>
              <w:jc w:val="center"/>
              <w:rPr>
                <w:rFonts w:hint="eastAsia" w:ascii="宋体" w:hAnsi="宋体"/>
                <w:szCs w:val="21"/>
              </w:rPr>
            </w:pPr>
          </w:p>
        </w:tc>
        <w:tc>
          <w:tcPr>
            <w:tcW w:w="1453" w:type="dxa"/>
            <w:noWrap w:val="0"/>
            <w:vAlign w:val="center"/>
          </w:tcPr>
          <w:p w14:paraId="6E3A92AD">
            <w:pPr>
              <w:jc w:val="center"/>
              <w:rPr>
                <w:rFonts w:hint="eastAsia" w:ascii="宋体" w:hAnsi="宋体"/>
                <w:szCs w:val="21"/>
              </w:rPr>
            </w:pPr>
          </w:p>
        </w:tc>
        <w:tc>
          <w:tcPr>
            <w:tcW w:w="1453" w:type="dxa"/>
            <w:noWrap w:val="0"/>
            <w:vAlign w:val="center"/>
          </w:tcPr>
          <w:p w14:paraId="7A30802D">
            <w:pPr>
              <w:jc w:val="center"/>
              <w:rPr>
                <w:rFonts w:hint="eastAsia" w:ascii="宋体" w:hAnsi="宋体"/>
                <w:szCs w:val="21"/>
              </w:rPr>
            </w:pPr>
          </w:p>
        </w:tc>
        <w:tc>
          <w:tcPr>
            <w:tcW w:w="1453" w:type="dxa"/>
            <w:noWrap w:val="0"/>
            <w:vAlign w:val="center"/>
          </w:tcPr>
          <w:p w14:paraId="142301F3">
            <w:pPr>
              <w:jc w:val="center"/>
              <w:rPr>
                <w:rFonts w:hint="eastAsia" w:ascii="宋体" w:hAnsi="宋体"/>
                <w:szCs w:val="21"/>
              </w:rPr>
            </w:pPr>
          </w:p>
        </w:tc>
        <w:tc>
          <w:tcPr>
            <w:tcW w:w="1454" w:type="dxa"/>
            <w:noWrap w:val="0"/>
            <w:vAlign w:val="center"/>
          </w:tcPr>
          <w:p w14:paraId="2CCAFB04">
            <w:pPr>
              <w:jc w:val="center"/>
              <w:rPr>
                <w:rFonts w:hint="eastAsia" w:ascii="宋体" w:hAnsi="宋体"/>
                <w:szCs w:val="21"/>
              </w:rPr>
            </w:pPr>
          </w:p>
        </w:tc>
        <w:tc>
          <w:tcPr>
            <w:tcW w:w="1454" w:type="dxa"/>
            <w:noWrap w:val="0"/>
            <w:vAlign w:val="center"/>
          </w:tcPr>
          <w:p w14:paraId="45A51019">
            <w:pPr>
              <w:jc w:val="center"/>
              <w:rPr>
                <w:rFonts w:hint="eastAsia" w:ascii="宋体" w:hAnsi="宋体"/>
                <w:szCs w:val="21"/>
              </w:rPr>
            </w:pPr>
          </w:p>
        </w:tc>
      </w:tr>
      <w:tr w14:paraId="034E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2C3CD887">
            <w:pPr>
              <w:jc w:val="center"/>
              <w:rPr>
                <w:rFonts w:hint="eastAsia" w:ascii="宋体" w:hAnsi="宋体"/>
                <w:szCs w:val="21"/>
              </w:rPr>
            </w:pPr>
          </w:p>
        </w:tc>
        <w:tc>
          <w:tcPr>
            <w:tcW w:w="1453" w:type="dxa"/>
            <w:noWrap w:val="0"/>
            <w:vAlign w:val="center"/>
          </w:tcPr>
          <w:p w14:paraId="72D83924">
            <w:pPr>
              <w:jc w:val="center"/>
              <w:rPr>
                <w:rFonts w:hint="eastAsia" w:ascii="宋体" w:hAnsi="宋体"/>
                <w:szCs w:val="21"/>
              </w:rPr>
            </w:pPr>
          </w:p>
        </w:tc>
        <w:tc>
          <w:tcPr>
            <w:tcW w:w="1453" w:type="dxa"/>
            <w:noWrap w:val="0"/>
            <w:vAlign w:val="center"/>
          </w:tcPr>
          <w:p w14:paraId="3944FF4A">
            <w:pPr>
              <w:jc w:val="center"/>
              <w:rPr>
                <w:rFonts w:hint="eastAsia" w:ascii="宋体" w:hAnsi="宋体"/>
                <w:szCs w:val="21"/>
              </w:rPr>
            </w:pPr>
          </w:p>
        </w:tc>
        <w:tc>
          <w:tcPr>
            <w:tcW w:w="1453" w:type="dxa"/>
            <w:noWrap w:val="0"/>
            <w:vAlign w:val="center"/>
          </w:tcPr>
          <w:p w14:paraId="091C127D">
            <w:pPr>
              <w:jc w:val="center"/>
              <w:rPr>
                <w:rFonts w:hint="eastAsia" w:ascii="宋体" w:hAnsi="宋体"/>
                <w:szCs w:val="21"/>
              </w:rPr>
            </w:pPr>
          </w:p>
        </w:tc>
        <w:tc>
          <w:tcPr>
            <w:tcW w:w="1454" w:type="dxa"/>
            <w:noWrap w:val="0"/>
            <w:vAlign w:val="center"/>
          </w:tcPr>
          <w:p w14:paraId="55D4F50C">
            <w:pPr>
              <w:jc w:val="center"/>
              <w:rPr>
                <w:rFonts w:hint="eastAsia" w:ascii="宋体" w:hAnsi="宋体"/>
                <w:szCs w:val="21"/>
              </w:rPr>
            </w:pPr>
          </w:p>
        </w:tc>
        <w:tc>
          <w:tcPr>
            <w:tcW w:w="1454" w:type="dxa"/>
            <w:noWrap w:val="0"/>
            <w:vAlign w:val="center"/>
          </w:tcPr>
          <w:p w14:paraId="6353B7A7">
            <w:pPr>
              <w:jc w:val="center"/>
              <w:rPr>
                <w:rFonts w:hint="eastAsia" w:ascii="宋体" w:hAnsi="宋体"/>
                <w:szCs w:val="21"/>
              </w:rPr>
            </w:pPr>
          </w:p>
        </w:tc>
      </w:tr>
      <w:tr w14:paraId="1B53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5410397">
            <w:pPr>
              <w:jc w:val="center"/>
              <w:rPr>
                <w:rFonts w:hint="eastAsia" w:ascii="宋体" w:hAnsi="宋体"/>
                <w:szCs w:val="21"/>
              </w:rPr>
            </w:pPr>
          </w:p>
        </w:tc>
        <w:tc>
          <w:tcPr>
            <w:tcW w:w="1453" w:type="dxa"/>
            <w:noWrap w:val="0"/>
            <w:vAlign w:val="center"/>
          </w:tcPr>
          <w:p w14:paraId="5867D78C">
            <w:pPr>
              <w:jc w:val="center"/>
              <w:rPr>
                <w:rFonts w:hint="eastAsia" w:ascii="宋体" w:hAnsi="宋体"/>
                <w:szCs w:val="21"/>
              </w:rPr>
            </w:pPr>
          </w:p>
        </w:tc>
        <w:tc>
          <w:tcPr>
            <w:tcW w:w="1453" w:type="dxa"/>
            <w:noWrap w:val="0"/>
            <w:vAlign w:val="center"/>
          </w:tcPr>
          <w:p w14:paraId="4815ADCC">
            <w:pPr>
              <w:jc w:val="center"/>
              <w:rPr>
                <w:rFonts w:hint="eastAsia" w:ascii="宋体" w:hAnsi="宋体"/>
                <w:szCs w:val="21"/>
              </w:rPr>
            </w:pPr>
          </w:p>
        </w:tc>
        <w:tc>
          <w:tcPr>
            <w:tcW w:w="1453" w:type="dxa"/>
            <w:noWrap w:val="0"/>
            <w:vAlign w:val="center"/>
          </w:tcPr>
          <w:p w14:paraId="32DE1E91">
            <w:pPr>
              <w:jc w:val="center"/>
              <w:rPr>
                <w:rFonts w:hint="eastAsia" w:ascii="宋体" w:hAnsi="宋体"/>
                <w:szCs w:val="21"/>
              </w:rPr>
            </w:pPr>
          </w:p>
        </w:tc>
        <w:tc>
          <w:tcPr>
            <w:tcW w:w="1454" w:type="dxa"/>
            <w:noWrap w:val="0"/>
            <w:vAlign w:val="center"/>
          </w:tcPr>
          <w:p w14:paraId="544E5F30">
            <w:pPr>
              <w:jc w:val="center"/>
              <w:rPr>
                <w:rFonts w:hint="eastAsia" w:ascii="宋体" w:hAnsi="宋体"/>
                <w:szCs w:val="21"/>
              </w:rPr>
            </w:pPr>
          </w:p>
        </w:tc>
        <w:tc>
          <w:tcPr>
            <w:tcW w:w="1454" w:type="dxa"/>
            <w:noWrap w:val="0"/>
            <w:vAlign w:val="center"/>
          </w:tcPr>
          <w:p w14:paraId="23F97007">
            <w:pPr>
              <w:jc w:val="center"/>
              <w:rPr>
                <w:rFonts w:hint="eastAsia" w:ascii="宋体" w:hAnsi="宋体"/>
                <w:szCs w:val="21"/>
              </w:rPr>
            </w:pPr>
          </w:p>
        </w:tc>
      </w:tr>
      <w:tr w14:paraId="76CE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453" w:type="dxa"/>
            <w:noWrap w:val="0"/>
            <w:vAlign w:val="center"/>
          </w:tcPr>
          <w:p w14:paraId="68559F1F">
            <w:pPr>
              <w:jc w:val="center"/>
              <w:rPr>
                <w:rFonts w:hint="eastAsia" w:ascii="宋体" w:hAnsi="宋体"/>
                <w:szCs w:val="21"/>
              </w:rPr>
            </w:pPr>
          </w:p>
        </w:tc>
        <w:tc>
          <w:tcPr>
            <w:tcW w:w="1453" w:type="dxa"/>
            <w:noWrap w:val="0"/>
            <w:vAlign w:val="center"/>
          </w:tcPr>
          <w:p w14:paraId="5CE49688">
            <w:pPr>
              <w:jc w:val="center"/>
              <w:rPr>
                <w:rFonts w:hint="eastAsia" w:ascii="宋体" w:hAnsi="宋体"/>
                <w:szCs w:val="21"/>
              </w:rPr>
            </w:pPr>
          </w:p>
        </w:tc>
        <w:tc>
          <w:tcPr>
            <w:tcW w:w="1453" w:type="dxa"/>
            <w:noWrap w:val="0"/>
            <w:vAlign w:val="center"/>
          </w:tcPr>
          <w:p w14:paraId="5D3D8555">
            <w:pPr>
              <w:jc w:val="center"/>
              <w:rPr>
                <w:rFonts w:hint="eastAsia" w:ascii="宋体" w:hAnsi="宋体"/>
                <w:szCs w:val="21"/>
              </w:rPr>
            </w:pPr>
          </w:p>
        </w:tc>
        <w:tc>
          <w:tcPr>
            <w:tcW w:w="1453" w:type="dxa"/>
            <w:noWrap w:val="0"/>
            <w:vAlign w:val="center"/>
          </w:tcPr>
          <w:p w14:paraId="1F501B6B">
            <w:pPr>
              <w:jc w:val="center"/>
              <w:rPr>
                <w:rFonts w:hint="eastAsia" w:ascii="宋体" w:hAnsi="宋体"/>
                <w:szCs w:val="21"/>
              </w:rPr>
            </w:pPr>
          </w:p>
        </w:tc>
        <w:tc>
          <w:tcPr>
            <w:tcW w:w="1454" w:type="dxa"/>
            <w:noWrap w:val="0"/>
            <w:vAlign w:val="center"/>
          </w:tcPr>
          <w:p w14:paraId="6547CA7D">
            <w:pPr>
              <w:jc w:val="center"/>
              <w:rPr>
                <w:rFonts w:hint="eastAsia" w:ascii="宋体" w:hAnsi="宋体"/>
                <w:szCs w:val="21"/>
              </w:rPr>
            </w:pPr>
          </w:p>
        </w:tc>
        <w:tc>
          <w:tcPr>
            <w:tcW w:w="1454" w:type="dxa"/>
            <w:noWrap w:val="0"/>
            <w:vAlign w:val="center"/>
          </w:tcPr>
          <w:p w14:paraId="07EE86FE">
            <w:pPr>
              <w:jc w:val="center"/>
              <w:rPr>
                <w:rFonts w:hint="eastAsia" w:ascii="宋体" w:hAnsi="宋体"/>
                <w:szCs w:val="21"/>
              </w:rPr>
            </w:pPr>
          </w:p>
        </w:tc>
      </w:tr>
      <w:tr w14:paraId="54EA3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9656764">
            <w:pPr>
              <w:jc w:val="center"/>
              <w:rPr>
                <w:rFonts w:hint="eastAsia" w:ascii="宋体" w:hAnsi="宋体"/>
                <w:szCs w:val="21"/>
              </w:rPr>
            </w:pPr>
          </w:p>
        </w:tc>
        <w:tc>
          <w:tcPr>
            <w:tcW w:w="1453" w:type="dxa"/>
            <w:noWrap w:val="0"/>
            <w:vAlign w:val="center"/>
          </w:tcPr>
          <w:p w14:paraId="181DFDA1">
            <w:pPr>
              <w:jc w:val="center"/>
              <w:rPr>
                <w:rFonts w:hint="eastAsia" w:ascii="宋体" w:hAnsi="宋体"/>
                <w:szCs w:val="21"/>
              </w:rPr>
            </w:pPr>
          </w:p>
        </w:tc>
        <w:tc>
          <w:tcPr>
            <w:tcW w:w="1453" w:type="dxa"/>
            <w:noWrap w:val="0"/>
            <w:vAlign w:val="center"/>
          </w:tcPr>
          <w:p w14:paraId="2E59AEAB">
            <w:pPr>
              <w:jc w:val="center"/>
              <w:rPr>
                <w:rFonts w:hint="eastAsia" w:ascii="宋体" w:hAnsi="宋体"/>
                <w:szCs w:val="21"/>
              </w:rPr>
            </w:pPr>
          </w:p>
        </w:tc>
        <w:tc>
          <w:tcPr>
            <w:tcW w:w="1453" w:type="dxa"/>
            <w:noWrap w:val="0"/>
            <w:vAlign w:val="center"/>
          </w:tcPr>
          <w:p w14:paraId="0EFFBD29">
            <w:pPr>
              <w:jc w:val="center"/>
              <w:rPr>
                <w:rFonts w:hint="eastAsia" w:ascii="宋体" w:hAnsi="宋体"/>
                <w:szCs w:val="21"/>
              </w:rPr>
            </w:pPr>
          </w:p>
        </w:tc>
        <w:tc>
          <w:tcPr>
            <w:tcW w:w="1454" w:type="dxa"/>
            <w:noWrap w:val="0"/>
            <w:vAlign w:val="center"/>
          </w:tcPr>
          <w:p w14:paraId="13D072D2">
            <w:pPr>
              <w:jc w:val="center"/>
              <w:rPr>
                <w:rFonts w:hint="eastAsia" w:ascii="宋体" w:hAnsi="宋体"/>
                <w:szCs w:val="21"/>
              </w:rPr>
            </w:pPr>
          </w:p>
        </w:tc>
        <w:tc>
          <w:tcPr>
            <w:tcW w:w="1454" w:type="dxa"/>
            <w:noWrap w:val="0"/>
            <w:vAlign w:val="center"/>
          </w:tcPr>
          <w:p w14:paraId="0AC9ED6A">
            <w:pPr>
              <w:jc w:val="center"/>
              <w:rPr>
                <w:rFonts w:hint="eastAsia" w:ascii="宋体" w:hAnsi="宋体"/>
                <w:szCs w:val="21"/>
              </w:rPr>
            </w:pPr>
          </w:p>
        </w:tc>
      </w:tr>
      <w:tr w14:paraId="1565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939BE84">
            <w:pPr>
              <w:jc w:val="center"/>
              <w:rPr>
                <w:rFonts w:hint="eastAsia" w:ascii="宋体" w:hAnsi="宋体"/>
                <w:szCs w:val="21"/>
              </w:rPr>
            </w:pPr>
          </w:p>
        </w:tc>
        <w:tc>
          <w:tcPr>
            <w:tcW w:w="1453" w:type="dxa"/>
            <w:noWrap w:val="0"/>
            <w:vAlign w:val="center"/>
          </w:tcPr>
          <w:p w14:paraId="1EA3C6BA">
            <w:pPr>
              <w:jc w:val="center"/>
              <w:rPr>
                <w:rFonts w:hint="eastAsia" w:ascii="宋体" w:hAnsi="宋体"/>
                <w:szCs w:val="21"/>
              </w:rPr>
            </w:pPr>
          </w:p>
        </w:tc>
        <w:tc>
          <w:tcPr>
            <w:tcW w:w="1453" w:type="dxa"/>
            <w:noWrap w:val="0"/>
            <w:vAlign w:val="center"/>
          </w:tcPr>
          <w:p w14:paraId="022E34D2">
            <w:pPr>
              <w:jc w:val="center"/>
              <w:rPr>
                <w:rFonts w:hint="eastAsia" w:ascii="宋体" w:hAnsi="宋体"/>
                <w:szCs w:val="21"/>
              </w:rPr>
            </w:pPr>
          </w:p>
        </w:tc>
        <w:tc>
          <w:tcPr>
            <w:tcW w:w="1453" w:type="dxa"/>
            <w:noWrap w:val="0"/>
            <w:vAlign w:val="center"/>
          </w:tcPr>
          <w:p w14:paraId="5F337863">
            <w:pPr>
              <w:jc w:val="center"/>
              <w:rPr>
                <w:rFonts w:hint="eastAsia" w:ascii="宋体" w:hAnsi="宋体"/>
                <w:szCs w:val="21"/>
              </w:rPr>
            </w:pPr>
          </w:p>
        </w:tc>
        <w:tc>
          <w:tcPr>
            <w:tcW w:w="1454" w:type="dxa"/>
            <w:noWrap w:val="0"/>
            <w:vAlign w:val="center"/>
          </w:tcPr>
          <w:p w14:paraId="5FF0C8B4">
            <w:pPr>
              <w:jc w:val="center"/>
              <w:rPr>
                <w:rFonts w:hint="eastAsia" w:ascii="宋体" w:hAnsi="宋体"/>
                <w:szCs w:val="21"/>
              </w:rPr>
            </w:pPr>
          </w:p>
        </w:tc>
        <w:tc>
          <w:tcPr>
            <w:tcW w:w="1454" w:type="dxa"/>
            <w:noWrap w:val="0"/>
            <w:vAlign w:val="center"/>
          </w:tcPr>
          <w:p w14:paraId="6589A3B9">
            <w:pPr>
              <w:jc w:val="center"/>
              <w:rPr>
                <w:rFonts w:hint="eastAsia" w:ascii="宋体" w:hAnsi="宋体"/>
                <w:szCs w:val="21"/>
              </w:rPr>
            </w:pPr>
          </w:p>
        </w:tc>
      </w:tr>
      <w:tr w14:paraId="7AAFC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67589F5">
            <w:pPr>
              <w:jc w:val="center"/>
              <w:rPr>
                <w:rFonts w:hint="eastAsia" w:ascii="宋体" w:hAnsi="宋体"/>
                <w:szCs w:val="21"/>
              </w:rPr>
            </w:pPr>
          </w:p>
        </w:tc>
        <w:tc>
          <w:tcPr>
            <w:tcW w:w="1453" w:type="dxa"/>
            <w:noWrap w:val="0"/>
            <w:vAlign w:val="center"/>
          </w:tcPr>
          <w:p w14:paraId="7B4C8B3C">
            <w:pPr>
              <w:jc w:val="center"/>
              <w:rPr>
                <w:rFonts w:hint="eastAsia" w:ascii="宋体" w:hAnsi="宋体"/>
                <w:szCs w:val="21"/>
              </w:rPr>
            </w:pPr>
          </w:p>
        </w:tc>
        <w:tc>
          <w:tcPr>
            <w:tcW w:w="1453" w:type="dxa"/>
            <w:noWrap w:val="0"/>
            <w:vAlign w:val="center"/>
          </w:tcPr>
          <w:p w14:paraId="181D529C">
            <w:pPr>
              <w:jc w:val="center"/>
              <w:rPr>
                <w:rFonts w:hint="eastAsia" w:ascii="宋体" w:hAnsi="宋体"/>
                <w:szCs w:val="21"/>
              </w:rPr>
            </w:pPr>
          </w:p>
        </w:tc>
        <w:tc>
          <w:tcPr>
            <w:tcW w:w="1453" w:type="dxa"/>
            <w:noWrap w:val="0"/>
            <w:vAlign w:val="center"/>
          </w:tcPr>
          <w:p w14:paraId="109F6CA8">
            <w:pPr>
              <w:jc w:val="center"/>
              <w:rPr>
                <w:rFonts w:hint="eastAsia" w:ascii="宋体" w:hAnsi="宋体"/>
                <w:szCs w:val="21"/>
              </w:rPr>
            </w:pPr>
          </w:p>
        </w:tc>
        <w:tc>
          <w:tcPr>
            <w:tcW w:w="1454" w:type="dxa"/>
            <w:noWrap w:val="0"/>
            <w:vAlign w:val="center"/>
          </w:tcPr>
          <w:p w14:paraId="4867734B">
            <w:pPr>
              <w:jc w:val="center"/>
              <w:rPr>
                <w:rFonts w:hint="eastAsia" w:ascii="宋体" w:hAnsi="宋体"/>
                <w:szCs w:val="21"/>
              </w:rPr>
            </w:pPr>
          </w:p>
        </w:tc>
        <w:tc>
          <w:tcPr>
            <w:tcW w:w="1454" w:type="dxa"/>
            <w:noWrap w:val="0"/>
            <w:vAlign w:val="center"/>
          </w:tcPr>
          <w:p w14:paraId="1B00B0AC">
            <w:pPr>
              <w:jc w:val="center"/>
              <w:rPr>
                <w:rFonts w:hint="eastAsia" w:ascii="宋体" w:hAnsi="宋体"/>
                <w:szCs w:val="21"/>
              </w:rPr>
            </w:pPr>
          </w:p>
        </w:tc>
      </w:tr>
      <w:tr w14:paraId="44D2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DFB0B2E">
            <w:pPr>
              <w:jc w:val="center"/>
              <w:rPr>
                <w:rFonts w:hint="eastAsia" w:ascii="宋体" w:hAnsi="宋体"/>
                <w:szCs w:val="21"/>
              </w:rPr>
            </w:pPr>
          </w:p>
        </w:tc>
        <w:tc>
          <w:tcPr>
            <w:tcW w:w="1453" w:type="dxa"/>
            <w:noWrap w:val="0"/>
            <w:vAlign w:val="center"/>
          </w:tcPr>
          <w:p w14:paraId="16F9EBE5">
            <w:pPr>
              <w:jc w:val="center"/>
              <w:rPr>
                <w:rFonts w:hint="eastAsia" w:ascii="宋体" w:hAnsi="宋体"/>
                <w:szCs w:val="21"/>
              </w:rPr>
            </w:pPr>
          </w:p>
        </w:tc>
        <w:tc>
          <w:tcPr>
            <w:tcW w:w="1453" w:type="dxa"/>
            <w:noWrap w:val="0"/>
            <w:vAlign w:val="center"/>
          </w:tcPr>
          <w:p w14:paraId="0D3520C2">
            <w:pPr>
              <w:jc w:val="center"/>
              <w:rPr>
                <w:rFonts w:hint="eastAsia" w:ascii="宋体" w:hAnsi="宋体"/>
                <w:szCs w:val="21"/>
              </w:rPr>
            </w:pPr>
          </w:p>
        </w:tc>
        <w:tc>
          <w:tcPr>
            <w:tcW w:w="1453" w:type="dxa"/>
            <w:noWrap w:val="0"/>
            <w:vAlign w:val="center"/>
          </w:tcPr>
          <w:p w14:paraId="41BD845F">
            <w:pPr>
              <w:jc w:val="center"/>
              <w:rPr>
                <w:rFonts w:hint="eastAsia" w:ascii="宋体" w:hAnsi="宋体"/>
                <w:szCs w:val="21"/>
              </w:rPr>
            </w:pPr>
          </w:p>
        </w:tc>
        <w:tc>
          <w:tcPr>
            <w:tcW w:w="1454" w:type="dxa"/>
            <w:noWrap w:val="0"/>
            <w:vAlign w:val="center"/>
          </w:tcPr>
          <w:p w14:paraId="641A796B">
            <w:pPr>
              <w:jc w:val="center"/>
              <w:rPr>
                <w:rFonts w:hint="eastAsia" w:ascii="宋体" w:hAnsi="宋体"/>
                <w:szCs w:val="21"/>
              </w:rPr>
            </w:pPr>
          </w:p>
        </w:tc>
        <w:tc>
          <w:tcPr>
            <w:tcW w:w="1454" w:type="dxa"/>
            <w:noWrap w:val="0"/>
            <w:vAlign w:val="center"/>
          </w:tcPr>
          <w:p w14:paraId="61221B44">
            <w:pPr>
              <w:jc w:val="center"/>
              <w:rPr>
                <w:rFonts w:hint="eastAsia" w:ascii="宋体" w:hAnsi="宋体"/>
                <w:szCs w:val="21"/>
              </w:rPr>
            </w:pPr>
          </w:p>
        </w:tc>
      </w:tr>
      <w:tr w14:paraId="0060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DF2F50A">
            <w:pPr>
              <w:jc w:val="center"/>
              <w:rPr>
                <w:rFonts w:hint="eastAsia" w:ascii="宋体" w:hAnsi="宋体"/>
                <w:szCs w:val="21"/>
              </w:rPr>
            </w:pPr>
          </w:p>
        </w:tc>
        <w:tc>
          <w:tcPr>
            <w:tcW w:w="1453" w:type="dxa"/>
            <w:noWrap w:val="0"/>
            <w:vAlign w:val="center"/>
          </w:tcPr>
          <w:p w14:paraId="0C8CE5AE">
            <w:pPr>
              <w:jc w:val="center"/>
              <w:rPr>
                <w:rFonts w:hint="eastAsia" w:ascii="宋体" w:hAnsi="宋体"/>
                <w:szCs w:val="21"/>
              </w:rPr>
            </w:pPr>
          </w:p>
        </w:tc>
        <w:tc>
          <w:tcPr>
            <w:tcW w:w="1453" w:type="dxa"/>
            <w:noWrap w:val="0"/>
            <w:vAlign w:val="center"/>
          </w:tcPr>
          <w:p w14:paraId="3E1A0B66">
            <w:pPr>
              <w:jc w:val="center"/>
              <w:rPr>
                <w:rFonts w:hint="eastAsia" w:ascii="宋体" w:hAnsi="宋体"/>
                <w:szCs w:val="21"/>
              </w:rPr>
            </w:pPr>
          </w:p>
        </w:tc>
        <w:tc>
          <w:tcPr>
            <w:tcW w:w="1453" w:type="dxa"/>
            <w:noWrap w:val="0"/>
            <w:vAlign w:val="center"/>
          </w:tcPr>
          <w:p w14:paraId="21EA255A">
            <w:pPr>
              <w:jc w:val="center"/>
              <w:rPr>
                <w:rFonts w:hint="eastAsia" w:ascii="宋体" w:hAnsi="宋体"/>
                <w:szCs w:val="21"/>
              </w:rPr>
            </w:pPr>
          </w:p>
        </w:tc>
        <w:tc>
          <w:tcPr>
            <w:tcW w:w="1454" w:type="dxa"/>
            <w:noWrap w:val="0"/>
            <w:vAlign w:val="center"/>
          </w:tcPr>
          <w:p w14:paraId="18A4ED6B">
            <w:pPr>
              <w:jc w:val="center"/>
              <w:rPr>
                <w:rFonts w:hint="eastAsia" w:ascii="宋体" w:hAnsi="宋体"/>
                <w:szCs w:val="21"/>
              </w:rPr>
            </w:pPr>
          </w:p>
        </w:tc>
        <w:tc>
          <w:tcPr>
            <w:tcW w:w="1454" w:type="dxa"/>
            <w:noWrap w:val="0"/>
            <w:vAlign w:val="center"/>
          </w:tcPr>
          <w:p w14:paraId="429C1CAE">
            <w:pPr>
              <w:jc w:val="center"/>
              <w:rPr>
                <w:rFonts w:hint="eastAsia" w:ascii="宋体" w:hAnsi="宋体"/>
                <w:szCs w:val="21"/>
              </w:rPr>
            </w:pPr>
          </w:p>
        </w:tc>
      </w:tr>
      <w:tr w14:paraId="5B09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024543BE">
            <w:pPr>
              <w:jc w:val="center"/>
              <w:rPr>
                <w:rFonts w:hint="eastAsia" w:ascii="宋体" w:hAnsi="宋体"/>
                <w:szCs w:val="21"/>
              </w:rPr>
            </w:pPr>
          </w:p>
        </w:tc>
        <w:tc>
          <w:tcPr>
            <w:tcW w:w="1453" w:type="dxa"/>
            <w:noWrap w:val="0"/>
            <w:vAlign w:val="center"/>
          </w:tcPr>
          <w:p w14:paraId="61AAC387">
            <w:pPr>
              <w:jc w:val="center"/>
              <w:rPr>
                <w:rFonts w:hint="eastAsia" w:ascii="宋体" w:hAnsi="宋体"/>
                <w:szCs w:val="21"/>
              </w:rPr>
            </w:pPr>
          </w:p>
        </w:tc>
        <w:tc>
          <w:tcPr>
            <w:tcW w:w="1453" w:type="dxa"/>
            <w:noWrap w:val="0"/>
            <w:vAlign w:val="center"/>
          </w:tcPr>
          <w:p w14:paraId="08A07605">
            <w:pPr>
              <w:jc w:val="center"/>
              <w:rPr>
                <w:rFonts w:hint="eastAsia" w:ascii="宋体" w:hAnsi="宋体"/>
                <w:szCs w:val="21"/>
              </w:rPr>
            </w:pPr>
          </w:p>
        </w:tc>
        <w:tc>
          <w:tcPr>
            <w:tcW w:w="1453" w:type="dxa"/>
            <w:noWrap w:val="0"/>
            <w:vAlign w:val="center"/>
          </w:tcPr>
          <w:p w14:paraId="5336A3F8">
            <w:pPr>
              <w:jc w:val="center"/>
              <w:rPr>
                <w:rFonts w:hint="eastAsia" w:ascii="宋体" w:hAnsi="宋体"/>
                <w:szCs w:val="21"/>
              </w:rPr>
            </w:pPr>
          </w:p>
        </w:tc>
        <w:tc>
          <w:tcPr>
            <w:tcW w:w="1454" w:type="dxa"/>
            <w:noWrap w:val="0"/>
            <w:vAlign w:val="center"/>
          </w:tcPr>
          <w:p w14:paraId="2A010C98">
            <w:pPr>
              <w:jc w:val="center"/>
              <w:rPr>
                <w:rFonts w:hint="eastAsia" w:ascii="宋体" w:hAnsi="宋体"/>
                <w:szCs w:val="21"/>
              </w:rPr>
            </w:pPr>
          </w:p>
        </w:tc>
        <w:tc>
          <w:tcPr>
            <w:tcW w:w="1454" w:type="dxa"/>
            <w:noWrap w:val="0"/>
            <w:vAlign w:val="center"/>
          </w:tcPr>
          <w:p w14:paraId="1E2A7A03">
            <w:pPr>
              <w:jc w:val="center"/>
              <w:rPr>
                <w:rFonts w:hint="eastAsia" w:ascii="宋体" w:hAnsi="宋体"/>
                <w:szCs w:val="21"/>
              </w:rPr>
            </w:pPr>
          </w:p>
        </w:tc>
      </w:tr>
      <w:tr w14:paraId="5C08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6799B8A">
            <w:pPr>
              <w:jc w:val="center"/>
              <w:rPr>
                <w:rFonts w:hint="eastAsia" w:ascii="宋体" w:hAnsi="宋体"/>
                <w:szCs w:val="21"/>
              </w:rPr>
            </w:pPr>
          </w:p>
        </w:tc>
        <w:tc>
          <w:tcPr>
            <w:tcW w:w="1453" w:type="dxa"/>
            <w:noWrap w:val="0"/>
            <w:vAlign w:val="center"/>
          </w:tcPr>
          <w:p w14:paraId="51892722">
            <w:pPr>
              <w:jc w:val="center"/>
              <w:rPr>
                <w:rFonts w:hint="eastAsia" w:ascii="宋体" w:hAnsi="宋体"/>
                <w:szCs w:val="21"/>
              </w:rPr>
            </w:pPr>
          </w:p>
        </w:tc>
        <w:tc>
          <w:tcPr>
            <w:tcW w:w="1453" w:type="dxa"/>
            <w:noWrap w:val="0"/>
            <w:vAlign w:val="center"/>
          </w:tcPr>
          <w:p w14:paraId="0DBEDF60">
            <w:pPr>
              <w:jc w:val="center"/>
              <w:rPr>
                <w:rFonts w:hint="eastAsia" w:ascii="宋体" w:hAnsi="宋体"/>
                <w:szCs w:val="21"/>
              </w:rPr>
            </w:pPr>
          </w:p>
        </w:tc>
        <w:tc>
          <w:tcPr>
            <w:tcW w:w="1453" w:type="dxa"/>
            <w:noWrap w:val="0"/>
            <w:vAlign w:val="center"/>
          </w:tcPr>
          <w:p w14:paraId="2EB0483F">
            <w:pPr>
              <w:jc w:val="center"/>
              <w:rPr>
                <w:rFonts w:hint="eastAsia" w:ascii="宋体" w:hAnsi="宋体"/>
                <w:szCs w:val="21"/>
              </w:rPr>
            </w:pPr>
          </w:p>
        </w:tc>
        <w:tc>
          <w:tcPr>
            <w:tcW w:w="1454" w:type="dxa"/>
            <w:noWrap w:val="0"/>
            <w:vAlign w:val="center"/>
          </w:tcPr>
          <w:p w14:paraId="2F264EB2">
            <w:pPr>
              <w:jc w:val="center"/>
              <w:rPr>
                <w:rFonts w:hint="eastAsia" w:ascii="宋体" w:hAnsi="宋体"/>
                <w:szCs w:val="21"/>
              </w:rPr>
            </w:pPr>
          </w:p>
        </w:tc>
        <w:tc>
          <w:tcPr>
            <w:tcW w:w="1454" w:type="dxa"/>
            <w:noWrap w:val="0"/>
            <w:vAlign w:val="center"/>
          </w:tcPr>
          <w:p w14:paraId="375D6AA1">
            <w:pPr>
              <w:jc w:val="center"/>
              <w:rPr>
                <w:rFonts w:hint="eastAsia" w:ascii="宋体" w:hAnsi="宋体"/>
                <w:szCs w:val="21"/>
              </w:rPr>
            </w:pPr>
          </w:p>
        </w:tc>
      </w:tr>
      <w:tr w14:paraId="18B0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78841F5">
            <w:pPr>
              <w:jc w:val="center"/>
              <w:rPr>
                <w:rFonts w:hint="eastAsia" w:ascii="宋体" w:hAnsi="宋体"/>
                <w:szCs w:val="21"/>
              </w:rPr>
            </w:pPr>
          </w:p>
        </w:tc>
        <w:tc>
          <w:tcPr>
            <w:tcW w:w="1453" w:type="dxa"/>
            <w:noWrap w:val="0"/>
            <w:vAlign w:val="center"/>
          </w:tcPr>
          <w:p w14:paraId="288E46DA">
            <w:pPr>
              <w:jc w:val="center"/>
              <w:rPr>
                <w:rFonts w:hint="eastAsia" w:ascii="宋体" w:hAnsi="宋体"/>
                <w:szCs w:val="21"/>
              </w:rPr>
            </w:pPr>
          </w:p>
        </w:tc>
        <w:tc>
          <w:tcPr>
            <w:tcW w:w="1453" w:type="dxa"/>
            <w:noWrap w:val="0"/>
            <w:vAlign w:val="center"/>
          </w:tcPr>
          <w:p w14:paraId="24BAB3C5">
            <w:pPr>
              <w:jc w:val="center"/>
              <w:rPr>
                <w:rFonts w:hint="eastAsia" w:ascii="宋体" w:hAnsi="宋体"/>
                <w:szCs w:val="21"/>
              </w:rPr>
            </w:pPr>
          </w:p>
        </w:tc>
        <w:tc>
          <w:tcPr>
            <w:tcW w:w="1453" w:type="dxa"/>
            <w:noWrap w:val="0"/>
            <w:vAlign w:val="center"/>
          </w:tcPr>
          <w:p w14:paraId="21A8B19F">
            <w:pPr>
              <w:jc w:val="center"/>
              <w:rPr>
                <w:rFonts w:hint="eastAsia" w:ascii="宋体" w:hAnsi="宋体"/>
                <w:szCs w:val="21"/>
              </w:rPr>
            </w:pPr>
          </w:p>
        </w:tc>
        <w:tc>
          <w:tcPr>
            <w:tcW w:w="1454" w:type="dxa"/>
            <w:noWrap w:val="0"/>
            <w:vAlign w:val="center"/>
          </w:tcPr>
          <w:p w14:paraId="04B0D2A3">
            <w:pPr>
              <w:jc w:val="center"/>
              <w:rPr>
                <w:rFonts w:hint="eastAsia" w:ascii="宋体" w:hAnsi="宋体"/>
                <w:szCs w:val="21"/>
              </w:rPr>
            </w:pPr>
          </w:p>
        </w:tc>
        <w:tc>
          <w:tcPr>
            <w:tcW w:w="1454" w:type="dxa"/>
            <w:noWrap w:val="0"/>
            <w:vAlign w:val="center"/>
          </w:tcPr>
          <w:p w14:paraId="0ECAB6CE">
            <w:pPr>
              <w:jc w:val="center"/>
              <w:rPr>
                <w:rFonts w:hint="eastAsia" w:ascii="宋体" w:hAnsi="宋体"/>
                <w:szCs w:val="21"/>
              </w:rPr>
            </w:pPr>
          </w:p>
        </w:tc>
      </w:tr>
      <w:tr w14:paraId="0B8A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453" w:type="dxa"/>
            <w:noWrap w:val="0"/>
            <w:vAlign w:val="center"/>
          </w:tcPr>
          <w:p w14:paraId="2DEFC19B">
            <w:pPr>
              <w:jc w:val="center"/>
              <w:rPr>
                <w:rFonts w:hint="eastAsia" w:ascii="宋体" w:hAnsi="宋体"/>
                <w:szCs w:val="21"/>
              </w:rPr>
            </w:pPr>
          </w:p>
        </w:tc>
        <w:tc>
          <w:tcPr>
            <w:tcW w:w="1453" w:type="dxa"/>
            <w:noWrap w:val="0"/>
            <w:vAlign w:val="center"/>
          </w:tcPr>
          <w:p w14:paraId="732946A8">
            <w:pPr>
              <w:jc w:val="center"/>
              <w:rPr>
                <w:rFonts w:hint="eastAsia" w:ascii="宋体" w:hAnsi="宋体"/>
                <w:szCs w:val="21"/>
              </w:rPr>
            </w:pPr>
          </w:p>
        </w:tc>
        <w:tc>
          <w:tcPr>
            <w:tcW w:w="1453" w:type="dxa"/>
            <w:noWrap w:val="0"/>
            <w:vAlign w:val="center"/>
          </w:tcPr>
          <w:p w14:paraId="36EA05ED">
            <w:pPr>
              <w:jc w:val="center"/>
              <w:rPr>
                <w:rFonts w:hint="eastAsia" w:ascii="宋体" w:hAnsi="宋体"/>
                <w:szCs w:val="21"/>
              </w:rPr>
            </w:pPr>
          </w:p>
        </w:tc>
        <w:tc>
          <w:tcPr>
            <w:tcW w:w="1453" w:type="dxa"/>
            <w:noWrap w:val="0"/>
            <w:vAlign w:val="center"/>
          </w:tcPr>
          <w:p w14:paraId="7B1853A7">
            <w:pPr>
              <w:jc w:val="center"/>
              <w:rPr>
                <w:rFonts w:hint="eastAsia" w:ascii="宋体" w:hAnsi="宋体"/>
                <w:szCs w:val="21"/>
              </w:rPr>
            </w:pPr>
          </w:p>
        </w:tc>
        <w:tc>
          <w:tcPr>
            <w:tcW w:w="1454" w:type="dxa"/>
            <w:noWrap w:val="0"/>
            <w:vAlign w:val="center"/>
          </w:tcPr>
          <w:p w14:paraId="59A3CC7E">
            <w:pPr>
              <w:jc w:val="center"/>
              <w:rPr>
                <w:rFonts w:hint="eastAsia" w:ascii="宋体" w:hAnsi="宋体"/>
                <w:szCs w:val="21"/>
              </w:rPr>
            </w:pPr>
          </w:p>
        </w:tc>
        <w:tc>
          <w:tcPr>
            <w:tcW w:w="1454" w:type="dxa"/>
            <w:noWrap w:val="0"/>
            <w:vAlign w:val="center"/>
          </w:tcPr>
          <w:p w14:paraId="4A5F091E">
            <w:pPr>
              <w:jc w:val="center"/>
              <w:rPr>
                <w:rFonts w:hint="eastAsia" w:ascii="宋体" w:hAnsi="宋体"/>
                <w:szCs w:val="21"/>
              </w:rPr>
            </w:pPr>
          </w:p>
        </w:tc>
      </w:tr>
      <w:tr w14:paraId="73B3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A025AE6">
            <w:pPr>
              <w:jc w:val="center"/>
              <w:rPr>
                <w:rFonts w:hint="eastAsia" w:ascii="宋体" w:hAnsi="宋体"/>
                <w:szCs w:val="21"/>
              </w:rPr>
            </w:pPr>
          </w:p>
        </w:tc>
        <w:tc>
          <w:tcPr>
            <w:tcW w:w="1453" w:type="dxa"/>
            <w:noWrap w:val="0"/>
            <w:vAlign w:val="center"/>
          </w:tcPr>
          <w:p w14:paraId="1F92D90B">
            <w:pPr>
              <w:jc w:val="center"/>
              <w:rPr>
                <w:rFonts w:hint="eastAsia" w:ascii="宋体" w:hAnsi="宋体"/>
                <w:szCs w:val="21"/>
              </w:rPr>
            </w:pPr>
          </w:p>
        </w:tc>
        <w:tc>
          <w:tcPr>
            <w:tcW w:w="1453" w:type="dxa"/>
            <w:noWrap w:val="0"/>
            <w:vAlign w:val="center"/>
          </w:tcPr>
          <w:p w14:paraId="6E777228">
            <w:pPr>
              <w:jc w:val="center"/>
              <w:rPr>
                <w:rFonts w:hint="eastAsia" w:ascii="宋体" w:hAnsi="宋体"/>
                <w:szCs w:val="21"/>
              </w:rPr>
            </w:pPr>
          </w:p>
        </w:tc>
        <w:tc>
          <w:tcPr>
            <w:tcW w:w="1453" w:type="dxa"/>
            <w:noWrap w:val="0"/>
            <w:vAlign w:val="center"/>
          </w:tcPr>
          <w:p w14:paraId="153A0CA0">
            <w:pPr>
              <w:jc w:val="center"/>
              <w:rPr>
                <w:rFonts w:hint="eastAsia" w:ascii="宋体" w:hAnsi="宋体"/>
                <w:szCs w:val="21"/>
              </w:rPr>
            </w:pPr>
          </w:p>
        </w:tc>
        <w:tc>
          <w:tcPr>
            <w:tcW w:w="1454" w:type="dxa"/>
            <w:noWrap w:val="0"/>
            <w:vAlign w:val="center"/>
          </w:tcPr>
          <w:p w14:paraId="59B8A60F">
            <w:pPr>
              <w:jc w:val="center"/>
              <w:rPr>
                <w:rFonts w:hint="eastAsia" w:ascii="宋体" w:hAnsi="宋体"/>
                <w:szCs w:val="21"/>
              </w:rPr>
            </w:pPr>
          </w:p>
        </w:tc>
        <w:tc>
          <w:tcPr>
            <w:tcW w:w="1454" w:type="dxa"/>
            <w:noWrap w:val="0"/>
            <w:vAlign w:val="center"/>
          </w:tcPr>
          <w:p w14:paraId="5C324C49">
            <w:pPr>
              <w:jc w:val="center"/>
              <w:rPr>
                <w:rFonts w:hint="eastAsia" w:ascii="宋体" w:hAnsi="宋体"/>
                <w:szCs w:val="21"/>
              </w:rPr>
            </w:pPr>
          </w:p>
        </w:tc>
      </w:tr>
      <w:tr w14:paraId="6C60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FB7EB26">
            <w:pPr>
              <w:jc w:val="center"/>
              <w:rPr>
                <w:rFonts w:hint="eastAsia" w:ascii="宋体" w:hAnsi="宋体"/>
                <w:szCs w:val="21"/>
              </w:rPr>
            </w:pPr>
          </w:p>
        </w:tc>
        <w:tc>
          <w:tcPr>
            <w:tcW w:w="1453" w:type="dxa"/>
            <w:noWrap w:val="0"/>
            <w:vAlign w:val="center"/>
          </w:tcPr>
          <w:p w14:paraId="7F2D54C5">
            <w:pPr>
              <w:jc w:val="center"/>
              <w:rPr>
                <w:rFonts w:hint="eastAsia" w:ascii="宋体" w:hAnsi="宋体"/>
                <w:szCs w:val="21"/>
              </w:rPr>
            </w:pPr>
          </w:p>
        </w:tc>
        <w:tc>
          <w:tcPr>
            <w:tcW w:w="1453" w:type="dxa"/>
            <w:noWrap w:val="0"/>
            <w:vAlign w:val="center"/>
          </w:tcPr>
          <w:p w14:paraId="2045BDF2">
            <w:pPr>
              <w:jc w:val="center"/>
              <w:rPr>
                <w:rFonts w:hint="eastAsia" w:ascii="宋体" w:hAnsi="宋体"/>
                <w:szCs w:val="21"/>
              </w:rPr>
            </w:pPr>
          </w:p>
        </w:tc>
        <w:tc>
          <w:tcPr>
            <w:tcW w:w="1453" w:type="dxa"/>
            <w:noWrap w:val="0"/>
            <w:vAlign w:val="center"/>
          </w:tcPr>
          <w:p w14:paraId="090A36E5">
            <w:pPr>
              <w:jc w:val="center"/>
              <w:rPr>
                <w:rFonts w:hint="eastAsia" w:ascii="宋体" w:hAnsi="宋体"/>
                <w:szCs w:val="21"/>
              </w:rPr>
            </w:pPr>
          </w:p>
        </w:tc>
        <w:tc>
          <w:tcPr>
            <w:tcW w:w="1454" w:type="dxa"/>
            <w:noWrap w:val="0"/>
            <w:vAlign w:val="center"/>
          </w:tcPr>
          <w:p w14:paraId="4ABA60C5">
            <w:pPr>
              <w:jc w:val="center"/>
              <w:rPr>
                <w:rFonts w:hint="eastAsia" w:ascii="宋体" w:hAnsi="宋体"/>
                <w:szCs w:val="21"/>
              </w:rPr>
            </w:pPr>
          </w:p>
        </w:tc>
        <w:tc>
          <w:tcPr>
            <w:tcW w:w="1454" w:type="dxa"/>
            <w:noWrap w:val="0"/>
            <w:vAlign w:val="center"/>
          </w:tcPr>
          <w:p w14:paraId="3B3A4839">
            <w:pPr>
              <w:jc w:val="center"/>
              <w:rPr>
                <w:rFonts w:hint="eastAsia" w:ascii="宋体" w:hAnsi="宋体"/>
                <w:szCs w:val="21"/>
              </w:rPr>
            </w:pPr>
          </w:p>
        </w:tc>
      </w:tr>
      <w:tr w14:paraId="35AF8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71DDC1D7">
            <w:pPr>
              <w:jc w:val="center"/>
              <w:rPr>
                <w:rFonts w:hint="eastAsia" w:ascii="宋体" w:hAnsi="宋体"/>
                <w:szCs w:val="21"/>
              </w:rPr>
            </w:pPr>
          </w:p>
        </w:tc>
        <w:tc>
          <w:tcPr>
            <w:tcW w:w="1453" w:type="dxa"/>
            <w:noWrap w:val="0"/>
            <w:vAlign w:val="center"/>
          </w:tcPr>
          <w:p w14:paraId="4C76AF84">
            <w:pPr>
              <w:jc w:val="center"/>
              <w:rPr>
                <w:rFonts w:hint="eastAsia" w:ascii="宋体" w:hAnsi="宋体"/>
                <w:szCs w:val="21"/>
              </w:rPr>
            </w:pPr>
          </w:p>
        </w:tc>
        <w:tc>
          <w:tcPr>
            <w:tcW w:w="1453" w:type="dxa"/>
            <w:noWrap w:val="0"/>
            <w:vAlign w:val="center"/>
          </w:tcPr>
          <w:p w14:paraId="15A777ED">
            <w:pPr>
              <w:jc w:val="center"/>
              <w:rPr>
                <w:rFonts w:hint="eastAsia" w:ascii="宋体" w:hAnsi="宋体"/>
                <w:szCs w:val="21"/>
              </w:rPr>
            </w:pPr>
          </w:p>
        </w:tc>
        <w:tc>
          <w:tcPr>
            <w:tcW w:w="1453" w:type="dxa"/>
            <w:noWrap w:val="0"/>
            <w:vAlign w:val="center"/>
          </w:tcPr>
          <w:p w14:paraId="36259C75">
            <w:pPr>
              <w:jc w:val="center"/>
              <w:rPr>
                <w:rFonts w:hint="eastAsia" w:ascii="宋体" w:hAnsi="宋体"/>
                <w:szCs w:val="21"/>
              </w:rPr>
            </w:pPr>
          </w:p>
        </w:tc>
        <w:tc>
          <w:tcPr>
            <w:tcW w:w="1454" w:type="dxa"/>
            <w:noWrap w:val="0"/>
            <w:vAlign w:val="center"/>
          </w:tcPr>
          <w:p w14:paraId="477D2DBA">
            <w:pPr>
              <w:jc w:val="center"/>
              <w:rPr>
                <w:rFonts w:hint="eastAsia" w:ascii="宋体" w:hAnsi="宋体"/>
                <w:szCs w:val="21"/>
              </w:rPr>
            </w:pPr>
          </w:p>
        </w:tc>
        <w:tc>
          <w:tcPr>
            <w:tcW w:w="1454" w:type="dxa"/>
            <w:noWrap w:val="0"/>
            <w:vAlign w:val="center"/>
          </w:tcPr>
          <w:p w14:paraId="3F45E045">
            <w:pPr>
              <w:jc w:val="center"/>
              <w:rPr>
                <w:rFonts w:hint="eastAsia" w:ascii="宋体" w:hAnsi="宋体"/>
                <w:szCs w:val="21"/>
              </w:rPr>
            </w:pPr>
          </w:p>
        </w:tc>
      </w:tr>
      <w:tr w14:paraId="5AA8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2D6B885">
            <w:pPr>
              <w:jc w:val="center"/>
              <w:rPr>
                <w:rFonts w:hint="eastAsia" w:ascii="宋体" w:hAnsi="宋体"/>
                <w:szCs w:val="21"/>
              </w:rPr>
            </w:pPr>
          </w:p>
        </w:tc>
        <w:tc>
          <w:tcPr>
            <w:tcW w:w="1453" w:type="dxa"/>
            <w:noWrap w:val="0"/>
            <w:vAlign w:val="center"/>
          </w:tcPr>
          <w:p w14:paraId="4A60E354">
            <w:pPr>
              <w:jc w:val="center"/>
              <w:rPr>
                <w:rFonts w:hint="eastAsia" w:ascii="宋体" w:hAnsi="宋体"/>
                <w:szCs w:val="21"/>
              </w:rPr>
            </w:pPr>
          </w:p>
        </w:tc>
        <w:tc>
          <w:tcPr>
            <w:tcW w:w="1453" w:type="dxa"/>
            <w:noWrap w:val="0"/>
            <w:vAlign w:val="center"/>
          </w:tcPr>
          <w:p w14:paraId="6C114E90">
            <w:pPr>
              <w:jc w:val="center"/>
              <w:rPr>
                <w:rFonts w:hint="eastAsia" w:ascii="宋体" w:hAnsi="宋体"/>
                <w:szCs w:val="21"/>
              </w:rPr>
            </w:pPr>
          </w:p>
        </w:tc>
        <w:tc>
          <w:tcPr>
            <w:tcW w:w="1453" w:type="dxa"/>
            <w:noWrap w:val="0"/>
            <w:vAlign w:val="center"/>
          </w:tcPr>
          <w:p w14:paraId="07082EB7">
            <w:pPr>
              <w:jc w:val="center"/>
              <w:rPr>
                <w:rFonts w:hint="eastAsia" w:ascii="宋体" w:hAnsi="宋体"/>
                <w:szCs w:val="21"/>
              </w:rPr>
            </w:pPr>
          </w:p>
        </w:tc>
        <w:tc>
          <w:tcPr>
            <w:tcW w:w="1454" w:type="dxa"/>
            <w:noWrap w:val="0"/>
            <w:vAlign w:val="center"/>
          </w:tcPr>
          <w:p w14:paraId="076DCC13">
            <w:pPr>
              <w:jc w:val="center"/>
              <w:rPr>
                <w:rFonts w:hint="eastAsia" w:ascii="宋体" w:hAnsi="宋体"/>
                <w:szCs w:val="21"/>
              </w:rPr>
            </w:pPr>
          </w:p>
        </w:tc>
        <w:tc>
          <w:tcPr>
            <w:tcW w:w="1454" w:type="dxa"/>
            <w:noWrap w:val="0"/>
            <w:vAlign w:val="center"/>
          </w:tcPr>
          <w:p w14:paraId="75277CB8">
            <w:pPr>
              <w:jc w:val="center"/>
              <w:rPr>
                <w:rFonts w:hint="eastAsia" w:ascii="宋体" w:hAnsi="宋体"/>
                <w:szCs w:val="21"/>
              </w:rPr>
            </w:pPr>
          </w:p>
        </w:tc>
      </w:tr>
      <w:tr w14:paraId="19AF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587D4C6">
            <w:pPr>
              <w:jc w:val="center"/>
              <w:rPr>
                <w:rFonts w:hint="eastAsia" w:ascii="宋体" w:hAnsi="宋体"/>
                <w:szCs w:val="21"/>
              </w:rPr>
            </w:pPr>
          </w:p>
        </w:tc>
        <w:tc>
          <w:tcPr>
            <w:tcW w:w="1453" w:type="dxa"/>
            <w:noWrap w:val="0"/>
            <w:vAlign w:val="center"/>
          </w:tcPr>
          <w:p w14:paraId="6A07D909">
            <w:pPr>
              <w:jc w:val="center"/>
              <w:rPr>
                <w:rFonts w:hint="eastAsia" w:ascii="宋体" w:hAnsi="宋体"/>
                <w:szCs w:val="21"/>
              </w:rPr>
            </w:pPr>
          </w:p>
        </w:tc>
        <w:tc>
          <w:tcPr>
            <w:tcW w:w="1453" w:type="dxa"/>
            <w:noWrap w:val="0"/>
            <w:vAlign w:val="center"/>
          </w:tcPr>
          <w:p w14:paraId="5C66669B">
            <w:pPr>
              <w:jc w:val="center"/>
              <w:rPr>
                <w:rFonts w:hint="eastAsia" w:ascii="宋体" w:hAnsi="宋体"/>
                <w:szCs w:val="21"/>
              </w:rPr>
            </w:pPr>
          </w:p>
        </w:tc>
        <w:tc>
          <w:tcPr>
            <w:tcW w:w="1453" w:type="dxa"/>
            <w:noWrap w:val="0"/>
            <w:vAlign w:val="center"/>
          </w:tcPr>
          <w:p w14:paraId="772983BF">
            <w:pPr>
              <w:jc w:val="center"/>
              <w:rPr>
                <w:rFonts w:hint="eastAsia" w:ascii="宋体" w:hAnsi="宋体"/>
                <w:szCs w:val="21"/>
              </w:rPr>
            </w:pPr>
          </w:p>
        </w:tc>
        <w:tc>
          <w:tcPr>
            <w:tcW w:w="1454" w:type="dxa"/>
            <w:noWrap w:val="0"/>
            <w:vAlign w:val="center"/>
          </w:tcPr>
          <w:p w14:paraId="43B5589C">
            <w:pPr>
              <w:jc w:val="center"/>
              <w:rPr>
                <w:rFonts w:hint="eastAsia" w:ascii="宋体" w:hAnsi="宋体"/>
                <w:szCs w:val="21"/>
              </w:rPr>
            </w:pPr>
          </w:p>
        </w:tc>
        <w:tc>
          <w:tcPr>
            <w:tcW w:w="1454" w:type="dxa"/>
            <w:noWrap w:val="0"/>
            <w:vAlign w:val="center"/>
          </w:tcPr>
          <w:p w14:paraId="0B434547">
            <w:pPr>
              <w:jc w:val="center"/>
              <w:rPr>
                <w:rFonts w:hint="eastAsia" w:ascii="宋体" w:hAnsi="宋体"/>
                <w:szCs w:val="21"/>
              </w:rPr>
            </w:pPr>
          </w:p>
        </w:tc>
      </w:tr>
      <w:tr w14:paraId="09E28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6456707D">
            <w:pPr>
              <w:jc w:val="center"/>
              <w:rPr>
                <w:rFonts w:hint="eastAsia" w:ascii="宋体" w:hAnsi="宋体"/>
                <w:szCs w:val="21"/>
              </w:rPr>
            </w:pPr>
          </w:p>
        </w:tc>
        <w:tc>
          <w:tcPr>
            <w:tcW w:w="1453" w:type="dxa"/>
            <w:noWrap w:val="0"/>
            <w:vAlign w:val="center"/>
          </w:tcPr>
          <w:p w14:paraId="09A5BE61">
            <w:pPr>
              <w:jc w:val="center"/>
              <w:rPr>
                <w:rFonts w:hint="eastAsia" w:ascii="宋体" w:hAnsi="宋体"/>
                <w:szCs w:val="21"/>
              </w:rPr>
            </w:pPr>
          </w:p>
        </w:tc>
        <w:tc>
          <w:tcPr>
            <w:tcW w:w="1453" w:type="dxa"/>
            <w:noWrap w:val="0"/>
            <w:vAlign w:val="center"/>
          </w:tcPr>
          <w:p w14:paraId="2DE4B380">
            <w:pPr>
              <w:jc w:val="center"/>
              <w:rPr>
                <w:rFonts w:hint="eastAsia" w:ascii="宋体" w:hAnsi="宋体"/>
                <w:szCs w:val="21"/>
              </w:rPr>
            </w:pPr>
          </w:p>
        </w:tc>
        <w:tc>
          <w:tcPr>
            <w:tcW w:w="1453" w:type="dxa"/>
            <w:noWrap w:val="0"/>
            <w:vAlign w:val="center"/>
          </w:tcPr>
          <w:p w14:paraId="04373B76">
            <w:pPr>
              <w:jc w:val="center"/>
              <w:rPr>
                <w:rFonts w:hint="eastAsia" w:ascii="宋体" w:hAnsi="宋体"/>
                <w:szCs w:val="21"/>
              </w:rPr>
            </w:pPr>
          </w:p>
        </w:tc>
        <w:tc>
          <w:tcPr>
            <w:tcW w:w="1454" w:type="dxa"/>
            <w:noWrap w:val="0"/>
            <w:vAlign w:val="center"/>
          </w:tcPr>
          <w:p w14:paraId="0994F782">
            <w:pPr>
              <w:jc w:val="center"/>
              <w:rPr>
                <w:rFonts w:hint="eastAsia" w:ascii="宋体" w:hAnsi="宋体"/>
                <w:szCs w:val="21"/>
              </w:rPr>
            </w:pPr>
          </w:p>
        </w:tc>
        <w:tc>
          <w:tcPr>
            <w:tcW w:w="1454" w:type="dxa"/>
            <w:noWrap w:val="0"/>
            <w:vAlign w:val="center"/>
          </w:tcPr>
          <w:p w14:paraId="6CD81441">
            <w:pPr>
              <w:jc w:val="center"/>
              <w:rPr>
                <w:rFonts w:hint="eastAsia" w:ascii="宋体" w:hAnsi="宋体"/>
                <w:szCs w:val="21"/>
              </w:rPr>
            </w:pPr>
          </w:p>
        </w:tc>
      </w:tr>
      <w:tr w14:paraId="3307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396D0928">
            <w:pPr>
              <w:jc w:val="center"/>
              <w:rPr>
                <w:rFonts w:hint="eastAsia" w:ascii="宋体" w:hAnsi="宋体"/>
                <w:szCs w:val="21"/>
              </w:rPr>
            </w:pPr>
          </w:p>
        </w:tc>
        <w:tc>
          <w:tcPr>
            <w:tcW w:w="1453" w:type="dxa"/>
            <w:noWrap w:val="0"/>
            <w:vAlign w:val="center"/>
          </w:tcPr>
          <w:p w14:paraId="7500D19B">
            <w:pPr>
              <w:jc w:val="center"/>
              <w:rPr>
                <w:rFonts w:hint="eastAsia" w:ascii="宋体" w:hAnsi="宋体"/>
                <w:szCs w:val="21"/>
              </w:rPr>
            </w:pPr>
          </w:p>
        </w:tc>
        <w:tc>
          <w:tcPr>
            <w:tcW w:w="1453" w:type="dxa"/>
            <w:noWrap w:val="0"/>
            <w:vAlign w:val="center"/>
          </w:tcPr>
          <w:p w14:paraId="0C5A8050">
            <w:pPr>
              <w:jc w:val="center"/>
              <w:rPr>
                <w:rFonts w:hint="eastAsia" w:ascii="宋体" w:hAnsi="宋体"/>
                <w:szCs w:val="21"/>
              </w:rPr>
            </w:pPr>
          </w:p>
        </w:tc>
        <w:tc>
          <w:tcPr>
            <w:tcW w:w="1453" w:type="dxa"/>
            <w:noWrap w:val="0"/>
            <w:vAlign w:val="center"/>
          </w:tcPr>
          <w:p w14:paraId="53FC4F87">
            <w:pPr>
              <w:jc w:val="center"/>
              <w:rPr>
                <w:rFonts w:hint="eastAsia" w:ascii="宋体" w:hAnsi="宋体"/>
                <w:szCs w:val="21"/>
              </w:rPr>
            </w:pPr>
          </w:p>
        </w:tc>
        <w:tc>
          <w:tcPr>
            <w:tcW w:w="1454" w:type="dxa"/>
            <w:noWrap w:val="0"/>
            <w:vAlign w:val="center"/>
          </w:tcPr>
          <w:p w14:paraId="566EA1EF">
            <w:pPr>
              <w:jc w:val="center"/>
              <w:rPr>
                <w:rFonts w:hint="eastAsia" w:ascii="宋体" w:hAnsi="宋体"/>
                <w:szCs w:val="21"/>
              </w:rPr>
            </w:pPr>
          </w:p>
        </w:tc>
        <w:tc>
          <w:tcPr>
            <w:tcW w:w="1454" w:type="dxa"/>
            <w:noWrap w:val="0"/>
            <w:vAlign w:val="center"/>
          </w:tcPr>
          <w:p w14:paraId="5087972A">
            <w:pPr>
              <w:jc w:val="center"/>
              <w:rPr>
                <w:rFonts w:hint="eastAsia" w:ascii="宋体" w:hAnsi="宋体"/>
                <w:szCs w:val="21"/>
              </w:rPr>
            </w:pPr>
          </w:p>
        </w:tc>
      </w:tr>
      <w:tr w14:paraId="03B5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72DDDD1">
            <w:pPr>
              <w:jc w:val="center"/>
              <w:rPr>
                <w:rFonts w:hint="eastAsia" w:ascii="宋体" w:hAnsi="宋体"/>
                <w:szCs w:val="21"/>
              </w:rPr>
            </w:pPr>
          </w:p>
        </w:tc>
        <w:tc>
          <w:tcPr>
            <w:tcW w:w="1453" w:type="dxa"/>
            <w:noWrap w:val="0"/>
            <w:vAlign w:val="center"/>
          </w:tcPr>
          <w:p w14:paraId="65828A26">
            <w:pPr>
              <w:jc w:val="center"/>
              <w:rPr>
                <w:rFonts w:hint="eastAsia" w:ascii="宋体" w:hAnsi="宋体"/>
                <w:szCs w:val="21"/>
              </w:rPr>
            </w:pPr>
          </w:p>
        </w:tc>
        <w:tc>
          <w:tcPr>
            <w:tcW w:w="1453" w:type="dxa"/>
            <w:noWrap w:val="0"/>
            <w:vAlign w:val="center"/>
          </w:tcPr>
          <w:p w14:paraId="66AEB7AB">
            <w:pPr>
              <w:jc w:val="center"/>
              <w:rPr>
                <w:rFonts w:hint="eastAsia" w:ascii="宋体" w:hAnsi="宋体"/>
                <w:szCs w:val="21"/>
              </w:rPr>
            </w:pPr>
          </w:p>
        </w:tc>
        <w:tc>
          <w:tcPr>
            <w:tcW w:w="1453" w:type="dxa"/>
            <w:noWrap w:val="0"/>
            <w:vAlign w:val="center"/>
          </w:tcPr>
          <w:p w14:paraId="0988F744">
            <w:pPr>
              <w:jc w:val="center"/>
              <w:rPr>
                <w:rFonts w:hint="eastAsia" w:ascii="宋体" w:hAnsi="宋体"/>
                <w:szCs w:val="21"/>
              </w:rPr>
            </w:pPr>
          </w:p>
        </w:tc>
        <w:tc>
          <w:tcPr>
            <w:tcW w:w="1454" w:type="dxa"/>
            <w:noWrap w:val="0"/>
            <w:vAlign w:val="center"/>
          </w:tcPr>
          <w:p w14:paraId="0003B783">
            <w:pPr>
              <w:jc w:val="center"/>
              <w:rPr>
                <w:rFonts w:hint="eastAsia" w:ascii="宋体" w:hAnsi="宋体"/>
                <w:szCs w:val="21"/>
              </w:rPr>
            </w:pPr>
          </w:p>
        </w:tc>
        <w:tc>
          <w:tcPr>
            <w:tcW w:w="1454" w:type="dxa"/>
            <w:noWrap w:val="0"/>
            <w:vAlign w:val="center"/>
          </w:tcPr>
          <w:p w14:paraId="619DE15F">
            <w:pPr>
              <w:jc w:val="center"/>
              <w:rPr>
                <w:rFonts w:hint="eastAsia" w:ascii="宋体" w:hAnsi="宋体"/>
                <w:szCs w:val="21"/>
              </w:rPr>
            </w:pPr>
          </w:p>
        </w:tc>
      </w:tr>
      <w:tr w14:paraId="57E88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43C2F27A">
            <w:pPr>
              <w:jc w:val="center"/>
              <w:rPr>
                <w:rFonts w:hint="eastAsia" w:ascii="宋体" w:hAnsi="宋体"/>
                <w:szCs w:val="21"/>
              </w:rPr>
            </w:pPr>
          </w:p>
        </w:tc>
        <w:tc>
          <w:tcPr>
            <w:tcW w:w="1453" w:type="dxa"/>
            <w:noWrap w:val="0"/>
            <w:vAlign w:val="center"/>
          </w:tcPr>
          <w:p w14:paraId="6C71EF3F">
            <w:pPr>
              <w:jc w:val="center"/>
              <w:rPr>
                <w:rFonts w:hint="eastAsia" w:ascii="宋体" w:hAnsi="宋体"/>
                <w:szCs w:val="21"/>
              </w:rPr>
            </w:pPr>
          </w:p>
        </w:tc>
        <w:tc>
          <w:tcPr>
            <w:tcW w:w="1453" w:type="dxa"/>
            <w:noWrap w:val="0"/>
            <w:vAlign w:val="center"/>
          </w:tcPr>
          <w:p w14:paraId="6B91BA98">
            <w:pPr>
              <w:jc w:val="center"/>
              <w:rPr>
                <w:rFonts w:hint="eastAsia" w:ascii="宋体" w:hAnsi="宋体"/>
                <w:szCs w:val="21"/>
              </w:rPr>
            </w:pPr>
          </w:p>
        </w:tc>
        <w:tc>
          <w:tcPr>
            <w:tcW w:w="1453" w:type="dxa"/>
            <w:noWrap w:val="0"/>
            <w:vAlign w:val="center"/>
          </w:tcPr>
          <w:p w14:paraId="6C91ABC4">
            <w:pPr>
              <w:jc w:val="center"/>
              <w:rPr>
                <w:rFonts w:hint="eastAsia" w:ascii="宋体" w:hAnsi="宋体"/>
                <w:szCs w:val="21"/>
              </w:rPr>
            </w:pPr>
          </w:p>
        </w:tc>
        <w:tc>
          <w:tcPr>
            <w:tcW w:w="1454" w:type="dxa"/>
            <w:noWrap w:val="0"/>
            <w:vAlign w:val="center"/>
          </w:tcPr>
          <w:p w14:paraId="45C839C8">
            <w:pPr>
              <w:jc w:val="center"/>
              <w:rPr>
                <w:rFonts w:hint="eastAsia" w:ascii="宋体" w:hAnsi="宋体"/>
                <w:szCs w:val="21"/>
              </w:rPr>
            </w:pPr>
          </w:p>
        </w:tc>
        <w:tc>
          <w:tcPr>
            <w:tcW w:w="1454" w:type="dxa"/>
            <w:noWrap w:val="0"/>
            <w:vAlign w:val="center"/>
          </w:tcPr>
          <w:p w14:paraId="5D166C6C">
            <w:pPr>
              <w:jc w:val="center"/>
              <w:rPr>
                <w:rFonts w:hint="eastAsia" w:ascii="宋体" w:hAnsi="宋体"/>
                <w:szCs w:val="21"/>
              </w:rPr>
            </w:pPr>
          </w:p>
        </w:tc>
      </w:tr>
      <w:tr w14:paraId="7C33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53" w:type="dxa"/>
            <w:noWrap w:val="0"/>
            <w:vAlign w:val="center"/>
          </w:tcPr>
          <w:p w14:paraId="16C903C8">
            <w:pPr>
              <w:jc w:val="center"/>
              <w:rPr>
                <w:rFonts w:hint="eastAsia" w:ascii="宋体" w:hAnsi="宋体"/>
                <w:szCs w:val="21"/>
              </w:rPr>
            </w:pPr>
          </w:p>
        </w:tc>
        <w:tc>
          <w:tcPr>
            <w:tcW w:w="1453" w:type="dxa"/>
            <w:noWrap w:val="0"/>
            <w:vAlign w:val="center"/>
          </w:tcPr>
          <w:p w14:paraId="0AE55EDA">
            <w:pPr>
              <w:jc w:val="center"/>
              <w:rPr>
                <w:rFonts w:hint="eastAsia" w:ascii="宋体" w:hAnsi="宋体"/>
                <w:szCs w:val="21"/>
              </w:rPr>
            </w:pPr>
          </w:p>
        </w:tc>
        <w:tc>
          <w:tcPr>
            <w:tcW w:w="1453" w:type="dxa"/>
            <w:noWrap w:val="0"/>
            <w:vAlign w:val="center"/>
          </w:tcPr>
          <w:p w14:paraId="03489AD1">
            <w:pPr>
              <w:jc w:val="center"/>
              <w:rPr>
                <w:rFonts w:hint="eastAsia" w:ascii="宋体" w:hAnsi="宋体"/>
                <w:szCs w:val="21"/>
              </w:rPr>
            </w:pPr>
          </w:p>
        </w:tc>
        <w:tc>
          <w:tcPr>
            <w:tcW w:w="1453" w:type="dxa"/>
            <w:noWrap w:val="0"/>
            <w:vAlign w:val="center"/>
          </w:tcPr>
          <w:p w14:paraId="1FF36EB2">
            <w:pPr>
              <w:jc w:val="center"/>
              <w:rPr>
                <w:rFonts w:hint="eastAsia" w:ascii="宋体" w:hAnsi="宋体"/>
                <w:szCs w:val="21"/>
              </w:rPr>
            </w:pPr>
          </w:p>
        </w:tc>
        <w:tc>
          <w:tcPr>
            <w:tcW w:w="1454" w:type="dxa"/>
            <w:noWrap w:val="0"/>
            <w:vAlign w:val="center"/>
          </w:tcPr>
          <w:p w14:paraId="15A900A8">
            <w:pPr>
              <w:jc w:val="center"/>
              <w:rPr>
                <w:rFonts w:hint="eastAsia" w:ascii="宋体" w:hAnsi="宋体"/>
                <w:szCs w:val="21"/>
              </w:rPr>
            </w:pPr>
          </w:p>
        </w:tc>
        <w:tc>
          <w:tcPr>
            <w:tcW w:w="1454" w:type="dxa"/>
            <w:noWrap w:val="0"/>
            <w:vAlign w:val="center"/>
          </w:tcPr>
          <w:p w14:paraId="12EA252B">
            <w:pPr>
              <w:jc w:val="center"/>
              <w:rPr>
                <w:rFonts w:hint="eastAsia" w:ascii="宋体" w:hAnsi="宋体"/>
                <w:szCs w:val="21"/>
              </w:rPr>
            </w:pPr>
          </w:p>
        </w:tc>
      </w:tr>
    </w:tbl>
    <w:p w14:paraId="726E887F">
      <w:pPr>
        <w:rPr>
          <w:rFonts w:hint="eastAsia"/>
          <w:szCs w:val="21"/>
        </w:rPr>
      </w:pPr>
    </w:p>
    <w:p w14:paraId="267FE76C">
      <w:pPr>
        <w:rPr>
          <w:rFonts w:hint="eastAsia"/>
          <w:szCs w:val="21"/>
        </w:rPr>
      </w:pPr>
    </w:p>
    <w:p w14:paraId="3FDF18D6">
      <w:pPr>
        <w:rPr>
          <w:rFonts w:hint="eastAsia"/>
          <w:szCs w:val="21"/>
        </w:rPr>
      </w:pPr>
    </w:p>
    <w:p w14:paraId="22BA2216">
      <w:pPr>
        <w:rPr>
          <w:rFonts w:hint="eastAsia"/>
          <w:szCs w:val="21"/>
        </w:rPr>
      </w:pPr>
    </w:p>
    <w:p w14:paraId="77A4AF11">
      <w:pPr>
        <w:rPr>
          <w:rFonts w:hint="eastAsia"/>
          <w:szCs w:val="21"/>
        </w:rPr>
      </w:pPr>
    </w:p>
    <w:p w14:paraId="533650B1">
      <w:pPr>
        <w:pStyle w:val="18"/>
        <w:rPr>
          <w:rFonts w:ascii="黑体"/>
          <w:sz w:val="24"/>
        </w:rPr>
      </w:pPr>
      <w:bookmarkStart w:id="2608" w:name="_Toc108514194"/>
      <w:r>
        <w:rPr>
          <w:rFonts w:hint="eastAsia"/>
          <w:sz w:val="24"/>
          <w:szCs w:val="24"/>
        </w:rPr>
        <w:t>2．图  纸</w:t>
      </w:r>
      <w:bookmarkEnd w:id="2608"/>
    </w:p>
    <w:p w14:paraId="403B24B5">
      <w:pPr>
        <w:rPr>
          <w:rFonts w:hint="eastAsia" w:ascii="黑体" w:eastAsia="黑体"/>
          <w:sz w:val="24"/>
        </w:rPr>
      </w:pPr>
      <w:r>
        <w:rPr>
          <w:rFonts w:ascii="黑体" w:eastAsia="黑体"/>
          <w:sz w:val="24"/>
        </w:rPr>
        <w:br w:type="page"/>
      </w:r>
    </w:p>
    <w:p w14:paraId="0DF2945E">
      <w:pPr>
        <w:rPr>
          <w:rFonts w:hint="eastAsia" w:ascii="黑体" w:eastAsia="黑体"/>
          <w:sz w:val="24"/>
        </w:rPr>
      </w:pPr>
    </w:p>
    <w:p w14:paraId="74EF4BD8">
      <w:pPr>
        <w:rPr>
          <w:rFonts w:hint="eastAsia" w:ascii="黑体" w:eastAsia="黑体"/>
          <w:sz w:val="24"/>
        </w:rPr>
      </w:pPr>
    </w:p>
    <w:p w14:paraId="5A13FF57">
      <w:pPr>
        <w:rPr>
          <w:rFonts w:hint="eastAsia" w:ascii="黑体" w:eastAsia="黑体"/>
          <w:sz w:val="24"/>
        </w:rPr>
      </w:pPr>
    </w:p>
    <w:p w14:paraId="0FE24065">
      <w:pPr>
        <w:rPr>
          <w:rFonts w:hint="eastAsia" w:ascii="黑体" w:eastAsia="黑体"/>
          <w:sz w:val="24"/>
        </w:rPr>
      </w:pPr>
    </w:p>
    <w:p w14:paraId="70F50D13">
      <w:pPr>
        <w:rPr>
          <w:rFonts w:hint="eastAsia" w:ascii="黑体" w:eastAsia="黑体"/>
          <w:sz w:val="24"/>
        </w:rPr>
      </w:pPr>
    </w:p>
    <w:p w14:paraId="3CAD5183">
      <w:pPr>
        <w:rPr>
          <w:rFonts w:hint="eastAsia" w:ascii="黑体" w:eastAsia="黑体"/>
          <w:sz w:val="24"/>
        </w:rPr>
      </w:pPr>
    </w:p>
    <w:p w14:paraId="20253BCB">
      <w:pPr>
        <w:rPr>
          <w:rFonts w:hint="eastAsia" w:ascii="黑体" w:eastAsia="黑体"/>
          <w:sz w:val="24"/>
        </w:rPr>
      </w:pPr>
    </w:p>
    <w:p w14:paraId="1ACD2A66">
      <w:pPr>
        <w:rPr>
          <w:rFonts w:hint="eastAsia" w:ascii="黑体" w:eastAsia="黑体"/>
          <w:sz w:val="24"/>
        </w:rPr>
      </w:pPr>
    </w:p>
    <w:p w14:paraId="09C42AA4">
      <w:pPr>
        <w:rPr>
          <w:rFonts w:hint="eastAsia"/>
          <w:szCs w:val="21"/>
        </w:rPr>
      </w:pPr>
    </w:p>
    <w:p w14:paraId="505BA6B6">
      <w:pPr>
        <w:pStyle w:val="2"/>
        <w:spacing w:before="120" w:after="120" w:line="400" w:lineRule="exact"/>
        <w:jc w:val="center"/>
        <w:rPr>
          <w:rFonts w:hint="eastAsia" w:ascii="黑体" w:hAnsi="黑体" w:eastAsia="黑体"/>
          <w:b w:val="0"/>
          <w:bCs w:val="0"/>
          <w:sz w:val="48"/>
          <w:szCs w:val="48"/>
        </w:rPr>
      </w:pPr>
      <w:bookmarkStart w:id="2609" w:name="_Toc108514195"/>
      <w:r>
        <w:rPr>
          <w:rFonts w:hint="eastAsia" w:ascii="黑体" w:hAnsi="黑体" w:eastAsia="黑体"/>
          <w:b w:val="0"/>
          <w:bCs w:val="0"/>
          <w:sz w:val="48"/>
          <w:szCs w:val="48"/>
        </w:rPr>
        <w:t>第三卷</w:t>
      </w:r>
      <w:bookmarkEnd w:id="2609"/>
    </w:p>
    <w:p w14:paraId="1B165EAC">
      <w:pPr>
        <w:jc w:val="center"/>
        <w:rPr>
          <w:rFonts w:hint="eastAsia" w:ascii="黑体" w:eastAsia="黑体"/>
          <w:sz w:val="32"/>
          <w:szCs w:val="32"/>
        </w:rPr>
      </w:pPr>
    </w:p>
    <w:p w14:paraId="23288F26">
      <w:pPr>
        <w:spacing w:line="420" w:lineRule="exact"/>
        <w:jc w:val="center"/>
        <w:rPr>
          <w:rFonts w:hint="eastAsia" w:ascii="楷体_GB2312" w:eastAsia="楷体_GB2312"/>
        </w:rPr>
      </w:pPr>
      <w:r>
        <w:rPr>
          <w:rFonts w:ascii="黑体" w:eastAsia="黑体"/>
          <w:sz w:val="32"/>
          <w:szCs w:val="32"/>
        </w:rPr>
        <w:br w:type="page"/>
      </w:r>
    </w:p>
    <w:p w14:paraId="1CBF5C7A">
      <w:pPr>
        <w:spacing w:line="420" w:lineRule="exact"/>
        <w:jc w:val="center"/>
        <w:rPr>
          <w:rFonts w:hint="eastAsia" w:ascii="楷体_GB2312" w:eastAsia="楷体_GB2312"/>
        </w:rPr>
      </w:pPr>
    </w:p>
    <w:p w14:paraId="2092AC78">
      <w:pPr>
        <w:spacing w:line="420" w:lineRule="exact"/>
        <w:jc w:val="center"/>
        <w:rPr>
          <w:rFonts w:hint="eastAsia" w:ascii="楷体_GB2312" w:eastAsia="楷体_GB2312"/>
        </w:rPr>
      </w:pPr>
    </w:p>
    <w:p w14:paraId="30B214EF">
      <w:pPr>
        <w:spacing w:line="420" w:lineRule="exact"/>
        <w:jc w:val="center"/>
        <w:rPr>
          <w:rFonts w:hint="eastAsia" w:ascii="楷体_GB2312" w:eastAsia="楷体_GB2312"/>
        </w:rPr>
      </w:pPr>
    </w:p>
    <w:p w14:paraId="7E5D0872">
      <w:pPr>
        <w:spacing w:line="420" w:lineRule="exact"/>
        <w:jc w:val="center"/>
        <w:rPr>
          <w:rFonts w:hint="eastAsia" w:ascii="楷体_GB2312" w:eastAsia="楷体_GB2312"/>
        </w:rPr>
      </w:pPr>
    </w:p>
    <w:p w14:paraId="6540BFBD">
      <w:pPr>
        <w:pStyle w:val="2"/>
        <w:spacing w:before="120" w:after="120" w:line="400" w:lineRule="exact"/>
        <w:jc w:val="center"/>
        <w:rPr>
          <w:rFonts w:hint="eastAsia" w:ascii="黑体" w:hAnsi="黑体" w:eastAsia="黑体"/>
          <w:b w:val="0"/>
          <w:bCs w:val="0"/>
          <w:sz w:val="32"/>
        </w:rPr>
      </w:pPr>
      <w:bookmarkStart w:id="2610" w:name="_Toc108514196"/>
      <w:r>
        <w:rPr>
          <w:rFonts w:hint="eastAsia" w:ascii="黑体" w:hAnsi="黑体" w:eastAsia="黑体"/>
          <w:b w:val="0"/>
          <w:bCs w:val="0"/>
          <w:sz w:val="32"/>
        </w:rPr>
        <w:t>第七章  技术标准和要求</w:t>
      </w:r>
      <w:bookmarkEnd w:id="2610"/>
    </w:p>
    <w:p w14:paraId="0983C152">
      <w:pPr>
        <w:spacing w:before="240" w:beforeLines="100" w:after="240" w:afterLines="100"/>
        <w:jc w:val="center"/>
        <w:rPr>
          <w:rFonts w:hint="eastAsia" w:ascii="黑体" w:eastAsia="黑体"/>
          <w:sz w:val="28"/>
          <w:szCs w:val="28"/>
        </w:rPr>
      </w:pPr>
      <w:r>
        <w:rPr>
          <w:rFonts w:hint="eastAsia" w:ascii="黑体" w:eastAsia="黑体"/>
          <w:sz w:val="28"/>
          <w:szCs w:val="28"/>
        </w:rPr>
        <w:br w:type="page"/>
      </w:r>
      <w:r>
        <w:rPr>
          <w:rFonts w:hint="eastAsia" w:ascii="黑体" w:eastAsia="黑体"/>
          <w:sz w:val="28"/>
          <w:szCs w:val="28"/>
        </w:rPr>
        <w:t>第七章  技术标准和要求</w:t>
      </w:r>
    </w:p>
    <w:p w14:paraId="563AF179">
      <w:pPr>
        <w:pStyle w:val="18"/>
        <w:jc w:val="center"/>
        <w:rPr>
          <w:rFonts w:hint="eastAsia"/>
        </w:rPr>
      </w:pPr>
      <w:bookmarkStart w:id="2611" w:name="_Toc108514197"/>
      <w:r>
        <w:rPr>
          <w:rFonts w:hint="eastAsia"/>
        </w:rPr>
        <w:t>第一节 一般要求</w:t>
      </w:r>
      <w:bookmarkEnd w:id="2611"/>
    </w:p>
    <w:p w14:paraId="66214D08">
      <w:pPr>
        <w:pStyle w:val="20"/>
        <w:rPr>
          <w:rFonts w:hint="eastAsia"/>
          <w:sz w:val="28"/>
          <w:szCs w:val="28"/>
        </w:rPr>
      </w:pPr>
      <w:bookmarkStart w:id="2612" w:name="_Toc108514198"/>
      <w:r>
        <w:rPr>
          <w:rFonts w:hint="eastAsia"/>
          <w:sz w:val="28"/>
          <w:szCs w:val="28"/>
        </w:rPr>
        <w:t>1.工程说明</w:t>
      </w:r>
      <w:bookmarkEnd w:id="2612"/>
    </w:p>
    <w:p w14:paraId="791C2D0D">
      <w:pPr>
        <w:spacing w:line="480" w:lineRule="exact"/>
        <w:ind w:left="420" w:hanging="420" w:hangingChars="200"/>
        <w:rPr>
          <w:rFonts w:hint="eastAsia" w:ascii="黑体" w:hAnsi="宋体" w:eastAsia="黑体"/>
          <w:szCs w:val="21"/>
        </w:rPr>
      </w:pPr>
      <w:r>
        <w:rPr>
          <w:rFonts w:hint="eastAsia" w:ascii="黑体" w:hAnsi="宋体" w:eastAsia="黑体"/>
          <w:szCs w:val="21"/>
        </w:rPr>
        <w:t>1.1  工程概况</w:t>
      </w:r>
    </w:p>
    <w:p w14:paraId="6082460A">
      <w:pPr>
        <w:spacing w:line="480" w:lineRule="exact"/>
        <w:ind w:left="420" w:hanging="420" w:hangingChars="200"/>
        <w:rPr>
          <w:rFonts w:hint="eastAsia" w:ascii="宋体" w:hAnsi="宋体"/>
          <w:szCs w:val="21"/>
        </w:rPr>
      </w:pPr>
      <w:r>
        <w:rPr>
          <w:rFonts w:hint="eastAsia" w:ascii="宋体" w:hAnsi="宋体"/>
          <w:szCs w:val="21"/>
        </w:rPr>
        <w:t>l.1.1  本工程基本情况如下：</w:t>
      </w:r>
    </w:p>
    <w:p w14:paraId="0FBC63BD">
      <w:pPr>
        <w:spacing w:line="48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3F33E52A">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AAE07F0">
      <w:pPr>
        <w:spacing w:line="480" w:lineRule="exact"/>
        <w:ind w:left="420" w:hanging="420" w:hangingChars="200"/>
        <w:rPr>
          <w:rFonts w:hint="eastAsia" w:ascii="宋体" w:hAnsi="宋体"/>
          <w:szCs w:val="21"/>
        </w:rPr>
      </w:pPr>
      <w:r>
        <w:rPr>
          <w:rFonts w:hint="eastAsia" w:ascii="宋体" w:hAnsi="宋体"/>
          <w:szCs w:val="21"/>
        </w:rPr>
        <w:t>1.1.2  本工程施工场地(现场)具体地理位置如下：</w:t>
      </w:r>
    </w:p>
    <w:p w14:paraId="790923CF">
      <w:pPr>
        <w:spacing w:line="48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4EFBB0B7">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377E09C">
      <w:pPr>
        <w:spacing w:line="480" w:lineRule="exact"/>
        <w:ind w:left="420" w:hanging="420" w:hangingChars="200"/>
        <w:rPr>
          <w:rFonts w:hint="eastAsia" w:ascii="黑体" w:hAnsi="宋体" w:eastAsia="黑体"/>
          <w:szCs w:val="21"/>
        </w:rPr>
      </w:pPr>
      <w:r>
        <w:rPr>
          <w:rFonts w:hint="eastAsia" w:ascii="黑体" w:hAnsi="宋体" w:eastAsia="黑体"/>
          <w:szCs w:val="21"/>
        </w:rPr>
        <w:t>1.2    现场条件和周围环境</w:t>
      </w:r>
    </w:p>
    <w:p w14:paraId="19006B4B">
      <w:pPr>
        <w:spacing w:line="480" w:lineRule="exact"/>
        <w:ind w:left="735" w:hanging="735" w:hangingChars="350"/>
        <w:rPr>
          <w:rFonts w:hint="eastAsia" w:ascii="宋体" w:hAnsi="宋体"/>
          <w:szCs w:val="21"/>
        </w:rPr>
      </w:pPr>
      <w:r>
        <w:rPr>
          <w:rFonts w:hint="eastAsia" w:ascii="宋体" w:hAnsi="宋体"/>
          <w:szCs w:val="21"/>
        </w:rPr>
        <w:t>1.2.1  本工程施工场地(现场)已经具备施工条件。施工场地(现场)临时水源接口位置、临时电源接口位置、临时排污口位置、建筑红线位置、道路交通和出入口、以及施工场地(现场)和周围环境等情况见本章附件A：施工场地(现场)现状平面图。</w:t>
      </w:r>
    </w:p>
    <w:p w14:paraId="0F1B7F0A">
      <w:pPr>
        <w:spacing w:line="480" w:lineRule="exact"/>
        <w:ind w:left="1050" w:hanging="1050" w:hangingChars="500"/>
        <w:rPr>
          <w:rFonts w:hint="eastAsia" w:ascii="宋体" w:hAnsi="宋体"/>
          <w:szCs w:val="21"/>
        </w:rPr>
      </w:pPr>
      <w:r>
        <w:rPr>
          <w:rFonts w:hint="eastAsia" w:ascii="宋体" w:hAnsi="宋体"/>
          <w:szCs w:val="21"/>
        </w:rPr>
        <w:t>1.2.2  施工场地(现场)临时供水管径</w:t>
      </w:r>
      <w:r>
        <w:rPr>
          <w:rFonts w:hint="eastAsia" w:ascii="宋体" w:hAnsi="宋体"/>
          <w:szCs w:val="21"/>
          <w:u w:val="single"/>
        </w:rPr>
        <w:t xml:space="preserve">                                           </w:t>
      </w:r>
      <w:r>
        <w:rPr>
          <w:rFonts w:hint="eastAsia" w:ascii="宋体" w:hAnsi="宋体"/>
          <w:szCs w:val="21"/>
        </w:rPr>
        <w:t>。</w:t>
      </w:r>
    </w:p>
    <w:p w14:paraId="04372E07">
      <w:pPr>
        <w:spacing w:line="480" w:lineRule="exact"/>
        <w:ind w:firstLine="735" w:firstLineChars="350"/>
        <w:rPr>
          <w:rFonts w:hint="eastAsia" w:ascii="宋体" w:hAnsi="宋体"/>
          <w:szCs w:val="21"/>
        </w:rPr>
      </w:pPr>
      <w:r>
        <w:rPr>
          <w:rFonts w:hint="eastAsia" w:ascii="宋体" w:hAnsi="宋体"/>
          <w:szCs w:val="21"/>
        </w:rPr>
        <w:t>施工场地(现场)临时排污管径</w:t>
      </w:r>
      <w:r>
        <w:rPr>
          <w:rFonts w:hint="eastAsia" w:ascii="宋体" w:hAnsi="宋体"/>
          <w:szCs w:val="21"/>
          <w:u w:val="single"/>
        </w:rPr>
        <w:t xml:space="preserve">                                           </w:t>
      </w:r>
      <w:r>
        <w:rPr>
          <w:rFonts w:hint="eastAsia" w:ascii="宋体" w:hAnsi="宋体"/>
          <w:szCs w:val="21"/>
        </w:rPr>
        <w:t>。</w:t>
      </w:r>
    </w:p>
    <w:p w14:paraId="47FD934A">
      <w:pPr>
        <w:spacing w:line="480" w:lineRule="exact"/>
        <w:ind w:left="798" w:leftChars="330" w:hanging="105" w:hangingChars="50"/>
        <w:rPr>
          <w:rFonts w:hint="eastAsia" w:ascii="宋体" w:hAnsi="宋体"/>
          <w:szCs w:val="21"/>
        </w:rPr>
      </w:pPr>
      <w:r>
        <w:rPr>
          <w:rFonts w:hint="eastAsia" w:ascii="宋体" w:hAnsi="宋体"/>
          <w:szCs w:val="21"/>
        </w:rPr>
        <w:t>施工场地(现场)临时雨水管径</w:t>
      </w:r>
      <w:r>
        <w:rPr>
          <w:rFonts w:hint="eastAsia" w:ascii="宋体" w:hAnsi="宋体"/>
          <w:szCs w:val="21"/>
          <w:u w:val="single"/>
        </w:rPr>
        <w:t xml:space="preserve">                                           </w:t>
      </w:r>
      <w:r>
        <w:rPr>
          <w:rFonts w:hint="eastAsia" w:ascii="宋体" w:hAnsi="宋体"/>
          <w:szCs w:val="21"/>
        </w:rPr>
        <w:t>。</w:t>
      </w:r>
    </w:p>
    <w:p w14:paraId="46CB30CC">
      <w:pPr>
        <w:spacing w:line="480" w:lineRule="exact"/>
        <w:ind w:firstLine="756" w:firstLineChars="360"/>
        <w:rPr>
          <w:rFonts w:hint="eastAsia" w:ascii="宋体" w:hAnsi="宋体"/>
          <w:szCs w:val="21"/>
        </w:rPr>
      </w:pPr>
      <w:r>
        <w:rPr>
          <w:rFonts w:hint="eastAsia" w:ascii="宋体" w:hAnsi="宋体"/>
          <w:szCs w:val="21"/>
        </w:rPr>
        <w:t>施工现场临时供电容量(变压器输出功率)</w:t>
      </w:r>
      <w:r>
        <w:rPr>
          <w:rFonts w:hint="eastAsia" w:ascii="宋体" w:hAnsi="宋体"/>
          <w:szCs w:val="21"/>
          <w:u w:val="single"/>
        </w:rPr>
        <w:t xml:space="preserve">                                 </w:t>
      </w:r>
      <w:r>
        <w:rPr>
          <w:rFonts w:hint="eastAsia" w:ascii="宋体" w:hAnsi="宋体"/>
          <w:szCs w:val="21"/>
        </w:rPr>
        <w:t>。</w:t>
      </w:r>
    </w:p>
    <w:p w14:paraId="6115BCB4">
      <w:pPr>
        <w:spacing w:line="480" w:lineRule="exact"/>
        <w:ind w:left="420" w:hanging="420" w:hangingChars="200"/>
        <w:rPr>
          <w:rFonts w:hint="eastAsia" w:ascii="宋体" w:hAnsi="宋体"/>
          <w:szCs w:val="21"/>
        </w:rPr>
      </w:pPr>
      <w:r>
        <w:rPr>
          <w:rFonts w:hint="eastAsia" w:ascii="宋体" w:hAnsi="宋体"/>
          <w:szCs w:val="21"/>
        </w:rPr>
        <w:t>1.2.3  现场条件和周围环境的其他资料和信息数据如下：</w:t>
      </w:r>
    </w:p>
    <w:p w14:paraId="092470FE">
      <w:pPr>
        <w:spacing w:line="48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698191AD">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E6DF8AF">
      <w:pPr>
        <w:spacing w:line="480" w:lineRule="exact"/>
        <w:ind w:left="420" w:hanging="420" w:hangingChars="200"/>
        <w:rPr>
          <w:rFonts w:hint="eastAsia" w:ascii="宋体" w:hAnsi="宋体"/>
          <w:szCs w:val="21"/>
        </w:rPr>
      </w:pPr>
      <w:r>
        <w:rPr>
          <w:rFonts w:hint="eastAsia" w:ascii="宋体" w:hAnsi="宋体"/>
          <w:szCs w:val="21"/>
        </w:rPr>
        <w:t>1.2.4  承包人被认为已在本工程投标阶段踏勘现场时充分了解本工程现场条件和周围</w:t>
      </w:r>
    </w:p>
    <w:p w14:paraId="3287257E">
      <w:pPr>
        <w:spacing w:line="480" w:lineRule="exact"/>
        <w:ind w:left="420" w:leftChars="200" w:firstLine="315" w:firstLineChars="150"/>
        <w:rPr>
          <w:rFonts w:hint="eastAsia" w:ascii="宋体" w:hAnsi="宋体"/>
          <w:szCs w:val="21"/>
        </w:rPr>
      </w:pPr>
      <w:r>
        <w:rPr>
          <w:rFonts w:hint="eastAsia" w:ascii="宋体" w:hAnsi="宋体"/>
          <w:szCs w:val="21"/>
        </w:rPr>
        <w:t>环境，并已在其投标时就此给予了充分的考虑。</w:t>
      </w:r>
    </w:p>
    <w:p w14:paraId="4B31B285">
      <w:pPr>
        <w:spacing w:line="480" w:lineRule="exact"/>
        <w:ind w:left="420" w:hanging="420" w:hangingChars="200"/>
        <w:rPr>
          <w:rFonts w:hint="eastAsia" w:ascii="黑体" w:hAnsi="宋体" w:eastAsia="黑体"/>
          <w:szCs w:val="21"/>
        </w:rPr>
      </w:pPr>
      <w:r>
        <w:rPr>
          <w:rFonts w:hint="eastAsia" w:ascii="黑体" w:hAnsi="宋体" w:eastAsia="黑体"/>
          <w:szCs w:val="21"/>
        </w:rPr>
        <w:t>1.3   地质及水文资料</w:t>
      </w:r>
    </w:p>
    <w:p w14:paraId="5EC3E1E2">
      <w:pPr>
        <w:spacing w:line="480" w:lineRule="exact"/>
        <w:ind w:left="420" w:hanging="420" w:hangingChars="200"/>
        <w:rPr>
          <w:rFonts w:hint="eastAsia" w:ascii="宋体" w:hAnsi="宋体"/>
          <w:szCs w:val="21"/>
        </w:rPr>
      </w:pPr>
      <w:r>
        <w:rPr>
          <w:rFonts w:hint="eastAsia" w:ascii="宋体" w:hAnsi="宋体"/>
          <w:szCs w:val="21"/>
        </w:rPr>
        <w:t>1.3.1  现场地质及水文资料和信息数据如下：</w:t>
      </w:r>
    </w:p>
    <w:p w14:paraId="2BDE1263">
      <w:pPr>
        <w:spacing w:line="48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00CA3C2D">
      <w:pPr>
        <w:spacing w:line="48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1386F15">
      <w:pPr>
        <w:spacing w:line="400" w:lineRule="exact"/>
        <w:ind w:left="1200" w:hanging="1200" w:hangingChars="500"/>
        <w:rPr>
          <w:rFonts w:hint="eastAsia" w:ascii="黑体" w:hAnsi="宋体" w:eastAsia="黑体"/>
          <w:sz w:val="24"/>
        </w:rPr>
      </w:pPr>
      <w:r>
        <w:rPr>
          <w:rFonts w:hint="eastAsia" w:ascii="黑体" w:hAnsi="宋体" w:eastAsia="黑体"/>
          <w:sz w:val="24"/>
        </w:rPr>
        <w:t>1.4    资料和信息的使用</w:t>
      </w:r>
    </w:p>
    <w:p w14:paraId="5861E649">
      <w:pPr>
        <w:spacing w:line="400" w:lineRule="exact"/>
        <w:ind w:left="783" w:hanging="783" w:hangingChars="373"/>
        <w:rPr>
          <w:rFonts w:hint="eastAsia" w:ascii="宋体" w:hAnsi="宋体"/>
          <w:szCs w:val="21"/>
        </w:rPr>
      </w:pPr>
      <w:r>
        <w:rPr>
          <w:rFonts w:hint="eastAsia" w:ascii="宋体" w:hAnsi="宋体"/>
          <w:szCs w:val="21"/>
        </w:rPr>
        <w:t>1.4.1  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5A23FBCF">
      <w:pPr>
        <w:pStyle w:val="20"/>
        <w:rPr>
          <w:rFonts w:hint="eastAsia"/>
          <w:sz w:val="28"/>
          <w:szCs w:val="28"/>
        </w:rPr>
      </w:pPr>
      <w:bookmarkStart w:id="2613" w:name="_Toc108514199"/>
      <w:r>
        <w:rPr>
          <w:rFonts w:hint="eastAsia"/>
          <w:sz w:val="28"/>
          <w:szCs w:val="28"/>
        </w:rPr>
        <w:t>2.承包范围</w:t>
      </w:r>
      <w:bookmarkEnd w:id="2613"/>
    </w:p>
    <w:p w14:paraId="25E921D0">
      <w:pPr>
        <w:spacing w:line="400" w:lineRule="exact"/>
        <w:ind w:left="1200" w:hanging="1200" w:hangingChars="500"/>
        <w:rPr>
          <w:rFonts w:hint="eastAsia" w:ascii="黑体" w:hAnsi="宋体" w:eastAsia="黑体"/>
          <w:sz w:val="24"/>
        </w:rPr>
      </w:pPr>
      <w:r>
        <w:rPr>
          <w:rFonts w:hint="eastAsia" w:ascii="黑体" w:hAnsi="宋体" w:eastAsia="黑体"/>
          <w:sz w:val="24"/>
        </w:rPr>
        <w:t>2.1    承包范围</w:t>
      </w:r>
    </w:p>
    <w:p w14:paraId="5CB7EF19">
      <w:pPr>
        <w:spacing w:line="400" w:lineRule="exact"/>
        <w:ind w:left="1050" w:hanging="1050" w:hangingChars="500"/>
        <w:rPr>
          <w:rFonts w:hint="eastAsia" w:ascii="黑体" w:hAnsi="宋体" w:eastAsia="黑体"/>
          <w:szCs w:val="21"/>
        </w:rPr>
      </w:pPr>
      <w:r>
        <w:rPr>
          <w:rFonts w:hint="eastAsia" w:ascii="黑体" w:hAnsi="宋体" w:eastAsia="黑体"/>
          <w:szCs w:val="21"/>
        </w:rPr>
        <w:t>2.1.1   承包人自行施工范围</w:t>
      </w:r>
    </w:p>
    <w:p w14:paraId="7D1EC0FB">
      <w:pPr>
        <w:spacing w:line="400" w:lineRule="exact"/>
        <w:ind w:left="1050" w:leftChars="250" w:hanging="525" w:hangingChars="250"/>
        <w:rPr>
          <w:rFonts w:hint="eastAsia" w:ascii="宋体" w:hAnsi="宋体"/>
          <w:szCs w:val="21"/>
        </w:rPr>
      </w:pPr>
      <w:r>
        <w:rPr>
          <w:rFonts w:hint="eastAsia" w:ascii="宋体" w:hAnsi="宋体"/>
          <w:szCs w:val="21"/>
        </w:rPr>
        <w:t xml:space="preserve">   本工程承包人自行施工的工程范围如下：</w:t>
      </w:r>
    </w:p>
    <w:p w14:paraId="4B9EE3A5">
      <w:pPr>
        <w:spacing w:line="500" w:lineRule="exact"/>
        <w:ind w:left="420" w:hanging="420" w:hangingChars="2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0C9CDC44">
      <w:pPr>
        <w:spacing w:line="500" w:lineRule="exact"/>
        <w:ind w:left="420" w:hanging="420" w:hanging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616A0D8">
      <w:pPr>
        <w:spacing w:line="400" w:lineRule="exact"/>
        <w:ind w:left="1050" w:hanging="1050" w:hangingChars="500"/>
        <w:rPr>
          <w:rFonts w:hint="eastAsia" w:ascii="黑体" w:hAnsi="宋体" w:eastAsia="黑体"/>
          <w:szCs w:val="21"/>
        </w:rPr>
      </w:pPr>
      <w:r>
        <w:rPr>
          <w:rFonts w:hint="eastAsia" w:ascii="黑体" w:hAnsi="宋体" w:eastAsia="黑体"/>
          <w:szCs w:val="21"/>
        </w:rPr>
        <w:t>2.1.2    承包范围内的暂估价项目</w:t>
      </w:r>
    </w:p>
    <w:p w14:paraId="315C1A03">
      <w:pPr>
        <w:spacing w:line="400" w:lineRule="exact"/>
        <w:ind w:left="945" w:hanging="945" w:hangingChars="450"/>
        <w:rPr>
          <w:rFonts w:hint="eastAsia" w:ascii="宋体" w:hAnsi="宋体"/>
          <w:szCs w:val="21"/>
        </w:rPr>
      </w:pPr>
      <w:r>
        <w:rPr>
          <w:rFonts w:hint="eastAsia" w:ascii="宋体" w:hAnsi="宋体"/>
          <w:szCs w:val="21"/>
        </w:rPr>
        <w:t>2.1.2.1  承包范围内以暂估价形式实施的专业工程见第五章“工程量清单”表4.11—3“专业工程暂估价表”。</w:t>
      </w:r>
    </w:p>
    <w:p w14:paraId="7765C1DB">
      <w:pPr>
        <w:tabs>
          <w:tab w:val="left" w:pos="1260"/>
        </w:tabs>
        <w:spacing w:line="400" w:lineRule="exact"/>
        <w:ind w:left="945" w:hanging="945" w:hangingChars="450"/>
        <w:rPr>
          <w:rFonts w:hint="eastAsia" w:ascii="宋体" w:hAnsi="宋体"/>
          <w:szCs w:val="21"/>
        </w:rPr>
      </w:pPr>
      <w:r>
        <w:rPr>
          <w:rFonts w:hint="eastAsia" w:ascii="宋体" w:hAnsi="宋体"/>
          <w:szCs w:val="21"/>
        </w:rPr>
        <w:t>2.1.2.2  承包范围内以暂估价形式实施的材料和工程设备见第五章“工程量清单”表4.11—2“材料和工程设备暂估单价表”。</w:t>
      </w:r>
    </w:p>
    <w:p w14:paraId="1637FE4C">
      <w:pPr>
        <w:spacing w:line="400" w:lineRule="exact"/>
        <w:ind w:left="735" w:hanging="735" w:hangingChars="350"/>
        <w:rPr>
          <w:rFonts w:hint="eastAsia" w:ascii="宋体" w:hAnsi="宋体"/>
          <w:szCs w:val="21"/>
        </w:rPr>
      </w:pPr>
      <w:r>
        <w:rPr>
          <w:rFonts w:hint="eastAsia" w:ascii="宋体" w:hAnsi="宋体"/>
          <w:szCs w:val="21"/>
        </w:rPr>
        <w:t>2.1.2.3  上述暂估价项目与本节第2.1.1项承包人自行施工范围的工作界面划分如下：</w:t>
      </w:r>
    </w:p>
    <w:p w14:paraId="705BB7BD">
      <w:pPr>
        <w:spacing w:line="500" w:lineRule="exact"/>
        <w:ind w:left="735" w:hanging="735" w:hangingChars="3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3C1C77AE">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627FD296">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56D853A">
      <w:pPr>
        <w:spacing w:line="400" w:lineRule="exact"/>
        <w:ind w:left="735" w:hanging="735" w:hangingChars="350"/>
        <w:rPr>
          <w:rFonts w:hint="eastAsia" w:ascii="黑体" w:hAnsi="宋体" w:eastAsia="黑体"/>
          <w:szCs w:val="21"/>
        </w:rPr>
      </w:pPr>
      <w:r>
        <w:rPr>
          <w:rFonts w:hint="eastAsia" w:ascii="黑体" w:hAnsi="宋体" w:eastAsia="黑体"/>
          <w:szCs w:val="21"/>
        </w:rPr>
        <w:t>2.1.3     承包范围内的暂列金额项目</w:t>
      </w:r>
    </w:p>
    <w:p w14:paraId="7529094D">
      <w:pPr>
        <w:spacing w:line="400" w:lineRule="exact"/>
        <w:ind w:left="945" w:hanging="945" w:hangingChars="450"/>
        <w:rPr>
          <w:rFonts w:hint="eastAsia" w:ascii="宋体" w:hAnsi="宋体"/>
          <w:szCs w:val="21"/>
        </w:rPr>
      </w:pPr>
      <w:r>
        <w:rPr>
          <w:rFonts w:hint="eastAsia" w:ascii="宋体" w:hAnsi="宋体"/>
          <w:szCs w:val="21"/>
        </w:rPr>
        <w:t>2.1.3.1  承包范围内以暂列金额(包括计日工)方式实施的项目见第五章“工程量清单”表4.1l—l“暂列金额明细表”(不包括计日工)和表4.1l一4“计日工表”，其中计日工金额为承包人在其投标报价中按表4.11—4“计日工表”所列计日工子目、数量和相应规定填报的金额。</w:t>
      </w:r>
    </w:p>
    <w:p w14:paraId="49957C2B">
      <w:pPr>
        <w:spacing w:line="400" w:lineRule="exact"/>
        <w:ind w:left="945" w:hanging="945" w:hangingChars="450"/>
        <w:rPr>
          <w:rFonts w:hint="eastAsia" w:ascii="宋体" w:hAnsi="宋体"/>
          <w:szCs w:val="21"/>
        </w:rPr>
      </w:pPr>
      <w:r>
        <w:rPr>
          <w:rFonts w:hint="eastAsia" w:ascii="宋体" w:hAnsi="宋体"/>
          <w:szCs w:val="21"/>
        </w:rPr>
        <w:t>2.1.3.2  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子目。</w:t>
      </w:r>
    </w:p>
    <w:p w14:paraId="5AC169E0">
      <w:pPr>
        <w:spacing w:line="400" w:lineRule="exact"/>
        <w:ind w:left="945" w:hanging="945" w:hangingChars="450"/>
        <w:rPr>
          <w:rFonts w:hint="eastAsia" w:ascii="宋体" w:hAnsi="宋体"/>
          <w:szCs w:val="21"/>
        </w:rPr>
      </w:pPr>
      <w:r>
        <w:rPr>
          <w:rFonts w:hint="eastAsia" w:ascii="宋体" w:hAnsi="宋体"/>
          <w:szCs w:val="21"/>
        </w:rPr>
        <w:t>2.1.3.3  暂列金额是否实际发生、其再分和合并等均不应成为承包人要求任何追加费用和(或)延长工期的理由。</w:t>
      </w:r>
    </w:p>
    <w:p w14:paraId="778F6668">
      <w:pPr>
        <w:spacing w:line="400" w:lineRule="exact"/>
        <w:ind w:left="735" w:hanging="735" w:hangingChars="350"/>
        <w:rPr>
          <w:rFonts w:hint="eastAsia" w:ascii="宋体" w:hAnsi="宋体"/>
          <w:szCs w:val="21"/>
        </w:rPr>
      </w:pPr>
      <w:r>
        <w:rPr>
          <w:rFonts w:hint="eastAsia" w:ascii="宋体" w:hAnsi="宋体"/>
          <w:szCs w:val="21"/>
        </w:rPr>
        <w:t>2.1.3.4  关于暂列金额的其他说明：</w:t>
      </w:r>
    </w:p>
    <w:p w14:paraId="2514ACA1">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3E4F5E0E">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4AB52BD">
      <w:pPr>
        <w:spacing w:line="400" w:lineRule="exact"/>
        <w:ind w:left="735" w:hanging="735" w:hangingChars="350"/>
        <w:rPr>
          <w:rFonts w:hint="eastAsia" w:ascii="黑体" w:hAnsi="宋体" w:eastAsia="黑体"/>
          <w:szCs w:val="21"/>
        </w:rPr>
      </w:pPr>
      <w:r>
        <w:rPr>
          <w:rFonts w:hint="eastAsia" w:ascii="黑体" w:hAnsi="宋体" w:eastAsia="黑体"/>
          <w:szCs w:val="21"/>
        </w:rPr>
        <w:t>2.2    发包人发包专业工程和发包人供应的材料和工程设备</w:t>
      </w:r>
    </w:p>
    <w:p w14:paraId="3EAD4A2A">
      <w:pPr>
        <w:spacing w:line="400" w:lineRule="exact"/>
        <w:ind w:left="735" w:hanging="735" w:hangingChars="350"/>
        <w:rPr>
          <w:rFonts w:hint="eastAsia" w:ascii="宋体" w:hAnsi="宋体"/>
          <w:szCs w:val="21"/>
        </w:rPr>
      </w:pPr>
      <w:r>
        <w:rPr>
          <w:rFonts w:hint="eastAsia" w:ascii="宋体" w:hAnsi="宋体"/>
          <w:szCs w:val="21"/>
        </w:rPr>
        <w:t>2.2.1  由发包人发包的专业工程属于与本工程有关的其他工程，不属于承包人的承包范围。发包人发包的专业工程如下：</w:t>
      </w:r>
    </w:p>
    <w:p w14:paraId="2BDCAD34">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3329A3BF">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D1A6645">
      <w:pPr>
        <w:spacing w:line="400" w:lineRule="exact"/>
        <w:ind w:left="735" w:hanging="735" w:hangingChars="350"/>
        <w:rPr>
          <w:rFonts w:hint="eastAsia" w:ascii="宋体" w:hAnsi="宋体"/>
          <w:szCs w:val="21"/>
        </w:rPr>
      </w:pPr>
      <w:r>
        <w:rPr>
          <w:rFonts w:hint="eastAsia" w:ascii="宋体" w:hAnsi="宋体"/>
          <w:szCs w:val="21"/>
        </w:rPr>
        <w:t>2.2.2  由发包人供应的材料和工程设备不属于承包人的承包范围。发包人供应的材料和工程设备见合同附件二“发包人供应的材料和工程设备一览表”。</w:t>
      </w:r>
    </w:p>
    <w:p w14:paraId="0E04DDFC">
      <w:pPr>
        <w:spacing w:line="400" w:lineRule="exact"/>
        <w:ind w:left="735" w:hanging="735" w:hangingChars="350"/>
        <w:rPr>
          <w:rFonts w:hint="eastAsia" w:ascii="黑体" w:hAnsi="宋体" w:eastAsia="黑体"/>
          <w:szCs w:val="21"/>
        </w:rPr>
      </w:pPr>
      <w:r>
        <w:rPr>
          <w:rFonts w:hint="eastAsia" w:ascii="黑体" w:hAnsi="宋体" w:eastAsia="黑体"/>
          <w:szCs w:val="21"/>
        </w:rPr>
        <w:t>2.3    承包人与发包人发包专业工程承包人的工作界面</w:t>
      </w:r>
    </w:p>
    <w:p w14:paraId="07F8FFFE">
      <w:pPr>
        <w:spacing w:line="400" w:lineRule="exact"/>
        <w:ind w:left="735" w:hanging="735" w:hangingChars="350"/>
        <w:rPr>
          <w:rFonts w:hint="eastAsia" w:ascii="宋体" w:hAnsi="宋体"/>
          <w:szCs w:val="21"/>
        </w:rPr>
      </w:pPr>
      <w:r>
        <w:rPr>
          <w:rFonts w:hint="eastAsia" w:ascii="宋体" w:hAnsi="宋体"/>
          <w:szCs w:val="21"/>
        </w:rPr>
        <w:t>2.3.1  承包人与发包人发包专业工程承包人以及与发包人供应的材料和设备的供应商之间的工作界面划分如下：</w:t>
      </w:r>
    </w:p>
    <w:p w14:paraId="5FE784BE">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16742D1A">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F27A763">
      <w:pPr>
        <w:spacing w:line="400" w:lineRule="exact"/>
        <w:ind w:left="735" w:hanging="735" w:hangingChars="350"/>
        <w:rPr>
          <w:rFonts w:hint="eastAsia" w:ascii="黑体" w:hAnsi="宋体" w:eastAsia="黑体"/>
          <w:szCs w:val="21"/>
        </w:rPr>
      </w:pPr>
      <w:r>
        <w:rPr>
          <w:rFonts w:hint="eastAsia" w:ascii="黑体" w:hAnsi="宋体" w:eastAsia="黑体"/>
          <w:szCs w:val="21"/>
        </w:rPr>
        <w:t>2.4    承包人需要为发包人和监理人提供的现场办公条件和设施</w:t>
      </w:r>
    </w:p>
    <w:p w14:paraId="29339095">
      <w:pPr>
        <w:spacing w:line="400" w:lineRule="exact"/>
        <w:ind w:left="735" w:hanging="735" w:hangingChars="350"/>
        <w:rPr>
          <w:rFonts w:hint="eastAsia" w:ascii="宋体" w:hAnsi="宋体"/>
          <w:szCs w:val="21"/>
        </w:rPr>
      </w:pPr>
      <w:r>
        <w:rPr>
          <w:rFonts w:hint="eastAsia" w:ascii="宋体" w:hAnsi="宋体"/>
          <w:szCs w:val="21"/>
        </w:rPr>
        <w:t>2.4.1  承包人需要为发包人和监理人提供的现场办公条件和设施及其详细要求如下：</w:t>
      </w:r>
    </w:p>
    <w:p w14:paraId="5DC12E91">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7D60959C">
      <w:pPr>
        <w:spacing w:line="4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82E106E">
      <w:pPr>
        <w:pStyle w:val="20"/>
        <w:rPr>
          <w:rFonts w:hint="eastAsia"/>
          <w:sz w:val="28"/>
          <w:szCs w:val="28"/>
        </w:rPr>
      </w:pPr>
      <w:bookmarkStart w:id="2614" w:name="_Toc108514200"/>
      <w:r>
        <w:rPr>
          <w:rFonts w:hint="eastAsia"/>
          <w:sz w:val="28"/>
          <w:szCs w:val="28"/>
        </w:rPr>
        <w:t>3.工期要求</w:t>
      </w:r>
      <w:bookmarkEnd w:id="2614"/>
    </w:p>
    <w:p w14:paraId="5BC537C3">
      <w:pPr>
        <w:spacing w:line="400" w:lineRule="exact"/>
        <w:ind w:left="840" w:hanging="840" w:hangingChars="350"/>
        <w:rPr>
          <w:rFonts w:hint="eastAsia" w:ascii="黑体" w:hAnsi="宋体" w:eastAsia="黑体"/>
          <w:sz w:val="24"/>
        </w:rPr>
      </w:pPr>
      <w:r>
        <w:rPr>
          <w:rFonts w:hint="eastAsia" w:ascii="黑体" w:hAnsi="宋体" w:eastAsia="黑体"/>
          <w:sz w:val="24"/>
        </w:rPr>
        <w:t>3.1   合同工期</w:t>
      </w:r>
    </w:p>
    <w:p w14:paraId="6B77BA0B">
      <w:pPr>
        <w:spacing w:line="400" w:lineRule="exact"/>
        <w:ind w:left="711" w:leftChars="333" w:hanging="12" w:hangingChars="6"/>
        <w:rPr>
          <w:rFonts w:hint="eastAsia" w:ascii="宋体" w:hAnsi="宋体"/>
          <w:szCs w:val="21"/>
        </w:rPr>
      </w:pPr>
      <w:r>
        <w:rPr>
          <w:rFonts w:hint="eastAsia" w:ascii="宋体" w:hAnsi="宋体"/>
          <w:szCs w:val="21"/>
        </w:rPr>
        <w:t>本工程合同工期和计划开、竣工日期为承包人在投标函附录中承诺的工期和计划开、竣工日期，并在合同协议书中载明。</w:t>
      </w:r>
    </w:p>
    <w:p w14:paraId="2D7E5E1B">
      <w:pPr>
        <w:spacing w:line="400" w:lineRule="exact"/>
        <w:ind w:left="840" w:hanging="840" w:hangingChars="350"/>
        <w:rPr>
          <w:rFonts w:hint="eastAsia" w:ascii="黑体" w:hAnsi="宋体" w:eastAsia="黑体"/>
          <w:sz w:val="24"/>
        </w:rPr>
      </w:pPr>
      <w:r>
        <w:rPr>
          <w:rFonts w:hint="eastAsia" w:ascii="黑体" w:hAnsi="宋体" w:eastAsia="黑体"/>
          <w:sz w:val="24"/>
        </w:rPr>
        <w:t>3.2   关于工期的一般规定</w:t>
      </w:r>
    </w:p>
    <w:p w14:paraId="724A3510">
      <w:pPr>
        <w:spacing w:line="400" w:lineRule="exact"/>
        <w:ind w:left="735" w:hanging="735" w:hangingChars="350"/>
        <w:rPr>
          <w:rFonts w:hint="eastAsia" w:ascii="宋体" w:hAnsi="宋体"/>
          <w:szCs w:val="21"/>
        </w:rPr>
      </w:pPr>
      <w:r>
        <w:rPr>
          <w:rFonts w:hint="eastAsia" w:ascii="宋体" w:hAnsi="宋体"/>
          <w:szCs w:val="21"/>
        </w:rPr>
        <w:t>3.2.1  承包人在投标函中承诺的工期和计划开、竣工日期之间发生矛盾或者不一致时，以承包人承诺的工期为准。实际开工日期以通用合同条款第11.1款约定的监理人发出的开工通知中载明的开工日期为准。</w:t>
      </w:r>
    </w:p>
    <w:p w14:paraId="575B24AD">
      <w:pPr>
        <w:spacing w:line="400" w:lineRule="exact"/>
        <w:ind w:left="735" w:hanging="735" w:hangingChars="350"/>
        <w:rPr>
          <w:rFonts w:hint="eastAsia" w:ascii="宋体" w:hAnsi="宋体"/>
          <w:szCs w:val="21"/>
        </w:rPr>
      </w:pPr>
      <w:r>
        <w:rPr>
          <w:rFonts w:hint="eastAsia" w:ascii="宋体" w:hAnsi="宋体"/>
          <w:szCs w:val="21"/>
        </w:rPr>
        <w:t>3.2.2  如果承包人在投标函附录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170198E1">
      <w:pPr>
        <w:spacing w:line="400" w:lineRule="exact"/>
        <w:ind w:left="735" w:hanging="735" w:hangingChars="350"/>
        <w:rPr>
          <w:rFonts w:hint="eastAsia" w:ascii="宋体" w:hAnsi="宋体"/>
          <w:szCs w:val="21"/>
        </w:rPr>
      </w:pPr>
      <w:r>
        <w:rPr>
          <w:rFonts w:hint="eastAsia" w:ascii="宋体" w:hAnsi="宋体"/>
          <w:szCs w:val="21"/>
        </w:rPr>
        <w:t>3.2.3  承包人在投标函附录中所承诺的工期应当包括实施并完成本节上述2.1.2项规定的暂估价项目和上述2.1.3项规定的实际可能发生的暂列金额在内的所有工作的工期。</w:t>
      </w:r>
    </w:p>
    <w:p w14:paraId="2DA9C094">
      <w:pPr>
        <w:pStyle w:val="20"/>
        <w:rPr>
          <w:rFonts w:hint="eastAsia"/>
          <w:sz w:val="28"/>
          <w:szCs w:val="28"/>
        </w:rPr>
      </w:pPr>
      <w:bookmarkStart w:id="2615" w:name="_Toc108514201"/>
      <w:r>
        <w:rPr>
          <w:rFonts w:hint="eastAsia"/>
          <w:sz w:val="28"/>
          <w:szCs w:val="28"/>
        </w:rPr>
        <w:t>4.质量要求</w:t>
      </w:r>
      <w:bookmarkEnd w:id="2615"/>
    </w:p>
    <w:p w14:paraId="400EDBF3">
      <w:pPr>
        <w:spacing w:line="400" w:lineRule="exact"/>
        <w:ind w:left="840" w:hanging="840" w:hangingChars="350"/>
        <w:rPr>
          <w:rFonts w:hint="eastAsia" w:ascii="黑体" w:hAnsi="宋体" w:eastAsia="黑体"/>
          <w:sz w:val="24"/>
        </w:rPr>
      </w:pPr>
      <w:r>
        <w:rPr>
          <w:rFonts w:hint="eastAsia" w:ascii="黑体" w:hAnsi="宋体" w:eastAsia="黑体"/>
          <w:sz w:val="24"/>
        </w:rPr>
        <w:t>4.1   质量标准</w:t>
      </w:r>
    </w:p>
    <w:p w14:paraId="0C9A916C">
      <w:pPr>
        <w:spacing w:line="400" w:lineRule="exact"/>
        <w:ind w:left="735" w:hanging="735" w:hangingChars="350"/>
        <w:rPr>
          <w:rFonts w:hint="eastAsia" w:ascii="宋体" w:hAnsi="宋体"/>
          <w:szCs w:val="21"/>
        </w:rPr>
      </w:pPr>
      <w:r>
        <w:rPr>
          <w:rFonts w:hint="eastAsia" w:ascii="宋体" w:hAnsi="宋体"/>
          <w:szCs w:val="21"/>
        </w:rPr>
        <w:t>4.1.1  本工程要求的质量标准为</w:t>
      </w:r>
      <w:r>
        <w:rPr>
          <w:rFonts w:hint="eastAsia" w:ascii="宋体" w:hAnsi="宋体" w:cs="Arial"/>
          <w:u w:val="single"/>
        </w:rPr>
        <w:t>符合现行国家有关工程施工验收规范和标准的要求（也称合格）</w:t>
      </w:r>
      <w:r>
        <w:rPr>
          <w:rFonts w:hint="eastAsia" w:ascii="宋体" w:hAnsi="宋体"/>
          <w:szCs w:val="21"/>
        </w:rPr>
        <w:t>。</w:t>
      </w:r>
    </w:p>
    <w:p w14:paraId="1FD498A7">
      <w:pPr>
        <w:spacing w:before="24" w:beforeLines="10" w:after="24" w:afterLines="10" w:line="420" w:lineRule="exact"/>
        <w:ind w:left="840" w:hanging="840" w:hangingChars="350"/>
        <w:rPr>
          <w:rFonts w:hint="eastAsia" w:ascii="黑体" w:hAnsi="宋体" w:eastAsia="黑体"/>
          <w:sz w:val="24"/>
        </w:rPr>
      </w:pPr>
      <w:r>
        <w:rPr>
          <w:rFonts w:hint="eastAsia" w:ascii="黑体" w:hAnsi="宋体" w:eastAsia="黑体"/>
          <w:sz w:val="24"/>
        </w:rPr>
        <w:t>4.2   特殊质量要求</w:t>
      </w:r>
    </w:p>
    <w:p w14:paraId="27390B8D">
      <w:pPr>
        <w:spacing w:line="400" w:lineRule="exact"/>
        <w:ind w:left="735" w:hanging="735" w:hangingChars="350"/>
        <w:rPr>
          <w:rFonts w:hint="eastAsia" w:ascii="宋体" w:hAnsi="宋体"/>
          <w:szCs w:val="21"/>
        </w:rPr>
      </w:pPr>
      <w:r>
        <w:rPr>
          <w:rFonts w:hint="eastAsia" w:ascii="宋体" w:hAnsi="宋体"/>
          <w:szCs w:val="21"/>
        </w:rPr>
        <w:t>4.2.1  有关本工程质量方面的特殊要求如下：</w:t>
      </w:r>
    </w:p>
    <w:p w14:paraId="79C5CF22">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5C4FAC3E">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4E4EDAEA">
      <w:pPr>
        <w:pStyle w:val="20"/>
        <w:rPr>
          <w:rFonts w:hint="eastAsia"/>
          <w:sz w:val="28"/>
          <w:szCs w:val="28"/>
        </w:rPr>
      </w:pPr>
      <w:bookmarkStart w:id="2616" w:name="_Toc108514202"/>
      <w:r>
        <w:rPr>
          <w:rFonts w:hint="eastAsia"/>
          <w:sz w:val="28"/>
          <w:szCs w:val="28"/>
        </w:rPr>
        <w:t>5.适用规范和标准</w:t>
      </w:r>
      <w:bookmarkEnd w:id="2616"/>
    </w:p>
    <w:p w14:paraId="76A15433">
      <w:pPr>
        <w:spacing w:before="24" w:beforeLines="10" w:after="24" w:afterLines="10" w:line="420" w:lineRule="exact"/>
        <w:ind w:left="840" w:hanging="840" w:hangingChars="350"/>
        <w:rPr>
          <w:rFonts w:hint="eastAsia" w:ascii="黑体" w:hAnsi="宋体" w:eastAsia="黑体"/>
          <w:sz w:val="24"/>
        </w:rPr>
      </w:pPr>
      <w:r>
        <w:rPr>
          <w:rFonts w:hint="eastAsia" w:ascii="黑体" w:hAnsi="宋体" w:eastAsia="黑体"/>
          <w:sz w:val="24"/>
        </w:rPr>
        <w:t>5.1    适用的规范、标准和规程</w:t>
      </w:r>
    </w:p>
    <w:p w14:paraId="45F8CD59">
      <w:pPr>
        <w:spacing w:line="420" w:lineRule="exact"/>
        <w:ind w:left="735" w:hanging="735" w:hangingChars="350"/>
        <w:rPr>
          <w:rFonts w:hint="eastAsia" w:ascii="宋体" w:hAnsi="宋体"/>
          <w:szCs w:val="21"/>
        </w:rPr>
      </w:pPr>
      <w:r>
        <w:rPr>
          <w:rFonts w:hint="eastAsia" w:ascii="宋体" w:hAnsi="宋体"/>
          <w:szCs w:val="21"/>
        </w:rPr>
        <w:t>5.1.1  除合同另有约定外，本工程适用现行国家、行业和地方规范、标准和规程。适用于本工程的国家、行业和地方的规范、标准和规范等的名录见本章第三节。</w:t>
      </w:r>
    </w:p>
    <w:p w14:paraId="03C834DB">
      <w:pPr>
        <w:spacing w:line="420" w:lineRule="exact"/>
        <w:ind w:left="737"/>
        <w:rPr>
          <w:rFonts w:hint="eastAsia" w:ascii="宋体" w:hAnsi="宋体"/>
          <w:szCs w:val="21"/>
        </w:rPr>
      </w:pPr>
      <w:r>
        <w:rPr>
          <w:rFonts w:hint="eastAsia" w:ascii="宋体" w:hAnsi="宋体"/>
          <w:szCs w:val="21"/>
        </w:rPr>
        <w:t>构成合同文件的任何内容与适用的规范、标准和规程之间出现矛盾，承包人应书面要求监理人予以澄清，除监理人有特别指示外，承包人应按照其中要求最严格的标准执行。</w:t>
      </w:r>
    </w:p>
    <w:p w14:paraId="073E1880">
      <w:pPr>
        <w:spacing w:line="420" w:lineRule="exact"/>
        <w:ind w:left="735" w:hanging="735" w:hangingChars="350"/>
        <w:rPr>
          <w:rFonts w:hint="eastAsia" w:ascii="宋体" w:hAnsi="宋体"/>
          <w:szCs w:val="21"/>
        </w:rPr>
      </w:pPr>
      <w:r>
        <w:rPr>
          <w:rFonts w:hint="eastAsia" w:ascii="宋体" w:hAnsi="宋体"/>
          <w:szCs w:val="21"/>
        </w:rPr>
        <w:t>5.1.2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14:paraId="428DCC54">
      <w:pPr>
        <w:spacing w:before="24" w:beforeLines="10" w:after="24" w:afterLines="10" w:line="420" w:lineRule="exact"/>
        <w:ind w:left="840" w:hanging="840" w:hangingChars="350"/>
        <w:rPr>
          <w:rFonts w:hint="eastAsia" w:ascii="黑体" w:hAnsi="宋体" w:eastAsia="黑体"/>
          <w:sz w:val="24"/>
        </w:rPr>
      </w:pPr>
      <w:r>
        <w:rPr>
          <w:rFonts w:hint="eastAsia" w:ascii="黑体" w:hAnsi="宋体" w:eastAsia="黑体"/>
          <w:sz w:val="24"/>
        </w:rPr>
        <w:t>5.2    特殊技术标准和要求</w:t>
      </w:r>
    </w:p>
    <w:p w14:paraId="11AA4812">
      <w:pPr>
        <w:spacing w:line="430" w:lineRule="exact"/>
        <w:ind w:left="735" w:hanging="735" w:hangingChars="350"/>
        <w:rPr>
          <w:rFonts w:hint="eastAsia" w:ascii="宋体" w:hAnsi="宋体"/>
          <w:szCs w:val="21"/>
        </w:rPr>
      </w:pPr>
      <w:r>
        <w:rPr>
          <w:rFonts w:hint="eastAsia" w:ascii="宋体" w:hAnsi="宋体"/>
          <w:szCs w:val="21"/>
        </w:rPr>
        <w:t>5.2.1  适用本工程的特殊技术标准和要求见本章第二节。</w:t>
      </w:r>
    </w:p>
    <w:p w14:paraId="61D63A47">
      <w:pPr>
        <w:spacing w:line="430" w:lineRule="exact"/>
        <w:ind w:left="735" w:hanging="735" w:hangingChars="350"/>
        <w:rPr>
          <w:rFonts w:hint="eastAsia" w:ascii="宋体" w:hAnsi="宋体"/>
          <w:szCs w:val="21"/>
        </w:rPr>
      </w:pPr>
      <w:r>
        <w:rPr>
          <w:rFonts w:hint="eastAsia" w:ascii="宋体" w:hAnsi="宋体"/>
          <w:szCs w:val="21"/>
        </w:rPr>
        <w:t>5.2.2  有合同约束力的图纸和其他设计文件中的有关文字说明是本节的组成内容。</w:t>
      </w:r>
    </w:p>
    <w:p w14:paraId="797DC898">
      <w:pPr>
        <w:pStyle w:val="20"/>
        <w:rPr>
          <w:rFonts w:hint="eastAsia"/>
          <w:sz w:val="28"/>
          <w:szCs w:val="28"/>
        </w:rPr>
      </w:pPr>
      <w:bookmarkStart w:id="2617" w:name="_Toc108514203"/>
      <w:r>
        <w:rPr>
          <w:rFonts w:hint="eastAsia"/>
          <w:sz w:val="28"/>
          <w:szCs w:val="28"/>
        </w:rPr>
        <w:t>6.安全文明施工</w:t>
      </w:r>
      <w:bookmarkEnd w:id="2617"/>
    </w:p>
    <w:p w14:paraId="25163597">
      <w:pPr>
        <w:spacing w:line="400" w:lineRule="exact"/>
        <w:ind w:left="840" w:hanging="840" w:hangingChars="350"/>
        <w:rPr>
          <w:rFonts w:hint="eastAsia" w:ascii="黑体" w:hAnsi="宋体" w:eastAsia="黑体"/>
          <w:sz w:val="24"/>
        </w:rPr>
      </w:pPr>
      <w:r>
        <w:rPr>
          <w:rFonts w:hint="eastAsia" w:ascii="黑体" w:hAnsi="宋体" w:eastAsia="黑体"/>
          <w:sz w:val="24"/>
        </w:rPr>
        <w:t>6.1   安全防护</w:t>
      </w:r>
    </w:p>
    <w:p w14:paraId="0ECBB484">
      <w:pPr>
        <w:spacing w:line="430" w:lineRule="exact"/>
        <w:ind w:left="735" w:hanging="735" w:hangingChars="350"/>
        <w:rPr>
          <w:rFonts w:hint="eastAsia" w:ascii="宋体" w:hAnsi="宋体"/>
          <w:szCs w:val="21"/>
        </w:rPr>
      </w:pPr>
      <w:r>
        <w:rPr>
          <w:rFonts w:hint="eastAsia" w:ascii="宋体" w:hAnsi="宋体"/>
          <w:szCs w:val="21"/>
        </w:rPr>
        <w:t>6.1.1  在工程施工、竣工、交付及修补任何缺陷的过程中，承包人应当始终遵守国家和地方有关安全生产的法律、法规、规范、标准和规程等，按照通用合同条款第9.2款的约定履行其安全施工职责。</w:t>
      </w:r>
    </w:p>
    <w:p w14:paraId="69431B61">
      <w:pPr>
        <w:spacing w:line="430" w:lineRule="exact"/>
        <w:ind w:left="735" w:hanging="735" w:hangingChars="350"/>
        <w:rPr>
          <w:rFonts w:hint="eastAsia" w:ascii="宋体" w:hAnsi="宋体"/>
          <w:szCs w:val="21"/>
        </w:rPr>
      </w:pPr>
      <w:r>
        <w:rPr>
          <w:rFonts w:hint="eastAsia" w:ascii="宋体" w:hAnsi="宋体"/>
          <w:szCs w:val="21"/>
        </w:rPr>
        <w:t>6.1.2  承包人应坚持“安全第一，预防为主”的方针，建立、健全安全生产责任制度和安全生产教育培训制度。在整个工程施工期间，承包人应在施工场地(现场)设立、提供和维护并在有关工作完成或竣工后撤除：</w:t>
      </w:r>
    </w:p>
    <w:p w14:paraId="1F8263FD">
      <w:pPr>
        <w:spacing w:line="420" w:lineRule="exact"/>
        <w:ind w:left="1075" w:leftChars="249" w:hanging="552" w:hangingChars="263"/>
        <w:rPr>
          <w:rFonts w:hint="eastAsia" w:ascii="宋体" w:hAnsi="宋体"/>
          <w:szCs w:val="21"/>
        </w:rPr>
      </w:pPr>
      <w:r>
        <w:rPr>
          <w:rFonts w:hint="eastAsia" w:ascii="宋体" w:hAnsi="宋体"/>
          <w:szCs w:val="21"/>
        </w:rPr>
        <w:t>（1）设立在现场入口显著位置的现场施工总平面图、总平面管理、安全生产、文明施工、环境保护、质量控制、材料管理等的规章制度和主要参建单位名称和工程概况等说明的图板；</w:t>
      </w:r>
    </w:p>
    <w:p w14:paraId="578D1CA8">
      <w:pPr>
        <w:spacing w:line="400" w:lineRule="exact"/>
        <w:ind w:left="1050" w:leftChars="250" w:hanging="525" w:hangingChars="250"/>
        <w:rPr>
          <w:rFonts w:hint="eastAsia" w:ascii="宋体" w:hAnsi="宋体"/>
          <w:szCs w:val="21"/>
        </w:rPr>
      </w:pPr>
      <w:r>
        <w:rPr>
          <w:rFonts w:hint="eastAsia" w:ascii="宋体" w:hAnsi="宋体"/>
          <w:szCs w:val="21"/>
        </w:rPr>
        <w:t>（2）为确保工程安全施工须设立的足够的标志、宣传画、标语、指示牌、警告牌、火警、匪警和急救电话提示牌等等；</w:t>
      </w:r>
    </w:p>
    <w:p w14:paraId="39AD7B03">
      <w:pPr>
        <w:spacing w:line="400" w:lineRule="exact"/>
        <w:ind w:left="1155" w:leftChars="250" w:hanging="630" w:hangingChars="300"/>
        <w:rPr>
          <w:rFonts w:hint="eastAsia" w:ascii="宋体" w:hAnsi="宋体"/>
          <w:szCs w:val="21"/>
        </w:rPr>
      </w:pPr>
      <w:r>
        <w:rPr>
          <w:rFonts w:hint="eastAsia" w:ascii="宋体" w:hAnsi="宋体"/>
          <w:szCs w:val="21"/>
        </w:rPr>
        <w:t>（3）洞口和临边位置的安全防护设施，包括护身栏杆、脚手架、洞口盖板和加筋、竖井防护栏杆、防护棚、防护网、坡道等等；</w:t>
      </w:r>
    </w:p>
    <w:p w14:paraId="1D3AF0BC">
      <w:pPr>
        <w:spacing w:line="400" w:lineRule="exact"/>
        <w:ind w:left="1155" w:leftChars="250" w:hanging="630" w:hangingChars="300"/>
        <w:rPr>
          <w:rFonts w:hint="eastAsia" w:ascii="宋体" w:hAnsi="宋体"/>
          <w:szCs w:val="21"/>
        </w:rPr>
      </w:pPr>
      <w:r>
        <w:rPr>
          <w:rFonts w:hint="eastAsia" w:ascii="宋体" w:hAnsi="宋体"/>
          <w:szCs w:val="21"/>
        </w:rPr>
        <w:t>（4）安全带、安全绳、安全帽、安全网、绝缘鞋、绝缘手套、防护口罩和防护衣等安全生产用品；</w:t>
      </w:r>
    </w:p>
    <w:p w14:paraId="678991B7">
      <w:pPr>
        <w:spacing w:line="400" w:lineRule="exact"/>
        <w:ind w:firstLine="525" w:firstLineChars="250"/>
        <w:rPr>
          <w:rFonts w:hint="eastAsia" w:ascii="宋体" w:hAnsi="宋体"/>
          <w:szCs w:val="21"/>
        </w:rPr>
      </w:pPr>
      <w:r>
        <w:rPr>
          <w:rFonts w:hint="eastAsia" w:ascii="宋体" w:hAnsi="宋体"/>
          <w:szCs w:val="21"/>
        </w:rPr>
        <w:t>（5）所有机械设备包括各类电动工具的安全保护和接地装置和操作说明；</w:t>
      </w:r>
    </w:p>
    <w:p w14:paraId="348C288C">
      <w:pPr>
        <w:spacing w:line="400" w:lineRule="exact"/>
        <w:ind w:firstLine="525" w:firstLineChars="250"/>
        <w:rPr>
          <w:rFonts w:hint="eastAsia" w:ascii="宋体" w:hAnsi="宋体"/>
          <w:szCs w:val="21"/>
        </w:rPr>
      </w:pPr>
      <w:r>
        <w:rPr>
          <w:rFonts w:hint="eastAsia" w:ascii="宋体" w:hAnsi="宋体"/>
          <w:szCs w:val="21"/>
        </w:rPr>
        <w:t>（6）装备良好的临时急救站和配备称职的医护人员；</w:t>
      </w:r>
    </w:p>
    <w:p w14:paraId="10817ABA">
      <w:pPr>
        <w:spacing w:line="400" w:lineRule="exact"/>
        <w:ind w:left="1050" w:leftChars="250" w:hanging="525" w:hangingChars="250"/>
        <w:rPr>
          <w:rFonts w:hint="eastAsia" w:ascii="宋体" w:hAnsi="宋体"/>
          <w:szCs w:val="21"/>
        </w:rPr>
      </w:pPr>
      <w:r>
        <w:rPr>
          <w:rFonts w:hint="eastAsia" w:ascii="宋体" w:hAnsi="宋体"/>
          <w:szCs w:val="21"/>
        </w:rPr>
        <w:t>（7）主要作业场所和临时安全疏散通道24小时36伏安全照明和必要的警示等以防止各种可能的事故；</w:t>
      </w:r>
    </w:p>
    <w:p w14:paraId="5D652E17">
      <w:pPr>
        <w:spacing w:line="400" w:lineRule="exact"/>
        <w:ind w:firstLine="525" w:firstLineChars="250"/>
        <w:rPr>
          <w:rFonts w:hint="eastAsia" w:ascii="宋体" w:hAnsi="宋体"/>
          <w:szCs w:val="21"/>
        </w:rPr>
      </w:pPr>
      <w:r>
        <w:rPr>
          <w:rFonts w:hint="eastAsia" w:ascii="宋体" w:hAnsi="宋体"/>
          <w:szCs w:val="21"/>
        </w:rPr>
        <w:t>（8）足够数量的和合格的手提灭火器；</w:t>
      </w:r>
    </w:p>
    <w:p w14:paraId="00BCABB3">
      <w:pPr>
        <w:spacing w:line="400" w:lineRule="exact"/>
        <w:ind w:firstLine="525" w:firstLineChars="250"/>
        <w:rPr>
          <w:rFonts w:hint="eastAsia" w:ascii="宋体" w:hAnsi="宋体"/>
          <w:szCs w:val="21"/>
        </w:rPr>
      </w:pPr>
      <w:r>
        <w:rPr>
          <w:rFonts w:hint="eastAsia" w:ascii="宋体" w:hAnsi="宋体"/>
          <w:szCs w:val="21"/>
        </w:rPr>
        <w:t>（9）装备良好的易燃易爆物品仓库和相应的使用管理制度；</w:t>
      </w:r>
    </w:p>
    <w:p w14:paraId="3E06366F">
      <w:pPr>
        <w:spacing w:line="400" w:lineRule="exact"/>
        <w:ind w:firstLine="525" w:firstLineChars="250"/>
        <w:rPr>
          <w:rFonts w:hint="eastAsia" w:ascii="宋体" w:hAnsi="宋体"/>
          <w:szCs w:val="21"/>
        </w:rPr>
      </w:pPr>
      <w:r>
        <w:rPr>
          <w:rFonts w:hint="eastAsia" w:ascii="宋体" w:hAnsi="宋体"/>
          <w:szCs w:val="21"/>
        </w:rPr>
        <w:t>（10）对涉及明火施工的工作制定诸如用火证等的管理制度；</w:t>
      </w:r>
    </w:p>
    <w:p w14:paraId="5E284E47">
      <w:pPr>
        <w:spacing w:line="400" w:lineRule="exact"/>
        <w:ind w:firstLine="525" w:firstLineChars="250"/>
        <w:rPr>
          <w:rFonts w:hint="eastAsia" w:ascii="宋体" w:hAnsi="宋体"/>
          <w:szCs w:val="21"/>
        </w:rPr>
      </w:pPr>
      <w:r>
        <w:rPr>
          <w:rFonts w:hint="eastAsia" w:ascii="宋体" w:hAnsi="宋体"/>
          <w:szCs w:val="21"/>
        </w:rPr>
        <w:t>（11）其他：</w:t>
      </w:r>
      <w:r>
        <w:rPr>
          <w:rFonts w:hint="eastAsia" w:ascii="宋体" w:hAnsi="宋体"/>
          <w:szCs w:val="21"/>
          <w:u w:val="single"/>
        </w:rPr>
        <w:t xml:space="preserve">                                                             </w:t>
      </w:r>
      <w:r>
        <w:rPr>
          <w:rFonts w:hint="eastAsia" w:ascii="宋体" w:hAnsi="宋体"/>
          <w:szCs w:val="21"/>
        </w:rPr>
        <w:t>。</w:t>
      </w:r>
    </w:p>
    <w:p w14:paraId="2FED0F7A">
      <w:pPr>
        <w:spacing w:line="400" w:lineRule="exact"/>
        <w:ind w:left="945" w:hanging="945" w:hangingChars="450"/>
        <w:rPr>
          <w:rFonts w:hint="eastAsia" w:ascii="宋体" w:hAnsi="宋体"/>
          <w:szCs w:val="21"/>
        </w:rPr>
      </w:pPr>
      <w:r>
        <w:rPr>
          <w:rFonts w:hint="eastAsia" w:ascii="宋体" w:hAnsi="宋体"/>
          <w:szCs w:val="21"/>
        </w:rPr>
        <w:t>6.1.3    安全文明施工费用必须专款专用，承包人应对其由于安全文明施工费用和施工安全措施不到位而发生的安全事故承担全部责任。</w:t>
      </w:r>
    </w:p>
    <w:p w14:paraId="74212D4B">
      <w:pPr>
        <w:spacing w:line="400" w:lineRule="exact"/>
        <w:ind w:left="945" w:hanging="945" w:hangingChars="450"/>
        <w:rPr>
          <w:rFonts w:hint="eastAsia" w:ascii="宋体" w:hAnsi="宋体"/>
          <w:szCs w:val="21"/>
        </w:rPr>
      </w:pPr>
      <w:r>
        <w:rPr>
          <w:rFonts w:hint="eastAsia" w:ascii="宋体" w:hAnsi="宋体"/>
          <w:szCs w:val="21"/>
        </w:rPr>
        <w:t>6.1.4    承包人应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25CE4443">
      <w:pPr>
        <w:spacing w:line="400" w:lineRule="exact"/>
        <w:ind w:left="945" w:hanging="945" w:hangingChars="450"/>
        <w:rPr>
          <w:rFonts w:hint="eastAsia" w:ascii="宋体" w:hAnsi="宋体"/>
          <w:szCs w:val="21"/>
        </w:rPr>
      </w:pPr>
      <w:r>
        <w:rPr>
          <w:rFonts w:hint="eastAsia" w:ascii="宋体" w:hAnsi="宋体"/>
          <w:szCs w:val="21"/>
        </w:rPr>
        <w:t>6.1.5    承包人应遵照有关法规要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2A5D30E2">
      <w:pPr>
        <w:spacing w:line="360" w:lineRule="exact"/>
        <w:ind w:left="945" w:hanging="945" w:hangingChars="450"/>
        <w:rPr>
          <w:rFonts w:hint="eastAsia" w:ascii="宋体" w:hAnsi="宋体"/>
          <w:szCs w:val="21"/>
        </w:rPr>
      </w:pPr>
      <w:r>
        <w:rPr>
          <w:rFonts w:hint="eastAsia" w:ascii="宋体" w:hAnsi="宋体"/>
          <w:szCs w:val="21"/>
        </w:rPr>
        <w:t>6.1.6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11FE1228">
      <w:pPr>
        <w:spacing w:line="360" w:lineRule="exact"/>
        <w:ind w:left="945" w:hanging="945" w:hangingChars="450"/>
        <w:rPr>
          <w:rFonts w:hint="eastAsia" w:ascii="宋体" w:hAnsi="宋体"/>
          <w:szCs w:val="21"/>
        </w:rPr>
      </w:pPr>
      <w:r>
        <w:rPr>
          <w:rFonts w:hint="eastAsia" w:ascii="宋体" w:hAnsi="宋体"/>
          <w:szCs w:val="21"/>
        </w:rPr>
        <w:t>6.1.7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52A83DA4">
      <w:pPr>
        <w:spacing w:line="360" w:lineRule="exact"/>
        <w:ind w:left="945" w:hanging="945" w:hangingChars="450"/>
        <w:rPr>
          <w:rFonts w:hint="eastAsia" w:ascii="宋体" w:hAnsi="宋体"/>
          <w:szCs w:val="21"/>
        </w:rPr>
      </w:pPr>
      <w:r>
        <w:rPr>
          <w:rFonts w:hint="eastAsia" w:ascii="宋体" w:hAnsi="宋体"/>
          <w:szCs w:val="21"/>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29884EEB">
      <w:pPr>
        <w:spacing w:line="360" w:lineRule="exact"/>
        <w:ind w:left="945" w:hanging="945" w:hangingChars="450"/>
        <w:rPr>
          <w:rFonts w:hint="eastAsia" w:ascii="宋体" w:hAnsi="宋体"/>
          <w:szCs w:val="21"/>
        </w:rPr>
      </w:pPr>
      <w:r>
        <w:rPr>
          <w:rFonts w:hint="eastAsia" w:ascii="宋体" w:hAnsi="宋体"/>
          <w:szCs w:val="21"/>
        </w:rPr>
        <w:t>6.1.9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规、规章、规范、标准和规程等的要求。</w:t>
      </w:r>
    </w:p>
    <w:p w14:paraId="1EF34577">
      <w:pPr>
        <w:spacing w:line="360" w:lineRule="exact"/>
        <w:ind w:left="945" w:hanging="945" w:hangingChars="450"/>
        <w:rPr>
          <w:rFonts w:hint="eastAsia" w:ascii="宋体" w:hAnsi="宋体"/>
          <w:szCs w:val="21"/>
        </w:rPr>
      </w:pPr>
      <w:r>
        <w:rPr>
          <w:rFonts w:hint="eastAsia" w:ascii="宋体" w:hAnsi="宋体"/>
          <w:szCs w:val="21"/>
        </w:rPr>
        <w:t>6.1.10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00508005">
      <w:pPr>
        <w:spacing w:line="360" w:lineRule="exact"/>
        <w:ind w:left="945" w:hanging="945" w:hangingChars="450"/>
        <w:rPr>
          <w:rFonts w:hint="eastAsia" w:ascii="宋体" w:hAnsi="宋体"/>
          <w:szCs w:val="21"/>
        </w:rPr>
      </w:pPr>
      <w:r>
        <w:rPr>
          <w:rFonts w:hint="eastAsia" w:ascii="宋体" w:hAnsi="宋体"/>
          <w:szCs w:val="21"/>
        </w:rPr>
        <w:t>6.1.11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0F281F94">
      <w:pPr>
        <w:spacing w:line="360" w:lineRule="exact"/>
        <w:ind w:left="945" w:hanging="945" w:hangingChars="450"/>
        <w:rPr>
          <w:rFonts w:hint="eastAsia" w:ascii="宋体" w:hAnsi="宋体"/>
          <w:szCs w:val="21"/>
        </w:rPr>
      </w:pPr>
      <w:r>
        <w:rPr>
          <w:rFonts w:hint="eastAsia" w:ascii="宋体" w:hAnsi="宋体"/>
          <w:szCs w:val="21"/>
        </w:rPr>
        <w:t>6.1.12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29CEF6F5">
      <w:pPr>
        <w:spacing w:line="360" w:lineRule="exact"/>
        <w:ind w:left="945" w:hanging="945" w:hangingChars="450"/>
        <w:rPr>
          <w:rFonts w:hint="eastAsia" w:ascii="宋体" w:hAnsi="宋体"/>
          <w:szCs w:val="21"/>
        </w:rPr>
      </w:pPr>
      <w:r>
        <w:rPr>
          <w:rFonts w:hint="eastAsia" w:ascii="宋体" w:hAnsi="宋体"/>
          <w:szCs w:val="21"/>
        </w:rPr>
        <w:t>6.1.13   承包人应成立应急救援小组，配备必要的应急救援器材和设备，制定灾害和生产安全事故的应急救援预案，并将应急救援预案报送监理人。应急救援预案应能随时组织应救专职人员、并定期组织演练。</w:t>
      </w:r>
    </w:p>
    <w:p w14:paraId="7D5BB6AF">
      <w:pPr>
        <w:spacing w:line="360" w:lineRule="exact"/>
        <w:ind w:left="945" w:hanging="945" w:hangingChars="450"/>
        <w:rPr>
          <w:rFonts w:hint="eastAsia" w:ascii="宋体" w:hAnsi="宋体"/>
          <w:szCs w:val="21"/>
        </w:rPr>
      </w:pPr>
      <w:r>
        <w:rPr>
          <w:rFonts w:hint="eastAsia" w:ascii="宋体" w:hAnsi="宋体"/>
          <w:szCs w:val="21"/>
        </w:rPr>
        <w:t>6.1.14   施工过程中需要使用爆破或带炸药的工具等危险性施工方法时，承包人应提前通</w:t>
      </w:r>
    </w:p>
    <w:p w14:paraId="574F0B1E">
      <w:pPr>
        <w:spacing w:line="360" w:lineRule="exact"/>
        <w:ind w:left="945" w:leftChars="450"/>
        <w:rPr>
          <w:rFonts w:hint="eastAsia" w:ascii="宋体" w:hAnsi="宋体"/>
          <w:szCs w:val="21"/>
        </w:rPr>
      </w:pPr>
      <w:r>
        <w:rPr>
          <w:rFonts w:hint="eastAsia" w:ascii="宋体" w:hAnsi="宋体"/>
          <w:szCs w:val="21"/>
        </w:rPr>
        <w:t>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70EE0633">
      <w:pPr>
        <w:spacing w:line="360" w:lineRule="exact"/>
        <w:ind w:left="945" w:hanging="945" w:hangingChars="450"/>
        <w:rPr>
          <w:rFonts w:hint="eastAsia" w:ascii="宋体" w:hAnsi="宋体"/>
          <w:szCs w:val="21"/>
        </w:rPr>
      </w:pPr>
      <w:r>
        <w:rPr>
          <w:rFonts w:hint="eastAsia" w:ascii="宋体" w:hAnsi="宋体"/>
          <w:szCs w:val="21"/>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62A19DA5">
      <w:pPr>
        <w:spacing w:line="360" w:lineRule="exact"/>
        <w:ind w:left="945" w:hanging="945" w:hangingChars="450"/>
        <w:rPr>
          <w:rFonts w:hint="eastAsia" w:ascii="宋体" w:hAnsi="宋体"/>
          <w:szCs w:val="21"/>
        </w:rPr>
      </w:pPr>
      <w:r>
        <w:rPr>
          <w:rFonts w:hint="eastAsia" w:ascii="宋体" w:hAnsi="宋体"/>
          <w:szCs w:val="21"/>
        </w:rPr>
        <w:t>6.1.16   承包人应按照通用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7E181544">
      <w:pPr>
        <w:spacing w:line="360" w:lineRule="exact"/>
        <w:ind w:left="945" w:hanging="945" w:hangingChars="450"/>
        <w:rPr>
          <w:rFonts w:hint="eastAsia" w:ascii="宋体" w:hAnsi="宋体"/>
          <w:szCs w:val="21"/>
        </w:rPr>
      </w:pPr>
      <w:r>
        <w:rPr>
          <w:rFonts w:hint="eastAsia" w:ascii="宋体" w:hAnsi="宋体"/>
          <w:szCs w:val="21"/>
        </w:rPr>
        <w:t>6.1.17   承包人还应根据有关法律、法规、规定和条例等的要求，制定一套安全生产应急措施和程序，保证一旦出现任何安全事故，能立即保护好现场，抢救伤员和财产，保证施工生产的正常进行，防止损失扩大。</w:t>
      </w:r>
    </w:p>
    <w:p w14:paraId="37498169">
      <w:pPr>
        <w:spacing w:line="360" w:lineRule="exact"/>
        <w:ind w:left="945" w:hanging="945" w:hangingChars="450"/>
        <w:rPr>
          <w:rFonts w:hint="eastAsia" w:ascii="宋体" w:hAnsi="宋体"/>
          <w:szCs w:val="21"/>
        </w:rPr>
      </w:pPr>
      <w:r>
        <w:rPr>
          <w:rFonts w:hint="eastAsia" w:ascii="宋体" w:hAnsi="宋体"/>
          <w:szCs w:val="21"/>
        </w:rPr>
        <w:t>6.1.18   安全防护方面的其他要求如下：</w:t>
      </w:r>
    </w:p>
    <w:p w14:paraId="33D03879">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18DD5775">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D9D26C0">
      <w:pPr>
        <w:spacing w:before="72" w:beforeLines="30" w:after="72" w:afterLines="30" w:line="360" w:lineRule="exact"/>
        <w:ind w:left="1080" w:hanging="1080" w:hangingChars="450"/>
        <w:rPr>
          <w:rFonts w:hint="eastAsia" w:ascii="黑体" w:hAnsi="宋体" w:eastAsia="黑体"/>
          <w:sz w:val="24"/>
        </w:rPr>
      </w:pPr>
      <w:r>
        <w:rPr>
          <w:rFonts w:hint="eastAsia" w:ascii="黑体" w:hAnsi="宋体" w:eastAsia="黑体"/>
          <w:sz w:val="24"/>
        </w:rPr>
        <w:t>6.2     临时消防</w:t>
      </w:r>
    </w:p>
    <w:p w14:paraId="21B9B5F1">
      <w:pPr>
        <w:spacing w:line="400" w:lineRule="exact"/>
        <w:ind w:left="945" w:hanging="945" w:hangingChars="450"/>
        <w:rPr>
          <w:rFonts w:hint="eastAsia" w:ascii="宋体" w:hAnsi="宋体"/>
          <w:szCs w:val="21"/>
        </w:rPr>
      </w:pPr>
      <w:r>
        <w:rPr>
          <w:rFonts w:hint="eastAsia" w:ascii="宋体" w:hAnsi="宋体"/>
          <w:szCs w:val="21"/>
        </w:rPr>
        <w:t>6.2.1    承包人应建立消防安全责任制度，制定用火、用电和使用易燃易爆等危险品的消防安全管理制度和操作规程。各项制度和规程等应满足相关法律法规和政府消防管理部门的要求。</w:t>
      </w:r>
    </w:p>
    <w:p w14:paraId="3B6F7AD7">
      <w:pPr>
        <w:spacing w:line="400" w:lineRule="exact"/>
        <w:ind w:left="945" w:hanging="945" w:hangingChars="450"/>
        <w:rPr>
          <w:rFonts w:hint="eastAsia" w:ascii="宋体" w:hAnsi="宋体"/>
          <w:szCs w:val="21"/>
        </w:rPr>
      </w:pPr>
      <w:r>
        <w:rPr>
          <w:rFonts w:hint="eastAsia" w:ascii="宋体" w:hAnsi="宋体"/>
          <w:szCs w:val="21"/>
        </w:rPr>
        <w:t>6.2.2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592B4D19">
      <w:pPr>
        <w:spacing w:line="400" w:lineRule="exact"/>
        <w:ind w:left="945" w:hanging="945" w:hangingChars="450"/>
        <w:rPr>
          <w:rFonts w:hint="eastAsia" w:ascii="宋体" w:hAnsi="宋体"/>
          <w:szCs w:val="21"/>
        </w:rPr>
      </w:pPr>
      <w:r>
        <w:rPr>
          <w:rFonts w:hint="eastAsia" w:ascii="宋体" w:hAnsi="宋体"/>
          <w:szCs w:val="21"/>
        </w:rPr>
        <w:t>6.2.3    承包人应当成立由项目主要负责人担任组长的临时消防组或消防队，宣传消防基本知识和基本操作培训，组织消防演练，保证一旦发生火灾，能够组织有效的自救，保护生命和财产安全。</w:t>
      </w:r>
    </w:p>
    <w:p w14:paraId="65F0CA3F">
      <w:pPr>
        <w:spacing w:line="400" w:lineRule="exact"/>
        <w:ind w:left="945" w:hanging="945" w:hangingChars="450"/>
        <w:rPr>
          <w:rFonts w:hint="eastAsia" w:ascii="宋体" w:hAnsi="宋体"/>
          <w:szCs w:val="21"/>
        </w:rPr>
      </w:pPr>
      <w:r>
        <w:rPr>
          <w:rFonts w:hint="eastAsia" w:ascii="宋体" w:hAnsi="宋体"/>
          <w:szCs w:val="21"/>
        </w:rPr>
        <w:t>6.2.4    施工场地(现场)内的易燃、易爆物品应单独和安全地存放，设专人进行存放和领用管理。施工场地(现场)储有或正在使用易燃、易爆或可燃材料时或有明火施工的工序，应当实行严格的“用火证”管理制度。</w:t>
      </w:r>
    </w:p>
    <w:p w14:paraId="3F109058">
      <w:pPr>
        <w:spacing w:line="400" w:lineRule="exact"/>
        <w:ind w:left="945" w:hanging="945" w:hangingChars="450"/>
        <w:rPr>
          <w:rFonts w:hint="eastAsia" w:ascii="宋体" w:hAnsi="宋体"/>
          <w:szCs w:val="21"/>
        </w:rPr>
      </w:pPr>
      <w:r>
        <w:rPr>
          <w:rFonts w:hint="eastAsia" w:ascii="宋体" w:hAnsi="宋体"/>
          <w:szCs w:val="21"/>
        </w:rPr>
        <w:t>6.2.5    临时消防方面的其他要求如下：</w:t>
      </w:r>
    </w:p>
    <w:p w14:paraId="0E123468">
      <w:pPr>
        <w:spacing w:line="5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60F76D54">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6FE50F8">
      <w:pPr>
        <w:spacing w:before="72" w:beforeLines="30" w:after="72" w:afterLines="30" w:line="360" w:lineRule="exact"/>
        <w:ind w:left="1080" w:hanging="1080" w:hangingChars="450"/>
        <w:rPr>
          <w:rFonts w:hint="eastAsia" w:ascii="黑体" w:hAnsi="宋体" w:eastAsia="黑体"/>
          <w:sz w:val="24"/>
        </w:rPr>
      </w:pPr>
      <w:r>
        <w:rPr>
          <w:rFonts w:hint="eastAsia" w:ascii="黑体" w:hAnsi="宋体" w:eastAsia="黑体"/>
          <w:sz w:val="24"/>
        </w:rPr>
        <w:t>6.3      临时供电</w:t>
      </w:r>
    </w:p>
    <w:p w14:paraId="069335CF">
      <w:pPr>
        <w:spacing w:line="390" w:lineRule="exact"/>
        <w:ind w:left="945" w:hanging="945" w:hangingChars="450"/>
        <w:rPr>
          <w:rFonts w:hint="eastAsia" w:ascii="宋体" w:hAnsi="宋体"/>
          <w:szCs w:val="21"/>
        </w:rPr>
      </w:pPr>
      <w:r>
        <w:rPr>
          <w:rFonts w:hint="eastAsia" w:ascii="宋体" w:hAnsi="宋体"/>
          <w:szCs w:val="21"/>
        </w:rPr>
        <w:t>6.3.1    承包人应当根据《施工现场临时用电安全技术规范》(JGJ 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036A7519">
      <w:pPr>
        <w:spacing w:line="390" w:lineRule="exact"/>
        <w:ind w:left="945" w:hanging="945" w:hangingChars="450"/>
        <w:rPr>
          <w:rFonts w:hint="eastAsia" w:ascii="宋体" w:hAnsi="宋体"/>
          <w:szCs w:val="21"/>
        </w:rPr>
      </w:pPr>
      <w:r>
        <w:rPr>
          <w:rFonts w:hint="eastAsia" w:ascii="宋体" w:hAnsi="宋体"/>
          <w:szCs w:val="21"/>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6233C349">
      <w:pPr>
        <w:spacing w:line="390" w:lineRule="exact"/>
        <w:ind w:left="945" w:hanging="945" w:hangingChars="450"/>
        <w:rPr>
          <w:rFonts w:hint="eastAsia" w:ascii="宋体" w:hAnsi="宋体"/>
          <w:szCs w:val="21"/>
        </w:rPr>
      </w:pPr>
      <w:r>
        <w:rPr>
          <w:rFonts w:hint="eastAsia" w:ascii="宋体" w:hAnsi="宋体"/>
          <w:szCs w:val="21"/>
        </w:rPr>
        <w:t>6.3.3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地面明设，并应避免机械损伤和介质腐蚀。埋地电缆路径应设方位标志。各种配电设备均设有防止漏电和防雨防水设施。</w:t>
      </w:r>
    </w:p>
    <w:p w14:paraId="3C51C081">
      <w:pPr>
        <w:spacing w:line="390" w:lineRule="exact"/>
        <w:ind w:left="945" w:hanging="945" w:hangingChars="450"/>
        <w:rPr>
          <w:rFonts w:hint="eastAsia" w:ascii="宋体" w:hAnsi="宋体"/>
          <w:szCs w:val="21"/>
        </w:rPr>
      </w:pPr>
      <w:r>
        <w:rPr>
          <w:rFonts w:hint="eastAsia" w:ascii="宋体" w:hAnsi="宋体"/>
          <w:szCs w:val="21"/>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49BBDA48">
      <w:pPr>
        <w:spacing w:line="390" w:lineRule="exact"/>
        <w:ind w:left="945" w:hanging="945" w:hangingChars="450"/>
        <w:rPr>
          <w:rFonts w:hint="eastAsia" w:ascii="宋体" w:hAnsi="宋体"/>
          <w:szCs w:val="21"/>
        </w:rPr>
      </w:pPr>
      <w:r>
        <w:rPr>
          <w:rFonts w:hint="eastAsia" w:ascii="宋体" w:hAnsi="宋体"/>
          <w:szCs w:val="21"/>
        </w:rPr>
        <w:t>6.3.5    凡可能漏电伤人或易受雷击的电器及建筑物均应设置接地和避雷装置。承包人应负责避雷装置的采购、安装、管理和维修，并建立定期检查制度。</w:t>
      </w:r>
    </w:p>
    <w:p w14:paraId="21F0E4E5">
      <w:pPr>
        <w:spacing w:line="390" w:lineRule="exact"/>
        <w:ind w:left="945" w:hanging="945" w:hangingChars="450"/>
        <w:rPr>
          <w:rFonts w:hint="eastAsia" w:ascii="宋体" w:hAnsi="宋体"/>
          <w:szCs w:val="21"/>
        </w:rPr>
      </w:pPr>
      <w:r>
        <w:rPr>
          <w:rFonts w:hint="eastAsia" w:ascii="宋体" w:hAnsi="宋体"/>
          <w:szCs w:val="21"/>
        </w:rPr>
        <w:t>6.3.6    临时用电方面的其他要求如下：</w:t>
      </w:r>
    </w:p>
    <w:p w14:paraId="3353607C">
      <w:pPr>
        <w:spacing w:line="39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73FC5399">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0D22E0C">
      <w:pPr>
        <w:spacing w:line="390" w:lineRule="exact"/>
        <w:ind w:left="1080" w:hanging="1080" w:hangingChars="450"/>
        <w:rPr>
          <w:rFonts w:hint="eastAsia" w:ascii="黑体" w:hAnsi="宋体" w:eastAsia="黑体"/>
          <w:sz w:val="24"/>
        </w:rPr>
      </w:pPr>
      <w:r>
        <w:rPr>
          <w:rFonts w:hint="eastAsia" w:ascii="黑体" w:hAnsi="宋体" w:eastAsia="黑体"/>
          <w:sz w:val="24"/>
        </w:rPr>
        <w:t>6.4     劳动保护</w:t>
      </w:r>
    </w:p>
    <w:p w14:paraId="09E97ADF">
      <w:pPr>
        <w:spacing w:line="390" w:lineRule="exact"/>
        <w:ind w:left="945" w:hanging="945" w:hangingChars="450"/>
        <w:rPr>
          <w:rFonts w:hint="eastAsia" w:ascii="宋体" w:hAnsi="宋体"/>
          <w:szCs w:val="21"/>
        </w:rPr>
      </w:pPr>
      <w:r>
        <w:rPr>
          <w:rFonts w:hint="eastAsia" w:ascii="宋体" w:hAnsi="宋体"/>
          <w:szCs w:val="21"/>
        </w:rPr>
        <w:t>6.4.1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533DB7BC">
      <w:pPr>
        <w:spacing w:line="390" w:lineRule="exact"/>
        <w:ind w:left="945" w:hanging="945" w:hangingChars="450"/>
        <w:rPr>
          <w:rFonts w:hint="eastAsia" w:ascii="宋体" w:hAnsi="宋体"/>
          <w:szCs w:val="21"/>
        </w:rPr>
      </w:pPr>
      <w:r>
        <w:rPr>
          <w:rFonts w:hint="eastAsia" w:ascii="宋体" w:hAnsi="宋体"/>
          <w:szCs w:val="21"/>
        </w:rPr>
        <w:t>6.4.2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28E3F861">
      <w:pPr>
        <w:spacing w:line="390" w:lineRule="exact"/>
        <w:ind w:left="945" w:hanging="945" w:hangingChars="450"/>
        <w:rPr>
          <w:rFonts w:hint="eastAsia" w:ascii="宋体" w:hAnsi="宋体"/>
          <w:szCs w:val="21"/>
        </w:rPr>
      </w:pPr>
      <w:r>
        <w:rPr>
          <w:rFonts w:hint="eastAsia" w:ascii="宋体" w:hAnsi="宋体"/>
          <w:szCs w:val="21"/>
        </w:rPr>
        <w:t>6.4.3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16387B34">
      <w:pPr>
        <w:spacing w:line="360" w:lineRule="exact"/>
        <w:ind w:left="945" w:hanging="945" w:hangingChars="450"/>
        <w:rPr>
          <w:rFonts w:hint="eastAsia" w:ascii="宋体" w:hAnsi="宋体"/>
          <w:szCs w:val="21"/>
        </w:rPr>
      </w:pPr>
      <w:r>
        <w:rPr>
          <w:rFonts w:hint="eastAsia" w:ascii="宋体" w:hAnsi="宋体"/>
          <w:szCs w:val="21"/>
        </w:rPr>
        <w:t>6.4.4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66FDB4ED">
      <w:pPr>
        <w:spacing w:line="360" w:lineRule="exact"/>
        <w:ind w:left="945" w:hanging="945" w:hangingChars="450"/>
        <w:rPr>
          <w:rFonts w:hint="eastAsia" w:ascii="宋体" w:hAnsi="宋体"/>
          <w:szCs w:val="21"/>
        </w:rPr>
      </w:pPr>
      <w:r>
        <w:rPr>
          <w:rFonts w:hint="eastAsia" w:ascii="宋体" w:hAnsi="宋体"/>
          <w:szCs w:val="21"/>
        </w:rPr>
        <w:t>6.4.5    承包人应在现场设立专门的临时医疗站，配备足够的设施、药物和称职的医务人员，承包人还应准备急救担架，用于一旦发生安全事故时对受伤人员的急救。</w:t>
      </w:r>
    </w:p>
    <w:p w14:paraId="2863D09E">
      <w:pPr>
        <w:spacing w:line="360" w:lineRule="exact"/>
        <w:ind w:left="945" w:hanging="945" w:hangingChars="450"/>
        <w:rPr>
          <w:rFonts w:hint="eastAsia" w:ascii="宋体" w:hAnsi="宋体"/>
          <w:szCs w:val="21"/>
        </w:rPr>
      </w:pPr>
      <w:r>
        <w:rPr>
          <w:rFonts w:hint="eastAsia" w:ascii="宋体" w:hAnsi="宋体"/>
          <w:szCs w:val="21"/>
        </w:rPr>
        <w:t>6.4.6    劳动保护方面的其他要求如下：</w:t>
      </w:r>
    </w:p>
    <w:p w14:paraId="41D6F3E3">
      <w:pPr>
        <w:spacing w:line="60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17CE0B5B">
      <w:pPr>
        <w:spacing w:line="6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082CFFA">
      <w:pPr>
        <w:spacing w:line="360" w:lineRule="exact"/>
        <w:ind w:left="1080" w:hanging="1080" w:hangingChars="450"/>
        <w:rPr>
          <w:rFonts w:hint="eastAsia" w:ascii="黑体" w:hAnsi="宋体" w:eastAsia="黑体"/>
          <w:sz w:val="24"/>
        </w:rPr>
      </w:pPr>
      <w:r>
        <w:rPr>
          <w:rFonts w:hint="eastAsia" w:ascii="黑体" w:hAnsi="宋体" w:eastAsia="黑体"/>
          <w:sz w:val="24"/>
        </w:rPr>
        <w:t>6.5     脚手架</w:t>
      </w:r>
    </w:p>
    <w:p w14:paraId="1CE6E8A7">
      <w:pPr>
        <w:spacing w:line="380" w:lineRule="exact"/>
        <w:ind w:left="945" w:hanging="945" w:hangingChars="450"/>
        <w:rPr>
          <w:rFonts w:hint="eastAsia" w:ascii="宋体" w:hAnsi="宋体"/>
          <w:szCs w:val="21"/>
        </w:rPr>
      </w:pPr>
      <w:r>
        <w:rPr>
          <w:rFonts w:hint="eastAsia" w:ascii="宋体" w:hAnsi="宋体"/>
          <w:szCs w:val="21"/>
        </w:rPr>
        <w:t>6.5.1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08A1352F">
      <w:pPr>
        <w:spacing w:line="380" w:lineRule="exact"/>
        <w:ind w:left="945" w:hanging="945" w:hangingChars="450"/>
        <w:rPr>
          <w:rFonts w:hint="eastAsia" w:ascii="宋体" w:hAnsi="宋体"/>
          <w:szCs w:val="21"/>
        </w:rPr>
      </w:pPr>
      <w:r>
        <w:rPr>
          <w:rFonts w:hint="eastAsia" w:ascii="宋体" w:hAnsi="宋体"/>
          <w:szCs w:val="21"/>
        </w:rPr>
        <w:t>6.5.2    所有脚手架，尤其是大型、复杂、高耸和非常规脚手架，要编制专项施工方案，还应当经过安全验算，脚手架安全验算结果必须报送监理人核查后方可实施。</w:t>
      </w:r>
    </w:p>
    <w:p w14:paraId="38BCEB46">
      <w:pPr>
        <w:spacing w:line="380" w:lineRule="exact"/>
        <w:ind w:left="945" w:hanging="945" w:hangingChars="450"/>
        <w:rPr>
          <w:rFonts w:hint="eastAsia" w:ascii="宋体" w:hAnsi="宋体"/>
          <w:szCs w:val="21"/>
        </w:rPr>
      </w:pPr>
      <w:r>
        <w:rPr>
          <w:rFonts w:hint="eastAsia" w:ascii="宋体" w:hAnsi="宋体"/>
          <w:szCs w:val="21"/>
        </w:rPr>
        <w:t>6.5.3    搭设爬架、挂架、超高脚手架等特种或新型脚手架时，承包人应确保此类脚手架的安全性和保证此类脚手架已经过有关行政管理部门允许使用的批准，并承担与此有关的一切费用。</w:t>
      </w:r>
    </w:p>
    <w:p w14:paraId="14FA7DEA">
      <w:pPr>
        <w:spacing w:line="380" w:lineRule="exact"/>
        <w:ind w:left="945" w:hanging="945" w:hangingChars="450"/>
        <w:rPr>
          <w:rFonts w:hint="eastAsia" w:ascii="宋体" w:hAnsi="宋体"/>
          <w:szCs w:val="21"/>
        </w:rPr>
      </w:pPr>
      <w:r>
        <w:rPr>
          <w:rFonts w:hint="eastAsia" w:ascii="宋体" w:hAnsi="宋体"/>
          <w:szCs w:val="21"/>
        </w:rPr>
        <w:t>6.5.4    承包人应当加强脚手架的日常安全巡查，及时对其中的安全隐患进行整改，确保脚手架使用安全。雨、雪、雾、霜和大风等天气后，承包人必须对脚手架进行安全巡查，并及时消除安全隐患。</w:t>
      </w:r>
    </w:p>
    <w:p w14:paraId="0E6B9F3B">
      <w:pPr>
        <w:spacing w:line="380" w:lineRule="exact"/>
        <w:ind w:left="945" w:hanging="945" w:hangingChars="450"/>
        <w:rPr>
          <w:rFonts w:hint="eastAsia" w:ascii="宋体" w:hAnsi="宋体"/>
          <w:szCs w:val="21"/>
        </w:rPr>
      </w:pPr>
      <w:r>
        <w:rPr>
          <w:rFonts w:hint="eastAsia" w:ascii="宋体" w:hAnsi="宋体"/>
          <w:szCs w:val="21"/>
        </w:rPr>
        <w:t>6.5.5    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14:paraId="5BA35CF3">
      <w:pPr>
        <w:spacing w:line="380" w:lineRule="exact"/>
        <w:ind w:left="945" w:hanging="945" w:hangingChars="450"/>
        <w:rPr>
          <w:rFonts w:hint="eastAsia" w:ascii="宋体" w:hAnsi="宋体"/>
          <w:szCs w:val="21"/>
        </w:rPr>
      </w:pPr>
      <w:r>
        <w:rPr>
          <w:rFonts w:hint="eastAsia" w:ascii="宋体" w:hAnsi="宋体"/>
          <w:szCs w:val="21"/>
        </w:rPr>
        <w:t>6.5.6    脚手架的其他要求如下：</w:t>
      </w:r>
    </w:p>
    <w:p w14:paraId="17DB446C">
      <w:pPr>
        <w:spacing w:line="380" w:lineRule="exact"/>
        <w:ind w:left="735" w:hanging="735" w:hangingChars="3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5D2D7C2D">
      <w:pPr>
        <w:spacing w:line="38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A613B93">
      <w:pPr>
        <w:spacing w:before="48" w:beforeLines="20" w:after="48" w:afterLines="20" w:line="420" w:lineRule="exact"/>
        <w:ind w:left="1080" w:hanging="1080" w:hangingChars="450"/>
        <w:rPr>
          <w:rFonts w:hint="eastAsia" w:ascii="黑体" w:hAnsi="宋体" w:eastAsia="黑体"/>
          <w:sz w:val="24"/>
        </w:rPr>
      </w:pPr>
      <w:r>
        <w:rPr>
          <w:rFonts w:hint="eastAsia" w:ascii="黑体" w:hAnsi="宋体" w:eastAsia="黑体"/>
          <w:sz w:val="24"/>
        </w:rPr>
        <w:t>6.6     施工安全措施计划</w:t>
      </w:r>
    </w:p>
    <w:p w14:paraId="6BC41104">
      <w:pPr>
        <w:spacing w:line="400" w:lineRule="exact"/>
        <w:ind w:left="945" w:hanging="945" w:hangingChars="450"/>
        <w:rPr>
          <w:rFonts w:hint="eastAsia" w:ascii="宋体" w:hAnsi="宋体"/>
          <w:szCs w:val="21"/>
        </w:rPr>
      </w:pPr>
      <w:r>
        <w:rPr>
          <w:rFonts w:hint="eastAsia" w:ascii="宋体" w:hAnsi="宋体"/>
          <w:szCs w:val="21"/>
        </w:rPr>
        <w:t>6.6.1    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14:paraId="725B0A06">
      <w:pPr>
        <w:spacing w:line="400" w:lineRule="exact"/>
        <w:ind w:left="945" w:hanging="945" w:hangingChars="450"/>
        <w:rPr>
          <w:rFonts w:hint="eastAsia" w:ascii="宋体" w:hAnsi="宋体" w:eastAsia="宋体"/>
          <w:szCs w:val="21"/>
          <w:lang w:eastAsia="zh-CN"/>
        </w:rPr>
      </w:pPr>
      <w:r>
        <w:rPr>
          <w:rFonts w:hint="eastAsia" w:ascii="宋体" w:hAnsi="宋体"/>
          <w:szCs w:val="21"/>
        </w:rPr>
        <w:t>6.6.2    施工安全措施计划是承包人阐明其安全管理方针、管理体系、安全制度和安全措施等的文件，其内容应当反映现行法律法规规定的和合同条款约定的以及本条上述约定的承包人安全职责，包括但不限于：</w:t>
      </w:r>
    </w:p>
    <w:p w14:paraId="7BC31AE5">
      <w:pPr>
        <w:spacing w:line="400" w:lineRule="exact"/>
        <w:ind w:left="945" w:hanging="945" w:hangingChars="450"/>
        <w:rPr>
          <w:rFonts w:hint="eastAsia" w:ascii="宋体" w:hAnsi="宋体" w:eastAsia="宋体"/>
          <w:szCs w:val="21"/>
          <w:lang w:eastAsia="zh-CN"/>
        </w:rPr>
      </w:pPr>
      <w:r>
        <w:rPr>
          <w:rFonts w:hint="eastAsia" w:ascii="宋体" w:hAnsi="宋体"/>
          <w:szCs w:val="21"/>
        </w:rPr>
        <w:t>(1)施工安全管理机构的设置；</w:t>
      </w:r>
    </w:p>
    <w:p w14:paraId="035E8FC9">
      <w:pPr>
        <w:spacing w:line="400" w:lineRule="exact"/>
        <w:ind w:left="945" w:hanging="945" w:hangingChars="450"/>
        <w:rPr>
          <w:rFonts w:hint="eastAsia" w:ascii="宋体" w:hAnsi="宋体" w:eastAsia="宋体"/>
          <w:szCs w:val="21"/>
          <w:lang w:eastAsia="zh-CN"/>
        </w:rPr>
      </w:pPr>
      <w:r>
        <w:rPr>
          <w:rFonts w:hint="eastAsia" w:ascii="宋体" w:hAnsi="宋体"/>
          <w:szCs w:val="21"/>
        </w:rPr>
        <w:t>(2)专职安全管理人员的配备；</w:t>
      </w:r>
    </w:p>
    <w:p w14:paraId="3F4ACB10">
      <w:pPr>
        <w:spacing w:line="400" w:lineRule="exact"/>
        <w:ind w:left="945" w:hanging="945" w:hangingChars="450"/>
        <w:rPr>
          <w:rFonts w:hint="eastAsia" w:ascii="宋体" w:hAnsi="宋体" w:eastAsia="宋体"/>
          <w:szCs w:val="21"/>
          <w:lang w:eastAsia="zh-CN"/>
        </w:rPr>
      </w:pPr>
      <w:r>
        <w:rPr>
          <w:rFonts w:hint="eastAsia" w:ascii="宋体" w:hAnsi="宋体"/>
          <w:szCs w:val="21"/>
        </w:rPr>
        <w:t>(3)安全责任制度和管理措施；</w:t>
      </w:r>
    </w:p>
    <w:p w14:paraId="42A0718D">
      <w:pPr>
        <w:spacing w:line="400" w:lineRule="exact"/>
        <w:ind w:left="945" w:hanging="945" w:hangingChars="450"/>
        <w:rPr>
          <w:rFonts w:hint="eastAsia" w:ascii="宋体" w:hAnsi="宋体" w:eastAsia="宋体"/>
          <w:szCs w:val="21"/>
          <w:lang w:eastAsia="zh-CN"/>
        </w:rPr>
      </w:pPr>
      <w:r>
        <w:rPr>
          <w:rFonts w:hint="eastAsia" w:ascii="宋体" w:hAnsi="宋体"/>
          <w:szCs w:val="21"/>
        </w:rPr>
        <w:t>(4)安全教育和培训制度及管理措施；</w:t>
      </w:r>
    </w:p>
    <w:p w14:paraId="08256187">
      <w:pPr>
        <w:spacing w:line="400" w:lineRule="exact"/>
        <w:ind w:left="945" w:hanging="945" w:hangingChars="450"/>
        <w:rPr>
          <w:rFonts w:hint="eastAsia" w:ascii="宋体" w:hAnsi="宋体" w:eastAsia="宋体"/>
          <w:szCs w:val="21"/>
          <w:lang w:eastAsia="zh-CN"/>
        </w:rPr>
      </w:pPr>
      <w:r>
        <w:rPr>
          <w:rFonts w:hint="eastAsia" w:ascii="宋体" w:hAnsi="宋体"/>
          <w:szCs w:val="21"/>
        </w:rPr>
        <w:t>(5)各项安全生产规章制度和操作规程；</w:t>
      </w:r>
    </w:p>
    <w:p w14:paraId="04512688">
      <w:pPr>
        <w:spacing w:line="400" w:lineRule="exact"/>
        <w:ind w:left="945" w:hanging="945" w:hangingChars="450"/>
        <w:rPr>
          <w:rFonts w:hint="eastAsia" w:ascii="宋体" w:hAnsi="宋体" w:eastAsia="宋体"/>
          <w:szCs w:val="21"/>
          <w:lang w:eastAsia="zh-CN"/>
        </w:rPr>
      </w:pPr>
      <w:r>
        <w:rPr>
          <w:rFonts w:hint="eastAsia" w:ascii="宋体" w:hAnsi="宋体"/>
          <w:szCs w:val="21"/>
        </w:rPr>
        <w:t>(6)各项施工安全措施和防护措施；</w:t>
      </w:r>
    </w:p>
    <w:p w14:paraId="3B89E444">
      <w:pPr>
        <w:spacing w:line="400" w:lineRule="exact"/>
        <w:ind w:left="945" w:hanging="945" w:hangingChars="450"/>
        <w:rPr>
          <w:rFonts w:hint="eastAsia" w:ascii="宋体" w:hAnsi="宋体" w:eastAsia="宋体"/>
          <w:szCs w:val="21"/>
          <w:lang w:eastAsia="zh-CN"/>
        </w:rPr>
      </w:pPr>
      <w:r>
        <w:rPr>
          <w:rFonts w:hint="eastAsia" w:ascii="宋体" w:hAnsi="宋体"/>
          <w:szCs w:val="21"/>
        </w:rPr>
        <w:t>(7)危险品管理和使用制度；</w:t>
      </w:r>
    </w:p>
    <w:p w14:paraId="38673DDB">
      <w:pPr>
        <w:spacing w:line="400" w:lineRule="exact"/>
        <w:ind w:left="945" w:hanging="945" w:hangingChars="450"/>
        <w:rPr>
          <w:rFonts w:hint="eastAsia" w:ascii="宋体" w:hAnsi="宋体" w:eastAsia="宋体"/>
          <w:szCs w:val="21"/>
          <w:lang w:eastAsia="zh-CN"/>
        </w:rPr>
      </w:pPr>
      <w:r>
        <w:rPr>
          <w:rFonts w:hint="eastAsia" w:ascii="宋体" w:hAnsi="宋体"/>
          <w:szCs w:val="21"/>
        </w:rPr>
        <w:t>(8)安全设施、设备、器材和劳动保护用品的配置；</w:t>
      </w:r>
    </w:p>
    <w:p w14:paraId="5DD58C8B">
      <w:pPr>
        <w:spacing w:line="400" w:lineRule="exact"/>
        <w:ind w:left="945" w:hanging="945" w:hangingChars="450"/>
        <w:rPr>
          <w:rFonts w:hint="eastAsia" w:ascii="宋体" w:hAnsi="宋体"/>
          <w:szCs w:val="21"/>
        </w:rPr>
      </w:pPr>
      <w:r>
        <w:rPr>
          <w:rFonts w:hint="eastAsia" w:ascii="宋体" w:hAnsi="宋体"/>
          <w:szCs w:val="21"/>
        </w:rPr>
        <w:t>(9)其他：</w:t>
      </w:r>
      <w:r>
        <w:rPr>
          <w:rFonts w:hint="eastAsia" w:ascii="宋体" w:hAnsi="宋体"/>
          <w:szCs w:val="21"/>
          <w:u w:val="single"/>
        </w:rPr>
        <w:t xml:space="preserve">                                             </w:t>
      </w:r>
      <w:r>
        <w:rPr>
          <w:rFonts w:hint="eastAsia" w:ascii="宋体" w:hAnsi="宋体"/>
          <w:szCs w:val="21"/>
        </w:rPr>
        <w:t>。</w:t>
      </w:r>
    </w:p>
    <w:p w14:paraId="5B5CC5D4">
      <w:pPr>
        <w:spacing w:line="400" w:lineRule="exact"/>
        <w:ind w:left="947" w:firstLine="21" w:firstLineChars="10"/>
        <w:rPr>
          <w:rFonts w:hint="eastAsia" w:ascii="宋体" w:hAnsi="宋体"/>
          <w:szCs w:val="21"/>
        </w:rPr>
      </w:pPr>
      <w:r>
        <w:rPr>
          <w:rFonts w:hint="eastAsia" w:ascii="宋体" w:hAnsi="宋体"/>
          <w:szCs w:val="21"/>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58B8A46E">
      <w:pPr>
        <w:spacing w:line="400" w:lineRule="exact"/>
        <w:ind w:left="945" w:hanging="945" w:hangingChars="450"/>
        <w:rPr>
          <w:rFonts w:hint="eastAsia" w:ascii="宋体" w:hAnsi="宋体"/>
          <w:szCs w:val="21"/>
        </w:rPr>
      </w:pPr>
      <w:r>
        <w:rPr>
          <w:rFonts w:hint="eastAsia" w:ascii="宋体" w:hAnsi="宋体"/>
          <w:szCs w:val="21"/>
        </w:rPr>
        <w:t>6.6.3    施工安全措施计划应当在专用合同条款第9.2.1项约定的期限内报送监理人。承包人应当严格执行经监理人批准的施工安全措施计划，并及时补充、修订和完善施工安全措施计划，确保安全生产。</w:t>
      </w:r>
    </w:p>
    <w:p w14:paraId="4467E397">
      <w:pPr>
        <w:spacing w:before="48" w:beforeLines="20" w:after="48" w:afterLines="20" w:line="420" w:lineRule="exact"/>
        <w:ind w:left="1080" w:hanging="1080" w:hangingChars="450"/>
        <w:rPr>
          <w:rFonts w:hint="eastAsia" w:ascii="黑体" w:hAnsi="宋体" w:eastAsia="黑体"/>
          <w:sz w:val="24"/>
        </w:rPr>
      </w:pPr>
      <w:r>
        <w:rPr>
          <w:rFonts w:hint="eastAsia" w:ascii="黑体" w:hAnsi="宋体" w:eastAsia="黑体"/>
          <w:sz w:val="24"/>
        </w:rPr>
        <w:t>6.7    文明施工</w:t>
      </w:r>
    </w:p>
    <w:p w14:paraId="2E639847">
      <w:pPr>
        <w:spacing w:line="420" w:lineRule="exact"/>
        <w:ind w:left="945" w:hanging="945" w:hangingChars="450"/>
        <w:rPr>
          <w:rFonts w:hint="eastAsia" w:ascii="宋体" w:hAnsi="宋体"/>
          <w:szCs w:val="21"/>
        </w:rPr>
      </w:pPr>
      <w:r>
        <w:rPr>
          <w:rFonts w:hint="eastAsia" w:ascii="宋体" w:hAnsi="宋体"/>
          <w:szCs w:val="21"/>
        </w:rPr>
        <w:t>6.7.1    承包人应遵守国家和工程所在地有关法规、规范、规程和标准的规定，履行文明施工义务，确保文明施工专项费用专款专用。</w:t>
      </w:r>
    </w:p>
    <w:p w14:paraId="2CCB36A1">
      <w:pPr>
        <w:spacing w:line="420" w:lineRule="exact"/>
        <w:ind w:left="945" w:hanging="945" w:hangingChars="450"/>
        <w:rPr>
          <w:rFonts w:hint="eastAsia" w:ascii="宋体" w:hAnsi="宋体"/>
          <w:szCs w:val="21"/>
        </w:rPr>
      </w:pPr>
      <w:r>
        <w:rPr>
          <w:rFonts w:hint="eastAsia" w:ascii="宋体" w:hAnsi="宋体"/>
          <w:szCs w:val="21"/>
        </w:rPr>
        <w:t>6.7.2     承包人应当规范现场施工秩序，实行标准化管理：</w:t>
      </w:r>
    </w:p>
    <w:p w14:paraId="0B9C5D74">
      <w:pPr>
        <w:spacing w:line="420" w:lineRule="exact"/>
        <w:ind w:left="1365" w:leftChars="500" w:hanging="315" w:hangingChars="150"/>
        <w:rPr>
          <w:rFonts w:hint="eastAsia" w:ascii="宋体" w:hAnsi="宋体"/>
          <w:szCs w:val="21"/>
        </w:rPr>
      </w:pPr>
      <w:r>
        <w:rPr>
          <w:rFonts w:hint="eastAsia" w:ascii="宋体" w:hAnsi="宋体"/>
          <w:szCs w:val="21"/>
        </w:rPr>
        <w:t>(1)承包人的施工场地(现场)必须干净整治、做到无积水、无淤泥、无杂物，材料堆放整齐；</w:t>
      </w:r>
    </w:p>
    <w:p w14:paraId="6EFED609">
      <w:pPr>
        <w:spacing w:line="420" w:lineRule="exact"/>
        <w:ind w:left="945" w:leftChars="450" w:right="-174" w:rightChars="-83" w:firstLine="105" w:firstLineChars="50"/>
        <w:rPr>
          <w:rFonts w:hint="eastAsia" w:ascii="宋体" w:hAnsi="宋体"/>
          <w:szCs w:val="21"/>
        </w:rPr>
      </w:pPr>
      <w:r>
        <w:rPr>
          <w:rFonts w:hint="eastAsia" w:ascii="宋体" w:hAnsi="宋体"/>
          <w:szCs w:val="21"/>
        </w:rPr>
        <w:t>(2)施工场地(现场)应进行硬化处理，定期定时洒水，做好防治扬尘和大气污染工作；</w:t>
      </w:r>
    </w:p>
    <w:p w14:paraId="0B91D9D2">
      <w:pPr>
        <w:spacing w:line="420" w:lineRule="exact"/>
        <w:ind w:left="945" w:leftChars="450" w:firstLine="105" w:firstLineChars="50"/>
        <w:rPr>
          <w:rFonts w:hint="eastAsia" w:ascii="宋体" w:hAnsi="宋体"/>
          <w:szCs w:val="21"/>
        </w:rPr>
      </w:pPr>
      <w:r>
        <w:rPr>
          <w:rFonts w:hint="eastAsia" w:ascii="宋体" w:hAnsi="宋体"/>
          <w:szCs w:val="21"/>
        </w:rPr>
        <w:t>(3)严格遵守“工完、料尽、场地净”的原则，不留垃圾、不留剩余施工材料和施工机具，各种设备运转正常；</w:t>
      </w:r>
    </w:p>
    <w:p w14:paraId="0D502DC7">
      <w:pPr>
        <w:spacing w:line="380" w:lineRule="exact"/>
        <w:ind w:left="1365" w:leftChars="500" w:hanging="315" w:hangingChars="150"/>
        <w:rPr>
          <w:rFonts w:hint="eastAsia" w:ascii="宋体" w:hAnsi="宋体"/>
          <w:szCs w:val="21"/>
        </w:rPr>
      </w:pPr>
      <w:r>
        <w:rPr>
          <w:rFonts w:hint="eastAsia" w:ascii="宋体" w:hAnsi="宋体"/>
          <w:szCs w:val="21"/>
        </w:rPr>
        <w:t>(4)承包人修建的施工临时设施应符合监理人批准的施工规划要求，并应满足本节规定的各项安全要求；</w:t>
      </w:r>
    </w:p>
    <w:p w14:paraId="1B7778DA">
      <w:pPr>
        <w:spacing w:line="380" w:lineRule="exact"/>
        <w:ind w:left="1365" w:leftChars="500" w:hanging="315" w:hangingChars="150"/>
        <w:rPr>
          <w:rFonts w:hint="eastAsia" w:ascii="宋体" w:hAnsi="宋体"/>
          <w:szCs w:val="21"/>
        </w:rPr>
      </w:pPr>
      <w:r>
        <w:rPr>
          <w:rFonts w:hint="eastAsia" w:ascii="宋体" w:hAnsi="宋体"/>
          <w:szCs w:val="21"/>
        </w:rPr>
        <w:t>(5)监理人可要求承包人在施工场地(现场)设置各级承包人的安全文明施工责任牌等文明施工警示牌；</w:t>
      </w:r>
    </w:p>
    <w:p w14:paraId="4C3001F1">
      <w:pPr>
        <w:spacing w:line="380" w:lineRule="exact"/>
        <w:ind w:left="1365" w:leftChars="500" w:hanging="315" w:hangingChars="150"/>
        <w:rPr>
          <w:rFonts w:hint="eastAsia" w:ascii="宋体" w:hAnsi="宋体"/>
          <w:szCs w:val="21"/>
        </w:rPr>
      </w:pPr>
      <w:r>
        <w:rPr>
          <w:rFonts w:hint="eastAsia" w:ascii="宋体" w:hAnsi="宋体"/>
          <w:szCs w:val="21"/>
        </w:rPr>
        <w:t>(6)材料进入现场应按指定位置堆放整齐，不得影响现场施工和堵塞施工、消防通道。材料堆放场地应有专职的管理人员；</w:t>
      </w:r>
    </w:p>
    <w:p w14:paraId="3F0C092B">
      <w:pPr>
        <w:spacing w:line="380" w:lineRule="exact"/>
        <w:ind w:left="1365" w:leftChars="500" w:hanging="315" w:hangingChars="150"/>
        <w:rPr>
          <w:rFonts w:hint="eastAsia" w:ascii="宋体" w:hAnsi="宋体"/>
          <w:szCs w:val="21"/>
        </w:rPr>
      </w:pPr>
      <w:r>
        <w:rPr>
          <w:rFonts w:hint="eastAsia" w:ascii="宋体" w:hAnsi="宋体"/>
          <w:szCs w:val="21"/>
        </w:rPr>
        <w:t>(7)施工和安装用的各种扣件、紧固件、绳索具、小型配件、镙钉等应在专设的仓库内装箱放置；</w:t>
      </w:r>
    </w:p>
    <w:p w14:paraId="693D66D1">
      <w:pPr>
        <w:spacing w:line="380" w:lineRule="exact"/>
        <w:ind w:left="1365" w:leftChars="500" w:hanging="315" w:hangingChars="150"/>
        <w:rPr>
          <w:rFonts w:hint="eastAsia" w:ascii="宋体" w:hAnsi="宋体"/>
          <w:szCs w:val="21"/>
        </w:rPr>
      </w:pPr>
      <w:r>
        <w:rPr>
          <w:rFonts w:hint="eastAsia" w:ascii="宋体" w:hAnsi="宋体"/>
          <w:szCs w:val="21"/>
        </w:rPr>
        <w:t>(8)现场风、水管及照明电线的布置应安全、合理、规范、有序，做到整齐美观。不得随意架设和造成隐患或影响施工。</w:t>
      </w:r>
    </w:p>
    <w:p w14:paraId="51B24123">
      <w:pPr>
        <w:spacing w:line="380" w:lineRule="exact"/>
        <w:ind w:left="945" w:right="42" w:rightChars="20" w:hanging="945" w:hangingChars="450"/>
        <w:rPr>
          <w:rFonts w:hint="eastAsia" w:ascii="宋体" w:hAnsi="宋体"/>
          <w:szCs w:val="21"/>
        </w:rPr>
      </w:pPr>
      <w:r>
        <w:rPr>
          <w:rFonts w:hint="eastAsia" w:ascii="宋体" w:hAnsi="宋体"/>
          <w:szCs w:val="21"/>
        </w:rPr>
        <w:t>6.7.3    承包人应为其雇佣的施工工人建立并维护相应的生活宿舍、食堂、浴室、厕所和文化活动室等，其标准应满足政府有关机构的生活标准和卫生标准等的要求。</w:t>
      </w:r>
    </w:p>
    <w:p w14:paraId="12D502C9">
      <w:pPr>
        <w:spacing w:line="380" w:lineRule="exact"/>
        <w:ind w:left="945" w:right="42" w:rightChars="20" w:hanging="945" w:hangingChars="450"/>
        <w:rPr>
          <w:rFonts w:hint="eastAsia" w:ascii="宋体" w:hAnsi="宋体"/>
          <w:szCs w:val="21"/>
        </w:rPr>
      </w:pPr>
      <w:r>
        <w:rPr>
          <w:rFonts w:hint="eastAsia" w:ascii="宋体" w:hAnsi="宋体"/>
          <w:szCs w:val="21"/>
        </w:rPr>
        <w:t>6.7.4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3342A870">
      <w:pPr>
        <w:spacing w:line="380" w:lineRule="exact"/>
        <w:ind w:left="945" w:right="42" w:rightChars="20" w:hanging="945" w:hangingChars="450"/>
        <w:rPr>
          <w:rFonts w:hint="eastAsia" w:ascii="宋体" w:hAnsi="宋体"/>
          <w:szCs w:val="21"/>
        </w:rPr>
      </w:pPr>
      <w:r>
        <w:rPr>
          <w:rFonts w:hint="eastAsia" w:ascii="宋体" w:hAnsi="宋体"/>
          <w:szCs w:val="21"/>
        </w:rPr>
        <w:t>6.7.5    在工程施工期间，承包人应始终避免现场出现不必要的障碍物，妥当存放并处置施工设备和多余的材料，及时从现场清除运走任何废料、垃圾或不再需要的临时工程和设施。</w:t>
      </w:r>
    </w:p>
    <w:p w14:paraId="48DEEBA4">
      <w:pPr>
        <w:spacing w:line="380" w:lineRule="exact"/>
        <w:ind w:left="945" w:right="42" w:rightChars="20" w:hanging="945" w:hangingChars="450"/>
        <w:rPr>
          <w:rFonts w:hint="eastAsia" w:ascii="宋体" w:hAnsi="宋体"/>
          <w:szCs w:val="21"/>
        </w:rPr>
      </w:pPr>
      <w:r>
        <w:rPr>
          <w:rFonts w:hint="eastAsia" w:ascii="宋体" w:hAnsi="宋体"/>
          <w:szCs w:val="21"/>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58603F25">
      <w:pPr>
        <w:spacing w:line="380" w:lineRule="exact"/>
        <w:ind w:left="945" w:right="42" w:rightChars="20" w:hanging="945" w:hangingChars="450"/>
        <w:rPr>
          <w:rFonts w:hint="eastAsia" w:ascii="宋体" w:hAnsi="宋体"/>
          <w:szCs w:val="21"/>
        </w:rPr>
      </w:pPr>
      <w:r>
        <w:rPr>
          <w:rFonts w:hint="eastAsia" w:ascii="宋体" w:hAnsi="宋体"/>
          <w:szCs w:val="21"/>
        </w:rPr>
        <w:t>6.7.7    承包人应在现场设立固定的垃圾临时存放点并在各楼层或区域设立必要的垃圾箱；所有垃圾必须在当天清除出现场，并按有关行政管理部门的规定，运送到指定的垃圾消纳场。</w:t>
      </w:r>
    </w:p>
    <w:p w14:paraId="73898719">
      <w:pPr>
        <w:spacing w:line="380" w:lineRule="exact"/>
        <w:ind w:left="945" w:right="42" w:rightChars="20" w:hanging="945" w:hangingChars="450"/>
        <w:rPr>
          <w:rFonts w:hint="eastAsia" w:ascii="宋体" w:hAnsi="宋体"/>
          <w:szCs w:val="21"/>
        </w:rPr>
      </w:pPr>
      <w:r>
        <w:rPr>
          <w:rFonts w:hint="eastAsia" w:ascii="宋体" w:hAnsi="宋体"/>
          <w:szCs w:val="21"/>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w:t>
      </w:r>
      <w:r>
        <w:rPr>
          <w:rFonts w:hint="eastAsia" w:ascii="宋体" w:hAnsi="宋体"/>
          <w:szCs w:val="21"/>
          <w:lang w:val="en-US" w:eastAsia="zh-CN"/>
        </w:rPr>
        <w:t>筑</w:t>
      </w:r>
      <w:r>
        <w:rPr>
          <w:rFonts w:hint="eastAsia" w:ascii="宋体" w:hAnsi="宋体"/>
          <w:szCs w:val="21"/>
        </w:rPr>
        <w:t>、材料运输、材料装卸、现场清理等工作中应采取一切必要的措施防止影响公共交通。</w:t>
      </w:r>
    </w:p>
    <w:p w14:paraId="21AEECC1">
      <w:pPr>
        <w:spacing w:line="380" w:lineRule="exact"/>
        <w:ind w:left="945" w:right="42" w:rightChars="20" w:hanging="945" w:hangingChars="450"/>
        <w:rPr>
          <w:rFonts w:hint="eastAsia" w:ascii="宋体" w:hAnsi="宋体"/>
          <w:szCs w:val="21"/>
        </w:rPr>
      </w:pPr>
      <w:r>
        <w:rPr>
          <w:rFonts w:hint="eastAsia" w:ascii="宋体" w:hAnsi="宋体"/>
          <w:szCs w:val="21"/>
        </w:rPr>
        <w:t>6.7.9    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14:paraId="6B0ACC7F">
      <w:pPr>
        <w:spacing w:line="378" w:lineRule="exact"/>
        <w:ind w:left="945" w:right="42" w:rightChars="20" w:hanging="945" w:hangingChars="450"/>
        <w:rPr>
          <w:rFonts w:hint="eastAsia" w:ascii="宋体" w:hAnsi="宋体"/>
          <w:szCs w:val="21"/>
        </w:rPr>
      </w:pPr>
      <w:r>
        <w:rPr>
          <w:rFonts w:hint="eastAsia" w:ascii="宋体" w:hAnsi="宋体"/>
          <w:szCs w:val="21"/>
        </w:rPr>
        <w:t>6.7.10   文明施工方面的其他要求如下：</w:t>
      </w:r>
    </w:p>
    <w:p w14:paraId="0E323BB8">
      <w:pPr>
        <w:spacing w:line="378" w:lineRule="exact"/>
        <w:ind w:left="945" w:right="42" w:rightChars="20" w:hanging="945" w:hangingChars="4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3551B789">
      <w:pPr>
        <w:spacing w:line="378" w:lineRule="exact"/>
        <w:ind w:left="945" w:right="42" w:rightChars="20"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65ED5C9">
      <w:pPr>
        <w:spacing w:line="378" w:lineRule="exact"/>
        <w:ind w:left="949" w:right="42" w:rightChars="20" w:hanging="949" w:hangingChars="450"/>
        <w:rPr>
          <w:rFonts w:hint="eastAsia" w:ascii="宋体" w:hAnsi="宋体"/>
          <w:b/>
          <w:szCs w:val="21"/>
        </w:rPr>
      </w:pPr>
      <w:r>
        <w:rPr>
          <w:rFonts w:hint="eastAsia" w:ascii="宋体" w:hAnsi="宋体"/>
          <w:b/>
          <w:szCs w:val="21"/>
        </w:rPr>
        <w:t>6.8      环境保护</w:t>
      </w:r>
    </w:p>
    <w:p w14:paraId="352115ED">
      <w:pPr>
        <w:spacing w:line="378" w:lineRule="exact"/>
        <w:ind w:left="945" w:right="42" w:rightChars="20" w:hanging="945" w:hangingChars="450"/>
        <w:rPr>
          <w:rFonts w:hint="eastAsia" w:ascii="宋体" w:hAnsi="宋体"/>
          <w:szCs w:val="21"/>
        </w:rPr>
      </w:pPr>
      <w:r>
        <w:rPr>
          <w:rFonts w:hint="eastAsia" w:ascii="宋体" w:hAnsi="宋体"/>
          <w:szCs w:val="21"/>
        </w:rPr>
        <w:t>6.8.1    在工程施工、完工及修补任何缺陷的过程中，承包人应当始终遵守国家和工程所在地有关环境保护、水土保护和污染防治的法律、法规、规章、规范、标准和规程等，按照通用合同条款第4.1.6项和第9.4款的约定履行其环境与生态保护职责。</w:t>
      </w:r>
    </w:p>
    <w:p w14:paraId="750C6F6F">
      <w:pPr>
        <w:spacing w:line="378" w:lineRule="exact"/>
        <w:ind w:left="945" w:right="42" w:rightChars="20" w:hanging="945" w:hangingChars="450"/>
        <w:rPr>
          <w:rFonts w:hint="eastAsia" w:ascii="宋体" w:hAnsi="宋体"/>
          <w:szCs w:val="21"/>
        </w:rPr>
      </w:pPr>
      <w:r>
        <w:rPr>
          <w:rFonts w:hint="eastAsia" w:ascii="宋体" w:hAnsi="宋体"/>
          <w:szCs w:val="21"/>
        </w:rPr>
        <w:t>6.8.2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35C2C657">
      <w:pPr>
        <w:spacing w:line="378" w:lineRule="exact"/>
        <w:ind w:left="945" w:right="42" w:rightChars="20" w:hanging="945" w:hangingChars="450"/>
        <w:rPr>
          <w:rFonts w:hint="eastAsia" w:ascii="宋体" w:hAnsi="宋体"/>
          <w:szCs w:val="21"/>
        </w:rPr>
      </w:pPr>
      <w:r>
        <w:rPr>
          <w:rFonts w:hint="eastAsia" w:ascii="宋体" w:hAnsi="宋体"/>
          <w:szCs w:val="21"/>
        </w:rPr>
        <w:t>6.8.3    承包人制订施工方案和组织措施时应当同步考虑环境和资源保护，包括水土资源保护、噪声、振动和照明污染防治、固体废弃物处理、污水和废气处理、粉尘和扬尘控制、道路污染防治、卫生防疫、禁止有害材料、节能减排以及不可再生资源的循环使用等因素。</w:t>
      </w:r>
    </w:p>
    <w:p w14:paraId="59AB6B0C">
      <w:pPr>
        <w:spacing w:line="378" w:lineRule="exact"/>
        <w:ind w:left="945" w:right="42" w:rightChars="20" w:hanging="945" w:hangingChars="450"/>
        <w:rPr>
          <w:rFonts w:hint="eastAsia" w:ascii="宋体" w:hAnsi="宋体"/>
          <w:szCs w:val="21"/>
        </w:rPr>
      </w:pPr>
      <w:r>
        <w:rPr>
          <w:rFonts w:hint="eastAsia" w:ascii="宋体" w:hAnsi="宋体"/>
          <w:szCs w:val="21"/>
        </w:rPr>
        <w:t>6.8.4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有关规定。承包人还应设置完善的排水系统，保持施工场地(现场)始终处于良好的排水状态，防止降雨径流对施工场地(现场)的冲刷。</w:t>
      </w:r>
    </w:p>
    <w:p w14:paraId="13563687">
      <w:pPr>
        <w:spacing w:line="378" w:lineRule="exact"/>
        <w:ind w:left="945" w:right="42" w:rightChars="20" w:hanging="945" w:hangingChars="450"/>
        <w:rPr>
          <w:rFonts w:hint="eastAsia" w:ascii="宋体" w:hAnsi="宋体"/>
          <w:szCs w:val="21"/>
        </w:rPr>
      </w:pPr>
      <w:r>
        <w:rPr>
          <w:rFonts w:hint="eastAsia" w:ascii="宋体" w:hAnsi="宋体"/>
          <w:szCs w:val="21"/>
        </w:rPr>
        <w:t>6.8.5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5A667E7F">
      <w:pPr>
        <w:spacing w:line="378" w:lineRule="exact"/>
        <w:ind w:left="945" w:right="42" w:rightChars="20" w:hanging="945" w:hangingChars="450"/>
        <w:rPr>
          <w:rFonts w:hint="eastAsia" w:ascii="宋体" w:hAnsi="宋体"/>
          <w:szCs w:val="21"/>
        </w:rPr>
      </w:pPr>
      <w:r>
        <w:rPr>
          <w:rFonts w:hint="eastAsia" w:ascii="宋体" w:hAnsi="宋体"/>
          <w:szCs w:val="21"/>
        </w:rPr>
        <w:t>6.8.6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等。</w:t>
      </w:r>
    </w:p>
    <w:p w14:paraId="5E03F2CA">
      <w:pPr>
        <w:spacing w:line="378" w:lineRule="exact"/>
        <w:ind w:left="945" w:right="42" w:rightChars="20" w:hanging="945" w:hangingChars="450"/>
        <w:rPr>
          <w:rFonts w:hint="eastAsia" w:ascii="宋体" w:hAnsi="宋体"/>
          <w:szCs w:val="21"/>
        </w:rPr>
      </w:pPr>
      <w:r>
        <w:rPr>
          <w:rFonts w:hint="eastAsia" w:ascii="宋体" w:hAnsi="宋体"/>
          <w:szCs w:val="21"/>
        </w:rPr>
        <w:t>6.8.7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00271E83">
      <w:pPr>
        <w:spacing w:line="396" w:lineRule="exact"/>
        <w:ind w:left="945" w:right="42" w:rightChars="20" w:hanging="945" w:hangingChars="450"/>
        <w:rPr>
          <w:rFonts w:hint="eastAsia" w:ascii="宋体" w:hAnsi="宋体"/>
          <w:szCs w:val="21"/>
        </w:rPr>
      </w:pPr>
      <w:r>
        <w:rPr>
          <w:rFonts w:hint="eastAsia" w:ascii="宋体" w:hAnsi="宋体"/>
          <w:szCs w:val="21"/>
        </w:rPr>
        <w:t>6.8.8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 (现场)周边生产和生活的影响，并满足国家和地方政府有关规定的要求。</w:t>
      </w:r>
    </w:p>
    <w:p w14:paraId="3D6F3EAA">
      <w:pPr>
        <w:spacing w:line="396" w:lineRule="exact"/>
        <w:ind w:left="945" w:right="42" w:rightChars="20" w:hanging="945" w:hangingChars="450"/>
        <w:rPr>
          <w:rFonts w:hint="eastAsia" w:ascii="宋体" w:hAnsi="宋体"/>
          <w:szCs w:val="21"/>
        </w:rPr>
      </w:pPr>
      <w:r>
        <w:rPr>
          <w:rFonts w:hint="eastAsia" w:ascii="宋体" w:hAnsi="宋体"/>
          <w:szCs w:val="21"/>
        </w:rPr>
        <w:t>6.8.9    环境保护方面的其他要求如下：</w:t>
      </w:r>
    </w:p>
    <w:p w14:paraId="5611FBD2">
      <w:pPr>
        <w:spacing w:line="440" w:lineRule="exact"/>
        <w:ind w:left="945" w:right="42" w:rightChars="20" w:hanging="945" w:hangingChars="4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5742ACDF">
      <w:pPr>
        <w:spacing w:line="440" w:lineRule="exact"/>
        <w:ind w:left="945" w:right="42" w:rightChars="20"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1FBEFD5">
      <w:pPr>
        <w:spacing w:before="72" w:beforeLines="30" w:after="72" w:afterLines="30" w:line="396" w:lineRule="exact"/>
        <w:ind w:left="1080" w:right="42" w:rightChars="20" w:hanging="1080" w:hangingChars="450"/>
        <w:rPr>
          <w:rFonts w:hint="eastAsia" w:ascii="黑体" w:hAnsi="宋体" w:eastAsia="黑体"/>
          <w:sz w:val="24"/>
        </w:rPr>
      </w:pPr>
      <w:r>
        <w:rPr>
          <w:rFonts w:hint="eastAsia" w:ascii="黑体" w:hAnsi="宋体" w:eastAsia="黑体"/>
          <w:sz w:val="24"/>
        </w:rPr>
        <w:t>6.9     施工环保措施计划</w:t>
      </w:r>
    </w:p>
    <w:p w14:paraId="39C47D53">
      <w:pPr>
        <w:spacing w:line="396" w:lineRule="exact"/>
        <w:ind w:left="945" w:right="42" w:rightChars="20" w:hanging="945" w:hangingChars="450"/>
        <w:rPr>
          <w:rFonts w:hint="eastAsia" w:ascii="宋体" w:hAnsi="宋体"/>
          <w:szCs w:val="21"/>
        </w:rPr>
      </w:pPr>
      <w:r>
        <w:rPr>
          <w:rFonts w:hint="eastAsia" w:ascii="宋体" w:hAnsi="宋体"/>
          <w:szCs w:val="21"/>
        </w:rPr>
        <w:t>6.9.1    通用合同条款第9.4.2项约定的施工环保措施计划是承包人阐明环保方针和拟采用的环保措施及方法等的文件，其内容应包括但不限于：</w:t>
      </w:r>
    </w:p>
    <w:p w14:paraId="1D52EF01">
      <w:pPr>
        <w:spacing w:line="396" w:lineRule="exact"/>
        <w:ind w:left="945" w:leftChars="450" w:right="42" w:rightChars="20"/>
        <w:rPr>
          <w:rFonts w:hint="eastAsia" w:ascii="宋体" w:hAnsi="宋体"/>
          <w:szCs w:val="21"/>
        </w:rPr>
      </w:pPr>
      <w:r>
        <w:rPr>
          <w:rFonts w:hint="eastAsia" w:ascii="宋体" w:hAnsi="宋体"/>
          <w:szCs w:val="21"/>
        </w:rPr>
        <w:t>(1)承包人生活区(如果有)的生活用水和生活污水处理措施；</w:t>
      </w:r>
    </w:p>
    <w:p w14:paraId="0DFD82AB">
      <w:pPr>
        <w:spacing w:line="396" w:lineRule="exact"/>
        <w:ind w:left="945" w:leftChars="450" w:right="42" w:rightChars="20"/>
        <w:rPr>
          <w:rFonts w:hint="eastAsia" w:ascii="宋体" w:hAnsi="宋体"/>
          <w:szCs w:val="21"/>
        </w:rPr>
      </w:pPr>
      <w:r>
        <w:rPr>
          <w:rFonts w:hint="eastAsia" w:ascii="宋体" w:hAnsi="宋体"/>
          <w:szCs w:val="21"/>
        </w:rPr>
        <w:t>(2)施工生产废水处理措施；</w:t>
      </w:r>
    </w:p>
    <w:p w14:paraId="78F86778">
      <w:pPr>
        <w:spacing w:line="396" w:lineRule="exact"/>
        <w:ind w:left="945" w:leftChars="450" w:right="42" w:rightChars="20"/>
        <w:rPr>
          <w:rFonts w:hint="eastAsia" w:ascii="宋体" w:hAnsi="宋体"/>
          <w:szCs w:val="21"/>
        </w:rPr>
      </w:pPr>
      <w:r>
        <w:rPr>
          <w:rFonts w:hint="eastAsia" w:ascii="宋体" w:hAnsi="宋体"/>
          <w:szCs w:val="21"/>
        </w:rPr>
        <w:t>(3)施工扬尘和废气的处理措施；</w:t>
      </w:r>
    </w:p>
    <w:p w14:paraId="0D0E208F">
      <w:pPr>
        <w:spacing w:line="396" w:lineRule="exact"/>
        <w:ind w:left="945" w:leftChars="450" w:right="42" w:rightChars="20"/>
        <w:rPr>
          <w:rFonts w:hint="eastAsia" w:ascii="宋体" w:hAnsi="宋体"/>
          <w:szCs w:val="21"/>
        </w:rPr>
      </w:pPr>
      <w:r>
        <w:rPr>
          <w:rFonts w:hint="eastAsia" w:ascii="宋体" w:hAnsi="宋体"/>
          <w:szCs w:val="21"/>
        </w:rPr>
        <w:t>(4)施工噪声和光污染控制措施；</w:t>
      </w:r>
    </w:p>
    <w:p w14:paraId="7196B42D">
      <w:pPr>
        <w:spacing w:line="396" w:lineRule="exact"/>
        <w:ind w:left="945" w:leftChars="450" w:right="42" w:rightChars="20"/>
        <w:rPr>
          <w:rFonts w:hint="eastAsia" w:ascii="宋体" w:hAnsi="宋体"/>
          <w:szCs w:val="21"/>
        </w:rPr>
      </w:pPr>
      <w:r>
        <w:rPr>
          <w:rFonts w:hint="eastAsia" w:ascii="宋体" w:hAnsi="宋体"/>
          <w:szCs w:val="21"/>
        </w:rPr>
        <w:t>(5)节能减排措施；</w:t>
      </w:r>
    </w:p>
    <w:p w14:paraId="470BDC37">
      <w:pPr>
        <w:spacing w:line="396" w:lineRule="exact"/>
        <w:ind w:left="945" w:leftChars="450" w:right="42" w:rightChars="20"/>
        <w:rPr>
          <w:rFonts w:hint="eastAsia" w:ascii="宋体" w:hAnsi="宋体"/>
          <w:szCs w:val="21"/>
        </w:rPr>
      </w:pPr>
      <w:r>
        <w:rPr>
          <w:rFonts w:hint="eastAsia" w:ascii="宋体" w:hAnsi="宋体"/>
          <w:szCs w:val="21"/>
        </w:rPr>
        <w:t>(6)不可再生资源循环利用措施；</w:t>
      </w:r>
    </w:p>
    <w:p w14:paraId="643BBF06">
      <w:pPr>
        <w:spacing w:line="396" w:lineRule="exact"/>
        <w:ind w:left="945" w:leftChars="450" w:right="42" w:rightChars="20"/>
        <w:rPr>
          <w:rFonts w:hint="eastAsia" w:ascii="宋体" w:hAnsi="宋体"/>
          <w:szCs w:val="21"/>
        </w:rPr>
      </w:pPr>
      <w:r>
        <w:rPr>
          <w:rFonts w:hint="eastAsia" w:ascii="宋体" w:hAnsi="宋体"/>
          <w:szCs w:val="21"/>
        </w:rPr>
        <w:t>(7)固体废弃物处理措施；</w:t>
      </w:r>
    </w:p>
    <w:p w14:paraId="332C3E03">
      <w:pPr>
        <w:spacing w:line="396" w:lineRule="exact"/>
        <w:ind w:left="945" w:leftChars="450" w:right="42" w:rightChars="20"/>
        <w:rPr>
          <w:rFonts w:hint="eastAsia" w:ascii="宋体" w:hAnsi="宋体"/>
          <w:szCs w:val="21"/>
        </w:rPr>
      </w:pPr>
      <w:r>
        <w:rPr>
          <w:rFonts w:hint="eastAsia" w:ascii="宋体" w:hAnsi="宋体"/>
          <w:szCs w:val="21"/>
        </w:rPr>
        <w:t>(8)人群健康保护和卫生防疫措施；</w:t>
      </w:r>
    </w:p>
    <w:p w14:paraId="23F0BD17">
      <w:pPr>
        <w:spacing w:line="396" w:lineRule="exact"/>
        <w:ind w:left="945" w:leftChars="450" w:right="42" w:rightChars="20"/>
        <w:rPr>
          <w:rFonts w:hint="eastAsia" w:ascii="宋体" w:hAnsi="宋体"/>
          <w:szCs w:val="21"/>
        </w:rPr>
      </w:pPr>
      <w:r>
        <w:rPr>
          <w:rFonts w:hint="eastAsia" w:ascii="宋体" w:hAnsi="宋体"/>
          <w:szCs w:val="21"/>
        </w:rPr>
        <w:t>(9)防止误用有害材料的保证措施；</w:t>
      </w:r>
    </w:p>
    <w:p w14:paraId="3EEC459D">
      <w:pPr>
        <w:spacing w:line="396" w:lineRule="exact"/>
        <w:ind w:left="945" w:leftChars="450" w:right="42" w:rightChars="20"/>
        <w:rPr>
          <w:rFonts w:hint="eastAsia" w:ascii="宋体" w:hAnsi="宋体"/>
          <w:szCs w:val="21"/>
        </w:rPr>
      </w:pPr>
      <w:r>
        <w:rPr>
          <w:rFonts w:hint="eastAsia" w:ascii="宋体" w:hAnsi="宋体"/>
          <w:szCs w:val="21"/>
        </w:rPr>
        <w:t>(10)施工边坡工程的水土流失保护措施；</w:t>
      </w:r>
    </w:p>
    <w:p w14:paraId="24C1B824">
      <w:pPr>
        <w:spacing w:line="396" w:lineRule="exact"/>
        <w:ind w:left="945" w:leftChars="450" w:right="42" w:rightChars="20"/>
        <w:rPr>
          <w:rFonts w:hint="eastAsia" w:ascii="宋体" w:hAnsi="宋体"/>
          <w:szCs w:val="21"/>
        </w:rPr>
      </w:pPr>
      <w:r>
        <w:rPr>
          <w:rFonts w:hint="eastAsia" w:ascii="宋体" w:hAnsi="宋体"/>
          <w:szCs w:val="21"/>
        </w:rPr>
        <w:t>(11)道路污染防治措施；</w:t>
      </w:r>
    </w:p>
    <w:p w14:paraId="0346C044">
      <w:pPr>
        <w:spacing w:line="396" w:lineRule="exact"/>
        <w:ind w:left="945" w:leftChars="450" w:right="42" w:rightChars="20"/>
        <w:rPr>
          <w:rFonts w:hint="eastAsia" w:ascii="宋体" w:hAnsi="宋体"/>
          <w:szCs w:val="21"/>
        </w:rPr>
      </w:pPr>
      <w:r>
        <w:rPr>
          <w:rFonts w:hint="eastAsia" w:ascii="宋体" w:hAnsi="宋体"/>
          <w:szCs w:val="21"/>
        </w:rPr>
        <w:t>(12)完工后场地清理及其植被(如果有)恢复的规划和措施；</w:t>
      </w:r>
    </w:p>
    <w:p w14:paraId="3AAD8BE1">
      <w:pPr>
        <w:spacing w:line="396" w:lineRule="exact"/>
        <w:ind w:left="945" w:leftChars="450" w:right="42" w:rightChars="20"/>
        <w:rPr>
          <w:rFonts w:hint="eastAsia" w:ascii="宋体" w:hAnsi="宋体"/>
          <w:szCs w:val="21"/>
        </w:rPr>
      </w:pPr>
      <w:r>
        <w:rPr>
          <w:rFonts w:hint="eastAsia" w:ascii="宋体" w:hAnsi="宋体"/>
          <w:szCs w:val="21"/>
        </w:rPr>
        <w:t>(13)其他：</w:t>
      </w:r>
      <w:r>
        <w:rPr>
          <w:rFonts w:hint="eastAsia" w:ascii="宋体" w:hAnsi="宋体"/>
          <w:szCs w:val="21"/>
          <w:u w:val="single"/>
        </w:rPr>
        <w:t xml:space="preserve">                                              </w:t>
      </w:r>
      <w:r>
        <w:rPr>
          <w:rFonts w:hint="eastAsia" w:ascii="宋体" w:hAnsi="宋体"/>
          <w:szCs w:val="21"/>
        </w:rPr>
        <w:t>。</w:t>
      </w:r>
    </w:p>
    <w:p w14:paraId="7D48B639">
      <w:pPr>
        <w:spacing w:line="396" w:lineRule="exact"/>
        <w:ind w:left="945" w:right="42" w:rightChars="20" w:hanging="945" w:hangingChars="450"/>
        <w:rPr>
          <w:rFonts w:hint="eastAsia" w:ascii="宋体" w:hAnsi="宋体"/>
          <w:szCs w:val="21"/>
        </w:rPr>
      </w:pPr>
      <w:r>
        <w:rPr>
          <w:rFonts w:hint="eastAsia" w:ascii="宋体" w:hAnsi="宋体"/>
          <w:szCs w:val="21"/>
        </w:rPr>
        <w:t>6.9.2    施工环保措施计划应当在专用合同条款第9.4款约定的期限内报送监理人。承包人应当严格执行经监理人批准的施工环保措施计划，并及时补充、修订和完善施工环保措施计划。</w:t>
      </w:r>
    </w:p>
    <w:p w14:paraId="5F25A663">
      <w:pPr>
        <w:pStyle w:val="20"/>
        <w:rPr>
          <w:rFonts w:hint="eastAsia"/>
          <w:sz w:val="28"/>
          <w:szCs w:val="28"/>
        </w:rPr>
      </w:pPr>
      <w:bookmarkStart w:id="2618" w:name="_Toc108514204"/>
      <w:r>
        <w:rPr>
          <w:rFonts w:hint="eastAsia"/>
          <w:sz w:val="28"/>
          <w:szCs w:val="28"/>
        </w:rPr>
        <w:t>7.治安保卫</w:t>
      </w:r>
      <w:bookmarkEnd w:id="2618"/>
    </w:p>
    <w:p w14:paraId="6B0CA548">
      <w:pPr>
        <w:spacing w:line="390" w:lineRule="exact"/>
        <w:ind w:left="945" w:hanging="945" w:hangingChars="450"/>
        <w:rPr>
          <w:rFonts w:hint="eastAsia" w:ascii="宋体" w:hAnsi="宋体"/>
          <w:szCs w:val="21"/>
        </w:rPr>
      </w:pPr>
      <w:r>
        <w:rPr>
          <w:rFonts w:hint="eastAsia" w:ascii="宋体" w:hAnsi="宋体"/>
          <w:szCs w:val="21"/>
        </w:rPr>
        <w:t xml:space="preserve">7.1      </w:t>
      </w:r>
      <w:r>
        <w:rPr>
          <w:rFonts w:hint="eastAsia" w:ascii="宋体" w:hAnsi="宋体"/>
          <w:spacing w:val="6"/>
          <w:szCs w:val="21"/>
        </w:rPr>
        <w:t>承包人应为施工场地(现场)提供24小时的保安保卫服务，配备足够的保安人员和保安设备，防止未经批准的任何人进入现场，控制人员、材料和设备等的进出场，防止现场材料、设备或其他任何物品的失窃，禁止任何现场内的打架斗殴事件。</w:t>
      </w:r>
    </w:p>
    <w:p w14:paraId="301AEAEC">
      <w:pPr>
        <w:spacing w:line="390" w:lineRule="exact"/>
        <w:ind w:left="945" w:hanging="945" w:hangingChars="450"/>
        <w:rPr>
          <w:rFonts w:hint="eastAsia" w:ascii="宋体" w:hAnsi="宋体"/>
          <w:szCs w:val="21"/>
        </w:rPr>
      </w:pPr>
      <w:r>
        <w:rPr>
          <w:rFonts w:hint="eastAsia" w:ascii="宋体" w:hAnsi="宋体"/>
          <w:szCs w:val="21"/>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61DD7FD1">
      <w:pPr>
        <w:spacing w:line="390" w:lineRule="exact"/>
        <w:ind w:left="945" w:hanging="945" w:hangingChars="450"/>
        <w:rPr>
          <w:rFonts w:hint="eastAsia" w:ascii="宋体" w:hAnsi="宋体"/>
          <w:szCs w:val="21"/>
        </w:rPr>
      </w:pPr>
      <w:r>
        <w:rPr>
          <w:rFonts w:hint="eastAsia" w:ascii="宋体" w:hAnsi="宋体"/>
          <w:szCs w:val="21"/>
        </w:rPr>
        <w:t>7.3      承包人应制定并实施严格的施工场地(现场)出入制度并报监理人审批；车辆的出入须有出入审批制度，并有指定的专人负责管理；人员进出现场应有出入证，出入证须以经过监理人批准的格式印制。</w:t>
      </w:r>
    </w:p>
    <w:p w14:paraId="30088E81">
      <w:pPr>
        <w:spacing w:line="390" w:lineRule="exact"/>
        <w:ind w:left="945" w:hanging="945" w:hangingChars="450"/>
        <w:rPr>
          <w:rFonts w:hint="eastAsia" w:ascii="宋体" w:hAnsi="宋体"/>
          <w:szCs w:val="21"/>
        </w:rPr>
      </w:pPr>
      <w:r>
        <w:rPr>
          <w:rFonts w:hint="eastAsia" w:ascii="宋体" w:hAnsi="宋体"/>
          <w:szCs w:val="21"/>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6918AC29">
      <w:pPr>
        <w:spacing w:line="390" w:lineRule="exact"/>
        <w:ind w:left="945" w:hanging="945" w:hangingChars="450"/>
        <w:rPr>
          <w:rFonts w:hint="eastAsia" w:ascii="宋体" w:hAnsi="宋体"/>
          <w:szCs w:val="21"/>
        </w:rPr>
      </w:pPr>
      <w:r>
        <w:rPr>
          <w:rFonts w:hint="eastAsia" w:ascii="宋体" w:hAnsi="宋体"/>
          <w:szCs w:val="21"/>
        </w:rPr>
        <w:t>7.5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6BBBF8EA">
      <w:pPr>
        <w:spacing w:line="390" w:lineRule="exact"/>
        <w:ind w:left="945" w:hanging="945" w:hangingChars="450"/>
        <w:rPr>
          <w:rFonts w:hint="eastAsia" w:ascii="宋体" w:hAnsi="宋体"/>
          <w:szCs w:val="21"/>
        </w:rPr>
      </w:pPr>
      <w:r>
        <w:rPr>
          <w:rFonts w:hint="eastAsia" w:ascii="宋体" w:hAnsi="宋体"/>
          <w:szCs w:val="21"/>
        </w:rPr>
        <w:t>7.6      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14:paraId="6DD2B36C">
      <w:pPr>
        <w:spacing w:line="390" w:lineRule="exact"/>
        <w:ind w:left="945" w:hanging="945" w:hangingChars="450"/>
        <w:rPr>
          <w:rFonts w:hint="eastAsia" w:ascii="宋体" w:hAnsi="宋体"/>
          <w:szCs w:val="21"/>
        </w:rPr>
      </w:pPr>
      <w:r>
        <w:rPr>
          <w:rFonts w:hint="eastAsia" w:ascii="宋体" w:hAnsi="宋体"/>
          <w:szCs w:val="21"/>
        </w:rPr>
        <w:t>7.7      施工场地(现场)治安管理计划的要求：</w:t>
      </w:r>
    </w:p>
    <w:p w14:paraId="74F91D74">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D883F2E">
      <w:pPr>
        <w:spacing w:line="390" w:lineRule="exact"/>
        <w:ind w:left="945" w:hanging="945" w:hangingChars="450"/>
        <w:rPr>
          <w:rFonts w:hint="eastAsia" w:ascii="宋体" w:hAnsi="宋体"/>
          <w:szCs w:val="21"/>
        </w:rPr>
      </w:pPr>
      <w:r>
        <w:rPr>
          <w:rFonts w:hint="eastAsia" w:ascii="宋体" w:hAnsi="宋体"/>
          <w:szCs w:val="21"/>
        </w:rPr>
        <w:t>7.8      突发治安事件紧急预案的要求：</w:t>
      </w:r>
    </w:p>
    <w:p w14:paraId="43BF7048">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B80A0BD">
      <w:pPr>
        <w:spacing w:line="390" w:lineRule="exact"/>
        <w:ind w:left="945" w:hanging="945" w:hangingChars="450"/>
        <w:rPr>
          <w:rFonts w:hint="eastAsia" w:ascii="宋体" w:hAnsi="宋体"/>
          <w:szCs w:val="21"/>
        </w:rPr>
      </w:pPr>
      <w:r>
        <w:rPr>
          <w:rFonts w:hint="eastAsia" w:ascii="宋体" w:hAnsi="宋体"/>
          <w:szCs w:val="21"/>
        </w:rPr>
        <w:t>7.9      治安保卫方面的其他要求如下：</w:t>
      </w:r>
    </w:p>
    <w:p w14:paraId="1A04C869">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2BF19708">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82ADB97">
      <w:pPr>
        <w:pStyle w:val="20"/>
        <w:rPr>
          <w:rFonts w:hint="eastAsia"/>
          <w:sz w:val="28"/>
          <w:szCs w:val="28"/>
        </w:rPr>
      </w:pPr>
      <w:bookmarkStart w:id="2619" w:name="_Toc108514205"/>
      <w:r>
        <w:rPr>
          <w:rFonts w:hint="eastAsia"/>
          <w:sz w:val="28"/>
          <w:szCs w:val="28"/>
        </w:rPr>
        <w:t>8.地上、地下设施和周边建筑物的临时保护</w:t>
      </w:r>
      <w:bookmarkEnd w:id="2619"/>
    </w:p>
    <w:p w14:paraId="0F939DEB">
      <w:pPr>
        <w:spacing w:line="390" w:lineRule="exact"/>
        <w:ind w:left="945" w:hanging="945" w:hangingChars="450"/>
        <w:rPr>
          <w:rFonts w:hint="eastAsia" w:ascii="宋体" w:hAnsi="宋体"/>
          <w:szCs w:val="21"/>
        </w:rPr>
      </w:pPr>
      <w:r>
        <w:rPr>
          <w:rFonts w:hint="eastAsia" w:ascii="宋体" w:hAnsi="宋体"/>
          <w:szCs w:val="21"/>
        </w:rPr>
        <w:t>8.1      承包人应为施工场地及其周边现有的地上、地下设施和建筑物提供足够的临时保护设施，确保施工过程中这些设施和建筑物不会受到干扰和破坏。</w:t>
      </w:r>
    </w:p>
    <w:p w14:paraId="71DA6139">
      <w:pPr>
        <w:spacing w:line="400" w:lineRule="exact"/>
        <w:ind w:left="945" w:hanging="945" w:hangingChars="450"/>
        <w:rPr>
          <w:rFonts w:hint="eastAsia" w:ascii="宋体" w:hAnsi="宋体"/>
          <w:szCs w:val="21"/>
        </w:rPr>
      </w:pPr>
      <w:r>
        <w:rPr>
          <w:rFonts w:hint="eastAsia" w:ascii="宋体" w:hAnsi="宋体"/>
          <w:szCs w:val="21"/>
        </w:rPr>
        <w:t>8.2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3423673E">
      <w:pPr>
        <w:spacing w:line="390" w:lineRule="exact"/>
        <w:ind w:left="945" w:hanging="945" w:hangingChars="450"/>
        <w:rPr>
          <w:rFonts w:hint="eastAsia" w:ascii="宋体" w:hAnsi="宋体"/>
          <w:szCs w:val="21"/>
        </w:rPr>
      </w:pPr>
      <w:r>
        <w:rPr>
          <w:rFonts w:hint="eastAsia" w:ascii="宋体" w:hAnsi="宋体"/>
          <w:szCs w:val="21"/>
        </w:rPr>
        <w:t>8.3      发包人特别提醒承包人注意以下地上、地下设施和周边建筑物的保护：</w:t>
      </w:r>
    </w:p>
    <w:p w14:paraId="7C5FFA5F">
      <w:pPr>
        <w:spacing w:line="390" w:lineRule="exact"/>
        <w:ind w:left="945" w:hanging="945" w:hangingChars="45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68CA08CF">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6D21416E">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42EE8B33">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2141D9D0">
      <w:pPr>
        <w:spacing w:line="390" w:lineRule="exact"/>
        <w:ind w:left="945" w:hanging="945" w:hangingChars="450"/>
        <w:rPr>
          <w:rFonts w:hint="eastAsia" w:ascii="宋体" w:hAnsi="宋体"/>
          <w:szCs w:val="21"/>
        </w:rPr>
      </w:pPr>
      <w:r>
        <w:rPr>
          <w:rFonts w:hint="eastAsia" w:ascii="宋体" w:hAnsi="宋体"/>
          <w:szCs w:val="21"/>
        </w:rPr>
        <w:t>8.4     地上、地下设施和周边建筑物的临时保护的其他要求如下</w:t>
      </w:r>
    </w:p>
    <w:p w14:paraId="603594FD">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335EBCE8">
      <w:pPr>
        <w:spacing w:line="39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4F156EF">
      <w:pPr>
        <w:pStyle w:val="20"/>
        <w:rPr>
          <w:rFonts w:hint="eastAsia"/>
          <w:sz w:val="28"/>
          <w:szCs w:val="28"/>
        </w:rPr>
      </w:pPr>
      <w:bookmarkStart w:id="2620" w:name="_Toc108514206"/>
      <w:r>
        <w:rPr>
          <w:rFonts w:hint="eastAsia"/>
          <w:sz w:val="28"/>
          <w:szCs w:val="28"/>
        </w:rPr>
        <w:t>9.样品和材料代换</w:t>
      </w:r>
      <w:bookmarkEnd w:id="2620"/>
    </w:p>
    <w:p w14:paraId="185511B7">
      <w:pPr>
        <w:spacing w:line="400" w:lineRule="exact"/>
        <w:ind w:left="945" w:hanging="945" w:hangingChars="450"/>
        <w:rPr>
          <w:rFonts w:hint="eastAsia" w:ascii="宋体" w:hAnsi="宋体"/>
          <w:szCs w:val="21"/>
        </w:rPr>
      </w:pPr>
      <w:r>
        <w:rPr>
          <w:rFonts w:hint="eastAsia" w:ascii="宋体" w:hAnsi="宋体"/>
          <w:szCs w:val="21"/>
        </w:rPr>
        <w:t>9.1      样品</w:t>
      </w:r>
    </w:p>
    <w:p w14:paraId="729972DF">
      <w:pPr>
        <w:spacing w:line="400" w:lineRule="exact"/>
        <w:ind w:left="945" w:hanging="945" w:hangingChars="450"/>
        <w:rPr>
          <w:rFonts w:hint="eastAsia" w:ascii="宋体" w:hAnsi="宋体"/>
          <w:szCs w:val="21"/>
        </w:rPr>
      </w:pPr>
      <w:r>
        <w:rPr>
          <w:rFonts w:hint="eastAsia" w:ascii="宋体" w:hAnsi="宋体"/>
          <w:szCs w:val="21"/>
        </w:rPr>
        <w:t>9.1.1    本工程需要承包人提供样品的材料和工程设备如下：</w:t>
      </w:r>
    </w:p>
    <w:p w14:paraId="1ED9BB51">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54DB7DD8">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6EE69AD">
      <w:pPr>
        <w:spacing w:line="390" w:lineRule="exact"/>
        <w:ind w:left="945" w:hanging="945" w:hangingChars="450"/>
        <w:rPr>
          <w:rFonts w:hint="eastAsia" w:ascii="宋体" w:hAnsi="宋体"/>
          <w:szCs w:val="21"/>
        </w:rPr>
      </w:pPr>
      <w:r>
        <w:rPr>
          <w:rFonts w:hint="eastAsia" w:ascii="宋体" w:hAnsi="宋体"/>
          <w:szCs w:val="21"/>
        </w:rPr>
        <w:t>9.1.2    对于本款第9.1.1项约定的材料和工程设备，承包人应按照专用合同条款第5.1.2项约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48BDDEC8">
      <w:pPr>
        <w:spacing w:line="390" w:lineRule="exact"/>
        <w:ind w:left="945" w:hanging="945" w:hangingChars="450"/>
        <w:rPr>
          <w:rFonts w:hint="eastAsia" w:ascii="宋体" w:hAnsi="宋体"/>
          <w:szCs w:val="21"/>
        </w:rPr>
      </w:pPr>
      <w:r>
        <w:rPr>
          <w:rFonts w:hint="eastAsia" w:ascii="宋体" w:hAnsi="宋体"/>
          <w:szCs w:val="21"/>
        </w:rPr>
        <w:t>9.1.3    合同条款第15.8.2项约定的依法不需要招标的、以暂估价形式包括在工程量清单中的材料和工程设备，所附资料除本款第9.1.2项约定的内容外，还应附上价格资料，每一类材料设备，至少应准备符合合同要求的三个产品，价格分高、中、低三档，以便监理人和发包人选择和批准。</w:t>
      </w:r>
    </w:p>
    <w:p w14:paraId="5E88379F">
      <w:pPr>
        <w:spacing w:line="390" w:lineRule="exact"/>
        <w:ind w:left="945" w:hanging="945" w:hangingChars="450"/>
        <w:rPr>
          <w:rFonts w:hint="eastAsia" w:ascii="宋体" w:hAnsi="宋体"/>
          <w:szCs w:val="21"/>
        </w:rPr>
      </w:pPr>
      <w:r>
        <w:rPr>
          <w:rFonts w:hint="eastAsia" w:ascii="宋体" w:hAnsi="宋体"/>
          <w:szCs w:val="21"/>
        </w:rPr>
        <w:t>9.1.4    监理人应在收到承包人报送的样品后7天内转呈发包人并附上监理人的书面审批意见。发包人在收到通过监理人转交的样品以及监理人的审批意见后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14:paraId="797221CB">
      <w:pPr>
        <w:spacing w:line="406" w:lineRule="exact"/>
        <w:ind w:left="945" w:hanging="945" w:hangingChars="450"/>
        <w:rPr>
          <w:rFonts w:hint="eastAsia" w:ascii="宋体" w:hAnsi="宋体"/>
          <w:szCs w:val="21"/>
        </w:rPr>
      </w:pPr>
      <w:r>
        <w:rPr>
          <w:rFonts w:hint="eastAsia" w:ascii="宋体" w:hAnsi="宋体"/>
          <w:szCs w:val="21"/>
        </w:rPr>
        <w:t>9.1.5    得到批准后的样品由监理人负责存放。但承包人应为保存样品提供适当和固定的场所并保持适当和良好的环境条件。</w:t>
      </w:r>
    </w:p>
    <w:p w14:paraId="407B947F">
      <w:pPr>
        <w:spacing w:line="406" w:lineRule="exact"/>
        <w:ind w:left="945" w:hanging="945" w:hangingChars="450"/>
        <w:rPr>
          <w:rFonts w:hint="eastAsia" w:ascii="宋体" w:hAnsi="宋体"/>
          <w:szCs w:val="21"/>
        </w:rPr>
      </w:pPr>
      <w:r>
        <w:rPr>
          <w:rFonts w:hint="eastAsia" w:ascii="宋体" w:hAnsi="宋体"/>
          <w:szCs w:val="21"/>
        </w:rPr>
        <w:t>9.1.6    提供样品和提供存放样品场所的费用由承包人承担。</w:t>
      </w:r>
    </w:p>
    <w:p w14:paraId="3AE1BC59">
      <w:pPr>
        <w:spacing w:before="120" w:beforeLines="50" w:after="120" w:afterLines="50" w:line="406" w:lineRule="exact"/>
        <w:ind w:left="1080" w:hanging="1080" w:hangingChars="450"/>
        <w:rPr>
          <w:rFonts w:hint="eastAsia" w:ascii="黑体" w:hAnsi="宋体" w:eastAsia="黑体"/>
          <w:sz w:val="24"/>
        </w:rPr>
      </w:pPr>
      <w:r>
        <w:rPr>
          <w:rFonts w:hint="eastAsia" w:ascii="黑体" w:hAnsi="宋体" w:eastAsia="黑体"/>
          <w:sz w:val="24"/>
        </w:rPr>
        <w:t>9.2     材料代换</w:t>
      </w:r>
    </w:p>
    <w:p w14:paraId="6F5473C0">
      <w:pPr>
        <w:spacing w:line="406" w:lineRule="exact"/>
        <w:ind w:left="945" w:hanging="945" w:hangingChars="450"/>
        <w:rPr>
          <w:rFonts w:hint="eastAsia" w:ascii="宋体" w:hAnsi="宋体"/>
          <w:szCs w:val="21"/>
        </w:rPr>
      </w:pPr>
      <w:r>
        <w:rPr>
          <w:rFonts w:hint="eastAsia" w:ascii="宋体" w:hAnsi="宋体"/>
          <w:szCs w:val="21"/>
        </w:rPr>
        <w:t>9.2.1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6EC23014">
      <w:pPr>
        <w:spacing w:line="406" w:lineRule="exact"/>
        <w:ind w:left="945" w:hanging="945" w:hangingChars="450"/>
        <w:rPr>
          <w:rFonts w:hint="eastAsia" w:ascii="宋体" w:hAnsi="宋体"/>
          <w:szCs w:val="21"/>
        </w:rPr>
      </w:pPr>
      <w:r>
        <w:rPr>
          <w:rFonts w:hint="eastAsia" w:ascii="宋体" w:hAnsi="宋体"/>
          <w:szCs w:val="21"/>
        </w:rPr>
        <w:t>9.2.2    如果使用替代品，承包人应至少在被替代品按批准的进度计划用于永久工程前56天以书面形式通知监理人并随此通知提交下列文件：</w:t>
      </w:r>
    </w:p>
    <w:p w14:paraId="56EB02C7">
      <w:pPr>
        <w:spacing w:line="406" w:lineRule="exact"/>
        <w:ind w:left="1155" w:leftChars="400" w:hanging="315" w:hangingChars="150"/>
        <w:rPr>
          <w:rFonts w:hint="eastAsia" w:ascii="宋体" w:hAnsi="宋体"/>
          <w:szCs w:val="21"/>
        </w:rPr>
      </w:pPr>
      <w:r>
        <w:rPr>
          <w:rFonts w:hint="eastAsia" w:ascii="宋体" w:hAnsi="宋体"/>
          <w:szCs w:val="21"/>
        </w:rPr>
        <w:t>(1)拟被替代的合同约定的材料和工程设备的名称、数量、规格、型号、品牌、性能、价格及其他任何详细资料；</w:t>
      </w:r>
    </w:p>
    <w:p w14:paraId="0F33F8CD">
      <w:pPr>
        <w:spacing w:line="406" w:lineRule="exact"/>
        <w:ind w:left="1155" w:leftChars="400" w:hanging="315" w:hangingChars="150"/>
        <w:rPr>
          <w:rFonts w:hint="eastAsia" w:ascii="宋体" w:hAnsi="宋体"/>
          <w:szCs w:val="21"/>
        </w:rPr>
      </w:pPr>
      <w:r>
        <w:rPr>
          <w:rFonts w:hint="eastAsia" w:ascii="宋体" w:hAnsi="宋体"/>
          <w:szCs w:val="21"/>
        </w:rPr>
        <w:t>(2)拟采用的替代品的名称、数量、规格、型号、品牌、性能、价格及其他任何必要的详细资料；</w:t>
      </w:r>
    </w:p>
    <w:p w14:paraId="34CB317B">
      <w:pPr>
        <w:spacing w:line="406" w:lineRule="exact"/>
        <w:ind w:left="1155" w:leftChars="400" w:hanging="315" w:hangingChars="150"/>
        <w:rPr>
          <w:rFonts w:hint="eastAsia" w:ascii="宋体" w:hAnsi="宋体"/>
          <w:szCs w:val="21"/>
        </w:rPr>
      </w:pPr>
      <w:r>
        <w:rPr>
          <w:rFonts w:hint="eastAsia" w:ascii="宋体" w:hAnsi="宋体"/>
          <w:szCs w:val="21"/>
        </w:rPr>
        <w:t>(3)替代品使用的工程部位；</w:t>
      </w:r>
    </w:p>
    <w:p w14:paraId="1A59D88B">
      <w:pPr>
        <w:spacing w:line="406" w:lineRule="exact"/>
        <w:ind w:left="1155" w:leftChars="400" w:hanging="315" w:hangingChars="150"/>
        <w:rPr>
          <w:rFonts w:hint="eastAsia" w:ascii="宋体" w:hAnsi="宋体"/>
          <w:szCs w:val="21"/>
        </w:rPr>
      </w:pPr>
      <w:r>
        <w:rPr>
          <w:rFonts w:hint="eastAsia" w:ascii="宋体" w:hAnsi="宋体"/>
          <w:szCs w:val="21"/>
        </w:rPr>
        <w:t>(4)采用替代品的理由和原因说明；</w:t>
      </w:r>
    </w:p>
    <w:p w14:paraId="1C62C695">
      <w:pPr>
        <w:spacing w:line="406" w:lineRule="exact"/>
        <w:ind w:left="1155" w:leftChars="400" w:hanging="315" w:hangingChars="150"/>
        <w:rPr>
          <w:rFonts w:hint="eastAsia" w:ascii="宋体" w:hAnsi="宋体"/>
          <w:szCs w:val="21"/>
        </w:rPr>
      </w:pPr>
      <w:r>
        <w:rPr>
          <w:rFonts w:hint="eastAsia" w:ascii="宋体" w:hAnsi="宋体"/>
          <w:szCs w:val="21"/>
        </w:rPr>
        <w:t>(5)替代品与合同中约定的产品之间的差异以及使用替代品后可能对工程产生的任何影响；</w:t>
      </w:r>
    </w:p>
    <w:p w14:paraId="1013F6A6">
      <w:pPr>
        <w:spacing w:line="406" w:lineRule="exact"/>
        <w:ind w:left="1155" w:leftChars="400" w:hanging="315" w:hangingChars="150"/>
        <w:rPr>
          <w:rFonts w:hint="eastAsia" w:ascii="宋体" w:hAnsi="宋体"/>
          <w:szCs w:val="21"/>
        </w:rPr>
      </w:pPr>
      <w:r>
        <w:rPr>
          <w:rFonts w:hint="eastAsia" w:ascii="宋体" w:hAnsi="宋体"/>
          <w:szCs w:val="21"/>
        </w:rPr>
        <w:t>(6)价格上的差异；</w:t>
      </w:r>
    </w:p>
    <w:p w14:paraId="7AC4A046">
      <w:pPr>
        <w:spacing w:line="406" w:lineRule="exact"/>
        <w:ind w:left="1155" w:leftChars="400" w:hanging="315" w:hangingChars="150"/>
        <w:rPr>
          <w:rFonts w:hint="eastAsia" w:ascii="宋体" w:hAnsi="宋体"/>
          <w:szCs w:val="21"/>
        </w:rPr>
      </w:pPr>
      <w:r>
        <w:rPr>
          <w:rFonts w:hint="eastAsia" w:ascii="宋体" w:hAnsi="宋体"/>
          <w:szCs w:val="21"/>
        </w:rPr>
        <w:t>(7)监理人为做出适当的决定而随时要求承包人提供的任何其他文件。</w:t>
      </w:r>
    </w:p>
    <w:p w14:paraId="635C5CA2">
      <w:pPr>
        <w:spacing w:line="406" w:lineRule="exact"/>
        <w:ind w:left="798" w:leftChars="380" w:firstLine="462" w:firstLineChars="220"/>
        <w:rPr>
          <w:rFonts w:hint="eastAsia" w:ascii="宋体" w:hAnsi="宋体"/>
          <w:szCs w:val="21"/>
        </w:rPr>
      </w:pPr>
      <w:r>
        <w:rPr>
          <w:rFonts w:hint="eastAsia" w:ascii="宋体" w:hAnsi="宋体"/>
          <w:szCs w:val="21"/>
        </w:rPr>
        <w:t>监理人在收到此类通知及上述文件后，应在28天内向承包人给出书面指示。如果28天内监理人未给出书面指示，应视为监理人和发包人已经批准使用上述替代品，承包人可以据此使用替代品。</w:t>
      </w:r>
    </w:p>
    <w:p w14:paraId="15970E75">
      <w:pPr>
        <w:spacing w:line="406" w:lineRule="exact"/>
        <w:ind w:left="945" w:hanging="945" w:hangingChars="450"/>
        <w:rPr>
          <w:rFonts w:ascii="宋体" w:hAnsi="宋体"/>
          <w:szCs w:val="21"/>
        </w:rPr>
      </w:pPr>
      <w:r>
        <w:rPr>
          <w:rFonts w:hint="eastAsia" w:ascii="宋体" w:hAnsi="宋体"/>
          <w:szCs w:val="21"/>
        </w:rPr>
        <w:t>9.2.3    任何情况下，替代品都应遵守本合同中对相关材料和工程设备的要求。</w:t>
      </w:r>
    </w:p>
    <w:p w14:paraId="300E3B40">
      <w:pPr>
        <w:spacing w:line="406" w:lineRule="exact"/>
        <w:ind w:left="945" w:hanging="945" w:hangingChars="450"/>
        <w:rPr>
          <w:rFonts w:ascii="宋体" w:hAnsi="宋体"/>
          <w:szCs w:val="21"/>
        </w:rPr>
      </w:pPr>
      <w:r>
        <w:rPr>
          <w:rFonts w:hint="eastAsia" w:ascii="宋体" w:hAnsi="宋体"/>
          <w:szCs w:val="21"/>
        </w:rPr>
        <w:t xml:space="preserve">9.2.4 </w:t>
      </w:r>
      <w:r>
        <w:rPr>
          <w:rFonts w:ascii="宋体" w:hAnsi="宋体"/>
          <w:szCs w:val="21"/>
        </w:rPr>
        <w:t xml:space="preserve">  </w:t>
      </w:r>
      <w:r>
        <w:rPr>
          <w:rFonts w:hint="eastAsia" w:ascii="宋体" w:hAnsi="宋体"/>
          <w:szCs w:val="21"/>
        </w:rPr>
        <w:t xml:space="preserve"> 如果承包人根据本条约定使用了替代品，监理人应与承包人适当协商之后并在合理的期限内确定替代材料和工程设备与合同中约定的材料和工程设备之间的价值差值，并决定：</w:t>
      </w:r>
    </w:p>
    <w:p w14:paraId="73ED0D14">
      <w:pPr>
        <w:spacing w:line="406" w:lineRule="exact"/>
        <w:ind w:left="1155" w:leftChars="400" w:hanging="315" w:hangingChars="150"/>
        <w:rPr>
          <w:rFonts w:ascii="宋体" w:hAnsi="宋体"/>
          <w:szCs w:val="21"/>
        </w:rPr>
      </w:pPr>
      <w:r>
        <w:rPr>
          <w:rFonts w:hint="eastAsia" w:ascii="宋体" w:hAnsi="宋体"/>
          <w:szCs w:val="21"/>
        </w:rPr>
        <w:t>(1)如果替代材料和工程设备的价值高于合同中约定的材料和工程设备的价值，则将高出部分的价值追加到合同价格中并相应地通知承包人；</w:t>
      </w:r>
    </w:p>
    <w:p w14:paraId="4C15CC8A">
      <w:pPr>
        <w:spacing w:line="406" w:lineRule="exact"/>
        <w:ind w:left="1155" w:leftChars="400" w:hanging="315" w:hangingChars="150"/>
        <w:rPr>
          <w:rFonts w:ascii="宋体" w:hAnsi="宋体"/>
          <w:szCs w:val="21"/>
        </w:rPr>
      </w:pPr>
      <w:r>
        <w:rPr>
          <w:rFonts w:hint="eastAsia" w:ascii="宋体" w:hAnsi="宋体"/>
          <w:szCs w:val="21"/>
        </w:rPr>
        <w:t>(2)(2)如果替代材料和工程设备的价值低于合同中约定的材料和工程设备的价值，则将节余部分的价值从合同价格中扣除并相应地通知承包人。</w:t>
      </w:r>
    </w:p>
    <w:p w14:paraId="5FABE3A6">
      <w:pPr>
        <w:pStyle w:val="20"/>
        <w:rPr>
          <w:rFonts w:hint="eastAsia"/>
          <w:sz w:val="28"/>
          <w:szCs w:val="28"/>
        </w:rPr>
      </w:pPr>
      <w:bookmarkStart w:id="2621" w:name="_Toc108514207"/>
      <w:r>
        <w:rPr>
          <w:rFonts w:hint="eastAsia"/>
          <w:sz w:val="28"/>
          <w:szCs w:val="28"/>
        </w:rPr>
        <w:t>10.进口材料和工程设备</w:t>
      </w:r>
      <w:bookmarkEnd w:id="2621"/>
    </w:p>
    <w:p w14:paraId="01E76FE4">
      <w:pPr>
        <w:spacing w:line="500" w:lineRule="exact"/>
        <w:rPr>
          <w:rFonts w:ascii="宋体" w:hAnsi="宋体"/>
          <w:szCs w:val="21"/>
        </w:rPr>
      </w:pPr>
      <w:r>
        <w:rPr>
          <w:rFonts w:hint="eastAsia" w:ascii="宋体" w:hAnsi="宋体"/>
          <w:szCs w:val="21"/>
        </w:rPr>
        <w:t>10.1    本工程需要进口的材料和工程设备如下：</w:t>
      </w:r>
    </w:p>
    <w:p w14:paraId="0E4FE543">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110FDC10">
      <w:pPr>
        <w:spacing w:line="500" w:lineRule="exact"/>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4C0B9725">
      <w:pPr>
        <w:spacing w:line="500" w:lineRule="exact"/>
        <w:ind w:left="945" w:hanging="945" w:hangingChars="450"/>
        <w:rPr>
          <w:rFonts w:hint="eastAsia" w:ascii="宋体" w:hAnsi="宋体"/>
          <w:szCs w:val="21"/>
        </w:rPr>
      </w:pPr>
      <w:r>
        <w:rPr>
          <w:rFonts w:hint="eastAsia" w:ascii="宋体" w:hAnsi="宋体"/>
          <w:szCs w:val="21"/>
        </w:rPr>
        <w:t>10.2    上述进口材料和工程设备采购、进口、报关、清关、商检、境内运输(包括保险)、保管的责任以及费用承担方式划分如下：</w:t>
      </w:r>
    </w:p>
    <w:p w14:paraId="6FCCBADD">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6729BAF3">
      <w:pPr>
        <w:spacing w:line="5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D66FCCD">
      <w:pPr>
        <w:pStyle w:val="20"/>
        <w:rPr>
          <w:rFonts w:hint="eastAsia"/>
          <w:sz w:val="28"/>
          <w:szCs w:val="28"/>
        </w:rPr>
      </w:pPr>
      <w:bookmarkStart w:id="2622" w:name="_Toc108514208"/>
      <w:r>
        <w:rPr>
          <w:rFonts w:hint="eastAsia"/>
          <w:sz w:val="28"/>
          <w:szCs w:val="28"/>
        </w:rPr>
        <w:t>11.进度报告和进度例会</w:t>
      </w:r>
      <w:bookmarkEnd w:id="2622"/>
    </w:p>
    <w:p w14:paraId="75CB6668">
      <w:pPr>
        <w:spacing w:line="406" w:lineRule="exact"/>
        <w:ind w:left="945" w:hanging="945" w:hangingChars="450"/>
        <w:jc w:val="left"/>
        <w:rPr>
          <w:rFonts w:hint="eastAsia" w:ascii="宋体" w:hAnsi="宋体"/>
          <w:szCs w:val="21"/>
        </w:rPr>
      </w:pPr>
      <w:r>
        <w:rPr>
          <w:rFonts w:hint="eastAsia" w:ascii="宋体" w:hAnsi="宋体"/>
          <w:szCs w:val="21"/>
        </w:rPr>
        <w:t>11.1     进度报告</w:t>
      </w:r>
    </w:p>
    <w:p w14:paraId="4AAAEE78">
      <w:pPr>
        <w:spacing w:line="406" w:lineRule="exact"/>
        <w:ind w:left="945" w:hanging="945" w:hangingChars="450"/>
        <w:jc w:val="left"/>
        <w:rPr>
          <w:rFonts w:hint="eastAsia" w:ascii="宋体" w:hAnsi="宋体"/>
          <w:szCs w:val="21"/>
        </w:rPr>
      </w:pPr>
      <w:r>
        <w:rPr>
          <w:rFonts w:hint="eastAsia" w:ascii="宋体" w:hAnsi="宋体"/>
          <w:szCs w:val="21"/>
        </w:rPr>
        <w:t>11.1.1   施工过程中，承包人应向监理人指定的代表呈递一份每日的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14:paraId="202D58E5">
      <w:pPr>
        <w:spacing w:line="406" w:lineRule="exact"/>
        <w:ind w:left="945" w:hanging="945" w:hangingChars="450"/>
        <w:jc w:val="left"/>
        <w:rPr>
          <w:rFonts w:hint="eastAsia" w:ascii="宋体" w:hAnsi="宋体"/>
          <w:szCs w:val="21"/>
        </w:rPr>
      </w:pPr>
      <w:r>
        <w:rPr>
          <w:rFonts w:hint="eastAsia" w:ascii="宋体" w:hAnsi="宋体"/>
          <w:szCs w:val="21"/>
        </w:rPr>
        <w:t>11.1.2   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14:paraId="2B66FBEA">
      <w:pPr>
        <w:spacing w:line="406" w:lineRule="exact"/>
        <w:ind w:left="945" w:hanging="945" w:hangingChars="450"/>
        <w:jc w:val="left"/>
        <w:rPr>
          <w:rFonts w:hint="eastAsia" w:ascii="宋体" w:hAnsi="宋体"/>
          <w:szCs w:val="21"/>
        </w:rPr>
      </w:pPr>
      <w:r>
        <w:rPr>
          <w:rFonts w:hint="eastAsia" w:ascii="宋体" w:hAnsi="宋体"/>
          <w:szCs w:val="21"/>
        </w:rPr>
        <w:t>11.1.3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10F0E218">
      <w:pPr>
        <w:spacing w:line="406" w:lineRule="exact"/>
        <w:ind w:left="924" w:leftChars="-10" w:hanging="945" w:hangingChars="450"/>
        <w:jc w:val="left"/>
        <w:rPr>
          <w:rFonts w:hint="eastAsia" w:ascii="宋体" w:hAnsi="宋体"/>
          <w:szCs w:val="21"/>
        </w:rPr>
      </w:pPr>
      <w:r>
        <w:rPr>
          <w:rFonts w:hint="eastAsia" w:ascii="宋体" w:hAnsi="宋体"/>
          <w:szCs w:val="21"/>
        </w:rPr>
        <w:t>11.1.4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541947AA">
      <w:pPr>
        <w:spacing w:line="406" w:lineRule="exact"/>
        <w:ind w:left="945" w:hanging="945" w:hangingChars="450"/>
        <w:jc w:val="left"/>
        <w:rPr>
          <w:rFonts w:hint="eastAsia" w:ascii="宋体" w:hAnsi="宋体"/>
          <w:szCs w:val="21"/>
        </w:rPr>
      </w:pPr>
      <w:r>
        <w:rPr>
          <w:rFonts w:hint="eastAsia" w:ascii="宋体" w:hAnsi="宋体"/>
          <w:szCs w:val="21"/>
        </w:rPr>
        <w:t>11.1.5   各个进度报表的格式和内容应经过监理人的审批。进度报表应如实填写，由承包人授权代表签名，并报监理人的指定代表签名确认后再行分发。</w:t>
      </w:r>
    </w:p>
    <w:p w14:paraId="6DE42856">
      <w:pPr>
        <w:spacing w:line="406" w:lineRule="exact"/>
        <w:ind w:left="945" w:hanging="945" w:hangingChars="450"/>
        <w:jc w:val="left"/>
        <w:rPr>
          <w:rFonts w:hint="eastAsia" w:ascii="宋体" w:hAnsi="宋体"/>
          <w:szCs w:val="21"/>
        </w:rPr>
      </w:pPr>
      <w:r>
        <w:rPr>
          <w:rFonts w:hint="eastAsia" w:ascii="宋体" w:hAnsi="宋体"/>
          <w:szCs w:val="21"/>
        </w:rPr>
        <w:t>11.1.6   如果监理人认为必要，进度报告和进度照片应同时以存储在磁盘或光盘中的数据文件的形式递交给发包人和监理人。数据文件采用的应用软件及其版本应经过监理人的审批。</w:t>
      </w:r>
    </w:p>
    <w:p w14:paraId="70491AEE">
      <w:pPr>
        <w:spacing w:line="406" w:lineRule="exact"/>
        <w:ind w:left="945" w:hanging="945" w:hangingChars="450"/>
        <w:jc w:val="left"/>
        <w:rPr>
          <w:rFonts w:hint="eastAsia" w:ascii="宋体" w:hAnsi="宋体"/>
          <w:szCs w:val="21"/>
        </w:rPr>
      </w:pPr>
      <w:r>
        <w:rPr>
          <w:rFonts w:hint="eastAsia" w:ascii="宋体" w:hAnsi="宋体"/>
          <w:szCs w:val="21"/>
        </w:rPr>
        <w:t>11.1.7   有关进度报告的其他要求：</w:t>
      </w:r>
    </w:p>
    <w:p w14:paraId="7A04C137">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791D02D8">
      <w:pPr>
        <w:spacing w:line="400"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75184DF6">
      <w:pPr>
        <w:spacing w:line="406" w:lineRule="exact"/>
        <w:ind w:left="1080" w:hanging="1080" w:hangingChars="450"/>
        <w:jc w:val="left"/>
        <w:rPr>
          <w:rFonts w:hint="eastAsia" w:ascii="黑体" w:hAnsi="宋体" w:eastAsia="黑体"/>
          <w:sz w:val="24"/>
        </w:rPr>
      </w:pPr>
      <w:r>
        <w:rPr>
          <w:rFonts w:hint="eastAsia" w:ascii="黑体" w:hAnsi="宋体" w:eastAsia="黑体"/>
          <w:sz w:val="24"/>
        </w:rPr>
        <w:t>11.2     进度例会</w:t>
      </w:r>
    </w:p>
    <w:p w14:paraId="657FA2F1">
      <w:pPr>
        <w:spacing w:line="406" w:lineRule="exact"/>
        <w:ind w:left="945" w:hanging="945" w:hangingChars="450"/>
        <w:jc w:val="left"/>
        <w:rPr>
          <w:rFonts w:hint="eastAsia" w:ascii="宋体" w:hAnsi="宋体"/>
          <w:szCs w:val="21"/>
        </w:rPr>
      </w:pPr>
      <w:r>
        <w:rPr>
          <w:rFonts w:hint="eastAsia" w:ascii="宋体" w:hAnsi="宋体"/>
          <w:szCs w:val="21"/>
        </w:rPr>
        <w:t>11.2.1   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p w14:paraId="114FA417">
      <w:pPr>
        <w:spacing w:line="406" w:lineRule="exact"/>
        <w:ind w:left="945" w:hanging="945" w:hangingChars="450"/>
        <w:jc w:val="left"/>
        <w:rPr>
          <w:rFonts w:hint="eastAsia" w:ascii="宋体" w:hAnsi="宋体"/>
          <w:szCs w:val="21"/>
        </w:rPr>
      </w:pPr>
      <w:r>
        <w:rPr>
          <w:rFonts w:hint="eastAsia" w:ascii="宋体" w:hAnsi="宋体"/>
          <w:szCs w:val="21"/>
        </w:rPr>
        <w:t>11.2.2   进度例会的内容将涉及合同管理、进度协调和工程管理的各个方面，由监理人准备的会议议题将随会议通知在会议召开前至少24小时发给各参会方。</w:t>
      </w:r>
    </w:p>
    <w:p w14:paraId="04FD61D0">
      <w:pPr>
        <w:spacing w:line="406" w:lineRule="exact"/>
        <w:ind w:left="945" w:hanging="945" w:hangingChars="450"/>
        <w:jc w:val="left"/>
        <w:rPr>
          <w:rFonts w:hint="eastAsia" w:ascii="宋体" w:hAnsi="宋体"/>
          <w:szCs w:val="21"/>
        </w:rPr>
      </w:pPr>
      <w:r>
        <w:rPr>
          <w:rFonts w:hint="eastAsia" w:ascii="宋体" w:hAnsi="宋体"/>
          <w:szCs w:val="21"/>
        </w:rPr>
        <w:t>11.2.3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70762E31">
      <w:pPr>
        <w:spacing w:line="406" w:lineRule="exact"/>
        <w:ind w:left="945" w:hanging="945" w:hangingChars="450"/>
        <w:jc w:val="left"/>
        <w:rPr>
          <w:rFonts w:hint="eastAsia" w:ascii="宋体" w:hAnsi="宋体"/>
          <w:szCs w:val="21"/>
        </w:rPr>
      </w:pPr>
      <w:r>
        <w:rPr>
          <w:rFonts w:hint="eastAsia" w:ascii="宋体" w:hAnsi="宋体"/>
          <w:szCs w:val="21"/>
        </w:rPr>
        <w:t>11.2.4   有关进度例会的其他要求：</w:t>
      </w:r>
    </w:p>
    <w:p w14:paraId="29C3950A">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324CFC88">
      <w:pPr>
        <w:spacing w:line="400"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2AF1DB6">
      <w:pPr>
        <w:pStyle w:val="20"/>
        <w:rPr>
          <w:rFonts w:hint="eastAsia"/>
          <w:sz w:val="28"/>
          <w:szCs w:val="28"/>
        </w:rPr>
      </w:pPr>
      <w:bookmarkStart w:id="2623" w:name="_Toc108514209"/>
      <w:r>
        <w:rPr>
          <w:rFonts w:hint="eastAsia"/>
          <w:sz w:val="28"/>
          <w:szCs w:val="28"/>
        </w:rPr>
        <w:t>12.试验和检验</w:t>
      </w:r>
      <w:bookmarkEnd w:id="2623"/>
    </w:p>
    <w:p w14:paraId="52809EC2">
      <w:pPr>
        <w:spacing w:line="406" w:lineRule="exact"/>
        <w:ind w:left="945" w:hanging="945" w:hangingChars="450"/>
        <w:jc w:val="left"/>
        <w:rPr>
          <w:rFonts w:hint="eastAsia" w:ascii="宋体" w:hAnsi="宋体"/>
          <w:szCs w:val="21"/>
        </w:rPr>
      </w:pPr>
      <w:r>
        <w:rPr>
          <w:rFonts w:hint="eastAsia" w:ascii="宋体" w:hAnsi="宋体"/>
          <w:szCs w:val="21"/>
        </w:rPr>
        <w:t>12.1     承包人应当按照工程施工验收规范和标准的规定和通用合同条款第14条的约定，对用于永久工程的主要材料、半成品、成品、建筑构配件、工程设备等进行试验和检验。</w:t>
      </w:r>
    </w:p>
    <w:p w14:paraId="709A5805">
      <w:pPr>
        <w:spacing w:line="406" w:lineRule="exact"/>
        <w:ind w:left="945" w:hanging="945" w:hangingChars="450"/>
        <w:jc w:val="left"/>
        <w:rPr>
          <w:rFonts w:hint="eastAsia" w:ascii="宋体" w:hAnsi="宋体"/>
          <w:szCs w:val="21"/>
        </w:rPr>
      </w:pPr>
      <w:r>
        <w:rPr>
          <w:rFonts w:hint="eastAsia" w:ascii="宋体" w:hAnsi="宋体"/>
          <w:szCs w:val="21"/>
        </w:rPr>
        <w:t>12.2     本工程需要承包人进行试验和检验的材料、工程设备和工艺如下：</w:t>
      </w:r>
    </w:p>
    <w:p w14:paraId="6A5ABF0D">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4FCF2C31">
      <w:pPr>
        <w:spacing w:line="400"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。监理人可以根据工程需要，指示承包人进行其他现场材料和工艺的试验和检验。</w:t>
      </w:r>
    </w:p>
    <w:p w14:paraId="5DF2EF9E">
      <w:pPr>
        <w:spacing w:line="406" w:lineRule="exact"/>
        <w:ind w:left="945" w:hanging="945" w:hangingChars="450"/>
        <w:jc w:val="left"/>
        <w:rPr>
          <w:rFonts w:hint="eastAsia" w:ascii="宋体" w:hAnsi="宋体"/>
          <w:spacing w:val="4"/>
          <w:szCs w:val="21"/>
        </w:rPr>
      </w:pPr>
      <w:r>
        <w:rPr>
          <w:rFonts w:hint="eastAsia" w:ascii="宋体" w:hAnsi="宋体"/>
          <w:szCs w:val="21"/>
        </w:rPr>
        <w:t xml:space="preserve">12.3     </w:t>
      </w:r>
      <w:r>
        <w:rPr>
          <w:rFonts w:hint="eastAsia" w:ascii="宋体" w:hAnsi="宋体"/>
          <w:spacing w:val="4"/>
          <w:szCs w:val="21"/>
        </w:rPr>
        <w:t>本工程需要由监理人和承包人共同进行试验和检验的材料、工程设备和工艺如下：</w:t>
      </w:r>
    </w:p>
    <w:p w14:paraId="095D3779">
      <w:pPr>
        <w:spacing w:line="400" w:lineRule="exact"/>
        <w:ind w:left="945" w:hanging="945" w:hangingChars="45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2338F97F">
      <w:pPr>
        <w:spacing w:line="406"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3008F0BF">
      <w:pPr>
        <w:spacing w:line="406" w:lineRule="exact"/>
        <w:ind w:left="945" w:hanging="945" w:hangingChars="450"/>
        <w:jc w:val="left"/>
        <w:rPr>
          <w:rFonts w:hint="eastAsia" w:ascii="宋体" w:hAnsi="宋体"/>
          <w:szCs w:val="21"/>
        </w:rPr>
      </w:pPr>
      <w:r>
        <w:rPr>
          <w:rFonts w:hint="eastAsia" w:ascii="宋体" w:hAnsi="宋体"/>
          <w:szCs w:val="21"/>
        </w:rPr>
        <w:t>12.4     本条上述约定需要进行检验的材料、工程设备和工艺在经过检验并获得监理人批准以前，不得用于任何永久工程。</w:t>
      </w:r>
    </w:p>
    <w:p w14:paraId="5DBF07E7">
      <w:pPr>
        <w:spacing w:line="406" w:lineRule="exact"/>
        <w:ind w:left="945" w:hanging="945" w:hangingChars="450"/>
        <w:jc w:val="left"/>
        <w:rPr>
          <w:rFonts w:hint="eastAsia" w:ascii="宋体" w:hAnsi="宋体"/>
          <w:szCs w:val="21"/>
        </w:rPr>
      </w:pPr>
      <w:r>
        <w:rPr>
          <w:rFonts w:hint="eastAsia" w:ascii="宋体" w:hAnsi="宋体"/>
          <w:szCs w:val="21"/>
        </w:rPr>
        <w:t>12.5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24A6E4A1">
      <w:pPr>
        <w:spacing w:line="406" w:lineRule="exact"/>
        <w:ind w:left="945" w:hanging="945" w:hangingChars="450"/>
        <w:jc w:val="left"/>
        <w:rPr>
          <w:rFonts w:hint="eastAsia" w:ascii="宋体" w:hAnsi="宋体"/>
          <w:szCs w:val="21"/>
        </w:rPr>
      </w:pPr>
      <w:r>
        <w:rPr>
          <w:rFonts w:hint="eastAsia" w:ascii="宋体" w:hAnsi="宋体"/>
          <w:szCs w:val="21"/>
        </w:rPr>
        <w:t>12.6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31186D22">
      <w:pPr>
        <w:spacing w:line="406" w:lineRule="exact"/>
        <w:ind w:left="945" w:hanging="945" w:hangingChars="450"/>
        <w:jc w:val="left"/>
        <w:rPr>
          <w:rFonts w:hint="eastAsia" w:ascii="宋体" w:hAnsi="宋体"/>
          <w:szCs w:val="21"/>
        </w:rPr>
      </w:pPr>
      <w:r>
        <w:rPr>
          <w:rFonts w:hint="eastAsia" w:ascii="宋体" w:hAnsi="宋体"/>
          <w:szCs w:val="21"/>
        </w:rPr>
        <w:t>12.7     承包人应在监理人的监督下，对涉及结构安全的试块、试件以及有关材料进行现场取样，并送</w:t>
      </w:r>
      <w:r>
        <w:rPr>
          <w:rFonts w:hint="eastAsia" w:ascii="宋体" w:hAnsi="宋体"/>
          <w:szCs w:val="21"/>
          <w:u w:val="single"/>
        </w:rPr>
        <w:t xml:space="preserve">                       </w:t>
      </w:r>
      <w:r>
        <w:rPr>
          <w:rFonts w:hint="eastAsia" w:ascii="宋体" w:hAnsi="宋体"/>
          <w:szCs w:val="21"/>
        </w:rPr>
        <w:t>质量检测单位进行检测。</w:t>
      </w:r>
    </w:p>
    <w:p w14:paraId="4276F0FA">
      <w:pPr>
        <w:spacing w:line="406" w:lineRule="exact"/>
        <w:ind w:left="945" w:hanging="945" w:hangingChars="450"/>
        <w:jc w:val="left"/>
        <w:rPr>
          <w:rFonts w:hint="eastAsia" w:ascii="宋体" w:hAnsi="宋体"/>
          <w:szCs w:val="21"/>
        </w:rPr>
      </w:pPr>
      <w:r>
        <w:rPr>
          <w:rFonts w:hint="eastAsia" w:ascii="宋体" w:hAnsi="宋体"/>
          <w:szCs w:val="21"/>
        </w:rPr>
        <w:t>12.8     除合同另有约定外，承包人应负担本合同项下的所有材料、工程设备和工艺检验的费用。</w:t>
      </w:r>
    </w:p>
    <w:p w14:paraId="3B6FC481">
      <w:pPr>
        <w:pStyle w:val="20"/>
        <w:rPr>
          <w:rFonts w:hint="eastAsia"/>
          <w:sz w:val="28"/>
          <w:szCs w:val="28"/>
        </w:rPr>
      </w:pPr>
      <w:bookmarkStart w:id="2624" w:name="_Toc108514210"/>
      <w:r>
        <w:rPr>
          <w:rFonts w:hint="eastAsia"/>
          <w:sz w:val="28"/>
          <w:szCs w:val="28"/>
        </w:rPr>
        <w:t>13.计日工</w:t>
      </w:r>
      <w:bookmarkEnd w:id="2624"/>
    </w:p>
    <w:p w14:paraId="3EBDED20">
      <w:pPr>
        <w:spacing w:line="406" w:lineRule="exact"/>
        <w:ind w:left="945" w:hanging="945" w:hangingChars="450"/>
        <w:jc w:val="left"/>
        <w:rPr>
          <w:rFonts w:hint="eastAsia" w:ascii="宋体" w:hAnsi="宋体"/>
          <w:szCs w:val="21"/>
        </w:rPr>
      </w:pPr>
      <w:r>
        <w:rPr>
          <w:rFonts w:hint="eastAsia" w:ascii="宋体" w:hAnsi="宋体"/>
          <w:szCs w:val="21"/>
        </w:rPr>
        <w:t>13.1     通用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通用合同条款第15.7.1项约定通知承包人实施。</w:t>
      </w:r>
    </w:p>
    <w:p w14:paraId="276E20E0">
      <w:pPr>
        <w:spacing w:line="406" w:lineRule="exact"/>
        <w:ind w:left="945" w:hanging="945" w:hangingChars="450"/>
        <w:jc w:val="left"/>
        <w:rPr>
          <w:rFonts w:hint="eastAsia" w:ascii="宋体" w:hAnsi="宋体"/>
          <w:szCs w:val="21"/>
        </w:rPr>
      </w:pPr>
      <w:r>
        <w:rPr>
          <w:rFonts w:hint="eastAsia" w:ascii="宋体" w:hAnsi="宋体"/>
          <w:szCs w:val="21"/>
        </w:rPr>
        <w:t>13.2     在工程实际开工后14天内，承包人应当按通用合同条款第15.7.2项约定的计日工报表内容，准备一份计日工日报表的格式，报送监理人审批，监理人应当在收到之日后7天内给予批复或提出修改意见。</w:t>
      </w:r>
    </w:p>
    <w:p w14:paraId="03BB09C2">
      <w:pPr>
        <w:spacing w:line="406" w:lineRule="exact"/>
        <w:ind w:left="945" w:hanging="945" w:hangingChars="450"/>
        <w:jc w:val="left"/>
        <w:rPr>
          <w:rFonts w:hint="eastAsia" w:ascii="宋体" w:hAnsi="宋体"/>
          <w:szCs w:val="21"/>
        </w:rPr>
      </w:pPr>
      <w:r>
        <w:rPr>
          <w:rFonts w:hint="eastAsia" w:ascii="宋体" w:hAnsi="宋体"/>
          <w:szCs w:val="21"/>
        </w:rPr>
        <w:t>13.3     按计日工实施相关变更的过程中，承包人应当按经监理人批准的计日工日报表格式，每天提交计日工报表和有关凭证，报送监理人审批，监理人应当在收到相关报表和凭证后24小时内给予批复。</w:t>
      </w:r>
    </w:p>
    <w:p w14:paraId="3A4A616C">
      <w:pPr>
        <w:spacing w:line="402" w:lineRule="exact"/>
        <w:ind w:left="945" w:hanging="945" w:hangingChars="450"/>
        <w:jc w:val="left"/>
        <w:rPr>
          <w:rFonts w:hint="eastAsia" w:ascii="宋体" w:hAnsi="宋体"/>
          <w:szCs w:val="21"/>
        </w:rPr>
      </w:pPr>
      <w:r>
        <w:rPr>
          <w:rFonts w:hint="eastAsia" w:ascii="宋体" w:hAnsi="宋体"/>
          <w:szCs w:val="21"/>
        </w:rPr>
        <w:t>13.4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348891C9">
      <w:pPr>
        <w:spacing w:line="402" w:lineRule="exact"/>
        <w:ind w:left="945" w:hanging="945" w:hangingChars="450"/>
        <w:jc w:val="left"/>
        <w:rPr>
          <w:rFonts w:hint="eastAsia" w:ascii="宋体" w:hAnsi="宋体"/>
          <w:szCs w:val="21"/>
        </w:rPr>
      </w:pPr>
      <w:r>
        <w:rPr>
          <w:rFonts w:hint="eastAsia" w:ascii="宋体" w:hAnsi="宋体"/>
          <w:szCs w:val="21"/>
        </w:rPr>
        <w:t>13.5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p w14:paraId="25A40192">
      <w:pPr>
        <w:spacing w:line="402" w:lineRule="exact"/>
        <w:ind w:left="945" w:hanging="945" w:hangingChars="450"/>
        <w:jc w:val="left"/>
        <w:rPr>
          <w:rFonts w:hint="eastAsia" w:ascii="宋体" w:hAnsi="宋体"/>
          <w:szCs w:val="21"/>
        </w:rPr>
      </w:pPr>
      <w:r>
        <w:rPr>
          <w:rFonts w:hint="eastAsia" w:ascii="宋体" w:hAnsi="宋体"/>
          <w:szCs w:val="21"/>
        </w:rPr>
        <w:t>13.6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02F42495">
      <w:pPr>
        <w:spacing w:line="402" w:lineRule="exact"/>
        <w:ind w:left="945" w:hanging="945" w:hangingChars="450"/>
        <w:jc w:val="left"/>
        <w:rPr>
          <w:rFonts w:hint="eastAsia" w:ascii="宋体" w:hAnsi="宋体"/>
          <w:szCs w:val="21"/>
        </w:rPr>
      </w:pPr>
      <w:r>
        <w:rPr>
          <w:rFonts w:hint="eastAsia" w:ascii="宋体" w:hAnsi="宋体"/>
          <w:szCs w:val="21"/>
        </w:rPr>
        <w:t>13.7     关于计日工的其他约定：</w:t>
      </w:r>
    </w:p>
    <w:p w14:paraId="6151A10B">
      <w:pPr>
        <w:spacing w:line="402" w:lineRule="exact"/>
        <w:ind w:left="945" w:hanging="945" w:hangingChars="450"/>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ECC5520">
      <w:pPr>
        <w:pStyle w:val="20"/>
        <w:rPr>
          <w:rFonts w:hint="eastAsia"/>
          <w:sz w:val="28"/>
          <w:szCs w:val="28"/>
        </w:rPr>
      </w:pPr>
      <w:bookmarkStart w:id="2625" w:name="_Toc108514211"/>
      <w:r>
        <w:rPr>
          <w:rFonts w:hint="eastAsia"/>
          <w:sz w:val="28"/>
          <w:szCs w:val="28"/>
        </w:rPr>
        <w:t>14.计量与支付</w:t>
      </w:r>
      <w:bookmarkEnd w:id="2625"/>
    </w:p>
    <w:p w14:paraId="5DDB61E3">
      <w:pPr>
        <w:spacing w:line="402" w:lineRule="exact"/>
        <w:ind w:left="1080" w:hanging="1080" w:hangingChars="450"/>
        <w:jc w:val="left"/>
        <w:rPr>
          <w:rFonts w:hint="eastAsia" w:ascii="黑体" w:hAnsi="宋体" w:eastAsia="黑体"/>
          <w:sz w:val="24"/>
        </w:rPr>
      </w:pPr>
      <w:r>
        <w:rPr>
          <w:rFonts w:hint="eastAsia" w:ascii="黑体" w:hAnsi="宋体" w:eastAsia="黑体"/>
          <w:sz w:val="24"/>
        </w:rPr>
        <w:t>14.1    付款申请单</w:t>
      </w:r>
    </w:p>
    <w:p w14:paraId="4B86164F">
      <w:pPr>
        <w:spacing w:line="402" w:lineRule="exact"/>
        <w:ind w:left="945" w:hanging="945" w:hangingChars="450"/>
        <w:jc w:val="left"/>
        <w:rPr>
          <w:rFonts w:hint="eastAsia" w:ascii="宋体" w:hAnsi="宋体"/>
          <w:szCs w:val="21"/>
        </w:rPr>
      </w:pPr>
      <w:r>
        <w:rPr>
          <w:rFonts w:hint="eastAsia" w:ascii="宋体" w:hAnsi="宋体"/>
          <w:szCs w:val="21"/>
        </w:rPr>
        <w:t>14.1.1   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14:paraId="4B06AF24">
      <w:pPr>
        <w:spacing w:line="402" w:lineRule="exact"/>
        <w:ind w:left="945" w:hanging="945" w:hangingChars="450"/>
        <w:jc w:val="left"/>
        <w:rPr>
          <w:rFonts w:hint="eastAsia" w:ascii="宋体" w:hAnsi="宋体"/>
          <w:szCs w:val="21"/>
        </w:rPr>
      </w:pPr>
      <w:r>
        <w:rPr>
          <w:rFonts w:hint="eastAsia" w:ascii="宋体" w:hAnsi="宋体"/>
          <w:szCs w:val="21"/>
        </w:rPr>
        <w:t>14.1.2   根据合同条款第17.1款和第17.3款，  承包人应当在合同约定的每个付款周期末，对当期完成的各项工程量进行计量和计价，并按照第17.3.2项的约定，对当期应增加和扣减的各类款项进行梳理和汇总，按经监理人批准的格式和专用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0B673989">
      <w:pPr>
        <w:spacing w:line="402" w:lineRule="exact"/>
        <w:ind w:left="945" w:hanging="945" w:hangingChars="450"/>
        <w:jc w:val="left"/>
        <w:rPr>
          <w:rFonts w:hint="eastAsia" w:ascii="宋体" w:hAnsi="宋体"/>
          <w:szCs w:val="21"/>
        </w:rPr>
      </w:pPr>
      <w:r>
        <w:rPr>
          <w:rFonts w:hint="eastAsia" w:ascii="宋体" w:hAnsi="宋体"/>
          <w:szCs w:val="21"/>
        </w:rPr>
        <w:t>14.1.3   竣工付款申诅单的内容按专用合同条款第17.5.1(1)目的约定。采用单价合同形式的，竣工付款申请单应当附上按通用合同条款第17.1.4(5)目确定的结算工程量和最近一欠进度付款和竣工付款之间完成的各子目的工程量计量文件。采用总价合同形式的，签约合同价所基于的工程量就是相应的竣工结算工程量，但是，变更应按合同约定进行计量和计价。</w:t>
      </w:r>
    </w:p>
    <w:p w14:paraId="185E24D9">
      <w:pPr>
        <w:spacing w:line="402" w:lineRule="exact"/>
        <w:ind w:left="945" w:hanging="945" w:hangingChars="450"/>
        <w:jc w:val="left"/>
        <w:rPr>
          <w:rFonts w:hint="eastAsia" w:ascii="宋体" w:hAnsi="宋体"/>
          <w:szCs w:val="21"/>
        </w:rPr>
      </w:pPr>
      <w:r>
        <w:rPr>
          <w:rFonts w:hint="eastAsia" w:ascii="宋体" w:hAnsi="宋体"/>
          <w:szCs w:val="21"/>
        </w:rPr>
        <w:t>14.1.4   竣工结算总价(合同价格)应当按以下内容梳理：</w:t>
      </w:r>
    </w:p>
    <w:p w14:paraId="2E8B16A1">
      <w:pPr>
        <w:spacing w:line="402" w:lineRule="exact"/>
        <w:ind w:left="945" w:leftChars="450"/>
        <w:jc w:val="left"/>
        <w:rPr>
          <w:rFonts w:hint="eastAsia" w:ascii="宋体" w:hAnsi="宋体"/>
          <w:szCs w:val="21"/>
        </w:rPr>
      </w:pPr>
      <w:r>
        <w:rPr>
          <w:rFonts w:hint="eastAsia" w:ascii="宋体" w:hAnsi="宋体"/>
          <w:szCs w:val="21"/>
        </w:rPr>
        <w:t>(1)签约合同价；</w:t>
      </w:r>
    </w:p>
    <w:p w14:paraId="50337D3A">
      <w:pPr>
        <w:spacing w:line="402" w:lineRule="exact"/>
        <w:ind w:left="945" w:leftChars="450"/>
        <w:jc w:val="left"/>
        <w:rPr>
          <w:rFonts w:hint="eastAsia" w:ascii="宋体" w:hAnsi="宋体"/>
          <w:szCs w:val="21"/>
        </w:rPr>
      </w:pPr>
      <w:r>
        <w:rPr>
          <w:rFonts w:hint="eastAsia" w:ascii="宋体" w:hAnsi="宋体"/>
          <w:szCs w:val="21"/>
        </w:rPr>
        <w:t>(2)应当扣减的项目；</w:t>
      </w:r>
    </w:p>
    <w:p w14:paraId="1459A990">
      <w:pPr>
        <w:spacing w:line="402" w:lineRule="exact"/>
        <w:ind w:firstLine="1260" w:firstLineChars="600"/>
        <w:jc w:val="left"/>
        <w:rPr>
          <w:rFonts w:hint="eastAsia" w:ascii="宋体" w:hAnsi="宋体"/>
          <w:szCs w:val="21"/>
        </w:rPr>
      </w:pPr>
      <w:r>
        <w:rPr>
          <w:rFonts w:hint="eastAsia" w:ascii="宋体" w:hAnsi="宋体"/>
          <w:szCs w:val="21"/>
        </w:rPr>
        <w:t>1)所有暂列金额；</w:t>
      </w:r>
    </w:p>
    <w:p w14:paraId="2DAC2035">
      <w:pPr>
        <w:spacing w:line="402" w:lineRule="exact"/>
        <w:ind w:firstLine="1260" w:firstLineChars="600"/>
        <w:jc w:val="left"/>
        <w:rPr>
          <w:rFonts w:hint="eastAsia" w:ascii="宋体" w:hAnsi="宋体"/>
          <w:szCs w:val="21"/>
        </w:rPr>
      </w:pPr>
      <w:r>
        <w:rPr>
          <w:rFonts w:hint="eastAsia" w:ascii="宋体" w:hAnsi="宋体"/>
          <w:szCs w:val="21"/>
        </w:rPr>
        <w:t>2)所有暂估价；</w:t>
      </w:r>
    </w:p>
    <w:p w14:paraId="3DE921F5">
      <w:pPr>
        <w:spacing w:line="460" w:lineRule="exact"/>
        <w:ind w:firstLine="1260" w:firstLineChars="600"/>
        <w:jc w:val="left"/>
        <w:rPr>
          <w:rFonts w:hint="eastAsia" w:ascii="宋体" w:hAnsi="宋体"/>
          <w:szCs w:val="21"/>
        </w:rPr>
      </w:pPr>
      <w:r>
        <w:rPr>
          <w:rFonts w:hint="eastAsia" w:ascii="宋体" w:hAnsi="宋体"/>
          <w:szCs w:val="21"/>
        </w:rPr>
        <w:t>3)根据合同条款第15条应扣减的变更金额；</w:t>
      </w:r>
    </w:p>
    <w:p w14:paraId="6CBAE713">
      <w:pPr>
        <w:spacing w:line="460" w:lineRule="exact"/>
        <w:ind w:firstLine="1260" w:firstLineChars="600"/>
        <w:jc w:val="left"/>
        <w:rPr>
          <w:rFonts w:hint="eastAsia" w:ascii="宋体" w:hAnsi="宋体"/>
          <w:szCs w:val="21"/>
        </w:rPr>
      </w:pPr>
      <w:r>
        <w:rPr>
          <w:rFonts w:hint="eastAsia" w:ascii="宋体" w:hAnsi="宋体"/>
          <w:szCs w:val="21"/>
        </w:rPr>
        <w:t>4)根据合同条款第16条应扣减的价格调整(下调部分)；</w:t>
      </w:r>
    </w:p>
    <w:p w14:paraId="164CB3C3">
      <w:pPr>
        <w:spacing w:line="460" w:lineRule="exact"/>
        <w:ind w:firstLine="1260" w:firstLineChars="600"/>
        <w:jc w:val="left"/>
        <w:rPr>
          <w:rFonts w:hint="eastAsia" w:ascii="宋体" w:hAnsi="宋体"/>
          <w:szCs w:val="21"/>
        </w:rPr>
      </w:pPr>
      <w:r>
        <w:rPr>
          <w:rFonts w:hint="eastAsia" w:ascii="宋体" w:hAnsi="宋体"/>
          <w:szCs w:val="21"/>
        </w:rPr>
        <w:t>5)根据合同条款第23.4款应扣减的发包人索赔金额；</w:t>
      </w:r>
    </w:p>
    <w:p w14:paraId="47527890">
      <w:pPr>
        <w:spacing w:line="460" w:lineRule="exact"/>
        <w:ind w:firstLine="1260" w:firstLineChars="600"/>
        <w:jc w:val="left"/>
        <w:rPr>
          <w:rFonts w:hint="eastAsia" w:ascii="宋体" w:hAnsi="宋体"/>
          <w:szCs w:val="21"/>
        </w:rPr>
      </w:pPr>
      <w:r>
        <w:rPr>
          <w:rFonts w:hint="eastAsia" w:ascii="宋体" w:hAnsi="宋体"/>
          <w:szCs w:val="21"/>
        </w:rPr>
        <w:t>6)甩项工程的合同价值(如果有)；</w:t>
      </w:r>
    </w:p>
    <w:p w14:paraId="0636DBF4">
      <w:pPr>
        <w:spacing w:line="460" w:lineRule="exact"/>
        <w:ind w:firstLine="1260" w:firstLineChars="600"/>
        <w:jc w:val="left"/>
        <w:rPr>
          <w:rFonts w:hint="eastAsia" w:ascii="宋体" w:hAnsi="宋体"/>
          <w:szCs w:val="21"/>
        </w:rPr>
      </w:pPr>
      <w:r>
        <w:rPr>
          <w:rFonts w:hint="eastAsia" w:ascii="宋体" w:hAnsi="宋体"/>
          <w:szCs w:val="21"/>
        </w:rPr>
        <w:t>7)根据合同约定发包人应扣减的其他金额。</w:t>
      </w:r>
    </w:p>
    <w:p w14:paraId="5F82745B">
      <w:pPr>
        <w:spacing w:line="460" w:lineRule="exact"/>
        <w:ind w:firstLine="945" w:firstLineChars="450"/>
        <w:jc w:val="left"/>
        <w:rPr>
          <w:rFonts w:hint="eastAsia" w:ascii="宋体" w:hAnsi="宋体"/>
          <w:szCs w:val="21"/>
        </w:rPr>
      </w:pPr>
      <w:r>
        <w:rPr>
          <w:rFonts w:hint="eastAsia" w:ascii="宋体" w:hAnsi="宋体"/>
          <w:szCs w:val="21"/>
        </w:rPr>
        <w:t>(3)应当增加的项目；</w:t>
      </w:r>
    </w:p>
    <w:p w14:paraId="19999CB2">
      <w:pPr>
        <w:spacing w:line="460" w:lineRule="exact"/>
        <w:ind w:firstLine="1260" w:firstLineChars="600"/>
        <w:jc w:val="left"/>
        <w:rPr>
          <w:rFonts w:hint="eastAsia" w:ascii="宋体" w:hAnsi="宋体"/>
          <w:szCs w:val="21"/>
        </w:rPr>
      </w:pPr>
      <w:r>
        <w:rPr>
          <w:rFonts w:hint="eastAsia" w:ascii="宋体" w:hAnsi="宋体"/>
          <w:szCs w:val="21"/>
        </w:rPr>
        <w:t>1)实际发生的暂列金额(包括计日工)；</w:t>
      </w:r>
    </w:p>
    <w:p w14:paraId="1988C9AF">
      <w:pPr>
        <w:spacing w:line="460" w:lineRule="exact"/>
        <w:ind w:firstLine="1260" w:firstLineChars="600"/>
        <w:jc w:val="left"/>
        <w:rPr>
          <w:rFonts w:hint="eastAsia" w:ascii="宋体" w:hAnsi="宋体"/>
          <w:szCs w:val="21"/>
        </w:rPr>
      </w:pPr>
      <w:r>
        <w:rPr>
          <w:rFonts w:hint="eastAsia" w:ascii="宋体" w:hAnsi="宋体"/>
          <w:szCs w:val="21"/>
        </w:rPr>
        <w:t>2)实际发生的暂估价；</w:t>
      </w:r>
    </w:p>
    <w:p w14:paraId="0B0285B4">
      <w:pPr>
        <w:spacing w:line="460" w:lineRule="exact"/>
        <w:ind w:firstLine="1260" w:firstLineChars="600"/>
        <w:jc w:val="left"/>
        <w:rPr>
          <w:rFonts w:hint="eastAsia" w:ascii="宋体" w:hAnsi="宋体"/>
          <w:szCs w:val="21"/>
        </w:rPr>
      </w:pPr>
      <w:r>
        <w:rPr>
          <w:rFonts w:hint="eastAsia" w:ascii="宋体" w:hAnsi="宋体"/>
          <w:szCs w:val="21"/>
        </w:rPr>
        <w:t>3)根据合同条款第15条应增加的变更金额；</w:t>
      </w:r>
    </w:p>
    <w:p w14:paraId="7C0F073B">
      <w:pPr>
        <w:spacing w:line="460" w:lineRule="exact"/>
        <w:ind w:firstLine="1260" w:firstLineChars="600"/>
        <w:jc w:val="left"/>
        <w:rPr>
          <w:rFonts w:hint="eastAsia" w:ascii="宋体" w:hAnsi="宋体"/>
          <w:szCs w:val="21"/>
        </w:rPr>
      </w:pPr>
      <w:r>
        <w:rPr>
          <w:rFonts w:hint="eastAsia" w:ascii="宋体" w:hAnsi="宋体"/>
          <w:szCs w:val="21"/>
        </w:rPr>
        <w:t>4)根据合同条款第16条应增加的价格调整(上调部分)；</w:t>
      </w:r>
    </w:p>
    <w:p w14:paraId="682A563E">
      <w:pPr>
        <w:spacing w:line="460" w:lineRule="exact"/>
        <w:ind w:firstLine="1260" w:firstLineChars="600"/>
        <w:jc w:val="left"/>
        <w:rPr>
          <w:rFonts w:hint="eastAsia" w:ascii="宋体" w:hAnsi="宋体"/>
          <w:szCs w:val="21"/>
        </w:rPr>
      </w:pPr>
      <w:r>
        <w:rPr>
          <w:rFonts w:hint="eastAsia" w:ascii="宋体" w:hAnsi="宋体"/>
          <w:szCs w:val="21"/>
        </w:rPr>
        <w:t>5)根据合同条款第23.2款应增加的承包人索赔金额；</w:t>
      </w:r>
    </w:p>
    <w:p w14:paraId="13573B9A">
      <w:pPr>
        <w:spacing w:line="460" w:lineRule="exact"/>
        <w:ind w:firstLine="1260" w:firstLineChars="600"/>
        <w:jc w:val="left"/>
        <w:rPr>
          <w:rFonts w:hint="eastAsia" w:ascii="宋体" w:hAnsi="宋体"/>
          <w:szCs w:val="21"/>
        </w:rPr>
      </w:pPr>
      <w:r>
        <w:rPr>
          <w:rFonts w:hint="eastAsia" w:ascii="宋体" w:hAnsi="宋体"/>
          <w:szCs w:val="21"/>
        </w:rPr>
        <w:t>6)根据合同约定承包人应当得到的其他金额。</w:t>
      </w:r>
    </w:p>
    <w:p w14:paraId="6CC0C336">
      <w:pPr>
        <w:spacing w:line="460" w:lineRule="exact"/>
        <w:ind w:firstLine="945" w:firstLineChars="450"/>
        <w:jc w:val="left"/>
        <w:rPr>
          <w:rFonts w:hint="eastAsia" w:ascii="宋体" w:hAnsi="宋体"/>
          <w:szCs w:val="21"/>
        </w:rPr>
      </w:pPr>
      <w:r>
        <w:rPr>
          <w:rFonts w:hint="eastAsia" w:ascii="宋体" w:hAnsi="宋体"/>
          <w:szCs w:val="21"/>
        </w:rPr>
        <w:t>(4)规费和税金差额部分。</w:t>
      </w:r>
    </w:p>
    <w:p w14:paraId="15B5E04C">
      <w:pPr>
        <w:spacing w:line="460" w:lineRule="exact"/>
        <w:jc w:val="left"/>
        <w:rPr>
          <w:rFonts w:hint="eastAsia" w:ascii="宋体" w:hAnsi="宋体"/>
          <w:szCs w:val="21"/>
        </w:rPr>
      </w:pPr>
      <w:r>
        <w:rPr>
          <w:rFonts w:hint="eastAsia" w:ascii="宋体" w:hAnsi="宋体"/>
          <w:szCs w:val="21"/>
        </w:rPr>
        <w:t>14.1.5   最终结清申请单的应付金额应当按下列内容梳理：</w:t>
      </w:r>
    </w:p>
    <w:p w14:paraId="56B24F3E">
      <w:pPr>
        <w:spacing w:line="460" w:lineRule="exact"/>
        <w:ind w:firstLine="840" w:firstLineChars="400"/>
        <w:jc w:val="left"/>
        <w:rPr>
          <w:rFonts w:hint="eastAsia" w:ascii="宋体" w:hAnsi="宋体"/>
          <w:szCs w:val="21"/>
        </w:rPr>
      </w:pPr>
      <w:r>
        <w:rPr>
          <w:rFonts w:hint="eastAsia" w:ascii="宋体" w:hAnsi="宋体"/>
          <w:szCs w:val="21"/>
        </w:rPr>
        <w:t>(1)按合同约定扣留的质量保证金；</w:t>
      </w:r>
    </w:p>
    <w:p w14:paraId="72DE6FDB">
      <w:pPr>
        <w:spacing w:line="460" w:lineRule="exact"/>
        <w:ind w:firstLine="840" w:firstLineChars="400"/>
        <w:jc w:val="left"/>
        <w:rPr>
          <w:rFonts w:hint="eastAsia" w:ascii="宋体" w:hAnsi="宋体"/>
          <w:szCs w:val="21"/>
        </w:rPr>
      </w:pPr>
      <w:r>
        <w:rPr>
          <w:rFonts w:hint="eastAsia" w:ascii="宋体" w:hAnsi="宋体"/>
          <w:szCs w:val="21"/>
        </w:rPr>
        <w:t>(2)应当扣除的金额：</w:t>
      </w:r>
    </w:p>
    <w:p w14:paraId="6C1A1936">
      <w:pPr>
        <w:spacing w:line="460" w:lineRule="exact"/>
        <w:ind w:firstLine="1155" w:firstLineChars="550"/>
        <w:jc w:val="left"/>
        <w:rPr>
          <w:rFonts w:hint="eastAsia" w:ascii="宋体" w:hAnsi="宋体"/>
          <w:szCs w:val="21"/>
        </w:rPr>
      </w:pPr>
      <w:r>
        <w:rPr>
          <w:rFonts w:hint="eastAsia" w:ascii="宋体" w:hAnsi="宋体"/>
          <w:szCs w:val="21"/>
        </w:rPr>
        <w:t>1)按通用合同条款17.4.3项约定扣留的质量保证金；</w:t>
      </w:r>
    </w:p>
    <w:p w14:paraId="595660AD">
      <w:pPr>
        <w:spacing w:line="460" w:lineRule="exact"/>
        <w:ind w:firstLine="1155" w:firstLineChars="550"/>
        <w:jc w:val="left"/>
        <w:rPr>
          <w:rFonts w:hint="eastAsia" w:ascii="宋体" w:hAnsi="宋体"/>
          <w:szCs w:val="21"/>
        </w:rPr>
      </w:pPr>
      <w:r>
        <w:rPr>
          <w:rFonts w:hint="eastAsia" w:ascii="宋体" w:hAnsi="宋体"/>
          <w:szCs w:val="21"/>
        </w:rPr>
        <w:t>2)按通用合同条款19.2.4项约定扣除的质量保证金；</w:t>
      </w:r>
    </w:p>
    <w:p w14:paraId="5EC09CA0">
      <w:pPr>
        <w:spacing w:line="460" w:lineRule="exact"/>
        <w:ind w:firstLine="1155" w:firstLineChars="550"/>
        <w:jc w:val="left"/>
        <w:rPr>
          <w:rFonts w:hint="eastAsia" w:ascii="宋体" w:hAnsi="宋体"/>
          <w:szCs w:val="21"/>
        </w:rPr>
      </w:pPr>
      <w:r>
        <w:rPr>
          <w:rFonts w:hint="eastAsia" w:ascii="宋体" w:hAnsi="宋体"/>
          <w:szCs w:val="21"/>
        </w:rPr>
        <w:t>3)根据合同条款第23.4款应扣减的缺陷责任期内发生的发包人索赔金额；</w:t>
      </w:r>
    </w:p>
    <w:p w14:paraId="10D72736">
      <w:pPr>
        <w:spacing w:line="460" w:lineRule="exact"/>
        <w:ind w:firstLine="1155" w:firstLineChars="550"/>
        <w:jc w:val="left"/>
        <w:rPr>
          <w:rFonts w:hint="eastAsia" w:ascii="宋体" w:hAnsi="宋体"/>
          <w:szCs w:val="21"/>
        </w:rPr>
      </w:pPr>
      <w:r>
        <w:rPr>
          <w:rFonts w:hint="eastAsia" w:ascii="宋体" w:hAnsi="宋体"/>
          <w:szCs w:val="21"/>
        </w:rPr>
        <w:t>4)根据合同约定应扣减的其他金额。</w:t>
      </w:r>
    </w:p>
    <w:p w14:paraId="3E64CAAE">
      <w:pPr>
        <w:spacing w:line="460" w:lineRule="exact"/>
        <w:ind w:firstLine="840" w:firstLineChars="400"/>
        <w:jc w:val="left"/>
        <w:rPr>
          <w:rFonts w:hint="eastAsia" w:ascii="宋体" w:hAnsi="宋体"/>
          <w:szCs w:val="21"/>
        </w:rPr>
      </w:pPr>
      <w:r>
        <w:rPr>
          <w:rFonts w:hint="eastAsia" w:ascii="宋体" w:hAnsi="宋体"/>
          <w:szCs w:val="21"/>
        </w:rPr>
        <w:t>(3)应当增加的金额：</w:t>
      </w:r>
    </w:p>
    <w:p w14:paraId="16ACC3D8">
      <w:pPr>
        <w:spacing w:line="460" w:lineRule="exact"/>
        <w:ind w:firstLine="1155" w:firstLineChars="550"/>
        <w:jc w:val="left"/>
        <w:rPr>
          <w:rFonts w:hint="eastAsia" w:ascii="宋体" w:hAnsi="宋体"/>
          <w:szCs w:val="21"/>
        </w:rPr>
      </w:pPr>
      <w:r>
        <w:rPr>
          <w:rFonts w:hint="eastAsia" w:ascii="宋体" w:hAnsi="宋体"/>
          <w:szCs w:val="21"/>
        </w:rPr>
        <w:t>1)已完且符合合同约定的甩项工程的价值；</w:t>
      </w:r>
    </w:p>
    <w:p w14:paraId="331B0950">
      <w:pPr>
        <w:spacing w:line="460" w:lineRule="exact"/>
        <w:ind w:firstLine="1155" w:firstLineChars="550"/>
        <w:jc w:val="left"/>
        <w:rPr>
          <w:rFonts w:hint="eastAsia" w:ascii="宋体" w:hAnsi="宋体"/>
          <w:szCs w:val="21"/>
        </w:rPr>
      </w:pPr>
      <w:r>
        <w:rPr>
          <w:rFonts w:hint="eastAsia" w:ascii="宋体" w:hAnsi="宋体"/>
          <w:szCs w:val="21"/>
        </w:rPr>
        <w:t>2)按通用合同条款19.2.3项约定由承包人修复的发包人原因造成的缺陷的价值；</w:t>
      </w:r>
    </w:p>
    <w:p w14:paraId="5388BAB4">
      <w:pPr>
        <w:spacing w:line="460" w:lineRule="exact"/>
        <w:ind w:firstLine="1155" w:firstLineChars="550"/>
        <w:jc w:val="left"/>
        <w:rPr>
          <w:rFonts w:hint="eastAsia" w:ascii="宋体" w:hAnsi="宋体"/>
          <w:szCs w:val="21"/>
        </w:rPr>
      </w:pPr>
      <w:r>
        <w:rPr>
          <w:rFonts w:hint="eastAsia" w:ascii="宋体" w:hAnsi="宋体"/>
          <w:szCs w:val="21"/>
        </w:rPr>
        <w:t>3)根据合同条款第23.2款应增加的缺陷责任期内发生的承包人索赔金额；</w:t>
      </w:r>
    </w:p>
    <w:p w14:paraId="18917879">
      <w:pPr>
        <w:spacing w:line="460" w:lineRule="exact"/>
        <w:ind w:firstLine="1155" w:firstLineChars="550"/>
        <w:jc w:val="left"/>
        <w:rPr>
          <w:rFonts w:hint="eastAsia" w:ascii="宋体" w:hAnsi="宋体"/>
          <w:szCs w:val="21"/>
        </w:rPr>
      </w:pPr>
      <w:r>
        <w:rPr>
          <w:rFonts w:hint="eastAsia" w:ascii="宋体" w:hAnsi="宋体"/>
          <w:szCs w:val="21"/>
        </w:rPr>
        <w:t>4)根据合同约定承包人应当得到的其他金额。</w:t>
      </w:r>
    </w:p>
    <w:p w14:paraId="0CAC8FB8">
      <w:pPr>
        <w:spacing w:line="460" w:lineRule="exact"/>
        <w:ind w:firstLine="945" w:firstLineChars="450"/>
        <w:jc w:val="left"/>
        <w:rPr>
          <w:rFonts w:hint="eastAsia" w:ascii="宋体" w:hAnsi="宋体"/>
          <w:szCs w:val="21"/>
        </w:rPr>
      </w:pPr>
      <w:r>
        <w:rPr>
          <w:rFonts w:hint="eastAsia" w:ascii="宋体" w:hAnsi="宋体"/>
          <w:szCs w:val="21"/>
        </w:rPr>
        <w:t>最终结清应当由发包人和承包人按照“多退少补”的原则办理。</w:t>
      </w:r>
    </w:p>
    <w:p w14:paraId="3D0BE376">
      <w:pPr>
        <w:spacing w:line="460" w:lineRule="exact"/>
        <w:ind w:left="945" w:hanging="945" w:hangingChars="450"/>
        <w:jc w:val="left"/>
        <w:rPr>
          <w:rFonts w:hint="eastAsia" w:ascii="宋体" w:hAnsi="宋体"/>
          <w:szCs w:val="21"/>
        </w:rPr>
      </w:pPr>
      <w:r>
        <w:rPr>
          <w:rFonts w:hint="eastAsia" w:ascii="宋体" w:hAnsi="宋体"/>
          <w:szCs w:val="21"/>
        </w:rPr>
        <w:t>14.1.6   竣工付款申请单和最终结清申请单应当比照进度付款申请单的格式准备，并提供相关证明材料。</w:t>
      </w:r>
    </w:p>
    <w:p w14:paraId="3D747476">
      <w:pPr>
        <w:spacing w:before="72" w:beforeLines="30" w:after="72" w:afterLines="30" w:line="450" w:lineRule="exact"/>
        <w:jc w:val="left"/>
        <w:rPr>
          <w:rFonts w:hint="eastAsia" w:ascii="黑体" w:hAnsi="宋体" w:eastAsia="黑体"/>
          <w:sz w:val="24"/>
        </w:rPr>
      </w:pPr>
      <w:r>
        <w:rPr>
          <w:rFonts w:hint="eastAsia" w:ascii="黑体" w:hAnsi="宋体" w:eastAsia="黑体"/>
          <w:sz w:val="24"/>
        </w:rPr>
        <w:t>14.2    其他约定</w:t>
      </w:r>
    </w:p>
    <w:p w14:paraId="23EBCEB1">
      <w:pPr>
        <w:spacing w:line="450" w:lineRule="exact"/>
        <w:ind w:firstLine="945" w:firstLineChars="450"/>
        <w:jc w:val="left"/>
        <w:rPr>
          <w:rFonts w:hint="eastAsia" w:ascii="宋体" w:hAnsi="宋体"/>
          <w:szCs w:val="21"/>
        </w:rPr>
      </w:pPr>
      <w:r>
        <w:rPr>
          <w:rFonts w:hint="eastAsia" w:ascii="宋体" w:hAnsi="宋体"/>
          <w:szCs w:val="21"/>
        </w:rPr>
        <w:t>其他约定内容：</w:t>
      </w:r>
    </w:p>
    <w:p w14:paraId="09B04BD2">
      <w:pPr>
        <w:spacing w:line="45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0AE52207">
      <w:pPr>
        <w:spacing w:line="45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525075EC">
      <w:pPr>
        <w:pStyle w:val="20"/>
        <w:rPr>
          <w:rFonts w:hint="eastAsia"/>
          <w:sz w:val="28"/>
          <w:szCs w:val="28"/>
        </w:rPr>
      </w:pPr>
      <w:bookmarkStart w:id="2626" w:name="_Toc108514212"/>
      <w:r>
        <w:rPr>
          <w:rFonts w:hint="eastAsia"/>
          <w:sz w:val="28"/>
          <w:szCs w:val="28"/>
        </w:rPr>
        <w:t>15.竣工验收和工程移交</w:t>
      </w:r>
      <w:bookmarkEnd w:id="2626"/>
    </w:p>
    <w:p w14:paraId="64596A0F">
      <w:pPr>
        <w:spacing w:line="436" w:lineRule="exact"/>
        <w:jc w:val="left"/>
        <w:rPr>
          <w:rFonts w:hint="eastAsia" w:ascii="黑体" w:hAnsi="宋体" w:eastAsia="黑体"/>
          <w:sz w:val="24"/>
        </w:rPr>
      </w:pPr>
      <w:r>
        <w:rPr>
          <w:rFonts w:hint="eastAsia" w:ascii="黑体" w:hAnsi="宋体" w:eastAsia="黑体"/>
          <w:sz w:val="24"/>
        </w:rPr>
        <w:t>15.1   竣工验收前的清理</w:t>
      </w:r>
    </w:p>
    <w:p w14:paraId="129FA1C1">
      <w:pPr>
        <w:spacing w:line="420" w:lineRule="exact"/>
        <w:ind w:left="945" w:hanging="945" w:hangingChars="450"/>
        <w:jc w:val="left"/>
        <w:rPr>
          <w:rFonts w:hint="eastAsia" w:ascii="宋体" w:hAnsi="宋体"/>
          <w:szCs w:val="21"/>
        </w:rPr>
      </w:pPr>
      <w:r>
        <w:rPr>
          <w:rFonts w:hint="eastAsia" w:ascii="宋体" w:hAnsi="宋体"/>
          <w:szCs w:val="21"/>
        </w:rPr>
        <w:t>15.1.1   在向监理人提交竣工验收申请报告前，承包人应当完成竣工验收前的清理工作，包括但不限于：</w:t>
      </w:r>
    </w:p>
    <w:p w14:paraId="6BA619F0">
      <w:pPr>
        <w:spacing w:line="420" w:lineRule="exact"/>
        <w:ind w:left="945" w:leftChars="450"/>
        <w:jc w:val="left"/>
        <w:rPr>
          <w:rFonts w:hint="eastAsia" w:ascii="宋体" w:hAnsi="宋体"/>
          <w:szCs w:val="21"/>
        </w:rPr>
      </w:pPr>
      <w:r>
        <w:rPr>
          <w:rFonts w:hint="eastAsia" w:ascii="宋体" w:hAnsi="宋体"/>
          <w:szCs w:val="21"/>
        </w:rPr>
        <w:t>(1)从永久工程内清除所有剩余材料、杂物、垃圾等等；</w:t>
      </w:r>
    </w:p>
    <w:p w14:paraId="3A40F94D">
      <w:pPr>
        <w:spacing w:line="420" w:lineRule="exact"/>
        <w:ind w:left="945" w:leftChars="450"/>
        <w:jc w:val="left"/>
        <w:rPr>
          <w:rFonts w:hint="eastAsia" w:ascii="宋体" w:hAnsi="宋体"/>
          <w:szCs w:val="21"/>
        </w:rPr>
      </w:pPr>
      <w:r>
        <w:rPr>
          <w:rFonts w:hint="eastAsia" w:ascii="宋体" w:hAnsi="宋体"/>
          <w:szCs w:val="21"/>
        </w:rPr>
        <w:t>(2)清洗工程的所有地面、墙面、楼面、路面等表面；</w:t>
      </w:r>
    </w:p>
    <w:p w14:paraId="0C892006">
      <w:pPr>
        <w:spacing w:line="420" w:lineRule="exact"/>
        <w:ind w:left="945" w:leftChars="450"/>
        <w:jc w:val="left"/>
        <w:rPr>
          <w:rFonts w:hint="eastAsia" w:ascii="宋体" w:hAnsi="宋体"/>
          <w:szCs w:val="21"/>
        </w:rPr>
      </w:pPr>
      <w:r>
        <w:rPr>
          <w:rFonts w:hint="eastAsia" w:ascii="宋体" w:hAnsi="宋体"/>
          <w:szCs w:val="21"/>
        </w:rPr>
        <w:t>(3)清洗和擦洗所有玻璃、磁砖、石材和所有金属面；</w:t>
      </w:r>
    </w:p>
    <w:p w14:paraId="779D4020">
      <w:pPr>
        <w:spacing w:line="420" w:lineRule="exact"/>
        <w:ind w:left="945" w:leftChars="450"/>
        <w:jc w:val="left"/>
        <w:rPr>
          <w:rFonts w:hint="eastAsia" w:ascii="宋体" w:hAnsi="宋体"/>
          <w:szCs w:val="21"/>
        </w:rPr>
      </w:pPr>
      <w:r>
        <w:rPr>
          <w:rFonts w:hint="eastAsia" w:ascii="宋体" w:hAnsi="宋体"/>
          <w:szCs w:val="21"/>
        </w:rPr>
        <w:t>(4)修缮所有损坏、清除所有污迹、替换所有需更换的材料；</w:t>
      </w:r>
    </w:p>
    <w:p w14:paraId="2243E7F9">
      <w:pPr>
        <w:spacing w:line="420" w:lineRule="exact"/>
        <w:ind w:left="945" w:leftChars="450"/>
        <w:jc w:val="left"/>
        <w:rPr>
          <w:rFonts w:hint="eastAsia" w:ascii="宋体" w:hAnsi="宋体"/>
          <w:szCs w:val="21"/>
        </w:rPr>
      </w:pPr>
      <w:r>
        <w:rPr>
          <w:rFonts w:hint="eastAsia" w:ascii="宋体" w:hAnsi="宋体"/>
          <w:szCs w:val="21"/>
        </w:rPr>
        <w:t>(5)所有表面完成约定的装修和装饰；</w:t>
      </w:r>
    </w:p>
    <w:p w14:paraId="15BA60E8">
      <w:pPr>
        <w:spacing w:line="420" w:lineRule="exact"/>
        <w:ind w:left="945" w:leftChars="450"/>
        <w:jc w:val="left"/>
        <w:rPr>
          <w:rFonts w:hint="eastAsia" w:ascii="宋体" w:hAnsi="宋体"/>
          <w:szCs w:val="21"/>
        </w:rPr>
      </w:pPr>
      <w:r>
        <w:rPr>
          <w:rFonts w:hint="eastAsia" w:ascii="宋体" w:hAnsi="宋体"/>
          <w:szCs w:val="21"/>
        </w:rPr>
        <w:t>(6)检查和调试所有的门、窗、抽屉等以确保他们开启的顺畅；</w:t>
      </w:r>
    </w:p>
    <w:p w14:paraId="150A3404">
      <w:pPr>
        <w:spacing w:line="420" w:lineRule="exact"/>
        <w:ind w:left="945" w:leftChars="450"/>
        <w:jc w:val="left"/>
        <w:rPr>
          <w:rFonts w:hint="eastAsia" w:ascii="宋体" w:hAnsi="宋体"/>
          <w:szCs w:val="21"/>
        </w:rPr>
      </w:pPr>
      <w:r>
        <w:rPr>
          <w:rFonts w:hint="eastAsia" w:ascii="宋体" w:hAnsi="宋体"/>
          <w:szCs w:val="21"/>
        </w:rPr>
        <w:t>(7)检查和调试所有的五金件并上油；</w:t>
      </w:r>
    </w:p>
    <w:p w14:paraId="6C8320F6">
      <w:pPr>
        <w:spacing w:line="420" w:lineRule="exact"/>
        <w:ind w:left="945" w:leftChars="450"/>
        <w:jc w:val="left"/>
        <w:rPr>
          <w:rFonts w:hint="eastAsia" w:ascii="宋体" w:hAnsi="宋体"/>
          <w:szCs w:val="21"/>
        </w:rPr>
      </w:pPr>
      <w:r>
        <w:rPr>
          <w:rFonts w:hint="eastAsia" w:ascii="宋体" w:hAnsi="宋体"/>
          <w:szCs w:val="21"/>
        </w:rPr>
        <w:t>(8)检查、测试和确保所有服务系统、设施和设备达到良好的运行状态和效果；</w:t>
      </w:r>
    </w:p>
    <w:p w14:paraId="562AC093">
      <w:pPr>
        <w:spacing w:line="420" w:lineRule="exact"/>
        <w:ind w:left="945" w:leftChars="450"/>
        <w:jc w:val="left"/>
        <w:rPr>
          <w:rFonts w:hint="eastAsia" w:ascii="宋体" w:hAnsi="宋体"/>
          <w:szCs w:val="21"/>
        </w:rPr>
      </w:pPr>
      <w:r>
        <w:rPr>
          <w:rFonts w:hint="eastAsia" w:ascii="宋体" w:hAnsi="宋体"/>
          <w:szCs w:val="21"/>
        </w:rPr>
        <w:t>(9)所有钥匙(如果有)贴上标签并固定到钥匙排上随时可以交给监理人。</w:t>
      </w:r>
    </w:p>
    <w:p w14:paraId="505C364E">
      <w:pPr>
        <w:spacing w:line="420" w:lineRule="exact"/>
        <w:jc w:val="left"/>
        <w:rPr>
          <w:rFonts w:hint="eastAsia" w:ascii="宋体" w:hAnsi="宋体"/>
          <w:szCs w:val="21"/>
        </w:rPr>
      </w:pPr>
      <w:r>
        <w:rPr>
          <w:rFonts w:hint="eastAsia" w:ascii="宋体" w:hAnsi="宋体"/>
          <w:szCs w:val="21"/>
        </w:rPr>
        <w:t>15.1.2   清理工作所需费用由承包人承担。</w:t>
      </w:r>
    </w:p>
    <w:p w14:paraId="0A53CF17">
      <w:pPr>
        <w:spacing w:before="60" w:beforeLines="25" w:after="48" w:afterLines="20" w:line="436" w:lineRule="exact"/>
        <w:jc w:val="left"/>
        <w:rPr>
          <w:rFonts w:hint="eastAsia" w:ascii="黑体" w:hAnsi="宋体" w:eastAsia="黑体"/>
          <w:sz w:val="24"/>
        </w:rPr>
      </w:pPr>
      <w:r>
        <w:rPr>
          <w:rFonts w:hint="eastAsia" w:ascii="黑体" w:hAnsi="宋体" w:eastAsia="黑体"/>
          <w:sz w:val="24"/>
        </w:rPr>
        <w:t>15.2     竣工验收申请报告</w:t>
      </w:r>
    </w:p>
    <w:p w14:paraId="5424A962">
      <w:pPr>
        <w:spacing w:line="420" w:lineRule="exact"/>
        <w:ind w:left="945" w:hanging="945" w:hangingChars="450"/>
        <w:jc w:val="left"/>
        <w:rPr>
          <w:rFonts w:hint="eastAsia" w:ascii="宋体" w:hAnsi="宋体"/>
          <w:szCs w:val="21"/>
        </w:rPr>
      </w:pPr>
      <w:r>
        <w:rPr>
          <w:rFonts w:hint="eastAsia" w:ascii="宋体" w:hAnsi="宋体"/>
          <w:szCs w:val="21"/>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2CDDD7D8">
      <w:pPr>
        <w:spacing w:line="420" w:lineRule="exact"/>
        <w:ind w:left="945" w:hanging="945" w:hangingChars="450"/>
        <w:jc w:val="left"/>
        <w:rPr>
          <w:rFonts w:hint="eastAsia" w:ascii="宋体" w:hAnsi="宋体"/>
          <w:szCs w:val="21"/>
        </w:rPr>
      </w:pPr>
      <w:r>
        <w:rPr>
          <w:rFonts w:hint="eastAsia" w:ascii="宋体" w:hAnsi="宋体"/>
          <w:szCs w:val="21"/>
        </w:rPr>
        <w:t>15.2.2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1B8F29D1">
      <w:pPr>
        <w:spacing w:line="420" w:lineRule="exact"/>
        <w:ind w:left="945" w:hanging="945" w:hangingChars="450"/>
        <w:jc w:val="left"/>
        <w:rPr>
          <w:rFonts w:hint="eastAsia" w:ascii="宋体" w:hAnsi="宋体"/>
          <w:szCs w:val="21"/>
        </w:rPr>
      </w:pPr>
      <w:r>
        <w:rPr>
          <w:rFonts w:hint="eastAsia" w:ascii="宋体" w:hAnsi="宋体"/>
          <w:szCs w:val="21"/>
        </w:rPr>
        <w:t>15.2.3   竣工验收申请报告应当按通用合同条款第18.2款附上下列内容：</w:t>
      </w:r>
    </w:p>
    <w:p w14:paraId="25D502A1">
      <w:pPr>
        <w:spacing w:line="420" w:lineRule="exact"/>
        <w:ind w:left="1290" w:leftChars="450" w:hanging="345" w:hangingChars="150"/>
        <w:jc w:val="left"/>
        <w:rPr>
          <w:rFonts w:hint="eastAsia" w:ascii="宋体" w:hAnsi="宋体"/>
          <w:spacing w:val="10"/>
          <w:szCs w:val="21"/>
        </w:rPr>
      </w:pPr>
      <w:r>
        <w:rPr>
          <w:rFonts w:hint="eastAsia" w:ascii="宋体" w:hAnsi="宋体"/>
          <w:spacing w:val="10"/>
          <w:szCs w:val="21"/>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1CEEE2BF">
      <w:pPr>
        <w:spacing w:line="436" w:lineRule="exact"/>
        <w:ind w:left="945" w:leftChars="450"/>
        <w:jc w:val="left"/>
        <w:rPr>
          <w:rFonts w:hint="eastAsia" w:ascii="宋体" w:hAnsi="宋体"/>
          <w:szCs w:val="21"/>
        </w:rPr>
      </w:pPr>
      <w:r>
        <w:rPr>
          <w:rFonts w:hint="eastAsia" w:ascii="宋体" w:hAnsi="宋体"/>
          <w:szCs w:val="21"/>
        </w:rPr>
        <w:t>（2）按专用合同条款第18.2(2)目约定的内容和份数整理的符合要求的竣工资料；</w:t>
      </w:r>
    </w:p>
    <w:p w14:paraId="46918F46">
      <w:pPr>
        <w:spacing w:line="436" w:lineRule="exact"/>
        <w:ind w:left="1470" w:leftChars="450" w:hanging="525" w:hangingChars="250"/>
        <w:jc w:val="left"/>
        <w:rPr>
          <w:rFonts w:hint="eastAsia" w:ascii="宋体" w:hAnsi="宋体"/>
          <w:szCs w:val="21"/>
        </w:rPr>
      </w:pPr>
      <w:r>
        <w:rPr>
          <w:rFonts w:hint="eastAsia" w:ascii="宋体" w:hAnsi="宋体"/>
          <w:szCs w:val="21"/>
        </w:rPr>
        <w:t>（3）按监理人的要求编制了在缺陷责任期内完成的尾工(甩项)工程和缺陷修补工作清单以及相应施工计划；</w:t>
      </w:r>
    </w:p>
    <w:p w14:paraId="55852792">
      <w:pPr>
        <w:spacing w:line="436" w:lineRule="exact"/>
        <w:ind w:left="1470" w:leftChars="450" w:hanging="525" w:hangingChars="250"/>
        <w:jc w:val="left"/>
        <w:rPr>
          <w:rFonts w:hint="eastAsia" w:ascii="宋体" w:hAnsi="宋体"/>
          <w:szCs w:val="21"/>
        </w:rPr>
      </w:pPr>
      <w:r>
        <w:rPr>
          <w:rFonts w:hint="eastAsia" w:ascii="宋体" w:hAnsi="宋体"/>
          <w:szCs w:val="21"/>
        </w:rPr>
        <w:t>（4）监理人要求在竣工验收前应完成的其他工作的证明材料；</w:t>
      </w:r>
    </w:p>
    <w:p w14:paraId="7FFE7934">
      <w:pPr>
        <w:spacing w:line="436" w:lineRule="exact"/>
        <w:ind w:left="1470" w:leftChars="450" w:hanging="525" w:hangingChars="250"/>
        <w:jc w:val="left"/>
        <w:rPr>
          <w:rFonts w:hint="eastAsia" w:ascii="宋体" w:hAnsi="宋体"/>
          <w:szCs w:val="21"/>
        </w:rPr>
      </w:pPr>
      <w:r>
        <w:rPr>
          <w:rFonts w:hint="eastAsia" w:ascii="宋体" w:hAnsi="宋体"/>
          <w:szCs w:val="21"/>
        </w:rPr>
        <w:t>（5）监理人要求提交的竣工验收资料清单；</w:t>
      </w:r>
    </w:p>
    <w:p w14:paraId="1791977D">
      <w:pPr>
        <w:spacing w:line="436" w:lineRule="exact"/>
        <w:ind w:left="945" w:leftChars="450"/>
        <w:jc w:val="left"/>
        <w:rPr>
          <w:rFonts w:hint="eastAsia" w:ascii="宋体" w:hAnsi="宋体"/>
          <w:szCs w:val="21"/>
        </w:rPr>
      </w:pPr>
      <w:r>
        <w:rPr>
          <w:rFonts w:hint="eastAsia" w:ascii="宋体" w:hAnsi="宋体"/>
          <w:szCs w:val="21"/>
        </w:rPr>
        <w:t>（6）通用合同条款第18.4.1项约定的单位工程竣工验收成果和结论文件(如果有)；</w:t>
      </w:r>
    </w:p>
    <w:p w14:paraId="4CBF55AA">
      <w:pPr>
        <w:spacing w:line="436" w:lineRule="exact"/>
        <w:ind w:left="945" w:leftChars="450"/>
        <w:jc w:val="left"/>
        <w:rPr>
          <w:rFonts w:hint="eastAsia" w:ascii="宋体" w:hAnsi="宋体"/>
          <w:szCs w:val="21"/>
        </w:rPr>
      </w:pPr>
      <w:r>
        <w:rPr>
          <w:rFonts w:hint="eastAsia" w:ascii="宋体" w:hAnsi="宋体"/>
          <w:szCs w:val="21"/>
        </w:rPr>
        <w:t>（7）专用合同条款第19.7款约定的质量保修书(此前已经提交的不再提交)；</w:t>
      </w:r>
    </w:p>
    <w:p w14:paraId="7A9F1F84">
      <w:pPr>
        <w:spacing w:line="436" w:lineRule="exact"/>
        <w:ind w:left="945" w:leftChars="450"/>
        <w:jc w:val="left"/>
        <w:rPr>
          <w:rFonts w:hint="eastAsia" w:ascii="宋体" w:hAnsi="宋体"/>
          <w:szCs w:val="21"/>
        </w:rPr>
      </w:pPr>
      <w:r>
        <w:rPr>
          <w:rFonts w:hint="eastAsia" w:ascii="宋体" w:hAnsi="宋体"/>
          <w:szCs w:val="21"/>
        </w:rPr>
        <w:t>（8）其他：</w:t>
      </w:r>
      <w:r>
        <w:rPr>
          <w:rFonts w:hint="eastAsia" w:ascii="宋体" w:hAnsi="宋体"/>
          <w:szCs w:val="21"/>
          <w:u w:val="single"/>
        </w:rPr>
        <w:t xml:space="preserve">                                    </w:t>
      </w:r>
      <w:r>
        <w:rPr>
          <w:rFonts w:hint="eastAsia" w:ascii="宋体" w:hAnsi="宋体"/>
          <w:szCs w:val="21"/>
        </w:rPr>
        <w:t>。</w:t>
      </w:r>
    </w:p>
    <w:p w14:paraId="3D1F2FDF">
      <w:pPr>
        <w:spacing w:line="436" w:lineRule="exact"/>
        <w:jc w:val="left"/>
        <w:rPr>
          <w:rFonts w:hint="eastAsia" w:ascii="黑体" w:hAnsi="宋体" w:eastAsia="黑体"/>
          <w:sz w:val="24"/>
        </w:rPr>
      </w:pPr>
      <w:r>
        <w:rPr>
          <w:rFonts w:hint="eastAsia" w:ascii="黑体" w:hAnsi="宋体" w:eastAsia="黑体"/>
          <w:sz w:val="24"/>
        </w:rPr>
        <w:t>15.3    竣工清场</w:t>
      </w:r>
    </w:p>
    <w:p w14:paraId="18CBC6FE">
      <w:pPr>
        <w:spacing w:line="436" w:lineRule="exact"/>
        <w:ind w:left="945" w:hanging="945" w:hangingChars="450"/>
        <w:jc w:val="left"/>
        <w:rPr>
          <w:rFonts w:hint="eastAsia" w:ascii="宋体" w:hAnsi="宋体"/>
          <w:szCs w:val="21"/>
        </w:rPr>
      </w:pPr>
      <w:r>
        <w:rPr>
          <w:rFonts w:hint="eastAsia" w:ascii="宋体" w:hAnsi="宋体"/>
          <w:szCs w:val="21"/>
        </w:rPr>
        <w:t>15.3.1   监理人颁发(出具)工程接收证书后，承包人应在56天内按以下要求对施工场地(现场)进行清理：</w:t>
      </w:r>
    </w:p>
    <w:p w14:paraId="1414BBB9">
      <w:pPr>
        <w:spacing w:line="436" w:lineRule="exact"/>
        <w:ind w:firstLine="945" w:firstLineChars="450"/>
        <w:jc w:val="left"/>
        <w:rPr>
          <w:rFonts w:hint="eastAsia" w:ascii="宋体" w:hAnsi="宋体"/>
          <w:szCs w:val="21"/>
        </w:rPr>
      </w:pPr>
      <w:r>
        <w:rPr>
          <w:rFonts w:hint="eastAsia" w:ascii="宋体" w:hAnsi="宋体"/>
          <w:szCs w:val="21"/>
        </w:rPr>
        <w:t>(1)从施工场地(现场)清除所有杂物和垃圾等；</w:t>
      </w:r>
    </w:p>
    <w:p w14:paraId="2E282DB9">
      <w:pPr>
        <w:spacing w:line="436" w:lineRule="exact"/>
        <w:ind w:left="1260" w:leftChars="450" w:hanging="315" w:hangingChars="150"/>
        <w:jc w:val="left"/>
        <w:rPr>
          <w:rFonts w:hint="eastAsia" w:ascii="宋体" w:hAnsi="宋体"/>
          <w:szCs w:val="21"/>
        </w:rPr>
      </w:pPr>
      <w:r>
        <w:rPr>
          <w:rFonts w:hint="eastAsia" w:ascii="宋体" w:hAnsi="宋体"/>
          <w:szCs w:val="21"/>
        </w:rPr>
        <w:t>(2)从施工场地现场拆除所有的临时工程和临时设施并恢复地面原状，但经监理人批准的护坡桩、锚杆、塔吊基础和无法拆除的埋入式模板等无法拆除的临时设施除外；</w:t>
      </w:r>
    </w:p>
    <w:p w14:paraId="2116581D">
      <w:pPr>
        <w:spacing w:line="436" w:lineRule="exact"/>
        <w:ind w:left="1395" w:leftChars="450" w:hanging="450"/>
        <w:jc w:val="left"/>
        <w:rPr>
          <w:rFonts w:hint="eastAsia" w:ascii="宋体" w:hAnsi="宋体"/>
          <w:szCs w:val="21"/>
        </w:rPr>
      </w:pPr>
      <w:r>
        <w:rPr>
          <w:rFonts w:hint="eastAsia" w:ascii="宋体" w:hAnsi="宋体"/>
          <w:szCs w:val="21"/>
        </w:rPr>
        <w:t>(3)撤离所有承包人施工设备和剩余材料(经监理人同意需在缺陷责任期内继续使用的除外)；</w:t>
      </w:r>
    </w:p>
    <w:p w14:paraId="4CCDA5CF">
      <w:pPr>
        <w:spacing w:line="436" w:lineRule="exact"/>
        <w:ind w:left="1395" w:leftChars="450" w:hanging="450"/>
        <w:jc w:val="left"/>
        <w:rPr>
          <w:rFonts w:hint="eastAsia" w:ascii="宋体" w:hAnsi="宋体"/>
          <w:szCs w:val="21"/>
        </w:rPr>
      </w:pPr>
      <w:r>
        <w:rPr>
          <w:rFonts w:hint="eastAsia" w:ascii="宋体" w:hAnsi="宋体"/>
          <w:szCs w:val="21"/>
        </w:rPr>
        <w:t>(4)监理人指示的其他清场工作。</w:t>
      </w:r>
    </w:p>
    <w:p w14:paraId="18ADB5A5">
      <w:pPr>
        <w:pStyle w:val="20"/>
        <w:rPr>
          <w:rFonts w:hint="eastAsia"/>
          <w:sz w:val="28"/>
          <w:szCs w:val="28"/>
        </w:rPr>
      </w:pPr>
      <w:bookmarkStart w:id="2627" w:name="_Toc108514213"/>
      <w:r>
        <w:rPr>
          <w:rFonts w:hint="eastAsia"/>
          <w:sz w:val="28"/>
          <w:szCs w:val="28"/>
        </w:rPr>
        <w:t>16.其他要求</w:t>
      </w:r>
      <w:bookmarkEnd w:id="2627"/>
    </w:p>
    <w:p w14:paraId="7D8D189D">
      <w:pPr>
        <w:spacing w:before="240"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p>
    <w:p w14:paraId="43C4AAD9">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396F17B">
      <w:pPr>
        <w:spacing w:line="500" w:lineRule="exact"/>
        <w:jc w:val="left"/>
        <w:rPr>
          <w:rFonts w:hint="eastAsia" w:ascii="宋体" w:hAnsi="宋体"/>
          <w:szCs w:val="21"/>
        </w:rPr>
      </w:pPr>
    </w:p>
    <w:p w14:paraId="03924765">
      <w:pPr>
        <w:spacing w:line="500" w:lineRule="exact"/>
        <w:jc w:val="left"/>
        <w:rPr>
          <w:rFonts w:hint="eastAsia" w:ascii="宋体" w:hAnsi="宋体"/>
          <w:szCs w:val="21"/>
        </w:rPr>
      </w:pPr>
    </w:p>
    <w:p w14:paraId="7C5902F2">
      <w:pPr>
        <w:spacing w:line="500" w:lineRule="exact"/>
        <w:jc w:val="left"/>
        <w:rPr>
          <w:rFonts w:hint="eastAsia" w:ascii="宋体" w:hAnsi="宋体"/>
          <w:szCs w:val="21"/>
        </w:rPr>
      </w:pPr>
    </w:p>
    <w:p w14:paraId="6D8A2B44">
      <w:pPr>
        <w:pStyle w:val="18"/>
        <w:jc w:val="center"/>
        <w:rPr>
          <w:rFonts w:hint="eastAsia"/>
        </w:rPr>
      </w:pPr>
      <w:bookmarkStart w:id="2628" w:name="_Toc108514214"/>
      <w:r>
        <w:rPr>
          <w:rFonts w:hint="eastAsia"/>
        </w:rPr>
        <w:t>第二节  特殊技术标准和要求</w:t>
      </w:r>
      <w:bookmarkEnd w:id="2628"/>
    </w:p>
    <w:p w14:paraId="2A5354D5">
      <w:pPr>
        <w:spacing w:line="500" w:lineRule="exact"/>
        <w:jc w:val="left"/>
        <w:rPr>
          <w:rFonts w:hint="eastAsia" w:ascii="宋体" w:hAnsi="宋体"/>
          <w:szCs w:val="21"/>
        </w:rPr>
      </w:pPr>
    </w:p>
    <w:p w14:paraId="257E886C">
      <w:pPr>
        <w:pStyle w:val="20"/>
        <w:rPr>
          <w:rFonts w:hint="eastAsia"/>
          <w:sz w:val="28"/>
          <w:szCs w:val="28"/>
        </w:rPr>
      </w:pPr>
      <w:bookmarkStart w:id="2629" w:name="_Toc108514215"/>
      <w:r>
        <w:rPr>
          <w:rFonts w:hint="eastAsia"/>
          <w:sz w:val="28"/>
          <w:szCs w:val="28"/>
        </w:rPr>
        <w:t>1．材料和工程设备技术要求</w:t>
      </w:r>
      <w:bookmarkEnd w:id="2629"/>
    </w:p>
    <w:p w14:paraId="66E74DB7">
      <w:pPr>
        <w:spacing w:line="500" w:lineRule="exact"/>
        <w:jc w:val="left"/>
        <w:rPr>
          <w:rFonts w:hint="eastAsia" w:ascii="宋体" w:hAnsi="宋体"/>
          <w:szCs w:val="21"/>
        </w:rPr>
      </w:pPr>
      <w:r>
        <w:rPr>
          <w:rFonts w:hint="eastAsia" w:ascii="宋体" w:hAnsi="宋体"/>
          <w:szCs w:val="21"/>
        </w:rPr>
        <w:t>1.1      承包人自行施工范围内的部分材料和工程设备技术要求如下：</w:t>
      </w:r>
    </w:p>
    <w:p w14:paraId="0617AD2A">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0407EF62">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C0A3062">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421C388B">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1C82942">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247B3D06">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5899906">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00B7807C">
      <w:pPr>
        <w:spacing w:line="500" w:lineRule="exact"/>
        <w:ind w:left="945" w:leftChars="450"/>
        <w:jc w:val="left"/>
        <w:rPr>
          <w:rFonts w:hint="eastAsia" w:ascii="宋体" w:hAnsi="宋体"/>
          <w:szCs w:val="21"/>
        </w:rPr>
      </w:pPr>
      <w:r>
        <w:rPr>
          <w:rFonts w:hint="eastAsia" w:ascii="宋体" w:hAnsi="宋体"/>
          <w:szCs w:val="21"/>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14:paraId="1B331AC6">
      <w:pPr>
        <w:spacing w:line="500" w:lineRule="exact"/>
        <w:jc w:val="left"/>
        <w:rPr>
          <w:rFonts w:hint="eastAsia" w:ascii="宋体" w:hAnsi="宋体"/>
          <w:szCs w:val="21"/>
        </w:rPr>
      </w:pPr>
      <w:r>
        <w:rPr>
          <w:rFonts w:hint="eastAsia" w:ascii="宋体" w:hAnsi="宋体"/>
          <w:szCs w:val="21"/>
        </w:rPr>
        <w:t>1.2      承包人自行施工范围内的材料和工程设备选型允许的偏离如下：</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2120"/>
        <w:gridCol w:w="1744"/>
        <w:gridCol w:w="1744"/>
        <w:gridCol w:w="1744"/>
      </w:tblGrid>
      <w:tr w14:paraId="7E923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368" w:type="dxa"/>
            <w:noWrap w:val="0"/>
            <w:vAlign w:val="center"/>
          </w:tcPr>
          <w:p w14:paraId="499D2943">
            <w:pPr>
              <w:jc w:val="center"/>
              <w:rPr>
                <w:rFonts w:hint="eastAsia" w:ascii="宋体" w:hAnsi="宋体"/>
                <w:szCs w:val="21"/>
              </w:rPr>
            </w:pPr>
            <w:r>
              <w:rPr>
                <w:rFonts w:hint="eastAsia" w:ascii="宋体" w:hAnsi="宋体"/>
                <w:szCs w:val="21"/>
              </w:rPr>
              <w:t>序号</w:t>
            </w:r>
          </w:p>
        </w:tc>
        <w:tc>
          <w:tcPr>
            <w:tcW w:w="2120" w:type="dxa"/>
            <w:noWrap w:val="0"/>
            <w:vAlign w:val="center"/>
          </w:tcPr>
          <w:p w14:paraId="671433F9">
            <w:pPr>
              <w:jc w:val="center"/>
              <w:rPr>
                <w:rFonts w:hint="eastAsia" w:ascii="宋体" w:hAnsi="宋体"/>
                <w:szCs w:val="21"/>
              </w:rPr>
            </w:pPr>
            <w:r>
              <w:rPr>
                <w:rFonts w:hint="eastAsia" w:ascii="宋体" w:hAnsi="宋体"/>
                <w:szCs w:val="21"/>
              </w:rPr>
              <w:t>材料和工程设备</w:t>
            </w:r>
          </w:p>
          <w:p w14:paraId="65B6434A">
            <w:pPr>
              <w:jc w:val="center"/>
              <w:rPr>
                <w:rFonts w:hint="eastAsia" w:ascii="宋体" w:hAnsi="宋体"/>
                <w:szCs w:val="21"/>
              </w:rPr>
            </w:pPr>
            <w:r>
              <w:rPr>
                <w:rFonts w:hint="eastAsia" w:ascii="宋体" w:hAnsi="宋体"/>
                <w:szCs w:val="21"/>
              </w:rPr>
              <w:t>名称</w:t>
            </w:r>
          </w:p>
        </w:tc>
        <w:tc>
          <w:tcPr>
            <w:tcW w:w="1744" w:type="dxa"/>
            <w:noWrap w:val="0"/>
            <w:vAlign w:val="center"/>
          </w:tcPr>
          <w:p w14:paraId="242D4EA4">
            <w:pPr>
              <w:jc w:val="center"/>
              <w:rPr>
                <w:rFonts w:hint="eastAsia" w:ascii="宋体" w:hAnsi="宋体"/>
                <w:szCs w:val="21"/>
              </w:rPr>
            </w:pPr>
            <w:r>
              <w:rPr>
                <w:rFonts w:hint="eastAsia" w:ascii="宋体" w:hAnsi="宋体"/>
                <w:szCs w:val="21"/>
              </w:rPr>
              <w:t>技术指标</w:t>
            </w:r>
          </w:p>
        </w:tc>
        <w:tc>
          <w:tcPr>
            <w:tcW w:w="1744" w:type="dxa"/>
            <w:noWrap w:val="0"/>
            <w:vAlign w:val="center"/>
          </w:tcPr>
          <w:p w14:paraId="6C442AF9">
            <w:pPr>
              <w:jc w:val="center"/>
              <w:rPr>
                <w:rFonts w:hint="eastAsia" w:ascii="宋体" w:hAnsi="宋体"/>
                <w:szCs w:val="21"/>
              </w:rPr>
            </w:pPr>
            <w:r>
              <w:rPr>
                <w:rFonts w:hint="eastAsia" w:ascii="宋体" w:hAnsi="宋体"/>
                <w:szCs w:val="21"/>
              </w:rPr>
              <w:t>允许偏离范围</w:t>
            </w:r>
          </w:p>
        </w:tc>
        <w:tc>
          <w:tcPr>
            <w:tcW w:w="1744" w:type="dxa"/>
            <w:noWrap w:val="0"/>
            <w:vAlign w:val="center"/>
          </w:tcPr>
          <w:p w14:paraId="08853D1F">
            <w:pPr>
              <w:jc w:val="center"/>
              <w:rPr>
                <w:rFonts w:hint="eastAsia" w:ascii="宋体" w:hAnsi="宋体"/>
                <w:szCs w:val="21"/>
              </w:rPr>
            </w:pPr>
            <w:r>
              <w:rPr>
                <w:rFonts w:hint="eastAsia" w:ascii="宋体" w:hAnsi="宋体"/>
                <w:szCs w:val="21"/>
              </w:rPr>
              <w:t>备    注</w:t>
            </w:r>
          </w:p>
        </w:tc>
      </w:tr>
      <w:tr w14:paraId="4F7E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noWrap w:val="0"/>
            <w:vAlign w:val="center"/>
          </w:tcPr>
          <w:p w14:paraId="7A81CA2B">
            <w:pPr>
              <w:jc w:val="center"/>
              <w:rPr>
                <w:rFonts w:hint="eastAsia" w:ascii="宋体" w:hAnsi="宋体"/>
                <w:szCs w:val="21"/>
              </w:rPr>
            </w:pPr>
            <w:r>
              <w:rPr>
                <w:rFonts w:hint="eastAsia" w:ascii="宋体" w:hAnsi="宋体"/>
                <w:szCs w:val="21"/>
              </w:rPr>
              <w:t>1</w:t>
            </w:r>
          </w:p>
        </w:tc>
        <w:tc>
          <w:tcPr>
            <w:tcW w:w="2120" w:type="dxa"/>
            <w:noWrap w:val="0"/>
            <w:vAlign w:val="center"/>
          </w:tcPr>
          <w:p w14:paraId="4F85FD40">
            <w:pPr>
              <w:jc w:val="center"/>
              <w:rPr>
                <w:rFonts w:hint="eastAsia" w:ascii="宋体" w:hAnsi="宋体"/>
                <w:szCs w:val="21"/>
              </w:rPr>
            </w:pPr>
          </w:p>
        </w:tc>
        <w:tc>
          <w:tcPr>
            <w:tcW w:w="1744" w:type="dxa"/>
            <w:noWrap w:val="0"/>
            <w:vAlign w:val="center"/>
          </w:tcPr>
          <w:p w14:paraId="7C26B109">
            <w:pPr>
              <w:jc w:val="center"/>
              <w:rPr>
                <w:rFonts w:hint="eastAsia" w:ascii="宋体" w:hAnsi="宋体"/>
                <w:szCs w:val="21"/>
              </w:rPr>
            </w:pPr>
          </w:p>
        </w:tc>
        <w:tc>
          <w:tcPr>
            <w:tcW w:w="1744" w:type="dxa"/>
            <w:noWrap w:val="0"/>
            <w:vAlign w:val="center"/>
          </w:tcPr>
          <w:p w14:paraId="32D5CB14">
            <w:pPr>
              <w:jc w:val="center"/>
              <w:rPr>
                <w:rFonts w:hint="eastAsia" w:ascii="宋体" w:hAnsi="宋体"/>
                <w:szCs w:val="21"/>
              </w:rPr>
            </w:pPr>
          </w:p>
        </w:tc>
        <w:tc>
          <w:tcPr>
            <w:tcW w:w="1744" w:type="dxa"/>
            <w:noWrap w:val="0"/>
            <w:vAlign w:val="center"/>
          </w:tcPr>
          <w:p w14:paraId="2471F622">
            <w:pPr>
              <w:jc w:val="center"/>
              <w:rPr>
                <w:rFonts w:hint="eastAsia" w:ascii="宋体" w:hAnsi="宋体"/>
                <w:szCs w:val="21"/>
              </w:rPr>
            </w:pPr>
          </w:p>
        </w:tc>
      </w:tr>
      <w:tr w14:paraId="4FFC2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noWrap w:val="0"/>
            <w:vAlign w:val="center"/>
          </w:tcPr>
          <w:p w14:paraId="68E9CCC9">
            <w:pPr>
              <w:jc w:val="center"/>
              <w:rPr>
                <w:rFonts w:hint="eastAsia" w:ascii="宋体" w:hAnsi="宋体"/>
                <w:szCs w:val="21"/>
              </w:rPr>
            </w:pPr>
            <w:r>
              <w:rPr>
                <w:rFonts w:hint="eastAsia" w:ascii="宋体" w:hAnsi="宋体"/>
                <w:szCs w:val="21"/>
              </w:rPr>
              <w:t>2</w:t>
            </w:r>
          </w:p>
        </w:tc>
        <w:tc>
          <w:tcPr>
            <w:tcW w:w="2120" w:type="dxa"/>
            <w:noWrap w:val="0"/>
            <w:vAlign w:val="center"/>
          </w:tcPr>
          <w:p w14:paraId="06DC4E4D">
            <w:pPr>
              <w:jc w:val="center"/>
              <w:rPr>
                <w:rFonts w:hint="eastAsia" w:ascii="宋体" w:hAnsi="宋体"/>
                <w:szCs w:val="21"/>
              </w:rPr>
            </w:pPr>
          </w:p>
        </w:tc>
        <w:tc>
          <w:tcPr>
            <w:tcW w:w="1744" w:type="dxa"/>
            <w:noWrap w:val="0"/>
            <w:vAlign w:val="center"/>
          </w:tcPr>
          <w:p w14:paraId="1D98728A">
            <w:pPr>
              <w:jc w:val="center"/>
              <w:rPr>
                <w:rFonts w:hint="eastAsia" w:ascii="宋体" w:hAnsi="宋体"/>
                <w:szCs w:val="21"/>
              </w:rPr>
            </w:pPr>
          </w:p>
        </w:tc>
        <w:tc>
          <w:tcPr>
            <w:tcW w:w="1744" w:type="dxa"/>
            <w:noWrap w:val="0"/>
            <w:vAlign w:val="center"/>
          </w:tcPr>
          <w:p w14:paraId="628D9F15">
            <w:pPr>
              <w:jc w:val="center"/>
              <w:rPr>
                <w:rFonts w:hint="eastAsia" w:ascii="宋体" w:hAnsi="宋体"/>
                <w:szCs w:val="21"/>
              </w:rPr>
            </w:pPr>
          </w:p>
        </w:tc>
        <w:tc>
          <w:tcPr>
            <w:tcW w:w="1744" w:type="dxa"/>
            <w:noWrap w:val="0"/>
            <w:vAlign w:val="center"/>
          </w:tcPr>
          <w:p w14:paraId="1BAC8164">
            <w:pPr>
              <w:jc w:val="center"/>
              <w:rPr>
                <w:rFonts w:hint="eastAsia" w:ascii="宋体" w:hAnsi="宋体"/>
                <w:szCs w:val="21"/>
              </w:rPr>
            </w:pPr>
          </w:p>
        </w:tc>
      </w:tr>
      <w:tr w14:paraId="34972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noWrap w:val="0"/>
            <w:vAlign w:val="center"/>
          </w:tcPr>
          <w:p w14:paraId="5487039E">
            <w:pPr>
              <w:jc w:val="center"/>
              <w:rPr>
                <w:rFonts w:hint="eastAsia" w:ascii="宋体" w:hAnsi="宋体"/>
                <w:szCs w:val="21"/>
              </w:rPr>
            </w:pPr>
            <w:r>
              <w:rPr>
                <w:rFonts w:hint="eastAsia" w:ascii="宋体" w:hAnsi="宋体"/>
                <w:szCs w:val="21"/>
              </w:rPr>
              <w:t>……</w:t>
            </w:r>
          </w:p>
        </w:tc>
        <w:tc>
          <w:tcPr>
            <w:tcW w:w="2120" w:type="dxa"/>
            <w:noWrap w:val="0"/>
            <w:vAlign w:val="center"/>
          </w:tcPr>
          <w:p w14:paraId="423DEC19">
            <w:pPr>
              <w:jc w:val="center"/>
              <w:rPr>
                <w:rFonts w:hint="eastAsia" w:ascii="宋体" w:hAnsi="宋体"/>
                <w:szCs w:val="21"/>
              </w:rPr>
            </w:pPr>
          </w:p>
        </w:tc>
        <w:tc>
          <w:tcPr>
            <w:tcW w:w="1744" w:type="dxa"/>
            <w:noWrap w:val="0"/>
            <w:vAlign w:val="center"/>
          </w:tcPr>
          <w:p w14:paraId="03477989">
            <w:pPr>
              <w:jc w:val="center"/>
              <w:rPr>
                <w:rFonts w:hint="eastAsia" w:ascii="宋体" w:hAnsi="宋体"/>
                <w:szCs w:val="21"/>
              </w:rPr>
            </w:pPr>
          </w:p>
        </w:tc>
        <w:tc>
          <w:tcPr>
            <w:tcW w:w="1744" w:type="dxa"/>
            <w:noWrap w:val="0"/>
            <w:vAlign w:val="center"/>
          </w:tcPr>
          <w:p w14:paraId="5CA18696">
            <w:pPr>
              <w:jc w:val="center"/>
              <w:rPr>
                <w:rFonts w:hint="eastAsia" w:ascii="宋体" w:hAnsi="宋体"/>
                <w:szCs w:val="21"/>
              </w:rPr>
            </w:pPr>
          </w:p>
        </w:tc>
        <w:tc>
          <w:tcPr>
            <w:tcW w:w="1744" w:type="dxa"/>
            <w:noWrap w:val="0"/>
            <w:vAlign w:val="center"/>
          </w:tcPr>
          <w:p w14:paraId="414D1167">
            <w:pPr>
              <w:jc w:val="center"/>
              <w:rPr>
                <w:rFonts w:hint="eastAsia" w:ascii="宋体" w:hAnsi="宋体"/>
                <w:szCs w:val="21"/>
              </w:rPr>
            </w:pPr>
          </w:p>
        </w:tc>
      </w:tr>
      <w:tr w14:paraId="7E02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8" w:type="dxa"/>
            <w:noWrap w:val="0"/>
            <w:vAlign w:val="center"/>
          </w:tcPr>
          <w:p w14:paraId="2AEF8045">
            <w:pPr>
              <w:jc w:val="center"/>
              <w:rPr>
                <w:rFonts w:hint="eastAsia" w:ascii="宋体" w:hAnsi="宋体"/>
                <w:szCs w:val="21"/>
              </w:rPr>
            </w:pPr>
          </w:p>
        </w:tc>
        <w:tc>
          <w:tcPr>
            <w:tcW w:w="2120" w:type="dxa"/>
            <w:noWrap w:val="0"/>
            <w:vAlign w:val="center"/>
          </w:tcPr>
          <w:p w14:paraId="41BA881F">
            <w:pPr>
              <w:jc w:val="center"/>
              <w:rPr>
                <w:rFonts w:hint="eastAsia" w:ascii="宋体" w:hAnsi="宋体"/>
                <w:szCs w:val="21"/>
              </w:rPr>
            </w:pPr>
          </w:p>
        </w:tc>
        <w:tc>
          <w:tcPr>
            <w:tcW w:w="1744" w:type="dxa"/>
            <w:noWrap w:val="0"/>
            <w:vAlign w:val="center"/>
          </w:tcPr>
          <w:p w14:paraId="5838FA02">
            <w:pPr>
              <w:jc w:val="center"/>
              <w:rPr>
                <w:rFonts w:hint="eastAsia" w:ascii="宋体" w:hAnsi="宋体"/>
                <w:szCs w:val="21"/>
              </w:rPr>
            </w:pPr>
          </w:p>
        </w:tc>
        <w:tc>
          <w:tcPr>
            <w:tcW w:w="1744" w:type="dxa"/>
            <w:noWrap w:val="0"/>
            <w:vAlign w:val="center"/>
          </w:tcPr>
          <w:p w14:paraId="23F9E903">
            <w:pPr>
              <w:jc w:val="center"/>
              <w:rPr>
                <w:rFonts w:hint="eastAsia" w:ascii="宋体" w:hAnsi="宋体"/>
                <w:szCs w:val="21"/>
              </w:rPr>
            </w:pPr>
          </w:p>
        </w:tc>
        <w:tc>
          <w:tcPr>
            <w:tcW w:w="1744" w:type="dxa"/>
            <w:noWrap w:val="0"/>
            <w:vAlign w:val="center"/>
          </w:tcPr>
          <w:p w14:paraId="198780CD">
            <w:pPr>
              <w:jc w:val="center"/>
              <w:rPr>
                <w:rFonts w:hint="eastAsia" w:ascii="宋体" w:hAnsi="宋体"/>
                <w:szCs w:val="21"/>
              </w:rPr>
            </w:pPr>
          </w:p>
        </w:tc>
      </w:tr>
    </w:tbl>
    <w:p w14:paraId="4682EA06">
      <w:pPr>
        <w:spacing w:line="500" w:lineRule="exact"/>
        <w:jc w:val="left"/>
        <w:rPr>
          <w:rFonts w:hint="eastAsia" w:ascii="宋体" w:hAnsi="宋体"/>
          <w:szCs w:val="21"/>
        </w:rPr>
      </w:pPr>
      <w:r>
        <w:rPr>
          <w:rFonts w:hint="eastAsia" w:ascii="宋体" w:hAnsi="宋体"/>
          <w:szCs w:val="21"/>
        </w:rPr>
        <w:t>1.3      本工程施工现场所用混凝土或砂浆的供应方式为</w:t>
      </w:r>
      <w:r>
        <w:rPr>
          <w:rFonts w:hint="eastAsia" w:ascii="宋体" w:hAnsi="宋体"/>
          <w:szCs w:val="21"/>
          <w:u w:val="single"/>
        </w:rPr>
        <w:t xml:space="preserve">      </w:t>
      </w:r>
      <w:r>
        <w:rPr>
          <w:rFonts w:hint="eastAsia" w:ascii="宋体" w:hAnsi="宋体"/>
          <w:szCs w:val="21"/>
        </w:rPr>
        <w:t>。</w:t>
      </w:r>
    </w:p>
    <w:p w14:paraId="339F9F69">
      <w:pPr>
        <w:spacing w:line="500" w:lineRule="exact"/>
        <w:jc w:val="left"/>
        <w:rPr>
          <w:rFonts w:hint="eastAsia" w:ascii="宋体" w:hAnsi="宋体"/>
          <w:szCs w:val="21"/>
        </w:rPr>
      </w:pPr>
    </w:p>
    <w:p w14:paraId="46F8B9CF">
      <w:pPr>
        <w:pStyle w:val="20"/>
        <w:rPr>
          <w:rFonts w:hint="eastAsia"/>
          <w:sz w:val="28"/>
          <w:szCs w:val="28"/>
        </w:rPr>
      </w:pPr>
      <w:bookmarkStart w:id="2630" w:name="_Toc108514216"/>
      <w:r>
        <w:rPr>
          <w:rFonts w:hint="eastAsia"/>
          <w:sz w:val="28"/>
          <w:szCs w:val="28"/>
        </w:rPr>
        <w:t>2.特殊技术要求</w:t>
      </w:r>
      <w:bookmarkEnd w:id="2630"/>
    </w:p>
    <w:p w14:paraId="7611FCF7">
      <w:pPr>
        <w:spacing w:line="500" w:lineRule="exact"/>
        <w:jc w:val="left"/>
        <w:rPr>
          <w:rFonts w:hint="eastAsia" w:ascii="宋体" w:hAnsi="宋体"/>
          <w:szCs w:val="21"/>
        </w:rPr>
      </w:pPr>
      <w:r>
        <w:rPr>
          <w:rFonts w:hint="eastAsia" w:ascii="宋体" w:hAnsi="宋体"/>
          <w:szCs w:val="21"/>
        </w:rPr>
        <w:t>2.1       除合同约定的技术要求外，本工程的特殊技术要求如下：</w:t>
      </w:r>
    </w:p>
    <w:p w14:paraId="493D65AE">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8036642">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6BA8E4B3">
      <w:pPr>
        <w:pStyle w:val="20"/>
        <w:rPr>
          <w:rFonts w:hint="eastAsia"/>
          <w:sz w:val="28"/>
          <w:szCs w:val="28"/>
        </w:rPr>
      </w:pPr>
      <w:bookmarkStart w:id="2631" w:name="_Toc108514217"/>
      <w:r>
        <w:rPr>
          <w:rFonts w:hint="eastAsia"/>
          <w:sz w:val="28"/>
          <w:szCs w:val="28"/>
        </w:rPr>
        <w:t>3．新技术、新工艺和新材料</w:t>
      </w:r>
      <w:bookmarkEnd w:id="2631"/>
    </w:p>
    <w:p w14:paraId="5BB43F15">
      <w:pPr>
        <w:spacing w:line="500" w:lineRule="exact"/>
        <w:jc w:val="left"/>
        <w:rPr>
          <w:rFonts w:hint="eastAsia" w:ascii="黑体" w:hAnsi="宋体" w:eastAsia="黑体"/>
          <w:sz w:val="24"/>
        </w:rPr>
      </w:pPr>
      <w:r>
        <w:rPr>
          <w:rFonts w:hint="eastAsia" w:ascii="黑体" w:hAnsi="宋体" w:eastAsia="黑体"/>
          <w:sz w:val="24"/>
        </w:rPr>
        <w:t>3.1 本工程涉及的新技术、新工艺和新材料及相应使用和操作说明如下：</w:t>
      </w:r>
    </w:p>
    <w:p w14:paraId="24996456">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0D9B4AB5">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44D60A0C">
      <w:pPr>
        <w:spacing w:line="500" w:lineRule="exact"/>
        <w:jc w:val="left"/>
        <w:rPr>
          <w:rFonts w:hint="eastAsia" w:ascii="宋体" w:hAnsi="宋体"/>
          <w:b/>
          <w:szCs w:val="21"/>
        </w:rPr>
      </w:pPr>
    </w:p>
    <w:p w14:paraId="64C98B9A">
      <w:pPr>
        <w:pStyle w:val="20"/>
        <w:rPr>
          <w:rFonts w:hint="eastAsia"/>
          <w:sz w:val="28"/>
          <w:szCs w:val="28"/>
        </w:rPr>
      </w:pPr>
      <w:bookmarkStart w:id="2632" w:name="_Toc108514218"/>
      <w:r>
        <w:rPr>
          <w:rFonts w:hint="eastAsia"/>
          <w:sz w:val="28"/>
          <w:szCs w:val="28"/>
        </w:rPr>
        <w:t>4．其他特殊技术标准和要求</w:t>
      </w:r>
      <w:bookmarkEnd w:id="2632"/>
    </w:p>
    <w:p w14:paraId="18FE244C">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9EDEBE0">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55C76FC1">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C0312CC">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10160CBF">
      <w:pPr>
        <w:spacing w:line="500" w:lineRule="exact"/>
        <w:jc w:val="lef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C881ECA">
      <w:pPr>
        <w:spacing w:line="500" w:lineRule="exact"/>
        <w:jc w:val="left"/>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w:t>
      </w:r>
    </w:p>
    <w:p w14:paraId="1B40A281">
      <w:pPr>
        <w:spacing w:line="500" w:lineRule="exact"/>
        <w:jc w:val="left"/>
        <w:rPr>
          <w:rFonts w:hint="eastAsia" w:ascii="宋体" w:hAnsi="宋体"/>
          <w:szCs w:val="21"/>
        </w:rPr>
      </w:pPr>
    </w:p>
    <w:p w14:paraId="1C669C3B">
      <w:pPr>
        <w:spacing w:line="500" w:lineRule="exact"/>
        <w:jc w:val="left"/>
        <w:rPr>
          <w:rFonts w:hint="eastAsia" w:ascii="宋体" w:hAnsi="宋体"/>
          <w:szCs w:val="21"/>
        </w:rPr>
      </w:pPr>
    </w:p>
    <w:p w14:paraId="5F9DC29C">
      <w:pPr>
        <w:spacing w:line="500" w:lineRule="exact"/>
        <w:jc w:val="left"/>
        <w:rPr>
          <w:rFonts w:hint="eastAsia" w:ascii="宋体" w:hAnsi="宋体"/>
          <w:szCs w:val="21"/>
        </w:rPr>
      </w:pPr>
    </w:p>
    <w:p w14:paraId="2D8DF322">
      <w:pPr>
        <w:spacing w:line="500" w:lineRule="exact"/>
        <w:jc w:val="left"/>
        <w:rPr>
          <w:rFonts w:hint="eastAsia" w:ascii="宋体" w:hAnsi="宋体"/>
          <w:szCs w:val="21"/>
        </w:rPr>
      </w:pPr>
    </w:p>
    <w:p w14:paraId="560AE38A">
      <w:pPr>
        <w:spacing w:line="500" w:lineRule="exact"/>
        <w:jc w:val="left"/>
        <w:rPr>
          <w:rFonts w:hint="eastAsia" w:ascii="宋体" w:hAnsi="宋体"/>
          <w:szCs w:val="21"/>
        </w:rPr>
      </w:pPr>
    </w:p>
    <w:p w14:paraId="32577BE2">
      <w:pPr>
        <w:spacing w:line="500" w:lineRule="exact"/>
        <w:jc w:val="left"/>
        <w:rPr>
          <w:rFonts w:hint="eastAsia" w:ascii="宋体" w:hAnsi="宋体"/>
          <w:szCs w:val="21"/>
        </w:rPr>
      </w:pPr>
    </w:p>
    <w:p w14:paraId="363124A0">
      <w:pPr>
        <w:spacing w:line="500" w:lineRule="exact"/>
        <w:jc w:val="left"/>
        <w:rPr>
          <w:rFonts w:hint="eastAsia" w:ascii="宋体" w:hAnsi="宋体"/>
          <w:szCs w:val="21"/>
        </w:rPr>
      </w:pPr>
    </w:p>
    <w:p w14:paraId="67FC39C6">
      <w:pPr>
        <w:spacing w:line="500" w:lineRule="exact"/>
        <w:jc w:val="left"/>
        <w:rPr>
          <w:rFonts w:hint="eastAsia" w:ascii="宋体" w:hAnsi="宋体"/>
          <w:szCs w:val="21"/>
        </w:rPr>
      </w:pPr>
    </w:p>
    <w:p w14:paraId="64422002">
      <w:pPr>
        <w:spacing w:line="500" w:lineRule="exact"/>
        <w:jc w:val="left"/>
        <w:rPr>
          <w:rFonts w:hint="eastAsia" w:ascii="宋体" w:hAnsi="宋体"/>
          <w:szCs w:val="21"/>
        </w:rPr>
      </w:pPr>
    </w:p>
    <w:p w14:paraId="275FDEB2">
      <w:pPr>
        <w:spacing w:line="500" w:lineRule="exact"/>
        <w:jc w:val="left"/>
        <w:rPr>
          <w:rFonts w:hint="eastAsia" w:ascii="宋体" w:hAnsi="宋体"/>
          <w:szCs w:val="21"/>
        </w:rPr>
      </w:pPr>
    </w:p>
    <w:p w14:paraId="28FEC122">
      <w:pPr>
        <w:spacing w:line="500" w:lineRule="exact"/>
        <w:jc w:val="left"/>
        <w:rPr>
          <w:rFonts w:hint="eastAsia" w:ascii="宋体" w:hAnsi="宋体"/>
          <w:szCs w:val="21"/>
        </w:rPr>
      </w:pPr>
    </w:p>
    <w:p w14:paraId="64053619">
      <w:pPr>
        <w:spacing w:line="500" w:lineRule="exact"/>
        <w:jc w:val="left"/>
        <w:rPr>
          <w:rFonts w:hint="eastAsia" w:ascii="宋体" w:hAnsi="宋体"/>
          <w:szCs w:val="21"/>
        </w:rPr>
      </w:pPr>
    </w:p>
    <w:p w14:paraId="03BBA795">
      <w:pPr>
        <w:spacing w:line="500" w:lineRule="exact"/>
        <w:jc w:val="left"/>
        <w:rPr>
          <w:rFonts w:hint="eastAsia" w:ascii="宋体" w:hAnsi="宋体"/>
          <w:szCs w:val="21"/>
        </w:rPr>
      </w:pPr>
    </w:p>
    <w:p w14:paraId="221DF4F2">
      <w:pPr>
        <w:spacing w:line="500" w:lineRule="exact"/>
        <w:jc w:val="left"/>
        <w:rPr>
          <w:rFonts w:hint="eastAsia" w:ascii="宋体" w:hAnsi="宋体"/>
          <w:szCs w:val="21"/>
        </w:rPr>
      </w:pPr>
    </w:p>
    <w:p w14:paraId="364D6111">
      <w:pPr>
        <w:spacing w:line="500" w:lineRule="exact"/>
        <w:jc w:val="left"/>
        <w:rPr>
          <w:rFonts w:hint="eastAsia" w:ascii="宋体" w:hAnsi="宋体"/>
          <w:szCs w:val="21"/>
        </w:rPr>
      </w:pPr>
    </w:p>
    <w:p w14:paraId="387E483E">
      <w:pPr>
        <w:pStyle w:val="18"/>
        <w:jc w:val="center"/>
        <w:rPr>
          <w:rFonts w:hint="eastAsia" w:ascii="黑体" w:hAnsi="宋体"/>
          <w:sz w:val="24"/>
        </w:rPr>
      </w:pPr>
      <w:bookmarkStart w:id="2633" w:name="_Toc108514219"/>
      <w:r>
        <w:rPr>
          <w:rFonts w:hint="eastAsia"/>
        </w:rPr>
        <w:t>第三节  适用的国家、行业以及地方规范、标准和规程</w:t>
      </w:r>
      <w:bookmarkEnd w:id="2633"/>
    </w:p>
    <w:p w14:paraId="4435A165">
      <w:pPr>
        <w:spacing w:line="500" w:lineRule="exact"/>
        <w:jc w:val="left"/>
        <w:rPr>
          <w:rFonts w:hint="eastAsia" w:ascii="黑体" w:hAnsi="宋体" w:eastAsia="黑体"/>
          <w:b/>
          <w:szCs w:val="21"/>
        </w:rPr>
      </w:pPr>
    </w:p>
    <w:p w14:paraId="3DD1A02B">
      <w:pPr>
        <w:spacing w:line="500" w:lineRule="exact"/>
        <w:jc w:val="left"/>
        <w:rPr>
          <w:rFonts w:hint="eastAsia" w:ascii="黑体" w:hAnsi="宋体" w:eastAsia="黑体"/>
          <w:b/>
          <w:szCs w:val="21"/>
        </w:rPr>
      </w:pPr>
    </w:p>
    <w:p w14:paraId="10CBC114">
      <w:pPr>
        <w:spacing w:line="500" w:lineRule="exact"/>
        <w:jc w:val="left"/>
        <w:rPr>
          <w:rFonts w:ascii="宋体" w:hAnsi="宋体"/>
          <w:szCs w:val="21"/>
        </w:rPr>
      </w:pPr>
      <w:r>
        <w:rPr>
          <w:rFonts w:hint="eastAsia" w:ascii="黑体" w:hAnsi="宋体" w:eastAsia="黑体"/>
          <w:b/>
          <w:szCs w:val="21"/>
        </w:rPr>
        <w:t>说明：</w:t>
      </w:r>
      <w:r>
        <w:rPr>
          <w:rFonts w:hint="eastAsia" w:ascii="宋体" w:hAnsi="宋体"/>
          <w:szCs w:val="21"/>
        </w:rPr>
        <w:t>本节内容只需列出规范、标准、规程等的名称、编号等内容。本节由招标人根据国家、行业和地方现行标准、规范和规程等，以及项目具体情况摘录。</w:t>
      </w:r>
    </w:p>
    <w:p w14:paraId="0E5C368C">
      <w:pPr>
        <w:spacing w:after="480" w:afterLines="200" w:line="500" w:lineRule="exact"/>
        <w:jc w:val="left"/>
        <w:rPr>
          <w:rFonts w:hint="eastAsia" w:ascii="黑体" w:hAnsi="宋体" w:eastAsia="黑体"/>
          <w:sz w:val="24"/>
        </w:rPr>
      </w:pPr>
      <w:r>
        <w:rPr>
          <w:rFonts w:hint="eastAsia" w:ascii="黑体" w:hAnsi="宋体" w:eastAsia="黑体"/>
          <w:b/>
          <w:sz w:val="24"/>
        </w:rPr>
        <w:br w:type="page"/>
      </w:r>
      <w:r>
        <w:rPr>
          <w:rFonts w:hint="eastAsia" w:ascii="黑体" w:hAnsi="宋体" w:eastAsia="黑体"/>
          <w:sz w:val="24"/>
        </w:rPr>
        <w:t>附件A：施工现场现状平面图</w:t>
      </w:r>
    </w:p>
    <w:p w14:paraId="78416929">
      <w:pPr>
        <w:spacing w:line="500" w:lineRule="exact"/>
        <w:jc w:val="left"/>
        <w:rPr>
          <w:rFonts w:ascii="宋体" w:hAnsi="宋体"/>
          <w:szCs w:val="21"/>
        </w:rPr>
      </w:pPr>
      <w:r>
        <w:rPr>
          <w:rFonts w:hint="eastAsia" w:ascii="黑体" w:hAnsi="宋体" w:eastAsia="黑体"/>
          <w:szCs w:val="21"/>
        </w:rPr>
        <w:t>说明：</w:t>
      </w:r>
      <w:r>
        <w:rPr>
          <w:rFonts w:hint="eastAsia" w:ascii="宋体" w:hAnsi="宋体"/>
          <w:szCs w:val="21"/>
        </w:rPr>
        <w:t>该图由招标人准备，并作为招标文件本章的组成内容提供给投标人。图中应当标示本章第一节第1.2.1项规定的内容，并做必要的文字说明。</w:t>
      </w:r>
    </w:p>
    <w:p w14:paraId="29895BAB">
      <w:pPr>
        <w:spacing w:line="500" w:lineRule="exact"/>
        <w:jc w:val="left"/>
        <w:rPr>
          <w:rFonts w:hint="eastAsia" w:ascii="宋体" w:hAnsi="宋体"/>
          <w:szCs w:val="21"/>
        </w:rPr>
      </w:pPr>
    </w:p>
    <w:p w14:paraId="7BC22B39">
      <w:pPr>
        <w:rPr>
          <w:rFonts w:hint="eastAsia"/>
          <w:szCs w:val="21"/>
        </w:rPr>
      </w:pPr>
      <w:r>
        <w:rPr>
          <w:rFonts w:ascii="宋体" w:hAnsi="宋体"/>
          <w:szCs w:val="21"/>
        </w:rPr>
        <w:br w:type="page"/>
      </w:r>
    </w:p>
    <w:p w14:paraId="55B746F0">
      <w:pPr>
        <w:rPr>
          <w:rFonts w:hint="eastAsia"/>
          <w:szCs w:val="21"/>
        </w:rPr>
      </w:pPr>
    </w:p>
    <w:p w14:paraId="192BFC4F">
      <w:pPr>
        <w:rPr>
          <w:rFonts w:hint="eastAsia"/>
          <w:szCs w:val="21"/>
        </w:rPr>
      </w:pPr>
    </w:p>
    <w:p w14:paraId="191BA5AD">
      <w:pPr>
        <w:rPr>
          <w:rFonts w:hint="eastAsia"/>
          <w:szCs w:val="21"/>
        </w:rPr>
      </w:pPr>
    </w:p>
    <w:p w14:paraId="61DF7177">
      <w:pPr>
        <w:rPr>
          <w:rFonts w:hint="eastAsia"/>
          <w:szCs w:val="21"/>
        </w:rPr>
      </w:pPr>
    </w:p>
    <w:p w14:paraId="48149C96">
      <w:pPr>
        <w:rPr>
          <w:rFonts w:hint="eastAsia"/>
          <w:szCs w:val="21"/>
        </w:rPr>
      </w:pPr>
    </w:p>
    <w:p w14:paraId="3F190C46">
      <w:pPr>
        <w:rPr>
          <w:rFonts w:hint="eastAsia"/>
          <w:szCs w:val="21"/>
        </w:rPr>
      </w:pPr>
    </w:p>
    <w:p w14:paraId="066771B4">
      <w:pPr>
        <w:rPr>
          <w:rFonts w:hint="eastAsia"/>
          <w:szCs w:val="21"/>
        </w:rPr>
      </w:pPr>
    </w:p>
    <w:p w14:paraId="6EB87AD6">
      <w:pPr>
        <w:rPr>
          <w:rFonts w:hint="eastAsia"/>
          <w:szCs w:val="21"/>
        </w:rPr>
      </w:pPr>
    </w:p>
    <w:p w14:paraId="576C3178">
      <w:pPr>
        <w:rPr>
          <w:rFonts w:hint="eastAsia"/>
          <w:szCs w:val="21"/>
        </w:rPr>
      </w:pPr>
    </w:p>
    <w:p w14:paraId="6A9E8060">
      <w:pPr>
        <w:rPr>
          <w:rFonts w:hint="eastAsia"/>
          <w:szCs w:val="21"/>
        </w:rPr>
      </w:pPr>
    </w:p>
    <w:p w14:paraId="5599879C">
      <w:pPr>
        <w:rPr>
          <w:rFonts w:hint="eastAsia"/>
          <w:szCs w:val="21"/>
        </w:rPr>
      </w:pPr>
    </w:p>
    <w:p w14:paraId="27AD6B2D">
      <w:pPr>
        <w:pStyle w:val="2"/>
        <w:spacing w:before="120" w:after="120" w:line="400" w:lineRule="exact"/>
        <w:jc w:val="center"/>
        <w:rPr>
          <w:rFonts w:hint="eastAsia" w:ascii="黑体" w:hAnsi="黑体" w:eastAsia="黑体"/>
          <w:b w:val="0"/>
          <w:bCs w:val="0"/>
          <w:sz w:val="48"/>
          <w:szCs w:val="48"/>
        </w:rPr>
      </w:pPr>
      <w:bookmarkStart w:id="2634" w:name="_Toc108514220"/>
      <w:r>
        <w:rPr>
          <w:rFonts w:hint="eastAsia" w:ascii="黑体" w:hAnsi="黑体" w:eastAsia="黑体"/>
          <w:b w:val="0"/>
          <w:bCs w:val="0"/>
          <w:sz w:val="48"/>
          <w:szCs w:val="48"/>
        </w:rPr>
        <w:t>第四卷</w:t>
      </w:r>
      <w:bookmarkEnd w:id="2634"/>
    </w:p>
    <w:p w14:paraId="064E6E74">
      <w:pPr>
        <w:spacing w:line="420" w:lineRule="exact"/>
        <w:rPr>
          <w:rFonts w:hint="eastAsia" w:ascii="黑体" w:eastAsia="黑体"/>
          <w:sz w:val="36"/>
          <w:szCs w:val="36"/>
        </w:rPr>
      </w:pPr>
    </w:p>
    <w:p w14:paraId="2B95C4A3">
      <w:pPr>
        <w:spacing w:line="420" w:lineRule="exact"/>
        <w:rPr>
          <w:rFonts w:hint="eastAsia" w:ascii="黑体" w:eastAsia="黑体"/>
          <w:sz w:val="36"/>
          <w:szCs w:val="36"/>
        </w:rPr>
      </w:pPr>
    </w:p>
    <w:p w14:paraId="7102671A">
      <w:pPr>
        <w:spacing w:line="420" w:lineRule="exact"/>
        <w:rPr>
          <w:rFonts w:hint="eastAsia" w:ascii="黑体" w:eastAsia="黑体"/>
          <w:sz w:val="36"/>
          <w:szCs w:val="36"/>
        </w:rPr>
      </w:pPr>
    </w:p>
    <w:p w14:paraId="225BB6DD">
      <w:pPr>
        <w:spacing w:line="420" w:lineRule="exact"/>
        <w:rPr>
          <w:rFonts w:hint="eastAsia" w:ascii="黑体" w:eastAsia="黑体"/>
          <w:sz w:val="36"/>
          <w:szCs w:val="36"/>
        </w:rPr>
      </w:pPr>
    </w:p>
    <w:p w14:paraId="198A21BB">
      <w:pPr>
        <w:spacing w:line="420" w:lineRule="exact"/>
        <w:rPr>
          <w:rFonts w:hint="eastAsia" w:ascii="黑体" w:eastAsia="黑体"/>
          <w:sz w:val="36"/>
          <w:szCs w:val="36"/>
        </w:rPr>
      </w:pPr>
    </w:p>
    <w:p w14:paraId="4905CF0D">
      <w:pPr>
        <w:spacing w:line="420" w:lineRule="exact"/>
        <w:rPr>
          <w:rFonts w:hint="eastAsia" w:ascii="黑体" w:eastAsia="黑体"/>
          <w:sz w:val="36"/>
          <w:szCs w:val="36"/>
        </w:rPr>
      </w:pPr>
    </w:p>
    <w:p w14:paraId="6AED804C">
      <w:pPr>
        <w:spacing w:line="420" w:lineRule="exact"/>
        <w:rPr>
          <w:rFonts w:hint="eastAsia" w:ascii="黑体" w:eastAsia="黑体"/>
          <w:sz w:val="36"/>
          <w:szCs w:val="36"/>
        </w:rPr>
      </w:pPr>
    </w:p>
    <w:p w14:paraId="38EF7C3B">
      <w:pPr>
        <w:spacing w:line="420" w:lineRule="exact"/>
        <w:rPr>
          <w:rFonts w:hint="eastAsia" w:ascii="黑体" w:eastAsia="黑体"/>
          <w:sz w:val="36"/>
          <w:szCs w:val="36"/>
        </w:rPr>
      </w:pPr>
    </w:p>
    <w:p w14:paraId="5361FE92">
      <w:pPr>
        <w:spacing w:line="420" w:lineRule="exact"/>
        <w:rPr>
          <w:rFonts w:hint="eastAsia" w:ascii="黑体" w:eastAsia="黑体"/>
          <w:sz w:val="36"/>
          <w:szCs w:val="36"/>
        </w:rPr>
      </w:pPr>
    </w:p>
    <w:p w14:paraId="6FF50C6B">
      <w:pPr>
        <w:spacing w:line="420" w:lineRule="exact"/>
        <w:rPr>
          <w:rFonts w:hint="eastAsia" w:ascii="黑体" w:eastAsia="黑体"/>
          <w:sz w:val="36"/>
          <w:szCs w:val="36"/>
        </w:rPr>
      </w:pPr>
    </w:p>
    <w:p w14:paraId="132453A2">
      <w:pPr>
        <w:spacing w:line="420" w:lineRule="exact"/>
        <w:rPr>
          <w:rFonts w:hint="eastAsia" w:ascii="黑体" w:eastAsia="黑体"/>
          <w:sz w:val="36"/>
          <w:szCs w:val="36"/>
        </w:rPr>
      </w:pPr>
    </w:p>
    <w:p w14:paraId="17EC8BB6">
      <w:pPr>
        <w:spacing w:line="420" w:lineRule="exact"/>
        <w:rPr>
          <w:rFonts w:hint="eastAsia" w:ascii="黑体" w:eastAsia="黑体"/>
          <w:sz w:val="36"/>
          <w:szCs w:val="36"/>
        </w:rPr>
      </w:pPr>
    </w:p>
    <w:p w14:paraId="6FFE2050">
      <w:pPr>
        <w:spacing w:line="420" w:lineRule="exact"/>
        <w:rPr>
          <w:rFonts w:hint="eastAsia" w:ascii="黑体" w:eastAsia="黑体"/>
          <w:sz w:val="36"/>
          <w:szCs w:val="36"/>
        </w:rPr>
      </w:pPr>
    </w:p>
    <w:p w14:paraId="0C0E3707">
      <w:pPr>
        <w:spacing w:line="420" w:lineRule="exact"/>
        <w:rPr>
          <w:rFonts w:hint="eastAsia" w:ascii="黑体" w:eastAsia="黑体"/>
          <w:sz w:val="36"/>
          <w:szCs w:val="36"/>
        </w:rPr>
      </w:pPr>
    </w:p>
    <w:p w14:paraId="07C0BC1E">
      <w:pPr>
        <w:spacing w:line="420" w:lineRule="exact"/>
        <w:rPr>
          <w:rFonts w:hint="eastAsia" w:ascii="黑体" w:eastAsia="黑体"/>
          <w:sz w:val="36"/>
          <w:szCs w:val="36"/>
        </w:rPr>
      </w:pPr>
    </w:p>
    <w:p w14:paraId="3F1F51F5">
      <w:pPr>
        <w:spacing w:line="420" w:lineRule="exact"/>
        <w:rPr>
          <w:rFonts w:hint="eastAsia" w:ascii="黑体" w:eastAsia="黑体"/>
          <w:sz w:val="36"/>
          <w:szCs w:val="36"/>
        </w:rPr>
      </w:pPr>
    </w:p>
    <w:p w14:paraId="2FE4AE46">
      <w:pPr>
        <w:spacing w:line="420" w:lineRule="exact"/>
        <w:rPr>
          <w:rFonts w:hint="eastAsia" w:ascii="黑体" w:eastAsia="黑体"/>
          <w:sz w:val="36"/>
          <w:szCs w:val="36"/>
        </w:rPr>
      </w:pPr>
    </w:p>
    <w:p w14:paraId="6F3CCC3A">
      <w:pPr>
        <w:spacing w:line="420" w:lineRule="exact"/>
        <w:rPr>
          <w:rFonts w:hint="eastAsia" w:ascii="黑体" w:eastAsia="黑体"/>
          <w:sz w:val="36"/>
          <w:szCs w:val="36"/>
        </w:rPr>
      </w:pPr>
    </w:p>
    <w:p w14:paraId="116C7327">
      <w:pPr>
        <w:spacing w:line="420" w:lineRule="exact"/>
        <w:rPr>
          <w:rFonts w:hint="eastAsia" w:ascii="黑体" w:eastAsia="黑体"/>
          <w:sz w:val="36"/>
          <w:szCs w:val="36"/>
        </w:rPr>
      </w:pPr>
    </w:p>
    <w:p w14:paraId="3EAF111F">
      <w:pPr>
        <w:spacing w:line="420" w:lineRule="exact"/>
        <w:rPr>
          <w:rFonts w:hint="eastAsia" w:ascii="楷体_GB2312" w:eastAsia="楷体_GB2312"/>
        </w:rPr>
      </w:pPr>
    </w:p>
    <w:p w14:paraId="77899891">
      <w:pPr>
        <w:spacing w:line="420" w:lineRule="exact"/>
        <w:rPr>
          <w:rFonts w:hint="eastAsia" w:ascii="楷体_GB2312" w:eastAsia="楷体_GB2312"/>
        </w:rPr>
      </w:pPr>
    </w:p>
    <w:p w14:paraId="5F14AF9A">
      <w:pPr>
        <w:spacing w:line="420" w:lineRule="exact"/>
        <w:rPr>
          <w:rFonts w:hint="eastAsia" w:ascii="楷体_GB2312" w:eastAsia="楷体_GB2312"/>
        </w:rPr>
      </w:pPr>
    </w:p>
    <w:p w14:paraId="3FBEC1B9">
      <w:pPr>
        <w:spacing w:line="420" w:lineRule="exact"/>
        <w:rPr>
          <w:rFonts w:hint="eastAsia" w:ascii="楷体_GB2312" w:eastAsia="楷体_GB2312"/>
        </w:rPr>
      </w:pPr>
    </w:p>
    <w:p w14:paraId="2587759C">
      <w:pPr>
        <w:spacing w:line="420" w:lineRule="exact"/>
        <w:rPr>
          <w:rFonts w:hint="eastAsia" w:ascii="楷体_GB2312" w:eastAsia="楷体_GB2312"/>
        </w:rPr>
      </w:pPr>
    </w:p>
    <w:p w14:paraId="0D2841EE">
      <w:pPr>
        <w:spacing w:line="420" w:lineRule="exact"/>
        <w:rPr>
          <w:rFonts w:hint="eastAsia" w:ascii="楷体_GB2312" w:eastAsia="楷体_GB2312"/>
        </w:rPr>
      </w:pPr>
    </w:p>
    <w:p w14:paraId="6450362C">
      <w:pPr>
        <w:spacing w:line="420" w:lineRule="exact"/>
        <w:rPr>
          <w:rFonts w:hint="eastAsia" w:ascii="楷体_GB2312" w:eastAsia="楷体_GB2312"/>
        </w:rPr>
      </w:pPr>
    </w:p>
    <w:p w14:paraId="2499F8A9">
      <w:pPr>
        <w:spacing w:line="420" w:lineRule="exact"/>
        <w:rPr>
          <w:rFonts w:hint="eastAsia" w:ascii="楷体_GB2312" w:eastAsia="楷体_GB2312"/>
        </w:rPr>
      </w:pPr>
    </w:p>
    <w:p w14:paraId="7A503684">
      <w:pPr>
        <w:spacing w:line="420" w:lineRule="exact"/>
        <w:rPr>
          <w:rFonts w:hint="eastAsia" w:ascii="楷体_GB2312" w:eastAsia="楷体_GB2312"/>
        </w:rPr>
      </w:pPr>
    </w:p>
    <w:p w14:paraId="54B998EA">
      <w:pPr>
        <w:pStyle w:val="2"/>
        <w:spacing w:before="120" w:after="120" w:line="400" w:lineRule="exact"/>
        <w:jc w:val="center"/>
        <w:rPr>
          <w:rFonts w:hint="eastAsia" w:ascii="黑体" w:hAnsi="黑体" w:eastAsia="黑体"/>
          <w:b w:val="0"/>
          <w:bCs w:val="0"/>
          <w:sz w:val="32"/>
        </w:rPr>
      </w:pPr>
      <w:bookmarkStart w:id="2635" w:name="_Toc108514221"/>
      <w:r>
        <w:rPr>
          <w:rFonts w:hint="eastAsia" w:ascii="黑体" w:hAnsi="黑体" w:eastAsia="黑体"/>
          <w:b w:val="0"/>
          <w:bCs w:val="0"/>
          <w:sz w:val="32"/>
        </w:rPr>
        <w:t>第八章  投标文件格式</w:t>
      </w:r>
      <w:bookmarkEnd w:id="2635"/>
    </w:p>
    <w:p w14:paraId="31794519">
      <w:pPr>
        <w:rPr>
          <w:rFonts w:hint="eastAsia" w:ascii="黑体" w:eastAsia="黑体"/>
          <w:sz w:val="32"/>
          <w:szCs w:val="32"/>
        </w:rPr>
      </w:pPr>
    </w:p>
    <w:p w14:paraId="5474B72B">
      <w:pPr>
        <w:rPr>
          <w:rFonts w:hint="eastAsia" w:ascii="黑体" w:eastAsia="黑体"/>
          <w:sz w:val="32"/>
          <w:szCs w:val="32"/>
        </w:rPr>
      </w:pPr>
    </w:p>
    <w:p w14:paraId="088F2856">
      <w:pPr>
        <w:rPr>
          <w:rFonts w:hint="eastAsia" w:ascii="黑体" w:eastAsia="黑体"/>
          <w:sz w:val="32"/>
          <w:szCs w:val="32"/>
        </w:rPr>
      </w:pPr>
    </w:p>
    <w:p w14:paraId="6FB3E98B">
      <w:pPr>
        <w:rPr>
          <w:rFonts w:hint="eastAsia" w:ascii="黑体" w:eastAsia="黑体"/>
          <w:sz w:val="32"/>
          <w:szCs w:val="32"/>
        </w:rPr>
      </w:pPr>
    </w:p>
    <w:p w14:paraId="1A53C531">
      <w:pPr>
        <w:rPr>
          <w:rFonts w:hint="eastAsia" w:ascii="黑体" w:eastAsia="黑体"/>
          <w:sz w:val="32"/>
          <w:szCs w:val="32"/>
        </w:rPr>
      </w:pPr>
    </w:p>
    <w:p w14:paraId="3CA709DF">
      <w:pPr>
        <w:rPr>
          <w:rFonts w:hint="eastAsia" w:ascii="黑体" w:eastAsia="黑体"/>
          <w:sz w:val="32"/>
          <w:szCs w:val="32"/>
        </w:rPr>
      </w:pPr>
    </w:p>
    <w:p w14:paraId="206662C6">
      <w:pPr>
        <w:rPr>
          <w:rFonts w:hint="eastAsia" w:ascii="黑体" w:eastAsia="黑体"/>
          <w:sz w:val="32"/>
          <w:szCs w:val="32"/>
        </w:rPr>
      </w:pPr>
    </w:p>
    <w:p w14:paraId="6109F6E4">
      <w:pPr>
        <w:rPr>
          <w:rFonts w:hint="eastAsia" w:ascii="黑体" w:eastAsia="黑体"/>
          <w:sz w:val="32"/>
          <w:szCs w:val="32"/>
        </w:rPr>
      </w:pPr>
    </w:p>
    <w:p w14:paraId="54366C5A">
      <w:pPr>
        <w:rPr>
          <w:rFonts w:hint="eastAsia" w:ascii="黑体" w:eastAsia="黑体"/>
          <w:sz w:val="32"/>
          <w:szCs w:val="32"/>
        </w:rPr>
      </w:pPr>
    </w:p>
    <w:p w14:paraId="72E19362">
      <w:pPr>
        <w:rPr>
          <w:rFonts w:hint="eastAsia" w:ascii="黑体" w:eastAsia="黑体"/>
          <w:sz w:val="32"/>
          <w:szCs w:val="32"/>
        </w:rPr>
      </w:pPr>
    </w:p>
    <w:p w14:paraId="068118CC">
      <w:pPr>
        <w:rPr>
          <w:rFonts w:hint="eastAsia" w:ascii="黑体" w:eastAsia="黑体"/>
          <w:sz w:val="32"/>
          <w:szCs w:val="32"/>
        </w:rPr>
      </w:pPr>
    </w:p>
    <w:p w14:paraId="33259E46">
      <w:pPr>
        <w:rPr>
          <w:rFonts w:hint="eastAsia" w:ascii="黑体" w:eastAsia="黑体"/>
          <w:sz w:val="32"/>
          <w:szCs w:val="32"/>
        </w:rPr>
      </w:pPr>
    </w:p>
    <w:p w14:paraId="43F7E1D2">
      <w:pPr>
        <w:rPr>
          <w:rFonts w:hint="eastAsia" w:ascii="黑体" w:eastAsia="黑体"/>
          <w:sz w:val="32"/>
          <w:szCs w:val="32"/>
        </w:rPr>
      </w:pPr>
    </w:p>
    <w:p w14:paraId="19802F0E">
      <w:pPr>
        <w:rPr>
          <w:rFonts w:hint="eastAsia" w:ascii="黑体" w:eastAsia="黑体"/>
          <w:sz w:val="32"/>
          <w:szCs w:val="32"/>
        </w:rPr>
      </w:pPr>
    </w:p>
    <w:p w14:paraId="41B85151">
      <w:pPr>
        <w:rPr>
          <w:rFonts w:hint="eastAsia" w:ascii="黑体" w:eastAsia="黑体"/>
          <w:sz w:val="32"/>
          <w:szCs w:val="32"/>
        </w:rPr>
      </w:pPr>
    </w:p>
    <w:p w14:paraId="5D9C1DC9">
      <w:pPr>
        <w:rPr>
          <w:rFonts w:hint="eastAsia" w:ascii="黑体" w:eastAsia="黑体"/>
          <w:sz w:val="32"/>
          <w:szCs w:val="32"/>
        </w:rPr>
      </w:pPr>
    </w:p>
    <w:p w14:paraId="63637F68">
      <w:pPr>
        <w:rPr>
          <w:rFonts w:hint="eastAsia" w:ascii="黑体" w:eastAsia="黑体"/>
          <w:sz w:val="32"/>
          <w:szCs w:val="32"/>
        </w:rPr>
      </w:pPr>
    </w:p>
    <w:p w14:paraId="31149C5C">
      <w:pPr>
        <w:rPr>
          <w:rFonts w:hint="eastAsia" w:ascii="黑体" w:eastAsia="黑体"/>
          <w:sz w:val="32"/>
          <w:szCs w:val="32"/>
        </w:rPr>
      </w:pPr>
    </w:p>
    <w:p w14:paraId="240B94B7">
      <w:pPr>
        <w:rPr>
          <w:rFonts w:hint="eastAsia" w:ascii="黑体" w:eastAsia="黑体"/>
          <w:sz w:val="32"/>
          <w:szCs w:val="32"/>
        </w:rPr>
      </w:pPr>
    </w:p>
    <w:p w14:paraId="46989D28">
      <w:pPr>
        <w:rPr>
          <w:rFonts w:hint="eastAsia" w:ascii="黑体" w:eastAsia="黑体"/>
          <w:sz w:val="32"/>
          <w:szCs w:val="32"/>
        </w:rPr>
      </w:pPr>
    </w:p>
    <w:p w14:paraId="355FA497">
      <w:pPr>
        <w:rPr>
          <w:rFonts w:hint="eastAsia" w:ascii="黑体" w:eastAsia="黑体"/>
          <w:sz w:val="32"/>
          <w:szCs w:val="32"/>
        </w:rPr>
      </w:pPr>
    </w:p>
    <w:p w14:paraId="3DF30717">
      <w:pPr>
        <w:rPr>
          <w:rFonts w:hint="eastAsia" w:ascii="黑体" w:eastAsia="黑体"/>
          <w:sz w:val="32"/>
          <w:szCs w:val="32"/>
        </w:rPr>
      </w:pPr>
    </w:p>
    <w:p w14:paraId="5A76547C">
      <w:pPr>
        <w:rPr>
          <w:rFonts w:hint="eastAsia" w:ascii="黑体" w:eastAsia="黑体"/>
          <w:sz w:val="32"/>
          <w:szCs w:val="32"/>
        </w:rPr>
      </w:pPr>
    </w:p>
    <w:p w14:paraId="3B9A8E38">
      <w:pPr>
        <w:rPr>
          <w:rFonts w:hint="eastAsia" w:ascii="黑体" w:eastAsia="黑体"/>
          <w:sz w:val="32"/>
          <w:szCs w:val="32"/>
        </w:rPr>
      </w:pPr>
    </w:p>
    <w:p w14:paraId="1E0EA847">
      <w:pPr>
        <w:rPr>
          <w:rFonts w:hint="eastAsia" w:ascii="黑体" w:eastAsia="黑体"/>
          <w:sz w:val="32"/>
          <w:szCs w:val="32"/>
        </w:rPr>
      </w:pPr>
    </w:p>
    <w:p w14:paraId="50476477">
      <w:pPr>
        <w:rPr>
          <w:rFonts w:hint="eastAsia" w:ascii="黑体" w:eastAsia="黑体"/>
          <w:sz w:val="32"/>
          <w:szCs w:val="32"/>
        </w:rPr>
      </w:pPr>
    </w:p>
    <w:p w14:paraId="17BDB5F5">
      <w:pPr>
        <w:rPr>
          <w:rFonts w:hint="eastAsia" w:ascii="黑体" w:eastAsia="黑体"/>
          <w:sz w:val="32"/>
          <w:szCs w:val="32"/>
        </w:rPr>
      </w:pPr>
    </w:p>
    <w:p w14:paraId="781B9F21">
      <w:pPr>
        <w:rPr>
          <w:rFonts w:hint="eastAsia" w:ascii="黑体" w:eastAsia="黑体"/>
          <w:sz w:val="32"/>
          <w:szCs w:val="32"/>
        </w:rPr>
      </w:pPr>
    </w:p>
    <w:p w14:paraId="42172694">
      <w:pPr>
        <w:rPr>
          <w:rFonts w:hint="eastAsia" w:ascii="黑体" w:eastAsia="黑体"/>
          <w:sz w:val="32"/>
          <w:szCs w:val="32"/>
        </w:rPr>
      </w:pPr>
    </w:p>
    <w:p w14:paraId="22BF7E40">
      <w:pPr>
        <w:rPr>
          <w:rFonts w:hint="eastAsia" w:ascii="黑体" w:eastAsia="黑体"/>
          <w:sz w:val="32"/>
          <w:szCs w:val="32"/>
        </w:rPr>
      </w:pPr>
    </w:p>
    <w:p w14:paraId="09764BBF">
      <w:pPr>
        <w:rPr>
          <w:rFonts w:hint="eastAsia" w:ascii="黑体" w:eastAsia="黑体"/>
          <w:sz w:val="32"/>
          <w:szCs w:val="32"/>
        </w:rPr>
      </w:pPr>
    </w:p>
    <w:p w14:paraId="55DC0AB2">
      <w:pPr>
        <w:jc w:val="center"/>
        <w:rPr>
          <w:rFonts w:hint="eastAsia" w:ascii="黑体" w:eastAsia="黑体"/>
          <w:sz w:val="28"/>
          <w:szCs w:val="28"/>
        </w:rPr>
      </w:pPr>
      <w:r>
        <w:rPr>
          <w:rFonts w:hint="eastAsia" w:ascii="黑体" w:eastAsia="黑体"/>
          <w:sz w:val="32"/>
          <w:szCs w:val="32"/>
          <w:u w:val="single"/>
        </w:rPr>
        <w:t xml:space="preserve">         </w:t>
      </w:r>
      <w:r>
        <w:rPr>
          <w:rFonts w:hint="eastAsia" w:ascii="宋体" w:hAnsi="宋体"/>
          <w:sz w:val="28"/>
          <w:szCs w:val="28"/>
        </w:rPr>
        <w:t>（项目名称）</w:t>
      </w:r>
      <w:r>
        <w:rPr>
          <w:rFonts w:hint="eastAsia" w:ascii="宋体" w:hAnsi="宋体"/>
          <w:sz w:val="28"/>
          <w:szCs w:val="28"/>
          <w:u w:val="single"/>
        </w:rPr>
        <w:t xml:space="preserve"> </w:t>
      </w:r>
      <w:r>
        <w:rPr>
          <w:rFonts w:hint="eastAsia" w:ascii="黑体" w:eastAsia="黑体"/>
          <w:sz w:val="28"/>
          <w:szCs w:val="28"/>
          <w:u w:val="single"/>
        </w:rPr>
        <w:t xml:space="preserve">     </w:t>
      </w:r>
      <w:r>
        <w:rPr>
          <w:rFonts w:hint="eastAsia" w:ascii="宋体" w:hAnsi="宋体"/>
          <w:sz w:val="28"/>
          <w:szCs w:val="28"/>
        </w:rPr>
        <w:t>（标段名称）</w:t>
      </w:r>
      <w:r>
        <w:rPr>
          <w:rFonts w:hint="eastAsia" w:ascii="黑体" w:eastAsia="黑体"/>
          <w:sz w:val="28"/>
          <w:szCs w:val="28"/>
        </w:rPr>
        <w:t>施工招标</w:t>
      </w:r>
    </w:p>
    <w:p w14:paraId="4ED9ED0F">
      <w:pPr>
        <w:spacing w:before="240" w:beforeLines="100"/>
        <w:jc w:val="center"/>
        <w:rPr>
          <w:rFonts w:hint="eastAsia" w:ascii="黑体" w:eastAsia="黑体"/>
          <w:sz w:val="44"/>
          <w:szCs w:val="44"/>
        </w:rPr>
      </w:pPr>
      <w:r>
        <w:rPr>
          <w:rFonts w:hint="eastAsia" w:ascii="黑体" w:eastAsia="黑体"/>
          <w:sz w:val="44"/>
          <w:szCs w:val="44"/>
        </w:rPr>
        <w:t>投  标  文  件</w:t>
      </w:r>
    </w:p>
    <w:p w14:paraId="04C752B3">
      <w:pPr>
        <w:jc w:val="center"/>
        <w:rPr>
          <w:rFonts w:hint="eastAsia" w:ascii="黑体" w:eastAsia="黑体"/>
          <w:sz w:val="32"/>
          <w:szCs w:val="32"/>
        </w:rPr>
      </w:pPr>
    </w:p>
    <w:p w14:paraId="5B9B68EF">
      <w:pPr>
        <w:jc w:val="center"/>
        <w:rPr>
          <w:rFonts w:hint="eastAsia" w:ascii="黑体" w:eastAsia="黑体"/>
          <w:sz w:val="32"/>
          <w:szCs w:val="32"/>
        </w:rPr>
      </w:pPr>
    </w:p>
    <w:p w14:paraId="4C2CAAE2">
      <w:pPr>
        <w:jc w:val="center"/>
        <w:rPr>
          <w:rFonts w:hint="eastAsia" w:ascii="黑体" w:eastAsia="黑体"/>
          <w:sz w:val="32"/>
          <w:szCs w:val="32"/>
        </w:rPr>
      </w:pPr>
    </w:p>
    <w:p w14:paraId="5EFBCD77">
      <w:pPr>
        <w:jc w:val="center"/>
        <w:rPr>
          <w:rFonts w:hint="eastAsia" w:ascii="黑体" w:eastAsia="黑体"/>
          <w:sz w:val="32"/>
          <w:szCs w:val="32"/>
        </w:rPr>
      </w:pPr>
    </w:p>
    <w:p w14:paraId="23EDA214">
      <w:pPr>
        <w:jc w:val="center"/>
        <w:rPr>
          <w:rFonts w:hint="eastAsia" w:ascii="黑体" w:eastAsia="黑体"/>
          <w:sz w:val="32"/>
          <w:szCs w:val="32"/>
        </w:rPr>
      </w:pPr>
    </w:p>
    <w:p w14:paraId="0430AC18">
      <w:pPr>
        <w:jc w:val="center"/>
        <w:rPr>
          <w:rFonts w:hint="eastAsia" w:ascii="黑体" w:eastAsia="黑体"/>
          <w:sz w:val="32"/>
          <w:szCs w:val="32"/>
        </w:rPr>
      </w:pPr>
    </w:p>
    <w:p w14:paraId="1A29963F">
      <w:pPr>
        <w:jc w:val="center"/>
        <w:rPr>
          <w:rFonts w:hint="eastAsia" w:ascii="黑体" w:eastAsia="黑体"/>
          <w:sz w:val="32"/>
          <w:szCs w:val="32"/>
        </w:rPr>
      </w:pPr>
    </w:p>
    <w:p w14:paraId="46648055">
      <w:pPr>
        <w:jc w:val="center"/>
        <w:rPr>
          <w:rFonts w:hint="eastAsia" w:ascii="黑体" w:eastAsia="黑体"/>
          <w:sz w:val="32"/>
          <w:szCs w:val="32"/>
        </w:rPr>
      </w:pPr>
    </w:p>
    <w:p w14:paraId="6F1C64C8">
      <w:pPr>
        <w:jc w:val="center"/>
        <w:rPr>
          <w:rFonts w:hint="eastAsia" w:ascii="黑体" w:eastAsia="黑体"/>
          <w:sz w:val="32"/>
          <w:szCs w:val="32"/>
        </w:rPr>
      </w:pPr>
    </w:p>
    <w:p w14:paraId="4A447241">
      <w:pPr>
        <w:jc w:val="center"/>
        <w:rPr>
          <w:rFonts w:hint="eastAsia" w:ascii="黑体" w:eastAsia="黑体"/>
          <w:sz w:val="32"/>
          <w:szCs w:val="32"/>
        </w:rPr>
      </w:pPr>
    </w:p>
    <w:p w14:paraId="022FCD61">
      <w:pPr>
        <w:jc w:val="center"/>
        <w:rPr>
          <w:rFonts w:hint="eastAsia" w:ascii="黑体" w:eastAsia="黑体"/>
          <w:sz w:val="32"/>
          <w:szCs w:val="32"/>
        </w:rPr>
      </w:pPr>
    </w:p>
    <w:p w14:paraId="4337624C">
      <w:pPr>
        <w:jc w:val="center"/>
        <w:rPr>
          <w:rFonts w:hint="eastAsia" w:ascii="黑体" w:eastAsia="黑体"/>
          <w:sz w:val="32"/>
          <w:szCs w:val="32"/>
        </w:rPr>
      </w:pPr>
    </w:p>
    <w:p w14:paraId="2E6538E8">
      <w:pPr>
        <w:jc w:val="center"/>
        <w:rPr>
          <w:rFonts w:hint="eastAsia" w:ascii="黑体" w:eastAsia="黑体"/>
          <w:sz w:val="32"/>
          <w:szCs w:val="32"/>
        </w:rPr>
      </w:pPr>
    </w:p>
    <w:p w14:paraId="773E27EF">
      <w:pPr>
        <w:jc w:val="center"/>
        <w:rPr>
          <w:rFonts w:hint="eastAsia" w:ascii="黑体" w:eastAsia="黑体"/>
          <w:sz w:val="32"/>
          <w:szCs w:val="32"/>
        </w:rPr>
      </w:pPr>
    </w:p>
    <w:p w14:paraId="2B091269">
      <w:pPr>
        <w:jc w:val="center"/>
        <w:rPr>
          <w:rFonts w:hint="eastAsia" w:ascii="黑体" w:eastAsia="黑体"/>
          <w:sz w:val="32"/>
          <w:szCs w:val="32"/>
        </w:rPr>
      </w:pPr>
    </w:p>
    <w:p w14:paraId="346780C6">
      <w:pPr>
        <w:jc w:val="center"/>
        <w:rPr>
          <w:rFonts w:hint="eastAsia" w:ascii="黑体" w:eastAsia="黑体"/>
          <w:sz w:val="32"/>
          <w:szCs w:val="32"/>
        </w:rPr>
      </w:pPr>
    </w:p>
    <w:p w14:paraId="3BF6E06B">
      <w:pPr>
        <w:spacing w:line="360" w:lineRule="auto"/>
        <w:jc w:val="center"/>
        <w:rPr>
          <w:rFonts w:hint="eastAsia" w:ascii="黑体" w:eastAsia="黑体"/>
          <w:sz w:val="28"/>
          <w:szCs w:val="28"/>
        </w:rPr>
      </w:pPr>
      <w:r>
        <w:rPr>
          <w:rFonts w:hint="eastAsia" w:ascii="黑体" w:eastAsia="黑体"/>
          <w:sz w:val="28"/>
          <w:szCs w:val="28"/>
        </w:rPr>
        <w:t>投标人：</w:t>
      </w:r>
      <w:r>
        <w:rPr>
          <w:rFonts w:hint="eastAsia" w:ascii="黑体" w:eastAsia="黑体"/>
          <w:sz w:val="28"/>
          <w:szCs w:val="28"/>
          <w:u w:val="single"/>
        </w:rPr>
        <w:t xml:space="preserve">                               </w:t>
      </w:r>
      <w:r>
        <w:rPr>
          <w:rFonts w:hint="eastAsia" w:ascii="黑体" w:eastAsia="黑体"/>
          <w:sz w:val="28"/>
          <w:szCs w:val="28"/>
        </w:rPr>
        <w:t>（盖单位章）</w:t>
      </w:r>
    </w:p>
    <w:p w14:paraId="0AB67FFD">
      <w:pPr>
        <w:spacing w:line="360" w:lineRule="auto"/>
        <w:jc w:val="center"/>
        <w:rPr>
          <w:rFonts w:hint="eastAsia" w:ascii="黑体" w:eastAsia="黑体"/>
          <w:sz w:val="28"/>
          <w:szCs w:val="28"/>
        </w:rPr>
      </w:pPr>
      <w:r>
        <w:rPr>
          <w:rFonts w:hint="eastAsia" w:ascii="黑体" w:eastAsia="黑体"/>
          <w:sz w:val="28"/>
          <w:szCs w:val="28"/>
        </w:rPr>
        <w:t>法定代表人：</w:t>
      </w:r>
      <w:r>
        <w:rPr>
          <w:rFonts w:hint="eastAsia" w:ascii="黑体" w:eastAsia="黑体"/>
          <w:sz w:val="28"/>
          <w:szCs w:val="28"/>
          <w:u w:val="single"/>
        </w:rPr>
        <w:t xml:space="preserve">                               </w:t>
      </w:r>
      <w:r>
        <w:rPr>
          <w:rFonts w:hint="eastAsia" w:ascii="黑体" w:eastAsia="黑体"/>
          <w:sz w:val="28"/>
          <w:szCs w:val="28"/>
        </w:rPr>
        <w:t>（签字）</w:t>
      </w:r>
    </w:p>
    <w:p w14:paraId="7C82A346">
      <w:pPr>
        <w:jc w:val="center"/>
        <w:rPr>
          <w:rFonts w:hint="eastAsia" w:ascii="黑体" w:eastAsia="黑体"/>
          <w:sz w:val="28"/>
          <w:szCs w:val="28"/>
        </w:rPr>
      </w:pPr>
    </w:p>
    <w:p w14:paraId="0E90C1D0">
      <w:pPr>
        <w:jc w:val="center"/>
        <w:rPr>
          <w:rFonts w:hint="eastAsia" w:ascii="黑体" w:eastAsia="黑体"/>
          <w:sz w:val="28"/>
          <w:szCs w:val="28"/>
        </w:rPr>
      </w:pPr>
      <w:r>
        <w:rPr>
          <w:rFonts w:hint="eastAsia" w:ascii="黑体" w:eastAsia="黑体"/>
          <w:sz w:val="28"/>
          <w:szCs w:val="28"/>
          <w:u w:val="single"/>
        </w:rPr>
        <w:t xml:space="preserve">         </w:t>
      </w:r>
      <w:r>
        <w:rPr>
          <w:rFonts w:hint="eastAsia" w:ascii="黑体" w:eastAsia="黑体"/>
          <w:sz w:val="28"/>
          <w:szCs w:val="28"/>
        </w:rPr>
        <w:t>年</w:t>
      </w:r>
      <w:r>
        <w:rPr>
          <w:rFonts w:hint="eastAsia" w:ascii="黑体" w:eastAsia="黑体"/>
          <w:sz w:val="28"/>
          <w:szCs w:val="28"/>
          <w:u w:val="single"/>
        </w:rPr>
        <w:t xml:space="preserve">         </w:t>
      </w:r>
      <w:r>
        <w:rPr>
          <w:rFonts w:hint="eastAsia" w:ascii="黑体" w:eastAsia="黑体"/>
          <w:sz w:val="28"/>
          <w:szCs w:val="28"/>
        </w:rPr>
        <w:t>月</w:t>
      </w:r>
      <w:r>
        <w:rPr>
          <w:rFonts w:hint="eastAsia" w:ascii="黑体" w:eastAsia="黑体"/>
          <w:sz w:val="28"/>
          <w:szCs w:val="28"/>
          <w:u w:val="single"/>
        </w:rPr>
        <w:t xml:space="preserve">         </w:t>
      </w:r>
      <w:r>
        <w:rPr>
          <w:rFonts w:hint="eastAsia" w:ascii="黑体" w:eastAsia="黑体"/>
          <w:sz w:val="28"/>
          <w:szCs w:val="28"/>
        </w:rPr>
        <w:t>日</w:t>
      </w:r>
    </w:p>
    <w:p w14:paraId="03C812B3">
      <w:pPr>
        <w:jc w:val="center"/>
        <w:rPr>
          <w:rFonts w:hint="eastAsia" w:ascii="黑体" w:eastAsia="黑体"/>
          <w:sz w:val="28"/>
          <w:szCs w:val="28"/>
        </w:rPr>
      </w:pPr>
    </w:p>
    <w:p w14:paraId="203F0FC8">
      <w:pPr>
        <w:jc w:val="center"/>
        <w:rPr>
          <w:rFonts w:hint="eastAsia" w:ascii="黑体" w:eastAsia="黑体"/>
          <w:sz w:val="28"/>
          <w:szCs w:val="28"/>
        </w:rPr>
      </w:pPr>
    </w:p>
    <w:p w14:paraId="19E3A1A2">
      <w:pPr>
        <w:jc w:val="center"/>
        <w:rPr>
          <w:rFonts w:hint="eastAsia" w:ascii="黑体" w:eastAsia="黑体"/>
          <w:sz w:val="28"/>
          <w:szCs w:val="28"/>
        </w:rPr>
      </w:pPr>
    </w:p>
    <w:p w14:paraId="277F21F4">
      <w:pPr>
        <w:jc w:val="center"/>
        <w:rPr>
          <w:rFonts w:hint="eastAsia" w:ascii="黑体" w:eastAsia="黑体"/>
          <w:sz w:val="28"/>
          <w:szCs w:val="28"/>
        </w:rPr>
      </w:pPr>
    </w:p>
    <w:p w14:paraId="19127799">
      <w:pPr>
        <w:jc w:val="center"/>
        <w:rPr>
          <w:rFonts w:hint="eastAsia" w:ascii="黑体" w:eastAsia="黑体"/>
          <w:sz w:val="28"/>
          <w:szCs w:val="28"/>
        </w:rPr>
      </w:pPr>
    </w:p>
    <w:p w14:paraId="009A4D28">
      <w:pPr>
        <w:pStyle w:val="18"/>
        <w:jc w:val="center"/>
        <w:rPr>
          <w:rFonts w:hint="eastAsia" w:ascii="黑体"/>
          <w:szCs w:val="28"/>
        </w:rPr>
      </w:pPr>
      <w:bookmarkStart w:id="2636" w:name="_Toc108514222"/>
      <w:r>
        <w:rPr>
          <w:rFonts w:hint="eastAsia"/>
        </w:rPr>
        <w:t>目    录</w:t>
      </w:r>
      <w:bookmarkEnd w:id="2636"/>
    </w:p>
    <w:p w14:paraId="0F78F96F">
      <w:pPr>
        <w:spacing w:line="600" w:lineRule="exact"/>
        <w:rPr>
          <w:rFonts w:hint="eastAsia" w:ascii="宋体" w:hAnsi="宋体"/>
          <w:szCs w:val="21"/>
        </w:rPr>
      </w:pPr>
      <w:r>
        <w:rPr>
          <w:rFonts w:hint="eastAsia" w:ascii="宋体" w:hAnsi="宋体"/>
          <w:szCs w:val="21"/>
        </w:rPr>
        <w:t>一、投标函及投标函附录</w:t>
      </w:r>
    </w:p>
    <w:p w14:paraId="5C15419D">
      <w:pPr>
        <w:spacing w:line="600" w:lineRule="exact"/>
        <w:rPr>
          <w:rFonts w:hint="eastAsia" w:ascii="宋体" w:hAnsi="宋体"/>
          <w:szCs w:val="21"/>
        </w:rPr>
      </w:pPr>
      <w:r>
        <w:rPr>
          <w:rFonts w:hint="eastAsia" w:ascii="宋体" w:hAnsi="宋体"/>
          <w:szCs w:val="21"/>
        </w:rPr>
        <w:t>二、法定代表人身份证明</w:t>
      </w:r>
    </w:p>
    <w:p w14:paraId="39CB7198">
      <w:pPr>
        <w:spacing w:line="600" w:lineRule="exact"/>
        <w:rPr>
          <w:rFonts w:hint="eastAsia" w:ascii="宋体" w:hAnsi="宋体"/>
          <w:szCs w:val="21"/>
        </w:rPr>
      </w:pPr>
      <w:r>
        <w:rPr>
          <w:rFonts w:hint="eastAsia" w:ascii="宋体" w:hAnsi="宋体"/>
          <w:szCs w:val="21"/>
        </w:rPr>
        <w:t>三、投标保证金</w:t>
      </w:r>
    </w:p>
    <w:p w14:paraId="714B78A5">
      <w:pPr>
        <w:spacing w:line="600" w:lineRule="exact"/>
        <w:rPr>
          <w:rFonts w:hint="eastAsia" w:ascii="宋体" w:hAnsi="宋体"/>
          <w:szCs w:val="21"/>
        </w:rPr>
      </w:pPr>
      <w:r>
        <w:rPr>
          <w:rFonts w:hint="eastAsia" w:ascii="宋体" w:hAnsi="宋体"/>
          <w:szCs w:val="21"/>
        </w:rPr>
        <w:t>四、联合体协议书</w:t>
      </w:r>
    </w:p>
    <w:p w14:paraId="5A62AC6D">
      <w:pPr>
        <w:spacing w:line="600" w:lineRule="exact"/>
        <w:rPr>
          <w:rFonts w:hint="eastAsia" w:ascii="宋体" w:hAnsi="宋体"/>
          <w:szCs w:val="21"/>
        </w:rPr>
      </w:pPr>
      <w:r>
        <w:rPr>
          <w:rFonts w:hint="eastAsia" w:ascii="宋体" w:hAnsi="宋体"/>
          <w:szCs w:val="21"/>
        </w:rPr>
        <w:t>五、拟分包项目情况表</w:t>
      </w:r>
    </w:p>
    <w:p w14:paraId="621F9C3A">
      <w:pPr>
        <w:spacing w:line="600" w:lineRule="exact"/>
        <w:rPr>
          <w:rFonts w:hint="eastAsia" w:ascii="宋体" w:hAnsi="宋体"/>
          <w:szCs w:val="21"/>
        </w:rPr>
      </w:pPr>
      <w:r>
        <w:rPr>
          <w:rFonts w:hint="eastAsia" w:ascii="宋体" w:hAnsi="宋体"/>
          <w:szCs w:val="21"/>
        </w:rPr>
        <w:t>五、分包意向协议书</w:t>
      </w:r>
    </w:p>
    <w:p w14:paraId="019DB43E">
      <w:pPr>
        <w:spacing w:line="600" w:lineRule="exact"/>
        <w:rPr>
          <w:rFonts w:hint="eastAsia" w:ascii="宋体" w:hAnsi="宋体"/>
          <w:szCs w:val="21"/>
        </w:rPr>
      </w:pPr>
      <w:r>
        <w:rPr>
          <w:rFonts w:hint="eastAsia" w:ascii="宋体" w:hAnsi="宋体"/>
          <w:szCs w:val="21"/>
        </w:rPr>
        <w:t>六、中小企业声明函</w:t>
      </w:r>
    </w:p>
    <w:p w14:paraId="0450445C">
      <w:pPr>
        <w:spacing w:line="600" w:lineRule="exact"/>
        <w:rPr>
          <w:rFonts w:hint="eastAsia" w:ascii="宋体" w:hAnsi="宋体"/>
          <w:szCs w:val="21"/>
        </w:rPr>
      </w:pPr>
      <w:r>
        <w:rPr>
          <w:rFonts w:hint="eastAsia" w:ascii="宋体" w:hAnsi="宋体"/>
          <w:szCs w:val="21"/>
        </w:rPr>
        <w:t>七、项目管理机构</w:t>
      </w:r>
    </w:p>
    <w:p w14:paraId="563ADAE1">
      <w:pPr>
        <w:spacing w:line="600" w:lineRule="exact"/>
        <w:rPr>
          <w:rFonts w:hint="eastAsia" w:ascii="宋体" w:hAnsi="宋体"/>
          <w:szCs w:val="21"/>
        </w:rPr>
      </w:pPr>
      <w:r>
        <w:rPr>
          <w:rFonts w:hint="eastAsia" w:ascii="宋体" w:hAnsi="宋体"/>
          <w:szCs w:val="21"/>
        </w:rPr>
        <w:t>八、资格审查资料</w:t>
      </w:r>
    </w:p>
    <w:p w14:paraId="39AE0CFE">
      <w:pPr>
        <w:spacing w:line="600" w:lineRule="exact"/>
        <w:rPr>
          <w:rFonts w:hint="eastAsia" w:ascii="宋体" w:hAnsi="宋体"/>
          <w:szCs w:val="21"/>
        </w:rPr>
      </w:pPr>
      <w:r>
        <w:rPr>
          <w:rFonts w:hint="eastAsia" w:ascii="宋体" w:hAnsi="宋体"/>
          <w:szCs w:val="21"/>
        </w:rPr>
        <w:t>九、已标价工程量清单</w:t>
      </w:r>
    </w:p>
    <w:p w14:paraId="5D7C23EB">
      <w:pPr>
        <w:spacing w:line="600" w:lineRule="exact"/>
        <w:rPr>
          <w:rFonts w:hint="eastAsia" w:ascii="宋体" w:hAnsi="宋体"/>
          <w:szCs w:val="21"/>
        </w:rPr>
      </w:pPr>
      <w:r>
        <w:rPr>
          <w:rFonts w:hint="eastAsia" w:ascii="宋体" w:hAnsi="宋体"/>
          <w:szCs w:val="21"/>
        </w:rPr>
        <w:t>十、施工组织设计</w:t>
      </w:r>
    </w:p>
    <w:p w14:paraId="22D1E237">
      <w:pPr>
        <w:spacing w:line="600" w:lineRule="exact"/>
        <w:rPr>
          <w:rFonts w:hint="eastAsia" w:ascii="宋体" w:hAnsi="宋体"/>
          <w:szCs w:val="21"/>
        </w:rPr>
      </w:pPr>
      <w:r>
        <w:rPr>
          <w:rFonts w:hint="eastAsia" w:ascii="宋体" w:hAnsi="宋体"/>
          <w:szCs w:val="21"/>
        </w:rPr>
        <w:t>十一、其他材料</w:t>
      </w:r>
    </w:p>
    <w:p w14:paraId="100E3E56">
      <w:pPr>
        <w:spacing w:line="600" w:lineRule="exact"/>
        <w:rPr>
          <w:rFonts w:hint="eastAsia" w:ascii="宋体" w:hAnsi="宋体"/>
          <w:szCs w:val="21"/>
        </w:rPr>
      </w:pPr>
    </w:p>
    <w:p w14:paraId="02FF1040">
      <w:pPr>
        <w:spacing w:line="600" w:lineRule="exact"/>
        <w:rPr>
          <w:rFonts w:hint="eastAsia" w:ascii="宋体" w:hAnsi="宋体"/>
          <w:szCs w:val="21"/>
        </w:rPr>
      </w:pPr>
    </w:p>
    <w:p w14:paraId="5E2938A9">
      <w:pPr>
        <w:spacing w:line="600" w:lineRule="exact"/>
        <w:rPr>
          <w:rFonts w:hint="eastAsia" w:ascii="宋体" w:hAnsi="宋体"/>
          <w:szCs w:val="21"/>
        </w:rPr>
      </w:pPr>
    </w:p>
    <w:p w14:paraId="068D3F22">
      <w:pPr>
        <w:spacing w:line="600" w:lineRule="exact"/>
        <w:rPr>
          <w:rFonts w:hint="eastAsia" w:ascii="宋体" w:hAnsi="宋体"/>
          <w:szCs w:val="21"/>
        </w:rPr>
      </w:pPr>
    </w:p>
    <w:p w14:paraId="48A934A8">
      <w:pPr>
        <w:spacing w:line="600" w:lineRule="exact"/>
        <w:rPr>
          <w:rFonts w:hint="eastAsia" w:ascii="宋体" w:hAnsi="宋体"/>
          <w:szCs w:val="21"/>
        </w:rPr>
      </w:pPr>
    </w:p>
    <w:p w14:paraId="3EE06F41">
      <w:pPr>
        <w:spacing w:line="600" w:lineRule="exact"/>
        <w:rPr>
          <w:rFonts w:hint="eastAsia" w:ascii="宋体" w:hAnsi="宋体"/>
          <w:szCs w:val="21"/>
        </w:rPr>
      </w:pPr>
    </w:p>
    <w:p w14:paraId="733BC9FA">
      <w:pPr>
        <w:spacing w:line="600" w:lineRule="exact"/>
        <w:rPr>
          <w:rFonts w:hint="eastAsia" w:ascii="宋体" w:hAnsi="宋体"/>
          <w:szCs w:val="21"/>
        </w:rPr>
      </w:pPr>
    </w:p>
    <w:p w14:paraId="3DE79707">
      <w:pPr>
        <w:spacing w:line="600" w:lineRule="exact"/>
        <w:rPr>
          <w:rFonts w:hint="eastAsia" w:ascii="宋体" w:hAnsi="宋体"/>
          <w:szCs w:val="21"/>
        </w:rPr>
      </w:pPr>
    </w:p>
    <w:p w14:paraId="66350D25">
      <w:pPr>
        <w:pStyle w:val="18"/>
        <w:jc w:val="center"/>
        <w:rPr>
          <w:rFonts w:hint="eastAsia" w:ascii="黑体" w:hAnsi="宋体"/>
          <w:szCs w:val="28"/>
        </w:rPr>
      </w:pPr>
      <w:bookmarkStart w:id="2637" w:name="_Toc108514223"/>
      <w:r>
        <w:rPr>
          <w:rFonts w:hint="eastAsia"/>
        </w:rPr>
        <w:t>一、投标函及投标函附录</w:t>
      </w:r>
      <w:bookmarkEnd w:id="2637"/>
    </w:p>
    <w:p w14:paraId="10CFB27D">
      <w:pPr>
        <w:pStyle w:val="20"/>
        <w:jc w:val="center"/>
        <w:rPr>
          <w:rFonts w:hint="eastAsia"/>
          <w:sz w:val="28"/>
          <w:szCs w:val="28"/>
        </w:rPr>
      </w:pPr>
      <w:bookmarkStart w:id="2638" w:name="_Toc108514224"/>
      <w:r>
        <w:rPr>
          <w:rFonts w:hint="eastAsia"/>
          <w:sz w:val="28"/>
          <w:szCs w:val="28"/>
        </w:rPr>
        <w:t>（一）投标函</w:t>
      </w:r>
      <w:bookmarkEnd w:id="2638"/>
    </w:p>
    <w:p w14:paraId="07E825CE">
      <w:pPr>
        <w:spacing w:line="440" w:lineRule="exact"/>
        <w:rPr>
          <w:rFonts w:hint="eastAsia"/>
          <w:szCs w:val="21"/>
        </w:rPr>
      </w:pPr>
      <w:r>
        <w:rPr>
          <w:szCs w:val="21"/>
          <w:u w:val="single"/>
        </w:rPr>
        <w:t xml:space="preserve">                        </w:t>
      </w:r>
      <w:r>
        <w:rPr>
          <w:szCs w:val="21"/>
        </w:rPr>
        <w:t>（招标人名称）：</w:t>
      </w:r>
    </w:p>
    <w:p w14:paraId="1EDB6037">
      <w:pPr>
        <w:spacing w:line="440" w:lineRule="exact"/>
        <w:ind w:firstLine="420" w:firstLineChars="200"/>
        <w:rPr>
          <w:rFonts w:hint="eastAsia"/>
          <w:szCs w:val="21"/>
        </w:rPr>
      </w:pPr>
      <w:r>
        <w:rPr>
          <w:szCs w:val="21"/>
        </w:rPr>
        <w:t>1．我方已仔细研究了</w:t>
      </w:r>
      <w:r>
        <w:rPr>
          <w:szCs w:val="21"/>
          <w:u w:val="single"/>
        </w:rPr>
        <w:t xml:space="preserve">          </w:t>
      </w:r>
      <w:r>
        <w:rPr>
          <w:szCs w:val="21"/>
        </w:rPr>
        <w:t>（项目名称）</w:t>
      </w:r>
      <w:r>
        <w:rPr>
          <w:szCs w:val="21"/>
          <w:u w:val="single"/>
        </w:rPr>
        <w:t xml:space="preserve">     </w:t>
      </w:r>
      <w:r>
        <w:rPr>
          <w:rFonts w:hint="eastAsia"/>
        </w:rPr>
        <w:t>（标段名称）</w:t>
      </w:r>
      <w:r>
        <w:rPr>
          <w:szCs w:val="21"/>
        </w:rPr>
        <w:t>施工招标文件的全部内容，愿意以人民币（大写）</w:t>
      </w:r>
      <w:r>
        <w:rPr>
          <w:szCs w:val="21"/>
          <w:u w:val="single"/>
        </w:rPr>
        <w:t xml:space="preserve">         </w:t>
      </w:r>
      <w:r>
        <w:rPr>
          <w:szCs w:val="21"/>
        </w:rPr>
        <w:t>元（¥</w:t>
      </w:r>
      <w:r>
        <w:rPr>
          <w:szCs w:val="21"/>
          <w:u w:val="single"/>
        </w:rPr>
        <w:t xml:space="preserve">           </w:t>
      </w:r>
      <w:r>
        <w:rPr>
          <w:szCs w:val="21"/>
        </w:rPr>
        <w:t>元）的投标总报价，</w:t>
      </w:r>
      <w:r>
        <w:rPr>
          <w:rFonts w:hint="eastAsia"/>
          <w:szCs w:val="21"/>
        </w:rPr>
        <w:t>工期</w:t>
      </w:r>
      <w:r>
        <w:rPr>
          <w:rFonts w:hint="eastAsia"/>
          <w:szCs w:val="21"/>
          <w:u w:val="single"/>
        </w:rPr>
        <w:t xml:space="preserve">          </w:t>
      </w:r>
      <w:r>
        <w:rPr>
          <w:rFonts w:hint="eastAsia"/>
          <w:szCs w:val="21"/>
        </w:rPr>
        <w:t xml:space="preserve"> 日历天，</w:t>
      </w:r>
      <w:r>
        <w:rPr>
          <w:szCs w:val="21"/>
        </w:rPr>
        <w:t>按合同约定实施和完成承包工程，修补工程中的任何缺陷，工程质量达到</w:t>
      </w:r>
      <w:r>
        <w:rPr>
          <w:szCs w:val="21"/>
          <w:u w:val="single"/>
        </w:rPr>
        <w:t xml:space="preserve">           </w:t>
      </w:r>
      <w:r>
        <w:rPr>
          <w:szCs w:val="21"/>
        </w:rPr>
        <w:t xml:space="preserve"> 。</w:t>
      </w:r>
    </w:p>
    <w:p w14:paraId="2166050A">
      <w:pPr>
        <w:spacing w:line="480" w:lineRule="exact"/>
        <w:ind w:firstLine="420" w:firstLineChars="200"/>
        <w:rPr>
          <w:rFonts w:hint="eastAsia" w:ascii="宋体" w:hAnsi="宋体"/>
          <w:szCs w:val="21"/>
        </w:rPr>
      </w:pPr>
      <w:r>
        <w:rPr>
          <w:rFonts w:hint="eastAsia" w:ascii="宋体" w:hAnsi="宋体"/>
          <w:szCs w:val="21"/>
        </w:rPr>
        <w:t>在我方的上述投标</w:t>
      </w:r>
      <w:r>
        <w:rPr>
          <w:szCs w:val="21"/>
        </w:rPr>
        <w:t>总</w:t>
      </w:r>
      <w:r>
        <w:rPr>
          <w:rFonts w:hint="eastAsia" w:ascii="宋体" w:hAnsi="宋体"/>
          <w:szCs w:val="21"/>
        </w:rPr>
        <w:t xml:space="preserve">报价中，包括：安全文明施工费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元；暂列金额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元；专业工程暂估价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元。</w:t>
      </w:r>
    </w:p>
    <w:p w14:paraId="00E61B3F">
      <w:pPr>
        <w:spacing w:line="480" w:lineRule="exact"/>
        <w:ind w:firstLine="420" w:firstLineChars="200"/>
        <w:rPr>
          <w:rFonts w:hint="eastAsia" w:ascii="宋体" w:hAnsi="宋体"/>
          <w:szCs w:val="21"/>
        </w:rPr>
      </w:pPr>
      <w:r>
        <w:rPr>
          <w:rFonts w:hint="eastAsia"/>
          <w:szCs w:val="21"/>
        </w:rPr>
        <w:t>2.  我方拟派的项目经理</w:t>
      </w:r>
      <w:r>
        <w:rPr>
          <w:szCs w:val="21"/>
        </w:rPr>
        <w:t>：</w:t>
      </w:r>
      <w:r>
        <w:rPr>
          <w:rFonts w:hint="eastAsia"/>
          <w:szCs w:val="21"/>
          <w:u w:val="single"/>
        </w:rPr>
        <w:t xml:space="preserve">       </w:t>
      </w:r>
      <w:r>
        <w:rPr>
          <w:rFonts w:hint="eastAsia"/>
          <w:szCs w:val="21"/>
        </w:rPr>
        <w:t>（姓名），证书名称：</w:t>
      </w:r>
      <w:r>
        <w:rPr>
          <w:rFonts w:hint="eastAsia"/>
          <w:szCs w:val="21"/>
          <w:u w:val="single"/>
        </w:rPr>
        <w:t xml:space="preserve">        </w:t>
      </w:r>
      <w:r>
        <w:rPr>
          <w:rFonts w:hint="eastAsia"/>
          <w:szCs w:val="21"/>
        </w:rPr>
        <w:t>，证书编号：</w:t>
      </w:r>
      <w:r>
        <w:rPr>
          <w:rFonts w:hint="eastAsia"/>
          <w:szCs w:val="21"/>
          <w:u w:val="single"/>
        </w:rPr>
        <w:t xml:space="preserve">       </w:t>
      </w:r>
      <w:r>
        <w:rPr>
          <w:rFonts w:hint="eastAsia"/>
          <w:szCs w:val="21"/>
        </w:rPr>
        <w:t>。</w:t>
      </w:r>
    </w:p>
    <w:p w14:paraId="3AA0CCE8">
      <w:pPr>
        <w:spacing w:line="440" w:lineRule="exact"/>
        <w:ind w:firstLine="420" w:firstLineChars="200"/>
        <w:rPr>
          <w:szCs w:val="21"/>
        </w:rPr>
      </w:pPr>
      <w:r>
        <w:rPr>
          <w:rFonts w:hint="eastAsia"/>
          <w:szCs w:val="21"/>
        </w:rPr>
        <w:t>3</w:t>
      </w:r>
      <w:r>
        <w:rPr>
          <w:szCs w:val="21"/>
        </w:rPr>
        <w:t>．我方承诺在投标有效期</w:t>
      </w:r>
      <w:r>
        <w:rPr>
          <w:rFonts w:hint="eastAsia"/>
          <w:szCs w:val="21"/>
          <w:u w:val="single"/>
        </w:rPr>
        <w:t xml:space="preserve">     </w:t>
      </w:r>
      <w:r>
        <w:rPr>
          <w:rFonts w:hint="eastAsia"/>
          <w:szCs w:val="21"/>
        </w:rPr>
        <w:t>天</w:t>
      </w:r>
      <w:r>
        <w:rPr>
          <w:szCs w:val="21"/>
        </w:rPr>
        <w:t>内不修改、撤销投标文件。</w:t>
      </w:r>
    </w:p>
    <w:p w14:paraId="436F70B4">
      <w:pPr>
        <w:spacing w:line="440" w:lineRule="exact"/>
        <w:ind w:firstLine="420" w:firstLineChars="200"/>
        <w:rPr>
          <w:szCs w:val="21"/>
        </w:rPr>
      </w:pPr>
      <w:r>
        <w:rPr>
          <w:rFonts w:hint="eastAsia"/>
          <w:szCs w:val="21"/>
        </w:rPr>
        <w:t>4</w:t>
      </w:r>
      <w:r>
        <w:rPr>
          <w:szCs w:val="21"/>
        </w:rPr>
        <w:t>．随同本投标函提交投标保证金一份，金额为人民币（大写）</w:t>
      </w:r>
      <w:r>
        <w:rPr>
          <w:szCs w:val="21"/>
          <w:u w:val="single"/>
        </w:rPr>
        <w:t xml:space="preserve">        </w:t>
      </w:r>
      <w:r>
        <w:rPr>
          <w:szCs w:val="21"/>
        </w:rPr>
        <w:t>元（¥</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1EC6EEBE">
      <w:pPr>
        <w:spacing w:line="440" w:lineRule="exact"/>
        <w:ind w:firstLine="420" w:firstLineChars="200"/>
        <w:rPr>
          <w:szCs w:val="21"/>
        </w:rPr>
      </w:pPr>
      <w:r>
        <w:rPr>
          <w:rFonts w:hint="eastAsia"/>
          <w:szCs w:val="21"/>
        </w:rPr>
        <w:t>5</w:t>
      </w:r>
      <w:r>
        <w:rPr>
          <w:szCs w:val="21"/>
        </w:rPr>
        <w:t>．如我方中标：</w:t>
      </w:r>
    </w:p>
    <w:p w14:paraId="0C025183">
      <w:pPr>
        <w:spacing w:line="440" w:lineRule="exact"/>
        <w:ind w:firstLine="718" w:firstLineChars="342"/>
        <w:rPr>
          <w:szCs w:val="21"/>
        </w:rPr>
      </w:pPr>
      <w:r>
        <w:rPr>
          <w:szCs w:val="21"/>
        </w:rPr>
        <w:t>（1）我方承诺在收到中标通知书后，在中标通知书规定的期限内与你方签订合同。</w:t>
      </w:r>
    </w:p>
    <w:p w14:paraId="5DCCA3B5">
      <w:pPr>
        <w:spacing w:line="440" w:lineRule="exact"/>
        <w:ind w:firstLine="718" w:firstLineChars="342"/>
        <w:rPr>
          <w:szCs w:val="21"/>
        </w:rPr>
      </w:pPr>
      <w:r>
        <w:rPr>
          <w:szCs w:val="21"/>
        </w:rPr>
        <w:t>（2）随同本投标函递交的投标函附录属于合同文件的组成部分。</w:t>
      </w:r>
    </w:p>
    <w:p w14:paraId="70FBD5BE">
      <w:pPr>
        <w:spacing w:line="440" w:lineRule="exact"/>
        <w:ind w:firstLine="718" w:firstLineChars="342"/>
        <w:rPr>
          <w:szCs w:val="21"/>
        </w:rPr>
      </w:pPr>
      <w:r>
        <w:rPr>
          <w:szCs w:val="21"/>
        </w:rPr>
        <w:t>（3）我方承诺按照招标文件规定向你方递交履约</w:t>
      </w:r>
      <w:r>
        <w:rPr>
          <w:rFonts w:hint="eastAsia"/>
          <w:szCs w:val="21"/>
        </w:rPr>
        <w:t>保证金</w:t>
      </w:r>
      <w:r>
        <w:rPr>
          <w:szCs w:val="21"/>
        </w:rPr>
        <w:t>。</w:t>
      </w:r>
    </w:p>
    <w:p w14:paraId="4BF5E3BF">
      <w:pPr>
        <w:spacing w:line="440" w:lineRule="exact"/>
        <w:ind w:firstLine="718" w:firstLineChars="342"/>
        <w:rPr>
          <w:szCs w:val="21"/>
        </w:rPr>
      </w:pPr>
      <w:r>
        <w:rPr>
          <w:szCs w:val="21"/>
        </w:rPr>
        <w:t>（4）我方承诺在合同约定的期限内完成并移交全部合同工程。</w:t>
      </w:r>
    </w:p>
    <w:p w14:paraId="6109A715">
      <w:pPr>
        <w:spacing w:line="440" w:lineRule="exact"/>
        <w:ind w:firstLine="420" w:firstLineChars="200"/>
        <w:rPr>
          <w:rFonts w:hint="eastAsia"/>
          <w:szCs w:val="21"/>
        </w:rPr>
      </w:pPr>
      <w:r>
        <w:rPr>
          <w:rFonts w:hint="eastAsia"/>
          <w:szCs w:val="21"/>
        </w:rPr>
        <w:t>6</w:t>
      </w:r>
      <w:r>
        <w:rPr>
          <w:szCs w:val="21"/>
        </w:rPr>
        <w:t>．</w:t>
      </w:r>
      <w:r>
        <w:rPr>
          <w:rFonts w:hint="eastAsia"/>
        </w:rPr>
        <w:t>我方在此声明，所递交的投标文件及有关资料内容完整、真实和准确，且不存在第二章“投标人须知”第1.4.3项规定的任何一种情形。</w:t>
      </w:r>
    </w:p>
    <w:p w14:paraId="1788D904">
      <w:pPr>
        <w:spacing w:line="440" w:lineRule="exact"/>
        <w:ind w:firstLine="420" w:firstLineChars="200"/>
        <w:rPr>
          <w:szCs w:val="21"/>
        </w:rPr>
      </w:pPr>
      <w:r>
        <w:rPr>
          <w:rFonts w:hint="eastAsia"/>
          <w:szCs w:val="21"/>
        </w:rPr>
        <w:t>7．</w:t>
      </w:r>
      <w:r>
        <w:rPr>
          <w:szCs w:val="21"/>
          <w:u w:val="single"/>
        </w:rPr>
        <w:t xml:space="preserve">                                       </w:t>
      </w:r>
      <w:r>
        <w:rPr>
          <w:szCs w:val="21"/>
        </w:rPr>
        <w:t>（</w:t>
      </w:r>
      <w:r>
        <w:rPr>
          <w:rFonts w:hint="eastAsia"/>
          <w:szCs w:val="21"/>
        </w:rPr>
        <w:t>其他</w:t>
      </w:r>
      <w:r>
        <w:rPr>
          <w:szCs w:val="21"/>
        </w:rPr>
        <w:t>补充说明）。</w:t>
      </w:r>
    </w:p>
    <w:p w14:paraId="34B0E645">
      <w:pPr>
        <w:spacing w:line="440" w:lineRule="exact"/>
        <w:ind w:firstLine="3675" w:firstLineChars="1750"/>
        <w:rPr>
          <w:szCs w:val="21"/>
        </w:rPr>
      </w:pPr>
      <w:r>
        <w:rPr>
          <w:szCs w:val="21"/>
        </w:rPr>
        <w:t>投 标 人：</w:t>
      </w:r>
      <w:r>
        <w:rPr>
          <w:szCs w:val="21"/>
          <w:u w:val="single"/>
        </w:rPr>
        <w:t xml:space="preserve">                      </w:t>
      </w:r>
      <w:r>
        <w:rPr>
          <w:szCs w:val="21"/>
        </w:rPr>
        <w:t>（盖单位章）</w:t>
      </w:r>
    </w:p>
    <w:p w14:paraId="555F5665">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61ECB009">
      <w:pPr>
        <w:spacing w:line="440" w:lineRule="exact"/>
        <w:ind w:firstLine="3675" w:firstLineChars="1750"/>
        <w:rPr>
          <w:rFonts w:hint="eastAsia"/>
          <w:szCs w:val="21"/>
        </w:rPr>
      </w:pPr>
      <w:r>
        <w:rPr>
          <w:szCs w:val="21"/>
        </w:rPr>
        <w:t>地址：</w:t>
      </w:r>
      <w:r>
        <w:rPr>
          <w:szCs w:val="21"/>
          <w:u w:val="single"/>
        </w:rPr>
        <w:t xml:space="preserve">                                     </w:t>
      </w:r>
    </w:p>
    <w:p w14:paraId="384B373C">
      <w:pPr>
        <w:spacing w:line="440" w:lineRule="exact"/>
        <w:ind w:firstLine="3675" w:firstLineChars="1750"/>
        <w:rPr>
          <w:szCs w:val="21"/>
        </w:rPr>
      </w:pPr>
      <w:r>
        <w:rPr>
          <w:szCs w:val="21"/>
        </w:rPr>
        <w:t>网址：</w:t>
      </w:r>
      <w:r>
        <w:rPr>
          <w:szCs w:val="21"/>
          <w:u w:val="single"/>
        </w:rPr>
        <w:t xml:space="preserve">                                     </w:t>
      </w:r>
    </w:p>
    <w:p w14:paraId="30E04C68">
      <w:pPr>
        <w:spacing w:line="440" w:lineRule="exact"/>
        <w:ind w:firstLine="3675" w:firstLineChars="1750"/>
        <w:rPr>
          <w:rFonts w:hint="eastAsia"/>
          <w:szCs w:val="21"/>
        </w:rPr>
      </w:pPr>
      <w:r>
        <w:rPr>
          <w:szCs w:val="21"/>
        </w:rPr>
        <w:t>电话：</w:t>
      </w:r>
      <w:r>
        <w:rPr>
          <w:szCs w:val="21"/>
          <w:u w:val="single"/>
        </w:rPr>
        <w:t xml:space="preserve">                                     </w:t>
      </w:r>
    </w:p>
    <w:p w14:paraId="30B80452">
      <w:pPr>
        <w:spacing w:line="440" w:lineRule="exact"/>
        <w:ind w:firstLine="3675" w:firstLineChars="1750"/>
        <w:rPr>
          <w:rFonts w:hint="eastAsia"/>
          <w:szCs w:val="21"/>
        </w:rPr>
      </w:pPr>
      <w:r>
        <w:rPr>
          <w:szCs w:val="21"/>
        </w:rPr>
        <w:t>传真：</w:t>
      </w:r>
      <w:r>
        <w:rPr>
          <w:szCs w:val="21"/>
          <w:u w:val="single"/>
        </w:rPr>
        <w:t xml:space="preserve">                                     </w:t>
      </w:r>
    </w:p>
    <w:p w14:paraId="397D0125">
      <w:pPr>
        <w:spacing w:line="440" w:lineRule="exact"/>
        <w:ind w:firstLine="3675" w:firstLineChars="1750"/>
        <w:rPr>
          <w:rFonts w:hint="eastAsia"/>
          <w:szCs w:val="21"/>
        </w:rPr>
      </w:pPr>
      <w:r>
        <w:rPr>
          <w:szCs w:val="21"/>
        </w:rPr>
        <w:t>邮政编码：</w:t>
      </w:r>
      <w:r>
        <w:rPr>
          <w:szCs w:val="21"/>
          <w:u w:val="single"/>
        </w:rPr>
        <w:t xml:space="preserve">                                 </w:t>
      </w:r>
    </w:p>
    <w:p w14:paraId="0962705D">
      <w:pPr>
        <w:spacing w:line="440" w:lineRule="exact"/>
        <w:ind w:firstLine="5040" w:firstLineChars="2400"/>
        <w:rPr>
          <w:szCs w:val="21"/>
        </w:rPr>
      </w:pP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52B597CA">
      <w:pPr>
        <w:spacing w:line="400" w:lineRule="exact"/>
        <w:ind w:left="630" w:hanging="630" w:hangingChars="300"/>
        <w:rPr>
          <w:rFonts w:hint="eastAsia" w:ascii="宋体" w:hAnsi="宋体"/>
          <w:szCs w:val="21"/>
        </w:rPr>
      </w:pPr>
      <w:r>
        <w:rPr>
          <w:rFonts w:hint="eastAsia" w:ascii="宋体" w:hAnsi="宋体"/>
          <w:szCs w:val="21"/>
        </w:rPr>
        <w:t>备注：项目经理如是注册类执业资格，证书名称填写 专业类别 级别 注册建造师，其证书编号应填写注册执业证书编号。如是职称证书，证书名称填写专业类别 级别 工程师,其证书编号应填写职称证书编号。</w:t>
      </w:r>
    </w:p>
    <w:p w14:paraId="6C21FCC3">
      <w:pPr>
        <w:pStyle w:val="20"/>
        <w:jc w:val="center"/>
        <w:rPr>
          <w:rFonts w:hint="eastAsia"/>
          <w:sz w:val="28"/>
          <w:szCs w:val="28"/>
        </w:rPr>
      </w:pPr>
      <w:bookmarkStart w:id="2639" w:name="_Toc108514225"/>
      <w:r>
        <w:rPr>
          <w:rFonts w:hint="eastAsia"/>
          <w:sz w:val="28"/>
          <w:szCs w:val="28"/>
        </w:rPr>
        <w:t>（二）投标函附录</w:t>
      </w:r>
      <w:bookmarkEnd w:id="2639"/>
    </w:p>
    <w:p w14:paraId="00009009">
      <w:pPr>
        <w:rPr>
          <w:rFonts w:hint="eastAsia" w:ascii="宋体" w:hAnsi="宋体"/>
          <w:b/>
          <w:szCs w:val="21"/>
        </w:rPr>
      </w:pPr>
    </w:p>
    <w:p w14:paraId="3B37E2F3">
      <w:pPr>
        <w:rPr>
          <w:rFonts w:hint="eastAsia" w:ascii="宋体" w:hAnsi="宋体"/>
          <w:szCs w:val="21"/>
        </w:rPr>
      </w:pPr>
      <w:r>
        <w:rPr>
          <w:rFonts w:hint="eastAsia" w:ascii="宋体" w:hAnsi="宋体"/>
          <w:b/>
          <w:szCs w:val="21"/>
        </w:rPr>
        <w:t>工程名称：</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p>
    <w:p w14:paraId="2BBACF03">
      <w:pPr>
        <w:rPr>
          <w:rFonts w:hint="eastAsia" w:ascii="宋体" w:hAnsi="宋体"/>
          <w:szCs w:val="21"/>
        </w:rPr>
      </w:pPr>
    </w:p>
    <w:tbl>
      <w:tblPr>
        <w:tblStyle w:val="1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700"/>
        <w:gridCol w:w="1440"/>
        <w:gridCol w:w="3780"/>
        <w:gridCol w:w="720"/>
      </w:tblGrid>
      <w:tr w14:paraId="4500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23B0ADAE">
            <w:pPr>
              <w:jc w:val="center"/>
              <w:rPr>
                <w:rFonts w:hint="eastAsia" w:ascii="宋体" w:hAnsi="宋体"/>
                <w:szCs w:val="21"/>
              </w:rPr>
            </w:pPr>
            <w:r>
              <w:rPr>
                <w:rFonts w:hint="eastAsia" w:ascii="宋体" w:hAnsi="宋体"/>
                <w:szCs w:val="21"/>
              </w:rPr>
              <w:t>序号</w:t>
            </w:r>
          </w:p>
        </w:tc>
        <w:tc>
          <w:tcPr>
            <w:tcW w:w="2700" w:type="dxa"/>
            <w:noWrap w:val="0"/>
            <w:vAlign w:val="center"/>
          </w:tcPr>
          <w:p w14:paraId="161F0F35">
            <w:pPr>
              <w:jc w:val="center"/>
              <w:rPr>
                <w:rFonts w:hint="eastAsia" w:ascii="宋体" w:hAnsi="宋体"/>
                <w:szCs w:val="21"/>
              </w:rPr>
            </w:pPr>
            <w:r>
              <w:rPr>
                <w:rFonts w:hint="eastAsia" w:ascii="宋体" w:hAnsi="宋体"/>
                <w:szCs w:val="21"/>
              </w:rPr>
              <w:t>条款内容</w:t>
            </w:r>
          </w:p>
        </w:tc>
        <w:tc>
          <w:tcPr>
            <w:tcW w:w="1440" w:type="dxa"/>
            <w:noWrap w:val="0"/>
            <w:vAlign w:val="center"/>
          </w:tcPr>
          <w:p w14:paraId="10CB4019">
            <w:pPr>
              <w:jc w:val="center"/>
              <w:rPr>
                <w:rFonts w:hint="eastAsia" w:ascii="宋体" w:hAnsi="宋体"/>
                <w:szCs w:val="21"/>
              </w:rPr>
            </w:pPr>
            <w:r>
              <w:rPr>
                <w:rFonts w:hint="eastAsia" w:ascii="宋体" w:hAnsi="宋体"/>
                <w:szCs w:val="21"/>
              </w:rPr>
              <w:t>合同条款号</w:t>
            </w:r>
          </w:p>
        </w:tc>
        <w:tc>
          <w:tcPr>
            <w:tcW w:w="3780" w:type="dxa"/>
            <w:noWrap w:val="0"/>
            <w:vAlign w:val="center"/>
          </w:tcPr>
          <w:p w14:paraId="5F0E0B6C">
            <w:pPr>
              <w:jc w:val="center"/>
              <w:rPr>
                <w:rFonts w:hint="eastAsia" w:ascii="宋体" w:hAnsi="宋体"/>
                <w:szCs w:val="21"/>
              </w:rPr>
            </w:pPr>
            <w:r>
              <w:rPr>
                <w:rFonts w:hint="eastAsia" w:ascii="宋体" w:hAnsi="宋体"/>
                <w:szCs w:val="21"/>
              </w:rPr>
              <w:t>约定内容</w:t>
            </w:r>
          </w:p>
        </w:tc>
        <w:tc>
          <w:tcPr>
            <w:tcW w:w="720" w:type="dxa"/>
            <w:noWrap w:val="0"/>
            <w:vAlign w:val="center"/>
          </w:tcPr>
          <w:p w14:paraId="4E18456B">
            <w:pPr>
              <w:jc w:val="center"/>
              <w:rPr>
                <w:rFonts w:hint="eastAsia" w:ascii="宋体" w:hAnsi="宋体"/>
                <w:szCs w:val="21"/>
              </w:rPr>
            </w:pPr>
            <w:r>
              <w:rPr>
                <w:rFonts w:hint="eastAsia" w:ascii="宋体" w:hAnsi="宋体"/>
                <w:szCs w:val="21"/>
              </w:rPr>
              <w:t>备注</w:t>
            </w:r>
          </w:p>
        </w:tc>
      </w:tr>
      <w:tr w14:paraId="173D3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24BECB54">
            <w:pPr>
              <w:jc w:val="center"/>
              <w:rPr>
                <w:rFonts w:hint="eastAsia" w:ascii="黑体" w:hAnsi="宋体" w:eastAsia="黑体"/>
                <w:szCs w:val="21"/>
              </w:rPr>
            </w:pPr>
            <w:r>
              <w:rPr>
                <w:rFonts w:hint="eastAsia" w:ascii="黑体" w:hAnsi="宋体" w:eastAsia="黑体"/>
                <w:szCs w:val="21"/>
              </w:rPr>
              <w:t>1</w:t>
            </w:r>
          </w:p>
        </w:tc>
        <w:tc>
          <w:tcPr>
            <w:tcW w:w="2700" w:type="dxa"/>
            <w:noWrap w:val="0"/>
            <w:vAlign w:val="center"/>
          </w:tcPr>
          <w:p w14:paraId="41CDA31D">
            <w:pPr>
              <w:rPr>
                <w:rFonts w:hint="eastAsia" w:ascii="宋体" w:hAnsi="宋体"/>
                <w:szCs w:val="21"/>
              </w:rPr>
            </w:pPr>
            <w:r>
              <w:rPr>
                <w:rFonts w:ascii="宋体" w:hAnsi="宋体"/>
                <w:szCs w:val="21"/>
              </w:rPr>
              <w:t>项目经理</w:t>
            </w:r>
          </w:p>
        </w:tc>
        <w:tc>
          <w:tcPr>
            <w:tcW w:w="1440" w:type="dxa"/>
            <w:noWrap w:val="0"/>
            <w:vAlign w:val="center"/>
          </w:tcPr>
          <w:p w14:paraId="3C78BB56">
            <w:pPr>
              <w:autoSpaceDE w:val="0"/>
              <w:autoSpaceDN w:val="0"/>
              <w:adjustRightInd w:val="0"/>
              <w:spacing w:before="50"/>
              <w:rPr>
                <w:rFonts w:hint="eastAsia" w:ascii="宋体" w:hAnsi="宋体" w:cs="Arial"/>
                <w:kern w:val="0"/>
                <w:szCs w:val="21"/>
              </w:rPr>
            </w:pPr>
            <w:r>
              <w:rPr>
                <w:rFonts w:ascii="宋体" w:hAnsi="宋体"/>
                <w:szCs w:val="21"/>
              </w:rPr>
              <w:t>1.1.2.</w:t>
            </w:r>
            <w:r>
              <w:rPr>
                <w:rFonts w:hint="eastAsia" w:ascii="宋体" w:hAnsi="宋体"/>
                <w:szCs w:val="21"/>
              </w:rPr>
              <w:t>4</w:t>
            </w:r>
          </w:p>
        </w:tc>
        <w:tc>
          <w:tcPr>
            <w:tcW w:w="3780" w:type="dxa"/>
            <w:noWrap w:val="0"/>
            <w:vAlign w:val="center"/>
          </w:tcPr>
          <w:p w14:paraId="07B45CA5">
            <w:pPr>
              <w:rPr>
                <w:rFonts w:hint="eastAsia" w:ascii="宋体" w:hAnsi="宋体"/>
                <w:szCs w:val="21"/>
              </w:rPr>
            </w:pPr>
            <w:r>
              <w:rPr>
                <w:rFonts w:hint="eastAsia" w:ascii="宋体" w:hAnsi="宋体"/>
                <w:szCs w:val="21"/>
              </w:rPr>
              <w:t>（见投标函）</w:t>
            </w:r>
          </w:p>
        </w:tc>
        <w:tc>
          <w:tcPr>
            <w:tcW w:w="720" w:type="dxa"/>
            <w:noWrap w:val="0"/>
            <w:vAlign w:val="center"/>
          </w:tcPr>
          <w:p w14:paraId="4AB5BCB9">
            <w:pPr>
              <w:jc w:val="center"/>
              <w:rPr>
                <w:rFonts w:hint="eastAsia" w:ascii="宋体" w:hAnsi="宋体"/>
                <w:szCs w:val="21"/>
              </w:rPr>
            </w:pPr>
          </w:p>
        </w:tc>
      </w:tr>
      <w:tr w14:paraId="496B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50C69D65">
            <w:pPr>
              <w:jc w:val="center"/>
              <w:rPr>
                <w:rFonts w:hint="eastAsia" w:ascii="黑体" w:hAnsi="宋体" w:eastAsia="黑体"/>
                <w:szCs w:val="21"/>
              </w:rPr>
            </w:pPr>
            <w:r>
              <w:rPr>
                <w:rFonts w:hint="eastAsia" w:ascii="黑体" w:hAnsi="宋体" w:eastAsia="黑体"/>
                <w:szCs w:val="21"/>
              </w:rPr>
              <w:t>2</w:t>
            </w:r>
          </w:p>
        </w:tc>
        <w:tc>
          <w:tcPr>
            <w:tcW w:w="2700" w:type="dxa"/>
            <w:noWrap w:val="0"/>
            <w:vAlign w:val="center"/>
          </w:tcPr>
          <w:p w14:paraId="51BA8DAB">
            <w:pPr>
              <w:rPr>
                <w:rFonts w:hint="eastAsia" w:ascii="宋体" w:hAnsi="宋体"/>
                <w:szCs w:val="21"/>
              </w:rPr>
            </w:pPr>
            <w:r>
              <w:rPr>
                <w:rFonts w:hint="eastAsia" w:ascii="宋体" w:hAnsi="宋体" w:cs="Arial"/>
                <w:kern w:val="0"/>
                <w:szCs w:val="21"/>
              </w:rPr>
              <w:t>工期</w:t>
            </w:r>
          </w:p>
        </w:tc>
        <w:tc>
          <w:tcPr>
            <w:tcW w:w="1440" w:type="dxa"/>
            <w:noWrap w:val="0"/>
            <w:vAlign w:val="center"/>
          </w:tcPr>
          <w:p w14:paraId="250FEB14">
            <w:pPr>
              <w:autoSpaceDE w:val="0"/>
              <w:autoSpaceDN w:val="0"/>
              <w:adjustRightInd w:val="0"/>
              <w:spacing w:before="72" w:beforeLines="30"/>
              <w:rPr>
                <w:rFonts w:hint="eastAsia" w:ascii="宋体" w:hAnsi="宋体" w:cs="Arial"/>
                <w:bCs/>
                <w:kern w:val="0"/>
                <w:szCs w:val="21"/>
              </w:rPr>
            </w:pPr>
            <w:r>
              <w:rPr>
                <w:rFonts w:hint="eastAsia" w:ascii="宋体" w:hAnsi="宋体" w:cs="Arial"/>
                <w:bCs/>
                <w:kern w:val="0"/>
                <w:szCs w:val="21"/>
              </w:rPr>
              <w:t>1.1.4.3</w:t>
            </w:r>
          </w:p>
        </w:tc>
        <w:tc>
          <w:tcPr>
            <w:tcW w:w="3780" w:type="dxa"/>
            <w:noWrap w:val="0"/>
            <w:vAlign w:val="center"/>
          </w:tcPr>
          <w:p w14:paraId="537FBF59">
            <w:pPr>
              <w:rPr>
                <w:rFonts w:hint="eastAsia" w:ascii="宋体" w:hAnsi="宋体"/>
                <w:szCs w:val="21"/>
              </w:rPr>
            </w:pPr>
            <w:r>
              <w:rPr>
                <w:rFonts w:hint="eastAsia" w:ascii="宋体" w:hAnsi="宋体"/>
                <w:szCs w:val="21"/>
              </w:rPr>
              <w:t>（见投标函）</w:t>
            </w:r>
          </w:p>
        </w:tc>
        <w:tc>
          <w:tcPr>
            <w:tcW w:w="720" w:type="dxa"/>
            <w:noWrap w:val="0"/>
            <w:vAlign w:val="center"/>
          </w:tcPr>
          <w:p w14:paraId="61382C30">
            <w:pPr>
              <w:jc w:val="center"/>
              <w:rPr>
                <w:rFonts w:hint="eastAsia" w:ascii="宋体" w:hAnsi="宋体"/>
                <w:szCs w:val="21"/>
              </w:rPr>
            </w:pPr>
          </w:p>
        </w:tc>
      </w:tr>
      <w:tr w14:paraId="6841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2A629496">
            <w:pPr>
              <w:jc w:val="center"/>
              <w:rPr>
                <w:rFonts w:hint="eastAsia" w:ascii="黑体" w:hAnsi="宋体" w:eastAsia="黑体"/>
                <w:szCs w:val="21"/>
              </w:rPr>
            </w:pPr>
            <w:r>
              <w:rPr>
                <w:rFonts w:hint="eastAsia" w:ascii="黑体" w:hAnsi="宋体" w:eastAsia="黑体"/>
                <w:szCs w:val="21"/>
              </w:rPr>
              <w:t>3</w:t>
            </w:r>
          </w:p>
        </w:tc>
        <w:tc>
          <w:tcPr>
            <w:tcW w:w="2700" w:type="dxa"/>
            <w:noWrap w:val="0"/>
            <w:vAlign w:val="center"/>
          </w:tcPr>
          <w:p w14:paraId="3880E4B9">
            <w:pPr>
              <w:rPr>
                <w:rFonts w:hint="eastAsia" w:ascii="宋体" w:hAnsi="宋体"/>
                <w:szCs w:val="21"/>
              </w:rPr>
            </w:pPr>
            <w:r>
              <w:rPr>
                <w:rFonts w:hint="eastAsia" w:ascii="宋体" w:hAnsi="宋体"/>
                <w:szCs w:val="21"/>
              </w:rPr>
              <w:t>缺陷责任期</w:t>
            </w:r>
          </w:p>
        </w:tc>
        <w:tc>
          <w:tcPr>
            <w:tcW w:w="1440" w:type="dxa"/>
            <w:noWrap w:val="0"/>
            <w:tcMar>
              <w:left w:w="170" w:type="dxa"/>
            </w:tcMar>
            <w:vAlign w:val="center"/>
          </w:tcPr>
          <w:p w14:paraId="781595EF">
            <w:pPr>
              <w:rPr>
                <w:rFonts w:hint="eastAsia" w:ascii="宋体" w:hAnsi="宋体"/>
                <w:szCs w:val="21"/>
              </w:rPr>
            </w:pPr>
            <w:r>
              <w:rPr>
                <w:rFonts w:hint="eastAsia" w:ascii="宋体" w:hAnsi="宋体"/>
                <w:szCs w:val="21"/>
              </w:rPr>
              <w:t>1.1.4.5</w:t>
            </w:r>
          </w:p>
        </w:tc>
        <w:tc>
          <w:tcPr>
            <w:tcW w:w="3780" w:type="dxa"/>
            <w:noWrap w:val="0"/>
            <w:vAlign w:val="center"/>
          </w:tcPr>
          <w:p w14:paraId="22BBE5D9">
            <w:pPr>
              <w:rPr>
                <w:rFonts w:hint="eastAsia" w:ascii="宋体" w:hAnsi="宋体"/>
                <w:szCs w:val="21"/>
              </w:rPr>
            </w:pPr>
          </w:p>
        </w:tc>
        <w:tc>
          <w:tcPr>
            <w:tcW w:w="720" w:type="dxa"/>
            <w:noWrap w:val="0"/>
            <w:vAlign w:val="center"/>
          </w:tcPr>
          <w:p w14:paraId="289D8FA2">
            <w:pPr>
              <w:jc w:val="center"/>
              <w:rPr>
                <w:rFonts w:hint="eastAsia" w:ascii="宋体" w:hAnsi="宋体"/>
                <w:szCs w:val="21"/>
              </w:rPr>
            </w:pPr>
          </w:p>
        </w:tc>
      </w:tr>
      <w:tr w14:paraId="7E72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20" w:type="dxa"/>
            <w:noWrap w:val="0"/>
            <w:vAlign w:val="center"/>
          </w:tcPr>
          <w:p w14:paraId="2ED62F3F">
            <w:pPr>
              <w:jc w:val="center"/>
              <w:rPr>
                <w:rFonts w:hint="eastAsia" w:ascii="黑体" w:hAnsi="宋体" w:eastAsia="黑体"/>
                <w:szCs w:val="21"/>
              </w:rPr>
            </w:pPr>
            <w:r>
              <w:rPr>
                <w:rFonts w:hint="eastAsia" w:ascii="黑体" w:hAnsi="宋体" w:eastAsia="黑体"/>
                <w:szCs w:val="21"/>
              </w:rPr>
              <w:t>4</w:t>
            </w:r>
          </w:p>
        </w:tc>
        <w:tc>
          <w:tcPr>
            <w:tcW w:w="2700" w:type="dxa"/>
            <w:noWrap w:val="0"/>
            <w:vAlign w:val="center"/>
          </w:tcPr>
          <w:p w14:paraId="6893B39E">
            <w:pPr>
              <w:rPr>
                <w:rFonts w:hint="eastAsia" w:ascii="宋体" w:hAnsi="宋体"/>
                <w:szCs w:val="21"/>
              </w:rPr>
            </w:pPr>
            <w:r>
              <w:rPr>
                <w:rFonts w:hint="eastAsia" w:ascii="宋体" w:hAnsi="宋体"/>
                <w:szCs w:val="21"/>
              </w:rPr>
              <w:t>承包人履约担保金额</w:t>
            </w:r>
          </w:p>
        </w:tc>
        <w:tc>
          <w:tcPr>
            <w:tcW w:w="1440" w:type="dxa"/>
            <w:noWrap w:val="0"/>
            <w:tcMar>
              <w:left w:w="170" w:type="dxa"/>
            </w:tcMar>
            <w:vAlign w:val="center"/>
          </w:tcPr>
          <w:p w14:paraId="4F201D6F">
            <w:pPr>
              <w:rPr>
                <w:rFonts w:hint="eastAsia" w:ascii="宋体" w:hAnsi="宋体"/>
                <w:szCs w:val="21"/>
              </w:rPr>
            </w:pPr>
            <w:r>
              <w:rPr>
                <w:rFonts w:hint="eastAsia" w:ascii="宋体" w:hAnsi="宋体"/>
                <w:szCs w:val="21"/>
              </w:rPr>
              <w:t>4.2</w:t>
            </w:r>
          </w:p>
        </w:tc>
        <w:tc>
          <w:tcPr>
            <w:tcW w:w="3780" w:type="dxa"/>
            <w:noWrap w:val="0"/>
            <w:vAlign w:val="center"/>
          </w:tcPr>
          <w:p w14:paraId="355AEA13">
            <w:pPr>
              <w:rPr>
                <w:rFonts w:hint="eastAsia" w:ascii="宋体" w:hAnsi="宋体"/>
                <w:szCs w:val="21"/>
              </w:rPr>
            </w:pPr>
          </w:p>
        </w:tc>
        <w:tc>
          <w:tcPr>
            <w:tcW w:w="720" w:type="dxa"/>
            <w:noWrap w:val="0"/>
            <w:vAlign w:val="center"/>
          </w:tcPr>
          <w:p w14:paraId="11C3266E">
            <w:pPr>
              <w:jc w:val="center"/>
              <w:rPr>
                <w:rFonts w:hint="eastAsia" w:ascii="宋体" w:hAnsi="宋体"/>
                <w:szCs w:val="21"/>
              </w:rPr>
            </w:pPr>
          </w:p>
        </w:tc>
      </w:tr>
      <w:tr w14:paraId="2D84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59F6A72E">
            <w:pPr>
              <w:jc w:val="center"/>
              <w:rPr>
                <w:rFonts w:hint="eastAsia" w:ascii="黑体" w:hAnsi="宋体" w:eastAsia="黑体"/>
                <w:szCs w:val="21"/>
              </w:rPr>
            </w:pPr>
            <w:r>
              <w:rPr>
                <w:rFonts w:hint="eastAsia" w:ascii="黑体" w:hAnsi="宋体" w:eastAsia="黑体"/>
                <w:szCs w:val="21"/>
              </w:rPr>
              <w:t>5</w:t>
            </w:r>
          </w:p>
        </w:tc>
        <w:tc>
          <w:tcPr>
            <w:tcW w:w="2700" w:type="dxa"/>
            <w:noWrap w:val="0"/>
            <w:vAlign w:val="center"/>
          </w:tcPr>
          <w:p w14:paraId="6689A3C8">
            <w:pPr>
              <w:rPr>
                <w:rFonts w:hint="eastAsia" w:ascii="宋体" w:hAnsi="宋体"/>
                <w:szCs w:val="21"/>
              </w:rPr>
            </w:pPr>
            <w:r>
              <w:rPr>
                <w:rFonts w:hint="eastAsia" w:ascii="宋体" w:hAnsi="宋体"/>
                <w:szCs w:val="21"/>
              </w:rPr>
              <w:t>分包</w:t>
            </w:r>
          </w:p>
        </w:tc>
        <w:tc>
          <w:tcPr>
            <w:tcW w:w="1440" w:type="dxa"/>
            <w:noWrap w:val="0"/>
            <w:tcMar>
              <w:left w:w="170" w:type="dxa"/>
            </w:tcMar>
            <w:vAlign w:val="center"/>
          </w:tcPr>
          <w:p w14:paraId="7D12958D">
            <w:pPr>
              <w:rPr>
                <w:rFonts w:hint="eastAsia" w:ascii="宋体" w:hAnsi="宋体"/>
                <w:szCs w:val="21"/>
              </w:rPr>
            </w:pPr>
            <w:r>
              <w:rPr>
                <w:rFonts w:hint="eastAsia" w:ascii="宋体" w:hAnsi="宋体"/>
                <w:szCs w:val="21"/>
              </w:rPr>
              <w:t>4.3.4</w:t>
            </w:r>
          </w:p>
        </w:tc>
        <w:tc>
          <w:tcPr>
            <w:tcW w:w="3780" w:type="dxa"/>
            <w:noWrap w:val="0"/>
            <w:vAlign w:val="center"/>
          </w:tcPr>
          <w:p w14:paraId="70F4781D">
            <w:pPr>
              <w:rPr>
                <w:rFonts w:hint="eastAsia" w:ascii="宋体" w:hAnsi="宋体"/>
                <w:szCs w:val="21"/>
              </w:rPr>
            </w:pPr>
            <w:r>
              <w:rPr>
                <w:rFonts w:hint="eastAsia" w:ascii="宋体" w:hAnsi="宋体"/>
                <w:szCs w:val="21"/>
              </w:rPr>
              <w:t>见</w:t>
            </w:r>
            <w:r>
              <w:rPr>
                <w:rFonts w:hint="eastAsia"/>
              </w:rPr>
              <w:t>拟分包计划表</w:t>
            </w:r>
          </w:p>
        </w:tc>
        <w:tc>
          <w:tcPr>
            <w:tcW w:w="720" w:type="dxa"/>
            <w:noWrap w:val="0"/>
            <w:vAlign w:val="center"/>
          </w:tcPr>
          <w:p w14:paraId="408719F0">
            <w:pPr>
              <w:jc w:val="center"/>
              <w:rPr>
                <w:rFonts w:hint="eastAsia" w:ascii="宋体" w:hAnsi="宋体"/>
                <w:szCs w:val="21"/>
              </w:rPr>
            </w:pPr>
          </w:p>
        </w:tc>
      </w:tr>
      <w:tr w14:paraId="3CBE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B4C3B81">
            <w:pPr>
              <w:jc w:val="center"/>
              <w:rPr>
                <w:rFonts w:hint="eastAsia" w:ascii="黑体" w:hAnsi="宋体" w:eastAsia="黑体"/>
                <w:szCs w:val="21"/>
              </w:rPr>
            </w:pPr>
            <w:r>
              <w:rPr>
                <w:rFonts w:hint="eastAsia" w:ascii="黑体" w:hAnsi="宋体" w:eastAsia="黑体"/>
                <w:szCs w:val="21"/>
              </w:rPr>
              <w:t>6</w:t>
            </w:r>
          </w:p>
        </w:tc>
        <w:tc>
          <w:tcPr>
            <w:tcW w:w="2700" w:type="dxa"/>
            <w:noWrap w:val="0"/>
            <w:vAlign w:val="center"/>
          </w:tcPr>
          <w:p w14:paraId="095132CB">
            <w:pPr>
              <w:rPr>
                <w:rFonts w:hint="eastAsia" w:ascii="宋体" w:hAnsi="宋体"/>
                <w:szCs w:val="21"/>
              </w:rPr>
            </w:pPr>
            <w:r>
              <w:rPr>
                <w:rFonts w:hint="eastAsia" w:ascii="宋体" w:hAnsi="宋体"/>
                <w:szCs w:val="21"/>
              </w:rPr>
              <w:t>逾期竣工违约金</w:t>
            </w:r>
          </w:p>
        </w:tc>
        <w:tc>
          <w:tcPr>
            <w:tcW w:w="1440" w:type="dxa"/>
            <w:noWrap w:val="0"/>
            <w:tcMar>
              <w:left w:w="170" w:type="dxa"/>
            </w:tcMar>
            <w:vAlign w:val="center"/>
          </w:tcPr>
          <w:p w14:paraId="1D766F61">
            <w:pPr>
              <w:rPr>
                <w:rFonts w:hint="eastAsia" w:ascii="宋体" w:hAnsi="宋体"/>
                <w:szCs w:val="21"/>
              </w:rPr>
            </w:pPr>
            <w:r>
              <w:rPr>
                <w:rFonts w:hint="eastAsia" w:ascii="宋体" w:hAnsi="宋体"/>
                <w:szCs w:val="21"/>
              </w:rPr>
              <w:t>11.5</w:t>
            </w:r>
          </w:p>
        </w:tc>
        <w:tc>
          <w:tcPr>
            <w:tcW w:w="3780" w:type="dxa"/>
            <w:noWrap w:val="0"/>
            <w:vAlign w:val="center"/>
          </w:tcPr>
          <w:p w14:paraId="12E6E596">
            <w:pPr>
              <w:rPr>
                <w:rFonts w:hint="eastAsia" w:ascii="宋体" w:hAnsi="宋体"/>
                <w:szCs w:val="21"/>
              </w:rPr>
            </w:pPr>
            <w:r>
              <w:rPr>
                <w:rFonts w:hint="eastAsia" w:ascii="宋体" w:hAnsi="宋体"/>
                <w:szCs w:val="21"/>
                <w:u w:val="single"/>
              </w:rPr>
              <w:t xml:space="preserve">           </w:t>
            </w:r>
            <w:r>
              <w:rPr>
                <w:rFonts w:hint="eastAsia" w:ascii="宋体" w:hAnsi="宋体"/>
                <w:szCs w:val="21"/>
              </w:rPr>
              <w:t>元/天</w:t>
            </w:r>
          </w:p>
        </w:tc>
        <w:tc>
          <w:tcPr>
            <w:tcW w:w="720" w:type="dxa"/>
            <w:noWrap w:val="0"/>
            <w:vAlign w:val="center"/>
          </w:tcPr>
          <w:p w14:paraId="78B58AAB">
            <w:pPr>
              <w:jc w:val="center"/>
              <w:rPr>
                <w:rFonts w:hint="eastAsia" w:ascii="宋体" w:hAnsi="宋体"/>
                <w:szCs w:val="21"/>
              </w:rPr>
            </w:pPr>
          </w:p>
        </w:tc>
      </w:tr>
      <w:tr w14:paraId="10F1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3898EB58">
            <w:pPr>
              <w:jc w:val="center"/>
              <w:rPr>
                <w:rFonts w:hint="eastAsia" w:ascii="黑体" w:hAnsi="宋体" w:eastAsia="黑体"/>
                <w:szCs w:val="21"/>
              </w:rPr>
            </w:pPr>
            <w:r>
              <w:rPr>
                <w:rFonts w:hint="eastAsia" w:ascii="黑体" w:hAnsi="宋体" w:eastAsia="黑体"/>
                <w:szCs w:val="21"/>
              </w:rPr>
              <w:t>7</w:t>
            </w:r>
          </w:p>
        </w:tc>
        <w:tc>
          <w:tcPr>
            <w:tcW w:w="2700" w:type="dxa"/>
            <w:noWrap w:val="0"/>
            <w:vAlign w:val="center"/>
          </w:tcPr>
          <w:p w14:paraId="16F5D84B">
            <w:pPr>
              <w:rPr>
                <w:rFonts w:hint="eastAsia" w:ascii="宋体" w:hAnsi="宋体"/>
                <w:szCs w:val="21"/>
              </w:rPr>
            </w:pPr>
            <w:r>
              <w:rPr>
                <w:rFonts w:hint="eastAsia" w:ascii="宋体" w:hAnsi="宋体"/>
                <w:szCs w:val="21"/>
              </w:rPr>
              <w:t>逾期竣工违约金最高限额</w:t>
            </w:r>
          </w:p>
        </w:tc>
        <w:tc>
          <w:tcPr>
            <w:tcW w:w="1440" w:type="dxa"/>
            <w:noWrap w:val="0"/>
            <w:tcMar>
              <w:left w:w="170" w:type="dxa"/>
            </w:tcMar>
            <w:vAlign w:val="center"/>
          </w:tcPr>
          <w:p w14:paraId="44D514D2">
            <w:pPr>
              <w:rPr>
                <w:rFonts w:hint="eastAsia" w:ascii="宋体" w:hAnsi="宋体"/>
                <w:szCs w:val="21"/>
              </w:rPr>
            </w:pPr>
            <w:r>
              <w:rPr>
                <w:rFonts w:hint="eastAsia" w:ascii="宋体" w:hAnsi="宋体"/>
                <w:szCs w:val="21"/>
              </w:rPr>
              <w:t>11.5</w:t>
            </w:r>
          </w:p>
        </w:tc>
        <w:tc>
          <w:tcPr>
            <w:tcW w:w="3780" w:type="dxa"/>
            <w:noWrap w:val="0"/>
            <w:vAlign w:val="center"/>
          </w:tcPr>
          <w:p w14:paraId="34FD3B97">
            <w:pPr>
              <w:rPr>
                <w:rFonts w:hint="eastAsia" w:ascii="宋体" w:hAnsi="宋体"/>
                <w:szCs w:val="21"/>
              </w:rPr>
            </w:pPr>
            <w:r>
              <w:rPr>
                <w:rFonts w:hint="eastAsia" w:ascii="宋体" w:hAnsi="宋体"/>
                <w:szCs w:val="21"/>
                <w:u w:val="single"/>
              </w:rPr>
              <w:t xml:space="preserve">             </w:t>
            </w:r>
          </w:p>
        </w:tc>
        <w:tc>
          <w:tcPr>
            <w:tcW w:w="720" w:type="dxa"/>
            <w:noWrap w:val="0"/>
            <w:vAlign w:val="center"/>
          </w:tcPr>
          <w:p w14:paraId="40255B11">
            <w:pPr>
              <w:jc w:val="center"/>
              <w:rPr>
                <w:rFonts w:hint="eastAsia" w:ascii="宋体" w:hAnsi="宋体"/>
                <w:szCs w:val="21"/>
              </w:rPr>
            </w:pPr>
          </w:p>
        </w:tc>
      </w:tr>
      <w:tr w14:paraId="32E7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1F9D52E">
            <w:pPr>
              <w:jc w:val="center"/>
              <w:rPr>
                <w:rFonts w:hint="eastAsia" w:ascii="黑体" w:hAnsi="宋体" w:eastAsia="黑体"/>
                <w:szCs w:val="21"/>
              </w:rPr>
            </w:pPr>
            <w:r>
              <w:rPr>
                <w:rFonts w:hint="eastAsia" w:ascii="黑体" w:hAnsi="宋体" w:eastAsia="黑体"/>
                <w:szCs w:val="21"/>
              </w:rPr>
              <w:t>8</w:t>
            </w:r>
          </w:p>
        </w:tc>
        <w:tc>
          <w:tcPr>
            <w:tcW w:w="2700" w:type="dxa"/>
            <w:noWrap w:val="0"/>
            <w:vAlign w:val="center"/>
          </w:tcPr>
          <w:p w14:paraId="525488AB">
            <w:pPr>
              <w:rPr>
                <w:rFonts w:hint="eastAsia" w:ascii="宋体" w:hAnsi="宋体"/>
                <w:szCs w:val="21"/>
              </w:rPr>
            </w:pPr>
            <w:r>
              <w:rPr>
                <w:rFonts w:hint="eastAsia" w:ascii="宋体" w:hAnsi="宋体"/>
                <w:szCs w:val="21"/>
              </w:rPr>
              <w:t>质量标准</w:t>
            </w:r>
          </w:p>
        </w:tc>
        <w:tc>
          <w:tcPr>
            <w:tcW w:w="1440" w:type="dxa"/>
            <w:noWrap w:val="0"/>
            <w:tcMar>
              <w:left w:w="170" w:type="dxa"/>
            </w:tcMar>
            <w:vAlign w:val="center"/>
          </w:tcPr>
          <w:p w14:paraId="18CA06BA">
            <w:pPr>
              <w:rPr>
                <w:rFonts w:hint="eastAsia" w:ascii="宋体" w:hAnsi="宋体"/>
                <w:szCs w:val="21"/>
              </w:rPr>
            </w:pPr>
            <w:r>
              <w:rPr>
                <w:rFonts w:hint="eastAsia" w:ascii="宋体" w:hAnsi="宋体"/>
                <w:szCs w:val="21"/>
              </w:rPr>
              <w:t>13.1</w:t>
            </w:r>
          </w:p>
        </w:tc>
        <w:tc>
          <w:tcPr>
            <w:tcW w:w="3780" w:type="dxa"/>
            <w:noWrap w:val="0"/>
            <w:vAlign w:val="center"/>
          </w:tcPr>
          <w:p w14:paraId="04FAEC29">
            <w:pPr>
              <w:rPr>
                <w:rFonts w:hint="eastAsia" w:ascii="宋体" w:hAnsi="宋体"/>
                <w:szCs w:val="21"/>
              </w:rPr>
            </w:pPr>
          </w:p>
        </w:tc>
        <w:tc>
          <w:tcPr>
            <w:tcW w:w="720" w:type="dxa"/>
            <w:noWrap w:val="0"/>
            <w:vAlign w:val="center"/>
          </w:tcPr>
          <w:p w14:paraId="5A624872">
            <w:pPr>
              <w:jc w:val="center"/>
              <w:rPr>
                <w:rFonts w:hint="eastAsia" w:ascii="宋体" w:hAnsi="宋体"/>
                <w:szCs w:val="21"/>
              </w:rPr>
            </w:pPr>
          </w:p>
        </w:tc>
      </w:tr>
      <w:tr w14:paraId="61E3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20" w:type="dxa"/>
            <w:noWrap w:val="0"/>
            <w:vAlign w:val="center"/>
          </w:tcPr>
          <w:p w14:paraId="72C00018">
            <w:pPr>
              <w:jc w:val="center"/>
              <w:rPr>
                <w:rFonts w:hint="eastAsia" w:ascii="黑体" w:hAnsi="宋体" w:eastAsia="黑体"/>
                <w:szCs w:val="21"/>
              </w:rPr>
            </w:pPr>
            <w:r>
              <w:rPr>
                <w:rFonts w:hint="eastAsia" w:ascii="黑体" w:hAnsi="宋体" w:eastAsia="黑体"/>
                <w:szCs w:val="21"/>
              </w:rPr>
              <w:t>9</w:t>
            </w:r>
          </w:p>
        </w:tc>
        <w:tc>
          <w:tcPr>
            <w:tcW w:w="2700" w:type="dxa"/>
            <w:noWrap w:val="0"/>
            <w:vAlign w:val="center"/>
          </w:tcPr>
          <w:p w14:paraId="7F0DB2B4">
            <w:pPr>
              <w:rPr>
                <w:rFonts w:hint="eastAsia" w:ascii="宋体" w:hAnsi="宋体"/>
                <w:szCs w:val="21"/>
              </w:rPr>
            </w:pPr>
            <w:r>
              <w:rPr>
                <w:rFonts w:hint="eastAsia" w:ascii="宋体" w:hAnsi="宋体"/>
                <w:szCs w:val="21"/>
              </w:rPr>
              <w:t>价格调整的差额计算</w:t>
            </w:r>
          </w:p>
        </w:tc>
        <w:tc>
          <w:tcPr>
            <w:tcW w:w="1440" w:type="dxa"/>
            <w:noWrap w:val="0"/>
            <w:tcMar>
              <w:left w:w="170" w:type="dxa"/>
            </w:tcMar>
            <w:vAlign w:val="center"/>
          </w:tcPr>
          <w:p w14:paraId="4CE67839">
            <w:pPr>
              <w:rPr>
                <w:rFonts w:hint="eastAsia" w:ascii="宋体" w:hAnsi="宋体"/>
                <w:szCs w:val="21"/>
              </w:rPr>
            </w:pPr>
            <w:r>
              <w:rPr>
                <w:rFonts w:hint="eastAsia" w:ascii="宋体" w:hAnsi="宋体"/>
                <w:szCs w:val="21"/>
              </w:rPr>
              <w:t>16.1.1</w:t>
            </w:r>
          </w:p>
        </w:tc>
        <w:tc>
          <w:tcPr>
            <w:tcW w:w="3780" w:type="dxa"/>
            <w:noWrap w:val="0"/>
            <w:vAlign w:val="center"/>
          </w:tcPr>
          <w:p w14:paraId="01DB78C4">
            <w:pPr>
              <w:rPr>
                <w:rFonts w:hint="eastAsia" w:ascii="宋体" w:hAnsi="宋体"/>
                <w:szCs w:val="21"/>
              </w:rPr>
            </w:pPr>
            <w:r>
              <w:rPr>
                <w:rFonts w:hint="eastAsia" w:ascii="宋体" w:hAnsi="宋体"/>
                <w:szCs w:val="21"/>
              </w:rPr>
              <w:t>见价格指数权重表</w:t>
            </w:r>
          </w:p>
        </w:tc>
        <w:tc>
          <w:tcPr>
            <w:tcW w:w="720" w:type="dxa"/>
            <w:noWrap w:val="0"/>
            <w:vAlign w:val="center"/>
          </w:tcPr>
          <w:p w14:paraId="0F21FFB2">
            <w:pPr>
              <w:jc w:val="center"/>
              <w:rPr>
                <w:rFonts w:hint="eastAsia" w:ascii="宋体" w:hAnsi="宋体"/>
                <w:szCs w:val="21"/>
              </w:rPr>
            </w:pPr>
          </w:p>
        </w:tc>
      </w:tr>
      <w:tr w14:paraId="68DA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DC2A8CE">
            <w:pPr>
              <w:jc w:val="center"/>
              <w:rPr>
                <w:rFonts w:hint="eastAsia" w:ascii="黑体" w:hAnsi="宋体" w:eastAsia="黑体"/>
                <w:szCs w:val="21"/>
              </w:rPr>
            </w:pPr>
            <w:r>
              <w:rPr>
                <w:rFonts w:hint="eastAsia" w:ascii="黑体" w:hAnsi="宋体" w:eastAsia="黑体"/>
                <w:szCs w:val="21"/>
              </w:rPr>
              <w:t>10</w:t>
            </w:r>
          </w:p>
        </w:tc>
        <w:tc>
          <w:tcPr>
            <w:tcW w:w="2700" w:type="dxa"/>
            <w:noWrap w:val="0"/>
            <w:vAlign w:val="center"/>
          </w:tcPr>
          <w:p w14:paraId="4F604129">
            <w:pPr>
              <w:rPr>
                <w:rFonts w:hint="eastAsia" w:ascii="宋体" w:hAnsi="宋体"/>
                <w:szCs w:val="21"/>
              </w:rPr>
            </w:pPr>
            <w:r>
              <w:rPr>
                <w:rFonts w:hint="eastAsia" w:ascii="宋体" w:hAnsi="宋体"/>
                <w:szCs w:val="21"/>
              </w:rPr>
              <w:t>预付款额度</w:t>
            </w:r>
          </w:p>
        </w:tc>
        <w:tc>
          <w:tcPr>
            <w:tcW w:w="1440" w:type="dxa"/>
            <w:noWrap w:val="0"/>
            <w:tcMar>
              <w:left w:w="170" w:type="dxa"/>
            </w:tcMar>
            <w:vAlign w:val="center"/>
          </w:tcPr>
          <w:p w14:paraId="2642AA94">
            <w:pPr>
              <w:rPr>
                <w:rFonts w:hint="eastAsia" w:ascii="宋体" w:hAnsi="宋体"/>
                <w:szCs w:val="21"/>
              </w:rPr>
            </w:pPr>
            <w:r>
              <w:rPr>
                <w:rFonts w:hint="eastAsia" w:ascii="宋体" w:hAnsi="宋体"/>
                <w:szCs w:val="21"/>
              </w:rPr>
              <w:t>17.2.1</w:t>
            </w:r>
          </w:p>
        </w:tc>
        <w:tc>
          <w:tcPr>
            <w:tcW w:w="3780" w:type="dxa"/>
            <w:noWrap w:val="0"/>
            <w:vAlign w:val="center"/>
          </w:tcPr>
          <w:p w14:paraId="6FCD6742">
            <w:pPr>
              <w:rPr>
                <w:rFonts w:hint="eastAsia" w:ascii="宋体" w:hAnsi="宋体"/>
                <w:szCs w:val="21"/>
              </w:rPr>
            </w:pPr>
          </w:p>
        </w:tc>
        <w:tc>
          <w:tcPr>
            <w:tcW w:w="720" w:type="dxa"/>
            <w:noWrap w:val="0"/>
            <w:vAlign w:val="center"/>
          </w:tcPr>
          <w:p w14:paraId="286D6C6E">
            <w:pPr>
              <w:jc w:val="center"/>
              <w:rPr>
                <w:rFonts w:hint="eastAsia" w:ascii="宋体" w:hAnsi="宋体"/>
                <w:szCs w:val="21"/>
              </w:rPr>
            </w:pPr>
          </w:p>
        </w:tc>
      </w:tr>
      <w:tr w14:paraId="62E7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3C0CF8B7">
            <w:pPr>
              <w:jc w:val="center"/>
              <w:rPr>
                <w:rFonts w:hint="eastAsia" w:ascii="宋体" w:hAnsi="宋体"/>
                <w:szCs w:val="21"/>
              </w:rPr>
            </w:pPr>
            <w:r>
              <w:rPr>
                <w:rFonts w:hint="eastAsia" w:ascii="宋体" w:hAnsi="宋体"/>
                <w:szCs w:val="21"/>
              </w:rPr>
              <w:t>11</w:t>
            </w:r>
          </w:p>
        </w:tc>
        <w:tc>
          <w:tcPr>
            <w:tcW w:w="2700" w:type="dxa"/>
            <w:noWrap w:val="0"/>
            <w:vAlign w:val="center"/>
          </w:tcPr>
          <w:p w14:paraId="3BFAC747">
            <w:pPr>
              <w:rPr>
                <w:rFonts w:hint="eastAsia" w:ascii="宋体" w:hAnsi="宋体"/>
                <w:szCs w:val="21"/>
              </w:rPr>
            </w:pPr>
            <w:r>
              <w:rPr>
                <w:rFonts w:hint="eastAsia" w:ascii="宋体" w:hAnsi="宋体"/>
                <w:szCs w:val="21"/>
              </w:rPr>
              <w:t>预付款保函金额</w:t>
            </w:r>
          </w:p>
        </w:tc>
        <w:tc>
          <w:tcPr>
            <w:tcW w:w="1440" w:type="dxa"/>
            <w:noWrap w:val="0"/>
            <w:tcMar>
              <w:left w:w="170" w:type="dxa"/>
            </w:tcMar>
            <w:vAlign w:val="center"/>
          </w:tcPr>
          <w:p w14:paraId="234FA98B">
            <w:pPr>
              <w:rPr>
                <w:rFonts w:hint="eastAsia" w:ascii="宋体" w:hAnsi="宋体"/>
                <w:szCs w:val="21"/>
              </w:rPr>
            </w:pPr>
            <w:r>
              <w:rPr>
                <w:rFonts w:hint="eastAsia" w:ascii="宋体" w:hAnsi="宋体"/>
                <w:szCs w:val="21"/>
              </w:rPr>
              <w:t>17.2.2</w:t>
            </w:r>
          </w:p>
        </w:tc>
        <w:tc>
          <w:tcPr>
            <w:tcW w:w="3780" w:type="dxa"/>
            <w:noWrap w:val="0"/>
            <w:vAlign w:val="center"/>
          </w:tcPr>
          <w:p w14:paraId="21B61DCB">
            <w:pPr>
              <w:rPr>
                <w:rFonts w:hint="eastAsia" w:ascii="宋体" w:hAnsi="宋体"/>
                <w:szCs w:val="21"/>
              </w:rPr>
            </w:pPr>
          </w:p>
        </w:tc>
        <w:tc>
          <w:tcPr>
            <w:tcW w:w="720" w:type="dxa"/>
            <w:noWrap w:val="0"/>
            <w:vAlign w:val="center"/>
          </w:tcPr>
          <w:p w14:paraId="00D2970F">
            <w:pPr>
              <w:jc w:val="center"/>
              <w:rPr>
                <w:rFonts w:hint="eastAsia" w:ascii="宋体" w:hAnsi="宋体"/>
                <w:szCs w:val="21"/>
              </w:rPr>
            </w:pPr>
          </w:p>
        </w:tc>
      </w:tr>
      <w:tr w14:paraId="44C3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CFB4F7C">
            <w:pPr>
              <w:jc w:val="center"/>
              <w:rPr>
                <w:rFonts w:hint="eastAsia" w:ascii="黑体" w:hAnsi="宋体" w:eastAsia="黑体"/>
                <w:szCs w:val="21"/>
              </w:rPr>
            </w:pPr>
            <w:r>
              <w:rPr>
                <w:rFonts w:hint="eastAsia" w:ascii="黑体" w:hAnsi="宋体" w:eastAsia="黑体"/>
                <w:szCs w:val="21"/>
              </w:rPr>
              <w:t>12</w:t>
            </w:r>
          </w:p>
        </w:tc>
        <w:tc>
          <w:tcPr>
            <w:tcW w:w="2700" w:type="dxa"/>
            <w:noWrap w:val="0"/>
            <w:vAlign w:val="center"/>
          </w:tcPr>
          <w:p w14:paraId="0DC65980">
            <w:pPr>
              <w:rPr>
                <w:rFonts w:hint="eastAsia" w:ascii="宋体" w:hAnsi="宋体"/>
                <w:szCs w:val="21"/>
              </w:rPr>
            </w:pPr>
            <w:r>
              <w:rPr>
                <w:rFonts w:hint="eastAsia" w:ascii="宋体" w:hAnsi="宋体"/>
                <w:szCs w:val="21"/>
              </w:rPr>
              <w:t>质量保证金扣留百分比</w:t>
            </w:r>
          </w:p>
        </w:tc>
        <w:tc>
          <w:tcPr>
            <w:tcW w:w="1440" w:type="dxa"/>
            <w:noWrap w:val="0"/>
            <w:tcMar>
              <w:left w:w="170" w:type="dxa"/>
            </w:tcMar>
            <w:vAlign w:val="center"/>
          </w:tcPr>
          <w:p w14:paraId="04D8A1C9">
            <w:pPr>
              <w:rPr>
                <w:rFonts w:hint="eastAsia" w:ascii="宋体" w:hAnsi="宋体"/>
                <w:szCs w:val="21"/>
              </w:rPr>
            </w:pPr>
            <w:r>
              <w:rPr>
                <w:rFonts w:hint="eastAsia" w:ascii="宋体" w:hAnsi="宋体"/>
                <w:szCs w:val="21"/>
              </w:rPr>
              <w:t>17.4.1</w:t>
            </w:r>
          </w:p>
        </w:tc>
        <w:tc>
          <w:tcPr>
            <w:tcW w:w="3780" w:type="dxa"/>
            <w:noWrap w:val="0"/>
            <w:vAlign w:val="center"/>
          </w:tcPr>
          <w:p w14:paraId="19656586">
            <w:pPr>
              <w:rPr>
                <w:rFonts w:hint="eastAsia" w:ascii="宋体" w:hAnsi="宋体"/>
                <w:szCs w:val="21"/>
              </w:rPr>
            </w:pPr>
          </w:p>
        </w:tc>
        <w:tc>
          <w:tcPr>
            <w:tcW w:w="720" w:type="dxa"/>
            <w:noWrap w:val="0"/>
            <w:vAlign w:val="center"/>
          </w:tcPr>
          <w:p w14:paraId="0F1A65C8">
            <w:pPr>
              <w:jc w:val="center"/>
              <w:rPr>
                <w:rFonts w:hint="eastAsia" w:ascii="宋体" w:hAnsi="宋体"/>
                <w:szCs w:val="21"/>
              </w:rPr>
            </w:pPr>
          </w:p>
        </w:tc>
      </w:tr>
      <w:tr w14:paraId="4EE6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AA0757B">
            <w:pPr>
              <w:jc w:val="center"/>
              <w:rPr>
                <w:rFonts w:hint="eastAsia" w:ascii="宋体" w:hAnsi="宋体"/>
                <w:szCs w:val="21"/>
              </w:rPr>
            </w:pPr>
            <w:r>
              <w:rPr>
                <w:rFonts w:hint="eastAsia" w:ascii="宋体" w:hAnsi="宋体"/>
                <w:szCs w:val="21"/>
              </w:rPr>
              <w:t>13</w:t>
            </w:r>
          </w:p>
        </w:tc>
        <w:tc>
          <w:tcPr>
            <w:tcW w:w="2700" w:type="dxa"/>
            <w:noWrap w:val="0"/>
            <w:vAlign w:val="center"/>
          </w:tcPr>
          <w:p w14:paraId="1699C295">
            <w:pPr>
              <w:rPr>
                <w:rFonts w:hint="eastAsia" w:ascii="宋体" w:hAnsi="宋体"/>
                <w:szCs w:val="21"/>
              </w:rPr>
            </w:pPr>
            <w:r>
              <w:rPr>
                <w:rFonts w:hint="eastAsia" w:ascii="宋体" w:hAnsi="宋体"/>
                <w:szCs w:val="21"/>
              </w:rPr>
              <w:t>质量保证金额度</w:t>
            </w:r>
          </w:p>
        </w:tc>
        <w:tc>
          <w:tcPr>
            <w:tcW w:w="1440" w:type="dxa"/>
            <w:noWrap w:val="0"/>
            <w:tcMar>
              <w:left w:w="170" w:type="dxa"/>
            </w:tcMar>
            <w:vAlign w:val="center"/>
          </w:tcPr>
          <w:p w14:paraId="3357A924">
            <w:pPr>
              <w:rPr>
                <w:rFonts w:hint="eastAsia" w:ascii="宋体" w:hAnsi="宋体"/>
                <w:szCs w:val="21"/>
              </w:rPr>
            </w:pPr>
            <w:r>
              <w:rPr>
                <w:rFonts w:hint="eastAsia" w:ascii="宋体" w:hAnsi="宋体"/>
                <w:szCs w:val="21"/>
              </w:rPr>
              <w:t>17.4.1</w:t>
            </w:r>
          </w:p>
        </w:tc>
        <w:tc>
          <w:tcPr>
            <w:tcW w:w="3780" w:type="dxa"/>
            <w:noWrap w:val="0"/>
            <w:vAlign w:val="center"/>
          </w:tcPr>
          <w:p w14:paraId="50619D2B">
            <w:pPr>
              <w:rPr>
                <w:rFonts w:hint="eastAsia" w:ascii="宋体" w:hAnsi="宋体"/>
                <w:szCs w:val="21"/>
              </w:rPr>
            </w:pPr>
          </w:p>
        </w:tc>
        <w:tc>
          <w:tcPr>
            <w:tcW w:w="720" w:type="dxa"/>
            <w:noWrap w:val="0"/>
            <w:vAlign w:val="center"/>
          </w:tcPr>
          <w:p w14:paraId="314EA093">
            <w:pPr>
              <w:jc w:val="center"/>
              <w:rPr>
                <w:rFonts w:hint="eastAsia" w:ascii="宋体" w:hAnsi="宋体"/>
                <w:szCs w:val="21"/>
              </w:rPr>
            </w:pPr>
          </w:p>
        </w:tc>
      </w:tr>
      <w:tr w14:paraId="4D90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1CEF863B">
            <w:pPr>
              <w:autoSpaceDE w:val="0"/>
              <w:autoSpaceDN w:val="0"/>
              <w:adjustRightInd w:val="0"/>
              <w:spacing w:before="72" w:beforeLines="30"/>
              <w:jc w:val="center"/>
              <w:rPr>
                <w:rFonts w:hint="eastAsia" w:ascii="宋体" w:hAnsi="宋体" w:cs="Arial"/>
                <w:kern w:val="0"/>
                <w:szCs w:val="21"/>
              </w:rPr>
            </w:pPr>
            <w:r>
              <w:rPr>
                <w:rFonts w:hint="eastAsia" w:ascii="宋体" w:hAnsi="宋体" w:cs="Arial"/>
                <w:kern w:val="0"/>
                <w:szCs w:val="21"/>
              </w:rPr>
              <w:t>14</w:t>
            </w:r>
          </w:p>
        </w:tc>
        <w:tc>
          <w:tcPr>
            <w:tcW w:w="2700" w:type="dxa"/>
            <w:noWrap w:val="0"/>
            <w:vAlign w:val="center"/>
          </w:tcPr>
          <w:p w14:paraId="0C2C3C42">
            <w:pPr>
              <w:autoSpaceDE w:val="0"/>
              <w:autoSpaceDN w:val="0"/>
              <w:adjustRightInd w:val="0"/>
              <w:spacing w:before="72" w:beforeLines="30"/>
              <w:rPr>
                <w:rFonts w:hint="eastAsia" w:ascii="宋体" w:hAnsi="宋体" w:cs="Arial"/>
                <w:kern w:val="0"/>
                <w:szCs w:val="21"/>
              </w:rPr>
            </w:pPr>
            <w:r>
              <w:rPr>
                <w:rFonts w:hint="eastAsia" w:ascii="宋体" w:hAnsi="宋体" w:cs="Arial"/>
                <w:kern w:val="0"/>
                <w:szCs w:val="21"/>
              </w:rPr>
              <w:t>技术标准和要求</w:t>
            </w:r>
          </w:p>
        </w:tc>
        <w:tc>
          <w:tcPr>
            <w:tcW w:w="1440" w:type="dxa"/>
            <w:noWrap w:val="0"/>
            <w:tcMar>
              <w:left w:w="170" w:type="dxa"/>
            </w:tcMar>
            <w:vAlign w:val="center"/>
          </w:tcPr>
          <w:p w14:paraId="3B80E530">
            <w:pPr>
              <w:autoSpaceDE w:val="0"/>
              <w:autoSpaceDN w:val="0"/>
              <w:adjustRightInd w:val="0"/>
              <w:spacing w:before="72" w:beforeLines="30"/>
              <w:rPr>
                <w:rFonts w:hint="eastAsia" w:ascii="宋体" w:hAnsi="宋体" w:cs="Arial"/>
                <w:bCs/>
                <w:kern w:val="0"/>
                <w:szCs w:val="21"/>
              </w:rPr>
            </w:pPr>
          </w:p>
        </w:tc>
        <w:tc>
          <w:tcPr>
            <w:tcW w:w="3780" w:type="dxa"/>
            <w:noWrap w:val="0"/>
            <w:vAlign w:val="center"/>
          </w:tcPr>
          <w:p w14:paraId="6FE706C0">
            <w:pPr>
              <w:autoSpaceDE w:val="0"/>
              <w:autoSpaceDN w:val="0"/>
              <w:adjustRightInd w:val="0"/>
              <w:spacing w:before="72" w:beforeLines="30"/>
              <w:rPr>
                <w:rFonts w:ascii="宋体" w:hAnsi="宋体" w:cs="Arial"/>
                <w:kern w:val="0"/>
                <w:szCs w:val="21"/>
              </w:rPr>
            </w:pPr>
            <w:r>
              <w:rPr>
                <w:rFonts w:hint="eastAsia" w:ascii="宋体" w:hAnsi="宋体"/>
                <w:szCs w:val="21"/>
              </w:rPr>
              <w:t>符合第七章“技术标准和要求”规定</w:t>
            </w:r>
          </w:p>
        </w:tc>
        <w:tc>
          <w:tcPr>
            <w:tcW w:w="720" w:type="dxa"/>
            <w:noWrap w:val="0"/>
            <w:vAlign w:val="center"/>
          </w:tcPr>
          <w:p w14:paraId="48302AB7">
            <w:pPr>
              <w:jc w:val="center"/>
              <w:rPr>
                <w:rFonts w:hint="eastAsia" w:ascii="宋体" w:hAnsi="宋体"/>
                <w:szCs w:val="21"/>
              </w:rPr>
            </w:pPr>
          </w:p>
        </w:tc>
      </w:tr>
      <w:tr w14:paraId="6B356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360" w:type="dxa"/>
            <w:gridSpan w:val="5"/>
            <w:noWrap w:val="0"/>
            <w:vAlign w:val="center"/>
          </w:tcPr>
          <w:p w14:paraId="13B1CB5C">
            <w:pPr>
              <w:rPr>
                <w:rFonts w:hint="eastAsia" w:ascii="宋体" w:hAnsi="宋体"/>
                <w:szCs w:val="21"/>
              </w:rPr>
            </w:pPr>
            <w:r>
              <w:rPr>
                <w:rFonts w:hint="eastAsia" w:ascii="黑体" w:hAnsi="宋体" w:eastAsia="黑体"/>
                <w:szCs w:val="21"/>
              </w:rPr>
              <w:t>备注：</w:t>
            </w:r>
            <w:r>
              <w:rPr>
                <w:rFonts w:hint="eastAsia" w:ascii="宋体" w:hAnsi="宋体"/>
                <w:szCs w:val="21"/>
              </w:rPr>
              <w:t>投标人在响应招标文件中规定的实质性要求和条件的基础上，可做出其他有利于招标人的承诺。此类承诺可在本表中予以补充填写。</w:t>
            </w:r>
          </w:p>
        </w:tc>
      </w:tr>
    </w:tbl>
    <w:p w14:paraId="6CD2DBD9">
      <w:pPr>
        <w:spacing w:line="440" w:lineRule="exact"/>
        <w:ind w:firstLine="3675" w:firstLineChars="1750"/>
        <w:rPr>
          <w:rFonts w:hint="eastAsia"/>
          <w:szCs w:val="21"/>
        </w:rPr>
      </w:pPr>
    </w:p>
    <w:p w14:paraId="6E89F57E">
      <w:pPr>
        <w:spacing w:line="440" w:lineRule="exact"/>
        <w:ind w:firstLine="3675" w:firstLineChars="1750"/>
        <w:rPr>
          <w:szCs w:val="21"/>
        </w:rPr>
      </w:pPr>
      <w:r>
        <w:rPr>
          <w:szCs w:val="21"/>
        </w:rPr>
        <w:t>投 标 人：</w:t>
      </w:r>
      <w:r>
        <w:rPr>
          <w:szCs w:val="21"/>
          <w:u w:val="single"/>
        </w:rPr>
        <w:t xml:space="preserve">                      </w:t>
      </w:r>
      <w:r>
        <w:rPr>
          <w:szCs w:val="21"/>
        </w:rPr>
        <w:t>（盖单位章）</w:t>
      </w:r>
    </w:p>
    <w:p w14:paraId="17F2A44D">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77F92F14">
      <w:pPr>
        <w:spacing w:line="440" w:lineRule="exact"/>
        <w:ind w:firstLine="5040" w:firstLineChars="2400"/>
        <w:rPr>
          <w:rFonts w:hint="eastAsia"/>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2E75993A">
      <w:pPr>
        <w:spacing w:after="120" w:afterLines="50" w:line="480" w:lineRule="exact"/>
        <w:jc w:val="left"/>
        <w:rPr>
          <w:rFonts w:hint="eastAsia"/>
        </w:rPr>
      </w:pPr>
    </w:p>
    <w:p w14:paraId="4CA065AC">
      <w:pPr>
        <w:spacing w:after="120" w:afterLines="50" w:line="480" w:lineRule="exact"/>
        <w:jc w:val="left"/>
        <w:rPr>
          <w:rFonts w:hint="eastAsia"/>
        </w:rPr>
      </w:pPr>
      <w:r>
        <w:rPr>
          <w:rFonts w:hint="eastAsia"/>
        </w:rPr>
        <w:t>备注：本附录适用于2010年版《房屋建筑和市政工程标准施工招标文件》中的合同条款。</w:t>
      </w:r>
    </w:p>
    <w:p w14:paraId="572B2335">
      <w:pPr>
        <w:pStyle w:val="20"/>
        <w:jc w:val="center"/>
        <w:rPr>
          <w:rFonts w:hint="eastAsia"/>
          <w:sz w:val="28"/>
          <w:szCs w:val="28"/>
        </w:rPr>
      </w:pPr>
      <w:bookmarkStart w:id="2640" w:name="_Toc108514226"/>
      <w:r>
        <w:rPr>
          <w:rFonts w:hint="eastAsia"/>
          <w:sz w:val="28"/>
          <w:szCs w:val="28"/>
        </w:rPr>
        <w:t>（二）投标函附录</w:t>
      </w:r>
      <w:bookmarkEnd w:id="2640"/>
    </w:p>
    <w:p w14:paraId="29A79805">
      <w:pPr>
        <w:rPr>
          <w:rFonts w:hint="eastAsia" w:ascii="宋体" w:hAnsi="宋体"/>
          <w:b/>
          <w:szCs w:val="21"/>
        </w:rPr>
      </w:pPr>
    </w:p>
    <w:p w14:paraId="0E1FCC89">
      <w:pPr>
        <w:rPr>
          <w:rFonts w:hint="eastAsia" w:ascii="宋体" w:hAnsi="宋体"/>
          <w:szCs w:val="21"/>
        </w:rPr>
      </w:pPr>
      <w:r>
        <w:rPr>
          <w:rFonts w:hint="eastAsia" w:ascii="宋体" w:hAnsi="宋体"/>
          <w:b/>
          <w:szCs w:val="21"/>
        </w:rPr>
        <w:t>工程名称：</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p>
    <w:p w14:paraId="4D66A9EC">
      <w:pPr>
        <w:rPr>
          <w:rFonts w:hint="eastAsia" w:ascii="宋体" w:hAnsi="宋体"/>
          <w:szCs w:val="21"/>
        </w:rPr>
      </w:pPr>
    </w:p>
    <w:tbl>
      <w:tblPr>
        <w:tblStyle w:val="1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399"/>
        <w:gridCol w:w="1314"/>
        <w:gridCol w:w="4207"/>
        <w:gridCol w:w="720"/>
      </w:tblGrid>
      <w:tr w14:paraId="5DF60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2AA1F73">
            <w:pPr>
              <w:jc w:val="center"/>
              <w:rPr>
                <w:rFonts w:hint="eastAsia" w:ascii="宋体" w:hAnsi="宋体"/>
                <w:szCs w:val="21"/>
              </w:rPr>
            </w:pPr>
            <w:r>
              <w:rPr>
                <w:rFonts w:hint="eastAsia" w:ascii="宋体" w:hAnsi="宋体"/>
                <w:szCs w:val="21"/>
              </w:rPr>
              <w:t>序号</w:t>
            </w:r>
          </w:p>
        </w:tc>
        <w:tc>
          <w:tcPr>
            <w:tcW w:w="2399" w:type="dxa"/>
            <w:noWrap w:val="0"/>
            <w:vAlign w:val="center"/>
          </w:tcPr>
          <w:p w14:paraId="56A576D2">
            <w:pPr>
              <w:jc w:val="center"/>
              <w:rPr>
                <w:rFonts w:hint="eastAsia" w:ascii="宋体" w:hAnsi="宋体"/>
                <w:szCs w:val="21"/>
              </w:rPr>
            </w:pPr>
            <w:r>
              <w:rPr>
                <w:rFonts w:hint="eastAsia" w:ascii="宋体" w:hAnsi="宋体"/>
                <w:szCs w:val="21"/>
              </w:rPr>
              <w:t>条款内容</w:t>
            </w:r>
          </w:p>
        </w:tc>
        <w:tc>
          <w:tcPr>
            <w:tcW w:w="1314" w:type="dxa"/>
            <w:noWrap w:val="0"/>
            <w:vAlign w:val="center"/>
          </w:tcPr>
          <w:p w14:paraId="2A2F8F1C">
            <w:pPr>
              <w:jc w:val="center"/>
              <w:rPr>
                <w:rFonts w:hint="eastAsia" w:ascii="宋体" w:hAnsi="宋体"/>
                <w:szCs w:val="21"/>
              </w:rPr>
            </w:pPr>
            <w:r>
              <w:rPr>
                <w:rFonts w:hint="eastAsia" w:ascii="宋体" w:hAnsi="宋体"/>
                <w:szCs w:val="21"/>
              </w:rPr>
              <w:t>合同条款号</w:t>
            </w:r>
          </w:p>
        </w:tc>
        <w:tc>
          <w:tcPr>
            <w:tcW w:w="4207" w:type="dxa"/>
            <w:noWrap w:val="0"/>
            <w:vAlign w:val="center"/>
          </w:tcPr>
          <w:p w14:paraId="4D83BEDB">
            <w:pPr>
              <w:jc w:val="center"/>
              <w:rPr>
                <w:rFonts w:hint="eastAsia" w:ascii="宋体" w:hAnsi="宋体"/>
                <w:szCs w:val="21"/>
              </w:rPr>
            </w:pPr>
            <w:r>
              <w:rPr>
                <w:rFonts w:hint="eastAsia" w:ascii="宋体" w:hAnsi="宋体"/>
                <w:szCs w:val="21"/>
              </w:rPr>
              <w:t>约定内容</w:t>
            </w:r>
          </w:p>
        </w:tc>
        <w:tc>
          <w:tcPr>
            <w:tcW w:w="720" w:type="dxa"/>
            <w:noWrap w:val="0"/>
            <w:vAlign w:val="center"/>
          </w:tcPr>
          <w:p w14:paraId="0F3986B2">
            <w:pPr>
              <w:jc w:val="center"/>
              <w:rPr>
                <w:rFonts w:hint="eastAsia" w:ascii="宋体" w:hAnsi="宋体"/>
                <w:szCs w:val="21"/>
              </w:rPr>
            </w:pPr>
            <w:r>
              <w:rPr>
                <w:rFonts w:hint="eastAsia" w:ascii="宋体" w:hAnsi="宋体"/>
                <w:szCs w:val="21"/>
              </w:rPr>
              <w:t>备注</w:t>
            </w:r>
          </w:p>
        </w:tc>
      </w:tr>
      <w:tr w14:paraId="380C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20" w:type="dxa"/>
            <w:noWrap w:val="0"/>
            <w:vAlign w:val="center"/>
          </w:tcPr>
          <w:p w14:paraId="4EF162E2">
            <w:pPr>
              <w:jc w:val="center"/>
              <w:rPr>
                <w:rFonts w:hint="eastAsia" w:ascii="黑体" w:hAnsi="宋体" w:eastAsia="黑体"/>
                <w:szCs w:val="21"/>
              </w:rPr>
            </w:pPr>
            <w:r>
              <w:rPr>
                <w:rFonts w:hint="eastAsia" w:ascii="黑体" w:hAnsi="宋体" w:eastAsia="黑体"/>
                <w:szCs w:val="21"/>
              </w:rPr>
              <w:t>1</w:t>
            </w:r>
          </w:p>
        </w:tc>
        <w:tc>
          <w:tcPr>
            <w:tcW w:w="2399" w:type="dxa"/>
            <w:noWrap w:val="0"/>
            <w:vAlign w:val="center"/>
          </w:tcPr>
          <w:p w14:paraId="6693BE70">
            <w:pPr>
              <w:rPr>
                <w:rFonts w:hint="eastAsia" w:ascii="宋体" w:hAnsi="宋体"/>
                <w:szCs w:val="21"/>
              </w:rPr>
            </w:pPr>
            <w:r>
              <w:rPr>
                <w:rFonts w:ascii="宋体" w:hAnsi="宋体"/>
                <w:szCs w:val="21"/>
              </w:rPr>
              <w:t>项目经理</w:t>
            </w:r>
          </w:p>
        </w:tc>
        <w:tc>
          <w:tcPr>
            <w:tcW w:w="1314" w:type="dxa"/>
            <w:noWrap w:val="0"/>
            <w:vAlign w:val="center"/>
          </w:tcPr>
          <w:p w14:paraId="635A6664">
            <w:pPr>
              <w:autoSpaceDE w:val="0"/>
              <w:autoSpaceDN w:val="0"/>
              <w:adjustRightInd w:val="0"/>
              <w:spacing w:before="50"/>
              <w:rPr>
                <w:rFonts w:hint="eastAsia" w:ascii="宋体" w:hAnsi="宋体"/>
                <w:szCs w:val="21"/>
              </w:rPr>
            </w:pPr>
            <w:r>
              <w:rPr>
                <w:rFonts w:ascii="宋体" w:hAnsi="宋体"/>
                <w:szCs w:val="21"/>
              </w:rPr>
              <w:t>1.1.2.</w:t>
            </w:r>
            <w:r>
              <w:rPr>
                <w:rFonts w:hint="eastAsia" w:ascii="宋体" w:hAnsi="宋体"/>
                <w:szCs w:val="21"/>
              </w:rPr>
              <w:t>8</w:t>
            </w:r>
          </w:p>
        </w:tc>
        <w:tc>
          <w:tcPr>
            <w:tcW w:w="4207" w:type="dxa"/>
            <w:noWrap w:val="0"/>
            <w:vAlign w:val="center"/>
          </w:tcPr>
          <w:p w14:paraId="04A17B5A">
            <w:pPr>
              <w:rPr>
                <w:rFonts w:hint="eastAsia" w:ascii="宋体" w:hAnsi="宋体"/>
                <w:szCs w:val="21"/>
              </w:rPr>
            </w:pPr>
            <w:r>
              <w:rPr>
                <w:rFonts w:hint="eastAsia" w:ascii="宋体" w:hAnsi="宋体"/>
                <w:szCs w:val="21"/>
              </w:rPr>
              <w:t>（见投标函）</w:t>
            </w:r>
          </w:p>
        </w:tc>
        <w:tc>
          <w:tcPr>
            <w:tcW w:w="720" w:type="dxa"/>
            <w:noWrap w:val="0"/>
            <w:vAlign w:val="center"/>
          </w:tcPr>
          <w:p w14:paraId="755A1735">
            <w:pPr>
              <w:jc w:val="center"/>
              <w:rPr>
                <w:rFonts w:hint="eastAsia" w:ascii="宋体" w:hAnsi="宋体"/>
                <w:szCs w:val="21"/>
              </w:rPr>
            </w:pPr>
          </w:p>
        </w:tc>
      </w:tr>
      <w:tr w14:paraId="4C3D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noWrap w:val="0"/>
            <w:vAlign w:val="center"/>
          </w:tcPr>
          <w:p w14:paraId="72DF1EE8">
            <w:pPr>
              <w:jc w:val="center"/>
              <w:rPr>
                <w:rFonts w:hint="eastAsia" w:ascii="黑体" w:hAnsi="宋体" w:eastAsia="黑体"/>
                <w:szCs w:val="21"/>
              </w:rPr>
            </w:pPr>
            <w:r>
              <w:rPr>
                <w:rFonts w:hint="eastAsia" w:ascii="黑体" w:hAnsi="宋体" w:eastAsia="黑体"/>
                <w:szCs w:val="21"/>
              </w:rPr>
              <w:t>2</w:t>
            </w:r>
          </w:p>
        </w:tc>
        <w:tc>
          <w:tcPr>
            <w:tcW w:w="2399" w:type="dxa"/>
            <w:noWrap w:val="0"/>
            <w:vAlign w:val="center"/>
          </w:tcPr>
          <w:p w14:paraId="5A8D495B">
            <w:pPr>
              <w:rPr>
                <w:rFonts w:hint="eastAsia" w:ascii="宋体" w:hAnsi="宋体"/>
                <w:szCs w:val="21"/>
              </w:rPr>
            </w:pPr>
            <w:r>
              <w:rPr>
                <w:rFonts w:hint="eastAsia" w:ascii="宋体" w:hAnsi="宋体" w:cs="Arial"/>
                <w:kern w:val="0"/>
                <w:szCs w:val="21"/>
              </w:rPr>
              <w:t>工期</w:t>
            </w:r>
          </w:p>
        </w:tc>
        <w:tc>
          <w:tcPr>
            <w:tcW w:w="1314" w:type="dxa"/>
            <w:noWrap w:val="0"/>
            <w:vAlign w:val="center"/>
          </w:tcPr>
          <w:p w14:paraId="41F009AB">
            <w:pPr>
              <w:autoSpaceDE w:val="0"/>
              <w:autoSpaceDN w:val="0"/>
              <w:adjustRightInd w:val="0"/>
              <w:spacing w:before="50"/>
              <w:rPr>
                <w:rFonts w:hint="eastAsia" w:ascii="宋体" w:hAnsi="宋体"/>
                <w:szCs w:val="21"/>
              </w:rPr>
            </w:pPr>
            <w:r>
              <w:rPr>
                <w:rFonts w:hint="eastAsia" w:ascii="宋体" w:hAnsi="宋体"/>
                <w:szCs w:val="21"/>
              </w:rPr>
              <w:t>1.1.4.3</w:t>
            </w:r>
          </w:p>
        </w:tc>
        <w:tc>
          <w:tcPr>
            <w:tcW w:w="4207" w:type="dxa"/>
            <w:noWrap w:val="0"/>
            <w:vAlign w:val="center"/>
          </w:tcPr>
          <w:p w14:paraId="7157D5CE">
            <w:pPr>
              <w:rPr>
                <w:rFonts w:hint="eastAsia" w:ascii="宋体" w:hAnsi="宋体"/>
                <w:szCs w:val="21"/>
              </w:rPr>
            </w:pPr>
            <w:r>
              <w:rPr>
                <w:rFonts w:hint="eastAsia" w:ascii="宋体" w:hAnsi="宋体"/>
                <w:szCs w:val="21"/>
              </w:rPr>
              <w:t>（见投标函）</w:t>
            </w:r>
          </w:p>
        </w:tc>
        <w:tc>
          <w:tcPr>
            <w:tcW w:w="720" w:type="dxa"/>
            <w:noWrap w:val="0"/>
            <w:vAlign w:val="center"/>
          </w:tcPr>
          <w:p w14:paraId="1CB0AA6D">
            <w:pPr>
              <w:jc w:val="center"/>
              <w:rPr>
                <w:rFonts w:hint="eastAsia" w:ascii="宋体" w:hAnsi="宋体"/>
                <w:szCs w:val="21"/>
              </w:rPr>
            </w:pPr>
          </w:p>
        </w:tc>
      </w:tr>
      <w:tr w14:paraId="03D4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4ABB1A0A">
            <w:pPr>
              <w:jc w:val="center"/>
              <w:rPr>
                <w:rFonts w:hint="eastAsia" w:ascii="黑体" w:hAnsi="宋体" w:eastAsia="黑体"/>
                <w:szCs w:val="21"/>
              </w:rPr>
            </w:pPr>
            <w:r>
              <w:rPr>
                <w:rFonts w:hint="eastAsia" w:ascii="黑体" w:hAnsi="宋体" w:eastAsia="黑体"/>
                <w:szCs w:val="21"/>
              </w:rPr>
              <w:t>3</w:t>
            </w:r>
          </w:p>
        </w:tc>
        <w:tc>
          <w:tcPr>
            <w:tcW w:w="2399" w:type="dxa"/>
            <w:noWrap w:val="0"/>
            <w:vAlign w:val="center"/>
          </w:tcPr>
          <w:p w14:paraId="18BD7116">
            <w:pPr>
              <w:rPr>
                <w:rFonts w:hint="eastAsia" w:ascii="宋体" w:hAnsi="宋体"/>
                <w:szCs w:val="21"/>
              </w:rPr>
            </w:pPr>
            <w:r>
              <w:rPr>
                <w:rFonts w:hint="eastAsia" w:ascii="宋体" w:hAnsi="宋体"/>
                <w:szCs w:val="21"/>
              </w:rPr>
              <w:t>缺陷责任期</w:t>
            </w:r>
          </w:p>
        </w:tc>
        <w:tc>
          <w:tcPr>
            <w:tcW w:w="1314" w:type="dxa"/>
            <w:noWrap w:val="0"/>
            <w:tcMar>
              <w:left w:w="170" w:type="dxa"/>
            </w:tcMar>
            <w:vAlign w:val="center"/>
          </w:tcPr>
          <w:p w14:paraId="378E2D96">
            <w:pPr>
              <w:autoSpaceDE w:val="0"/>
              <w:autoSpaceDN w:val="0"/>
              <w:adjustRightInd w:val="0"/>
              <w:spacing w:before="50"/>
              <w:rPr>
                <w:rFonts w:hint="eastAsia" w:ascii="宋体" w:hAnsi="宋体"/>
                <w:szCs w:val="21"/>
              </w:rPr>
            </w:pPr>
            <w:r>
              <w:rPr>
                <w:rFonts w:hint="eastAsia" w:ascii="宋体" w:hAnsi="宋体"/>
                <w:szCs w:val="21"/>
              </w:rPr>
              <w:t>1.1.4.4</w:t>
            </w:r>
          </w:p>
        </w:tc>
        <w:tc>
          <w:tcPr>
            <w:tcW w:w="4207" w:type="dxa"/>
            <w:noWrap w:val="0"/>
            <w:vAlign w:val="center"/>
          </w:tcPr>
          <w:p w14:paraId="4ABDACBC">
            <w:pPr>
              <w:rPr>
                <w:rFonts w:hint="eastAsia" w:ascii="宋体" w:hAnsi="宋体"/>
                <w:szCs w:val="21"/>
              </w:rPr>
            </w:pPr>
          </w:p>
        </w:tc>
        <w:tc>
          <w:tcPr>
            <w:tcW w:w="720" w:type="dxa"/>
            <w:noWrap w:val="0"/>
            <w:vAlign w:val="center"/>
          </w:tcPr>
          <w:p w14:paraId="6D2EF41F">
            <w:pPr>
              <w:jc w:val="center"/>
              <w:rPr>
                <w:rFonts w:hint="eastAsia" w:ascii="宋体" w:hAnsi="宋体"/>
                <w:szCs w:val="21"/>
              </w:rPr>
            </w:pPr>
          </w:p>
        </w:tc>
      </w:tr>
      <w:tr w14:paraId="6E01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5883E49F">
            <w:pPr>
              <w:jc w:val="center"/>
              <w:rPr>
                <w:rFonts w:hint="eastAsia" w:ascii="黑体" w:hAnsi="宋体" w:eastAsia="黑体"/>
                <w:szCs w:val="21"/>
              </w:rPr>
            </w:pPr>
            <w:r>
              <w:rPr>
                <w:rFonts w:hint="eastAsia" w:ascii="黑体" w:hAnsi="宋体" w:eastAsia="黑体"/>
                <w:szCs w:val="21"/>
              </w:rPr>
              <w:t>4</w:t>
            </w:r>
          </w:p>
        </w:tc>
        <w:tc>
          <w:tcPr>
            <w:tcW w:w="2399" w:type="dxa"/>
            <w:noWrap w:val="0"/>
            <w:vAlign w:val="center"/>
          </w:tcPr>
          <w:p w14:paraId="1E2399C1">
            <w:pPr>
              <w:rPr>
                <w:rFonts w:hint="eastAsia" w:ascii="宋体" w:hAnsi="宋体"/>
                <w:szCs w:val="21"/>
              </w:rPr>
            </w:pPr>
            <w:r>
              <w:t>项目经理每月在施工现场的时间</w:t>
            </w:r>
          </w:p>
        </w:tc>
        <w:tc>
          <w:tcPr>
            <w:tcW w:w="1314" w:type="dxa"/>
            <w:noWrap w:val="0"/>
            <w:tcMar>
              <w:left w:w="170" w:type="dxa"/>
            </w:tcMar>
            <w:vAlign w:val="center"/>
          </w:tcPr>
          <w:p w14:paraId="3A26D5E5">
            <w:pPr>
              <w:autoSpaceDE w:val="0"/>
              <w:autoSpaceDN w:val="0"/>
              <w:adjustRightInd w:val="0"/>
              <w:spacing w:before="50"/>
              <w:rPr>
                <w:rFonts w:hint="eastAsia" w:ascii="宋体" w:hAnsi="宋体"/>
                <w:szCs w:val="21"/>
              </w:rPr>
            </w:pPr>
            <w:r>
              <w:rPr>
                <w:rFonts w:ascii="宋体" w:hAnsi="宋体"/>
                <w:szCs w:val="21"/>
              </w:rPr>
              <w:t>3.2.1</w:t>
            </w:r>
          </w:p>
        </w:tc>
        <w:tc>
          <w:tcPr>
            <w:tcW w:w="4207" w:type="dxa"/>
            <w:noWrap w:val="0"/>
            <w:vAlign w:val="center"/>
          </w:tcPr>
          <w:p w14:paraId="01887ACA">
            <w:pPr>
              <w:rPr>
                <w:rFonts w:hint="eastAsia" w:ascii="宋体" w:hAnsi="宋体"/>
                <w:szCs w:val="21"/>
              </w:rPr>
            </w:pPr>
          </w:p>
        </w:tc>
        <w:tc>
          <w:tcPr>
            <w:tcW w:w="720" w:type="dxa"/>
            <w:noWrap w:val="0"/>
            <w:vAlign w:val="center"/>
          </w:tcPr>
          <w:p w14:paraId="0043C585">
            <w:pPr>
              <w:jc w:val="center"/>
              <w:rPr>
                <w:rFonts w:hint="eastAsia" w:ascii="宋体" w:hAnsi="宋体"/>
                <w:szCs w:val="21"/>
              </w:rPr>
            </w:pPr>
          </w:p>
        </w:tc>
      </w:tr>
      <w:tr w14:paraId="1320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0F084709">
            <w:pPr>
              <w:jc w:val="center"/>
              <w:rPr>
                <w:rFonts w:hint="eastAsia" w:ascii="黑体" w:hAnsi="宋体" w:eastAsia="黑体"/>
                <w:szCs w:val="21"/>
              </w:rPr>
            </w:pPr>
            <w:r>
              <w:rPr>
                <w:rFonts w:hint="eastAsia" w:ascii="黑体" w:hAnsi="宋体" w:eastAsia="黑体"/>
                <w:szCs w:val="21"/>
              </w:rPr>
              <w:t>5</w:t>
            </w:r>
          </w:p>
        </w:tc>
        <w:tc>
          <w:tcPr>
            <w:tcW w:w="2399" w:type="dxa"/>
            <w:noWrap w:val="0"/>
            <w:vAlign w:val="center"/>
          </w:tcPr>
          <w:p w14:paraId="23EDC7B1">
            <w:r>
              <w:t>项目经理擅自离开施工现场的违约责任</w:t>
            </w:r>
          </w:p>
        </w:tc>
        <w:tc>
          <w:tcPr>
            <w:tcW w:w="1314" w:type="dxa"/>
            <w:noWrap w:val="0"/>
            <w:tcMar>
              <w:left w:w="170" w:type="dxa"/>
            </w:tcMar>
            <w:vAlign w:val="center"/>
          </w:tcPr>
          <w:p w14:paraId="7D52091A">
            <w:pPr>
              <w:autoSpaceDE w:val="0"/>
              <w:autoSpaceDN w:val="0"/>
              <w:adjustRightInd w:val="0"/>
              <w:spacing w:before="50"/>
              <w:rPr>
                <w:rFonts w:ascii="宋体" w:hAnsi="宋体"/>
                <w:szCs w:val="21"/>
              </w:rPr>
            </w:pPr>
            <w:r>
              <w:rPr>
                <w:rFonts w:ascii="宋体" w:hAnsi="宋体"/>
                <w:szCs w:val="21"/>
              </w:rPr>
              <w:t>3.2.1</w:t>
            </w:r>
          </w:p>
        </w:tc>
        <w:tc>
          <w:tcPr>
            <w:tcW w:w="4207" w:type="dxa"/>
            <w:noWrap w:val="0"/>
            <w:vAlign w:val="center"/>
          </w:tcPr>
          <w:p w14:paraId="4CE9E114">
            <w:pPr>
              <w:rPr>
                <w:rFonts w:hint="eastAsia" w:ascii="宋体" w:hAnsi="宋体"/>
                <w:szCs w:val="21"/>
              </w:rPr>
            </w:pPr>
          </w:p>
        </w:tc>
        <w:tc>
          <w:tcPr>
            <w:tcW w:w="720" w:type="dxa"/>
            <w:noWrap w:val="0"/>
            <w:vAlign w:val="center"/>
          </w:tcPr>
          <w:p w14:paraId="032EE749">
            <w:pPr>
              <w:jc w:val="center"/>
              <w:rPr>
                <w:rFonts w:hint="eastAsia" w:ascii="宋体" w:hAnsi="宋体"/>
                <w:szCs w:val="21"/>
              </w:rPr>
            </w:pPr>
          </w:p>
        </w:tc>
      </w:tr>
      <w:tr w14:paraId="0516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017C3EC">
            <w:pPr>
              <w:jc w:val="center"/>
              <w:rPr>
                <w:rFonts w:hint="eastAsia" w:ascii="黑体" w:hAnsi="宋体" w:eastAsia="黑体"/>
                <w:szCs w:val="21"/>
              </w:rPr>
            </w:pPr>
            <w:r>
              <w:rPr>
                <w:rFonts w:hint="eastAsia" w:ascii="黑体" w:hAnsi="宋体" w:eastAsia="黑体"/>
                <w:szCs w:val="21"/>
              </w:rPr>
              <w:t>6</w:t>
            </w:r>
          </w:p>
        </w:tc>
        <w:tc>
          <w:tcPr>
            <w:tcW w:w="2399" w:type="dxa"/>
            <w:noWrap w:val="0"/>
            <w:vAlign w:val="center"/>
          </w:tcPr>
          <w:p w14:paraId="5E5CDF8E">
            <w:r>
              <w:t>擅自更换项目经理的违约责任</w:t>
            </w:r>
          </w:p>
        </w:tc>
        <w:tc>
          <w:tcPr>
            <w:tcW w:w="1314" w:type="dxa"/>
            <w:noWrap w:val="0"/>
            <w:tcMar>
              <w:left w:w="170" w:type="dxa"/>
            </w:tcMar>
            <w:vAlign w:val="center"/>
          </w:tcPr>
          <w:p w14:paraId="0B3EBF6F">
            <w:pPr>
              <w:autoSpaceDE w:val="0"/>
              <w:autoSpaceDN w:val="0"/>
              <w:adjustRightInd w:val="0"/>
              <w:spacing w:before="50"/>
              <w:rPr>
                <w:rFonts w:ascii="宋体" w:hAnsi="宋体"/>
                <w:szCs w:val="21"/>
              </w:rPr>
            </w:pPr>
            <w:r>
              <w:rPr>
                <w:rFonts w:ascii="宋体" w:hAnsi="宋体"/>
                <w:szCs w:val="21"/>
              </w:rPr>
              <w:t>3.2.3</w:t>
            </w:r>
          </w:p>
        </w:tc>
        <w:tc>
          <w:tcPr>
            <w:tcW w:w="4207" w:type="dxa"/>
            <w:noWrap w:val="0"/>
            <w:vAlign w:val="center"/>
          </w:tcPr>
          <w:p w14:paraId="734776D0">
            <w:pPr>
              <w:rPr>
                <w:rFonts w:hint="eastAsia" w:ascii="宋体" w:hAnsi="宋体"/>
                <w:szCs w:val="21"/>
              </w:rPr>
            </w:pPr>
          </w:p>
        </w:tc>
        <w:tc>
          <w:tcPr>
            <w:tcW w:w="720" w:type="dxa"/>
            <w:noWrap w:val="0"/>
            <w:vAlign w:val="center"/>
          </w:tcPr>
          <w:p w14:paraId="19D0623D">
            <w:pPr>
              <w:jc w:val="center"/>
              <w:rPr>
                <w:rFonts w:hint="eastAsia" w:ascii="宋体" w:hAnsi="宋体"/>
                <w:szCs w:val="21"/>
              </w:rPr>
            </w:pPr>
          </w:p>
        </w:tc>
      </w:tr>
      <w:tr w14:paraId="087AA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7733191">
            <w:pPr>
              <w:jc w:val="center"/>
              <w:rPr>
                <w:rFonts w:hint="eastAsia" w:ascii="黑体" w:hAnsi="宋体" w:eastAsia="黑体"/>
                <w:szCs w:val="21"/>
              </w:rPr>
            </w:pPr>
            <w:r>
              <w:rPr>
                <w:rFonts w:hint="eastAsia" w:ascii="黑体" w:hAnsi="宋体" w:eastAsia="黑体"/>
                <w:szCs w:val="21"/>
              </w:rPr>
              <w:t>7</w:t>
            </w:r>
          </w:p>
        </w:tc>
        <w:tc>
          <w:tcPr>
            <w:tcW w:w="2399" w:type="dxa"/>
            <w:noWrap w:val="0"/>
            <w:vAlign w:val="center"/>
          </w:tcPr>
          <w:p w14:paraId="30D6317B">
            <w:r>
              <w:t>无正当理由拒绝更换项目经理的违约责任</w:t>
            </w:r>
          </w:p>
        </w:tc>
        <w:tc>
          <w:tcPr>
            <w:tcW w:w="1314" w:type="dxa"/>
            <w:noWrap w:val="0"/>
            <w:tcMar>
              <w:left w:w="170" w:type="dxa"/>
            </w:tcMar>
            <w:vAlign w:val="center"/>
          </w:tcPr>
          <w:p w14:paraId="44E04E88">
            <w:pPr>
              <w:autoSpaceDE w:val="0"/>
              <w:autoSpaceDN w:val="0"/>
              <w:adjustRightInd w:val="0"/>
              <w:spacing w:before="50"/>
              <w:rPr>
                <w:rFonts w:ascii="宋体" w:hAnsi="宋体"/>
                <w:szCs w:val="21"/>
              </w:rPr>
            </w:pPr>
            <w:r>
              <w:rPr>
                <w:rFonts w:ascii="宋体" w:hAnsi="宋体"/>
                <w:szCs w:val="21"/>
              </w:rPr>
              <w:t>3.2.4</w:t>
            </w:r>
          </w:p>
        </w:tc>
        <w:tc>
          <w:tcPr>
            <w:tcW w:w="4207" w:type="dxa"/>
            <w:noWrap w:val="0"/>
            <w:vAlign w:val="center"/>
          </w:tcPr>
          <w:p w14:paraId="14EFC7C0">
            <w:pPr>
              <w:rPr>
                <w:rFonts w:hint="eastAsia" w:ascii="宋体" w:hAnsi="宋体"/>
                <w:szCs w:val="21"/>
              </w:rPr>
            </w:pPr>
          </w:p>
        </w:tc>
        <w:tc>
          <w:tcPr>
            <w:tcW w:w="720" w:type="dxa"/>
            <w:noWrap w:val="0"/>
            <w:vAlign w:val="center"/>
          </w:tcPr>
          <w:p w14:paraId="4C98C14C">
            <w:pPr>
              <w:jc w:val="center"/>
              <w:rPr>
                <w:rFonts w:hint="eastAsia" w:ascii="宋体" w:hAnsi="宋体"/>
                <w:szCs w:val="21"/>
              </w:rPr>
            </w:pPr>
          </w:p>
        </w:tc>
      </w:tr>
      <w:tr w14:paraId="5897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0" w:type="dxa"/>
            <w:noWrap w:val="0"/>
            <w:vAlign w:val="center"/>
          </w:tcPr>
          <w:p w14:paraId="492F0E6A">
            <w:pPr>
              <w:jc w:val="center"/>
              <w:rPr>
                <w:rFonts w:hint="eastAsia" w:ascii="黑体" w:hAnsi="宋体" w:eastAsia="黑体"/>
                <w:szCs w:val="21"/>
              </w:rPr>
            </w:pPr>
            <w:r>
              <w:rPr>
                <w:rFonts w:hint="eastAsia" w:ascii="黑体" w:hAnsi="宋体" w:eastAsia="黑体"/>
                <w:szCs w:val="21"/>
              </w:rPr>
              <w:t>8</w:t>
            </w:r>
          </w:p>
        </w:tc>
        <w:tc>
          <w:tcPr>
            <w:tcW w:w="2399" w:type="dxa"/>
            <w:noWrap w:val="0"/>
            <w:vAlign w:val="center"/>
          </w:tcPr>
          <w:p w14:paraId="6C70DB28">
            <w:pPr>
              <w:rPr>
                <w:rFonts w:hint="eastAsia" w:ascii="宋体" w:hAnsi="宋体"/>
                <w:szCs w:val="21"/>
              </w:rPr>
            </w:pPr>
            <w:r>
              <w:rPr>
                <w:rFonts w:hint="eastAsia" w:ascii="宋体" w:hAnsi="宋体"/>
                <w:szCs w:val="21"/>
              </w:rPr>
              <w:t>承包人履约担保金额</w:t>
            </w:r>
          </w:p>
        </w:tc>
        <w:tc>
          <w:tcPr>
            <w:tcW w:w="1314" w:type="dxa"/>
            <w:noWrap w:val="0"/>
            <w:tcMar>
              <w:left w:w="170" w:type="dxa"/>
            </w:tcMar>
            <w:vAlign w:val="center"/>
          </w:tcPr>
          <w:p w14:paraId="1C7362A6">
            <w:pPr>
              <w:rPr>
                <w:rFonts w:hint="eastAsia" w:ascii="宋体" w:hAnsi="宋体"/>
                <w:szCs w:val="21"/>
              </w:rPr>
            </w:pPr>
            <w:r>
              <w:rPr>
                <w:rFonts w:hint="eastAsia" w:ascii="宋体" w:hAnsi="宋体"/>
                <w:szCs w:val="21"/>
              </w:rPr>
              <w:t>3.7</w:t>
            </w:r>
          </w:p>
        </w:tc>
        <w:tc>
          <w:tcPr>
            <w:tcW w:w="4207" w:type="dxa"/>
            <w:noWrap w:val="0"/>
            <w:vAlign w:val="center"/>
          </w:tcPr>
          <w:p w14:paraId="733FD492">
            <w:pPr>
              <w:rPr>
                <w:rFonts w:hint="eastAsia" w:ascii="宋体" w:hAnsi="宋体"/>
                <w:szCs w:val="21"/>
              </w:rPr>
            </w:pPr>
          </w:p>
        </w:tc>
        <w:tc>
          <w:tcPr>
            <w:tcW w:w="720" w:type="dxa"/>
            <w:noWrap w:val="0"/>
            <w:vAlign w:val="center"/>
          </w:tcPr>
          <w:p w14:paraId="5753FEA4">
            <w:pPr>
              <w:jc w:val="center"/>
              <w:rPr>
                <w:rFonts w:hint="eastAsia" w:ascii="宋体" w:hAnsi="宋体"/>
                <w:szCs w:val="21"/>
              </w:rPr>
            </w:pPr>
          </w:p>
        </w:tc>
      </w:tr>
      <w:tr w14:paraId="1F30B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20" w:type="dxa"/>
            <w:noWrap w:val="0"/>
            <w:vAlign w:val="center"/>
          </w:tcPr>
          <w:p w14:paraId="0953A97A">
            <w:pPr>
              <w:jc w:val="center"/>
              <w:rPr>
                <w:rFonts w:hint="eastAsia" w:ascii="黑体" w:hAnsi="宋体" w:eastAsia="黑体"/>
                <w:szCs w:val="21"/>
              </w:rPr>
            </w:pPr>
            <w:r>
              <w:rPr>
                <w:rFonts w:hint="eastAsia" w:ascii="黑体" w:hAnsi="宋体" w:eastAsia="黑体"/>
                <w:szCs w:val="21"/>
              </w:rPr>
              <w:t>9</w:t>
            </w:r>
          </w:p>
        </w:tc>
        <w:tc>
          <w:tcPr>
            <w:tcW w:w="2399" w:type="dxa"/>
            <w:noWrap w:val="0"/>
            <w:vAlign w:val="center"/>
          </w:tcPr>
          <w:p w14:paraId="1933E995">
            <w:pPr>
              <w:rPr>
                <w:rFonts w:hint="eastAsia" w:ascii="宋体" w:hAnsi="宋体"/>
                <w:szCs w:val="21"/>
              </w:rPr>
            </w:pPr>
            <w:r>
              <w:rPr>
                <w:rFonts w:hint="eastAsia" w:ascii="宋体" w:hAnsi="宋体"/>
                <w:szCs w:val="21"/>
              </w:rPr>
              <w:t>分包</w:t>
            </w:r>
          </w:p>
        </w:tc>
        <w:tc>
          <w:tcPr>
            <w:tcW w:w="1314" w:type="dxa"/>
            <w:noWrap w:val="0"/>
            <w:tcMar>
              <w:left w:w="170" w:type="dxa"/>
            </w:tcMar>
            <w:vAlign w:val="center"/>
          </w:tcPr>
          <w:p w14:paraId="57D4345B">
            <w:pPr>
              <w:rPr>
                <w:rFonts w:hint="eastAsia" w:ascii="宋体" w:hAnsi="宋体"/>
                <w:szCs w:val="21"/>
              </w:rPr>
            </w:pPr>
            <w:r>
              <w:rPr>
                <w:rFonts w:hint="eastAsia" w:ascii="宋体" w:hAnsi="宋体"/>
                <w:szCs w:val="21"/>
              </w:rPr>
              <w:t>3.5.2</w:t>
            </w:r>
          </w:p>
        </w:tc>
        <w:tc>
          <w:tcPr>
            <w:tcW w:w="4207" w:type="dxa"/>
            <w:noWrap w:val="0"/>
            <w:vAlign w:val="center"/>
          </w:tcPr>
          <w:p w14:paraId="60108207">
            <w:pPr>
              <w:rPr>
                <w:rFonts w:hint="eastAsia" w:ascii="宋体" w:hAnsi="宋体"/>
                <w:szCs w:val="21"/>
              </w:rPr>
            </w:pPr>
            <w:r>
              <w:rPr>
                <w:rFonts w:hint="eastAsia" w:ascii="宋体" w:hAnsi="宋体"/>
                <w:szCs w:val="21"/>
              </w:rPr>
              <w:t>见</w:t>
            </w:r>
            <w:r>
              <w:rPr>
                <w:rFonts w:hint="eastAsia"/>
              </w:rPr>
              <w:t>拟分包计划表</w:t>
            </w:r>
          </w:p>
        </w:tc>
        <w:tc>
          <w:tcPr>
            <w:tcW w:w="720" w:type="dxa"/>
            <w:noWrap w:val="0"/>
            <w:vAlign w:val="center"/>
          </w:tcPr>
          <w:p w14:paraId="00BA8BD0">
            <w:pPr>
              <w:jc w:val="center"/>
              <w:rPr>
                <w:rFonts w:hint="eastAsia" w:ascii="宋体" w:hAnsi="宋体"/>
                <w:szCs w:val="21"/>
              </w:rPr>
            </w:pPr>
          </w:p>
        </w:tc>
      </w:tr>
      <w:tr w14:paraId="093A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0" w:type="dxa"/>
            <w:noWrap w:val="0"/>
            <w:vAlign w:val="center"/>
          </w:tcPr>
          <w:p w14:paraId="54A90CAC">
            <w:pPr>
              <w:jc w:val="center"/>
              <w:rPr>
                <w:rFonts w:hint="eastAsia" w:ascii="黑体" w:hAnsi="宋体" w:eastAsia="黑体"/>
                <w:szCs w:val="21"/>
              </w:rPr>
            </w:pPr>
            <w:r>
              <w:rPr>
                <w:rFonts w:hint="eastAsia" w:ascii="黑体" w:hAnsi="宋体" w:eastAsia="黑体"/>
                <w:szCs w:val="21"/>
              </w:rPr>
              <w:t>10</w:t>
            </w:r>
          </w:p>
        </w:tc>
        <w:tc>
          <w:tcPr>
            <w:tcW w:w="2399" w:type="dxa"/>
            <w:noWrap w:val="0"/>
            <w:vAlign w:val="center"/>
          </w:tcPr>
          <w:p w14:paraId="288DB5F9">
            <w:pPr>
              <w:rPr>
                <w:rFonts w:hint="eastAsia" w:ascii="宋体" w:hAnsi="宋体"/>
                <w:szCs w:val="21"/>
              </w:rPr>
            </w:pPr>
            <w:r>
              <w:rPr>
                <w:rFonts w:hint="eastAsia" w:ascii="宋体" w:hAnsi="宋体"/>
                <w:szCs w:val="21"/>
              </w:rPr>
              <w:t>逾期竣工违约金</w:t>
            </w:r>
          </w:p>
        </w:tc>
        <w:tc>
          <w:tcPr>
            <w:tcW w:w="1314" w:type="dxa"/>
            <w:noWrap w:val="0"/>
            <w:tcMar>
              <w:left w:w="170" w:type="dxa"/>
            </w:tcMar>
            <w:vAlign w:val="center"/>
          </w:tcPr>
          <w:p w14:paraId="2CC1B859">
            <w:pPr>
              <w:rPr>
                <w:rFonts w:hint="eastAsia" w:ascii="宋体" w:hAnsi="宋体"/>
                <w:szCs w:val="21"/>
              </w:rPr>
            </w:pPr>
            <w:r>
              <w:rPr>
                <w:rFonts w:hint="eastAsia" w:ascii="宋体" w:hAnsi="宋体"/>
                <w:szCs w:val="21"/>
              </w:rPr>
              <w:t>7.5.2</w:t>
            </w:r>
          </w:p>
        </w:tc>
        <w:tc>
          <w:tcPr>
            <w:tcW w:w="4207" w:type="dxa"/>
            <w:noWrap w:val="0"/>
            <w:vAlign w:val="center"/>
          </w:tcPr>
          <w:p w14:paraId="6BA3B6B8">
            <w:pPr>
              <w:rPr>
                <w:rFonts w:hint="eastAsia" w:ascii="宋体" w:hAnsi="宋体"/>
                <w:szCs w:val="21"/>
              </w:rPr>
            </w:pPr>
            <w:r>
              <w:rPr>
                <w:rFonts w:hint="eastAsia" w:ascii="宋体" w:hAnsi="宋体"/>
                <w:szCs w:val="21"/>
                <w:u w:val="single"/>
              </w:rPr>
              <w:t xml:space="preserve">           </w:t>
            </w:r>
            <w:r>
              <w:rPr>
                <w:rFonts w:hint="eastAsia" w:ascii="宋体" w:hAnsi="宋体"/>
                <w:szCs w:val="21"/>
              </w:rPr>
              <w:t>元/天</w:t>
            </w:r>
          </w:p>
        </w:tc>
        <w:tc>
          <w:tcPr>
            <w:tcW w:w="720" w:type="dxa"/>
            <w:noWrap w:val="0"/>
            <w:vAlign w:val="center"/>
          </w:tcPr>
          <w:p w14:paraId="49A9434B">
            <w:pPr>
              <w:jc w:val="center"/>
              <w:rPr>
                <w:rFonts w:hint="eastAsia" w:ascii="宋体" w:hAnsi="宋体"/>
                <w:szCs w:val="21"/>
              </w:rPr>
            </w:pPr>
          </w:p>
        </w:tc>
      </w:tr>
      <w:tr w14:paraId="3173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20" w:type="dxa"/>
            <w:noWrap w:val="0"/>
            <w:vAlign w:val="center"/>
          </w:tcPr>
          <w:p w14:paraId="612BD03F">
            <w:pPr>
              <w:jc w:val="center"/>
              <w:rPr>
                <w:rFonts w:hint="eastAsia" w:ascii="黑体" w:hAnsi="宋体" w:eastAsia="黑体"/>
                <w:szCs w:val="21"/>
              </w:rPr>
            </w:pPr>
            <w:r>
              <w:rPr>
                <w:rFonts w:hint="eastAsia" w:ascii="黑体" w:hAnsi="宋体" w:eastAsia="黑体"/>
                <w:szCs w:val="21"/>
              </w:rPr>
              <w:t>11</w:t>
            </w:r>
          </w:p>
        </w:tc>
        <w:tc>
          <w:tcPr>
            <w:tcW w:w="2399" w:type="dxa"/>
            <w:noWrap w:val="0"/>
            <w:vAlign w:val="center"/>
          </w:tcPr>
          <w:p w14:paraId="6E09BFA1">
            <w:pPr>
              <w:rPr>
                <w:rFonts w:hint="eastAsia" w:ascii="宋体" w:hAnsi="宋体"/>
                <w:szCs w:val="21"/>
              </w:rPr>
            </w:pPr>
            <w:r>
              <w:rPr>
                <w:rFonts w:hint="eastAsia" w:ascii="宋体" w:hAnsi="宋体"/>
                <w:szCs w:val="21"/>
              </w:rPr>
              <w:t>逾期竣工违约金的上限</w:t>
            </w:r>
          </w:p>
        </w:tc>
        <w:tc>
          <w:tcPr>
            <w:tcW w:w="1314" w:type="dxa"/>
            <w:noWrap w:val="0"/>
            <w:tcMar>
              <w:left w:w="170" w:type="dxa"/>
            </w:tcMar>
            <w:vAlign w:val="center"/>
          </w:tcPr>
          <w:p w14:paraId="136783D0">
            <w:pPr>
              <w:rPr>
                <w:rFonts w:hint="eastAsia" w:ascii="宋体" w:hAnsi="宋体"/>
                <w:szCs w:val="21"/>
              </w:rPr>
            </w:pPr>
            <w:r>
              <w:rPr>
                <w:rFonts w:hint="eastAsia" w:ascii="宋体" w:hAnsi="宋体"/>
                <w:szCs w:val="21"/>
              </w:rPr>
              <w:t>7.5.2</w:t>
            </w:r>
          </w:p>
        </w:tc>
        <w:tc>
          <w:tcPr>
            <w:tcW w:w="4207" w:type="dxa"/>
            <w:noWrap w:val="0"/>
            <w:vAlign w:val="center"/>
          </w:tcPr>
          <w:p w14:paraId="03AB7399">
            <w:pPr>
              <w:rPr>
                <w:rFonts w:hint="eastAsia" w:ascii="宋体" w:hAnsi="宋体"/>
                <w:szCs w:val="21"/>
              </w:rPr>
            </w:pPr>
            <w:r>
              <w:rPr>
                <w:rFonts w:hint="eastAsia" w:ascii="宋体" w:hAnsi="宋体"/>
                <w:szCs w:val="21"/>
                <w:u w:val="single"/>
              </w:rPr>
              <w:t xml:space="preserve">             </w:t>
            </w:r>
          </w:p>
        </w:tc>
        <w:tc>
          <w:tcPr>
            <w:tcW w:w="720" w:type="dxa"/>
            <w:noWrap w:val="0"/>
            <w:vAlign w:val="center"/>
          </w:tcPr>
          <w:p w14:paraId="6AB85B3C">
            <w:pPr>
              <w:jc w:val="center"/>
              <w:rPr>
                <w:rFonts w:hint="eastAsia" w:ascii="宋体" w:hAnsi="宋体"/>
                <w:szCs w:val="21"/>
              </w:rPr>
            </w:pPr>
          </w:p>
        </w:tc>
      </w:tr>
      <w:tr w14:paraId="2C43B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515E98B9">
            <w:pPr>
              <w:jc w:val="center"/>
              <w:rPr>
                <w:rFonts w:hint="eastAsia" w:ascii="黑体" w:hAnsi="宋体" w:eastAsia="黑体"/>
                <w:szCs w:val="21"/>
              </w:rPr>
            </w:pPr>
            <w:r>
              <w:rPr>
                <w:rFonts w:hint="eastAsia" w:ascii="黑体" w:hAnsi="宋体" w:eastAsia="黑体"/>
                <w:szCs w:val="21"/>
              </w:rPr>
              <w:t>12</w:t>
            </w:r>
          </w:p>
        </w:tc>
        <w:tc>
          <w:tcPr>
            <w:tcW w:w="2399" w:type="dxa"/>
            <w:noWrap w:val="0"/>
            <w:vAlign w:val="center"/>
          </w:tcPr>
          <w:p w14:paraId="0F4E19F1">
            <w:pPr>
              <w:rPr>
                <w:rFonts w:hint="eastAsia" w:ascii="宋体" w:hAnsi="宋体"/>
                <w:szCs w:val="21"/>
              </w:rPr>
            </w:pPr>
            <w:r>
              <w:rPr>
                <w:rFonts w:hint="eastAsia" w:ascii="宋体" w:hAnsi="宋体"/>
                <w:szCs w:val="21"/>
              </w:rPr>
              <w:t>价格调整的差额计算</w:t>
            </w:r>
          </w:p>
        </w:tc>
        <w:tc>
          <w:tcPr>
            <w:tcW w:w="1314" w:type="dxa"/>
            <w:noWrap w:val="0"/>
            <w:tcMar>
              <w:left w:w="170" w:type="dxa"/>
            </w:tcMar>
            <w:vAlign w:val="center"/>
          </w:tcPr>
          <w:p w14:paraId="35A5599F">
            <w:pPr>
              <w:rPr>
                <w:rFonts w:hint="eastAsia" w:ascii="宋体" w:hAnsi="宋体"/>
                <w:szCs w:val="21"/>
              </w:rPr>
            </w:pPr>
            <w:r>
              <w:rPr>
                <w:rFonts w:hint="eastAsia" w:ascii="宋体" w:hAnsi="宋体"/>
                <w:szCs w:val="21"/>
              </w:rPr>
              <w:t>11.1</w:t>
            </w:r>
          </w:p>
        </w:tc>
        <w:tc>
          <w:tcPr>
            <w:tcW w:w="4207" w:type="dxa"/>
            <w:noWrap w:val="0"/>
            <w:vAlign w:val="center"/>
          </w:tcPr>
          <w:p w14:paraId="7631D361">
            <w:pPr>
              <w:rPr>
                <w:rFonts w:hint="eastAsia" w:ascii="宋体" w:hAnsi="宋体"/>
                <w:szCs w:val="21"/>
              </w:rPr>
            </w:pPr>
            <w:r>
              <w:t>采用价格指数</w:t>
            </w:r>
            <w:r>
              <w:rPr>
                <w:rFonts w:hint="eastAsia"/>
              </w:rPr>
              <w:t>进行价格</w:t>
            </w:r>
            <w:r>
              <w:t>调整时，</w:t>
            </w:r>
            <w:r>
              <w:rPr>
                <w:rFonts w:hint="eastAsia" w:ascii="宋体" w:hAnsi="宋体"/>
                <w:szCs w:val="21"/>
              </w:rPr>
              <w:t>见价格指数权重表</w:t>
            </w:r>
          </w:p>
        </w:tc>
        <w:tc>
          <w:tcPr>
            <w:tcW w:w="720" w:type="dxa"/>
            <w:noWrap w:val="0"/>
            <w:vAlign w:val="center"/>
          </w:tcPr>
          <w:p w14:paraId="33023D0A">
            <w:pPr>
              <w:jc w:val="center"/>
              <w:rPr>
                <w:rFonts w:hint="eastAsia" w:ascii="宋体" w:hAnsi="宋体"/>
                <w:szCs w:val="21"/>
              </w:rPr>
            </w:pPr>
          </w:p>
        </w:tc>
      </w:tr>
      <w:tr w14:paraId="2DC7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20" w:type="dxa"/>
            <w:noWrap w:val="0"/>
            <w:vAlign w:val="center"/>
          </w:tcPr>
          <w:p w14:paraId="0C3AF39F">
            <w:pPr>
              <w:jc w:val="center"/>
              <w:rPr>
                <w:rFonts w:hint="eastAsia" w:ascii="宋体" w:hAnsi="宋体"/>
                <w:szCs w:val="21"/>
              </w:rPr>
            </w:pPr>
            <w:r>
              <w:rPr>
                <w:rFonts w:hint="eastAsia" w:ascii="宋体" w:hAnsi="宋体"/>
                <w:szCs w:val="21"/>
              </w:rPr>
              <w:t>13</w:t>
            </w:r>
          </w:p>
        </w:tc>
        <w:tc>
          <w:tcPr>
            <w:tcW w:w="2399" w:type="dxa"/>
            <w:noWrap w:val="0"/>
            <w:vAlign w:val="center"/>
          </w:tcPr>
          <w:p w14:paraId="19251693">
            <w:pPr>
              <w:rPr>
                <w:rFonts w:hint="eastAsia" w:ascii="宋体" w:hAnsi="宋体"/>
                <w:szCs w:val="21"/>
              </w:rPr>
            </w:pPr>
            <w:r>
              <w:rPr>
                <w:rFonts w:hint="eastAsia" w:ascii="宋体" w:hAnsi="宋体"/>
                <w:szCs w:val="21"/>
              </w:rPr>
              <w:t>预付款</w:t>
            </w:r>
            <w:r>
              <w:t>支付比例或金额</w:t>
            </w:r>
          </w:p>
        </w:tc>
        <w:tc>
          <w:tcPr>
            <w:tcW w:w="1314" w:type="dxa"/>
            <w:noWrap w:val="0"/>
            <w:tcMar>
              <w:left w:w="170" w:type="dxa"/>
            </w:tcMar>
            <w:vAlign w:val="center"/>
          </w:tcPr>
          <w:p w14:paraId="3EFCDADB">
            <w:pPr>
              <w:rPr>
                <w:rFonts w:hint="eastAsia" w:ascii="宋体" w:hAnsi="宋体"/>
                <w:szCs w:val="21"/>
              </w:rPr>
            </w:pPr>
            <w:r>
              <w:rPr>
                <w:rFonts w:hint="eastAsia" w:ascii="宋体" w:hAnsi="宋体"/>
                <w:szCs w:val="21"/>
              </w:rPr>
              <w:t>12.2.1</w:t>
            </w:r>
          </w:p>
        </w:tc>
        <w:tc>
          <w:tcPr>
            <w:tcW w:w="4207" w:type="dxa"/>
            <w:noWrap w:val="0"/>
            <w:vAlign w:val="center"/>
          </w:tcPr>
          <w:p w14:paraId="676049A2">
            <w:pPr>
              <w:rPr>
                <w:rFonts w:hint="eastAsia" w:ascii="宋体" w:hAnsi="宋体"/>
                <w:szCs w:val="21"/>
              </w:rPr>
            </w:pPr>
          </w:p>
        </w:tc>
        <w:tc>
          <w:tcPr>
            <w:tcW w:w="720" w:type="dxa"/>
            <w:noWrap w:val="0"/>
            <w:vAlign w:val="center"/>
          </w:tcPr>
          <w:p w14:paraId="44CB92A4">
            <w:pPr>
              <w:jc w:val="center"/>
              <w:rPr>
                <w:rFonts w:hint="eastAsia" w:ascii="宋体" w:hAnsi="宋体"/>
                <w:szCs w:val="21"/>
              </w:rPr>
            </w:pPr>
          </w:p>
        </w:tc>
      </w:tr>
      <w:tr w14:paraId="3A485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0" w:type="dxa"/>
            <w:noWrap w:val="0"/>
            <w:vAlign w:val="center"/>
          </w:tcPr>
          <w:p w14:paraId="46F64D95">
            <w:pPr>
              <w:autoSpaceDE w:val="0"/>
              <w:autoSpaceDN w:val="0"/>
              <w:adjustRightInd w:val="0"/>
              <w:spacing w:before="72" w:beforeLines="30"/>
              <w:jc w:val="center"/>
              <w:rPr>
                <w:rFonts w:hint="eastAsia" w:ascii="宋体" w:hAnsi="宋体" w:cs="Arial"/>
                <w:kern w:val="0"/>
                <w:szCs w:val="21"/>
              </w:rPr>
            </w:pPr>
            <w:r>
              <w:rPr>
                <w:rFonts w:hint="eastAsia" w:ascii="宋体" w:hAnsi="宋体" w:cs="Arial"/>
                <w:kern w:val="0"/>
                <w:szCs w:val="21"/>
              </w:rPr>
              <w:t>14</w:t>
            </w:r>
          </w:p>
        </w:tc>
        <w:tc>
          <w:tcPr>
            <w:tcW w:w="2399" w:type="dxa"/>
            <w:noWrap w:val="0"/>
            <w:vAlign w:val="center"/>
          </w:tcPr>
          <w:p w14:paraId="095EB496">
            <w:pPr>
              <w:rPr>
                <w:rFonts w:hint="eastAsia" w:ascii="宋体" w:hAnsi="宋体"/>
                <w:szCs w:val="21"/>
              </w:rPr>
            </w:pPr>
            <w:r>
              <w:rPr>
                <w:rFonts w:hint="eastAsia" w:ascii="宋体" w:hAnsi="宋体"/>
                <w:szCs w:val="21"/>
              </w:rPr>
              <w:t>质量保证金额度</w:t>
            </w:r>
          </w:p>
        </w:tc>
        <w:tc>
          <w:tcPr>
            <w:tcW w:w="1314" w:type="dxa"/>
            <w:noWrap w:val="0"/>
            <w:tcMar>
              <w:left w:w="170" w:type="dxa"/>
            </w:tcMar>
            <w:vAlign w:val="center"/>
          </w:tcPr>
          <w:p w14:paraId="7030AB9E">
            <w:pPr>
              <w:rPr>
                <w:rFonts w:hint="eastAsia" w:ascii="宋体" w:hAnsi="宋体"/>
                <w:szCs w:val="21"/>
              </w:rPr>
            </w:pPr>
            <w:r>
              <w:rPr>
                <w:rFonts w:hint="eastAsia" w:ascii="宋体" w:hAnsi="宋体"/>
                <w:szCs w:val="21"/>
              </w:rPr>
              <w:t>15.3.1</w:t>
            </w:r>
          </w:p>
        </w:tc>
        <w:tc>
          <w:tcPr>
            <w:tcW w:w="4207" w:type="dxa"/>
            <w:noWrap w:val="0"/>
            <w:vAlign w:val="center"/>
          </w:tcPr>
          <w:p w14:paraId="79FFB87E">
            <w:pPr>
              <w:rPr>
                <w:rFonts w:hint="eastAsia" w:ascii="宋体" w:hAnsi="宋体"/>
                <w:szCs w:val="21"/>
              </w:rPr>
            </w:pPr>
          </w:p>
        </w:tc>
        <w:tc>
          <w:tcPr>
            <w:tcW w:w="720" w:type="dxa"/>
            <w:noWrap w:val="0"/>
            <w:vAlign w:val="center"/>
          </w:tcPr>
          <w:p w14:paraId="236AB543">
            <w:pPr>
              <w:jc w:val="center"/>
              <w:rPr>
                <w:rFonts w:hint="eastAsia" w:ascii="宋体" w:hAnsi="宋体"/>
                <w:szCs w:val="21"/>
              </w:rPr>
            </w:pPr>
          </w:p>
        </w:tc>
      </w:tr>
      <w:tr w14:paraId="60C6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0C12FB31">
            <w:pPr>
              <w:jc w:val="center"/>
              <w:rPr>
                <w:rFonts w:hint="eastAsia" w:ascii="宋体" w:hAnsi="宋体"/>
                <w:szCs w:val="21"/>
              </w:rPr>
            </w:pPr>
            <w:r>
              <w:rPr>
                <w:rFonts w:hint="eastAsia" w:ascii="宋体" w:hAnsi="宋体"/>
                <w:szCs w:val="21"/>
              </w:rPr>
              <w:t>15</w:t>
            </w:r>
          </w:p>
        </w:tc>
        <w:tc>
          <w:tcPr>
            <w:tcW w:w="2399" w:type="dxa"/>
            <w:noWrap w:val="0"/>
            <w:vAlign w:val="center"/>
          </w:tcPr>
          <w:p w14:paraId="7782CA96">
            <w:pPr>
              <w:rPr>
                <w:rFonts w:hint="eastAsia" w:ascii="宋体" w:hAnsi="宋体"/>
                <w:szCs w:val="21"/>
              </w:rPr>
            </w:pPr>
            <w:r>
              <w:t>质量保证金</w:t>
            </w:r>
            <w:r>
              <w:rPr>
                <w:rFonts w:hint="eastAsia"/>
              </w:rPr>
              <w:t>的</w:t>
            </w:r>
            <w:r>
              <w:t>扣留</w:t>
            </w:r>
            <w:r>
              <w:rPr>
                <w:rFonts w:hint="eastAsia"/>
              </w:rPr>
              <w:t>方式</w:t>
            </w:r>
          </w:p>
        </w:tc>
        <w:tc>
          <w:tcPr>
            <w:tcW w:w="1314" w:type="dxa"/>
            <w:noWrap w:val="0"/>
            <w:tcMar>
              <w:left w:w="170" w:type="dxa"/>
            </w:tcMar>
            <w:vAlign w:val="center"/>
          </w:tcPr>
          <w:p w14:paraId="6D111866">
            <w:pPr>
              <w:rPr>
                <w:rFonts w:hint="eastAsia" w:ascii="宋体" w:hAnsi="宋体"/>
                <w:szCs w:val="21"/>
              </w:rPr>
            </w:pPr>
            <w:r>
              <w:rPr>
                <w:rFonts w:ascii="宋体" w:hAnsi="宋体"/>
                <w:szCs w:val="21"/>
              </w:rPr>
              <w:t>15.3.2</w:t>
            </w:r>
          </w:p>
        </w:tc>
        <w:tc>
          <w:tcPr>
            <w:tcW w:w="4207" w:type="dxa"/>
            <w:noWrap w:val="0"/>
            <w:vAlign w:val="center"/>
          </w:tcPr>
          <w:p w14:paraId="58DF7902">
            <w:pPr>
              <w:rPr>
                <w:rFonts w:hint="eastAsia" w:ascii="宋体" w:hAnsi="宋体"/>
                <w:szCs w:val="21"/>
              </w:rPr>
            </w:pPr>
          </w:p>
        </w:tc>
        <w:tc>
          <w:tcPr>
            <w:tcW w:w="720" w:type="dxa"/>
            <w:noWrap w:val="0"/>
            <w:vAlign w:val="center"/>
          </w:tcPr>
          <w:p w14:paraId="650DE574">
            <w:pPr>
              <w:jc w:val="center"/>
              <w:rPr>
                <w:rFonts w:hint="eastAsia" w:ascii="宋体" w:hAnsi="宋体"/>
                <w:szCs w:val="21"/>
              </w:rPr>
            </w:pPr>
          </w:p>
        </w:tc>
      </w:tr>
      <w:tr w14:paraId="64A7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20" w:type="dxa"/>
            <w:noWrap w:val="0"/>
            <w:vAlign w:val="center"/>
          </w:tcPr>
          <w:p w14:paraId="212AC100">
            <w:pPr>
              <w:autoSpaceDE w:val="0"/>
              <w:autoSpaceDN w:val="0"/>
              <w:adjustRightInd w:val="0"/>
              <w:spacing w:before="72" w:beforeLines="30"/>
              <w:jc w:val="center"/>
              <w:rPr>
                <w:rFonts w:hint="eastAsia" w:ascii="宋体" w:hAnsi="宋体" w:cs="Arial"/>
                <w:kern w:val="0"/>
                <w:szCs w:val="21"/>
              </w:rPr>
            </w:pPr>
            <w:r>
              <w:rPr>
                <w:rFonts w:hint="eastAsia" w:ascii="宋体" w:hAnsi="宋体" w:cs="Arial"/>
                <w:kern w:val="0"/>
                <w:szCs w:val="21"/>
              </w:rPr>
              <w:t>16</w:t>
            </w:r>
          </w:p>
        </w:tc>
        <w:tc>
          <w:tcPr>
            <w:tcW w:w="2399" w:type="dxa"/>
            <w:noWrap w:val="0"/>
            <w:vAlign w:val="center"/>
          </w:tcPr>
          <w:p w14:paraId="795C3DD0">
            <w:pPr>
              <w:autoSpaceDE w:val="0"/>
              <w:autoSpaceDN w:val="0"/>
              <w:adjustRightInd w:val="0"/>
              <w:spacing w:before="72" w:beforeLines="30"/>
              <w:rPr>
                <w:rFonts w:hint="eastAsia" w:ascii="宋体" w:hAnsi="宋体" w:cs="Arial"/>
                <w:kern w:val="0"/>
                <w:szCs w:val="21"/>
              </w:rPr>
            </w:pPr>
            <w:r>
              <w:rPr>
                <w:rFonts w:hint="eastAsia" w:ascii="宋体" w:hAnsi="宋体" w:cs="Arial"/>
                <w:kern w:val="0"/>
                <w:szCs w:val="21"/>
              </w:rPr>
              <w:t>技术标准和要求</w:t>
            </w:r>
          </w:p>
        </w:tc>
        <w:tc>
          <w:tcPr>
            <w:tcW w:w="1314" w:type="dxa"/>
            <w:noWrap w:val="0"/>
            <w:tcMar>
              <w:left w:w="170" w:type="dxa"/>
            </w:tcMar>
            <w:vAlign w:val="center"/>
          </w:tcPr>
          <w:p w14:paraId="1B95408B">
            <w:pPr>
              <w:autoSpaceDE w:val="0"/>
              <w:autoSpaceDN w:val="0"/>
              <w:adjustRightInd w:val="0"/>
              <w:spacing w:before="72" w:beforeLines="30"/>
              <w:rPr>
                <w:rFonts w:hint="eastAsia" w:ascii="宋体" w:hAnsi="宋体" w:cs="Arial"/>
                <w:bCs/>
                <w:kern w:val="0"/>
                <w:szCs w:val="21"/>
              </w:rPr>
            </w:pPr>
          </w:p>
        </w:tc>
        <w:tc>
          <w:tcPr>
            <w:tcW w:w="4207" w:type="dxa"/>
            <w:noWrap w:val="0"/>
            <w:vAlign w:val="center"/>
          </w:tcPr>
          <w:p w14:paraId="3ED91084">
            <w:pPr>
              <w:autoSpaceDE w:val="0"/>
              <w:autoSpaceDN w:val="0"/>
              <w:adjustRightInd w:val="0"/>
              <w:spacing w:before="72" w:beforeLines="30"/>
              <w:rPr>
                <w:rFonts w:ascii="宋体" w:hAnsi="宋体" w:cs="Arial"/>
                <w:kern w:val="0"/>
                <w:szCs w:val="21"/>
              </w:rPr>
            </w:pPr>
            <w:r>
              <w:rPr>
                <w:rFonts w:hint="eastAsia" w:ascii="宋体" w:hAnsi="宋体"/>
                <w:szCs w:val="21"/>
              </w:rPr>
              <w:t>符合第七章“技术标准和要求”规定</w:t>
            </w:r>
          </w:p>
        </w:tc>
        <w:tc>
          <w:tcPr>
            <w:tcW w:w="720" w:type="dxa"/>
            <w:noWrap w:val="0"/>
            <w:vAlign w:val="center"/>
          </w:tcPr>
          <w:p w14:paraId="13C8E223">
            <w:pPr>
              <w:jc w:val="center"/>
              <w:rPr>
                <w:rFonts w:hint="eastAsia" w:ascii="宋体" w:hAnsi="宋体"/>
                <w:szCs w:val="21"/>
              </w:rPr>
            </w:pPr>
          </w:p>
        </w:tc>
      </w:tr>
      <w:tr w14:paraId="704A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360" w:type="dxa"/>
            <w:gridSpan w:val="5"/>
            <w:noWrap w:val="0"/>
            <w:vAlign w:val="center"/>
          </w:tcPr>
          <w:p w14:paraId="1AEE23DB">
            <w:pPr>
              <w:rPr>
                <w:rFonts w:hint="eastAsia" w:ascii="宋体" w:hAnsi="宋体"/>
                <w:szCs w:val="21"/>
              </w:rPr>
            </w:pPr>
            <w:r>
              <w:rPr>
                <w:rFonts w:hint="eastAsia" w:ascii="黑体" w:hAnsi="宋体" w:eastAsia="黑体"/>
                <w:szCs w:val="21"/>
              </w:rPr>
              <w:t>备注：</w:t>
            </w:r>
            <w:r>
              <w:rPr>
                <w:rFonts w:hint="eastAsia" w:ascii="宋体" w:hAnsi="宋体"/>
                <w:szCs w:val="21"/>
              </w:rPr>
              <w:t>投标人在响应招标文件中规定的实质性要求和条件的基础上，可做出其他有利于招标人的承诺。此类承诺可在本表中予以补充填写。</w:t>
            </w:r>
          </w:p>
        </w:tc>
      </w:tr>
    </w:tbl>
    <w:p w14:paraId="47C9C0FB">
      <w:pPr>
        <w:spacing w:line="440" w:lineRule="exact"/>
        <w:ind w:firstLine="3675" w:firstLineChars="1750"/>
        <w:rPr>
          <w:rFonts w:hint="eastAsia"/>
          <w:szCs w:val="21"/>
        </w:rPr>
      </w:pPr>
    </w:p>
    <w:p w14:paraId="4D0CB8E3">
      <w:pPr>
        <w:spacing w:line="440" w:lineRule="exact"/>
        <w:ind w:firstLine="3675" w:firstLineChars="1750"/>
        <w:rPr>
          <w:szCs w:val="21"/>
        </w:rPr>
      </w:pPr>
      <w:r>
        <w:rPr>
          <w:szCs w:val="21"/>
        </w:rPr>
        <w:t>投 标 人：</w:t>
      </w:r>
      <w:r>
        <w:rPr>
          <w:szCs w:val="21"/>
          <w:u w:val="single"/>
        </w:rPr>
        <w:t xml:space="preserve">                      </w:t>
      </w:r>
      <w:r>
        <w:rPr>
          <w:szCs w:val="21"/>
        </w:rPr>
        <w:t>（盖单位章）</w:t>
      </w:r>
    </w:p>
    <w:p w14:paraId="0891D1F7">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405C10F5">
      <w:pPr>
        <w:spacing w:line="440" w:lineRule="exact"/>
        <w:ind w:firstLine="5040" w:firstLineChars="2400"/>
        <w:rPr>
          <w:rFonts w:hint="eastAsia"/>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491BBC27">
      <w:pPr>
        <w:spacing w:line="440" w:lineRule="exact"/>
        <w:ind w:firstLine="5040" w:firstLineChars="2400"/>
        <w:rPr>
          <w:rFonts w:hint="eastAsia"/>
          <w:szCs w:val="21"/>
        </w:rPr>
      </w:pPr>
    </w:p>
    <w:p w14:paraId="0A2FF3E9">
      <w:pPr>
        <w:spacing w:line="440" w:lineRule="exact"/>
        <w:ind w:firstLine="5040" w:firstLineChars="2400"/>
        <w:rPr>
          <w:rFonts w:hint="eastAsia"/>
          <w:szCs w:val="21"/>
        </w:rPr>
      </w:pPr>
    </w:p>
    <w:p w14:paraId="00531BB5">
      <w:pPr>
        <w:spacing w:line="320" w:lineRule="exact"/>
        <w:rPr>
          <w:rFonts w:hint="eastAsia"/>
        </w:rPr>
      </w:pPr>
      <w:r>
        <w:rPr>
          <w:rFonts w:hint="eastAsia"/>
        </w:rPr>
        <w:t>备注：本附录适用于《建设工程施工合同（示范文本）》（GF-2017-0201）</w:t>
      </w:r>
    </w:p>
    <w:p w14:paraId="1322948D">
      <w:pPr>
        <w:spacing w:after="120" w:afterLines="50" w:line="480" w:lineRule="exact"/>
        <w:jc w:val="left"/>
        <w:rPr>
          <w:rFonts w:hint="eastAsia"/>
        </w:rPr>
      </w:pPr>
    </w:p>
    <w:p w14:paraId="062D110D">
      <w:pPr>
        <w:spacing w:after="120" w:afterLines="50" w:line="480" w:lineRule="exact"/>
        <w:jc w:val="center"/>
        <w:rPr>
          <w:rFonts w:hint="eastAsia" w:ascii="黑体" w:hAnsi="宋体" w:eastAsia="黑体"/>
          <w:sz w:val="24"/>
        </w:rPr>
      </w:pPr>
      <w:r>
        <w:rPr>
          <w:rFonts w:hint="eastAsia" w:ascii="黑体" w:hAnsi="宋体" w:eastAsia="黑体"/>
          <w:sz w:val="24"/>
        </w:rPr>
        <w:t>价格指数权重表</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89"/>
        <w:gridCol w:w="707"/>
        <w:gridCol w:w="989"/>
        <w:gridCol w:w="707"/>
        <w:gridCol w:w="1271"/>
        <w:gridCol w:w="1695"/>
        <w:gridCol w:w="1695"/>
      </w:tblGrid>
      <w:tr w14:paraId="525F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13" w:type="dxa"/>
            <w:gridSpan w:val="2"/>
            <w:vMerge w:val="restart"/>
            <w:noWrap w:val="0"/>
            <w:vAlign w:val="center"/>
          </w:tcPr>
          <w:p w14:paraId="272E8837">
            <w:pPr>
              <w:jc w:val="center"/>
              <w:rPr>
                <w:rFonts w:hint="eastAsia" w:ascii="宋体" w:hAnsi="宋体"/>
                <w:szCs w:val="21"/>
              </w:rPr>
            </w:pPr>
            <w:r>
              <w:rPr>
                <w:rFonts w:hint="eastAsia" w:ascii="宋体" w:hAnsi="宋体"/>
                <w:szCs w:val="21"/>
              </w:rPr>
              <w:t>名 称</w:t>
            </w:r>
          </w:p>
        </w:tc>
        <w:tc>
          <w:tcPr>
            <w:tcW w:w="1695" w:type="dxa"/>
            <w:gridSpan w:val="2"/>
            <w:noWrap w:val="0"/>
            <w:vAlign w:val="center"/>
          </w:tcPr>
          <w:p w14:paraId="154E372B">
            <w:pPr>
              <w:jc w:val="center"/>
              <w:rPr>
                <w:rFonts w:hint="eastAsia" w:ascii="宋体" w:hAnsi="宋体"/>
                <w:szCs w:val="21"/>
              </w:rPr>
            </w:pPr>
            <w:r>
              <w:rPr>
                <w:rFonts w:hint="eastAsia" w:ascii="宋体" w:hAnsi="宋体"/>
                <w:szCs w:val="21"/>
              </w:rPr>
              <w:t>基本价格指数</w:t>
            </w:r>
          </w:p>
        </w:tc>
        <w:tc>
          <w:tcPr>
            <w:tcW w:w="3673" w:type="dxa"/>
            <w:gridSpan w:val="3"/>
            <w:noWrap w:val="0"/>
            <w:vAlign w:val="center"/>
          </w:tcPr>
          <w:p w14:paraId="2D8D966D">
            <w:pPr>
              <w:jc w:val="center"/>
              <w:rPr>
                <w:rFonts w:hint="eastAsia" w:ascii="宋体" w:hAnsi="宋体"/>
                <w:szCs w:val="21"/>
              </w:rPr>
            </w:pPr>
            <w:r>
              <w:rPr>
                <w:rFonts w:hint="eastAsia" w:ascii="宋体" w:hAnsi="宋体"/>
                <w:szCs w:val="21"/>
              </w:rPr>
              <w:t>权     重</w:t>
            </w:r>
          </w:p>
        </w:tc>
        <w:tc>
          <w:tcPr>
            <w:tcW w:w="1695" w:type="dxa"/>
            <w:vMerge w:val="restart"/>
            <w:noWrap w:val="0"/>
            <w:vAlign w:val="center"/>
          </w:tcPr>
          <w:p w14:paraId="4BFDE4C6">
            <w:pPr>
              <w:jc w:val="center"/>
              <w:rPr>
                <w:rFonts w:hint="eastAsia" w:ascii="宋体" w:hAnsi="宋体"/>
                <w:szCs w:val="21"/>
              </w:rPr>
            </w:pPr>
            <w:r>
              <w:rPr>
                <w:rFonts w:hint="eastAsia" w:ascii="宋体" w:hAnsi="宋体"/>
                <w:szCs w:val="21"/>
              </w:rPr>
              <w:t>价格指数来源</w:t>
            </w:r>
          </w:p>
        </w:tc>
      </w:tr>
      <w:tr w14:paraId="219A8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1413" w:type="dxa"/>
            <w:gridSpan w:val="2"/>
            <w:vMerge w:val="continue"/>
            <w:noWrap w:val="0"/>
            <w:vAlign w:val="center"/>
          </w:tcPr>
          <w:p w14:paraId="4E5FEA3F">
            <w:pPr>
              <w:jc w:val="center"/>
              <w:rPr>
                <w:rFonts w:hint="eastAsia" w:ascii="宋体" w:hAnsi="宋体"/>
                <w:szCs w:val="21"/>
              </w:rPr>
            </w:pPr>
          </w:p>
        </w:tc>
        <w:tc>
          <w:tcPr>
            <w:tcW w:w="707" w:type="dxa"/>
            <w:noWrap w:val="0"/>
            <w:vAlign w:val="center"/>
          </w:tcPr>
          <w:p w14:paraId="1CD85B4A">
            <w:pPr>
              <w:jc w:val="center"/>
              <w:rPr>
                <w:rFonts w:hint="eastAsia" w:ascii="宋体" w:hAnsi="宋体"/>
                <w:szCs w:val="21"/>
              </w:rPr>
            </w:pPr>
            <w:r>
              <w:rPr>
                <w:rFonts w:hint="eastAsia" w:ascii="宋体" w:hAnsi="宋体"/>
                <w:szCs w:val="21"/>
              </w:rPr>
              <w:t>代号</w:t>
            </w:r>
          </w:p>
        </w:tc>
        <w:tc>
          <w:tcPr>
            <w:tcW w:w="989" w:type="dxa"/>
            <w:noWrap w:val="0"/>
            <w:vAlign w:val="center"/>
          </w:tcPr>
          <w:p w14:paraId="01D60191">
            <w:pPr>
              <w:jc w:val="center"/>
              <w:rPr>
                <w:rFonts w:hint="eastAsia" w:ascii="宋体" w:hAnsi="宋体"/>
                <w:szCs w:val="21"/>
              </w:rPr>
            </w:pPr>
            <w:r>
              <w:rPr>
                <w:rFonts w:hint="eastAsia" w:ascii="宋体" w:hAnsi="宋体"/>
                <w:szCs w:val="21"/>
              </w:rPr>
              <w:t>指数值</w:t>
            </w:r>
          </w:p>
        </w:tc>
        <w:tc>
          <w:tcPr>
            <w:tcW w:w="707" w:type="dxa"/>
            <w:noWrap w:val="0"/>
            <w:vAlign w:val="center"/>
          </w:tcPr>
          <w:p w14:paraId="511A8C68">
            <w:pPr>
              <w:jc w:val="center"/>
              <w:rPr>
                <w:rFonts w:hint="eastAsia" w:ascii="宋体" w:hAnsi="宋体"/>
                <w:szCs w:val="21"/>
              </w:rPr>
            </w:pPr>
            <w:r>
              <w:rPr>
                <w:rFonts w:hint="eastAsia" w:ascii="宋体" w:hAnsi="宋体"/>
                <w:szCs w:val="21"/>
              </w:rPr>
              <w:t>代号</w:t>
            </w:r>
          </w:p>
        </w:tc>
        <w:tc>
          <w:tcPr>
            <w:tcW w:w="1271" w:type="dxa"/>
            <w:noWrap w:val="0"/>
            <w:vAlign w:val="center"/>
          </w:tcPr>
          <w:p w14:paraId="7A831BDD">
            <w:pPr>
              <w:jc w:val="center"/>
              <w:rPr>
                <w:rFonts w:hint="eastAsia" w:ascii="宋体" w:hAnsi="宋体"/>
                <w:szCs w:val="21"/>
              </w:rPr>
            </w:pPr>
            <w:r>
              <w:rPr>
                <w:rFonts w:hint="eastAsia" w:ascii="宋体" w:hAnsi="宋体"/>
                <w:szCs w:val="21"/>
              </w:rPr>
              <w:t>允许范围</w:t>
            </w:r>
          </w:p>
        </w:tc>
        <w:tc>
          <w:tcPr>
            <w:tcW w:w="1695" w:type="dxa"/>
            <w:noWrap w:val="0"/>
            <w:vAlign w:val="center"/>
          </w:tcPr>
          <w:p w14:paraId="40CE9AF6">
            <w:pPr>
              <w:jc w:val="center"/>
              <w:rPr>
                <w:rFonts w:hint="eastAsia" w:ascii="宋体" w:hAnsi="宋体"/>
                <w:szCs w:val="21"/>
              </w:rPr>
            </w:pPr>
            <w:r>
              <w:rPr>
                <w:rFonts w:hint="eastAsia" w:ascii="宋体" w:hAnsi="宋体"/>
                <w:szCs w:val="21"/>
              </w:rPr>
              <w:t>投标人建议值</w:t>
            </w:r>
          </w:p>
        </w:tc>
        <w:tc>
          <w:tcPr>
            <w:tcW w:w="1695" w:type="dxa"/>
            <w:vMerge w:val="continue"/>
            <w:noWrap w:val="0"/>
            <w:vAlign w:val="center"/>
          </w:tcPr>
          <w:p w14:paraId="3D8E34BF">
            <w:pPr>
              <w:jc w:val="center"/>
              <w:rPr>
                <w:rFonts w:hint="eastAsia" w:ascii="宋体" w:hAnsi="宋体"/>
                <w:szCs w:val="21"/>
              </w:rPr>
            </w:pPr>
          </w:p>
        </w:tc>
      </w:tr>
      <w:tr w14:paraId="0510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413" w:type="dxa"/>
            <w:gridSpan w:val="2"/>
            <w:noWrap w:val="0"/>
            <w:vAlign w:val="center"/>
          </w:tcPr>
          <w:p w14:paraId="0222E81C">
            <w:pPr>
              <w:jc w:val="center"/>
              <w:rPr>
                <w:rFonts w:hint="eastAsia" w:ascii="宋体" w:hAnsi="宋体"/>
                <w:szCs w:val="21"/>
              </w:rPr>
            </w:pPr>
            <w:r>
              <w:rPr>
                <w:rFonts w:hint="eastAsia" w:ascii="宋体" w:hAnsi="宋体"/>
                <w:szCs w:val="21"/>
              </w:rPr>
              <w:t>定值部分</w:t>
            </w:r>
          </w:p>
        </w:tc>
        <w:tc>
          <w:tcPr>
            <w:tcW w:w="707" w:type="dxa"/>
            <w:noWrap w:val="0"/>
            <w:vAlign w:val="center"/>
          </w:tcPr>
          <w:p w14:paraId="03A6D4CC">
            <w:pPr>
              <w:jc w:val="center"/>
              <w:rPr>
                <w:rFonts w:hint="eastAsia" w:ascii="宋体" w:hAnsi="宋体"/>
                <w:szCs w:val="21"/>
              </w:rPr>
            </w:pPr>
          </w:p>
        </w:tc>
        <w:tc>
          <w:tcPr>
            <w:tcW w:w="989" w:type="dxa"/>
            <w:noWrap w:val="0"/>
            <w:vAlign w:val="center"/>
          </w:tcPr>
          <w:p w14:paraId="082C2A2D">
            <w:pPr>
              <w:jc w:val="center"/>
              <w:rPr>
                <w:rFonts w:hint="eastAsia" w:ascii="宋体" w:hAnsi="宋体"/>
                <w:szCs w:val="21"/>
              </w:rPr>
            </w:pPr>
          </w:p>
        </w:tc>
        <w:tc>
          <w:tcPr>
            <w:tcW w:w="707" w:type="dxa"/>
            <w:noWrap w:val="0"/>
            <w:vAlign w:val="center"/>
          </w:tcPr>
          <w:p w14:paraId="24E6CAE5">
            <w:pPr>
              <w:jc w:val="center"/>
              <w:rPr>
                <w:rFonts w:hint="eastAsia" w:ascii="宋体" w:hAnsi="宋体"/>
                <w:szCs w:val="21"/>
              </w:rPr>
            </w:pPr>
            <w:r>
              <w:rPr>
                <w:rFonts w:hint="eastAsia" w:ascii="宋体" w:hAnsi="宋体"/>
                <w:szCs w:val="21"/>
              </w:rPr>
              <w:t>A</w:t>
            </w:r>
          </w:p>
        </w:tc>
        <w:tc>
          <w:tcPr>
            <w:tcW w:w="1271" w:type="dxa"/>
            <w:noWrap w:val="0"/>
            <w:vAlign w:val="center"/>
          </w:tcPr>
          <w:p w14:paraId="504A1338">
            <w:pPr>
              <w:jc w:val="center"/>
              <w:rPr>
                <w:rFonts w:hint="eastAsia" w:ascii="宋体" w:hAnsi="宋体"/>
                <w:szCs w:val="21"/>
              </w:rPr>
            </w:pPr>
          </w:p>
        </w:tc>
        <w:tc>
          <w:tcPr>
            <w:tcW w:w="1695" w:type="dxa"/>
            <w:noWrap w:val="0"/>
            <w:vAlign w:val="center"/>
          </w:tcPr>
          <w:p w14:paraId="7C6FBA4D">
            <w:pPr>
              <w:jc w:val="center"/>
              <w:rPr>
                <w:rFonts w:hint="eastAsia" w:ascii="宋体" w:hAnsi="宋体"/>
                <w:szCs w:val="21"/>
              </w:rPr>
            </w:pPr>
          </w:p>
        </w:tc>
        <w:tc>
          <w:tcPr>
            <w:tcW w:w="1695" w:type="dxa"/>
            <w:noWrap w:val="0"/>
            <w:vAlign w:val="center"/>
          </w:tcPr>
          <w:p w14:paraId="5318E50B">
            <w:pPr>
              <w:jc w:val="center"/>
              <w:rPr>
                <w:rFonts w:hint="eastAsia" w:ascii="宋体" w:hAnsi="宋体"/>
                <w:szCs w:val="21"/>
              </w:rPr>
            </w:pPr>
          </w:p>
        </w:tc>
      </w:tr>
      <w:tr w14:paraId="20D8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restart"/>
            <w:noWrap w:val="0"/>
            <w:vAlign w:val="center"/>
          </w:tcPr>
          <w:p w14:paraId="0278E506">
            <w:pPr>
              <w:jc w:val="center"/>
              <w:rPr>
                <w:rFonts w:hint="eastAsia" w:ascii="宋体" w:hAnsi="宋体"/>
                <w:szCs w:val="21"/>
              </w:rPr>
            </w:pPr>
            <w:r>
              <w:rPr>
                <w:rFonts w:hint="eastAsia" w:ascii="宋体" w:hAnsi="宋体"/>
                <w:szCs w:val="21"/>
              </w:rPr>
              <w:t>变</w:t>
            </w:r>
          </w:p>
          <w:p w14:paraId="5052E38D">
            <w:pPr>
              <w:jc w:val="center"/>
              <w:rPr>
                <w:rFonts w:hint="eastAsia" w:ascii="宋体" w:hAnsi="宋体"/>
                <w:szCs w:val="21"/>
              </w:rPr>
            </w:pPr>
            <w:r>
              <w:rPr>
                <w:rFonts w:hint="eastAsia" w:ascii="宋体" w:hAnsi="宋体"/>
                <w:szCs w:val="21"/>
              </w:rPr>
              <w:t>值</w:t>
            </w:r>
          </w:p>
          <w:p w14:paraId="37D87875">
            <w:pPr>
              <w:jc w:val="center"/>
              <w:rPr>
                <w:rFonts w:hint="eastAsia" w:ascii="宋体" w:hAnsi="宋体"/>
                <w:szCs w:val="21"/>
              </w:rPr>
            </w:pPr>
            <w:r>
              <w:rPr>
                <w:rFonts w:hint="eastAsia" w:ascii="宋体" w:hAnsi="宋体"/>
                <w:szCs w:val="21"/>
              </w:rPr>
              <w:t>部</w:t>
            </w:r>
          </w:p>
          <w:p w14:paraId="318EAE2A">
            <w:pPr>
              <w:jc w:val="center"/>
              <w:rPr>
                <w:rFonts w:hint="eastAsia" w:ascii="宋体" w:hAnsi="宋体"/>
                <w:szCs w:val="21"/>
              </w:rPr>
            </w:pPr>
            <w:r>
              <w:rPr>
                <w:rFonts w:hint="eastAsia" w:ascii="宋体" w:hAnsi="宋体"/>
                <w:szCs w:val="21"/>
              </w:rPr>
              <w:t>分</w:t>
            </w:r>
          </w:p>
        </w:tc>
        <w:tc>
          <w:tcPr>
            <w:tcW w:w="989" w:type="dxa"/>
            <w:noWrap w:val="0"/>
            <w:vAlign w:val="center"/>
          </w:tcPr>
          <w:p w14:paraId="3B255454">
            <w:pPr>
              <w:jc w:val="center"/>
              <w:rPr>
                <w:rFonts w:hint="eastAsia" w:ascii="宋体" w:hAnsi="宋体"/>
                <w:szCs w:val="21"/>
              </w:rPr>
            </w:pPr>
            <w:r>
              <w:rPr>
                <w:rFonts w:hint="eastAsia" w:ascii="宋体" w:hAnsi="宋体"/>
                <w:szCs w:val="21"/>
              </w:rPr>
              <w:t>人工费</w:t>
            </w:r>
          </w:p>
        </w:tc>
        <w:tc>
          <w:tcPr>
            <w:tcW w:w="707" w:type="dxa"/>
            <w:noWrap w:val="0"/>
            <w:vAlign w:val="center"/>
          </w:tcPr>
          <w:p w14:paraId="104E7368">
            <w:pPr>
              <w:jc w:val="center"/>
              <w:rPr>
                <w:rFonts w:hint="eastAsia" w:ascii="宋体" w:hAnsi="宋体"/>
                <w:szCs w:val="21"/>
              </w:rPr>
            </w:pPr>
            <w:r>
              <w:rPr>
                <w:rFonts w:hint="eastAsia" w:ascii="宋体" w:hAnsi="宋体"/>
                <w:szCs w:val="21"/>
              </w:rPr>
              <w:t>F</w:t>
            </w:r>
            <w:r>
              <w:rPr>
                <w:rFonts w:hint="eastAsia" w:ascii="宋体" w:hAnsi="宋体"/>
                <w:szCs w:val="21"/>
                <w:vertAlign w:val="subscript"/>
              </w:rPr>
              <w:t>01</w:t>
            </w:r>
          </w:p>
        </w:tc>
        <w:tc>
          <w:tcPr>
            <w:tcW w:w="989" w:type="dxa"/>
            <w:noWrap w:val="0"/>
            <w:vAlign w:val="center"/>
          </w:tcPr>
          <w:p w14:paraId="545C3E8F">
            <w:pPr>
              <w:jc w:val="center"/>
              <w:rPr>
                <w:rFonts w:hint="eastAsia" w:ascii="宋体" w:hAnsi="宋体"/>
                <w:szCs w:val="21"/>
              </w:rPr>
            </w:pPr>
          </w:p>
        </w:tc>
        <w:tc>
          <w:tcPr>
            <w:tcW w:w="707" w:type="dxa"/>
            <w:noWrap w:val="0"/>
            <w:vAlign w:val="center"/>
          </w:tcPr>
          <w:p w14:paraId="72DD1690">
            <w:pPr>
              <w:jc w:val="center"/>
              <w:rPr>
                <w:rFonts w:hint="eastAsia" w:ascii="宋体" w:hAnsi="宋体"/>
                <w:szCs w:val="21"/>
              </w:rPr>
            </w:pPr>
            <w:r>
              <w:rPr>
                <w:rFonts w:hint="eastAsia" w:ascii="宋体" w:hAnsi="宋体"/>
                <w:szCs w:val="21"/>
              </w:rPr>
              <w:t>B</w:t>
            </w:r>
            <w:r>
              <w:rPr>
                <w:rFonts w:hint="eastAsia" w:ascii="宋体" w:hAnsi="宋体"/>
                <w:szCs w:val="21"/>
                <w:vertAlign w:val="subscript"/>
              </w:rPr>
              <w:t>1</w:t>
            </w:r>
          </w:p>
        </w:tc>
        <w:tc>
          <w:tcPr>
            <w:tcW w:w="1271" w:type="dxa"/>
            <w:noWrap w:val="0"/>
            <w:vAlign w:val="center"/>
          </w:tcPr>
          <w:p w14:paraId="670728C7">
            <w:pPr>
              <w:ind w:firstLine="105" w:firstLineChars="50"/>
              <w:rPr>
                <w:rFonts w:hint="eastAsia"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79F1C9A2">
            <w:pPr>
              <w:jc w:val="center"/>
              <w:rPr>
                <w:rFonts w:hint="eastAsia" w:ascii="宋体" w:hAnsi="宋体"/>
                <w:szCs w:val="21"/>
              </w:rPr>
            </w:pPr>
          </w:p>
        </w:tc>
        <w:tc>
          <w:tcPr>
            <w:tcW w:w="1695" w:type="dxa"/>
            <w:noWrap w:val="0"/>
            <w:vAlign w:val="center"/>
          </w:tcPr>
          <w:p w14:paraId="6BB701C7">
            <w:pPr>
              <w:jc w:val="center"/>
              <w:rPr>
                <w:rFonts w:hint="eastAsia" w:ascii="宋体" w:hAnsi="宋体"/>
                <w:szCs w:val="21"/>
              </w:rPr>
            </w:pPr>
          </w:p>
        </w:tc>
      </w:tr>
      <w:tr w14:paraId="0103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3108C92F">
            <w:pPr>
              <w:jc w:val="center"/>
              <w:rPr>
                <w:rFonts w:hint="eastAsia" w:ascii="宋体" w:hAnsi="宋体"/>
                <w:szCs w:val="21"/>
              </w:rPr>
            </w:pPr>
          </w:p>
        </w:tc>
        <w:tc>
          <w:tcPr>
            <w:tcW w:w="989" w:type="dxa"/>
            <w:noWrap w:val="0"/>
            <w:vAlign w:val="center"/>
          </w:tcPr>
          <w:p w14:paraId="5DC4B75D">
            <w:pPr>
              <w:jc w:val="center"/>
              <w:rPr>
                <w:rFonts w:hint="eastAsia" w:ascii="宋体" w:hAnsi="宋体"/>
                <w:szCs w:val="21"/>
              </w:rPr>
            </w:pPr>
            <w:r>
              <w:rPr>
                <w:rFonts w:hint="eastAsia" w:ascii="宋体" w:hAnsi="宋体"/>
                <w:szCs w:val="21"/>
              </w:rPr>
              <w:t>钢材</w:t>
            </w:r>
          </w:p>
        </w:tc>
        <w:tc>
          <w:tcPr>
            <w:tcW w:w="707" w:type="dxa"/>
            <w:noWrap w:val="0"/>
            <w:vAlign w:val="center"/>
          </w:tcPr>
          <w:p w14:paraId="1FCE127E">
            <w:pPr>
              <w:jc w:val="center"/>
              <w:rPr>
                <w:rFonts w:hint="eastAsia" w:ascii="宋体" w:hAnsi="宋体"/>
                <w:szCs w:val="21"/>
              </w:rPr>
            </w:pPr>
            <w:r>
              <w:rPr>
                <w:rFonts w:hint="eastAsia" w:ascii="宋体" w:hAnsi="宋体"/>
                <w:szCs w:val="21"/>
              </w:rPr>
              <w:t>F</w:t>
            </w:r>
            <w:r>
              <w:rPr>
                <w:rFonts w:hint="eastAsia" w:ascii="宋体" w:hAnsi="宋体"/>
                <w:szCs w:val="21"/>
                <w:vertAlign w:val="subscript"/>
              </w:rPr>
              <w:t>02</w:t>
            </w:r>
          </w:p>
        </w:tc>
        <w:tc>
          <w:tcPr>
            <w:tcW w:w="989" w:type="dxa"/>
            <w:noWrap w:val="0"/>
            <w:vAlign w:val="center"/>
          </w:tcPr>
          <w:p w14:paraId="3F305E47">
            <w:pPr>
              <w:jc w:val="center"/>
              <w:rPr>
                <w:rFonts w:hint="eastAsia" w:ascii="宋体" w:hAnsi="宋体"/>
                <w:szCs w:val="21"/>
              </w:rPr>
            </w:pPr>
          </w:p>
        </w:tc>
        <w:tc>
          <w:tcPr>
            <w:tcW w:w="707" w:type="dxa"/>
            <w:noWrap w:val="0"/>
            <w:vAlign w:val="center"/>
          </w:tcPr>
          <w:p w14:paraId="0830AB3B">
            <w:pPr>
              <w:jc w:val="center"/>
              <w:rPr>
                <w:rFonts w:hint="eastAsia" w:ascii="宋体" w:hAnsi="宋体"/>
                <w:szCs w:val="21"/>
              </w:rPr>
            </w:pPr>
            <w:r>
              <w:rPr>
                <w:rFonts w:hint="eastAsia" w:ascii="宋体" w:hAnsi="宋体"/>
                <w:szCs w:val="21"/>
              </w:rPr>
              <w:t>B</w:t>
            </w:r>
            <w:r>
              <w:rPr>
                <w:rFonts w:hint="eastAsia" w:ascii="宋体" w:hAnsi="宋体"/>
                <w:szCs w:val="21"/>
                <w:vertAlign w:val="subscript"/>
              </w:rPr>
              <w:t>2</w:t>
            </w:r>
          </w:p>
        </w:tc>
        <w:tc>
          <w:tcPr>
            <w:tcW w:w="1271" w:type="dxa"/>
            <w:noWrap w:val="0"/>
            <w:vAlign w:val="center"/>
          </w:tcPr>
          <w:p w14:paraId="35405569">
            <w:pPr>
              <w:ind w:firstLine="105" w:firstLineChars="50"/>
              <w:rPr>
                <w:rFonts w:hint="eastAsia"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47A70118">
            <w:pPr>
              <w:jc w:val="center"/>
              <w:rPr>
                <w:rFonts w:hint="eastAsia" w:ascii="宋体" w:hAnsi="宋体"/>
                <w:szCs w:val="21"/>
              </w:rPr>
            </w:pPr>
          </w:p>
        </w:tc>
        <w:tc>
          <w:tcPr>
            <w:tcW w:w="1695" w:type="dxa"/>
            <w:noWrap w:val="0"/>
            <w:vAlign w:val="center"/>
          </w:tcPr>
          <w:p w14:paraId="0F060631">
            <w:pPr>
              <w:jc w:val="center"/>
              <w:rPr>
                <w:rFonts w:hint="eastAsia" w:ascii="宋体" w:hAnsi="宋体"/>
                <w:szCs w:val="21"/>
              </w:rPr>
            </w:pPr>
          </w:p>
        </w:tc>
      </w:tr>
      <w:tr w14:paraId="50A5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31FD670C">
            <w:pPr>
              <w:jc w:val="center"/>
              <w:rPr>
                <w:rFonts w:hint="eastAsia" w:ascii="宋体" w:hAnsi="宋体"/>
                <w:szCs w:val="21"/>
              </w:rPr>
            </w:pPr>
          </w:p>
        </w:tc>
        <w:tc>
          <w:tcPr>
            <w:tcW w:w="989" w:type="dxa"/>
            <w:noWrap w:val="0"/>
            <w:vAlign w:val="center"/>
          </w:tcPr>
          <w:p w14:paraId="1E24ABF3">
            <w:pPr>
              <w:jc w:val="center"/>
              <w:rPr>
                <w:rFonts w:hint="eastAsia" w:ascii="宋体" w:hAnsi="宋体"/>
                <w:szCs w:val="21"/>
              </w:rPr>
            </w:pPr>
            <w:r>
              <w:rPr>
                <w:rFonts w:hint="eastAsia" w:ascii="宋体" w:hAnsi="宋体"/>
                <w:szCs w:val="21"/>
              </w:rPr>
              <w:t>水泥</w:t>
            </w:r>
          </w:p>
        </w:tc>
        <w:tc>
          <w:tcPr>
            <w:tcW w:w="707" w:type="dxa"/>
            <w:noWrap w:val="0"/>
            <w:vAlign w:val="center"/>
          </w:tcPr>
          <w:p w14:paraId="5D2CDC1F">
            <w:pPr>
              <w:jc w:val="center"/>
              <w:rPr>
                <w:rFonts w:hint="eastAsia" w:ascii="宋体" w:hAnsi="宋体"/>
                <w:szCs w:val="21"/>
              </w:rPr>
            </w:pPr>
            <w:r>
              <w:rPr>
                <w:rFonts w:hint="eastAsia" w:ascii="宋体" w:hAnsi="宋体"/>
                <w:szCs w:val="21"/>
              </w:rPr>
              <w:t>F</w:t>
            </w:r>
            <w:r>
              <w:rPr>
                <w:rFonts w:hint="eastAsia" w:ascii="宋体" w:hAnsi="宋体"/>
                <w:szCs w:val="21"/>
                <w:vertAlign w:val="subscript"/>
              </w:rPr>
              <w:t>03</w:t>
            </w:r>
          </w:p>
        </w:tc>
        <w:tc>
          <w:tcPr>
            <w:tcW w:w="989" w:type="dxa"/>
            <w:noWrap w:val="0"/>
            <w:vAlign w:val="center"/>
          </w:tcPr>
          <w:p w14:paraId="636D5F98">
            <w:pPr>
              <w:jc w:val="center"/>
              <w:rPr>
                <w:rFonts w:hint="eastAsia" w:ascii="宋体" w:hAnsi="宋体"/>
                <w:szCs w:val="21"/>
              </w:rPr>
            </w:pPr>
          </w:p>
        </w:tc>
        <w:tc>
          <w:tcPr>
            <w:tcW w:w="707" w:type="dxa"/>
            <w:noWrap w:val="0"/>
            <w:vAlign w:val="center"/>
          </w:tcPr>
          <w:p w14:paraId="16E607D4">
            <w:pPr>
              <w:jc w:val="center"/>
              <w:rPr>
                <w:rFonts w:hint="eastAsia" w:ascii="宋体" w:hAnsi="宋体"/>
                <w:szCs w:val="21"/>
              </w:rPr>
            </w:pPr>
            <w:r>
              <w:rPr>
                <w:rFonts w:hint="eastAsia" w:ascii="宋体" w:hAnsi="宋体"/>
                <w:szCs w:val="21"/>
              </w:rPr>
              <w:t>B</w:t>
            </w:r>
            <w:r>
              <w:rPr>
                <w:rFonts w:hint="eastAsia" w:ascii="宋体" w:hAnsi="宋体"/>
                <w:szCs w:val="21"/>
                <w:vertAlign w:val="subscript"/>
              </w:rPr>
              <w:t>3</w:t>
            </w:r>
          </w:p>
        </w:tc>
        <w:tc>
          <w:tcPr>
            <w:tcW w:w="1271" w:type="dxa"/>
            <w:noWrap w:val="0"/>
            <w:vAlign w:val="center"/>
          </w:tcPr>
          <w:p w14:paraId="1D7DDD99">
            <w:pPr>
              <w:ind w:firstLine="105" w:firstLineChars="50"/>
              <w:rPr>
                <w:rFonts w:hint="eastAsia"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7DDE46F8">
            <w:pPr>
              <w:jc w:val="center"/>
              <w:rPr>
                <w:rFonts w:hint="eastAsia" w:ascii="宋体" w:hAnsi="宋体"/>
                <w:szCs w:val="21"/>
              </w:rPr>
            </w:pPr>
          </w:p>
        </w:tc>
        <w:tc>
          <w:tcPr>
            <w:tcW w:w="1695" w:type="dxa"/>
            <w:noWrap w:val="0"/>
            <w:vAlign w:val="center"/>
          </w:tcPr>
          <w:p w14:paraId="6D37AE86">
            <w:pPr>
              <w:jc w:val="center"/>
              <w:rPr>
                <w:rFonts w:hint="eastAsia" w:ascii="宋体" w:hAnsi="宋体"/>
                <w:szCs w:val="21"/>
              </w:rPr>
            </w:pPr>
          </w:p>
        </w:tc>
      </w:tr>
      <w:tr w14:paraId="6492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1658AC33">
            <w:pPr>
              <w:jc w:val="center"/>
              <w:rPr>
                <w:rFonts w:hint="eastAsia" w:ascii="宋体" w:hAnsi="宋体"/>
                <w:szCs w:val="21"/>
              </w:rPr>
            </w:pPr>
          </w:p>
        </w:tc>
        <w:tc>
          <w:tcPr>
            <w:tcW w:w="989" w:type="dxa"/>
            <w:noWrap w:val="0"/>
            <w:vAlign w:val="center"/>
          </w:tcPr>
          <w:p w14:paraId="6260D1E6">
            <w:pPr>
              <w:jc w:val="center"/>
              <w:rPr>
                <w:rFonts w:hint="eastAsia" w:ascii="宋体" w:hAnsi="宋体"/>
                <w:szCs w:val="21"/>
              </w:rPr>
            </w:pPr>
            <w:r>
              <w:rPr>
                <w:rFonts w:hint="eastAsia" w:ascii="宋体" w:hAnsi="宋体"/>
                <w:szCs w:val="21"/>
              </w:rPr>
              <w:t>……</w:t>
            </w:r>
          </w:p>
        </w:tc>
        <w:tc>
          <w:tcPr>
            <w:tcW w:w="707" w:type="dxa"/>
            <w:noWrap w:val="0"/>
            <w:vAlign w:val="center"/>
          </w:tcPr>
          <w:p w14:paraId="167F33A1">
            <w:pPr>
              <w:jc w:val="center"/>
              <w:rPr>
                <w:rFonts w:hint="eastAsia" w:ascii="宋体" w:hAnsi="宋体"/>
                <w:szCs w:val="21"/>
              </w:rPr>
            </w:pPr>
            <w:r>
              <w:rPr>
                <w:rFonts w:hint="eastAsia" w:ascii="宋体" w:hAnsi="宋体"/>
                <w:szCs w:val="21"/>
              </w:rPr>
              <w:t>……</w:t>
            </w:r>
          </w:p>
        </w:tc>
        <w:tc>
          <w:tcPr>
            <w:tcW w:w="989" w:type="dxa"/>
            <w:noWrap w:val="0"/>
            <w:vAlign w:val="center"/>
          </w:tcPr>
          <w:p w14:paraId="03AEE823">
            <w:pPr>
              <w:jc w:val="center"/>
              <w:rPr>
                <w:rFonts w:hint="eastAsia" w:ascii="宋体" w:hAnsi="宋体"/>
                <w:szCs w:val="21"/>
              </w:rPr>
            </w:pPr>
          </w:p>
        </w:tc>
        <w:tc>
          <w:tcPr>
            <w:tcW w:w="707" w:type="dxa"/>
            <w:noWrap w:val="0"/>
            <w:vAlign w:val="center"/>
          </w:tcPr>
          <w:p w14:paraId="799D8747">
            <w:pPr>
              <w:jc w:val="center"/>
              <w:rPr>
                <w:rFonts w:hint="eastAsia" w:ascii="宋体" w:hAnsi="宋体"/>
                <w:szCs w:val="21"/>
              </w:rPr>
            </w:pPr>
            <w:r>
              <w:rPr>
                <w:rFonts w:hint="eastAsia" w:ascii="宋体" w:hAnsi="宋体"/>
                <w:szCs w:val="21"/>
              </w:rPr>
              <w:t>……</w:t>
            </w:r>
          </w:p>
        </w:tc>
        <w:tc>
          <w:tcPr>
            <w:tcW w:w="1271" w:type="dxa"/>
            <w:noWrap w:val="0"/>
            <w:vAlign w:val="center"/>
          </w:tcPr>
          <w:p w14:paraId="6CC18CFC">
            <w:pPr>
              <w:jc w:val="center"/>
              <w:rPr>
                <w:rFonts w:hint="eastAsia" w:ascii="宋体" w:hAnsi="宋体"/>
                <w:szCs w:val="21"/>
              </w:rPr>
            </w:pPr>
            <w:r>
              <w:rPr>
                <w:rFonts w:hint="eastAsia" w:ascii="宋体" w:hAnsi="宋体"/>
                <w:szCs w:val="21"/>
              </w:rPr>
              <w:t>……</w:t>
            </w:r>
          </w:p>
        </w:tc>
        <w:tc>
          <w:tcPr>
            <w:tcW w:w="1695" w:type="dxa"/>
            <w:noWrap w:val="0"/>
            <w:vAlign w:val="center"/>
          </w:tcPr>
          <w:p w14:paraId="43A24717">
            <w:pPr>
              <w:jc w:val="center"/>
              <w:rPr>
                <w:rFonts w:hint="eastAsia" w:ascii="宋体" w:hAnsi="宋体"/>
                <w:szCs w:val="21"/>
              </w:rPr>
            </w:pPr>
          </w:p>
        </w:tc>
        <w:tc>
          <w:tcPr>
            <w:tcW w:w="1695" w:type="dxa"/>
            <w:noWrap w:val="0"/>
            <w:vAlign w:val="center"/>
          </w:tcPr>
          <w:p w14:paraId="1F3798C8">
            <w:pPr>
              <w:jc w:val="center"/>
              <w:rPr>
                <w:rFonts w:hint="eastAsia" w:ascii="宋体" w:hAnsi="宋体"/>
                <w:szCs w:val="21"/>
              </w:rPr>
            </w:pPr>
          </w:p>
        </w:tc>
      </w:tr>
      <w:tr w14:paraId="70C6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5" w:type="dxa"/>
            <w:vMerge w:val="continue"/>
            <w:noWrap w:val="0"/>
            <w:vAlign w:val="center"/>
          </w:tcPr>
          <w:p w14:paraId="5B7A0AC4">
            <w:pPr>
              <w:jc w:val="center"/>
              <w:rPr>
                <w:rFonts w:hint="eastAsia" w:ascii="宋体" w:hAnsi="宋体"/>
                <w:szCs w:val="21"/>
              </w:rPr>
            </w:pPr>
          </w:p>
        </w:tc>
        <w:tc>
          <w:tcPr>
            <w:tcW w:w="989" w:type="dxa"/>
            <w:noWrap w:val="0"/>
            <w:vAlign w:val="center"/>
          </w:tcPr>
          <w:p w14:paraId="3A07295F">
            <w:pPr>
              <w:jc w:val="center"/>
              <w:rPr>
                <w:rFonts w:hint="eastAsia" w:ascii="宋体" w:hAnsi="宋体"/>
                <w:szCs w:val="21"/>
              </w:rPr>
            </w:pPr>
          </w:p>
        </w:tc>
        <w:tc>
          <w:tcPr>
            <w:tcW w:w="707" w:type="dxa"/>
            <w:noWrap w:val="0"/>
            <w:vAlign w:val="center"/>
          </w:tcPr>
          <w:p w14:paraId="16FB4034">
            <w:pPr>
              <w:jc w:val="center"/>
              <w:rPr>
                <w:rFonts w:hint="eastAsia" w:ascii="宋体" w:hAnsi="宋体"/>
                <w:szCs w:val="21"/>
              </w:rPr>
            </w:pPr>
          </w:p>
        </w:tc>
        <w:tc>
          <w:tcPr>
            <w:tcW w:w="989" w:type="dxa"/>
            <w:noWrap w:val="0"/>
            <w:vAlign w:val="center"/>
          </w:tcPr>
          <w:p w14:paraId="4F53C5CB">
            <w:pPr>
              <w:jc w:val="center"/>
              <w:rPr>
                <w:rFonts w:hint="eastAsia" w:ascii="宋体" w:hAnsi="宋体"/>
                <w:szCs w:val="21"/>
              </w:rPr>
            </w:pPr>
          </w:p>
        </w:tc>
        <w:tc>
          <w:tcPr>
            <w:tcW w:w="707" w:type="dxa"/>
            <w:noWrap w:val="0"/>
            <w:vAlign w:val="center"/>
          </w:tcPr>
          <w:p w14:paraId="6A8749FC">
            <w:pPr>
              <w:jc w:val="center"/>
              <w:rPr>
                <w:rFonts w:hint="eastAsia" w:ascii="宋体" w:hAnsi="宋体"/>
                <w:szCs w:val="21"/>
              </w:rPr>
            </w:pPr>
          </w:p>
        </w:tc>
        <w:tc>
          <w:tcPr>
            <w:tcW w:w="1271" w:type="dxa"/>
            <w:noWrap w:val="0"/>
            <w:vAlign w:val="center"/>
          </w:tcPr>
          <w:p w14:paraId="3DC2C558">
            <w:pPr>
              <w:jc w:val="center"/>
              <w:rPr>
                <w:rFonts w:hint="eastAsia" w:ascii="宋体" w:hAnsi="宋体"/>
                <w:szCs w:val="21"/>
              </w:rPr>
            </w:pPr>
          </w:p>
        </w:tc>
        <w:tc>
          <w:tcPr>
            <w:tcW w:w="1695" w:type="dxa"/>
            <w:noWrap w:val="0"/>
            <w:vAlign w:val="center"/>
          </w:tcPr>
          <w:p w14:paraId="43CB51DB">
            <w:pPr>
              <w:jc w:val="center"/>
              <w:rPr>
                <w:rFonts w:hint="eastAsia" w:ascii="宋体" w:hAnsi="宋体"/>
                <w:szCs w:val="21"/>
              </w:rPr>
            </w:pPr>
          </w:p>
        </w:tc>
        <w:tc>
          <w:tcPr>
            <w:tcW w:w="1695" w:type="dxa"/>
            <w:noWrap w:val="0"/>
            <w:vAlign w:val="center"/>
          </w:tcPr>
          <w:p w14:paraId="2BA601E0">
            <w:pPr>
              <w:jc w:val="center"/>
              <w:rPr>
                <w:rFonts w:hint="eastAsia" w:ascii="宋体" w:hAnsi="宋体"/>
                <w:szCs w:val="21"/>
              </w:rPr>
            </w:pPr>
          </w:p>
        </w:tc>
      </w:tr>
      <w:tr w14:paraId="74989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5" w:type="dxa"/>
            <w:vMerge w:val="continue"/>
            <w:noWrap w:val="0"/>
            <w:vAlign w:val="center"/>
          </w:tcPr>
          <w:p w14:paraId="32F696B4">
            <w:pPr>
              <w:jc w:val="center"/>
              <w:rPr>
                <w:rFonts w:hint="eastAsia" w:ascii="宋体" w:hAnsi="宋体"/>
                <w:szCs w:val="21"/>
              </w:rPr>
            </w:pPr>
          </w:p>
        </w:tc>
        <w:tc>
          <w:tcPr>
            <w:tcW w:w="989" w:type="dxa"/>
            <w:noWrap w:val="0"/>
            <w:vAlign w:val="center"/>
          </w:tcPr>
          <w:p w14:paraId="00BFCB6D">
            <w:pPr>
              <w:jc w:val="center"/>
              <w:rPr>
                <w:rFonts w:hint="eastAsia" w:ascii="宋体" w:hAnsi="宋体"/>
                <w:szCs w:val="21"/>
              </w:rPr>
            </w:pPr>
          </w:p>
        </w:tc>
        <w:tc>
          <w:tcPr>
            <w:tcW w:w="707" w:type="dxa"/>
            <w:noWrap w:val="0"/>
            <w:vAlign w:val="center"/>
          </w:tcPr>
          <w:p w14:paraId="6A5B4E88">
            <w:pPr>
              <w:jc w:val="center"/>
              <w:rPr>
                <w:rFonts w:hint="eastAsia" w:ascii="宋体" w:hAnsi="宋体"/>
                <w:szCs w:val="21"/>
              </w:rPr>
            </w:pPr>
          </w:p>
        </w:tc>
        <w:tc>
          <w:tcPr>
            <w:tcW w:w="989" w:type="dxa"/>
            <w:noWrap w:val="0"/>
            <w:vAlign w:val="center"/>
          </w:tcPr>
          <w:p w14:paraId="671212A6">
            <w:pPr>
              <w:jc w:val="center"/>
              <w:rPr>
                <w:rFonts w:hint="eastAsia" w:ascii="宋体" w:hAnsi="宋体"/>
                <w:szCs w:val="21"/>
              </w:rPr>
            </w:pPr>
          </w:p>
        </w:tc>
        <w:tc>
          <w:tcPr>
            <w:tcW w:w="707" w:type="dxa"/>
            <w:noWrap w:val="0"/>
            <w:vAlign w:val="center"/>
          </w:tcPr>
          <w:p w14:paraId="7AFAFD2B">
            <w:pPr>
              <w:jc w:val="center"/>
              <w:rPr>
                <w:rFonts w:hint="eastAsia" w:ascii="宋体" w:hAnsi="宋体"/>
                <w:szCs w:val="21"/>
              </w:rPr>
            </w:pPr>
          </w:p>
        </w:tc>
        <w:tc>
          <w:tcPr>
            <w:tcW w:w="1271" w:type="dxa"/>
            <w:noWrap w:val="0"/>
            <w:vAlign w:val="center"/>
          </w:tcPr>
          <w:p w14:paraId="05182481">
            <w:pPr>
              <w:jc w:val="center"/>
              <w:rPr>
                <w:rFonts w:hint="eastAsia" w:ascii="宋体" w:hAnsi="宋体"/>
                <w:szCs w:val="21"/>
              </w:rPr>
            </w:pPr>
          </w:p>
        </w:tc>
        <w:tc>
          <w:tcPr>
            <w:tcW w:w="1695" w:type="dxa"/>
            <w:noWrap w:val="0"/>
            <w:vAlign w:val="center"/>
          </w:tcPr>
          <w:p w14:paraId="1E90A090">
            <w:pPr>
              <w:jc w:val="center"/>
              <w:rPr>
                <w:rFonts w:hint="eastAsia" w:ascii="宋体" w:hAnsi="宋体"/>
                <w:szCs w:val="21"/>
              </w:rPr>
            </w:pPr>
          </w:p>
        </w:tc>
        <w:tc>
          <w:tcPr>
            <w:tcW w:w="1695" w:type="dxa"/>
            <w:noWrap w:val="0"/>
            <w:vAlign w:val="center"/>
          </w:tcPr>
          <w:p w14:paraId="2BF99220">
            <w:pPr>
              <w:jc w:val="center"/>
              <w:rPr>
                <w:rFonts w:hint="eastAsia" w:ascii="宋体" w:hAnsi="宋体"/>
                <w:szCs w:val="21"/>
              </w:rPr>
            </w:pPr>
          </w:p>
        </w:tc>
      </w:tr>
      <w:tr w14:paraId="6922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5086" w:type="dxa"/>
            <w:gridSpan w:val="6"/>
            <w:noWrap w:val="0"/>
            <w:vAlign w:val="center"/>
          </w:tcPr>
          <w:p w14:paraId="70ED2075">
            <w:pPr>
              <w:jc w:val="center"/>
              <w:rPr>
                <w:rFonts w:hint="eastAsia" w:ascii="宋体" w:hAnsi="宋体"/>
                <w:szCs w:val="21"/>
              </w:rPr>
            </w:pPr>
            <w:r>
              <w:rPr>
                <w:rFonts w:hint="eastAsia" w:ascii="宋体" w:hAnsi="宋体"/>
                <w:szCs w:val="21"/>
              </w:rPr>
              <w:t>合             计</w:t>
            </w:r>
          </w:p>
        </w:tc>
        <w:tc>
          <w:tcPr>
            <w:tcW w:w="1695" w:type="dxa"/>
            <w:noWrap w:val="0"/>
            <w:vAlign w:val="center"/>
          </w:tcPr>
          <w:p w14:paraId="35B1AABA">
            <w:pPr>
              <w:jc w:val="center"/>
              <w:rPr>
                <w:rFonts w:hint="eastAsia" w:ascii="宋体" w:hAnsi="宋体"/>
                <w:szCs w:val="21"/>
              </w:rPr>
            </w:pPr>
            <w:r>
              <w:rPr>
                <w:rFonts w:hint="eastAsia" w:ascii="宋体" w:hAnsi="宋体"/>
                <w:szCs w:val="21"/>
              </w:rPr>
              <w:t>1.00</w:t>
            </w:r>
          </w:p>
        </w:tc>
        <w:tc>
          <w:tcPr>
            <w:tcW w:w="1695" w:type="dxa"/>
            <w:noWrap w:val="0"/>
            <w:vAlign w:val="center"/>
          </w:tcPr>
          <w:p w14:paraId="2A59AE58">
            <w:pPr>
              <w:jc w:val="center"/>
              <w:rPr>
                <w:rFonts w:hint="eastAsia" w:ascii="宋体" w:hAnsi="宋体"/>
                <w:szCs w:val="21"/>
              </w:rPr>
            </w:pPr>
          </w:p>
        </w:tc>
      </w:tr>
    </w:tbl>
    <w:p w14:paraId="445C8685">
      <w:pPr>
        <w:spacing w:before="120" w:beforeLines="50"/>
        <w:rPr>
          <w:rFonts w:hint="eastAsia" w:ascii="黑体" w:hAnsi="宋体" w:eastAsia="黑体"/>
          <w:szCs w:val="21"/>
        </w:rPr>
      </w:pPr>
    </w:p>
    <w:p w14:paraId="097FB32D">
      <w:pPr>
        <w:spacing w:before="120" w:beforeLines="50"/>
        <w:rPr>
          <w:rFonts w:hint="eastAsia" w:ascii="黑体" w:hAnsi="宋体" w:eastAsia="黑体"/>
          <w:szCs w:val="21"/>
        </w:rPr>
      </w:pPr>
    </w:p>
    <w:p w14:paraId="5A581389">
      <w:pPr>
        <w:spacing w:before="120" w:beforeLines="50"/>
        <w:rPr>
          <w:rFonts w:hint="eastAsia" w:ascii="黑体" w:hAnsi="宋体" w:eastAsia="黑体"/>
          <w:szCs w:val="21"/>
        </w:rPr>
      </w:pPr>
    </w:p>
    <w:p w14:paraId="1BE72FC2">
      <w:pPr>
        <w:spacing w:before="120" w:beforeLines="50"/>
        <w:rPr>
          <w:rFonts w:hint="eastAsia" w:ascii="黑体" w:hAnsi="宋体" w:eastAsia="黑体"/>
          <w:szCs w:val="21"/>
        </w:rPr>
      </w:pPr>
    </w:p>
    <w:p w14:paraId="29CC1191">
      <w:pPr>
        <w:spacing w:before="120" w:beforeLines="50"/>
        <w:ind w:left="630" w:hanging="630" w:hangingChars="300"/>
        <w:rPr>
          <w:rFonts w:hint="eastAsia" w:ascii="宋体" w:hAnsi="宋体"/>
          <w:szCs w:val="21"/>
        </w:rPr>
      </w:pPr>
      <w:r>
        <w:rPr>
          <w:rFonts w:hint="eastAsia" w:ascii="宋体" w:hAnsi="宋体"/>
          <w:szCs w:val="21"/>
        </w:rPr>
        <w:t>备注：专用合同条款约定采用价格指数法进行价格调整时适用本表。表中除“投标人建议值”由投标人结合其投标报价情况选择填写外，其余均由招标人在招标文件发出前填写。</w:t>
      </w:r>
    </w:p>
    <w:p w14:paraId="1CF1634D">
      <w:pPr>
        <w:spacing w:before="120" w:beforeLines="50"/>
        <w:rPr>
          <w:rFonts w:hint="eastAsia" w:ascii="宋体" w:hAnsi="宋体"/>
          <w:szCs w:val="21"/>
        </w:rPr>
      </w:pPr>
    </w:p>
    <w:p w14:paraId="666664EF">
      <w:pPr>
        <w:spacing w:before="120" w:beforeLines="50"/>
        <w:rPr>
          <w:rFonts w:hint="eastAsia" w:ascii="宋体" w:hAnsi="宋体"/>
          <w:szCs w:val="21"/>
        </w:rPr>
      </w:pPr>
    </w:p>
    <w:p w14:paraId="5C22EFDC">
      <w:pPr>
        <w:spacing w:before="120" w:beforeLines="50"/>
        <w:rPr>
          <w:rFonts w:hint="eastAsia" w:ascii="宋体" w:hAnsi="宋体"/>
          <w:szCs w:val="21"/>
        </w:rPr>
      </w:pPr>
    </w:p>
    <w:p w14:paraId="0409C6E5">
      <w:pPr>
        <w:spacing w:before="120" w:beforeLines="50"/>
        <w:rPr>
          <w:rFonts w:hint="eastAsia" w:ascii="宋体" w:hAnsi="宋体"/>
          <w:szCs w:val="21"/>
        </w:rPr>
      </w:pPr>
    </w:p>
    <w:p w14:paraId="5BABBF93">
      <w:pPr>
        <w:spacing w:before="120" w:beforeLines="50"/>
        <w:rPr>
          <w:rFonts w:hint="eastAsia" w:ascii="宋体" w:hAnsi="宋体"/>
          <w:szCs w:val="21"/>
        </w:rPr>
      </w:pPr>
    </w:p>
    <w:p w14:paraId="72EDBB0A">
      <w:pPr>
        <w:spacing w:before="120" w:beforeLines="50"/>
        <w:rPr>
          <w:rFonts w:hint="eastAsia" w:ascii="宋体" w:hAnsi="宋体"/>
          <w:szCs w:val="21"/>
        </w:rPr>
      </w:pPr>
    </w:p>
    <w:p w14:paraId="5256BD92">
      <w:pPr>
        <w:spacing w:before="120" w:beforeLines="50"/>
        <w:rPr>
          <w:rFonts w:hint="eastAsia" w:ascii="宋体" w:hAnsi="宋体"/>
          <w:szCs w:val="21"/>
        </w:rPr>
      </w:pPr>
    </w:p>
    <w:p w14:paraId="5577C728">
      <w:pPr>
        <w:spacing w:before="120" w:beforeLines="50"/>
        <w:rPr>
          <w:rFonts w:hint="eastAsia" w:ascii="宋体" w:hAnsi="宋体"/>
          <w:szCs w:val="21"/>
        </w:rPr>
      </w:pPr>
    </w:p>
    <w:p w14:paraId="765AEF21">
      <w:pPr>
        <w:spacing w:before="120" w:beforeLines="50"/>
        <w:rPr>
          <w:rFonts w:hint="eastAsia" w:ascii="宋体" w:hAnsi="宋体"/>
          <w:szCs w:val="21"/>
        </w:rPr>
      </w:pPr>
    </w:p>
    <w:p w14:paraId="2EAA608F">
      <w:pPr>
        <w:spacing w:before="120" w:beforeLines="50"/>
        <w:rPr>
          <w:rFonts w:hint="eastAsia" w:ascii="宋体" w:hAnsi="宋体"/>
          <w:szCs w:val="21"/>
        </w:rPr>
      </w:pPr>
    </w:p>
    <w:p w14:paraId="0C9A1D94">
      <w:pPr>
        <w:spacing w:before="120" w:beforeLines="50"/>
        <w:rPr>
          <w:rFonts w:hint="eastAsia" w:ascii="宋体" w:hAnsi="宋体"/>
          <w:szCs w:val="21"/>
        </w:rPr>
      </w:pPr>
    </w:p>
    <w:p w14:paraId="1EC33223">
      <w:pPr>
        <w:spacing w:before="120" w:beforeLines="50"/>
        <w:rPr>
          <w:rFonts w:hint="eastAsia" w:ascii="宋体" w:hAnsi="宋体"/>
          <w:szCs w:val="21"/>
        </w:rPr>
      </w:pPr>
    </w:p>
    <w:p w14:paraId="531CB2AF">
      <w:pPr>
        <w:spacing w:before="120" w:beforeLines="50"/>
        <w:rPr>
          <w:rFonts w:hint="eastAsia" w:ascii="宋体" w:hAnsi="宋体"/>
          <w:szCs w:val="21"/>
        </w:rPr>
      </w:pPr>
    </w:p>
    <w:p w14:paraId="32B54E65">
      <w:pPr>
        <w:spacing w:before="120" w:beforeLines="50"/>
        <w:rPr>
          <w:rFonts w:hint="eastAsia" w:ascii="宋体" w:hAnsi="宋体"/>
          <w:szCs w:val="21"/>
        </w:rPr>
      </w:pPr>
    </w:p>
    <w:p w14:paraId="02D8ABF8">
      <w:pPr>
        <w:spacing w:before="120" w:beforeLines="50"/>
        <w:rPr>
          <w:rFonts w:hint="eastAsia" w:ascii="宋体" w:hAnsi="宋体"/>
          <w:szCs w:val="21"/>
        </w:rPr>
      </w:pPr>
    </w:p>
    <w:p w14:paraId="2F97B3A1">
      <w:pPr>
        <w:spacing w:before="120" w:beforeLines="50"/>
        <w:rPr>
          <w:rFonts w:hint="eastAsia" w:ascii="宋体" w:hAnsi="宋体"/>
          <w:szCs w:val="21"/>
        </w:rPr>
      </w:pPr>
    </w:p>
    <w:p w14:paraId="2E173D7B">
      <w:pPr>
        <w:spacing w:before="120" w:beforeLines="50"/>
        <w:rPr>
          <w:rFonts w:hint="eastAsia" w:ascii="宋体" w:hAnsi="宋体"/>
          <w:szCs w:val="21"/>
        </w:rPr>
      </w:pPr>
    </w:p>
    <w:p w14:paraId="702E3425">
      <w:pPr>
        <w:pStyle w:val="18"/>
        <w:jc w:val="center"/>
        <w:rPr>
          <w:rFonts w:hint="eastAsia" w:ascii="黑体" w:hAnsi="宋体"/>
          <w:szCs w:val="28"/>
        </w:rPr>
      </w:pPr>
      <w:bookmarkStart w:id="2641" w:name="_Toc108514227"/>
      <w:r>
        <w:rPr>
          <w:rFonts w:hint="eastAsia"/>
        </w:rPr>
        <w:t>二、法定代表人身份证明</w:t>
      </w:r>
      <w:bookmarkEnd w:id="2641"/>
    </w:p>
    <w:p w14:paraId="741BFD29">
      <w:pPr>
        <w:spacing w:line="500" w:lineRule="exact"/>
        <w:rPr>
          <w:rFonts w:hint="eastAsia" w:ascii="宋体" w:hAnsi="宋体"/>
          <w:szCs w:val="21"/>
        </w:rPr>
      </w:pPr>
      <w:r>
        <w:rPr>
          <w:rFonts w:hint="eastAsia" w:ascii="宋体" w:hAnsi="宋体"/>
          <w:szCs w:val="21"/>
        </w:rPr>
        <w:t>投 标 人：</w:t>
      </w:r>
      <w:r>
        <w:rPr>
          <w:rFonts w:hint="eastAsia" w:ascii="宋体" w:hAnsi="宋体"/>
          <w:szCs w:val="21"/>
          <w:u w:val="single"/>
        </w:rPr>
        <w:t xml:space="preserve">                                                        </w:t>
      </w:r>
    </w:p>
    <w:p w14:paraId="46B6904B">
      <w:pPr>
        <w:spacing w:line="500" w:lineRule="exact"/>
        <w:rPr>
          <w:rFonts w:hint="eastAsia" w:ascii="宋体" w:hAnsi="宋体"/>
          <w:szCs w:val="21"/>
        </w:rPr>
      </w:pPr>
      <w:r>
        <w:rPr>
          <w:rFonts w:hint="eastAsia" w:ascii="宋体" w:hAnsi="宋体"/>
          <w:szCs w:val="21"/>
        </w:rPr>
        <w:t>单位性质：</w:t>
      </w:r>
      <w:r>
        <w:rPr>
          <w:rFonts w:hint="eastAsia" w:ascii="宋体" w:hAnsi="宋体"/>
          <w:szCs w:val="21"/>
          <w:u w:val="single"/>
        </w:rPr>
        <w:t xml:space="preserve">                                                        </w:t>
      </w:r>
    </w:p>
    <w:p w14:paraId="2B92CA89">
      <w:pPr>
        <w:spacing w:line="500" w:lineRule="exact"/>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2C05ECE1">
      <w:pPr>
        <w:spacing w:line="500" w:lineRule="exact"/>
        <w:rPr>
          <w:rFonts w:hint="eastAsia" w:ascii="宋体" w:hAnsi="宋体"/>
          <w:szCs w:val="21"/>
        </w:rPr>
      </w:pPr>
      <w:r>
        <w:rPr>
          <w:rFonts w:hint="eastAsia" w:ascii="宋体" w:hAnsi="宋体"/>
          <w:szCs w:val="21"/>
        </w:rPr>
        <w:t>成立时间：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03FF4F9">
      <w:pPr>
        <w:spacing w:line="500" w:lineRule="exact"/>
        <w:rPr>
          <w:rFonts w:hint="eastAsia" w:ascii="宋体" w:hAnsi="宋体"/>
          <w:szCs w:val="21"/>
        </w:rPr>
      </w:pPr>
      <w:r>
        <w:rPr>
          <w:rFonts w:hint="eastAsia" w:ascii="宋体" w:hAnsi="宋体"/>
          <w:szCs w:val="21"/>
        </w:rPr>
        <w:t>经营期限：</w:t>
      </w:r>
      <w:r>
        <w:rPr>
          <w:rFonts w:hint="eastAsia" w:ascii="宋体" w:hAnsi="宋体"/>
          <w:szCs w:val="21"/>
          <w:u w:val="single"/>
        </w:rPr>
        <w:t xml:space="preserve">                                                        </w:t>
      </w:r>
    </w:p>
    <w:p w14:paraId="01A9CC6A">
      <w:pPr>
        <w:spacing w:line="500" w:lineRule="exact"/>
        <w:rPr>
          <w:rFonts w:hint="eastAsia" w:ascii="宋体" w:hAnsi="宋体"/>
          <w:szCs w:val="21"/>
        </w:rPr>
      </w:pPr>
      <w:r>
        <w:rPr>
          <w:rFonts w:hint="eastAsia" w:ascii="宋体" w:hAnsi="宋体"/>
          <w:szCs w:val="21"/>
        </w:rPr>
        <w:t>姓    名：</w:t>
      </w:r>
      <w:r>
        <w:rPr>
          <w:rFonts w:hint="eastAsia" w:ascii="宋体" w:hAnsi="宋体"/>
          <w:szCs w:val="21"/>
          <w:u w:val="single"/>
        </w:rPr>
        <w:t xml:space="preserve">                          </w:t>
      </w:r>
      <w:r>
        <w:rPr>
          <w:rFonts w:hint="eastAsia" w:ascii="宋体" w:hAnsi="宋体"/>
          <w:szCs w:val="21"/>
        </w:rPr>
        <w:t>性        别：</w:t>
      </w:r>
      <w:r>
        <w:rPr>
          <w:rFonts w:hint="eastAsia" w:ascii="宋体" w:hAnsi="宋体"/>
          <w:szCs w:val="21"/>
          <w:u w:val="single"/>
        </w:rPr>
        <w:t xml:space="preserve">                </w:t>
      </w:r>
    </w:p>
    <w:p w14:paraId="6714746A">
      <w:pPr>
        <w:spacing w:line="500" w:lineRule="exact"/>
        <w:rPr>
          <w:rFonts w:hint="eastAsia" w:ascii="宋体" w:hAnsi="宋体"/>
          <w:szCs w:val="21"/>
        </w:rPr>
      </w:pPr>
      <w:r>
        <w:rPr>
          <w:rFonts w:hint="eastAsia" w:ascii="宋体" w:hAnsi="宋体"/>
          <w:szCs w:val="21"/>
        </w:rPr>
        <w:t>年    龄：</w:t>
      </w:r>
      <w:r>
        <w:rPr>
          <w:rFonts w:hint="eastAsia" w:ascii="宋体" w:hAnsi="宋体"/>
          <w:szCs w:val="21"/>
          <w:u w:val="single"/>
        </w:rPr>
        <w:t xml:space="preserve">                          </w:t>
      </w:r>
      <w:r>
        <w:rPr>
          <w:rFonts w:hint="eastAsia" w:ascii="宋体" w:hAnsi="宋体"/>
          <w:szCs w:val="21"/>
        </w:rPr>
        <w:t>职        务：</w:t>
      </w:r>
      <w:r>
        <w:rPr>
          <w:rFonts w:hint="eastAsia" w:ascii="宋体" w:hAnsi="宋体"/>
          <w:szCs w:val="21"/>
          <w:u w:val="single"/>
        </w:rPr>
        <w:t xml:space="preserve">                </w:t>
      </w:r>
    </w:p>
    <w:p w14:paraId="34952622">
      <w:pPr>
        <w:spacing w:line="500" w:lineRule="exact"/>
        <w:rPr>
          <w:rFonts w:hint="eastAsia" w:ascii="宋体" w:hAnsi="宋体"/>
          <w:szCs w:val="21"/>
        </w:rPr>
      </w:pPr>
      <w:r>
        <w:rPr>
          <w:rFonts w:hint="eastAsia" w:ascii="宋体" w:hAnsi="宋体"/>
          <w:szCs w:val="21"/>
        </w:rPr>
        <w:t>系</w:t>
      </w:r>
      <w:r>
        <w:rPr>
          <w:rFonts w:hint="eastAsia" w:ascii="宋体" w:hAnsi="宋体"/>
          <w:szCs w:val="21"/>
          <w:u w:val="single"/>
        </w:rPr>
        <w:t xml:space="preserve">                                                 </w:t>
      </w:r>
      <w:r>
        <w:rPr>
          <w:rFonts w:hint="eastAsia" w:ascii="宋体" w:hAnsi="宋体"/>
          <w:szCs w:val="21"/>
        </w:rPr>
        <w:t>（投标人名称）的法定代表人。</w:t>
      </w:r>
    </w:p>
    <w:p w14:paraId="190DEF53">
      <w:pPr>
        <w:spacing w:line="500" w:lineRule="exact"/>
        <w:rPr>
          <w:rFonts w:hint="eastAsia" w:ascii="宋体" w:hAnsi="宋体"/>
          <w:szCs w:val="21"/>
        </w:rPr>
      </w:pPr>
      <w:r>
        <w:rPr>
          <w:rFonts w:hint="eastAsia" w:ascii="宋体" w:hAnsi="宋体"/>
          <w:szCs w:val="21"/>
        </w:rPr>
        <w:t>特此证明。</w:t>
      </w:r>
    </w:p>
    <w:p w14:paraId="64761CC6">
      <w:pPr>
        <w:spacing w:line="500" w:lineRule="exact"/>
        <w:rPr>
          <w:rFonts w:hint="eastAsia" w:ascii="宋体" w:hAnsi="宋体"/>
          <w:szCs w:val="21"/>
        </w:rPr>
      </w:pPr>
    </w:p>
    <w:p w14:paraId="7E1F13F1">
      <w:pPr>
        <w:spacing w:line="500" w:lineRule="exact"/>
        <w:rPr>
          <w:rFonts w:hint="eastAsia" w:ascii="宋体" w:hAnsi="宋体"/>
          <w:szCs w:val="21"/>
        </w:rPr>
      </w:pPr>
    </w:p>
    <w:p w14:paraId="05AF624E">
      <w:pPr>
        <w:wordWrap w:val="0"/>
        <w:spacing w:line="500" w:lineRule="exact"/>
        <w:jc w:val="right"/>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668BED15">
      <w:pPr>
        <w:wordWrap w:val="0"/>
        <w:spacing w:line="500"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0301171A">
      <w:pPr>
        <w:spacing w:line="500" w:lineRule="exact"/>
        <w:jc w:val="right"/>
        <w:rPr>
          <w:rFonts w:hint="eastAsia" w:ascii="宋体" w:hAnsi="宋体"/>
          <w:szCs w:val="21"/>
        </w:rPr>
      </w:pPr>
    </w:p>
    <w:p w14:paraId="5C6A5BA3">
      <w:pPr>
        <w:spacing w:line="500" w:lineRule="exact"/>
        <w:jc w:val="right"/>
        <w:rPr>
          <w:rFonts w:hint="eastAsia" w:ascii="宋体" w:hAnsi="宋体"/>
          <w:szCs w:val="21"/>
        </w:rPr>
      </w:pPr>
    </w:p>
    <w:p w14:paraId="6E366E0D">
      <w:pPr>
        <w:spacing w:line="500" w:lineRule="exact"/>
        <w:rPr>
          <w:rFonts w:hint="eastAsia" w:ascii="宋体" w:hAnsi="宋体"/>
          <w:szCs w:val="21"/>
        </w:rPr>
      </w:pPr>
    </w:p>
    <w:p w14:paraId="27DCA6C5">
      <w:pPr>
        <w:spacing w:line="500" w:lineRule="exact"/>
        <w:rPr>
          <w:rFonts w:hint="eastAsia" w:ascii="宋体" w:hAnsi="宋体"/>
          <w:szCs w:val="21"/>
        </w:rPr>
      </w:pPr>
    </w:p>
    <w:p w14:paraId="14C8E13A">
      <w:pPr>
        <w:spacing w:line="500" w:lineRule="exact"/>
        <w:rPr>
          <w:rFonts w:hint="eastAsia" w:ascii="宋体" w:hAnsi="宋体"/>
          <w:szCs w:val="21"/>
        </w:rPr>
      </w:pPr>
    </w:p>
    <w:p w14:paraId="5A669EE5">
      <w:pPr>
        <w:spacing w:line="500" w:lineRule="exact"/>
        <w:rPr>
          <w:rFonts w:hint="eastAsia" w:ascii="宋体" w:hAnsi="宋体"/>
          <w:szCs w:val="21"/>
        </w:rPr>
      </w:pPr>
    </w:p>
    <w:p w14:paraId="485768DC">
      <w:pPr>
        <w:spacing w:line="500" w:lineRule="exact"/>
        <w:rPr>
          <w:rFonts w:hint="eastAsia" w:ascii="宋体" w:hAnsi="宋体"/>
          <w:szCs w:val="21"/>
        </w:rPr>
      </w:pPr>
    </w:p>
    <w:p w14:paraId="4B1F9DAF">
      <w:pPr>
        <w:spacing w:line="500" w:lineRule="exact"/>
        <w:rPr>
          <w:rFonts w:hint="eastAsia" w:ascii="宋体" w:hAnsi="宋体"/>
          <w:szCs w:val="21"/>
        </w:rPr>
      </w:pPr>
    </w:p>
    <w:p w14:paraId="00D8A7D1">
      <w:pPr>
        <w:spacing w:line="500" w:lineRule="exact"/>
        <w:rPr>
          <w:rFonts w:hint="eastAsia" w:ascii="宋体" w:hAnsi="宋体"/>
          <w:szCs w:val="21"/>
        </w:rPr>
      </w:pPr>
    </w:p>
    <w:p w14:paraId="3C693153">
      <w:pPr>
        <w:spacing w:line="500" w:lineRule="exact"/>
        <w:rPr>
          <w:rFonts w:hint="eastAsia" w:ascii="宋体" w:hAnsi="宋体"/>
          <w:szCs w:val="21"/>
        </w:rPr>
      </w:pPr>
    </w:p>
    <w:p w14:paraId="120BE819">
      <w:pPr>
        <w:spacing w:line="500" w:lineRule="exact"/>
        <w:rPr>
          <w:rFonts w:hint="eastAsia" w:ascii="宋体" w:hAnsi="宋体"/>
          <w:szCs w:val="21"/>
        </w:rPr>
      </w:pPr>
    </w:p>
    <w:p w14:paraId="32A073AD">
      <w:pPr>
        <w:spacing w:line="400" w:lineRule="exact"/>
        <w:rPr>
          <w:rFonts w:hint="eastAsia" w:ascii="宋体" w:hAnsi="宋体"/>
          <w:szCs w:val="21"/>
        </w:rPr>
      </w:pPr>
    </w:p>
    <w:p w14:paraId="39BAB4BC">
      <w:pPr>
        <w:spacing w:line="394" w:lineRule="exact"/>
        <w:rPr>
          <w:rFonts w:hint="eastAsia" w:ascii="宋体" w:hAnsi="宋体"/>
          <w:szCs w:val="21"/>
        </w:rPr>
      </w:pPr>
    </w:p>
    <w:p w14:paraId="3392D2E3">
      <w:pPr>
        <w:pStyle w:val="18"/>
        <w:jc w:val="center"/>
        <w:rPr>
          <w:rFonts w:hint="eastAsia"/>
        </w:rPr>
      </w:pPr>
      <w:bookmarkStart w:id="2642" w:name="_Toc108514228"/>
      <w:r>
        <w:rPr>
          <w:rFonts w:hint="eastAsia"/>
        </w:rPr>
        <w:t>三、投标保证金</w:t>
      </w:r>
      <w:bookmarkEnd w:id="2642"/>
    </w:p>
    <w:p w14:paraId="7DD01014">
      <w:pPr>
        <w:spacing w:line="400" w:lineRule="atLeast"/>
        <w:ind w:firstLine="390"/>
        <w:rPr>
          <w:szCs w:val="21"/>
        </w:rPr>
      </w:pPr>
    </w:p>
    <w:p w14:paraId="2FD6730B">
      <w:pPr>
        <w:spacing w:line="400" w:lineRule="atLeast"/>
        <w:ind w:firstLine="390"/>
        <w:rPr>
          <w:szCs w:val="21"/>
        </w:rPr>
      </w:pPr>
      <w:r>
        <w:rPr>
          <w:szCs w:val="21"/>
        </w:rPr>
        <w:t>若采用现金或支票，投标人应在此提供汇款凭证的扫描件。</w:t>
      </w:r>
    </w:p>
    <w:p w14:paraId="6879FA9B">
      <w:pPr>
        <w:spacing w:line="400" w:lineRule="atLeast"/>
        <w:ind w:firstLine="390"/>
        <w:rPr>
          <w:szCs w:val="21"/>
        </w:rPr>
      </w:pPr>
      <w:r>
        <w:rPr>
          <w:szCs w:val="21"/>
        </w:rPr>
        <w:t>如采用银行保函，格式如下。</w:t>
      </w:r>
    </w:p>
    <w:p w14:paraId="0F46ADEB">
      <w:pPr>
        <w:spacing w:line="460" w:lineRule="exact"/>
        <w:rPr>
          <w:rFonts w:hint="eastAsia" w:ascii="宋体" w:hAnsi="宋体"/>
          <w:szCs w:val="21"/>
          <w:u w:val="single"/>
        </w:rPr>
      </w:pPr>
    </w:p>
    <w:p w14:paraId="05FC520C">
      <w:pPr>
        <w:spacing w:line="46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729CF898">
      <w:pPr>
        <w:spacing w:line="460" w:lineRule="exact"/>
        <w:ind w:firstLine="420" w:firstLineChars="200"/>
        <w:rPr>
          <w:rFonts w:hint="eastAsia" w:ascii="宋体" w:hAnsi="宋体"/>
          <w:szCs w:val="21"/>
        </w:rPr>
      </w:pPr>
      <w:r>
        <w:rPr>
          <w:rFonts w:hint="eastAsia" w:ascii="宋体" w:hAnsi="宋体"/>
          <w:szCs w:val="21"/>
        </w:rPr>
        <w:t>鉴于</w:t>
      </w:r>
      <w:r>
        <w:rPr>
          <w:rFonts w:hint="eastAsia" w:ascii="宋体" w:hAnsi="宋体"/>
          <w:szCs w:val="21"/>
          <w:u w:val="single"/>
        </w:rPr>
        <w:t xml:space="preserve">                   </w:t>
      </w:r>
      <w:r>
        <w:rPr>
          <w:rFonts w:hint="eastAsia" w:ascii="宋体" w:hAnsi="宋体"/>
          <w:szCs w:val="21"/>
        </w:rPr>
        <w:t>（投标人名称）（以下简称“投标人”）参加你方</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的施工投标，</w:t>
      </w:r>
      <w:r>
        <w:rPr>
          <w:rFonts w:hint="eastAsia" w:ascii="宋体" w:hAnsi="宋体"/>
          <w:szCs w:val="21"/>
          <w:u w:val="single"/>
        </w:rPr>
        <w:t xml:space="preserve">                            </w:t>
      </w:r>
      <w:r>
        <w:rPr>
          <w:rFonts w:hint="eastAsia" w:ascii="宋体" w:hAnsi="宋体"/>
          <w:szCs w:val="21"/>
        </w:rPr>
        <w:t>（担保人名称）（以下简称“我方”）受该投标人委托，在此无条件地、不可撤销地保证：一旦收到你方提出的下述任何一种事实的书面通知，在7日内无条件地向你方支付总额不超过</w:t>
      </w:r>
      <w:r>
        <w:rPr>
          <w:rFonts w:hint="eastAsia" w:ascii="宋体" w:hAnsi="宋体"/>
          <w:szCs w:val="21"/>
          <w:u w:val="single"/>
        </w:rPr>
        <w:t xml:space="preserve">                  </w:t>
      </w:r>
      <w:r>
        <w:rPr>
          <w:rFonts w:hint="eastAsia" w:ascii="宋体" w:hAnsi="宋体"/>
          <w:szCs w:val="21"/>
        </w:rPr>
        <w:t>（投标保函额度）的任何你方要求的金额：</w:t>
      </w:r>
    </w:p>
    <w:p w14:paraId="4512AAB8">
      <w:pPr>
        <w:spacing w:line="460" w:lineRule="exact"/>
        <w:ind w:firstLine="420" w:firstLineChars="200"/>
        <w:rPr>
          <w:rFonts w:hint="eastAsia" w:ascii="宋体" w:hAnsi="宋体"/>
          <w:szCs w:val="21"/>
        </w:rPr>
      </w:pPr>
      <w:r>
        <w:rPr>
          <w:rFonts w:hint="eastAsia" w:ascii="宋体" w:hAnsi="宋体"/>
          <w:szCs w:val="21"/>
        </w:rPr>
        <w:t>1．投标人在规定的投标有效期内撤销或者修改其投标文件。</w:t>
      </w:r>
    </w:p>
    <w:p w14:paraId="3494379A">
      <w:pPr>
        <w:spacing w:line="460" w:lineRule="exact"/>
        <w:ind w:firstLine="420" w:firstLineChars="200"/>
        <w:rPr>
          <w:rFonts w:hint="eastAsia" w:ascii="宋体" w:hAnsi="宋体"/>
          <w:szCs w:val="21"/>
        </w:rPr>
      </w:pPr>
      <w:r>
        <w:rPr>
          <w:rFonts w:hint="eastAsia" w:ascii="宋体" w:hAnsi="宋体"/>
          <w:szCs w:val="21"/>
        </w:rPr>
        <w:t>2．投标人在收到中标通知书后无正当理由而未在规定期限内与贵方签署合同，或者</w:t>
      </w:r>
      <w:r>
        <w:rPr>
          <w:rFonts w:hint="eastAsia"/>
        </w:rPr>
        <w:t>在签订合同时向招标人提出附加条件。</w:t>
      </w:r>
    </w:p>
    <w:p w14:paraId="7C8EFC0D">
      <w:pPr>
        <w:spacing w:line="460" w:lineRule="exact"/>
        <w:ind w:firstLine="420" w:firstLineChars="200"/>
        <w:rPr>
          <w:rFonts w:hint="eastAsia" w:ascii="宋体" w:hAnsi="宋体"/>
          <w:szCs w:val="21"/>
        </w:rPr>
      </w:pPr>
      <w:r>
        <w:rPr>
          <w:rFonts w:hint="eastAsia" w:ascii="宋体" w:hAnsi="宋体"/>
          <w:szCs w:val="21"/>
        </w:rPr>
        <w:t>3．投标人在收到中标通知书后未能在规定期限内向贵方提交招标文件所要求的履约担保。</w:t>
      </w:r>
    </w:p>
    <w:p w14:paraId="045921E7">
      <w:pPr>
        <w:spacing w:line="460" w:lineRule="exact"/>
        <w:ind w:firstLine="420" w:firstLineChars="200"/>
        <w:rPr>
          <w:rFonts w:hint="eastAsia" w:ascii="宋体" w:hAnsi="宋体"/>
          <w:szCs w:val="21"/>
        </w:rPr>
      </w:pPr>
      <w:r>
        <w:rPr>
          <w:rFonts w:hint="eastAsia" w:ascii="宋体" w:hAnsi="宋体"/>
          <w:szCs w:val="21"/>
        </w:rPr>
        <w:t>本保函在投标有效期内保持有效，除非你方提前终止或解除本保函。要求我方承担保证责任的通知应在投标有效期内送达我方。保函失效后请将本保函交投标人退回我方注销。</w:t>
      </w:r>
    </w:p>
    <w:p w14:paraId="28996122">
      <w:pPr>
        <w:spacing w:line="460" w:lineRule="exact"/>
        <w:ind w:firstLine="420" w:firstLineChars="200"/>
        <w:rPr>
          <w:rFonts w:hint="eastAsia" w:ascii="宋体" w:hAnsi="宋体"/>
          <w:szCs w:val="21"/>
        </w:rPr>
      </w:pPr>
      <w:r>
        <w:rPr>
          <w:rFonts w:hint="eastAsia" w:ascii="宋体" w:hAnsi="宋体"/>
          <w:szCs w:val="21"/>
        </w:rPr>
        <w:t>本保函项下所有权利和义务均受中华人民共和国法律管辖和制约。</w:t>
      </w:r>
    </w:p>
    <w:p w14:paraId="7334DF44">
      <w:pPr>
        <w:spacing w:line="460" w:lineRule="exact"/>
        <w:ind w:firstLine="420" w:firstLineChars="200"/>
        <w:rPr>
          <w:rFonts w:hint="eastAsia" w:ascii="宋体" w:hAnsi="宋体"/>
          <w:szCs w:val="21"/>
        </w:rPr>
      </w:pPr>
    </w:p>
    <w:p w14:paraId="59D7A79E">
      <w:pPr>
        <w:spacing w:line="460" w:lineRule="exact"/>
        <w:ind w:firstLine="2100" w:firstLineChars="1000"/>
        <w:rPr>
          <w:rFonts w:hint="eastAsia" w:ascii="宋体" w:hAnsi="宋体"/>
          <w:szCs w:val="21"/>
        </w:rPr>
      </w:pPr>
      <w:r>
        <w:rPr>
          <w:rFonts w:hint="eastAsia" w:ascii="宋体" w:hAnsi="宋体"/>
          <w:szCs w:val="21"/>
        </w:rPr>
        <w:t>担保人名称：</w:t>
      </w:r>
      <w:r>
        <w:rPr>
          <w:rFonts w:hint="eastAsia" w:ascii="宋体" w:hAnsi="宋体"/>
          <w:szCs w:val="21"/>
          <w:u w:val="single"/>
        </w:rPr>
        <w:t xml:space="preserve">                                </w:t>
      </w:r>
      <w:r>
        <w:rPr>
          <w:rFonts w:hint="eastAsia" w:ascii="宋体" w:hAnsi="宋体"/>
          <w:szCs w:val="21"/>
        </w:rPr>
        <w:t>（盖单位章）</w:t>
      </w:r>
    </w:p>
    <w:p w14:paraId="52C44079">
      <w:pPr>
        <w:spacing w:line="460" w:lineRule="exact"/>
        <w:ind w:firstLine="2100" w:firstLineChars="100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7834631E">
      <w:pPr>
        <w:spacing w:line="460" w:lineRule="exact"/>
        <w:ind w:firstLine="2100" w:firstLineChars="1000"/>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14:paraId="65B01F50">
      <w:pPr>
        <w:spacing w:line="460" w:lineRule="exact"/>
        <w:ind w:firstLine="2100" w:firstLineChars="1000"/>
        <w:rPr>
          <w:rFonts w:hint="eastAsia" w:ascii="宋体" w:hAnsi="宋体"/>
          <w:szCs w:val="21"/>
        </w:rPr>
      </w:pPr>
      <w:r>
        <w:rPr>
          <w:rFonts w:hint="eastAsia" w:ascii="宋体" w:hAnsi="宋体"/>
          <w:szCs w:val="21"/>
        </w:rPr>
        <w:t>邮政编码：</w:t>
      </w:r>
      <w:r>
        <w:rPr>
          <w:rFonts w:hint="eastAsia" w:ascii="宋体" w:hAnsi="宋体"/>
          <w:szCs w:val="21"/>
          <w:u w:val="single"/>
        </w:rPr>
        <w:t xml:space="preserve">                                             </w:t>
      </w:r>
    </w:p>
    <w:p w14:paraId="2417DABB">
      <w:pPr>
        <w:spacing w:line="460" w:lineRule="exact"/>
        <w:ind w:firstLine="2100" w:firstLineChars="1000"/>
        <w:rPr>
          <w:rFonts w:hint="eastAsia" w:ascii="宋体" w:hAnsi="宋体"/>
          <w:szCs w:val="21"/>
        </w:rPr>
      </w:pPr>
      <w:r>
        <w:rPr>
          <w:rFonts w:hint="eastAsia" w:ascii="宋体" w:hAnsi="宋体"/>
          <w:szCs w:val="21"/>
        </w:rPr>
        <w:t>电    话：</w:t>
      </w:r>
      <w:r>
        <w:rPr>
          <w:rFonts w:hint="eastAsia" w:ascii="宋体" w:hAnsi="宋体"/>
          <w:szCs w:val="21"/>
          <w:u w:val="single"/>
        </w:rPr>
        <w:t xml:space="preserve">                                             </w:t>
      </w:r>
    </w:p>
    <w:p w14:paraId="74D0F4CA">
      <w:pPr>
        <w:spacing w:line="460" w:lineRule="exact"/>
        <w:ind w:firstLine="2100" w:firstLineChars="1000"/>
        <w:rPr>
          <w:rFonts w:hint="eastAsia" w:ascii="宋体" w:hAnsi="宋体"/>
          <w:szCs w:val="21"/>
          <w:u w:val="single"/>
        </w:rPr>
      </w:pPr>
      <w:r>
        <w:rPr>
          <w:rFonts w:hint="eastAsia" w:ascii="宋体" w:hAnsi="宋体"/>
          <w:szCs w:val="21"/>
        </w:rPr>
        <w:t>传    真：</w:t>
      </w:r>
      <w:r>
        <w:rPr>
          <w:rFonts w:hint="eastAsia" w:ascii="宋体" w:hAnsi="宋体"/>
          <w:szCs w:val="21"/>
          <w:u w:val="single"/>
        </w:rPr>
        <w:t xml:space="preserve">                                             </w:t>
      </w:r>
    </w:p>
    <w:p w14:paraId="2DCF2F19">
      <w:pPr>
        <w:spacing w:line="460"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04374844">
      <w:pPr>
        <w:spacing w:line="460" w:lineRule="exact"/>
        <w:rPr>
          <w:rFonts w:hint="eastAsia" w:ascii="宋体" w:hAnsi="宋体"/>
          <w:szCs w:val="21"/>
        </w:rPr>
      </w:pPr>
    </w:p>
    <w:p w14:paraId="5C7D05D7">
      <w:pPr>
        <w:spacing w:line="400" w:lineRule="exact"/>
        <w:ind w:left="840" w:hanging="840" w:hangingChars="400"/>
        <w:rPr>
          <w:rFonts w:hint="eastAsia" w:ascii="宋体" w:hAnsi="宋体"/>
          <w:szCs w:val="21"/>
        </w:rPr>
      </w:pPr>
      <w:r>
        <w:rPr>
          <w:rFonts w:hint="eastAsia" w:ascii="宋体" w:hAnsi="宋体"/>
          <w:szCs w:val="21"/>
        </w:rPr>
        <w:t>备注：1.投标人采用保函形式提交投标保证金的采用本格式。</w:t>
      </w:r>
    </w:p>
    <w:p w14:paraId="0A2B6B93">
      <w:pPr>
        <w:spacing w:line="400" w:lineRule="exact"/>
        <w:ind w:left="840" w:leftChars="300" w:hanging="210" w:hangingChars="100"/>
        <w:rPr>
          <w:rFonts w:hint="eastAsia" w:ascii="宋体" w:hAnsi="宋体"/>
          <w:szCs w:val="21"/>
        </w:rPr>
      </w:pPr>
      <w:r>
        <w:rPr>
          <w:rFonts w:hint="eastAsia" w:ascii="宋体" w:hAnsi="宋体"/>
          <w:szCs w:val="21"/>
        </w:rPr>
        <w:t>2.投标人可采用银行提供的保函格式，但担保内容不得背离招标文件约定的实质性内容或对招标人的权利造成实质性的限制。</w:t>
      </w:r>
    </w:p>
    <w:p w14:paraId="7FBC5FB3">
      <w:pPr>
        <w:pStyle w:val="18"/>
        <w:jc w:val="center"/>
        <w:rPr>
          <w:rFonts w:hint="eastAsia"/>
        </w:rPr>
      </w:pPr>
      <w:bookmarkStart w:id="2643" w:name="_Toc108514229"/>
      <w:r>
        <w:rPr>
          <w:rFonts w:hint="eastAsia"/>
        </w:rPr>
        <w:t>四、联合体协议书</w:t>
      </w:r>
      <w:bookmarkEnd w:id="2643"/>
    </w:p>
    <w:p w14:paraId="7624329E">
      <w:pPr>
        <w:spacing w:line="394" w:lineRule="exact"/>
        <w:rPr>
          <w:rFonts w:hint="eastAsia" w:ascii="宋体" w:hAnsi="宋体"/>
          <w:szCs w:val="21"/>
        </w:rPr>
      </w:pPr>
    </w:p>
    <w:p w14:paraId="287AC40A">
      <w:pPr>
        <w:spacing w:line="394" w:lineRule="exact"/>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p>
    <w:p w14:paraId="1727E36E">
      <w:pPr>
        <w:spacing w:line="394" w:lineRule="exac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p>
    <w:p w14:paraId="64D07BBF">
      <w:pPr>
        <w:spacing w:line="394" w:lineRule="exact"/>
        <w:rPr>
          <w:rFonts w:hint="eastAsia" w:ascii="宋体" w:hAnsi="宋体"/>
          <w:szCs w:val="21"/>
          <w:u w:val="single"/>
        </w:rPr>
      </w:pPr>
      <w:r>
        <w:rPr>
          <w:rFonts w:hint="eastAsia" w:ascii="宋体" w:hAnsi="宋体"/>
          <w:szCs w:val="21"/>
        </w:rPr>
        <w:t>法定住所：</w:t>
      </w:r>
      <w:r>
        <w:rPr>
          <w:rFonts w:hint="eastAsia" w:ascii="宋体" w:hAnsi="宋体"/>
          <w:szCs w:val="21"/>
          <w:u w:val="single"/>
        </w:rPr>
        <w:t xml:space="preserve">                                                    </w:t>
      </w:r>
    </w:p>
    <w:p w14:paraId="7AA30250">
      <w:pPr>
        <w:spacing w:line="394" w:lineRule="exact"/>
        <w:rPr>
          <w:rFonts w:hint="eastAsia" w:ascii="宋体" w:hAnsi="宋体"/>
          <w:szCs w:val="21"/>
        </w:rPr>
      </w:pPr>
    </w:p>
    <w:p w14:paraId="06A5479C">
      <w:pPr>
        <w:spacing w:line="394" w:lineRule="exact"/>
        <w:rPr>
          <w:rFonts w:hint="eastAsia" w:ascii="宋体" w:hAnsi="宋体"/>
          <w:szCs w:val="21"/>
        </w:rPr>
      </w:pPr>
      <w:r>
        <w:rPr>
          <w:rFonts w:hint="eastAsia" w:ascii="宋体" w:hAnsi="宋体"/>
          <w:szCs w:val="21"/>
        </w:rPr>
        <w:t>成员二名称：</w:t>
      </w:r>
      <w:r>
        <w:rPr>
          <w:rFonts w:hint="eastAsia" w:ascii="宋体" w:hAnsi="宋体"/>
          <w:szCs w:val="21"/>
          <w:u w:val="single"/>
        </w:rPr>
        <w:t xml:space="preserve">                                                  </w:t>
      </w:r>
    </w:p>
    <w:p w14:paraId="6BCA0A98">
      <w:pPr>
        <w:spacing w:line="394" w:lineRule="exac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p>
    <w:p w14:paraId="23EC12F5">
      <w:pPr>
        <w:spacing w:line="394" w:lineRule="exact"/>
        <w:rPr>
          <w:rFonts w:hint="eastAsia" w:ascii="宋体" w:hAnsi="宋体"/>
          <w:szCs w:val="21"/>
          <w:u w:val="single"/>
        </w:rPr>
      </w:pPr>
      <w:r>
        <w:rPr>
          <w:rFonts w:hint="eastAsia" w:ascii="宋体" w:hAnsi="宋体"/>
          <w:szCs w:val="21"/>
        </w:rPr>
        <w:t>法定住所：</w:t>
      </w:r>
      <w:r>
        <w:rPr>
          <w:rFonts w:hint="eastAsia" w:ascii="宋体" w:hAnsi="宋体"/>
          <w:szCs w:val="21"/>
          <w:u w:val="single"/>
        </w:rPr>
        <w:t xml:space="preserve">                                                    </w:t>
      </w:r>
    </w:p>
    <w:p w14:paraId="77502CFE">
      <w:pPr>
        <w:spacing w:line="394" w:lineRule="exact"/>
        <w:ind w:firstLine="525" w:firstLineChars="250"/>
        <w:rPr>
          <w:rFonts w:hint="eastAsia" w:ascii="宋体" w:hAnsi="宋体"/>
          <w:szCs w:val="21"/>
        </w:rPr>
      </w:pPr>
      <w:r>
        <w:rPr>
          <w:rFonts w:hint="eastAsia" w:ascii="宋体" w:hAnsi="宋体"/>
          <w:szCs w:val="21"/>
        </w:rPr>
        <w:t>……</w:t>
      </w:r>
    </w:p>
    <w:p w14:paraId="3F3DB25A">
      <w:pPr>
        <w:spacing w:line="394" w:lineRule="exact"/>
        <w:ind w:firstLine="420" w:firstLineChars="200"/>
        <w:rPr>
          <w:rFonts w:hint="eastAsia" w:ascii="宋体" w:hAnsi="宋体"/>
          <w:szCs w:val="21"/>
        </w:rPr>
      </w:pPr>
      <w:r>
        <w:rPr>
          <w:rFonts w:hint="eastAsia" w:ascii="宋体" w:hAnsi="宋体"/>
          <w:szCs w:val="21"/>
        </w:rPr>
        <w:t>鉴于上述各成员单位经过友好协商，自愿组成</w:t>
      </w:r>
      <w:r>
        <w:rPr>
          <w:rFonts w:hint="eastAsia" w:ascii="宋体" w:hAnsi="宋体"/>
          <w:szCs w:val="21"/>
          <w:u w:val="single"/>
        </w:rPr>
        <w:t xml:space="preserve">       </w:t>
      </w:r>
      <w:r>
        <w:rPr>
          <w:rFonts w:hint="eastAsia" w:ascii="宋体" w:hAnsi="宋体"/>
          <w:szCs w:val="21"/>
        </w:rPr>
        <w:t>（联合体名称）联合体，共同参加</w:t>
      </w:r>
    </w:p>
    <w:p w14:paraId="43928042">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（招标人名称）（以下简称招标人）</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（以下简称本工程）的施工投标并争取赢得本工程施工承包合同（以下简称合同）。现就联合体投标事宜订立如下协议：</w:t>
      </w:r>
    </w:p>
    <w:p w14:paraId="1A6D0296">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1877B156">
      <w:pPr>
        <w:spacing w:line="394" w:lineRule="exact"/>
        <w:ind w:firstLine="420" w:firstLineChars="200"/>
        <w:rPr>
          <w:rFonts w:hint="eastAsia" w:ascii="宋体" w:hAnsi="宋体"/>
          <w:szCs w:val="21"/>
        </w:rPr>
      </w:pPr>
      <w:r>
        <w:rPr>
          <w:rFonts w:hint="eastAsia" w:ascii="宋体" w:hAnsi="宋体"/>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546DDF2F">
      <w:pPr>
        <w:spacing w:line="394" w:lineRule="exact"/>
        <w:ind w:firstLine="420" w:firstLineChars="200"/>
        <w:rPr>
          <w:rFonts w:hint="eastAsia" w:ascii="宋体" w:hAnsi="宋体"/>
          <w:szCs w:val="21"/>
        </w:rPr>
      </w:pPr>
      <w:r>
        <w:rPr>
          <w:rFonts w:hint="eastAsia" w:ascii="宋体" w:hAnsi="宋体"/>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5E00A7DE">
      <w:pPr>
        <w:spacing w:line="394" w:lineRule="exact"/>
        <w:ind w:firstLine="420" w:firstLineChars="200"/>
        <w:rPr>
          <w:rFonts w:hint="eastAsia" w:ascii="宋体" w:hAnsi="宋体"/>
          <w:szCs w:val="21"/>
          <w:u w:val="single"/>
        </w:rPr>
      </w:pPr>
      <w:r>
        <w:rPr>
          <w:rFonts w:hint="eastAsia" w:ascii="宋体" w:hAnsi="宋体"/>
          <w:szCs w:val="21"/>
        </w:rPr>
        <w:t>4．联合体各成员单位内部的职责分工如下：</w:t>
      </w:r>
      <w:r>
        <w:rPr>
          <w:rFonts w:hint="eastAsia" w:ascii="宋体" w:hAnsi="宋体"/>
          <w:szCs w:val="21"/>
          <w:u w:val="single"/>
        </w:rPr>
        <w:t xml:space="preserve">                                                                        </w:t>
      </w:r>
    </w:p>
    <w:p w14:paraId="39988277">
      <w:pPr>
        <w:spacing w:line="394" w:lineRule="exact"/>
        <w:rPr>
          <w:rFonts w:hint="eastAsia" w:ascii="宋体" w:hAnsi="宋体"/>
          <w:szCs w:val="21"/>
          <w:u w:val="single"/>
        </w:rPr>
      </w:pPr>
      <w:r>
        <w:rPr>
          <w:rFonts w:hint="eastAsia" w:ascii="宋体" w:hAnsi="宋体"/>
          <w:szCs w:val="21"/>
          <w:u w:val="single"/>
        </w:rPr>
        <w:t xml:space="preserve">                                                                               </w:t>
      </w:r>
      <w:r>
        <w:rPr>
          <w:rFonts w:hint="eastAsia" w:ascii="宋体" w:hAnsi="宋体"/>
          <w:szCs w:val="21"/>
        </w:rPr>
        <w:t>。按照本条上述分工，联合体成员单位各自所承担的合同工作量比例如下：</w:t>
      </w:r>
      <w:r>
        <w:rPr>
          <w:rFonts w:hint="eastAsia" w:ascii="宋体" w:hAnsi="宋体"/>
          <w:szCs w:val="21"/>
          <w:u w:val="single"/>
        </w:rPr>
        <w:t xml:space="preserve">                                                              </w:t>
      </w:r>
    </w:p>
    <w:p w14:paraId="57524E86">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73B737AC">
      <w:pPr>
        <w:spacing w:line="394" w:lineRule="exact"/>
        <w:ind w:firstLine="420" w:firstLineChars="200"/>
        <w:rPr>
          <w:rFonts w:hint="eastAsia" w:ascii="宋体" w:hAnsi="宋体"/>
          <w:szCs w:val="21"/>
        </w:rPr>
      </w:pPr>
      <w:r>
        <w:rPr>
          <w:rFonts w:hint="eastAsia" w:ascii="宋体" w:hAnsi="宋体"/>
          <w:szCs w:val="21"/>
        </w:rPr>
        <w:t>5．投标工作和联合体在中标后工程实施过程中的有关费用按各自承担的工作量分摊。</w:t>
      </w:r>
    </w:p>
    <w:p w14:paraId="607D0B43">
      <w:pPr>
        <w:spacing w:line="394" w:lineRule="exact"/>
        <w:ind w:firstLine="420" w:firstLineChars="200"/>
        <w:rPr>
          <w:rFonts w:hint="eastAsia" w:ascii="宋体" w:hAnsi="宋体"/>
          <w:szCs w:val="21"/>
        </w:rPr>
      </w:pPr>
      <w:r>
        <w:rPr>
          <w:rFonts w:hint="eastAsia" w:ascii="宋体" w:hAnsi="宋体"/>
          <w:szCs w:val="21"/>
        </w:rPr>
        <w:t>6．联合体中标后，本联合体协议是合同的附件，对联合体各成员单位有合同约束力。</w:t>
      </w:r>
    </w:p>
    <w:p w14:paraId="0C0CF484">
      <w:pPr>
        <w:spacing w:line="394" w:lineRule="exact"/>
        <w:ind w:firstLine="420" w:firstLineChars="200"/>
        <w:rPr>
          <w:rFonts w:hint="eastAsia" w:ascii="宋体" w:hAnsi="宋体"/>
          <w:szCs w:val="21"/>
        </w:rPr>
      </w:pPr>
      <w:r>
        <w:rPr>
          <w:rFonts w:hint="eastAsia" w:ascii="宋体" w:hAnsi="宋体"/>
          <w:szCs w:val="21"/>
        </w:rPr>
        <w:t>7．本协议书自签署之日起生效，联合体未中标或者中标合同履行完毕后自动失效。</w:t>
      </w:r>
    </w:p>
    <w:p w14:paraId="5D022144">
      <w:pPr>
        <w:spacing w:line="394" w:lineRule="exact"/>
        <w:ind w:firstLine="420" w:firstLineChars="200"/>
        <w:rPr>
          <w:rFonts w:hint="eastAsia"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份，联合体成员和招标人各执一份。</w:t>
      </w:r>
    </w:p>
    <w:p w14:paraId="068B09C4">
      <w:pPr>
        <w:spacing w:line="394" w:lineRule="exact"/>
        <w:ind w:firstLine="1785" w:firstLineChars="850"/>
        <w:rPr>
          <w:rFonts w:hint="eastAsia" w:ascii="宋体" w:hAnsi="宋体"/>
          <w:szCs w:val="21"/>
        </w:rPr>
      </w:pPr>
    </w:p>
    <w:p w14:paraId="35CE69A3">
      <w:pPr>
        <w:spacing w:line="394" w:lineRule="exact"/>
        <w:ind w:firstLine="1785" w:firstLineChars="850"/>
        <w:rPr>
          <w:rFonts w:hint="eastAsia" w:ascii="宋体" w:hAnsi="宋体"/>
          <w:szCs w:val="21"/>
        </w:rPr>
      </w:pPr>
    </w:p>
    <w:p w14:paraId="1D6F420B">
      <w:pPr>
        <w:spacing w:line="394" w:lineRule="exact"/>
        <w:ind w:firstLine="1785" w:firstLineChars="850"/>
        <w:rPr>
          <w:rFonts w:hint="eastAsia" w:ascii="宋体" w:hAnsi="宋体"/>
          <w:szCs w:val="21"/>
        </w:rPr>
      </w:pPr>
    </w:p>
    <w:p w14:paraId="74B86E06">
      <w:pPr>
        <w:spacing w:line="394" w:lineRule="exact"/>
        <w:ind w:firstLine="1785" w:firstLineChars="850"/>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（盖单位章）</w:t>
      </w:r>
    </w:p>
    <w:p w14:paraId="20551EEE">
      <w:pPr>
        <w:spacing w:line="394" w:lineRule="exact"/>
        <w:ind w:firstLine="1785" w:firstLineChars="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0A4A90F3">
      <w:pPr>
        <w:spacing w:line="394" w:lineRule="exact"/>
        <w:ind w:firstLine="1785" w:firstLineChars="850"/>
        <w:rPr>
          <w:rFonts w:hint="eastAsia" w:ascii="宋体" w:hAnsi="宋体"/>
          <w:szCs w:val="21"/>
        </w:rPr>
      </w:pPr>
    </w:p>
    <w:p w14:paraId="048A0328">
      <w:pPr>
        <w:spacing w:line="394" w:lineRule="exact"/>
        <w:ind w:firstLine="1785" w:firstLineChars="850"/>
        <w:rPr>
          <w:rFonts w:hint="eastAsia" w:ascii="宋体" w:hAnsi="宋体"/>
          <w:szCs w:val="21"/>
        </w:rPr>
      </w:pPr>
      <w:r>
        <w:rPr>
          <w:rFonts w:hint="eastAsia" w:ascii="宋体" w:hAnsi="宋体"/>
          <w:szCs w:val="21"/>
        </w:rPr>
        <w:t>成员二名称：</w:t>
      </w:r>
      <w:r>
        <w:rPr>
          <w:rFonts w:hint="eastAsia" w:ascii="宋体" w:hAnsi="宋体"/>
          <w:szCs w:val="21"/>
          <w:u w:val="single"/>
        </w:rPr>
        <w:t xml:space="preserve">                                    </w:t>
      </w:r>
      <w:r>
        <w:rPr>
          <w:rFonts w:hint="eastAsia" w:ascii="宋体" w:hAnsi="宋体"/>
          <w:szCs w:val="21"/>
        </w:rPr>
        <w:t>（盖单位章）</w:t>
      </w:r>
    </w:p>
    <w:p w14:paraId="4C42867C">
      <w:pPr>
        <w:spacing w:line="394" w:lineRule="exact"/>
        <w:ind w:firstLine="1785" w:firstLineChars="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5B773EC2">
      <w:pPr>
        <w:spacing w:line="394" w:lineRule="exact"/>
        <w:ind w:firstLine="2100" w:firstLineChars="1000"/>
        <w:rPr>
          <w:rFonts w:hint="eastAsia" w:ascii="宋体" w:hAnsi="宋体"/>
          <w:szCs w:val="21"/>
        </w:rPr>
      </w:pPr>
      <w:r>
        <w:rPr>
          <w:rFonts w:hint="eastAsia" w:ascii="宋体" w:hAnsi="宋体"/>
          <w:szCs w:val="21"/>
        </w:rPr>
        <w:t>……</w:t>
      </w:r>
    </w:p>
    <w:p w14:paraId="1D2647BC">
      <w:pPr>
        <w:wordWrap w:val="0"/>
        <w:spacing w:line="394"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1E334CD7">
      <w:pPr>
        <w:spacing w:line="394" w:lineRule="exact"/>
        <w:rPr>
          <w:rFonts w:hint="eastAsia" w:ascii="黑体" w:hAnsi="宋体" w:eastAsia="黑体"/>
          <w:szCs w:val="21"/>
        </w:rPr>
      </w:pPr>
    </w:p>
    <w:p w14:paraId="5110FB07">
      <w:pPr>
        <w:spacing w:line="394" w:lineRule="exact"/>
        <w:rPr>
          <w:rFonts w:hint="eastAsia" w:ascii="黑体" w:hAnsi="宋体" w:eastAsia="黑体"/>
          <w:szCs w:val="21"/>
        </w:rPr>
      </w:pPr>
    </w:p>
    <w:p w14:paraId="40F26E93">
      <w:pPr>
        <w:spacing w:line="394" w:lineRule="exact"/>
        <w:rPr>
          <w:rFonts w:hint="eastAsia" w:ascii="黑体" w:hAnsi="宋体" w:eastAsia="黑体"/>
          <w:szCs w:val="21"/>
        </w:rPr>
      </w:pPr>
    </w:p>
    <w:p w14:paraId="38B882DE">
      <w:pPr>
        <w:spacing w:line="394" w:lineRule="exact"/>
        <w:rPr>
          <w:rFonts w:hint="eastAsia" w:ascii="黑体" w:hAnsi="宋体" w:eastAsia="黑体"/>
          <w:szCs w:val="21"/>
        </w:rPr>
      </w:pPr>
    </w:p>
    <w:p w14:paraId="6574F7DC">
      <w:pPr>
        <w:spacing w:line="394" w:lineRule="exact"/>
        <w:rPr>
          <w:rFonts w:hint="eastAsia" w:ascii="黑体" w:hAnsi="宋体" w:eastAsia="黑体"/>
          <w:szCs w:val="21"/>
        </w:rPr>
      </w:pPr>
    </w:p>
    <w:p w14:paraId="5AB1EBD1">
      <w:pPr>
        <w:spacing w:line="394" w:lineRule="exact"/>
        <w:rPr>
          <w:rFonts w:hint="eastAsia" w:ascii="黑体" w:hAnsi="宋体" w:eastAsia="黑体"/>
          <w:szCs w:val="21"/>
        </w:rPr>
      </w:pPr>
    </w:p>
    <w:p w14:paraId="34DB60A0">
      <w:pPr>
        <w:spacing w:line="394" w:lineRule="exact"/>
        <w:rPr>
          <w:rFonts w:hint="eastAsia" w:ascii="黑体" w:hAnsi="宋体" w:eastAsia="黑体"/>
          <w:szCs w:val="21"/>
        </w:rPr>
      </w:pPr>
    </w:p>
    <w:p w14:paraId="1913BD22">
      <w:pPr>
        <w:spacing w:line="394" w:lineRule="exact"/>
        <w:rPr>
          <w:rFonts w:hint="eastAsia" w:ascii="黑体" w:hAnsi="宋体" w:eastAsia="黑体"/>
          <w:szCs w:val="21"/>
        </w:rPr>
      </w:pPr>
    </w:p>
    <w:p w14:paraId="52760FBD">
      <w:pPr>
        <w:spacing w:line="394" w:lineRule="exact"/>
        <w:rPr>
          <w:rFonts w:hint="eastAsia" w:ascii="黑体" w:hAnsi="宋体" w:eastAsia="黑体"/>
          <w:szCs w:val="21"/>
        </w:rPr>
      </w:pPr>
    </w:p>
    <w:p w14:paraId="1E95FA14">
      <w:pPr>
        <w:spacing w:line="394" w:lineRule="exact"/>
        <w:rPr>
          <w:rFonts w:hint="eastAsia" w:ascii="黑体" w:hAnsi="宋体" w:eastAsia="黑体"/>
          <w:szCs w:val="21"/>
        </w:rPr>
      </w:pPr>
    </w:p>
    <w:p w14:paraId="02F2DEF1">
      <w:pPr>
        <w:spacing w:line="394" w:lineRule="exact"/>
        <w:rPr>
          <w:rFonts w:hint="eastAsia" w:ascii="黑体" w:hAnsi="宋体" w:eastAsia="黑体"/>
          <w:szCs w:val="21"/>
        </w:rPr>
      </w:pPr>
    </w:p>
    <w:p w14:paraId="529C90C9">
      <w:pPr>
        <w:spacing w:line="394" w:lineRule="exact"/>
        <w:rPr>
          <w:rFonts w:hint="eastAsia" w:ascii="黑体" w:hAnsi="宋体" w:eastAsia="黑体"/>
          <w:szCs w:val="21"/>
        </w:rPr>
      </w:pPr>
    </w:p>
    <w:p w14:paraId="357BE271">
      <w:pPr>
        <w:spacing w:line="394" w:lineRule="exact"/>
        <w:rPr>
          <w:rFonts w:hint="eastAsia" w:ascii="黑体" w:hAnsi="宋体" w:eastAsia="黑体"/>
          <w:szCs w:val="21"/>
        </w:rPr>
      </w:pPr>
    </w:p>
    <w:p w14:paraId="25235C54">
      <w:pPr>
        <w:spacing w:line="394" w:lineRule="exact"/>
        <w:rPr>
          <w:rFonts w:hint="eastAsia" w:ascii="黑体" w:hAnsi="宋体" w:eastAsia="黑体"/>
          <w:szCs w:val="21"/>
        </w:rPr>
      </w:pPr>
    </w:p>
    <w:p w14:paraId="3EC3EB3C">
      <w:pPr>
        <w:spacing w:line="394" w:lineRule="exact"/>
        <w:rPr>
          <w:rFonts w:hint="eastAsia" w:ascii="黑体" w:hAnsi="宋体" w:eastAsia="黑体"/>
          <w:szCs w:val="21"/>
        </w:rPr>
      </w:pPr>
    </w:p>
    <w:p w14:paraId="502C00CE">
      <w:pPr>
        <w:spacing w:line="400" w:lineRule="exact"/>
        <w:rPr>
          <w:rFonts w:hint="eastAsia" w:ascii="宋体" w:hAnsi="宋体"/>
          <w:szCs w:val="21"/>
        </w:rPr>
      </w:pPr>
      <w:r>
        <w:rPr>
          <w:rFonts w:hint="eastAsia" w:ascii="宋体" w:hAnsi="宋体"/>
          <w:szCs w:val="21"/>
        </w:rPr>
        <w:t>备注：1.本协议书由委托代理人签字的，应附法定代表人签字的授权委托书。</w:t>
      </w:r>
    </w:p>
    <w:p w14:paraId="2921ED92">
      <w:pPr>
        <w:spacing w:line="394" w:lineRule="exact"/>
        <w:ind w:left="840" w:leftChars="300" w:hanging="210" w:hangingChars="100"/>
        <w:rPr>
          <w:rFonts w:hint="eastAsia" w:ascii="宋体" w:hAnsi="宋体"/>
          <w:bCs/>
          <w:szCs w:val="21"/>
        </w:rPr>
      </w:pPr>
      <w:r>
        <w:rPr>
          <w:rFonts w:hint="eastAsia" w:ascii="宋体" w:hAnsi="宋体"/>
          <w:szCs w:val="21"/>
        </w:rPr>
        <w:t>2.投标人未采用联合体投标的，</w:t>
      </w:r>
      <w:r>
        <w:rPr>
          <w:rFonts w:hint="eastAsia" w:ascii="宋体" w:hAnsi="宋体"/>
          <w:bCs/>
          <w:szCs w:val="21"/>
        </w:rPr>
        <w:t>投标文件中不需联合体协议书，也无须盖单位章和签字。</w:t>
      </w:r>
    </w:p>
    <w:p w14:paraId="0D12C5E6">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07306C94">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387DC7D7">
      <w:pPr>
        <w:spacing w:line="394" w:lineRule="exact"/>
        <w:ind w:left="840" w:leftChars="300" w:hanging="210" w:hangingChars="100"/>
        <w:rPr>
          <w:rFonts w:hint="eastAsia" w:ascii="宋体" w:hAnsi="宋体"/>
          <w:szCs w:val="21"/>
        </w:rPr>
      </w:pPr>
    </w:p>
    <w:p w14:paraId="3E873F61">
      <w:pPr>
        <w:spacing w:line="394" w:lineRule="exact"/>
        <w:ind w:left="840" w:leftChars="300" w:hanging="210" w:hangingChars="100"/>
        <w:rPr>
          <w:rFonts w:hint="eastAsia" w:ascii="宋体" w:hAnsi="宋体"/>
          <w:szCs w:val="21"/>
        </w:rPr>
      </w:pPr>
    </w:p>
    <w:p w14:paraId="7B24AD92">
      <w:pPr>
        <w:spacing w:line="394" w:lineRule="exact"/>
        <w:ind w:left="840" w:leftChars="300" w:hanging="210" w:hangingChars="100"/>
        <w:rPr>
          <w:rFonts w:hint="eastAsia" w:ascii="宋体" w:hAnsi="宋体"/>
          <w:szCs w:val="21"/>
        </w:rPr>
      </w:pPr>
    </w:p>
    <w:p w14:paraId="56CE3151">
      <w:pPr>
        <w:pStyle w:val="18"/>
        <w:jc w:val="center"/>
        <w:rPr>
          <w:rFonts w:hint="eastAsia"/>
        </w:rPr>
      </w:pPr>
      <w:bookmarkStart w:id="2644" w:name="_Toc108514230"/>
      <w:r>
        <w:rPr>
          <w:rFonts w:hint="eastAsia"/>
        </w:rPr>
        <w:t>五、拟分包计划表</w:t>
      </w:r>
      <w:bookmarkEnd w:id="2644"/>
    </w:p>
    <w:p w14:paraId="3A1A5B88">
      <w:pPr>
        <w:spacing w:line="440" w:lineRule="exact"/>
        <w:ind w:right="420"/>
        <w:rPr>
          <w:rFonts w:hint="eastAsia" w:ascii="黑体" w:hAnsi="宋体"/>
          <w:szCs w:val="28"/>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2792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4DDCEE17">
            <w:pPr>
              <w:jc w:val="center"/>
              <w:rPr>
                <w:rFonts w:hint="eastAsia" w:ascii="宋体" w:hAnsi="宋体"/>
                <w:szCs w:val="21"/>
              </w:rPr>
            </w:pPr>
            <w:r>
              <w:rPr>
                <w:rFonts w:hint="eastAsia" w:ascii="宋体" w:hAnsi="宋体"/>
                <w:szCs w:val="21"/>
              </w:rPr>
              <w:t>序</w:t>
            </w:r>
          </w:p>
          <w:p w14:paraId="582FD701">
            <w:pPr>
              <w:jc w:val="center"/>
              <w:rPr>
                <w:rFonts w:hint="eastAsia" w:ascii="宋体" w:hAnsi="宋体"/>
                <w:szCs w:val="21"/>
              </w:rPr>
            </w:pPr>
            <w:r>
              <w:rPr>
                <w:rFonts w:hint="eastAsia" w:ascii="宋体" w:hAnsi="宋体"/>
                <w:szCs w:val="21"/>
              </w:rPr>
              <w:t>号</w:t>
            </w:r>
          </w:p>
        </w:tc>
        <w:tc>
          <w:tcPr>
            <w:tcW w:w="1843" w:type="dxa"/>
            <w:vMerge w:val="restart"/>
            <w:noWrap w:val="0"/>
            <w:tcMar>
              <w:left w:w="108" w:type="dxa"/>
              <w:right w:w="108" w:type="dxa"/>
            </w:tcMar>
            <w:vAlign w:val="center"/>
          </w:tcPr>
          <w:p w14:paraId="0537EC59">
            <w:pPr>
              <w:jc w:val="center"/>
              <w:rPr>
                <w:rFonts w:hint="eastAsia" w:ascii="宋体" w:hAnsi="宋体"/>
                <w:szCs w:val="21"/>
              </w:rPr>
            </w:pPr>
            <w:r>
              <w:rPr>
                <w:rFonts w:hint="eastAsia" w:ascii="宋体" w:hAnsi="宋体"/>
                <w:szCs w:val="21"/>
              </w:rPr>
              <w:t>拟分包项目名称、范围及理由</w:t>
            </w:r>
          </w:p>
        </w:tc>
        <w:tc>
          <w:tcPr>
            <w:tcW w:w="5111" w:type="dxa"/>
            <w:gridSpan w:val="5"/>
            <w:noWrap w:val="0"/>
            <w:tcMar>
              <w:left w:w="108" w:type="dxa"/>
              <w:right w:w="108" w:type="dxa"/>
            </w:tcMar>
            <w:vAlign w:val="center"/>
          </w:tcPr>
          <w:p w14:paraId="2B89AFB1">
            <w:pPr>
              <w:jc w:val="center"/>
              <w:rPr>
                <w:rFonts w:hint="eastAsia" w:ascii="宋体" w:hAnsi="宋体"/>
                <w:szCs w:val="21"/>
              </w:rPr>
            </w:pPr>
            <w:r>
              <w:rPr>
                <w:rFonts w:hint="eastAsia" w:ascii="宋体" w:hAnsi="宋体"/>
                <w:szCs w:val="21"/>
              </w:rPr>
              <w:t>拟选分包人</w:t>
            </w:r>
          </w:p>
        </w:tc>
        <w:tc>
          <w:tcPr>
            <w:tcW w:w="983" w:type="dxa"/>
            <w:vMerge w:val="restart"/>
            <w:noWrap w:val="0"/>
            <w:tcMar>
              <w:left w:w="108" w:type="dxa"/>
              <w:right w:w="108" w:type="dxa"/>
            </w:tcMar>
            <w:vAlign w:val="center"/>
          </w:tcPr>
          <w:p w14:paraId="3A5180DA">
            <w:pPr>
              <w:jc w:val="center"/>
              <w:rPr>
                <w:rFonts w:hint="eastAsia" w:ascii="宋体" w:hAnsi="宋体"/>
                <w:szCs w:val="21"/>
              </w:rPr>
            </w:pPr>
            <w:r>
              <w:rPr>
                <w:rFonts w:hint="eastAsia" w:ascii="宋体" w:hAnsi="宋体"/>
                <w:szCs w:val="21"/>
              </w:rPr>
              <w:t>备注</w:t>
            </w:r>
          </w:p>
        </w:tc>
      </w:tr>
      <w:tr w14:paraId="71B0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59FD7CF">
            <w:pPr>
              <w:jc w:val="center"/>
              <w:rPr>
                <w:rFonts w:hint="eastAsia" w:ascii="宋体" w:hAnsi="宋体"/>
                <w:szCs w:val="21"/>
              </w:rPr>
            </w:pPr>
          </w:p>
        </w:tc>
        <w:tc>
          <w:tcPr>
            <w:tcW w:w="1843" w:type="dxa"/>
            <w:vMerge w:val="continue"/>
            <w:noWrap w:val="0"/>
            <w:tcMar>
              <w:left w:w="108" w:type="dxa"/>
              <w:right w:w="108" w:type="dxa"/>
            </w:tcMar>
            <w:vAlign w:val="center"/>
          </w:tcPr>
          <w:p w14:paraId="760E386E">
            <w:pPr>
              <w:jc w:val="center"/>
              <w:rPr>
                <w:rFonts w:hint="eastAsia" w:ascii="宋体" w:hAnsi="宋体"/>
                <w:szCs w:val="21"/>
              </w:rPr>
            </w:pPr>
          </w:p>
        </w:tc>
        <w:tc>
          <w:tcPr>
            <w:tcW w:w="1701" w:type="dxa"/>
            <w:gridSpan w:val="2"/>
            <w:noWrap w:val="0"/>
            <w:tcMar>
              <w:left w:w="108" w:type="dxa"/>
              <w:right w:w="108" w:type="dxa"/>
            </w:tcMar>
            <w:vAlign w:val="center"/>
          </w:tcPr>
          <w:p w14:paraId="5EBEABF1">
            <w:pPr>
              <w:jc w:val="center"/>
              <w:rPr>
                <w:rFonts w:hint="eastAsia" w:ascii="宋体" w:hAnsi="宋体"/>
                <w:szCs w:val="21"/>
              </w:rPr>
            </w:pPr>
            <w:r>
              <w:rPr>
                <w:rFonts w:hint="eastAsia" w:ascii="宋体" w:hAnsi="宋体"/>
                <w:szCs w:val="21"/>
              </w:rPr>
              <w:t>拟选分包人名称</w:t>
            </w:r>
          </w:p>
        </w:tc>
        <w:tc>
          <w:tcPr>
            <w:tcW w:w="1123" w:type="dxa"/>
            <w:noWrap w:val="0"/>
            <w:tcMar>
              <w:left w:w="108" w:type="dxa"/>
              <w:right w:w="108" w:type="dxa"/>
            </w:tcMar>
            <w:vAlign w:val="center"/>
          </w:tcPr>
          <w:p w14:paraId="69166E35">
            <w:pPr>
              <w:jc w:val="center"/>
              <w:rPr>
                <w:rFonts w:hint="eastAsia" w:ascii="宋体" w:hAnsi="宋体"/>
                <w:szCs w:val="21"/>
              </w:rPr>
            </w:pPr>
            <w:r>
              <w:rPr>
                <w:rFonts w:hint="eastAsia" w:ascii="宋体" w:hAnsi="宋体"/>
                <w:szCs w:val="21"/>
              </w:rPr>
              <w:t>注册地点</w:t>
            </w:r>
          </w:p>
        </w:tc>
        <w:tc>
          <w:tcPr>
            <w:tcW w:w="1090" w:type="dxa"/>
            <w:noWrap w:val="0"/>
            <w:tcMar>
              <w:left w:w="108" w:type="dxa"/>
              <w:right w:w="108" w:type="dxa"/>
            </w:tcMar>
            <w:vAlign w:val="center"/>
          </w:tcPr>
          <w:p w14:paraId="61297EE4">
            <w:pPr>
              <w:jc w:val="center"/>
              <w:rPr>
                <w:rFonts w:hint="eastAsia" w:ascii="宋体" w:hAnsi="宋体"/>
                <w:szCs w:val="21"/>
              </w:rPr>
            </w:pPr>
            <w:r>
              <w:rPr>
                <w:rFonts w:hint="eastAsia" w:ascii="宋体" w:hAnsi="宋体"/>
                <w:szCs w:val="21"/>
              </w:rPr>
              <w:t>企业资质</w:t>
            </w:r>
          </w:p>
        </w:tc>
        <w:tc>
          <w:tcPr>
            <w:tcW w:w="1197" w:type="dxa"/>
            <w:noWrap w:val="0"/>
            <w:tcMar>
              <w:left w:w="108" w:type="dxa"/>
              <w:right w:w="108" w:type="dxa"/>
            </w:tcMar>
            <w:vAlign w:val="center"/>
          </w:tcPr>
          <w:p w14:paraId="271466D1">
            <w:pPr>
              <w:jc w:val="center"/>
              <w:rPr>
                <w:rFonts w:hint="eastAsia" w:ascii="宋体" w:hAnsi="宋体"/>
                <w:szCs w:val="21"/>
              </w:rPr>
            </w:pPr>
            <w:r>
              <w:rPr>
                <w:rFonts w:hint="eastAsia" w:ascii="宋体" w:hAnsi="宋体"/>
                <w:szCs w:val="21"/>
              </w:rPr>
              <w:t>有关业绩</w:t>
            </w:r>
          </w:p>
        </w:tc>
        <w:tc>
          <w:tcPr>
            <w:tcW w:w="983" w:type="dxa"/>
            <w:vMerge w:val="continue"/>
            <w:noWrap w:val="0"/>
            <w:tcMar>
              <w:left w:w="108" w:type="dxa"/>
              <w:right w:w="108" w:type="dxa"/>
            </w:tcMar>
            <w:vAlign w:val="center"/>
          </w:tcPr>
          <w:p w14:paraId="203009B1">
            <w:pPr>
              <w:jc w:val="center"/>
              <w:rPr>
                <w:rFonts w:hint="eastAsia" w:ascii="宋体" w:hAnsi="宋体"/>
                <w:szCs w:val="21"/>
              </w:rPr>
            </w:pPr>
          </w:p>
        </w:tc>
      </w:tr>
      <w:tr w14:paraId="7C1A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A91EC4C">
            <w:pPr>
              <w:jc w:val="center"/>
              <w:rPr>
                <w:rFonts w:hint="eastAsia" w:ascii="宋体" w:hAnsi="宋体"/>
                <w:szCs w:val="21"/>
              </w:rPr>
            </w:pPr>
          </w:p>
        </w:tc>
        <w:tc>
          <w:tcPr>
            <w:tcW w:w="1843" w:type="dxa"/>
            <w:vMerge w:val="restart"/>
            <w:noWrap w:val="0"/>
            <w:tcMar>
              <w:left w:w="108" w:type="dxa"/>
              <w:right w:w="108" w:type="dxa"/>
            </w:tcMar>
            <w:vAlign w:val="center"/>
          </w:tcPr>
          <w:p w14:paraId="257D8F0C">
            <w:pPr>
              <w:jc w:val="center"/>
              <w:rPr>
                <w:rFonts w:hint="eastAsia" w:ascii="宋体" w:hAnsi="宋体"/>
                <w:szCs w:val="21"/>
              </w:rPr>
            </w:pPr>
          </w:p>
        </w:tc>
        <w:tc>
          <w:tcPr>
            <w:tcW w:w="751" w:type="dxa"/>
            <w:noWrap w:val="0"/>
            <w:tcMar>
              <w:left w:w="108" w:type="dxa"/>
              <w:right w:w="108" w:type="dxa"/>
            </w:tcMar>
            <w:vAlign w:val="center"/>
          </w:tcPr>
          <w:p w14:paraId="5C7329AE">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54996E1D">
            <w:pPr>
              <w:jc w:val="center"/>
              <w:rPr>
                <w:rFonts w:hint="eastAsia" w:ascii="宋体" w:hAnsi="宋体"/>
                <w:szCs w:val="21"/>
              </w:rPr>
            </w:pPr>
          </w:p>
        </w:tc>
        <w:tc>
          <w:tcPr>
            <w:tcW w:w="1123" w:type="dxa"/>
            <w:noWrap w:val="0"/>
            <w:tcMar>
              <w:left w:w="108" w:type="dxa"/>
              <w:right w:w="108" w:type="dxa"/>
            </w:tcMar>
            <w:vAlign w:val="center"/>
          </w:tcPr>
          <w:p w14:paraId="4CAA9992">
            <w:pPr>
              <w:jc w:val="center"/>
              <w:rPr>
                <w:rFonts w:hint="eastAsia" w:ascii="宋体" w:hAnsi="宋体"/>
                <w:szCs w:val="21"/>
              </w:rPr>
            </w:pPr>
          </w:p>
        </w:tc>
        <w:tc>
          <w:tcPr>
            <w:tcW w:w="1090" w:type="dxa"/>
            <w:noWrap w:val="0"/>
            <w:tcMar>
              <w:left w:w="108" w:type="dxa"/>
              <w:right w:w="108" w:type="dxa"/>
            </w:tcMar>
            <w:vAlign w:val="center"/>
          </w:tcPr>
          <w:p w14:paraId="3FD2E863">
            <w:pPr>
              <w:jc w:val="center"/>
              <w:rPr>
                <w:rFonts w:hint="eastAsia" w:ascii="宋体" w:hAnsi="宋体"/>
                <w:szCs w:val="21"/>
              </w:rPr>
            </w:pPr>
          </w:p>
        </w:tc>
        <w:tc>
          <w:tcPr>
            <w:tcW w:w="1197" w:type="dxa"/>
            <w:noWrap w:val="0"/>
            <w:tcMar>
              <w:left w:w="108" w:type="dxa"/>
              <w:right w:w="108" w:type="dxa"/>
            </w:tcMar>
            <w:vAlign w:val="center"/>
          </w:tcPr>
          <w:p w14:paraId="160303F7">
            <w:pPr>
              <w:jc w:val="center"/>
              <w:rPr>
                <w:rFonts w:hint="eastAsia" w:ascii="宋体" w:hAnsi="宋体"/>
                <w:szCs w:val="21"/>
              </w:rPr>
            </w:pPr>
          </w:p>
        </w:tc>
        <w:tc>
          <w:tcPr>
            <w:tcW w:w="983" w:type="dxa"/>
            <w:noWrap w:val="0"/>
            <w:tcMar>
              <w:left w:w="108" w:type="dxa"/>
              <w:right w:w="108" w:type="dxa"/>
            </w:tcMar>
            <w:vAlign w:val="center"/>
          </w:tcPr>
          <w:p w14:paraId="0E14A967">
            <w:pPr>
              <w:jc w:val="center"/>
              <w:rPr>
                <w:rFonts w:hint="eastAsia" w:ascii="宋体" w:hAnsi="宋体"/>
                <w:szCs w:val="21"/>
              </w:rPr>
            </w:pPr>
          </w:p>
        </w:tc>
      </w:tr>
      <w:tr w14:paraId="53E7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0D9D071">
            <w:pPr>
              <w:jc w:val="center"/>
              <w:rPr>
                <w:rFonts w:hint="eastAsia" w:ascii="宋体" w:hAnsi="宋体"/>
                <w:szCs w:val="21"/>
              </w:rPr>
            </w:pPr>
          </w:p>
        </w:tc>
        <w:tc>
          <w:tcPr>
            <w:tcW w:w="1843" w:type="dxa"/>
            <w:vMerge w:val="continue"/>
            <w:noWrap w:val="0"/>
            <w:tcMar>
              <w:left w:w="108" w:type="dxa"/>
              <w:right w:w="108" w:type="dxa"/>
            </w:tcMar>
            <w:vAlign w:val="center"/>
          </w:tcPr>
          <w:p w14:paraId="47CF3EE8">
            <w:pPr>
              <w:jc w:val="center"/>
              <w:rPr>
                <w:rFonts w:hint="eastAsia" w:ascii="宋体" w:hAnsi="宋体"/>
                <w:szCs w:val="21"/>
              </w:rPr>
            </w:pPr>
          </w:p>
        </w:tc>
        <w:tc>
          <w:tcPr>
            <w:tcW w:w="751" w:type="dxa"/>
            <w:noWrap w:val="0"/>
            <w:tcMar>
              <w:left w:w="108" w:type="dxa"/>
              <w:right w:w="108" w:type="dxa"/>
            </w:tcMar>
            <w:vAlign w:val="center"/>
          </w:tcPr>
          <w:p w14:paraId="36724D45">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14C53447">
            <w:pPr>
              <w:jc w:val="center"/>
              <w:rPr>
                <w:rFonts w:hint="eastAsia" w:ascii="宋体" w:hAnsi="宋体"/>
                <w:szCs w:val="21"/>
              </w:rPr>
            </w:pPr>
          </w:p>
        </w:tc>
        <w:tc>
          <w:tcPr>
            <w:tcW w:w="1123" w:type="dxa"/>
            <w:noWrap w:val="0"/>
            <w:tcMar>
              <w:left w:w="108" w:type="dxa"/>
              <w:right w:w="108" w:type="dxa"/>
            </w:tcMar>
            <w:vAlign w:val="center"/>
          </w:tcPr>
          <w:p w14:paraId="74F95BC3">
            <w:pPr>
              <w:jc w:val="center"/>
              <w:rPr>
                <w:rFonts w:hint="eastAsia" w:ascii="宋体" w:hAnsi="宋体"/>
                <w:szCs w:val="21"/>
              </w:rPr>
            </w:pPr>
          </w:p>
        </w:tc>
        <w:tc>
          <w:tcPr>
            <w:tcW w:w="1090" w:type="dxa"/>
            <w:noWrap w:val="0"/>
            <w:tcMar>
              <w:left w:w="108" w:type="dxa"/>
              <w:right w:w="108" w:type="dxa"/>
            </w:tcMar>
            <w:vAlign w:val="center"/>
          </w:tcPr>
          <w:p w14:paraId="2C2CC1F2">
            <w:pPr>
              <w:jc w:val="center"/>
              <w:rPr>
                <w:rFonts w:hint="eastAsia" w:ascii="宋体" w:hAnsi="宋体"/>
                <w:szCs w:val="21"/>
              </w:rPr>
            </w:pPr>
          </w:p>
        </w:tc>
        <w:tc>
          <w:tcPr>
            <w:tcW w:w="1197" w:type="dxa"/>
            <w:noWrap w:val="0"/>
            <w:tcMar>
              <w:left w:w="108" w:type="dxa"/>
              <w:right w:w="108" w:type="dxa"/>
            </w:tcMar>
            <w:vAlign w:val="center"/>
          </w:tcPr>
          <w:p w14:paraId="76642FB7">
            <w:pPr>
              <w:jc w:val="center"/>
              <w:rPr>
                <w:rFonts w:hint="eastAsia" w:ascii="宋体" w:hAnsi="宋体"/>
                <w:szCs w:val="21"/>
              </w:rPr>
            </w:pPr>
          </w:p>
        </w:tc>
        <w:tc>
          <w:tcPr>
            <w:tcW w:w="983" w:type="dxa"/>
            <w:noWrap w:val="0"/>
            <w:tcMar>
              <w:left w:w="108" w:type="dxa"/>
              <w:right w:w="108" w:type="dxa"/>
            </w:tcMar>
            <w:vAlign w:val="center"/>
          </w:tcPr>
          <w:p w14:paraId="2D77D59C">
            <w:pPr>
              <w:jc w:val="center"/>
              <w:rPr>
                <w:rFonts w:hint="eastAsia" w:ascii="宋体" w:hAnsi="宋体"/>
                <w:szCs w:val="21"/>
              </w:rPr>
            </w:pPr>
          </w:p>
        </w:tc>
      </w:tr>
      <w:tr w14:paraId="33CF5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1248EA22">
            <w:pPr>
              <w:jc w:val="center"/>
              <w:rPr>
                <w:rFonts w:hint="eastAsia" w:ascii="宋体" w:hAnsi="宋体"/>
                <w:szCs w:val="21"/>
              </w:rPr>
            </w:pPr>
          </w:p>
        </w:tc>
        <w:tc>
          <w:tcPr>
            <w:tcW w:w="1843" w:type="dxa"/>
            <w:vMerge w:val="continue"/>
            <w:noWrap w:val="0"/>
            <w:tcMar>
              <w:left w:w="108" w:type="dxa"/>
              <w:right w:w="108" w:type="dxa"/>
            </w:tcMar>
            <w:vAlign w:val="center"/>
          </w:tcPr>
          <w:p w14:paraId="6FC29D3F">
            <w:pPr>
              <w:jc w:val="center"/>
              <w:rPr>
                <w:rFonts w:hint="eastAsia" w:ascii="宋体" w:hAnsi="宋体"/>
                <w:szCs w:val="21"/>
              </w:rPr>
            </w:pPr>
          </w:p>
        </w:tc>
        <w:tc>
          <w:tcPr>
            <w:tcW w:w="751" w:type="dxa"/>
            <w:noWrap w:val="0"/>
            <w:tcMar>
              <w:left w:w="108" w:type="dxa"/>
              <w:right w:w="108" w:type="dxa"/>
            </w:tcMar>
            <w:vAlign w:val="center"/>
          </w:tcPr>
          <w:p w14:paraId="74BFBC13">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68C4672B">
            <w:pPr>
              <w:jc w:val="center"/>
              <w:rPr>
                <w:rFonts w:hint="eastAsia" w:ascii="宋体" w:hAnsi="宋体"/>
                <w:szCs w:val="21"/>
              </w:rPr>
            </w:pPr>
          </w:p>
        </w:tc>
        <w:tc>
          <w:tcPr>
            <w:tcW w:w="1123" w:type="dxa"/>
            <w:noWrap w:val="0"/>
            <w:tcMar>
              <w:left w:w="108" w:type="dxa"/>
              <w:right w:w="108" w:type="dxa"/>
            </w:tcMar>
            <w:vAlign w:val="center"/>
          </w:tcPr>
          <w:p w14:paraId="7C4431EF">
            <w:pPr>
              <w:jc w:val="center"/>
              <w:rPr>
                <w:rFonts w:hint="eastAsia" w:ascii="宋体" w:hAnsi="宋体"/>
                <w:szCs w:val="21"/>
              </w:rPr>
            </w:pPr>
          </w:p>
        </w:tc>
        <w:tc>
          <w:tcPr>
            <w:tcW w:w="1090" w:type="dxa"/>
            <w:noWrap w:val="0"/>
            <w:tcMar>
              <w:left w:w="108" w:type="dxa"/>
              <w:right w:w="108" w:type="dxa"/>
            </w:tcMar>
            <w:vAlign w:val="center"/>
          </w:tcPr>
          <w:p w14:paraId="2A80F929">
            <w:pPr>
              <w:jc w:val="center"/>
              <w:rPr>
                <w:rFonts w:hint="eastAsia" w:ascii="宋体" w:hAnsi="宋体"/>
                <w:szCs w:val="21"/>
              </w:rPr>
            </w:pPr>
          </w:p>
        </w:tc>
        <w:tc>
          <w:tcPr>
            <w:tcW w:w="1197" w:type="dxa"/>
            <w:noWrap w:val="0"/>
            <w:tcMar>
              <w:left w:w="108" w:type="dxa"/>
              <w:right w:w="108" w:type="dxa"/>
            </w:tcMar>
            <w:vAlign w:val="center"/>
          </w:tcPr>
          <w:p w14:paraId="644955D5">
            <w:pPr>
              <w:jc w:val="center"/>
              <w:rPr>
                <w:rFonts w:hint="eastAsia" w:ascii="宋体" w:hAnsi="宋体"/>
                <w:szCs w:val="21"/>
              </w:rPr>
            </w:pPr>
          </w:p>
        </w:tc>
        <w:tc>
          <w:tcPr>
            <w:tcW w:w="983" w:type="dxa"/>
            <w:noWrap w:val="0"/>
            <w:tcMar>
              <w:left w:w="108" w:type="dxa"/>
              <w:right w:w="108" w:type="dxa"/>
            </w:tcMar>
            <w:vAlign w:val="center"/>
          </w:tcPr>
          <w:p w14:paraId="5E07F88D">
            <w:pPr>
              <w:jc w:val="center"/>
              <w:rPr>
                <w:rFonts w:hint="eastAsia" w:ascii="宋体" w:hAnsi="宋体"/>
                <w:szCs w:val="21"/>
              </w:rPr>
            </w:pPr>
          </w:p>
        </w:tc>
      </w:tr>
      <w:tr w14:paraId="61BB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81187F3">
            <w:pPr>
              <w:jc w:val="center"/>
              <w:rPr>
                <w:rFonts w:hint="eastAsia" w:ascii="宋体" w:hAnsi="宋体"/>
                <w:szCs w:val="21"/>
              </w:rPr>
            </w:pPr>
          </w:p>
        </w:tc>
        <w:tc>
          <w:tcPr>
            <w:tcW w:w="1843" w:type="dxa"/>
            <w:vMerge w:val="restart"/>
            <w:noWrap w:val="0"/>
            <w:tcMar>
              <w:left w:w="108" w:type="dxa"/>
              <w:right w:w="108" w:type="dxa"/>
            </w:tcMar>
            <w:vAlign w:val="center"/>
          </w:tcPr>
          <w:p w14:paraId="1BEAE1B0">
            <w:pPr>
              <w:jc w:val="center"/>
              <w:rPr>
                <w:rFonts w:hint="eastAsia" w:ascii="宋体" w:hAnsi="宋体"/>
                <w:szCs w:val="21"/>
              </w:rPr>
            </w:pPr>
          </w:p>
        </w:tc>
        <w:tc>
          <w:tcPr>
            <w:tcW w:w="751" w:type="dxa"/>
            <w:noWrap w:val="0"/>
            <w:tcMar>
              <w:left w:w="108" w:type="dxa"/>
              <w:right w:w="108" w:type="dxa"/>
            </w:tcMar>
            <w:vAlign w:val="center"/>
          </w:tcPr>
          <w:p w14:paraId="025E3BCB">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691DE0FF">
            <w:pPr>
              <w:jc w:val="center"/>
              <w:rPr>
                <w:rFonts w:hint="eastAsia" w:ascii="宋体" w:hAnsi="宋体"/>
                <w:szCs w:val="21"/>
              </w:rPr>
            </w:pPr>
          </w:p>
        </w:tc>
        <w:tc>
          <w:tcPr>
            <w:tcW w:w="1123" w:type="dxa"/>
            <w:noWrap w:val="0"/>
            <w:tcMar>
              <w:left w:w="108" w:type="dxa"/>
              <w:right w:w="108" w:type="dxa"/>
            </w:tcMar>
            <w:vAlign w:val="center"/>
          </w:tcPr>
          <w:p w14:paraId="532BE300">
            <w:pPr>
              <w:jc w:val="center"/>
              <w:rPr>
                <w:rFonts w:hint="eastAsia" w:ascii="宋体" w:hAnsi="宋体"/>
                <w:szCs w:val="21"/>
              </w:rPr>
            </w:pPr>
          </w:p>
        </w:tc>
        <w:tc>
          <w:tcPr>
            <w:tcW w:w="1090" w:type="dxa"/>
            <w:noWrap w:val="0"/>
            <w:tcMar>
              <w:left w:w="108" w:type="dxa"/>
              <w:right w:w="108" w:type="dxa"/>
            </w:tcMar>
            <w:vAlign w:val="center"/>
          </w:tcPr>
          <w:p w14:paraId="2DC602D6">
            <w:pPr>
              <w:jc w:val="center"/>
              <w:rPr>
                <w:rFonts w:hint="eastAsia" w:ascii="宋体" w:hAnsi="宋体"/>
                <w:szCs w:val="21"/>
              </w:rPr>
            </w:pPr>
          </w:p>
        </w:tc>
        <w:tc>
          <w:tcPr>
            <w:tcW w:w="1197" w:type="dxa"/>
            <w:noWrap w:val="0"/>
            <w:tcMar>
              <w:left w:w="108" w:type="dxa"/>
              <w:right w:w="108" w:type="dxa"/>
            </w:tcMar>
            <w:vAlign w:val="center"/>
          </w:tcPr>
          <w:p w14:paraId="278BED03">
            <w:pPr>
              <w:jc w:val="center"/>
              <w:rPr>
                <w:rFonts w:hint="eastAsia" w:ascii="宋体" w:hAnsi="宋体"/>
                <w:szCs w:val="21"/>
              </w:rPr>
            </w:pPr>
          </w:p>
        </w:tc>
        <w:tc>
          <w:tcPr>
            <w:tcW w:w="983" w:type="dxa"/>
            <w:noWrap w:val="0"/>
            <w:tcMar>
              <w:left w:w="108" w:type="dxa"/>
              <w:right w:w="108" w:type="dxa"/>
            </w:tcMar>
            <w:vAlign w:val="center"/>
          </w:tcPr>
          <w:p w14:paraId="7109D275">
            <w:pPr>
              <w:jc w:val="center"/>
              <w:rPr>
                <w:rFonts w:hint="eastAsia" w:ascii="宋体" w:hAnsi="宋体"/>
                <w:szCs w:val="21"/>
              </w:rPr>
            </w:pPr>
          </w:p>
        </w:tc>
      </w:tr>
      <w:tr w14:paraId="7C3B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33BE1E3">
            <w:pPr>
              <w:jc w:val="center"/>
              <w:rPr>
                <w:rFonts w:hint="eastAsia" w:ascii="宋体" w:hAnsi="宋体"/>
                <w:szCs w:val="21"/>
              </w:rPr>
            </w:pPr>
          </w:p>
        </w:tc>
        <w:tc>
          <w:tcPr>
            <w:tcW w:w="1843" w:type="dxa"/>
            <w:vMerge w:val="continue"/>
            <w:noWrap w:val="0"/>
            <w:tcMar>
              <w:left w:w="108" w:type="dxa"/>
              <w:right w:w="108" w:type="dxa"/>
            </w:tcMar>
            <w:vAlign w:val="center"/>
          </w:tcPr>
          <w:p w14:paraId="3A3C4F3C">
            <w:pPr>
              <w:jc w:val="center"/>
              <w:rPr>
                <w:rFonts w:hint="eastAsia" w:ascii="宋体" w:hAnsi="宋体"/>
                <w:szCs w:val="21"/>
              </w:rPr>
            </w:pPr>
          </w:p>
        </w:tc>
        <w:tc>
          <w:tcPr>
            <w:tcW w:w="751" w:type="dxa"/>
            <w:noWrap w:val="0"/>
            <w:tcMar>
              <w:left w:w="108" w:type="dxa"/>
              <w:right w:w="108" w:type="dxa"/>
            </w:tcMar>
            <w:vAlign w:val="center"/>
          </w:tcPr>
          <w:p w14:paraId="52AB0563">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5B1AAA49">
            <w:pPr>
              <w:jc w:val="center"/>
              <w:rPr>
                <w:rFonts w:hint="eastAsia" w:ascii="宋体" w:hAnsi="宋体"/>
                <w:szCs w:val="21"/>
              </w:rPr>
            </w:pPr>
          </w:p>
        </w:tc>
        <w:tc>
          <w:tcPr>
            <w:tcW w:w="1123" w:type="dxa"/>
            <w:noWrap w:val="0"/>
            <w:tcMar>
              <w:left w:w="108" w:type="dxa"/>
              <w:right w:w="108" w:type="dxa"/>
            </w:tcMar>
            <w:vAlign w:val="center"/>
          </w:tcPr>
          <w:p w14:paraId="4F30D63B">
            <w:pPr>
              <w:jc w:val="center"/>
              <w:rPr>
                <w:rFonts w:hint="eastAsia" w:ascii="宋体" w:hAnsi="宋体"/>
                <w:szCs w:val="21"/>
              </w:rPr>
            </w:pPr>
          </w:p>
        </w:tc>
        <w:tc>
          <w:tcPr>
            <w:tcW w:w="1090" w:type="dxa"/>
            <w:noWrap w:val="0"/>
            <w:tcMar>
              <w:left w:w="108" w:type="dxa"/>
              <w:right w:w="108" w:type="dxa"/>
            </w:tcMar>
            <w:vAlign w:val="center"/>
          </w:tcPr>
          <w:p w14:paraId="5776A453">
            <w:pPr>
              <w:jc w:val="center"/>
              <w:rPr>
                <w:rFonts w:hint="eastAsia" w:ascii="宋体" w:hAnsi="宋体"/>
                <w:szCs w:val="21"/>
              </w:rPr>
            </w:pPr>
          </w:p>
        </w:tc>
        <w:tc>
          <w:tcPr>
            <w:tcW w:w="1197" w:type="dxa"/>
            <w:noWrap w:val="0"/>
            <w:tcMar>
              <w:left w:w="108" w:type="dxa"/>
              <w:right w:w="108" w:type="dxa"/>
            </w:tcMar>
            <w:vAlign w:val="center"/>
          </w:tcPr>
          <w:p w14:paraId="70F6D870">
            <w:pPr>
              <w:jc w:val="center"/>
              <w:rPr>
                <w:rFonts w:hint="eastAsia" w:ascii="宋体" w:hAnsi="宋体"/>
                <w:szCs w:val="21"/>
              </w:rPr>
            </w:pPr>
          </w:p>
        </w:tc>
        <w:tc>
          <w:tcPr>
            <w:tcW w:w="983" w:type="dxa"/>
            <w:noWrap w:val="0"/>
            <w:tcMar>
              <w:left w:w="108" w:type="dxa"/>
              <w:right w:w="108" w:type="dxa"/>
            </w:tcMar>
            <w:vAlign w:val="center"/>
          </w:tcPr>
          <w:p w14:paraId="7404F185">
            <w:pPr>
              <w:jc w:val="center"/>
              <w:rPr>
                <w:rFonts w:hint="eastAsia" w:ascii="宋体" w:hAnsi="宋体"/>
                <w:szCs w:val="21"/>
              </w:rPr>
            </w:pPr>
          </w:p>
        </w:tc>
      </w:tr>
      <w:tr w14:paraId="3C97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FBB5FD8">
            <w:pPr>
              <w:jc w:val="center"/>
              <w:rPr>
                <w:rFonts w:hint="eastAsia" w:ascii="宋体" w:hAnsi="宋体"/>
                <w:szCs w:val="21"/>
              </w:rPr>
            </w:pPr>
          </w:p>
        </w:tc>
        <w:tc>
          <w:tcPr>
            <w:tcW w:w="1843" w:type="dxa"/>
            <w:vMerge w:val="continue"/>
            <w:noWrap w:val="0"/>
            <w:tcMar>
              <w:left w:w="108" w:type="dxa"/>
              <w:right w:w="108" w:type="dxa"/>
            </w:tcMar>
            <w:vAlign w:val="center"/>
          </w:tcPr>
          <w:p w14:paraId="28F7FDE9">
            <w:pPr>
              <w:jc w:val="center"/>
              <w:rPr>
                <w:rFonts w:hint="eastAsia" w:ascii="宋体" w:hAnsi="宋体"/>
                <w:szCs w:val="21"/>
              </w:rPr>
            </w:pPr>
          </w:p>
        </w:tc>
        <w:tc>
          <w:tcPr>
            <w:tcW w:w="751" w:type="dxa"/>
            <w:noWrap w:val="0"/>
            <w:tcMar>
              <w:left w:w="108" w:type="dxa"/>
              <w:right w:w="108" w:type="dxa"/>
            </w:tcMar>
            <w:vAlign w:val="center"/>
          </w:tcPr>
          <w:p w14:paraId="69F49880">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4A36034C">
            <w:pPr>
              <w:jc w:val="center"/>
              <w:rPr>
                <w:rFonts w:hint="eastAsia" w:ascii="宋体" w:hAnsi="宋体"/>
                <w:szCs w:val="21"/>
              </w:rPr>
            </w:pPr>
          </w:p>
        </w:tc>
        <w:tc>
          <w:tcPr>
            <w:tcW w:w="1123" w:type="dxa"/>
            <w:noWrap w:val="0"/>
            <w:tcMar>
              <w:left w:w="108" w:type="dxa"/>
              <w:right w:w="108" w:type="dxa"/>
            </w:tcMar>
            <w:vAlign w:val="center"/>
          </w:tcPr>
          <w:p w14:paraId="4A71B798">
            <w:pPr>
              <w:jc w:val="center"/>
              <w:rPr>
                <w:rFonts w:hint="eastAsia" w:ascii="宋体" w:hAnsi="宋体"/>
                <w:szCs w:val="21"/>
              </w:rPr>
            </w:pPr>
          </w:p>
        </w:tc>
        <w:tc>
          <w:tcPr>
            <w:tcW w:w="1090" w:type="dxa"/>
            <w:noWrap w:val="0"/>
            <w:tcMar>
              <w:left w:w="108" w:type="dxa"/>
              <w:right w:w="108" w:type="dxa"/>
            </w:tcMar>
            <w:vAlign w:val="center"/>
          </w:tcPr>
          <w:p w14:paraId="44CE365A">
            <w:pPr>
              <w:jc w:val="center"/>
              <w:rPr>
                <w:rFonts w:hint="eastAsia" w:ascii="宋体" w:hAnsi="宋体"/>
                <w:szCs w:val="21"/>
              </w:rPr>
            </w:pPr>
          </w:p>
        </w:tc>
        <w:tc>
          <w:tcPr>
            <w:tcW w:w="1197" w:type="dxa"/>
            <w:noWrap w:val="0"/>
            <w:tcMar>
              <w:left w:w="108" w:type="dxa"/>
              <w:right w:w="108" w:type="dxa"/>
            </w:tcMar>
            <w:vAlign w:val="center"/>
          </w:tcPr>
          <w:p w14:paraId="300B2C48">
            <w:pPr>
              <w:jc w:val="center"/>
              <w:rPr>
                <w:rFonts w:hint="eastAsia" w:ascii="宋体" w:hAnsi="宋体"/>
                <w:szCs w:val="21"/>
              </w:rPr>
            </w:pPr>
          </w:p>
        </w:tc>
        <w:tc>
          <w:tcPr>
            <w:tcW w:w="983" w:type="dxa"/>
            <w:noWrap w:val="0"/>
            <w:tcMar>
              <w:left w:w="108" w:type="dxa"/>
              <w:right w:w="108" w:type="dxa"/>
            </w:tcMar>
            <w:vAlign w:val="center"/>
          </w:tcPr>
          <w:p w14:paraId="4EFE5CD7">
            <w:pPr>
              <w:jc w:val="center"/>
              <w:rPr>
                <w:rFonts w:hint="eastAsia" w:ascii="宋体" w:hAnsi="宋体"/>
                <w:szCs w:val="21"/>
              </w:rPr>
            </w:pPr>
          </w:p>
        </w:tc>
      </w:tr>
      <w:tr w14:paraId="20D68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8" w:type="dxa"/>
            <w:vMerge w:val="restart"/>
            <w:noWrap w:val="0"/>
            <w:tcMar>
              <w:left w:w="108" w:type="dxa"/>
              <w:right w:w="108" w:type="dxa"/>
            </w:tcMar>
            <w:vAlign w:val="center"/>
          </w:tcPr>
          <w:p w14:paraId="377C949B">
            <w:pPr>
              <w:jc w:val="center"/>
              <w:rPr>
                <w:rFonts w:hint="eastAsia" w:ascii="宋体" w:hAnsi="宋体"/>
                <w:szCs w:val="21"/>
              </w:rPr>
            </w:pPr>
          </w:p>
        </w:tc>
        <w:tc>
          <w:tcPr>
            <w:tcW w:w="1843" w:type="dxa"/>
            <w:vMerge w:val="restart"/>
            <w:noWrap w:val="0"/>
            <w:tcMar>
              <w:left w:w="108" w:type="dxa"/>
              <w:right w:w="108" w:type="dxa"/>
            </w:tcMar>
            <w:vAlign w:val="center"/>
          </w:tcPr>
          <w:p w14:paraId="7C24ED40">
            <w:pPr>
              <w:jc w:val="center"/>
              <w:rPr>
                <w:rFonts w:hint="eastAsia" w:ascii="宋体" w:hAnsi="宋体"/>
                <w:szCs w:val="21"/>
              </w:rPr>
            </w:pPr>
          </w:p>
        </w:tc>
        <w:tc>
          <w:tcPr>
            <w:tcW w:w="751" w:type="dxa"/>
            <w:noWrap w:val="0"/>
            <w:tcMar>
              <w:left w:w="108" w:type="dxa"/>
              <w:right w:w="108" w:type="dxa"/>
            </w:tcMar>
            <w:vAlign w:val="center"/>
          </w:tcPr>
          <w:p w14:paraId="1D2AEB54">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275BDB85">
            <w:pPr>
              <w:jc w:val="center"/>
              <w:rPr>
                <w:rFonts w:hint="eastAsia" w:ascii="宋体" w:hAnsi="宋体"/>
                <w:szCs w:val="21"/>
              </w:rPr>
            </w:pPr>
          </w:p>
        </w:tc>
        <w:tc>
          <w:tcPr>
            <w:tcW w:w="1123" w:type="dxa"/>
            <w:noWrap w:val="0"/>
            <w:tcMar>
              <w:left w:w="108" w:type="dxa"/>
              <w:right w:w="108" w:type="dxa"/>
            </w:tcMar>
            <w:vAlign w:val="center"/>
          </w:tcPr>
          <w:p w14:paraId="07E61504">
            <w:pPr>
              <w:jc w:val="center"/>
              <w:rPr>
                <w:rFonts w:hint="eastAsia" w:ascii="宋体" w:hAnsi="宋体"/>
                <w:szCs w:val="21"/>
              </w:rPr>
            </w:pPr>
          </w:p>
        </w:tc>
        <w:tc>
          <w:tcPr>
            <w:tcW w:w="1090" w:type="dxa"/>
            <w:noWrap w:val="0"/>
            <w:tcMar>
              <w:left w:w="108" w:type="dxa"/>
              <w:right w:w="108" w:type="dxa"/>
            </w:tcMar>
            <w:vAlign w:val="center"/>
          </w:tcPr>
          <w:p w14:paraId="66E026BD">
            <w:pPr>
              <w:jc w:val="center"/>
              <w:rPr>
                <w:rFonts w:hint="eastAsia" w:ascii="宋体" w:hAnsi="宋体"/>
                <w:szCs w:val="21"/>
              </w:rPr>
            </w:pPr>
          </w:p>
        </w:tc>
        <w:tc>
          <w:tcPr>
            <w:tcW w:w="1197" w:type="dxa"/>
            <w:noWrap w:val="0"/>
            <w:tcMar>
              <w:left w:w="108" w:type="dxa"/>
              <w:right w:w="108" w:type="dxa"/>
            </w:tcMar>
            <w:vAlign w:val="center"/>
          </w:tcPr>
          <w:p w14:paraId="23F85C94">
            <w:pPr>
              <w:jc w:val="center"/>
              <w:rPr>
                <w:rFonts w:hint="eastAsia" w:ascii="宋体" w:hAnsi="宋体"/>
                <w:szCs w:val="21"/>
              </w:rPr>
            </w:pPr>
          </w:p>
        </w:tc>
        <w:tc>
          <w:tcPr>
            <w:tcW w:w="983" w:type="dxa"/>
            <w:noWrap w:val="0"/>
            <w:tcMar>
              <w:left w:w="108" w:type="dxa"/>
              <w:right w:w="108" w:type="dxa"/>
            </w:tcMar>
            <w:vAlign w:val="center"/>
          </w:tcPr>
          <w:p w14:paraId="1AA6E83C">
            <w:pPr>
              <w:jc w:val="center"/>
              <w:rPr>
                <w:rFonts w:hint="eastAsia" w:ascii="宋体" w:hAnsi="宋体"/>
                <w:szCs w:val="21"/>
              </w:rPr>
            </w:pPr>
          </w:p>
        </w:tc>
      </w:tr>
      <w:tr w14:paraId="7E8C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C1572FB">
            <w:pPr>
              <w:jc w:val="center"/>
              <w:rPr>
                <w:rFonts w:hint="eastAsia" w:ascii="宋体" w:hAnsi="宋体"/>
                <w:szCs w:val="21"/>
              </w:rPr>
            </w:pPr>
          </w:p>
        </w:tc>
        <w:tc>
          <w:tcPr>
            <w:tcW w:w="1843" w:type="dxa"/>
            <w:vMerge w:val="continue"/>
            <w:noWrap w:val="0"/>
            <w:tcMar>
              <w:left w:w="108" w:type="dxa"/>
              <w:right w:w="108" w:type="dxa"/>
            </w:tcMar>
            <w:vAlign w:val="center"/>
          </w:tcPr>
          <w:p w14:paraId="0BB2D27B">
            <w:pPr>
              <w:jc w:val="center"/>
              <w:rPr>
                <w:rFonts w:hint="eastAsia" w:ascii="宋体" w:hAnsi="宋体"/>
                <w:szCs w:val="21"/>
              </w:rPr>
            </w:pPr>
          </w:p>
        </w:tc>
        <w:tc>
          <w:tcPr>
            <w:tcW w:w="751" w:type="dxa"/>
            <w:noWrap w:val="0"/>
            <w:tcMar>
              <w:left w:w="108" w:type="dxa"/>
              <w:right w:w="108" w:type="dxa"/>
            </w:tcMar>
            <w:vAlign w:val="center"/>
          </w:tcPr>
          <w:p w14:paraId="440B7F6D">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2609A6AC">
            <w:pPr>
              <w:jc w:val="center"/>
              <w:rPr>
                <w:rFonts w:hint="eastAsia" w:ascii="宋体" w:hAnsi="宋体"/>
                <w:szCs w:val="21"/>
              </w:rPr>
            </w:pPr>
          </w:p>
        </w:tc>
        <w:tc>
          <w:tcPr>
            <w:tcW w:w="1123" w:type="dxa"/>
            <w:noWrap w:val="0"/>
            <w:tcMar>
              <w:left w:w="108" w:type="dxa"/>
              <w:right w:w="108" w:type="dxa"/>
            </w:tcMar>
            <w:vAlign w:val="center"/>
          </w:tcPr>
          <w:p w14:paraId="4D542C63">
            <w:pPr>
              <w:jc w:val="center"/>
              <w:rPr>
                <w:rFonts w:hint="eastAsia" w:ascii="宋体" w:hAnsi="宋体"/>
                <w:szCs w:val="21"/>
              </w:rPr>
            </w:pPr>
          </w:p>
        </w:tc>
        <w:tc>
          <w:tcPr>
            <w:tcW w:w="1090" w:type="dxa"/>
            <w:noWrap w:val="0"/>
            <w:tcMar>
              <w:left w:w="108" w:type="dxa"/>
              <w:right w:w="108" w:type="dxa"/>
            </w:tcMar>
            <w:vAlign w:val="center"/>
          </w:tcPr>
          <w:p w14:paraId="06FBDD37">
            <w:pPr>
              <w:jc w:val="center"/>
              <w:rPr>
                <w:rFonts w:hint="eastAsia" w:ascii="宋体" w:hAnsi="宋体"/>
                <w:szCs w:val="21"/>
              </w:rPr>
            </w:pPr>
          </w:p>
        </w:tc>
        <w:tc>
          <w:tcPr>
            <w:tcW w:w="1197" w:type="dxa"/>
            <w:noWrap w:val="0"/>
            <w:tcMar>
              <w:left w:w="108" w:type="dxa"/>
              <w:right w:w="108" w:type="dxa"/>
            </w:tcMar>
            <w:vAlign w:val="center"/>
          </w:tcPr>
          <w:p w14:paraId="74980314">
            <w:pPr>
              <w:jc w:val="center"/>
              <w:rPr>
                <w:rFonts w:hint="eastAsia" w:ascii="宋体" w:hAnsi="宋体"/>
                <w:szCs w:val="21"/>
              </w:rPr>
            </w:pPr>
          </w:p>
        </w:tc>
        <w:tc>
          <w:tcPr>
            <w:tcW w:w="983" w:type="dxa"/>
            <w:noWrap w:val="0"/>
            <w:tcMar>
              <w:left w:w="108" w:type="dxa"/>
              <w:right w:w="108" w:type="dxa"/>
            </w:tcMar>
            <w:vAlign w:val="center"/>
          </w:tcPr>
          <w:p w14:paraId="15B32558">
            <w:pPr>
              <w:jc w:val="center"/>
              <w:rPr>
                <w:rFonts w:hint="eastAsia" w:ascii="宋体" w:hAnsi="宋体"/>
                <w:szCs w:val="21"/>
              </w:rPr>
            </w:pPr>
          </w:p>
        </w:tc>
      </w:tr>
      <w:tr w14:paraId="582E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A0850BB">
            <w:pPr>
              <w:jc w:val="center"/>
              <w:rPr>
                <w:rFonts w:hint="eastAsia" w:ascii="宋体" w:hAnsi="宋体"/>
                <w:szCs w:val="21"/>
              </w:rPr>
            </w:pPr>
          </w:p>
        </w:tc>
        <w:tc>
          <w:tcPr>
            <w:tcW w:w="1843" w:type="dxa"/>
            <w:vMerge w:val="continue"/>
            <w:noWrap w:val="0"/>
            <w:tcMar>
              <w:left w:w="108" w:type="dxa"/>
              <w:right w:w="108" w:type="dxa"/>
            </w:tcMar>
            <w:vAlign w:val="center"/>
          </w:tcPr>
          <w:p w14:paraId="3608E4BC">
            <w:pPr>
              <w:jc w:val="center"/>
              <w:rPr>
                <w:rFonts w:hint="eastAsia" w:ascii="宋体" w:hAnsi="宋体"/>
                <w:szCs w:val="21"/>
              </w:rPr>
            </w:pPr>
          </w:p>
        </w:tc>
        <w:tc>
          <w:tcPr>
            <w:tcW w:w="751" w:type="dxa"/>
            <w:noWrap w:val="0"/>
            <w:tcMar>
              <w:left w:w="108" w:type="dxa"/>
              <w:right w:w="108" w:type="dxa"/>
            </w:tcMar>
            <w:vAlign w:val="center"/>
          </w:tcPr>
          <w:p w14:paraId="206F15CA">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094AF54E">
            <w:pPr>
              <w:jc w:val="center"/>
              <w:rPr>
                <w:rFonts w:hint="eastAsia" w:ascii="宋体" w:hAnsi="宋体"/>
                <w:szCs w:val="21"/>
              </w:rPr>
            </w:pPr>
          </w:p>
        </w:tc>
        <w:tc>
          <w:tcPr>
            <w:tcW w:w="1123" w:type="dxa"/>
            <w:noWrap w:val="0"/>
            <w:tcMar>
              <w:left w:w="108" w:type="dxa"/>
              <w:right w:w="108" w:type="dxa"/>
            </w:tcMar>
            <w:vAlign w:val="center"/>
          </w:tcPr>
          <w:p w14:paraId="6F294085">
            <w:pPr>
              <w:jc w:val="center"/>
              <w:rPr>
                <w:rFonts w:hint="eastAsia" w:ascii="宋体" w:hAnsi="宋体"/>
                <w:szCs w:val="21"/>
              </w:rPr>
            </w:pPr>
          </w:p>
        </w:tc>
        <w:tc>
          <w:tcPr>
            <w:tcW w:w="1090" w:type="dxa"/>
            <w:noWrap w:val="0"/>
            <w:tcMar>
              <w:left w:w="108" w:type="dxa"/>
              <w:right w:w="108" w:type="dxa"/>
            </w:tcMar>
            <w:vAlign w:val="center"/>
          </w:tcPr>
          <w:p w14:paraId="67F5F4BB">
            <w:pPr>
              <w:jc w:val="center"/>
              <w:rPr>
                <w:rFonts w:hint="eastAsia" w:ascii="宋体" w:hAnsi="宋体"/>
                <w:szCs w:val="21"/>
              </w:rPr>
            </w:pPr>
          </w:p>
        </w:tc>
        <w:tc>
          <w:tcPr>
            <w:tcW w:w="1197" w:type="dxa"/>
            <w:noWrap w:val="0"/>
            <w:tcMar>
              <w:left w:w="108" w:type="dxa"/>
              <w:right w:w="108" w:type="dxa"/>
            </w:tcMar>
            <w:vAlign w:val="center"/>
          </w:tcPr>
          <w:p w14:paraId="0E91CC0A">
            <w:pPr>
              <w:jc w:val="center"/>
              <w:rPr>
                <w:rFonts w:hint="eastAsia" w:ascii="宋体" w:hAnsi="宋体"/>
                <w:szCs w:val="21"/>
              </w:rPr>
            </w:pPr>
          </w:p>
        </w:tc>
        <w:tc>
          <w:tcPr>
            <w:tcW w:w="983" w:type="dxa"/>
            <w:noWrap w:val="0"/>
            <w:tcMar>
              <w:left w:w="108" w:type="dxa"/>
              <w:right w:w="108" w:type="dxa"/>
            </w:tcMar>
            <w:vAlign w:val="center"/>
          </w:tcPr>
          <w:p w14:paraId="1F53837F">
            <w:pPr>
              <w:jc w:val="center"/>
              <w:rPr>
                <w:rFonts w:hint="eastAsia" w:ascii="宋体" w:hAnsi="宋体"/>
                <w:szCs w:val="21"/>
              </w:rPr>
            </w:pPr>
          </w:p>
        </w:tc>
      </w:tr>
      <w:tr w14:paraId="3059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4B5505C">
            <w:pPr>
              <w:jc w:val="center"/>
              <w:rPr>
                <w:rFonts w:hint="eastAsia" w:ascii="宋体" w:hAnsi="宋体"/>
                <w:szCs w:val="21"/>
              </w:rPr>
            </w:pPr>
          </w:p>
        </w:tc>
        <w:tc>
          <w:tcPr>
            <w:tcW w:w="1843" w:type="dxa"/>
            <w:vMerge w:val="restart"/>
            <w:noWrap w:val="0"/>
            <w:tcMar>
              <w:left w:w="108" w:type="dxa"/>
              <w:right w:w="108" w:type="dxa"/>
            </w:tcMar>
            <w:vAlign w:val="center"/>
          </w:tcPr>
          <w:p w14:paraId="26D9EB9B">
            <w:pPr>
              <w:jc w:val="center"/>
              <w:rPr>
                <w:rFonts w:hint="eastAsia" w:ascii="宋体" w:hAnsi="宋体"/>
                <w:szCs w:val="21"/>
              </w:rPr>
            </w:pPr>
          </w:p>
        </w:tc>
        <w:tc>
          <w:tcPr>
            <w:tcW w:w="751" w:type="dxa"/>
            <w:noWrap w:val="0"/>
            <w:tcMar>
              <w:left w:w="108" w:type="dxa"/>
              <w:right w:w="108" w:type="dxa"/>
            </w:tcMar>
            <w:vAlign w:val="center"/>
          </w:tcPr>
          <w:p w14:paraId="01C6B4DE">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611EAFEF">
            <w:pPr>
              <w:jc w:val="center"/>
              <w:rPr>
                <w:rFonts w:hint="eastAsia" w:ascii="宋体" w:hAnsi="宋体"/>
                <w:szCs w:val="21"/>
              </w:rPr>
            </w:pPr>
          </w:p>
        </w:tc>
        <w:tc>
          <w:tcPr>
            <w:tcW w:w="1123" w:type="dxa"/>
            <w:noWrap w:val="0"/>
            <w:tcMar>
              <w:left w:w="108" w:type="dxa"/>
              <w:right w:w="108" w:type="dxa"/>
            </w:tcMar>
            <w:vAlign w:val="center"/>
          </w:tcPr>
          <w:p w14:paraId="623E300C">
            <w:pPr>
              <w:jc w:val="center"/>
              <w:rPr>
                <w:rFonts w:hint="eastAsia" w:ascii="宋体" w:hAnsi="宋体"/>
                <w:szCs w:val="21"/>
              </w:rPr>
            </w:pPr>
          </w:p>
        </w:tc>
        <w:tc>
          <w:tcPr>
            <w:tcW w:w="1090" w:type="dxa"/>
            <w:noWrap w:val="0"/>
            <w:tcMar>
              <w:left w:w="108" w:type="dxa"/>
              <w:right w:w="108" w:type="dxa"/>
            </w:tcMar>
            <w:vAlign w:val="center"/>
          </w:tcPr>
          <w:p w14:paraId="0416DE9A">
            <w:pPr>
              <w:jc w:val="center"/>
              <w:rPr>
                <w:rFonts w:hint="eastAsia" w:ascii="宋体" w:hAnsi="宋体"/>
                <w:szCs w:val="21"/>
              </w:rPr>
            </w:pPr>
          </w:p>
        </w:tc>
        <w:tc>
          <w:tcPr>
            <w:tcW w:w="1197" w:type="dxa"/>
            <w:noWrap w:val="0"/>
            <w:tcMar>
              <w:left w:w="108" w:type="dxa"/>
              <w:right w:w="108" w:type="dxa"/>
            </w:tcMar>
            <w:vAlign w:val="center"/>
          </w:tcPr>
          <w:p w14:paraId="7BECB535">
            <w:pPr>
              <w:jc w:val="center"/>
              <w:rPr>
                <w:rFonts w:hint="eastAsia" w:ascii="宋体" w:hAnsi="宋体"/>
                <w:szCs w:val="21"/>
              </w:rPr>
            </w:pPr>
          </w:p>
        </w:tc>
        <w:tc>
          <w:tcPr>
            <w:tcW w:w="983" w:type="dxa"/>
            <w:noWrap w:val="0"/>
            <w:tcMar>
              <w:left w:w="108" w:type="dxa"/>
              <w:right w:w="108" w:type="dxa"/>
            </w:tcMar>
            <w:vAlign w:val="center"/>
          </w:tcPr>
          <w:p w14:paraId="67DBEFBF">
            <w:pPr>
              <w:jc w:val="center"/>
              <w:rPr>
                <w:rFonts w:hint="eastAsia" w:ascii="宋体" w:hAnsi="宋体"/>
                <w:szCs w:val="21"/>
              </w:rPr>
            </w:pPr>
          </w:p>
        </w:tc>
      </w:tr>
      <w:tr w14:paraId="7CF2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E9187BA">
            <w:pPr>
              <w:jc w:val="center"/>
              <w:rPr>
                <w:rFonts w:hint="eastAsia" w:ascii="宋体" w:hAnsi="宋体"/>
                <w:szCs w:val="21"/>
              </w:rPr>
            </w:pPr>
          </w:p>
        </w:tc>
        <w:tc>
          <w:tcPr>
            <w:tcW w:w="1843" w:type="dxa"/>
            <w:vMerge w:val="continue"/>
            <w:noWrap w:val="0"/>
            <w:tcMar>
              <w:left w:w="108" w:type="dxa"/>
              <w:right w:w="108" w:type="dxa"/>
            </w:tcMar>
            <w:vAlign w:val="center"/>
          </w:tcPr>
          <w:p w14:paraId="32A42CDF">
            <w:pPr>
              <w:jc w:val="center"/>
              <w:rPr>
                <w:rFonts w:hint="eastAsia" w:ascii="宋体" w:hAnsi="宋体"/>
                <w:szCs w:val="21"/>
              </w:rPr>
            </w:pPr>
          </w:p>
        </w:tc>
        <w:tc>
          <w:tcPr>
            <w:tcW w:w="751" w:type="dxa"/>
            <w:noWrap w:val="0"/>
            <w:tcMar>
              <w:left w:w="108" w:type="dxa"/>
              <w:right w:w="108" w:type="dxa"/>
            </w:tcMar>
            <w:vAlign w:val="center"/>
          </w:tcPr>
          <w:p w14:paraId="6AF734B9">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27F99FB5">
            <w:pPr>
              <w:jc w:val="center"/>
              <w:rPr>
                <w:rFonts w:hint="eastAsia" w:ascii="宋体" w:hAnsi="宋体"/>
                <w:szCs w:val="21"/>
              </w:rPr>
            </w:pPr>
          </w:p>
        </w:tc>
        <w:tc>
          <w:tcPr>
            <w:tcW w:w="1123" w:type="dxa"/>
            <w:noWrap w:val="0"/>
            <w:tcMar>
              <w:left w:w="108" w:type="dxa"/>
              <w:right w:w="108" w:type="dxa"/>
            </w:tcMar>
            <w:vAlign w:val="center"/>
          </w:tcPr>
          <w:p w14:paraId="090D1BE7">
            <w:pPr>
              <w:jc w:val="center"/>
              <w:rPr>
                <w:rFonts w:hint="eastAsia" w:ascii="宋体" w:hAnsi="宋体"/>
                <w:szCs w:val="21"/>
              </w:rPr>
            </w:pPr>
          </w:p>
        </w:tc>
        <w:tc>
          <w:tcPr>
            <w:tcW w:w="1090" w:type="dxa"/>
            <w:noWrap w:val="0"/>
            <w:tcMar>
              <w:left w:w="108" w:type="dxa"/>
              <w:right w:w="108" w:type="dxa"/>
            </w:tcMar>
            <w:vAlign w:val="center"/>
          </w:tcPr>
          <w:p w14:paraId="059C7FBE">
            <w:pPr>
              <w:jc w:val="center"/>
              <w:rPr>
                <w:rFonts w:hint="eastAsia" w:ascii="宋体" w:hAnsi="宋体"/>
                <w:szCs w:val="21"/>
              </w:rPr>
            </w:pPr>
          </w:p>
        </w:tc>
        <w:tc>
          <w:tcPr>
            <w:tcW w:w="1197" w:type="dxa"/>
            <w:noWrap w:val="0"/>
            <w:tcMar>
              <w:left w:w="108" w:type="dxa"/>
              <w:right w:w="108" w:type="dxa"/>
            </w:tcMar>
            <w:vAlign w:val="center"/>
          </w:tcPr>
          <w:p w14:paraId="509E194F">
            <w:pPr>
              <w:jc w:val="center"/>
              <w:rPr>
                <w:rFonts w:hint="eastAsia" w:ascii="宋体" w:hAnsi="宋体"/>
                <w:szCs w:val="21"/>
              </w:rPr>
            </w:pPr>
          </w:p>
        </w:tc>
        <w:tc>
          <w:tcPr>
            <w:tcW w:w="983" w:type="dxa"/>
            <w:noWrap w:val="0"/>
            <w:tcMar>
              <w:left w:w="108" w:type="dxa"/>
              <w:right w:w="108" w:type="dxa"/>
            </w:tcMar>
            <w:vAlign w:val="center"/>
          </w:tcPr>
          <w:p w14:paraId="7EE2ED33">
            <w:pPr>
              <w:jc w:val="center"/>
              <w:rPr>
                <w:rFonts w:hint="eastAsia" w:ascii="宋体" w:hAnsi="宋体"/>
                <w:szCs w:val="21"/>
              </w:rPr>
            </w:pPr>
          </w:p>
        </w:tc>
      </w:tr>
      <w:tr w14:paraId="56DDF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FA8A56D">
            <w:pPr>
              <w:jc w:val="center"/>
              <w:rPr>
                <w:rFonts w:hint="eastAsia" w:ascii="宋体" w:hAnsi="宋体"/>
                <w:szCs w:val="21"/>
              </w:rPr>
            </w:pPr>
          </w:p>
        </w:tc>
        <w:tc>
          <w:tcPr>
            <w:tcW w:w="1843" w:type="dxa"/>
            <w:vMerge w:val="continue"/>
            <w:noWrap w:val="0"/>
            <w:tcMar>
              <w:left w:w="108" w:type="dxa"/>
              <w:right w:w="108" w:type="dxa"/>
            </w:tcMar>
            <w:vAlign w:val="center"/>
          </w:tcPr>
          <w:p w14:paraId="65552A46">
            <w:pPr>
              <w:jc w:val="center"/>
              <w:rPr>
                <w:rFonts w:hint="eastAsia" w:ascii="宋体" w:hAnsi="宋体"/>
                <w:szCs w:val="21"/>
              </w:rPr>
            </w:pPr>
          </w:p>
        </w:tc>
        <w:tc>
          <w:tcPr>
            <w:tcW w:w="751" w:type="dxa"/>
            <w:noWrap w:val="0"/>
            <w:tcMar>
              <w:left w:w="108" w:type="dxa"/>
              <w:right w:w="108" w:type="dxa"/>
            </w:tcMar>
            <w:vAlign w:val="center"/>
          </w:tcPr>
          <w:p w14:paraId="2DDEF1A6">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1F83CC4B">
            <w:pPr>
              <w:jc w:val="center"/>
              <w:rPr>
                <w:rFonts w:hint="eastAsia" w:ascii="宋体" w:hAnsi="宋体"/>
                <w:szCs w:val="21"/>
              </w:rPr>
            </w:pPr>
          </w:p>
        </w:tc>
        <w:tc>
          <w:tcPr>
            <w:tcW w:w="1123" w:type="dxa"/>
            <w:noWrap w:val="0"/>
            <w:tcMar>
              <w:left w:w="108" w:type="dxa"/>
              <w:right w:w="108" w:type="dxa"/>
            </w:tcMar>
            <w:vAlign w:val="center"/>
          </w:tcPr>
          <w:p w14:paraId="582CC19B">
            <w:pPr>
              <w:jc w:val="center"/>
              <w:rPr>
                <w:rFonts w:hint="eastAsia" w:ascii="宋体" w:hAnsi="宋体"/>
                <w:szCs w:val="21"/>
              </w:rPr>
            </w:pPr>
          </w:p>
        </w:tc>
        <w:tc>
          <w:tcPr>
            <w:tcW w:w="1090" w:type="dxa"/>
            <w:noWrap w:val="0"/>
            <w:tcMar>
              <w:left w:w="108" w:type="dxa"/>
              <w:right w:w="108" w:type="dxa"/>
            </w:tcMar>
            <w:vAlign w:val="center"/>
          </w:tcPr>
          <w:p w14:paraId="6260A4BD">
            <w:pPr>
              <w:jc w:val="center"/>
              <w:rPr>
                <w:rFonts w:hint="eastAsia" w:ascii="宋体" w:hAnsi="宋体"/>
                <w:szCs w:val="21"/>
              </w:rPr>
            </w:pPr>
          </w:p>
        </w:tc>
        <w:tc>
          <w:tcPr>
            <w:tcW w:w="1197" w:type="dxa"/>
            <w:noWrap w:val="0"/>
            <w:tcMar>
              <w:left w:w="108" w:type="dxa"/>
              <w:right w:w="108" w:type="dxa"/>
            </w:tcMar>
            <w:vAlign w:val="center"/>
          </w:tcPr>
          <w:p w14:paraId="38CC8C42">
            <w:pPr>
              <w:jc w:val="center"/>
              <w:rPr>
                <w:rFonts w:hint="eastAsia" w:ascii="宋体" w:hAnsi="宋体"/>
                <w:szCs w:val="21"/>
              </w:rPr>
            </w:pPr>
          </w:p>
        </w:tc>
        <w:tc>
          <w:tcPr>
            <w:tcW w:w="983" w:type="dxa"/>
            <w:noWrap w:val="0"/>
            <w:tcMar>
              <w:left w:w="108" w:type="dxa"/>
              <w:right w:w="108" w:type="dxa"/>
            </w:tcMar>
            <w:vAlign w:val="center"/>
          </w:tcPr>
          <w:p w14:paraId="5AC9207D">
            <w:pPr>
              <w:jc w:val="center"/>
              <w:rPr>
                <w:rFonts w:hint="eastAsia" w:ascii="宋体" w:hAnsi="宋体"/>
                <w:szCs w:val="21"/>
              </w:rPr>
            </w:pPr>
          </w:p>
        </w:tc>
      </w:tr>
    </w:tbl>
    <w:p w14:paraId="3D771233">
      <w:pPr>
        <w:spacing w:line="440" w:lineRule="exact"/>
        <w:ind w:right="420"/>
        <w:rPr>
          <w:rFonts w:hint="eastAsia" w:ascii="黑体" w:hAnsi="宋体" w:eastAsia="黑体"/>
          <w:szCs w:val="21"/>
        </w:rPr>
      </w:pPr>
    </w:p>
    <w:p w14:paraId="3BF7702C">
      <w:pPr>
        <w:spacing w:line="440" w:lineRule="exact"/>
        <w:ind w:right="420"/>
        <w:rPr>
          <w:rFonts w:hint="eastAsia" w:ascii="宋体" w:hAnsi="宋体"/>
          <w:szCs w:val="21"/>
        </w:rPr>
      </w:pPr>
    </w:p>
    <w:p w14:paraId="3B17363A">
      <w:pPr>
        <w:wordWrap w:val="0"/>
        <w:spacing w:line="440" w:lineRule="exact"/>
        <w:ind w:right="420"/>
        <w:jc w:val="right"/>
        <w:rPr>
          <w:rFonts w:hint="eastAsia" w:ascii="宋体" w:hAnsi="宋体"/>
          <w:szCs w:val="21"/>
        </w:rPr>
      </w:pPr>
      <w:r>
        <w:rPr>
          <w:rFonts w:hint="eastAsia" w:ascii="宋体" w:hAnsi="宋体"/>
          <w:szCs w:val="21"/>
        </w:rPr>
        <w:t xml:space="preserve">日 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7A90BC38">
      <w:pPr>
        <w:spacing w:line="440" w:lineRule="exact"/>
        <w:ind w:right="420"/>
        <w:jc w:val="right"/>
        <w:rPr>
          <w:rFonts w:hint="eastAsia" w:ascii="宋体" w:hAnsi="宋体"/>
          <w:szCs w:val="21"/>
        </w:rPr>
      </w:pPr>
    </w:p>
    <w:p w14:paraId="5D50FEF5">
      <w:pPr>
        <w:spacing w:line="440" w:lineRule="exact"/>
        <w:ind w:left="630" w:right="420" w:hanging="630" w:hangingChars="300"/>
        <w:rPr>
          <w:rFonts w:hint="eastAsia" w:ascii="宋体" w:hAnsi="宋体"/>
          <w:szCs w:val="21"/>
        </w:rPr>
      </w:pPr>
      <w:r>
        <w:rPr>
          <w:rFonts w:hint="eastAsia" w:ascii="宋体" w:hAnsi="宋体"/>
          <w:szCs w:val="21"/>
        </w:rPr>
        <w:t>备注：1.本表适用于非政府采购工程。</w:t>
      </w:r>
    </w:p>
    <w:p w14:paraId="2DFED76B">
      <w:pPr>
        <w:spacing w:line="440" w:lineRule="exact"/>
        <w:ind w:left="630" w:leftChars="300" w:right="420"/>
        <w:rPr>
          <w:rFonts w:hint="eastAsia"/>
        </w:rPr>
      </w:pPr>
      <w:r>
        <w:rPr>
          <w:rFonts w:hint="eastAsia" w:ascii="宋体" w:hAnsi="宋体"/>
          <w:szCs w:val="21"/>
        </w:rPr>
        <w:t>2.本表所列分包仅限于承包人自行施工范围内的非主体、非关键工程。</w:t>
      </w:r>
    </w:p>
    <w:p w14:paraId="5EB8EEC4">
      <w:pPr>
        <w:spacing w:line="440" w:lineRule="exact"/>
        <w:ind w:right="420"/>
        <w:jc w:val="left"/>
        <w:rPr>
          <w:rFonts w:hint="eastAsia" w:ascii="宋体" w:hAnsi="宋体"/>
          <w:szCs w:val="21"/>
        </w:rPr>
      </w:pPr>
    </w:p>
    <w:p w14:paraId="7FE3C5FD">
      <w:pPr>
        <w:spacing w:line="440" w:lineRule="exact"/>
        <w:ind w:right="420"/>
        <w:jc w:val="right"/>
        <w:rPr>
          <w:rFonts w:hint="eastAsia" w:ascii="宋体" w:hAnsi="宋体"/>
          <w:szCs w:val="21"/>
        </w:rPr>
      </w:pPr>
    </w:p>
    <w:p w14:paraId="44203792">
      <w:pPr>
        <w:spacing w:line="440" w:lineRule="exact"/>
        <w:rPr>
          <w:rFonts w:hint="eastAsia" w:ascii="宋体" w:hAnsi="宋体"/>
          <w:szCs w:val="21"/>
        </w:rPr>
      </w:pPr>
    </w:p>
    <w:p w14:paraId="64C917EC">
      <w:pPr>
        <w:spacing w:line="440" w:lineRule="exact"/>
        <w:rPr>
          <w:rFonts w:hint="eastAsia" w:ascii="宋体" w:hAnsi="宋体"/>
          <w:szCs w:val="21"/>
        </w:rPr>
      </w:pPr>
    </w:p>
    <w:p w14:paraId="3B8EE89E">
      <w:pPr>
        <w:spacing w:line="440" w:lineRule="exact"/>
        <w:rPr>
          <w:rFonts w:hint="eastAsia" w:ascii="宋体" w:hAnsi="宋体"/>
          <w:szCs w:val="21"/>
        </w:rPr>
      </w:pPr>
    </w:p>
    <w:p w14:paraId="0A523012">
      <w:pPr>
        <w:spacing w:line="440" w:lineRule="exact"/>
        <w:rPr>
          <w:rFonts w:hint="eastAsia" w:ascii="宋体" w:hAnsi="宋体"/>
          <w:szCs w:val="21"/>
        </w:rPr>
      </w:pPr>
    </w:p>
    <w:p w14:paraId="28AAA73B">
      <w:pPr>
        <w:pStyle w:val="18"/>
        <w:jc w:val="center"/>
        <w:rPr>
          <w:rFonts w:hint="eastAsia"/>
        </w:rPr>
      </w:pPr>
      <w:bookmarkStart w:id="2645" w:name="_Toc108514231"/>
      <w:r>
        <w:rPr>
          <w:rFonts w:hint="eastAsia"/>
        </w:rPr>
        <w:t>五、分包意向协议书</w:t>
      </w:r>
      <w:bookmarkEnd w:id="2645"/>
    </w:p>
    <w:p w14:paraId="5034624E">
      <w:pPr>
        <w:pStyle w:val="14"/>
        <w:adjustRightInd w:val="0"/>
        <w:snapToGrid w:val="0"/>
        <w:spacing w:before="0" w:beforeAutospacing="0" w:after="0" w:afterAutospacing="0" w:line="360" w:lineRule="auto"/>
        <w:ind w:firstLine="480"/>
        <w:rPr>
          <w:rFonts w:cs="Tahoma"/>
          <w:color w:val="auto"/>
        </w:rPr>
      </w:pPr>
    </w:p>
    <w:p w14:paraId="0C406493">
      <w:pPr>
        <w:spacing w:line="394" w:lineRule="exact"/>
        <w:ind w:firstLine="420" w:firstLineChars="200"/>
        <w:rPr>
          <w:rFonts w:ascii="宋体" w:hAnsi="宋体"/>
          <w:szCs w:val="21"/>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（投标人名称）</w:t>
      </w:r>
    </w:p>
    <w:p w14:paraId="0E67FA11">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4B60C811">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43A7F08D">
      <w:pPr>
        <w:spacing w:line="394" w:lineRule="exact"/>
        <w:ind w:firstLine="420" w:firstLineChars="200"/>
        <w:rPr>
          <w:rFonts w:ascii="宋体" w:hAnsi="宋体"/>
          <w:szCs w:val="21"/>
        </w:rPr>
      </w:pPr>
      <w:r>
        <w:rPr>
          <w:rFonts w:ascii="Arial" w:hAnsi="Arial" w:cs="Arial"/>
          <w:szCs w:val="21"/>
        </w:rPr>
        <w:t>…</w:t>
      </w:r>
    </w:p>
    <w:p w14:paraId="0C1CBA0D">
      <w:pPr>
        <w:spacing w:line="394" w:lineRule="exact"/>
        <w:ind w:firstLine="420" w:firstLineChars="200"/>
        <w:rPr>
          <w:rFonts w:ascii="宋体" w:hAnsi="宋体"/>
          <w:szCs w:val="21"/>
        </w:rPr>
      </w:pPr>
      <w:r>
        <w:rPr>
          <w:rFonts w:hint="eastAsia" w:ascii="宋体" w:hAnsi="宋体"/>
          <w:szCs w:val="21"/>
        </w:rPr>
        <w:t>鉴于甲方参加</w:t>
      </w:r>
      <w:r>
        <w:rPr>
          <w:rFonts w:hint="eastAsia" w:ascii="宋体" w:hAnsi="宋体"/>
          <w:szCs w:val="21"/>
          <w:u w:val="single"/>
        </w:rPr>
        <w:t xml:space="preserve">              </w:t>
      </w:r>
      <w:r>
        <w:rPr>
          <w:rFonts w:hint="eastAsia" w:ascii="宋体" w:hAnsi="宋体"/>
          <w:szCs w:val="21"/>
        </w:rPr>
        <w:t xml:space="preserve">（招标人名称）（以下简称招标人或发包人）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241869DF">
      <w:pPr>
        <w:spacing w:line="394" w:lineRule="exact"/>
        <w:ind w:firstLine="420" w:firstLineChars="200"/>
        <w:rPr>
          <w:rFonts w:ascii="宋体" w:hAnsi="宋体"/>
          <w:szCs w:val="21"/>
        </w:rPr>
      </w:pPr>
      <w:r>
        <w:rPr>
          <w:rFonts w:hint="eastAsia" w:ascii="宋体" w:hAnsi="宋体"/>
          <w:szCs w:val="21"/>
        </w:rPr>
        <w:t>1．在本工程的投标阶段，甲方负责本工程投标文件编制活动，并处理与投标和中标有关的一切事务。中标后，甲方负责合同订立和合同实施、组织和协调工作。</w:t>
      </w:r>
    </w:p>
    <w:p w14:paraId="1DF7028D">
      <w:pPr>
        <w:spacing w:line="394" w:lineRule="exact"/>
        <w:ind w:firstLine="420" w:firstLineChars="200"/>
        <w:rPr>
          <w:rFonts w:ascii="宋体" w:hAnsi="宋体"/>
          <w:szCs w:val="21"/>
        </w:rPr>
      </w:pPr>
      <w:r>
        <w:rPr>
          <w:rFonts w:hint="eastAsia" w:ascii="宋体" w:hAnsi="宋体"/>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4DA21976">
      <w:pPr>
        <w:spacing w:line="394" w:lineRule="exact"/>
        <w:ind w:firstLine="420" w:firstLineChars="200"/>
        <w:rPr>
          <w:rFonts w:ascii="宋体" w:hAnsi="宋体"/>
          <w:szCs w:val="21"/>
        </w:rPr>
      </w:pPr>
      <w:r>
        <w:rPr>
          <w:rFonts w:hint="eastAsia" w:ascii="宋体" w:hAnsi="宋体"/>
          <w:szCs w:val="21"/>
        </w:rPr>
        <w:t>3. 甲方承诺中标后，就本协议约定的分包工作以分包合同的形式交由乙方承担；乙方承诺</w:t>
      </w:r>
      <w:r>
        <w:rPr>
          <w:rFonts w:ascii="宋体" w:hAnsi="宋体"/>
          <w:szCs w:val="21"/>
        </w:rPr>
        <w:t>按照分包合同的约定</w:t>
      </w:r>
      <w:r>
        <w:rPr>
          <w:rFonts w:hint="eastAsia" w:ascii="宋体" w:hAnsi="宋体"/>
          <w:szCs w:val="21"/>
        </w:rPr>
        <w:t>履行责任和义务并</w:t>
      </w:r>
      <w:r>
        <w:rPr>
          <w:rFonts w:ascii="宋体" w:hAnsi="宋体"/>
          <w:szCs w:val="21"/>
        </w:rPr>
        <w:t>对</w:t>
      </w:r>
      <w:r>
        <w:rPr>
          <w:rFonts w:hint="eastAsia" w:ascii="宋体" w:hAnsi="宋体"/>
          <w:szCs w:val="21"/>
        </w:rPr>
        <w:t>甲方</w:t>
      </w:r>
      <w:r>
        <w:rPr>
          <w:rFonts w:ascii="宋体" w:hAnsi="宋体"/>
          <w:szCs w:val="21"/>
        </w:rPr>
        <w:t>负责。</w:t>
      </w:r>
      <w:r>
        <w:rPr>
          <w:rFonts w:hint="eastAsia" w:ascii="宋体" w:hAnsi="宋体"/>
          <w:szCs w:val="21"/>
        </w:rPr>
        <w:t>甲方</w:t>
      </w:r>
      <w:r>
        <w:rPr>
          <w:rFonts w:ascii="宋体" w:hAnsi="宋体"/>
          <w:szCs w:val="21"/>
        </w:rPr>
        <w:t>和</w:t>
      </w:r>
      <w:r>
        <w:rPr>
          <w:rFonts w:hint="eastAsia" w:ascii="宋体" w:hAnsi="宋体"/>
          <w:szCs w:val="21"/>
        </w:rPr>
        <w:t>乙方</w:t>
      </w:r>
      <w:r>
        <w:rPr>
          <w:rFonts w:ascii="宋体" w:hAnsi="宋体"/>
          <w:szCs w:val="21"/>
        </w:rPr>
        <w:t>就分包</w:t>
      </w:r>
      <w:r>
        <w:rPr>
          <w:rFonts w:hint="eastAsia" w:ascii="宋体" w:hAnsi="宋体"/>
          <w:szCs w:val="21"/>
        </w:rPr>
        <w:t>工作</w:t>
      </w:r>
      <w:r>
        <w:rPr>
          <w:rFonts w:ascii="宋体" w:hAnsi="宋体"/>
          <w:szCs w:val="21"/>
        </w:rPr>
        <w:t>对</w:t>
      </w:r>
      <w:r>
        <w:rPr>
          <w:rFonts w:hint="eastAsia" w:ascii="宋体" w:hAnsi="宋体"/>
          <w:szCs w:val="21"/>
        </w:rPr>
        <w:t>招标人（发包人）</w:t>
      </w:r>
      <w:r>
        <w:rPr>
          <w:rFonts w:ascii="宋体" w:hAnsi="宋体"/>
          <w:szCs w:val="21"/>
        </w:rPr>
        <w:t>承担连带责任。</w:t>
      </w:r>
    </w:p>
    <w:p w14:paraId="17C06121">
      <w:pPr>
        <w:spacing w:line="394" w:lineRule="exact"/>
        <w:ind w:firstLine="420" w:firstLineChars="200"/>
        <w:rPr>
          <w:rFonts w:hint="eastAsia" w:cs="Tahoma"/>
        </w:rPr>
      </w:pPr>
      <w:r>
        <w:rPr>
          <w:rFonts w:hint="eastAsia" w:ascii="宋体" w:hAnsi="宋体"/>
          <w:szCs w:val="21"/>
        </w:rPr>
        <w:t>4. 甲方拟分包给乙方的工作、</w:t>
      </w:r>
      <w:r>
        <w:rPr>
          <w:rFonts w:hint="eastAsia" w:cs="Tahoma"/>
        </w:rPr>
        <w:t>分包合同金额、分包合同金额占比如下：</w:t>
      </w:r>
    </w:p>
    <w:p w14:paraId="4875BF3A">
      <w:pPr>
        <w:spacing w:line="394" w:lineRule="exact"/>
        <w:ind w:firstLine="420" w:firstLineChars="200"/>
        <w:rPr>
          <w:rFonts w:hint="eastAsia" w:cs="Tahoma"/>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1EA3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12DD772">
            <w:pPr>
              <w:jc w:val="center"/>
              <w:rPr>
                <w:rFonts w:ascii="宋体" w:hAnsi="宋体"/>
                <w:szCs w:val="21"/>
              </w:rPr>
            </w:pPr>
            <w:r>
              <w:rPr>
                <w:rFonts w:hint="eastAsia" w:ascii="宋体" w:hAnsi="宋体"/>
                <w:szCs w:val="21"/>
              </w:rPr>
              <w:t>序号</w:t>
            </w:r>
          </w:p>
        </w:tc>
        <w:tc>
          <w:tcPr>
            <w:tcW w:w="1597" w:type="dxa"/>
            <w:noWrap w:val="0"/>
            <w:tcMar>
              <w:left w:w="108" w:type="dxa"/>
              <w:right w:w="108" w:type="dxa"/>
            </w:tcMar>
            <w:vAlign w:val="center"/>
          </w:tcPr>
          <w:p w14:paraId="6A5BCF7A">
            <w:pPr>
              <w:jc w:val="center"/>
              <w:rPr>
                <w:rFonts w:hint="eastAsia" w:ascii="宋体" w:hAnsi="宋体"/>
                <w:szCs w:val="21"/>
              </w:rPr>
            </w:pPr>
            <w:r>
              <w:rPr>
                <w:rFonts w:hint="eastAsia" w:ascii="宋体" w:hAnsi="宋体"/>
                <w:szCs w:val="21"/>
              </w:rPr>
              <w:t>接受分包合同企业名称</w:t>
            </w:r>
          </w:p>
        </w:tc>
        <w:tc>
          <w:tcPr>
            <w:tcW w:w="1722" w:type="dxa"/>
            <w:noWrap w:val="0"/>
            <w:tcMar>
              <w:left w:w="108" w:type="dxa"/>
              <w:right w:w="108" w:type="dxa"/>
            </w:tcMar>
            <w:vAlign w:val="center"/>
          </w:tcPr>
          <w:p w14:paraId="708ED5DC">
            <w:pPr>
              <w:jc w:val="center"/>
              <w:rPr>
                <w:rFonts w:hint="eastAsia" w:ascii="宋体" w:hAnsi="宋体"/>
                <w:szCs w:val="21"/>
              </w:rPr>
            </w:pPr>
            <w:r>
              <w:rPr>
                <w:rFonts w:hint="eastAsia" w:ascii="宋体" w:hAnsi="宋体"/>
                <w:szCs w:val="21"/>
              </w:rPr>
              <w:t>分包合同</w:t>
            </w:r>
          </w:p>
          <w:p w14:paraId="29962D23">
            <w:pPr>
              <w:jc w:val="center"/>
              <w:rPr>
                <w:rFonts w:hint="eastAsia" w:ascii="宋体" w:hAnsi="宋体"/>
                <w:szCs w:val="21"/>
              </w:rPr>
            </w:pPr>
            <w:r>
              <w:rPr>
                <w:rFonts w:hint="eastAsia" w:ascii="宋体" w:hAnsi="宋体"/>
                <w:szCs w:val="21"/>
              </w:rPr>
              <w:t>工作内容名称</w:t>
            </w:r>
          </w:p>
        </w:tc>
        <w:tc>
          <w:tcPr>
            <w:tcW w:w="1155" w:type="dxa"/>
            <w:noWrap w:val="0"/>
            <w:tcMar>
              <w:left w:w="108" w:type="dxa"/>
              <w:right w:w="108" w:type="dxa"/>
            </w:tcMar>
            <w:vAlign w:val="center"/>
          </w:tcPr>
          <w:p w14:paraId="23E04629">
            <w:pPr>
              <w:jc w:val="center"/>
              <w:rPr>
                <w:rFonts w:hint="eastAsia" w:ascii="宋体" w:hAnsi="宋体"/>
                <w:szCs w:val="21"/>
              </w:rPr>
            </w:pPr>
            <w:r>
              <w:rPr>
                <w:rFonts w:hint="eastAsia" w:ascii="宋体" w:hAnsi="宋体"/>
                <w:szCs w:val="21"/>
              </w:rPr>
              <w:t>分包合同</w:t>
            </w:r>
          </w:p>
          <w:p w14:paraId="57A16B88">
            <w:pPr>
              <w:jc w:val="center"/>
              <w:rPr>
                <w:rFonts w:hint="eastAsia" w:ascii="宋体" w:hAnsi="宋体"/>
                <w:szCs w:val="21"/>
              </w:rPr>
            </w:pPr>
            <w:r>
              <w:rPr>
                <w:rFonts w:hint="eastAsia" w:ascii="宋体" w:hAnsi="宋体"/>
                <w:szCs w:val="21"/>
              </w:rPr>
              <w:t>金额</w:t>
            </w:r>
          </w:p>
          <w:p w14:paraId="27C104C0">
            <w:pPr>
              <w:jc w:val="center"/>
              <w:rPr>
                <w:rFonts w:hint="eastAsia" w:ascii="宋体" w:hAnsi="宋体"/>
                <w:szCs w:val="21"/>
              </w:rPr>
            </w:pPr>
            <w:r>
              <w:rPr>
                <w:rFonts w:hint="eastAsia" w:ascii="宋体" w:hAnsi="宋体"/>
                <w:szCs w:val="21"/>
              </w:rPr>
              <w:t>（万元）</w:t>
            </w:r>
          </w:p>
        </w:tc>
        <w:tc>
          <w:tcPr>
            <w:tcW w:w="1155" w:type="dxa"/>
            <w:noWrap w:val="0"/>
            <w:tcMar>
              <w:left w:w="108" w:type="dxa"/>
              <w:right w:w="108" w:type="dxa"/>
            </w:tcMar>
            <w:vAlign w:val="center"/>
          </w:tcPr>
          <w:p w14:paraId="3B943192">
            <w:pPr>
              <w:jc w:val="center"/>
              <w:rPr>
                <w:rFonts w:hint="eastAsia" w:ascii="宋体" w:hAnsi="宋体"/>
                <w:szCs w:val="21"/>
              </w:rPr>
            </w:pPr>
            <w:r>
              <w:rPr>
                <w:rFonts w:hint="eastAsia" w:ascii="宋体" w:hAnsi="宋体"/>
                <w:szCs w:val="21"/>
              </w:rPr>
              <w:t>分包合同金额占比</w:t>
            </w:r>
          </w:p>
          <w:p w14:paraId="18DD3D93">
            <w:pPr>
              <w:jc w:val="center"/>
              <w:rPr>
                <w:rFonts w:ascii="宋体" w:hAnsi="宋体"/>
                <w:szCs w:val="21"/>
              </w:rPr>
            </w:pPr>
            <w:r>
              <w:rPr>
                <w:rFonts w:hint="eastAsia" w:ascii="宋体" w:hAnsi="宋体"/>
                <w:szCs w:val="21"/>
              </w:rPr>
              <w:t>（%）</w:t>
            </w:r>
          </w:p>
        </w:tc>
        <w:tc>
          <w:tcPr>
            <w:tcW w:w="1428" w:type="dxa"/>
            <w:noWrap w:val="0"/>
            <w:tcMar>
              <w:left w:w="108" w:type="dxa"/>
              <w:right w:w="108" w:type="dxa"/>
            </w:tcMar>
            <w:vAlign w:val="center"/>
          </w:tcPr>
          <w:p w14:paraId="5227A9E1">
            <w:pPr>
              <w:jc w:val="center"/>
              <w:rPr>
                <w:rFonts w:hint="eastAsia" w:ascii="宋体" w:hAnsi="宋体"/>
                <w:szCs w:val="21"/>
              </w:rPr>
            </w:pPr>
            <w:r>
              <w:rPr>
                <w:rFonts w:hint="eastAsia" w:ascii="宋体" w:hAnsi="宋体"/>
                <w:szCs w:val="21"/>
              </w:rPr>
              <w:t>满足分包工作的企业资质（如需）</w:t>
            </w:r>
          </w:p>
        </w:tc>
        <w:tc>
          <w:tcPr>
            <w:tcW w:w="1407" w:type="dxa"/>
            <w:noWrap w:val="0"/>
            <w:vAlign w:val="center"/>
          </w:tcPr>
          <w:p w14:paraId="034F0922">
            <w:pPr>
              <w:jc w:val="center"/>
              <w:rPr>
                <w:rFonts w:hint="eastAsia" w:ascii="宋体" w:hAnsi="宋体"/>
                <w:szCs w:val="21"/>
              </w:rPr>
            </w:pPr>
            <w:r>
              <w:rPr>
                <w:rFonts w:hint="eastAsia" w:ascii="宋体" w:hAnsi="宋体"/>
                <w:szCs w:val="21"/>
              </w:rPr>
              <w:t>备注</w:t>
            </w:r>
          </w:p>
        </w:tc>
      </w:tr>
      <w:tr w14:paraId="3711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D0F5998">
            <w:pPr>
              <w:jc w:val="center"/>
              <w:rPr>
                <w:rFonts w:hint="eastAsia" w:ascii="宋体" w:hAnsi="宋体"/>
                <w:szCs w:val="21"/>
              </w:rPr>
            </w:pPr>
          </w:p>
        </w:tc>
        <w:tc>
          <w:tcPr>
            <w:tcW w:w="1597" w:type="dxa"/>
            <w:noWrap w:val="0"/>
            <w:tcMar>
              <w:left w:w="108" w:type="dxa"/>
              <w:right w:w="108" w:type="dxa"/>
            </w:tcMar>
            <w:vAlign w:val="center"/>
          </w:tcPr>
          <w:p w14:paraId="285BD05A">
            <w:pPr>
              <w:jc w:val="center"/>
              <w:rPr>
                <w:rFonts w:hint="eastAsia" w:ascii="宋体" w:hAnsi="宋体"/>
                <w:szCs w:val="21"/>
              </w:rPr>
            </w:pPr>
          </w:p>
        </w:tc>
        <w:tc>
          <w:tcPr>
            <w:tcW w:w="1722" w:type="dxa"/>
            <w:noWrap w:val="0"/>
            <w:tcMar>
              <w:left w:w="108" w:type="dxa"/>
              <w:right w:w="108" w:type="dxa"/>
            </w:tcMar>
            <w:vAlign w:val="center"/>
          </w:tcPr>
          <w:p w14:paraId="31B990BB">
            <w:pPr>
              <w:jc w:val="center"/>
              <w:rPr>
                <w:rFonts w:hint="eastAsia" w:ascii="宋体" w:hAnsi="宋体"/>
                <w:szCs w:val="21"/>
              </w:rPr>
            </w:pPr>
          </w:p>
        </w:tc>
        <w:tc>
          <w:tcPr>
            <w:tcW w:w="1155" w:type="dxa"/>
            <w:noWrap w:val="0"/>
            <w:tcMar>
              <w:left w:w="108" w:type="dxa"/>
              <w:right w:w="108" w:type="dxa"/>
            </w:tcMar>
            <w:vAlign w:val="center"/>
          </w:tcPr>
          <w:p w14:paraId="544F0FD1">
            <w:pPr>
              <w:jc w:val="center"/>
              <w:rPr>
                <w:rFonts w:hint="eastAsia" w:ascii="宋体" w:hAnsi="宋体"/>
                <w:szCs w:val="21"/>
              </w:rPr>
            </w:pPr>
          </w:p>
        </w:tc>
        <w:tc>
          <w:tcPr>
            <w:tcW w:w="1155" w:type="dxa"/>
            <w:noWrap w:val="0"/>
            <w:tcMar>
              <w:left w:w="108" w:type="dxa"/>
              <w:right w:w="108" w:type="dxa"/>
            </w:tcMar>
            <w:vAlign w:val="center"/>
          </w:tcPr>
          <w:p w14:paraId="12EE6F8C">
            <w:pPr>
              <w:jc w:val="center"/>
              <w:rPr>
                <w:rFonts w:hint="eastAsia" w:ascii="宋体" w:hAnsi="宋体"/>
                <w:szCs w:val="21"/>
              </w:rPr>
            </w:pPr>
          </w:p>
        </w:tc>
        <w:tc>
          <w:tcPr>
            <w:tcW w:w="1428" w:type="dxa"/>
            <w:noWrap w:val="0"/>
            <w:tcMar>
              <w:left w:w="108" w:type="dxa"/>
              <w:right w:w="108" w:type="dxa"/>
            </w:tcMar>
            <w:vAlign w:val="center"/>
          </w:tcPr>
          <w:p w14:paraId="4A18E65F">
            <w:pPr>
              <w:jc w:val="center"/>
              <w:rPr>
                <w:rFonts w:hint="eastAsia" w:ascii="宋体" w:hAnsi="宋体"/>
                <w:szCs w:val="21"/>
              </w:rPr>
            </w:pPr>
          </w:p>
        </w:tc>
        <w:tc>
          <w:tcPr>
            <w:tcW w:w="1407" w:type="dxa"/>
            <w:noWrap w:val="0"/>
            <w:vAlign w:val="center"/>
          </w:tcPr>
          <w:p w14:paraId="65D2DA09">
            <w:pPr>
              <w:jc w:val="center"/>
              <w:rPr>
                <w:rFonts w:hint="eastAsia" w:ascii="宋体" w:hAnsi="宋体"/>
                <w:szCs w:val="21"/>
              </w:rPr>
            </w:pPr>
          </w:p>
        </w:tc>
      </w:tr>
      <w:tr w14:paraId="68E4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BBD9F67">
            <w:pPr>
              <w:jc w:val="center"/>
              <w:rPr>
                <w:rFonts w:hint="eastAsia" w:ascii="宋体" w:hAnsi="宋体"/>
                <w:szCs w:val="21"/>
              </w:rPr>
            </w:pPr>
          </w:p>
        </w:tc>
        <w:tc>
          <w:tcPr>
            <w:tcW w:w="1597" w:type="dxa"/>
            <w:noWrap w:val="0"/>
            <w:tcMar>
              <w:left w:w="108" w:type="dxa"/>
              <w:right w:w="108" w:type="dxa"/>
            </w:tcMar>
            <w:vAlign w:val="center"/>
          </w:tcPr>
          <w:p w14:paraId="06CAC9E3">
            <w:pPr>
              <w:jc w:val="center"/>
              <w:rPr>
                <w:rFonts w:hint="eastAsia" w:ascii="宋体" w:hAnsi="宋体"/>
                <w:szCs w:val="21"/>
              </w:rPr>
            </w:pPr>
          </w:p>
        </w:tc>
        <w:tc>
          <w:tcPr>
            <w:tcW w:w="1722" w:type="dxa"/>
            <w:noWrap w:val="0"/>
            <w:tcMar>
              <w:left w:w="108" w:type="dxa"/>
              <w:right w:w="108" w:type="dxa"/>
            </w:tcMar>
            <w:vAlign w:val="center"/>
          </w:tcPr>
          <w:p w14:paraId="22348ABB">
            <w:pPr>
              <w:jc w:val="center"/>
              <w:rPr>
                <w:rFonts w:hint="eastAsia" w:ascii="宋体" w:hAnsi="宋体"/>
                <w:szCs w:val="21"/>
              </w:rPr>
            </w:pPr>
          </w:p>
        </w:tc>
        <w:tc>
          <w:tcPr>
            <w:tcW w:w="1155" w:type="dxa"/>
            <w:noWrap w:val="0"/>
            <w:tcMar>
              <w:left w:w="108" w:type="dxa"/>
              <w:right w:w="108" w:type="dxa"/>
            </w:tcMar>
            <w:vAlign w:val="center"/>
          </w:tcPr>
          <w:p w14:paraId="39D83833">
            <w:pPr>
              <w:jc w:val="center"/>
              <w:rPr>
                <w:rFonts w:hint="eastAsia" w:ascii="宋体" w:hAnsi="宋体"/>
                <w:szCs w:val="21"/>
              </w:rPr>
            </w:pPr>
          </w:p>
        </w:tc>
        <w:tc>
          <w:tcPr>
            <w:tcW w:w="1155" w:type="dxa"/>
            <w:noWrap w:val="0"/>
            <w:tcMar>
              <w:left w:w="108" w:type="dxa"/>
              <w:right w:w="108" w:type="dxa"/>
            </w:tcMar>
            <w:vAlign w:val="center"/>
          </w:tcPr>
          <w:p w14:paraId="262E6F58">
            <w:pPr>
              <w:jc w:val="center"/>
              <w:rPr>
                <w:rFonts w:hint="eastAsia" w:ascii="宋体" w:hAnsi="宋体"/>
                <w:szCs w:val="21"/>
              </w:rPr>
            </w:pPr>
          </w:p>
        </w:tc>
        <w:tc>
          <w:tcPr>
            <w:tcW w:w="1428" w:type="dxa"/>
            <w:noWrap w:val="0"/>
            <w:tcMar>
              <w:left w:w="108" w:type="dxa"/>
              <w:right w:w="108" w:type="dxa"/>
            </w:tcMar>
            <w:vAlign w:val="center"/>
          </w:tcPr>
          <w:p w14:paraId="03B0C3DA">
            <w:pPr>
              <w:jc w:val="center"/>
              <w:rPr>
                <w:rFonts w:hint="eastAsia" w:ascii="宋体" w:hAnsi="宋体"/>
                <w:szCs w:val="21"/>
              </w:rPr>
            </w:pPr>
          </w:p>
        </w:tc>
        <w:tc>
          <w:tcPr>
            <w:tcW w:w="1407" w:type="dxa"/>
            <w:noWrap w:val="0"/>
            <w:vAlign w:val="center"/>
          </w:tcPr>
          <w:p w14:paraId="06FB5725">
            <w:pPr>
              <w:jc w:val="center"/>
              <w:rPr>
                <w:rFonts w:hint="eastAsia" w:ascii="宋体" w:hAnsi="宋体"/>
                <w:szCs w:val="21"/>
              </w:rPr>
            </w:pPr>
          </w:p>
        </w:tc>
      </w:tr>
      <w:tr w14:paraId="22F3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5B717C9">
            <w:pPr>
              <w:jc w:val="center"/>
              <w:rPr>
                <w:rFonts w:hint="eastAsia" w:ascii="宋体" w:hAnsi="宋体"/>
                <w:szCs w:val="21"/>
              </w:rPr>
            </w:pPr>
          </w:p>
        </w:tc>
        <w:tc>
          <w:tcPr>
            <w:tcW w:w="1597" w:type="dxa"/>
            <w:noWrap w:val="0"/>
            <w:tcMar>
              <w:left w:w="108" w:type="dxa"/>
              <w:right w:w="108" w:type="dxa"/>
            </w:tcMar>
            <w:vAlign w:val="center"/>
          </w:tcPr>
          <w:p w14:paraId="377BB541">
            <w:pPr>
              <w:jc w:val="center"/>
              <w:rPr>
                <w:rFonts w:hint="eastAsia" w:ascii="宋体" w:hAnsi="宋体"/>
                <w:szCs w:val="21"/>
              </w:rPr>
            </w:pPr>
          </w:p>
        </w:tc>
        <w:tc>
          <w:tcPr>
            <w:tcW w:w="1722" w:type="dxa"/>
            <w:noWrap w:val="0"/>
            <w:tcMar>
              <w:left w:w="108" w:type="dxa"/>
              <w:right w:w="108" w:type="dxa"/>
            </w:tcMar>
            <w:vAlign w:val="center"/>
          </w:tcPr>
          <w:p w14:paraId="7AD22487">
            <w:pPr>
              <w:jc w:val="center"/>
              <w:rPr>
                <w:rFonts w:hint="eastAsia" w:ascii="宋体" w:hAnsi="宋体"/>
                <w:szCs w:val="21"/>
              </w:rPr>
            </w:pPr>
          </w:p>
        </w:tc>
        <w:tc>
          <w:tcPr>
            <w:tcW w:w="1155" w:type="dxa"/>
            <w:noWrap w:val="0"/>
            <w:tcMar>
              <w:left w:w="108" w:type="dxa"/>
              <w:right w:w="108" w:type="dxa"/>
            </w:tcMar>
            <w:vAlign w:val="center"/>
          </w:tcPr>
          <w:p w14:paraId="7496647C">
            <w:pPr>
              <w:jc w:val="center"/>
              <w:rPr>
                <w:rFonts w:hint="eastAsia" w:ascii="宋体" w:hAnsi="宋体"/>
                <w:szCs w:val="21"/>
              </w:rPr>
            </w:pPr>
          </w:p>
        </w:tc>
        <w:tc>
          <w:tcPr>
            <w:tcW w:w="1155" w:type="dxa"/>
            <w:noWrap w:val="0"/>
            <w:tcMar>
              <w:left w:w="108" w:type="dxa"/>
              <w:right w:w="108" w:type="dxa"/>
            </w:tcMar>
            <w:vAlign w:val="center"/>
          </w:tcPr>
          <w:p w14:paraId="6C275445">
            <w:pPr>
              <w:jc w:val="center"/>
              <w:rPr>
                <w:rFonts w:hint="eastAsia" w:ascii="宋体" w:hAnsi="宋体"/>
                <w:szCs w:val="21"/>
              </w:rPr>
            </w:pPr>
          </w:p>
        </w:tc>
        <w:tc>
          <w:tcPr>
            <w:tcW w:w="1428" w:type="dxa"/>
            <w:noWrap w:val="0"/>
            <w:tcMar>
              <w:left w:w="108" w:type="dxa"/>
              <w:right w:w="108" w:type="dxa"/>
            </w:tcMar>
            <w:vAlign w:val="center"/>
          </w:tcPr>
          <w:p w14:paraId="34A72039">
            <w:pPr>
              <w:jc w:val="center"/>
              <w:rPr>
                <w:rFonts w:hint="eastAsia" w:ascii="宋体" w:hAnsi="宋体"/>
                <w:szCs w:val="21"/>
              </w:rPr>
            </w:pPr>
          </w:p>
        </w:tc>
        <w:tc>
          <w:tcPr>
            <w:tcW w:w="1407" w:type="dxa"/>
            <w:noWrap w:val="0"/>
            <w:vAlign w:val="center"/>
          </w:tcPr>
          <w:p w14:paraId="03F03AFC">
            <w:pPr>
              <w:jc w:val="center"/>
              <w:rPr>
                <w:rFonts w:hint="eastAsia" w:ascii="宋体" w:hAnsi="宋体"/>
                <w:szCs w:val="21"/>
              </w:rPr>
            </w:pPr>
          </w:p>
        </w:tc>
      </w:tr>
      <w:tr w14:paraId="2E4F5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AE523B1">
            <w:pPr>
              <w:jc w:val="center"/>
              <w:rPr>
                <w:rFonts w:hint="eastAsia" w:ascii="宋体" w:hAnsi="宋体"/>
                <w:szCs w:val="21"/>
              </w:rPr>
            </w:pPr>
          </w:p>
        </w:tc>
        <w:tc>
          <w:tcPr>
            <w:tcW w:w="1597" w:type="dxa"/>
            <w:noWrap w:val="0"/>
            <w:tcMar>
              <w:left w:w="108" w:type="dxa"/>
              <w:right w:w="108" w:type="dxa"/>
            </w:tcMar>
            <w:vAlign w:val="center"/>
          </w:tcPr>
          <w:p w14:paraId="61BABD1A">
            <w:pPr>
              <w:jc w:val="center"/>
              <w:rPr>
                <w:rFonts w:hint="eastAsia" w:ascii="宋体" w:hAnsi="宋体"/>
                <w:szCs w:val="21"/>
              </w:rPr>
            </w:pPr>
          </w:p>
        </w:tc>
        <w:tc>
          <w:tcPr>
            <w:tcW w:w="1722" w:type="dxa"/>
            <w:noWrap w:val="0"/>
            <w:tcMar>
              <w:left w:w="108" w:type="dxa"/>
              <w:right w:w="108" w:type="dxa"/>
            </w:tcMar>
            <w:vAlign w:val="center"/>
          </w:tcPr>
          <w:p w14:paraId="7F28E07C">
            <w:pPr>
              <w:jc w:val="center"/>
              <w:rPr>
                <w:rFonts w:hint="eastAsia" w:ascii="宋体" w:hAnsi="宋体"/>
                <w:szCs w:val="21"/>
              </w:rPr>
            </w:pPr>
          </w:p>
        </w:tc>
        <w:tc>
          <w:tcPr>
            <w:tcW w:w="1155" w:type="dxa"/>
            <w:noWrap w:val="0"/>
            <w:tcMar>
              <w:left w:w="108" w:type="dxa"/>
              <w:right w:w="108" w:type="dxa"/>
            </w:tcMar>
            <w:vAlign w:val="center"/>
          </w:tcPr>
          <w:p w14:paraId="2A047869">
            <w:pPr>
              <w:jc w:val="center"/>
              <w:rPr>
                <w:rFonts w:hint="eastAsia" w:ascii="宋体" w:hAnsi="宋体"/>
                <w:szCs w:val="21"/>
              </w:rPr>
            </w:pPr>
          </w:p>
        </w:tc>
        <w:tc>
          <w:tcPr>
            <w:tcW w:w="1155" w:type="dxa"/>
            <w:noWrap w:val="0"/>
            <w:tcMar>
              <w:left w:w="108" w:type="dxa"/>
              <w:right w:w="108" w:type="dxa"/>
            </w:tcMar>
            <w:vAlign w:val="center"/>
          </w:tcPr>
          <w:p w14:paraId="47108681">
            <w:pPr>
              <w:jc w:val="center"/>
              <w:rPr>
                <w:rFonts w:hint="eastAsia" w:ascii="宋体" w:hAnsi="宋体"/>
                <w:szCs w:val="21"/>
              </w:rPr>
            </w:pPr>
          </w:p>
        </w:tc>
        <w:tc>
          <w:tcPr>
            <w:tcW w:w="1428" w:type="dxa"/>
            <w:noWrap w:val="0"/>
            <w:tcMar>
              <w:left w:w="108" w:type="dxa"/>
              <w:right w:w="108" w:type="dxa"/>
            </w:tcMar>
            <w:vAlign w:val="center"/>
          </w:tcPr>
          <w:p w14:paraId="75FCD537">
            <w:pPr>
              <w:jc w:val="center"/>
              <w:rPr>
                <w:rFonts w:hint="eastAsia" w:ascii="宋体" w:hAnsi="宋体"/>
                <w:szCs w:val="21"/>
              </w:rPr>
            </w:pPr>
          </w:p>
        </w:tc>
        <w:tc>
          <w:tcPr>
            <w:tcW w:w="1407" w:type="dxa"/>
            <w:noWrap w:val="0"/>
            <w:vAlign w:val="center"/>
          </w:tcPr>
          <w:p w14:paraId="3EFCD179">
            <w:pPr>
              <w:jc w:val="center"/>
              <w:rPr>
                <w:rFonts w:hint="eastAsia" w:ascii="宋体" w:hAnsi="宋体"/>
                <w:szCs w:val="21"/>
              </w:rPr>
            </w:pPr>
          </w:p>
        </w:tc>
      </w:tr>
      <w:tr w14:paraId="0F1F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6A55A03">
            <w:pPr>
              <w:jc w:val="center"/>
              <w:rPr>
                <w:rFonts w:hint="eastAsia" w:ascii="宋体" w:hAnsi="宋体"/>
                <w:szCs w:val="21"/>
              </w:rPr>
            </w:pPr>
          </w:p>
        </w:tc>
        <w:tc>
          <w:tcPr>
            <w:tcW w:w="1597" w:type="dxa"/>
            <w:noWrap w:val="0"/>
            <w:tcMar>
              <w:left w:w="108" w:type="dxa"/>
              <w:right w:w="108" w:type="dxa"/>
            </w:tcMar>
            <w:vAlign w:val="center"/>
          </w:tcPr>
          <w:p w14:paraId="4CF305EC">
            <w:pPr>
              <w:jc w:val="center"/>
              <w:rPr>
                <w:rFonts w:hint="eastAsia" w:ascii="宋体" w:hAnsi="宋体"/>
                <w:szCs w:val="21"/>
              </w:rPr>
            </w:pPr>
          </w:p>
        </w:tc>
        <w:tc>
          <w:tcPr>
            <w:tcW w:w="1722" w:type="dxa"/>
            <w:noWrap w:val="0"/>
            <w:tcMar>
              <w:left w:w="108" w:type="dxa"/>
              <w:right w:w="108" w:type="dxa"/>
            </w:tcMar>
            <w:vAlign w:val="center"/>
          </w:tcPr>
          <w:p w14:paraId="6B51CD95">
            <w:pPr>
              <w:jc w:val="center"/>
              <w:rPr>
                <w:rFonts w:hint="eastAsia" w:ascii="宋体" w:hAnsi="宋体"/>
                <w:szCs w:val="21"/>
              </w:rPr>
            </w:pPr>
          </w:p>
        </w:tc>
        <w:tc>
          <w:tcPr>
            <w:tcW w:w="1155" w:type="dxa"/>
            <w:noWrap w:val="0"/>
            <w:tcMar>
              <w:left w:w="108" w:type="dxa"/>
              <w:right w:w="108" w:type="dxa"/>
            </w:tcMar>
            <w:vAlign w:val="center"/>
          </w:tcPr>
          <w:p w14:paraId="37D68ED3">
            <w:pPr>
              <w:jc w:val="center"/>
              <w:rPr>
                <w:rFonts w:hint="eastAsia" w:ascii="宋体" w:hAnsi="宋体"/>
                <w:szCs w:val="21"/>
              </w:rPr>
            </w:pPr>
          </w:p>
        </w:tc>
        <w:tc>
          <w:tcPr>
            <w:tcW w:w="1155" w:type="dxa"/>
            <w:noWrap w:val="0"/>
            <w:tcMar>
              <w:left w:w="108" w:type="dxa"/>
              <w:right w:w="108" w:type="dxa"/>
            </w:tcMar>
            <w:vAlign w:val="center"/>
          </w:tcPr>
          <w:p w14:paraId="2BCEF537">
            <w:pPr>
              <w:jc w:val="center"/>
              <w:rPr>
                <w:rFonts w:hint="eastAsia" w:ascii="宋体" w:hAnsi="宋体"/>
                <w:szCs w:val="21"/>
              </w:rPr>
            </w:pPr>
          </w:p>
        </w:tc>
        <w:tc>
          <w:tcPr>
            <w:tcW w:w="1428" w:type="dxa"/>
            <w:noWrap w:val="0"/>
            <w:tcMar>
              <w:left w:w="108" w:type="dxa"/>
              <w:right w:w="108" w:type="dxa"/>
            </w:tcMar>
            <w:vAlign w:val="center"/>
          </w:tcPr>
          <w:p w14:paraId="76BA5A66">
            <w:pPr>
              <w:jc w:val="center"/>
              <w:rPr>
                <w:rFonts w:hint="eastAsia" w:ascii="宋体" w:hAnsi="宋体"/>
                <w:szCs w:val="21"/>
              </w:rPr>
            </w:pPr>
          </w:p>
        </w:tc>
        <w:tc>
          <w:tcPr>
            <w:tcW w:w="1407" w:type="dxa"/>
            <w:noWrap w:val="0"/>
            <w:vAlign w:val="center"/>
          </w:tcPr>
          <w:p w14:paraId="4E051FB5">
            <w:pPr>
              <w:jc w:val="center"/>
              <w:rPr>
                <w:rFonts w:hint="eastAsia" w:ascii="宋体" w:hAnsi="宋体"/>
                <w:szCs w:val="21"/>
              </w:rPr>
            </w:pPr>
          </w:p>
        </w:tc>
      </w:tr>
      <w:tr w14:paraId="0689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8" w:type="dxa"/>
            <w:noWrap w:val="0"/>
            <w:tcMar>
              <w:left w:w="108" w:type="dxa"/>
              <w:right w:w="108" w:type="dxa"/>
            </w:tcMar>
            <w:vAlign w:val="center"/>
          </w:tcPr>
          <w:p w14:paraId="55A7DF05">
            <w:pPr>
              <w:rPr>
                <w:rFonts w:hint="eastAsia" w:ascii="宋体" w:hAnsi="宋体"/>
                <w:szCs w:val="21"/>
              </w:rPr>
            </w:pPr>
          </w:p>
        </w:tc>
        <w:tc>
          <w:tcPr>
            <w:tcW w:w="3319" w:type="dxa"/>
            <w:gridSpan w:val="2"/>
            <w:noWrap w:val="0"/>
            <w:tcMar>
              <w:left w:w="108" w:type="dxa"/>
              <w:right w:w="108" w:type="dxa"/>
            </w:tcMar>
            <w:vAlign w:val="center"/>
          </w:tcPr>
          <w:p w14:paraId="67249B9D">
            <w:pPr>
              <w:jc w:val="center"/>
              <w:rPr>
                <w:rFonts w:hint="eastAsia" w:ascii="宋体" w:hAnsi="宋体"/>
                <w:szCs w:val="21"/>
              </w:rPr>
            </w:pPr>
            <w:r>
              <w:rPr>
                <w:rFonts w:hint="eastAsia" w:ascii="宋体" w:hAnsi="宋体"/>
                <w:szCs w:val="21"/>
              </w:rPr>
              <w:t>合计</w:t>
            </w:r>
          </w:p>
        </w:tc>
        <w:tc>
          <w:tcPr>
            <w:tcW w:w="1155" w:type="dxa"/>
            <w:noWrap w:val="0"/>
            <w:tcMar>
              <w:left w:w="108" w:type="dxa"/>
              <w:right w:w="108" w:type="dxa"/>
            </w:tcMar>
            <w:vAlign w:val="center"/>
          </w:tcPr>
          <w:p w14:paraId="77E63CBF">
            <w:pPr>
              <w:jc w:val="center"/>
              <w:rPr>
                <w:rFonts w:hint="eastAsia" w:ascii="宋体" w:hAnsi="宋体"/>
                <w:szCs w:val="21"/>
              </w:rPr>
            </w:pPr>
          </w:p>
        </w:tc>
        <w:tc>
          <w:tcPr>
            <w:tcW w:w="1155" w:type="dxa"/>
            <w:noWrap w:val="0"/>
            <w:tcMar>
              <w:left w:w="108" w:type="dxa"/>
              <w:right w:w="108" w:type="dxa"/>
            </w:tcMar>
            <w:vAlign w:val="center"/>
          </w:tcPr>
          <w:p w14:paraId="1A5B6B8E">
            <w:pPr>
              <w:jc w:val="center"/>
              <w:rPr>
                <w:rFonts w:hint="eastAsia" w:ascii="宋体" w:hAnsi="宋体"/>
                <w:szCs w:val="21"/>
              </w:rPr>
            </w:pPr>
          </w:p>
        </w:tc>
        <w:tc>
          <w:tcPr>
            <w:tcW w:w="1428" w:type="dxa"/>
            <w:noWrap w:val="0"/>
            <w:tcMar>
              <w:left w:w="108" w:type="dxa"/>
              <w:right w:w="108" w:type="dxa"/>
            </w:tcMar>
            <w:vAlign w:val="center"/>
          </w:tcPr>
          <w:p w14:paraId="7E3354AE">
            <w:pPr>
              <w:jc w:val="center"/>
              <w:rPr>
                <w:rFonts w:hint="eastAsia" w:ascii="宋体" w:hAnsi="宋体"/>
                <w:szCs w:val="21"/>
              </w:rPr>
            </w:pPr>
          </w:p>
        </w:tc>
        <w:tc>
          <w:tcPr>
            <w:tcW w:w="1407" w:type="dxa"/>
            <w:noWrap w:val="0"/>
            <w:vAlign w:val="center"/>
          </w:tcPr>
          <w:p w14:paraId="1600402B">
            <w:pPr>
              <w:jc w:val="center"/>
              <w:rPr>
                <w:rFonts w:hint="eastAsia" w:ascii="宋体" w:hAnsi="宋体"/>
                <w:szCs w:val="21"/>
              </w:rPr>
            </w:pPr>
          </w:p>
        </w:tc>
      </w:tr>
      <w:tr w14:paraId="46C7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85DE54E">
            <w:pPr>
              <w:jc w:val="center"/>
              <w:rPr>
                <w:rFonts w:hint="eastAsia" w:ascii="宋体" w:hAnsi="宋体"/>
                <w:szCs w:val="21"/>
              </w:rPr>
            </w:pPr>
          </w:p>
        </w:tc>
        <w:tc>
          <w:tcPr>
            <w:tcW w:w="3319" w:type="dxa"/>
            <w:gridSpan w:val="2"/>
            <w:noWrap w:val="0"/>
            <w:tcMar>
              <w:left w:w="108" w:type="dxa"/>
              <w:right w:w="108" w:type="dxa"/>
            </w:tcMar>
            <w:vAlign w:val="center"/>
          </w:tcPr>
          <w:p w14:paraId="26B8A284">
            <w:pPr>
              <w:jc w:val="center"/>
              <w:rPr>
                <w:rFonts w:hint="eastAsia" w:ascii="宋体" w:hAnsi="宋体"/>
                <w:szCs w:val="21"/>
              </w:rPr>
            </w:pPr>
            <w:r>
              <w:rPr>
                <w:rFonts w:hint="eastAsia" w:ascii="宋体" w:hAnsi="宋体"/>
                <w:szCs w:val="21"/>
              </w:rPr>
              <w:t>本项目合同金额（万元）</w:t>
            </w:r>
          </w:p>
        </w:tc>
        <w:tc>
          <w:tcPr>
            <w:tcW w:w="2310" w:type="dxa"/>
            <w:gridSpan w:val="2"/>
            <w:noWrap w:val="0"/>
            <w:tcMar>
              <w:left w:w="108" w:type="dxa"/>
              <w:right w:w="108" w:type="dxa"/>
            </w:tcMar>
            <w:vAlign w:val="center"/>
          </w:tcPr>
          <w:p w14:paraId="31479F5E">
            <w:pPr>
              <w:jc w:val="center"/>
              <w:rPr>
                <w:rFonts w:hint="eastAsia" w:ascii="宋体" w:hAnsi="宋体"/>
                <w:szCs w:val="21"/>
              </w:rPr>
            </w:pPr>
          </w:p>
        </w:tc>
        <w:tc>
          <w:tcPr>
            <w:tcW w:w="2835" w:type="dxa"/>
            <w:gridSpan w:val="2"/>
            <w:noWrap w:val="0"/>
            <w:tcMar>
              <w:left w:w="108" w:type="dxa"/>
              <w:right w:w="108" w:type="dxa"/>
            </w:tcMar>
            <w:vAlign w:val="center"/>
          </w:tcPr>
          <w:p w14:paraId="33B37BAC">
            <w:pPr>
              <w:jc w:val="center"/>
              <w:rPr>
                <w:rFonts w:hint="eastAsia" w:ascii="宋体" w:hAnsi="宋体"/>
                <w:szCs w:val="21"/>
              </w:rPr>
            </w:pPr>
          </w:p>
        </w:tc>
      </w:tr>
    </w:tbl>
    <w:p w14:paraId="210BA2A5">
      <w:pPr>
        <w:spacing w:line="394" w:lineRule="exact"/>
        <w:ind w:firstLine="420" w:firstLineChars="200"/>
        <w:rPr>
          <w:rFonts w:hint="eastAsia" w:ascii="宋体" w:hAnsi="宋体"/>
          <w:szCs w:val="21"/>
        </w:rPr>
      </w:pPr>
      <w:r>
        <w:rPr>
          <w:rFonts w:hint="eastAsia" w:ascii="宋体" w:hAnsi="宋体"/>
          <w:szCs w:val="21"/>
        </w:rPr>
        <w:t>5．本协议中接受分包合同的中小（小微）企业（乙方）与分包企业（甲方）之间不存在直接控股、管理关系。</w:t>
      </w:r>
    </w:p>
    <w:p w14:paraId="0B101B0A">
      <w:pPr>
        <w:spacing w:line="394" w:lineRule="exact"/>
        <w:ind w:firstLine="420" w:firstLineChars="200"/>
        <w:rPr>
          <w:rFonts w:hint="eastAsia" w:ascii="宋体" w:hAnsi="宋体"/>
          <w:szCs w:val="21"/>
        </w:rPr>
      </w:pPr>
      <w:r>
        <w:rPr>
          <w:rFonts w:hint="eastAsia" w:ascii="宋体" w:hAnsi="宋体"/>
          <w:szCs w:val="21"/>
        </w:rPr>
        <w:t>6. 中标后，本协议是合同的组成部分，对甲乙双方有合同约束力。</w:t>
      </w:r>
    </w:p>
    <w:p w14:paraId="59757510">
      <w:pPr>
        <w:spacing w:line="394" w:lineRule="exact"/>
        <w:ind w:firstLine="420" w:firstLineChars="200"/>
        <w:rPr>
          <w:rFonts w:ascii="宋体" w:hAnsi="宋体"/>
          <w:szCs w:val="21"/>
        </w:rPr>
      </w:pPr>
      <w:r>
        <w:rPr>
          <w:rFonts w:hint="eastAsia" w:ascii="宋体" w:hAnsi="宋体"/>
          <w:szCs w:val="21"/>
        </w:rPr>
        <w:t>7．本协议书自签署之日起生效，未中标或者中标合同履行完毕后自动失效。</w:t>
      </w:r>
    </w:p>
    <w:p w14:paraId="712FD9EB">
      <w:pPr>
        <w:spacing w:line="394"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份，甲方和乙方各执一份。</w:t>
      </w:r>
    </w:p>
    <w:p w14:paraId="30FB28E9">
      <w:pPr>
        <w:spacing w:line="394" w:lineRule="exact"/>
        <w:ind w:firstLine="420" w:firstLineChars="200"/>
        <w:rPr>
          <w:rFonts w:ascii="宋体" w:hAnsi="宋体"/>
          <w:szCs w:val="21"/>
        </w:rPr>
      </w:pPr>
    </w:p>
    <w:p w14:paraId="54F73A4B">
      <w:pPr>
        <w:spacing w:line="394" w:lineRule="exact"/>
        <w:ind w:firstLine="420" w:firstLineChars="200"/>
        <w:rPr>
          <w:rFonts w:ascii="宋体" w:hAnsi="宋体"/>
          <w:szCs w:val="21"/>
        </w:rPr>
      </w:pPr>
    </w:p>
    <w:p w14:paraId="1139E505">
      <w:pPr>
        <w:spacing w:line="394" w:lineRule="exact"/>
        <w:ind w:firstLine="420" w:firstLineChars="200"/>
        <w:rPr>
          <w:rFonts w:ascii="宋体" w:hAnsi="宋体"/>
          <w:szCs w:val="21"/>
        </w:rPr>
      </w:pPr>
      <w:r>
        <w:rPr>
          <w:rFonts w:hint="eastAsia" w:ascii="宋体" w:hAnsi="宋体"/>
          <w:szCs w:val="21"/>
        </w:rPr>
        <w:t>甲  方：</w:t>
      </w:r>
      <w:r>
        <w:rPr>
          <w:rFonts w:hint="eastAsia" w:ascii="宋体" w:hAnsi="宋体"/>
          <w:szCs w:val="21"/>
          <w:u w:val="single"/>
        </w:rPr>
        <w:t xml:space="preserve">                 </w:t>
      </w:r>
      <w:r>
        <w:rPr>
          <w:rFonts w:hint="eastAsia" w:ascii="宋体" w:hAnsi="宋体"/>
          <w:szCs w:val="21"/>
        </w:rPr>
        <w:t>（盖单位章）     乙  方：</w:t>
      </w:r>
      <w:r>
        <w:rPr>
          <w:rFonts w:hint="eastAsia" w:ascii="宋体" w:hAnsi="宋体"/>
          <w:szCs w:val="21"/>
          <w:u w:val="single"/>
        </w:rPr>
        <w:t xml:space="preserve">                </w:t>
      </w:r>
      <w:r>
        <w:rPr>
          <w:rFonts w:hint="eastAsia" w:ascii="宋体" w:hAnsi="宋体"/>
          <w:szCs w:val="21"/>
        </w:rPr>
        <w:t>（盖单位章）</w:t>
      </w:r>
    </w:p>
    <w:p w14:paraId="628306DC">
      <w:pPr>
        <w:spacing w:line="394" w:lineRule="exact"/>
        <w:ind w:firstLine="420" w:firstLineChars="200"/>
        <w:rPr>
          <w:rFonts w:ascii="宋体" w:hAnsi="宋体"/>
          <w:szCs w:val="21"/>
        </w:rPr>
      </w:pPr>
    </w:p>
    <w:p w14:paraId="60DD3CC2">
      <w:pPr>
        <w:spacing w:line="394" w:lineRule="exact"/>
        <w:ind w:firstLine="420" w:firstLineChars="2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     法定代表人或其委托人：</w:t>
      </w:r>
      <w:r>
        <w:rPr>
          <w:rFonts w:hint="eastAsia" w:ascii="宋体" w:hAnsi="宋体"/>
          <w:szCs w:val="21"/>
          <w:u w:val="single"/>
        </w:rPr>
        <w:t xml:space="preserve">       </w:t>
      </w:r>
      <w:r>
        <w:rPr>
          <w:rFonts w:hint="eastAsia" w:ascii="宋体" w:hAnsi="宋体"/>
          <w:szCs w:val="21"/>
        </w:rPr>
        <w:t>（签字）</w:t>
      </w:r>
    </w:p>
    <w:p w14:paraId="73EED100">
      <w:pPr>
        <w:spacing w:line="394" w:lineRule="exact"/>
        <w:ind w:firstLine="420" w:firstLineChars="200"/>
        <w:rPr>
          <w:rFonts w:hint="eastAsia" w:ascii="宋体" w:hAnsi="宋体"/>
          <w:szCs w:val="21"/>
        </w:rPr>
      </w:pPr>
    </w:p>
    <w:p w14:paraId="66117705">
      <w:pPr>
        <w:spacing w:line="394" w:lineRule="exact"/>
        <w:ind w:firstLine="4830" w:firstLineChars="2300"/>
        <w:rPr>
          <w:rFonts w:hint="eastAsia" w:ascii="宋体" w:hAnsi="宋体"/>
          <w:szCs w:val="21"/>
        </w:rPr>
      </w:pPr>
      <w:r>
        <w:rPr>
          <w:rFonts w:hint="eastAsia" w:ascii="宋体" w:hAnsi="宋体"/>
          <w:szCs w:val="21"/>
        </w:rPr>
        <w:t>乙  方：</w:t>
      </w:r>
      <w:r>
        <w:rPr>
          <w:rFonts w:hint="eastAsia" w:ascii="宋体" w:hAnsi="宋体"/>
          <w:szCs w:val="21"/>
          <w:u w:val="single"/>
        </w:rPr>
        <w:t xml:space="preserve">                 </w:t>
      </w:r>
      <w:r>
        <w:rPr>
          <w:rFonts w:hint="eastAsia" w:ascii="宋体" w:hAnsi="宋体"/>
          <w:szCs w:val="21"/>
        </w:rPr>
        <w:t>（盖单位章）</w:t>
      </w:r>
    </w:p>
    <w:p w14:paraId="0DC36C9C">
      <w:pPr>
        <w:spacing w:line="394" w:lineRule="exact"/>
        <w:ind w:firstLine="420" w:firstLineChars="200"/>
        <w:rPr>
          <w:rFonts w:hint="eastAsia" w:ascii="宋体" w:hAnsi="宋体"/>
          <w:szCs w:val="21"/>
        </w:rPr>
      </w:pPr>
    </w:p>
    <w:p w14:paraId="736E9908">
      <w:pPr>
        <w:spacing w:line="394" w:lineRule="exact"/>
        <w:ind w:firstLine="4830" w:firstLineChars="23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w:t>
      </w:r>
    </w:p>
    <w:p w14:paraId="52F92E05">
      <w:pPr>
        <w:spacing w:line="394" w:lineRule="exact"/>
        <w:ind w:firstLine="420" w:firstLineChars="200"/>
        <w:rPr>
          <w:rFonts w:ascii="宋体" w:hAnsi="宋体"/>
          <w:szCs w:val="21"/>
        </w:rPr>
      </w:pPr>
      <w:r>
        <w:rPr>
          <w:rFonts w:hint="eastAsia" w:ascii="宋体" w:hAnsi="宋体"/>
          <w:szCs w:val="21"/>
        </w:rPr>
        <w:t xml:space="preserve">                             </w:t>
      </w:r>
    </w:p>
    <w:p w14:paraId="32BF6B28">
      <w:pPr>
        <w:spacing w:line="394" w:lineRule="exact"/>
        <w:ind w:firstLine="5355" w:firstLineChars="255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C7200B1">
      <w:pPr>
        <w:spacing w:line="440" w:lineRule="exact"/>
        <w:rPr>
          <w:rFonts w:hint="eastAsia"/>
          <w:szCs w:val="20"/>
        </w:rPr>
      </w:pPr>
    </w:p>
    <w:p w14:paraId="36D376FA">
      <w:pPr>
        <w:spacing w:line="400" w:lineRule="exact"/>
        <w:rPr>
          <w:rFonts w:hint="eastAsia" w:ascii="宋体" w:hAnsi="宋体"/>
          <w:szCs w:val="21"/>
        </w:rPr>
      </w:pPr>
    </w:p>
    <w:p w14:paraId="522F7B98">
      <w:pPr>
        <w:spacing w:line="400" w:lineRule="exact"/>
        <w:rPr>
          <w:rFonts w:hint="eastAsia" w:ascii="宋体" w:hAnsi="宋体"/>
          <w:szCs w:val="21"/>
        </w:rPr>
      </w:pPr>
    </w:p>
    <w:p w14:paraId="7AFED599">
      <w:pPr>
        <w:spacing w:line="400" w:lineRule="exact"/>
        <w:ind w:left="840" w:hanging="840" w:hangingChars="400"/>
        <w:rPr>
          <w:rFonts w:hint="eastAsia" w:ascii="宋体" w:hAnsi="宋体"/>
          <w:szCs w:val="21"/>
        </w:rPr>
      </w:pPr>
      <w:r>
        <w:rPr>
          <w:rFonts w:hint="eastAsia" w:ascii="宋体" w:hAnsi="宋体"/>
          <w:szCs w:val="21"/>
        </w:rPr>
        <w:t>备注：1.本分包意向协议书适用于政府采购工程，可以分开签署。协议书由委托代理人签字的，应附法定代表人签字的授权委托书。</w:t>
      </w:r>
    </w:p>
    <w:p w14:paraId="479D3EB9">
      <w:pPr>
        <w:spacing w:line="400" w:lineRule="exact"/>
        <w:ind w:left="840" w:leftChars="300" w:hanging="210" w:hangingChars="100"/>
        <w:rPr>
          <w:rFonts w:hint="eastAsia" w:ascii="宋体" w:hAnsi="宋体"/>
          <w:szCs w:val="21"/>
        </w:rPr>
      </w:pPr>
      <w:r>
        <w:rPr>
          <w:rFonts w:hint="eastAsia" w:ascii="宋体" w:hAnsi="宋体"/>
          <w:szCs w:val="21"/>
        </w:rPr>
        <w:t>2.政府采购工程投标人未采用向中小（小微）企业分包的形式参加投标的，投标文件中不需分包意向协议书，也无须盖单位章和签字。</w:t>
      </w:r>
    </w:p>
    <w:p w14:paraId="7D420BA0">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398B96FD">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3DB2C2EC">
      <w:pPr>
        <w:spacing w:line="400" w:lineRule="exact"/>
        <w:ind w:left="840" w:leftChars="300" w:hanging="210" w:hangingChars="100"/>
        <w:rPr>
          <w:rFonts w:hint="eastAsia" w:ascii="宋体" w:hAnsi="宋体"/>
          <w:szCs w:val="21"/>
        </w:rPr>
      </w:pPr>
      <w:r>
        <w:rPr>
          <w:rFonts w:hint="eastAsia" w:ascii="宋体" w:hAnsi="宋体"/>
          <w:szCs w:val="21"/>
        </w:rPr>
        <w:t>5.分包意向协议书后附接受分包的中小（小微）企业，能够承担分包工作所需的有效的营业执照、企业资质证书（如需）、安全生产许可证（如需）、项目负责人资格证件的扫描件。</w:t>
      </w:r>
    </w:p>
    <w:p w14:paraId="7F69FB49">
      <w:pPr>
        <w:pStyle w:val="18"/>
        <w:jc w:val="center"/>
      </w:pPr>
      <w:bookmarkStart w:id="2646" w:name="_Toc108514232"/>
      <w:r>
        <w:rPr>
          <w:rFonts w:hint="eastAsia"/>
        </w:rPr>
        <w:t>六、中小企业声明函</w:t>
      </w:r>
      <w:bookmarkEnd w:id="2646"/>
    </w:p>
    <w:p w14:paraId="4EEE0E6E">
      <w:pPr>
        <w:spacing w:line="440" w:lineRule="exact"/>
        <w:rPr>
          <w:sz w:val="24"/>
        </w:rPr>
      </w:pPr>
    </w:p>
    <w:p w14:paraId="29A98564">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5FEF1CBA">
      <w:pPr>
        <w:spacing w:line="394" w:lineRule="exact"/>
        <w:ind w:firstLine="420" w:firstLineChars="200"/>
        <w:rPr>
          <w:rFonts w:hint="eastAsia"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（标段名称）（以下简称本工程）施工招标投标活动，本工程招标范围内的</w:t>
      </w:r>
      <w:r>
        <w:rPr>
          <w:rFonts w:hint="eastAsia" w:ascii="宋体" w:hAnsi="宋体"/>
          <w:szCs w:val="21"/>
          <w:u w:val="single"/>
        </w:rPr>
        <w:t xml:space="preserve">    全部／部分   </w:t>
      </w:r>
      <w:r>
        <w:rPr>
          <w:rFonts w:hint="eastAsia" w:ascii="宋体" w:hAnsi="宋体"/>
          <w:szCs w:val="21"/>
        </w:rPr>
        <w:t>内容为符合政策要求的中小企业承建（承接）。相关企业（含联合体中的中小企业、签订分包意向协议的中小企业）的具体情况如下：</w:t>
      </w:r>
    </w:p>
    <w:p w14:paraId="0685D27F">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0112E83D">
      <w:pPr>
        <w:spacing w:line="394" w:lineRule="exact"/>
        <w:ind w:firstLine="420" w:firstLineChars="200"/>
        <w:rPr>
          <w:rFonts w:hint="eastAsia"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6526578A">
      <w:pPr>
        <w:spacing w:line="394" w:lineRule="exact"/>
        <w:ind w:firstLine="420" w:firstLineChars="200"/>
        <w:rPr>
          <w:rFonts w:hint="eastAsia" w:ascii="宋体" w:hAnsi="宋体"/>
          <w:szCs w:val="21"/>
        </w:rPr>
      </w:pPr>
      <w:r>
        <w:rPr>
          <w:rFonts w:hint="eastAsia" w:ascii="宋体" w:hAnsi="宋体"/>
          <w:szCs w:val="21"/>
        </w:rPr>
        <w:t>……</w:t>
      </w:r>
    </w:p>
    <w:p w14:paraId="7E018F49">
      <w:pPr>
        <w:spacing w:line="394" w:lineRule="exact"/>
        <w:ind w:firstLine="420" w:firstLineChars="200"/>
        <w:rPr>
          <w:rFonts w:hint="eastAsia"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6682FD1A">
      <w:pPr>
        <w:spacing w:line="394" w:lineRule="exact"/>
        <w:ind w:firstLine="420" w:firstLineChars="200"/>
        <w:rPr>
          <w:rFonts w:hint="eastAsia" w:ascii="宋体" w:hAnsi="宋体"/>
          <w:szCs w:val="21"/>
        </w:rPr>
      </w:pPr>
      <w:r>
        <w:rPr>
          <w:rFonts w:hint="eastAsia" w:ascii="宋体" w:hAnsi="宋体"/>
          <w:szCs w:val="21"/>
        </w:rPr>
        <w:t>本企业对上述声明内容的真实性负责。如有虚假，将依法承担相应责任。</w:t>
      </w:r>
    </w:p>
    <w:p w14:paraId="36248CFF">
      <w:pPr>
        <w:spacing w:line="440" w:lineRule="exact"/>
        <w:ind w:firstLine="3570" w:firstLineChars="1700"/>
        <w:rPr>
          <w:rFonts w:hint="eastAsia" w:ascii="宋体" w:hAnsi="宋体" w:cs="宋体"/>
          <w:szCs w:val="21"/>
        </w:rPr>
      </w:pPr>
    </w:p>
    <w:p w14:paraId="2A0F0199">
      <w:pPr>
        <w:spacing w:line="440" w:lineRule="exact"/>
        <w:ind w:firstLine="3570" w:firstLineChars="17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w:t>
      </w:r>
      <w:r>
        <w:rPr>
          <w:rFonts w:hint="eastAsia" w:ascii="宋体" w:hAnsi="宋体" w:cs="宋体"/>
          <w:szCs w:val="21"/>
        </w:rPr>
        <w:t>（盖单位章）</w:t>
      </w:r>
    </w:p>
    <w:p w14:paraId="7F59BC45">
      <w:pPr>
        <w:spacing w:line="440" w:lineRule="exact"/>
        <w:ind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46C4720C">
      <w:pPr>
        <w:spacing w:line="440" w:lineRule="exact"/>
        <w:rPr>
          <w:rFonts w:hint="eastAsia" w:ascii="宋体" w:hAnsi="宋体" w:cs="宋体"/>
          <w:szCs w:val="21"/>
        </w:rPr>
      </w:pPr>
    </w:p>
    <w:p w14:paraId="312B8311">
      <w:pPr>
        <w:spacing w:line="440" w:lineRule="exact"/>
        <w:rPr>
          <w:rFonts w:hint="eastAsia" w:ascii="宋体" w:hAnsi="宋体" w:cs="宋体"/>
          <w:szCs w:val="21"/>
        </w:rPr>
      </w:pPr>
    </w:p>
    <w:p w14:paraId="21F05BBD">
      <w:pPr>
        <w:spacing w:line="400" w:lineRule="atLeast"/>
        <w:ind w:left="840" w:hanging="840" w:hangingChars="400"/>
        <w:rPr>
          <w:rFonts w:hint="eastAsia" w:ascii="宋体" w:hAnsi="宋体" w:cs="宋体"/>
          <w:szCs w:val="21"/>
        </w:rPr>
      </w:pPr>
      <w:r>
        <w:rPr>
          <w:rFonts w:hint="eastAsia" w:ascii="宋体" w:hAnsi="宋体" w:cs="宋体"/>
          <w:szCs w:val="21"/>
        </w:rPr>
        <w:t>备注：1.政府采购工程的投标人应当如实提供中小企业声明函，中小微企业划型按照《中小企业划型标准规定》（工信部联企业〔2011〕300号）执行，非政府采购工程的无需提供中小企业声明函。</w:t>
      </w:r>
    </w:p>
    <w:p w14:paraId="334E78DA">
      <w:pPr>
        <w:spacing w:line="400" w:lineRule="atLeast"/>
        <w:ind w:left="840" w:hanging="840" w:hangingChars="400"/>
        <w:rPr>
          <w:rFonts w:hint="eastAsia" w:ascii="宋体" w:hAnsi="宋体" w:cs="宋体"/>
          <w:szCs w:val="21"/>
        </w:rPr>
      </w:pPr>
      <w:r>
        <w:rPr>
          <w:rFonts w:hint="eastAsia" w:ascii="宋体" w:hAnsi="宋体" w:cs="宋体"/>
          <w:szCs w:val="21"/>
        </w:rPr>
        <w:t>　　　</w:t>
      </w:r>
      <w:r>
        <w:rPr>
          <w:rFonts w:ascii="宋体" w:hAnsi="宋体" w:cs="宋体"/>
          <w:szCs w:val="21"/>
        </w:rPr>
        <w:t>2</w:t>
      </w:r>
      <w:r>
        <w:rPr>
          <w:rFonts w:hint="eastAsia" w:ascii="宋体" w:hAnsi="宋体" w:cs="宋体"/>
          <w:szCs w:val="21"/>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6B52907D">
      <w:pPr>
        <w:spacing w:line="460" w:lineRule="exact"/>
        <w:rPr>
          <w:rFonts w:hint="eastAsia" w:ascii="宋体" w:hAnsi="宋体" w:cs="宋体"/>
          <w:szCs w:val="21"/>
        </w:rPr>
        <w:sectPr>
          <w:pgSz w:w="11907" w:h="16840"/>
          <w:pgMar w:top="1701" w:right="1531" w:bottom="1588" w:left="1474" w:header="851" w:footer="992" w:gutter="0"/>
          <w:cols w:space="720" w:num="1"/>
          <w:docGrid w:linePitch="312" w:charSpace="0"/>
        </w:sectPr>
      </w:pPr>
    </w:p>
    <w:p w14:paraId="16D2FE89">
      <w:pPr>
        <w:pStyle w:val="18"/>
        <w:jc w:val="center"/>
        <w:rPr>
          <w:rFonts w:hint="eastAsia"/>
        </w:rPr>
      </w:pPr>
      <w:bookmarkStart w:id="2647" w:name="_Toc108514233"/>
      <w:r>
        <w:rPr>
          <w:rFonts w:hint="eastAsia"/>
        </w:rPr>
        <w:t>七、项目管理机构</w:t>
      </w:r>
      <w:bookmarkEnd w:id="2647"/>
    </w:p>
    <w:p w14:paraId="33934A5B">
      <w:pPr>
        <w:jc w:val="center"/>
        <w:rPr>
          <w:rFonts w:hint="eastAsia" w:ascii="黑体" w:eastAsia="黑体"/>
          <w:sz w:val="28"/>
          <w:szCs w:val="28"/>
        </w:rPr>
      </w:pPr>
    </w:p>
    <w:p w14:paraId="6B2A3E80">
      <w:pPr>
        <w:pStyle w:val="20"/>
        <w:jc w:val="center"/>
        <w:rPr>
          <w:rFonts w:hint="eastAsia"/>
          <w:sz w:val="28"/>
          <w:szCs w:val="28"/>
        </w:rPr>
      </w:pPr>
      <w:bookmarkStart w:id="2648" w:name="_Toc108514234"/>
      <w:r>
        <w:rPr>
          <w:rFonts w:hint="eastAsia"/>
          <w:sz w:val="28"/>
          <w:szCs w:val="28"/>
        </w:rPr>
        <w:t>（一）项目管理机构主要人员表</w:t>
      </w:r>
      <w:bookmarkEnd w:id="2648"/>
    </w:p>
    <w:tbl>
      <w:tblPr>
        <w:tblStyle w:val="15"/>
        <w:tblW w:w="13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1220"/>
        <w:gridCol w:w="790"/>
        <w:gridCol w:w="510"/>
        <w:gridCol w:w="720"/>
        <w:gridCol w:w="720"/>
        <w:gridCol w:w="1210"/>
        <w:gridCol w:w="552"/>
        <w:gridCol w:w="540"/>
        <w:gridCol w:w="540"/>
        <w:gridCol w:w="540"/>
        <w:gridCol w:w="1245"/>
        <w:gridCol w:w="622"/>
        <w:gridCol w:w="1065"/>
        <w:gridCol w:w="1066"/>
        <w:gridCol w:w="1080"/>
        <w:gridCol w:w="900"/>
      </w:tblGrid>
      <w:tr w14:paraId="189A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25B30325">
            <w:pPr>
              <w:jc w:val="center"/>
              <w:rPr>
                <w:szCs w:val="21"/>
              </w:rPr>
            </w:pPr>
            <w:r>
              <w:rPr>
                <w:rFonts w:hint="eastAsia"/>
                <w:szCs w:val="21"/>
              </w:rPr>
              <w:t>序号</w:t>
            </w:r>
          </w:p>
        </w:tc>
        <w:tc>
          <w:tcPr>
            <w:tcW w:w="1220" w:type="dxa"/>
            <w:vMerge w:val="restart"/>
            <w:noWrap w:val="0"/>
            <w:vAlign w:val="center"/>
          </w:tcPr>
          <w:p w14:paraId="543E301E">
            <w:pPr>
              <w:spacing w:line="420" w:lineRule="exact"/>
              <w:jc w:val="center"/>
              <w:rPr>
                <w:szCs w:val="21"/>
              </w:rPr>
            </w:pPr>
            <w:r>
              <w:rPr>
                <w:rFonts w:hint="eastAsia"/>
                <w:szCs w:val="21"/>
              </w:rPr>
              <w:t>岗位</w:t>
            </w:r>
          </w:p>
        </w:tc>
        <w:tc>
          <w:tcPr>
            <w:tcW w:w="790" w:type="dxa"/>
            <w:vMerge w:val="restart"/>
            <w:noWrap w:val="0"/>
            <w:vAlign w:val="center"/>
          </w:tcPr>
          <w:p w14:paraId="47076854">
            <w:pPr>
              <w:spacing w:line="240" w:lineRule="exact"/>
              <w:jc w:val="center"/>
              <w:rPr>
                <w:szCs w:val="21"/>
              </w:rPr>
            </w:pPr>
            <w:r>
              <w:rPr>
                <w:rFonts w:hint="eastAsia"/>
                <w:szCs w:val="21"/>
              </w:rPr>
              <w:t>姓名</w:t>
            </w:r>
          </w:p>
        </w:tc>
        <w:tc>
          <w:tcPr>
            <w:tcW w:w="510" w:type="dxa"/>
            <w:vMerge w:val="restart"/>
            <w:noWrap w:val="0"/>
            <w:vAlign w:val="center"/>
          </w:tcPr>
          <w:p w14:paraId="37B39BAC">
            <w:pPr>
              <w:spacing w:line="240" w:lineRule="exact"/>
              <w:jc w:val="center"/>
              <w:rPr>
                <w:szCs w:val="21"/>
              </w:rPr>
            </w:pPr>
            <w:r>
              <w:rPr>
                <w:rFonts w:hint="eastAsia"/>
                <w:szCs w:val="21"/>
              </w:rPr>
              <w:t>性别</w:t>
            </w:r>
          </w:p>
        </w:tc>
        <w:tc>
          <w:tcPr>
            <w:tcW w:w="720" w:type="dxa"/>
            <w:vMerge w:val="restart"/>
            <w:noWrap w:val="0"/>
            <w:vAlign w:val="center"/>
          </w:tcPr>
          <w:p w14:paraId="0CBED93E">
            <w:pPr>
              <w:spacing w:line="240" w:lineRule="exact"/>
              <w:jc w:val="center"/>
              <w:rPr>
                <w:szCs w:val="21"/>
              </w:rPr>
            </w:pPr>
            <w:r>
              <w:rPr>
                <w:rFonts w:hint="eastAsia"/>
                <w:szCs w:val="21"/>
              </w:rPr>
              <w:t>年龄</w:t>
            </w:r>
          </w:p>
        </w:tc>
        <w:tc>
          <w:tcPr>
            <w:tcW w:w="720" w:type="dxa"/>
            <w:vMerge w:val="restart"/>
            <w:noWrap w:val="0"/>
            <w:vAlign w:val="center"/>
          </w:tcPr>
          <w:p w14:paraId="4259FF36">
            <w:pPr>
              <w:spacing w:line="240" w:lineRule="exact"/>
              <w:jc w:val="center"/>
              <w:rPr>
                <w:szCs w:val="21"/>
              </w:rPr>
            </w:pPr>
            <w:r>
              <w:rPr>
                <w:rFonts w:hint="eastAsia"/>
                <w:szCs w:val="21"/>
              </w:rPr>
              <w:t>学历</w:t>
            </w:r>
          </w:p>
        </w:tc>
        <w:tc>
          <w:tcPr>
            <w:tcW w:w="1210" w:type="dxa"/>
            <w:vMerge w:val="restart"/>
            <w:noWrap w:val="0"/>
            <w:vAlign w:val="center"/>
          </w:tcPr>
          <w:p w14:paraId="0421CBB4">
            <w:pPr>
              <w:spacing w:line="240" w:lineRule="exact"/>
              <w:jc w:val="center"/>
              <w:rPr>
                <w:szCs w:val="21"/>
              </w:rPr>
            </w:pPr>
            <w:r>
              <w:rPr>
                <w:rFonts w:hint="eastAsia"/>
                <w:szCs w:val="21"/>
              </w:rPr>
              <w:t>专业</w:t>
            </w:r>
          </w:p>
        </w:tc>
        <w:tc>
          <w:tcPr>
            <w:tcW w:w="552" w:type="dxa"/>
            <w:vMerge w:val="restart"/>
            <w:noWrap w:val="0"/>
            <w:vAlign w:val="center"/>
          </w:tcPr>
          <w:p w14:paraId="516B1247">
            <w:pPr>
              <w:jc w:val="center"/>
              <w:rPr>
                <w:rFonts w:hint="eastAsia"/>
                <w:szCs w:val="21"/>
              </w:rPr>
            </w:pPr>
            <w:r>
              <w:rPr>
                <w:szCs w:val="21"/>
              </w:rPr>
              <w:t>专业</w:t>
            </w:r>
            <w:r>
              <w:rPr>
                <w:rFonts w:hint="eastAsia"/>
                <w:szCs w:val="21"/>
              </w:rPr>
              <w:t>工作年限</w:t>
            </w:r>
          </w:p>
        </w:tc>
        <w:tc>
          <w:tcPr>
            <w:tcW w:w="1620" w:type="dxa"/>
            <w:gridSpan w:val="3"/>
            <w:noWrap w:val="0"/>
            <w:vAlign w:val="center"/>
          </w:tcPr>
          <w:p w14:paraId="3116AC91">
            <w:pPr>
              <w:jc w:val="center"/>
              <w:rPr>
                <w:szCs w:val="21"/>
              </w:rPr>
            </w:pPr>
            <w:r>
              <w:rPr>
                <w:rFonts w:hint="eastAsia"/>
                <w:szCs w:val="21"/>
              </w:rPr>
              <w:t>专业技术职称</w:t>
            </w:r>
          </w:p>
        </w:tc>
        <w:tc>
          <w:tcPr>
            <w:tcW w:w="3998" w:type="dxa"/>
            <w:gridSpan w:val="4"/>
            <w:noWrap w:val="0"/>
            <w:vAlign w:val="center"/>
          </w:tcPr>
          <w:p w14:paraId="7371ECB1">
            <w:pPr>
              <w:spacing w:line="420" w:lineRule="exact"/>
              <w:jc w:val="center"/>
              <w:rPr>
                <w:szCs w:val="21"/>
              </w:rPr>
            </w:pPr>
            <w:r>
              <w:rPr>
                <w:rFonts w:hint="eastAsia" w:ascii="宋体" w:hAnsi="宋体"/>
                <w:szCs w:val="21"/>
              </w:rPr>
              <w:t>执业或职业资格证明</w:t>
            </w:r>
          </w:p>
        </w:tc>
        <w:tc>
          <w:tcPr>
            <w:tcW w:w="1080" w:type="dxa"/>
            <w:vMerge w:val="restart"/>
            <w:noWrap w:val="0"/>
            <w:vAlign w:val="center"/>
          </w:tcPr>
          <w:p w14:paraId="28947B57">
            <w:pPr>
              <w:spacing w:line="420" w:lineRule="exact"/>
              <w:jc w:val="center"/>
              <w:rPr>
                <w:szCs w:val="21"/>
              </w:rPr>
            </w:pPr>
            <w:r>
              <w:rPr>
                <w:rFonts w:hint="eastAsia" w:ascii="宋体" w:hAnsi="宋体"/>
                <w:szCs w:val="21"/>
              </w:rPr>
              <w:t>社会保险</w:t>
            </w:r>
          </w:p>
        </w:tc>
        <w:tc>
          <w:tcPr>
            <w:tcW w:w="900" w:type="dxa"/>
            <w:vMerge w:val="restart"/>
            <w:noWrap w:val="0"/>
            <w:vAlign w:val="center"/>
          </w:tcPr>
          <w:p w14:paraId="22040DAC">
            <w:pPr>
              <w:spacing w:line="420" w:lineRule="exact"/>
              <w:jc w:val="center"/>
              <w:rPr>
                <w:rFonts w:hint="eastAsia"/>
                <w:szCs w:val="21"/>
              </w:rPr>
            </w:pPr>
            <w:r>
              <w:rPr>
                <w:rFonts w:hint="eastAsia"/>
                <w:szCs w:val="21"/>
              </w:rPr>
              <w:t>执业、</w:t>
            </w:r>
          </w:p>
          <w:p w14:paraId="24AFE1A5">
            <w:pPr>
              <w:spacing w:line="420" w:lineRule="exact"/>
              <w:jc w:val="center"/>
              <w:rPr>
                <w:szCs w:val="21"/>
                <w:vertAlign w:val="superscript"/>
              </w:rPr>
            </w:pPr>
            <w:r>
              <w:rPr>
                <w:rFonts w:hint="eastAsia"/>
                <w:szCs w:val="21"/>
              </w:rPr>
              <w:t>职业单位</w:t>
            </w:r>
          </w:p>
        </w:tc>
      </w:tr>
      <w:tr w14:paraId="0AD8E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3D00467C">
            <w:pPr>
              <w:jc w:val="center"/>
              <w:rPr>
                <w:szCs w:val="21"/>
              </w:rPr>
            </w:pPr>
          </w:p>
        </w:tc>
        <w:tc>
          <w:tcPr>
            <w:tcW w:w="1220" w:type="dxa"/>
            <w:vMerge w:val="continue"/>
            <w:noWrap w:val="0"/>
            <w:vAlign w:val="center"/>
          </w:tcPr>
          <w:p w14:paraId="4D825799">
            <w:pPr>
              <w:jc w:val="center"/>
              <w:rPr>
                <w:szCs w:val="21"/>
              </w:rPr>
            </w:pPr>
          </w:p>
        </w:tc>
        <w:tc>
          <w:tcPr>
            <w:tcW w:w="790" w:type="dxa"/>
            <w:vMerge w:val="continue"/>
            <w:noWrap w:val="0"/>
            <w:vAlign w:val="center"/>
          </w:tcPr>
          <w:p w14:paraId="01E6AEBF">
            <w:pPr>
              <w:spacing w:line="240" w:lineRule="exact"/>
              <w:jc w:val="center"/>
              <w:rPr>
                <w:szCs w:val="21"/>
              </w:rPr>
            </w:pPr>
          </w:p>
        </w:tc>
        <w:tc>
          <w:tcPr>
            <w:tcW w:w="510" w:type="dxa"/>
            <w:vMerge w:val="continue"/>
            <w:noWrap w:val="0"/>
            <w:vAlign w:val="center"/>
          </w:tcPr>
          <w:p w14:paraId="724AA187">
            <w:pPr>
              <w:spacing w:line="240" w:lineRule="exact"/>
              <w:jc w:val="center"/>
              <w:rPr>
                <w:szCs w:val="21"/>
              </w:rPr>
            </w:pPr>
          </w:p>
        </w:tc>
        <w:tc>
          <w:tcPr>
            <w:tcW w:w="720" w:type="dxa"/>
            <w:vMerge w:val="continue"/>
            <w:noWrap w:val="0"/>
            <w:vAlign w:val="center"/>
          </w:tcPr>
          <w:p w14:paraId="09AE4AE3">
            <w:pPr>
              <w:spacing w:line="240" w:lineRule="exact"/>
              <w:jc w:val="center"/>
              <w:rPr>
                <w:szCs w:val="21"/>
              </w:rPr>
            </w:pPr>
          </w:p>
        </w:tc>
        <w:tc>
          <w:tcPr>
            <w:tcW w:w="720" w:type="dxa"/>
            <w:vMerge w:val="continue"/>
            <w:noWrap w:val="0"/>
            <w:vAlign w:val="center"/>
          </w:tcPr>
          <w:p w14:paraId="685E51DB">
            <w:pPr>
              <w:spacing w:line="240" w:lineRule="exact"/>
              <w:jc w:val="center"/>
              <w:rPr>
                <w:szCs w:val="21"/>
              </w:rPr>
            </w:pPr>
          </w:p>
        </w:tc>
        <w:tc>
          <w:tcPr>
            <w:tcW w:w="1210" w:type="dxa"/>
            <w:vMerge w:val="continue"/>
            <w:noWrap w:val="0"/>
            <w:vAlign w:val="center"/>
          </w:tcPr>
          <w:p w14:paraId="777BFBAB">
            <w:pPr>
              <w:spacing w:line="240" w:lineRule="exact"/>
              <w:jc w:val="center"/>
              <w:rPr>
                <w:szCs w:val="21"/>
              </w:rPr>
            </w:pPr>
          </w:p>
        </w:tc>
        <w:tc>
          <w:tcPr>
            <w:tcW w:w="552" w:type="dxa"/>
            <w:vMerge w:val="continue"/>
            <w:noWrap w:val="0"/>
            <w:vAlign w:val="center"/>
          </w:tcPr>
          <w:p w14:paraId="3F6FC6BE">
            <w:pPr>
              <w:jc w:val="center"/>
              <w:rPr>
                <w:szCs w:val="21"/>
              </w:rPr>
            </w:pPr>
          </w:p>
        </w:tc>
        <w:tc>
          <w:tcPr>
            <w:tcW w:w="540" w:type="dxa"/>
            <w:noWrap w:val="0"/>
            <w:vAlign w:val="center"/>
          </w:tcPr>
          <w:p w14:paraId="0ADB4132">
            <w:pPr>
              <w:jc w:val="center"/>
              <w:rPr>
                <w:szCs w:val="21"/>
              </w:rPr>
            </w:pPr>
            <w:r>
              <w:rPr>
                <w:rFonts w:hint="eastAsia"/>
                <w:szCs w:val="21"/>
              </w:rPr>
              <w:t>初级</w:t>
            </w:r>
          </w:p>
        </w:tc>
        <w:tc>
          <w:tcPr>
            <w:tcW w:w="540" w:type="dxa"/>
            <w:noWrap w:val="0"/>
            <w:vAlign w:val="center"/>
          </w:tcPr>
          <w:p w14:paraId="2E7D59B7">
            <w:pPr>
              <w:jc w:val="center"/>
              <w:rPr>
                <w:szCs w:val="21"/>
              </w:rPr>
            </w:pPr>
            <w:r>
              <w:rPr>
                <w:rFonts w:hint="eastAsia"/>
                <w:szCs w:val="21"/>
              </w:rPr>
              <w:t>中级</w:t>
            </w:r>
          </w:p>
        </w:tc>
        <w:tc>
          <w:tcPr>
            <w:tcW w:w="540" w:type="dxa"/>
            <w:noWrap w:val="0"/>
            <w:vAlign w:val="center"/>
          </w:tcPr>
          <w:p w14:paraId="710535DE">
            <w:pPr>
              <w:jc w:val="center"/>
              <w:rPr>
                <w:szCs w:val="21"/>
              </w:rPr>
            </w:pPr>
            <w:r>
              <w:rPr>
                <w:rFonts w:hint="eastAsia"/>
                <w:szCs w:val="21"/>
              </w:rPr>
              <w:t>高级</w:t>
            </w:r>
          </w:p>
        </w:tc>
        <w:tc>
          <w:tcPr>
            <w:tcW w:w="1245" w:type="dxa"/>
            <w:noWrap w:val="0"/>
            <w:vAlign w:val="center"/>
          </w:tcPr>
          <w:p w14:paraId="7F39E178">
            <w:pPr>
              <w:jc w:val="center"/>
              <w:rPr>
                <w:rFonts w:hint="eastAsia" w:ascii="宋体" w:hAnsi="宋体"/>
                <w:szCs w:val="21"/>
              </w:rPr>
            </w:pPr>
            <w:r>
              <w:rPr>
                <w:rFonts w:hint="eastAsia" w:ascii="宋体" w:hAnsi="宋体"/>
                <w:szCs w:val="21"/>
              </w:rPr>
              <w:t>证书名称</w:t>
            </w:r>
          </w:p>
        </w:tc>
        <w:tc>
          <w:tcPr>
            <w:tcW w:w="622" w:type="dxa"/>
            <w:noWrap w:val="0"/>
            <w:vAlign w:val="center"/>
          </w:tcPr>
          <w:p w14:paraId="5C2B9730">
            <w:pPr>
              <w:jc w:val="center"/>
              <w:rPr>
                <w:rFonts w:hint="eastAsia" w:ascii="宋体" w:hAnsi="宋体"/>
                <w:szCs w:val="21"/>
              </w:rPr>
            </w:pPr>
            <w:r>
              <w:rPr>
                <w:rFonts w:hint="eastAsia" w:ascii="宋体" w:hAnsi="宋体"/>
                <w:szCs w:val="21"/>
              </w:rPr>
              <w:t>级别</w:t>
            </w:r>
          </w:p>
        </w:tc>
        <w:tc>
          <w:tcPr>
            <w:tcW w:w="1065" w:type="dxa"/>
            <w:noWrap w:val="0"/>
            <w:vAlign w:val="center"/>
          </w:tcPr>
          <w:p w14:paraId="6A98D298">
            <w:pPr>
              <w:jc w:val="center"/>
              <w:rPr>
                <w:rFonts w:hint="eastAsia" w:ascii="宋体" w:hAnsi="宋体"/>
                <w:szCs w:val="21"/>
              </w:rPr>
            </w:pPr>
            <w:r>
              <w:rPr>
                <w:rFonts w:hint="eastAsia" w:ascii="宋体" w:hAnsi="宋体"/>
                <w:szCs w:val="21"/>
              </w:rPr>
              <w:t>证号</w:t>
            </w:r>
          </w:p>
        </w:tc>
        <w:tc>
          <w:tcPr>
            <w:tcW w:w="1066" w:type="dxa"/>
            <w:noWrap w:val="0"/>
            <w:vAlign w:val="center"/>
          </w:tcPr>
          <w:p w14:paraId="39E5EB50">
            <w:pPr>
              <w:jc w:val="center"/>
              <w:rPr>
                <w:rFonts w:hint="eastAsia" w:ascii="宋体" w:hAnsi="宋体"/>
                <w:szCs w:val="21"/>
              </w:rPr>
            </w:pPr>
            <w:r>
              <w:rPr>
                <w:rFonts w:hint="eastAsia" w:ascii="宋体" w:hAnsi="宋体"/>
                <w:szCs w:val="21"/>
              </w:rPr>
              <w:t>专业</w:t>
            </w:r>
          </w:p>
        </w:tc>
        <w:tc>
          <w:tcPr>
            <w:tcW w:w="1080" w:type="dxa"/>
            <w:vMerge w:val="continue"/>
            <w:noWrap w:val="0"/>
            <w:vAlign w:val="center"/>
          </w:tcPr>
          <w:p w14:paraId="61BDC816">
            <w:pPr>
              <w:jc w:val="center"/>
              <w:rPr>
                <w:szCs w:val="21"/>
              </w:rPr>
            </w:pPr>
          </w:p>
        </w:tc>
        <w:tc>
          <w:tcPr>
            <w:tcW w:w="900" w:type="dxa"/>
            <w:vMerge w:val="continue"/>
            <w:noWrap w:val="0"/>
            <w:vAlign w:val="center"/>
          </w:tcPr>
          <w:p w14:paraId="48591A25">
            <w:pPr>
              <w:jc w:val="center"/>
              <w:rPr>
                <w:szCs w:val="21"/>
              </w:rPr>
            </w:pPr>
          </w:p>
        </w:tc>
      </w:tr>
      <w:tr w14:paraId="6F40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5D9137B">
            <w:pPr>
              <w:jc w:val="center"/>
              <w:rPr>
                <w:rFonts w:ascii="宋体" w:hAnsi="宋体" w:cs="宋体"/>
                <w:szCs w:val="21"/>
              </w:rPr>
            </w:pPr>
            <w:r>
              <w:rPr>
                <w:rFonts w:hint="eastAsia"/>
                <w:szCs w:val="21"/>
              </w:rPr>
              <w:t>1</w:t>
            </w:r>
          </w:p>
        </w:tc>
        <w:tc>
          <w:tcPr>
            <w:tcW w:w="1220" w:type="dxa"/>
            <w:noWrap w:val="0"/>
            <w:vAlign w:val="center"/>
          </w:tcPr>
          <w:p w14:paraId="7EDADA34">
            <w:pPr>
              <w:jc w:val="center"/>
              <w:rPr>
                <w:szCs w:val="21"/>
              </w:rPr>
            </w:pPr>
          </w:p>
        </w:tc>
        <w:tc>
          <w:tcPr>
            <w:tcW w:w="790" w:type="dxa"/>
            <w:noWrap w:val="0"/>
            <w:vAlign w:val="center"/>
          </w:tcPr>
          <w:p w14:paraId="1CDF0D7A">
            <w:pPr>
              <w:spacing w:line="240" w:lineRule="exact"/>
              <w:jc w:val="center"/>
              <w:rPr>
                <w:szCs w:val="21"/>
              </w:rPr>
            </w:pPr>
          </w:p>
        </w:tc>
        <w:tc>
          <w:tcPr>
            <w:tcW w:w="510" w:type="dxa"/>
            <w:noWrap w:val="0"/>
            <w:vAlign w:val="center"/>
          </w:tcPr>
          <w:p w14:paraId="7E55398E">
            <w:pPr>
              <w:spacing w:line="240" w:lineRule="exact"/>
              <w:jc w:val="center"/>
              <w:rPr>
                <w:szCs w:val="21"/>
              </w:rPr>
            </w:pPr>
          </w:p>
        </w:tc>
        <w:tc>
          <w:tcPr>
            <w:tcW w:w="720" w:type="dxa"/>
            <w:noWrap w:val="0"/>
            <w:vAlign w:val="center"/>
          </w:tcPr>
          <w:p w14:paraId="583FD889">
            <w:pPr>
              <w:spacing w:line="240" w:lineRule="exact"/>
              <w:jc w:val="center"/>
              <w:rPr>
                <w:szCs w:val="21"/>
              </w:rPr>
            </w:pPr>
          </w:p>
        </w:tc>
        <w:tc>
          <w:tcPr>
            <w:tcW w:w="720" w:type="dxa"/>
            <w:noWrap w:val="0"/>
            <w:vAlign w:val="center"/>
          </w:tcPr>
          <w:p w14:paraId="2DB768AD">
            <w:pPr>
              <w:spacing w:line="240" w:lineRule="exact"/>
              <w:jc w:val="center"/>
              <w:rPr>
                <w:szCs w:val="21"/>
              </w:rPr>
            </w:pPr>
          </w:p>
        </w:tc>
        <w:tc>
          <w:tcPr>
            <w:tcW w:w="1210" w:type="dxa"/>
            <w:noWrap w:val="0"/>
            <w:vAlign w:val="center"/>
          </w:tcPr>
          <w:p w14:paraId="692C8B8C">
            <w:pPr>
              <w:spacing w:line="240" w:lineRule="exact"/>
              <w:jc w:val="center"/>
              <w:rPr>
                <w:szCs w:val="21"/>
              </w:rPr>
            </w:pPr>
          </w:p>
        </w:tc>
        <w:tc>
          <w:tcPr>
            <w:tcW w:w="552" w:type="dxa"/>
            <w:noWrap w:val="0"/>
            <w:vAlign w:val="center"/>
          </w:tcPr>
          <w:p w14:paraId="611D80FE">
            <w:pPr>
              <w:jc w:val="center"/>
              <w:rPr>
                <w:szCs w:val="21"/>
              </w:rPr>
            </w:pPr>
          </w:p>
        </w:tc>
        <w:tc>
          <w:tcPr>
            <w:tcW w:w="540" w:type="dxa"/>
            <w:noWrap w:val="0"/>
            <w:vAlign w:val="center"/>
          </w:tcPr>
          <w:p w14:paraId="2A554B36">
            <w:pPr>
              <w:jc w:val="center"/>
              <w:rPr>
                <w:szCs w:val="21"/>
              </w:rPr>
            </w:pPr>
          </w:p>
        </w:tc>
        <w:tc>
          <w:tcPr>
            <w:tcW w:w="540" w:type="dxa"/>
            <w:noWrap w:val="0"/>
            <w:vAlign w:val="center"/>
          </w:tcPr>
          <w:p w14:paraId="74F787BB">
            <w:pPr>
              <w:jc w:val="center"/>
              <w:rPr>
                <w:szCs w:val="21"/>
              </w:rPr>
            </w:pPr>
          </w:p>
        </w:tc>
        <w:tc>
          <w:tcPr>
            <w:tcW w:w="540" w:type="dxa"/>
            <w:noWrap w:val="0"/>
            <w:vAlign w:val="center"/>
          </w:tcPr>
          <w:p w14:paraId="687B5E32">
            <w:pPr>
              <w:jc w:val="center"/>
              <w:rPr>
                <w:szCs w:val="21"/>
              </w:rPr>
            </w:pPr>
          </w:p>
        </w:tc>
        <w:tc>
          <w:tcPr>
            <w:tcW w:w="1245" w:type="dxa"/>
            <w:noWrap w:val="0"/>
            <w:vAlign w:val="center"/>
          </w:tcPr>
          <w:p w14:paraId="53676C16">
            <w:pPr>
              <w:jc w:val="center"/>
              <w:rPr>
                <w:szCs w:val="21"/>
              </w:rPr>
            </w:pPr>
          </w:p>
        </w:tc>
        <w:tc>
          <w:tcPr>
            <w:tcW w:w="622" w:type="dxa"/>
            <w:noWrap w:val="0"/>
            <w:vAlign w:val="center"/>
          </w:tcPr>
          <w:p w14:paraId="2D68A1EC">
            <w:pPr>
              <w:jc w:val="center"/>
              <w:rPr>
                <w:szCs w:val="21"/>
              </w:rPr>
            </w:pPr>
          </w:p>
        </w:tc>
        <w:tc>
          <w:tcPr>
            <w:tcW w:w="1065" w:type="dxa"/>
            <w:noWrap w:val="0"/>
            <w:vAlign w:val="center"/>
          </w:tcPr>
          <w:p w14:paraId="26F060F6">
            <w:pPr>
              <w:jc w:val="center"/>
              <w:rPr>
                <w:szCs w:val="21"/>
              </w:rPr>
            </w:pPr>
          </w:p>
        </w:tc>
        <w:tc>
          <w:tcPr>
            <w:tcW w:w="1066" w:type="dxa"/>
            <w:noWrap w:val="0"/>
            <w:vAlign w:val="center"/>
          </w:tcPr>
          <w:p w14:paraId="2A8028A7">
            <w:pPr>
              <w:jc w:val="center"/>
              <w:rPr>
                <w:szCs w:val="21"/>
              </w:rPr>
            </w:pPr>
          </w:p>
        </w:tc>
        <w:tc>
          <w:tcPr>
            <w:tcW w:w="1080" w:type="dxa"/>
            <w:noWrap w:val="0"/>
            <w:vAlign w:val="center"/>
          </w:tcPr>
          <w:p w14:paraId="1E1767F1">
            <w:pPr>
              <w:jc w:val="center"/>
              <w:rPr>
                <w:szCs w:val="21"/>
              </w:rPr>
            </w:pPr>
          </w:p>
        </w:tc>
        <w:tc>
          <w:tcPr>
            <w:tcW w:w="900" w:type="dxa"/>
            <w:noWrap w:val="0"/>
            <w:vAlign w:val="center"/>
          </w:tcPr>
          <w:p w14:paraId="2135DA73">
            <w:pPr>
              <w:jc w:val="center"/>
              <w:rPr>
                <w:szCs w:val="21"/>
              </w:rPr>
            </w:pPr>
          </w:p>
        </w:tc>
      </w:tr>
      <w:tr w14:paraId="1744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90E3285">
            <w:pPr>
              <w:jc w:val="center"/>
              <w:rPr>
                <w:rFonts w:ascii="宋体" w:hAnsi="宋体" w:cs="宋体"/>
                <w:szCs w:val="21"/>
              </w:rPr>
            </w:pPr>
            <w:r>
              <w:rPr>
                <w:rFonts w:hint="eastAsia"/>
                <w:szCs w:val="21"/>
              </w:rPr>
              <w:t>2</w:t>
            </w:r>
          </w:p>
        </w:tc>
        <w:tc>
          <w:tcPr>
            <w:tcW w:w="1220" w:type="dxa"/>
            <w:noWrap w:val="0"/>
            <w:vAlign w:val="center"/>
          </w:tcPr>
          <w:p w14:paraId="283029BC">
            <w:pPr>
              <w:jc w:val="center"/>
              <w:rPr>
                <w:szCs w:val="21"/>
              </w:rPr>
            </w:pPr>
          </w:p>
        </w:tc>
        <w:tc>
          <w:tcPr>
            <w:tcW w:w="790" w:type="dxa"/>
            <w:noWrap w:val="0"/>
            <w:vAlign w:val="center"/>
          </w:tcPr>
          <w:p w14:paraId="31D988CE">
            <w:pPr>
              <w:spacing w:line="240" w:lineRule="exact"/>
              <w:jc w:val="center"/>
              <w:rPr>
                <w:szCs w:val="21"/>
              </w:rPr>
            </w:pPr>
          </w:p>
        </w:tc>
        <w:tc>
          <w:tcPr>
            <w:tcW w:w="510" w:type="dxa"/>
            <w:noWrap w:val="0"/>
            <w:vAlign w:val="center"/>
          </w:tcPr>
          <w:p w14:paraId="5B77BDB2">
            <w:pPr>
              <w:spacing w:line="240" w:lineRule="exact"/>
              <w:jc w:val="center"/>
              <w:rPr>
                <w:szCs w:val="21"/>
              </w:rPr>
            </w:pPr>
          </w:p>
        </w:tc>
        <w:tc>
          <w:tcPr>
            <w:tcW w:w="720" w:type="dxa"/>
            <w:noWrap w:val="0"/>
            <w:vAlign w:val="center"/>
          </w:tcPr>
          <w:p w14:paraId="58EB0A7E">
            <w:pPr>
              <w:spacing w:line="240" w:lineRule="exact"/>
              <w:jc w:val="center"/>
              <w:rPr>
                <w:szCs w:val="21"/>
              </w:rPr>
            </w:pPr>
          </w:p>
        </w:tc>
        <w:tc>
          <w:tcPr>
            <w:tcW w:w="720" w:type="dxa"/>
            <w:noWrap w:val="0"/>
            <w:vAlign w:val="center"/>
          </w:tcPr>
          <w:p w14:paraId="18ED4C00">
            <w:pPr>
              <w:spacing w:line="240" w:lineRule="exact"/>
              <w:jc w:val="center"/>
              <w:rPr>
                <w:szCs w:val="21"/>
              </w:rPr>
            </w:pPr>
          </w:p>
        </w:tc>
        <w:tc>
          <w:tcPr>
            <w:tcW w:w="1210" w:type="dxa"/>
            <w:noWrap w:val="0"/>
            <w:vAlign w:val="center"/>
          </w:tcPr>
          <w:p w14:paraId="14DFF7B7">
            <w:pPr>
              <w:spacing w:line="240" w:lineRule="exact"/>
              <w:jc w:val="center"/>
              <w:rPr>
                <w:szCs w:val="21"/>
              </w:rPr>
            </w:pPr>
          </w:p>
        </w:tc>
        <w:tc>
          <w:tcPr>
            <w:tcW w:w="552" w:type="dxa"/>
            <w:noWrap w:val="0"/>
            <w:vAlign w:val="center"/>
          </w:tcPr>
          <w:p w14:paraId="01F3A034">
            <w:pPr>
              <w:jc w:val="center"/>
              <w:rPr>
                <w:szCs w:val="21"/>
              </w:rPr>
            </w:pPr>
          </w:p>
        </w:tc>
        <w:tc>
          <w:tcPr>
            <w:tcW w:w="540" w:type="dxa"/>
            <w:noWrap w:val="0"/>
            <w:vAlign w:val="center"/>
          </w:tcPr>
          <w:p w14:paraId="7EE0E13A">
            <w:pPr>
              <w:jc w:val="center"/>
              <w:rPr>
                <w:szCs w:val="21"/>
              </w:rPr>
            </w:pPr>
          </w:p>
        </w:tc>
        <w:tc>
          <w:tcPr>
            <w:tcW w:w="540" w:type="dxa"/>
            <w:noWrap w:val="0"/>
            <w:vAlign w:val="center"/>
          </w:tcPr>
          <w:p w14:paraId="158EEEC6">
            <w:pPr>
              <w:jc w:val="center"/>
              <w:rPr>
                <w:szCs w:val="21"/>
              </w:rPr>
            </w:pPr>
          </w:p>
        </w:tc>
        <w:tc>
          <w:tcPr>
            <w:tcW w:w="540" w:type="dxa"/>
            <w:noWrap w:val="0"/>
            <w:vAlign w:val="center"/>
          </w:tcPr>
          <w:p w14:paraId="018ECDA7">
            <w:pPr>
              <w:jc w:val="center"/>
              <w:rPr>
                <w:szCs w:val="21"/>
              </w:rPr>
            </w:pPr>
          </w:p>
        </w:tc>
        <w:tc>
          <w:tcPr>
            <w:tcW w:w="1245" w:type="dxa"/>
            <w:noWrap w:val="0"/>
            <w:vAlign w:val="center"/>
          </w:tcPr>
          <w:p w14:paraId="112DAAF4">
            <w:pPr>
              <w:jc w:val="center"/>
              <w:rPr>
                <w:szCs w:val="21"/>
              </w:rPr>
            </w:pPr>
          </w:p>
        </w:tc>
        <w:tc>
          <w:tcPr>
            <w:tcW w:w="622" w:type="dxa"/>
            <w:noWrap w:val="0"/>
            <w:vAlign w:val="center"/>
          </w:tcPr>
          <w:p w14:paraId="140E84AB">
            <w:pPr>
              <w:jc w:val="center"/>
              <w:rPr>
                <w:szCs w:val="21"/>
              </w:rPr>
            </w:pPr>
          </w:p>
        </w:tc>
        <w:tc>
          <w:tcPr>
            <w:tcW w:w="1065" w:type="dxa"/>
            <w:noWrap w:val="0"/>
            <w:vAlign w:val="center"/>
          </w:tcPr>
          <w:p w14:paraId="328A48C7">
            <w:pPr>
              <w:jc w:val="center"/>
              <w:rPr>
                <w:szCs w:val="21"/>
              </w:rPr>
            </w:pPr>
          </w:p>
        </w:tc>
        <w:tc>
          <w:tcPr>
            <w:tcW w:w="1066" w:type="dxa"/>
            <w:noWrap w:val="0"/>
            <w:vAlign w:val="center"/>
          </w:tcPr>
          <w:p w14:paraId="1D8E844A">
            <w:pPr>
              <w:jc w:val="center"/>
              <w:rPr>
                <w:szCs w:val="21"/>
              </w:rPr>
            </w:pPr>
          </w:p>
        </w:tc>
        <w:tc>
          <w:tcPr>
            <w:tcW w:w="1080" w:type="dxa"/>
            <w:noWrap w:val="0"/>
            <w:vAlign w:val="center"/>
          </w:tcPr>
          <w:p w14:paraId="5E0C6666">
            <w:pPr>
              <w:jc w:val="center"/>
              <w:rPr>
                <w:szCs w:val="21"/>
              </w:rPr>
            </w:pPr>
          </w:p>
        </w:tc>
        <w:tc>
          <w:tcPr>
            <w:tcW w:w="900" w:type="dxa"/>
            <w:noWrap w:val="0"/>
            <w:vAlign w:val="center"/>
          </w:tcPr>
          <w:p w14:paraId="5307E8AF">
            <w:pPr>
              <w:jc w:val="center"/>
              <w:rPr>
                <w:szCs w:val="21"/>
              </w:rPr>
            </w:pPr>
          </w:p>
        </w:tc>
      </w:tr>
      <w:tr w14:paraId="3EE3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6C66F148">
            <w:pPr>
              <w:jc w:val="center"/>
              <w:rPr>
                <w:rFonts w:ascii="宋体" w:hAnsi="宋体" w:cs="宋体"/>
                <w:szCs w:val="21"/>
              </w:rPr>
            </w:pPr>
            <w:r>
              <w:rPr>
                <w:rFonts w:hint="eastAsia"/>
                <w:szCs w:val="21"/>
              </w:rPr>
              <w:t>3</w:t>
            </w:r>
          </w:p>
        </w:tc>
        <w:tc>
          <w:tcPr>
            <w:tcW w:w="1220" w:type="dxa"/>
            <w:noWrap w:val="0"/>
            <w:vAlign w:val="center"/>
          </w:tcPr>
          <w:p w14:paraId="457F9522">
            <w:pPr>
              <w:jc w:val="center"/>
              <w:rPr>
                <w:szCs w:val="21"/>
              </w:rPr>
            </w:pPr>
          </w:p>
        </w:tc>
        <w:tc>
          <w:tcPr>
            <w:tcW w:w="790" w:type="dxa"/>
            <w:noWrap w:val="0"/>
            <w:vAlign w:val="center"/>
          </w:tcPr>
          <w:p w14:paraId="0AF3AFD9">
            <w:pPr>
              <w:spacing w:line="240" w:lineRule="exact"/>
              <w:jc w:val="center"/>
              <w:rPr>
                <w:szCs w:val="21"/>
              </w:rPr>
            </w:pPr>
          </w:p>
        </w:tc>
        <w:tc>
          <w:tcPr>
            <w:tcW w:w="510" w:type="dxa"/>
            <w:noWrap w:val="0"/>
            <w:vAlign w:val="center"/>
          </w:tcPr>
          <w:p w14:paraId="35387684">
            <w:pPr>
              <w:spacing w:line="240" w:lineRule="exact"/>
              <w:jc w:val="center"/>
              <w:rPr>
                <w:szCs w:val="21"/>
              </w:rPr>
            </w:pPr>
          </w:p>
        </w:tc>
        <w:tc>
          <w:tcPr>
            <w:tcW w:w="720" w:type="dxa"/>
            <w:noWrap w:val="0"/>
            <w:vAlign w:val="center"/>
          </w:tcPr>
          <w:p w14:paraId="087E62C2">
            <w:pPr>
              <w:spacing w:line="240" w:lineRule="exact"/>
              <w:jc w:val="center"/>
              <w:rPr>
                <w:szCs w:val="21"/>
              </w:rPr>
            </w:pPr>
          </w:p>
        </w:tc>
        <w:tc>
          <w:tcPr>
            <w:tcW w:w="720" w:type="dxa"/>
            <w:noWrap w:val="0"/>
            <w:vAlign w:val="center"/>
          </w:tcPr>
          <w:p w14:paraId="5D97B196">
            <w:pPr>
              <w:spacing w:line="240" w:lineRule="exact"/>
              <w:jc w:val="center"/>
              <w:rPr>
                <w:szCs w:val="21"/>
              </w:rPr>
            </w:pPr>
          </w:p>
        </w:tc>
        <w:tc>
          <w:tcPr>
            <w:tcW w:w="1210" w:type="dxa"/>
            <w:noWrap w:val="0"/>
            <w:vAlign w:val="center"/>
          </w:tcPr>
          <w:p w14:paraId="4387CE46">
            <w:pPr>
              <w:spacing w:line="240" w:lineRule="exact"/>
              <w:jc w:val="center"/>
              <w:rPr>
                <w:szCs w:val="21"/>
              </w:rPr>
            </w:pPr>
          </w:p>
        </w:tc>
        <w:tc>
          <w:tcPr>
            <w:tcW w:w="552" w:type="dxa"/>
            <w:noWrap w:val="0"/>
            <w:vAlign w:val="center"/>
          </w:tcPr>
          <w:p w14:paraId="3759649A">
            <w:pPr>
              <w:jc w:val="center"/>
              <w:rPr>
                <w:szCs w:val="21"/>
              </w:rPr>
            </w:pPr>
          </w:p>
        </w:tc>
        <w:tc>
          <w:tcPr>
            <w:tcW w:w="540" w:type="dxa"/>
            <w:noWrap w:val="0"/>
            <w:vAlign w:val="center"/>
          </w:tcPr>
          <w:p w14:paraId="3EFEE3E2">
            <w:pPr>
              <w:jc w:val="center"/>
              <w:rPr>
                <w:szCs w:val="21"/>
              </w:rPr>
            </w:pPr>
          </w:p>
        </w:tc>
        <w:tc>
          <w:tcPr>
            <w:tcW w:w="540" w:type="dxa"/>
            <w:noWrap w:val="0"/>
            <w:vAlign w:val="center"/>
          </w:tcPr>
          <w:p w14:paraId="2D528994">
            <w:pPr>
              <w:jc w:val="center"/>
              <w:rPr>
                <w:szCs w:val="21"/>
              </w:rPr>
            </w:pPr>
          </w:p>
        </w:tc>
        <w:tc>
          <w:tcPr>
            <w:tcW w:w="540" w:type="dxa"/>
            <w:noWrap w:val="0"/>
            <w:vAlign w:val="center"/>
          </w:tcPr>
          <w:p w14:paraId="210A7CB3">
            <w:pPr>
              <w:jc w:val="center"/>
              <w:rPr>
                <w:szCs w:val="21"/>
              </w:rPr>
            </w:pPr>
          </w:p>
        </w:tc>
        <w:tc>
          <w:tcPr>
            <w:tcW w:w="1245" w:type="dxa"/>
            <w:noWrap w:val="0"/>
            <w:vAlign w:val="center"/>
          </w:tcPr>
          <w:p w14:paraId="63C0FE2E">
            <w:pPr>
              <w:jc w:val="center"/>
              <w:rPr>
                <w:szCs w:val="21"/>
              </w:rPr>
            </w:pPr>
          </w:p>
        </w:tc>
        <w:tc>
          <w:tcPr>
            <w:tcW w:w="622" w:type="dxa"/>
            <w:noWrap w:val="0"/>
            <w:vAlign w:val="center"/>
          </w:tcPr>
          <w:p w14:paraId="788DA8F2">
            <w:pPr>
              <w:jc w:val="center"/>
              <w:rPr>
                <w:szCs w:val="21"/>
              </w:rPr>
            </w:pPr>
          </w:p>
        </w:tc>
        <w:tc>
          <w:tcPr>
            <w:tcW w:w="1065" w:type="dxa"/>
            <w:noWrap w:val="0"/>
            <w:vAlign w:val="center"/>
          </w:tcPr>
          <w:p w14:paraId="163E3798">
            <w:pPr>
              <w:jc w:val="center"/>
              <w:rPr>
                <w:szCs w:val="21"/>
              </w:rPr>
            </w:pPr>
          </w:p>
        </w:tc>
        <w:tc>
          <w:tcPr>
            <w:tcW w:w="1066" w:type="dxa"/>
            <w:noWrap w:val="0"/>
            <w:vAlign w:val="center"/>
          </w:tcPr>
          <w:p w14:paraId="32786972">
            <w:pPr>
              <w:jc w:val="center"/>
              <w:rPr>
                <w:szCs w:val="21"/>
              </w:rPr>
            </w:pPr>
          </w:p>
        </w:tc>
        <w:tc>
          <w:tcPr>
            <w:tcW w:w="1080" w:type="dxa"/>
            <w:noWrap w:val="0"/>
            <w:vAlign w:val="center"/>
          </w:tcPr>
          <w:p w14:paraId="60FD29E4">
            <w:pPr>
              <w:jc w:val="center"/>
              <w:rPr>
                <w:szCs w:val="21"/>
              </w:rPr>
            </w:pPr>
          </w:p>
        </w:tc>
        <w:tc>
          <w:tcPr>
            <w:tcW w:w="900" w:type="dxa"/>
            <w:noWrap w:val="0"/>
            <w:vAlign w:val="center"/>
          </w:tcPr>
          <w:p w14:paraId="5FEEF73F">
            <w:pPr>
              <w:jc w:val="center"/>
              <w:rPr>
                <w:szCs w:val="21"/>
              </w:rPr>
            </w:pPr>
          </w:p>
        </w:tc>
      </w:tr>
      <w:tr w14:paraId="7C11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46B554B">
            <w:pPr>
              <w:jc w:val="center"/>
              <w:rPr>
                <w:rFonts w:ascii="宋体" w:hAnsi="宋体" w:cs="宋体"/>
                <w:szCs w:val="21"/>
              </w:rPr>
            </w:pPr>
            <w:r>
              <w:rPr>
                <w:rFonts w:hint="eastAsia"/>
                <w:szCs w:val="21"/>
              </w:rPr>
              <w:t>4</w:t>
            </w:r>
          </w:p>
        </w:tc>
        <w:tc>
          <w:tcPr>
            <w:tcW w:w="1220" w:type="dxa"/>
            <w:noWrap w:val="0"/>
            <w:vAlign w:val="center"/>
          </w:tcPr>
          <w:p w14:paraId="01240F3E">
            <w:pPr>
              <w:jc w:val="center"/>
              <w:rPr>
                <w:szCs w:val="21"/>
              </w:rPr>
            </w:pPr>
          </w:p>
        </w:tc>
        <w:tc>
          <w:tcPr>
            <w:tcW w:w="790" w:type="dxa"/>
            <w:noWrap w:val="0"/>
            <w:vAlign w:val="center"/>
          </w:tcPr>
          <w:p w14:paraId="69A5AA8C">
            <w:pPr>
              <w:spacing w:line="240" w:lineRule="exact"/>
              <w:jc w:val="center"/>
              <w:rPr>
                <w:szCs w:val="21"/>
              </w:rPr>
            </w:pPr>
          </w:p>
        </w:tc>
        <w:tc>
          <w:tcPr>
            <w:tcW w:w="510" w:type="dxa"/>
            <w:noWrap w:val="0"/>
            <w:vAlign w:val="center"/>
          </w:tcPr>
          <w:p w14:paraId="31D33A1F">
            <w:pPr>
              <w:spacing w:line="240" w:lineRule="exact"/>
              <w:jc w:val="center"/>
              <w:rPr>
                <w:szCs w:val="21"/>
              </w:rPr>
            </w:pPr>
          </w:p>
        </w:tc>
        <w:tc>
          <w:tcPr>
            <w:tcW w:w="720" w:type="dxa"/>
            <w:noWrap w:val="0"/>
            <w:vAlign w:val="center"/>
          </w:tcPr>
          <w:p w14:paraId="31EFF4BE">
            <w:pPr>
              <w:spacing w:line="240" w:lineRule="exact"/>
              <w:jc w:val="center"/>
              <w:rPr>
                <w:szCs w:val="21"/>
              </w:rPr>
            </w:pPr>
          </w:p>
        </w:tc>
        <w:tc>
          <w:tcPr>
            <w:tcW w:w="720" w:type="dxa"/>
            <w:noWrap w:val="0"/>
            <w:vAlign w:val="center"/>
          </w:tcPr>
          <w:p w14:paraId="35AA64DE">
            <w:pPr>
              <w:spacing w:line="240" w:lineRule="exact"/>
              <w:jc w:val="center"/>
              <w:rPr>
                <w:szCs w:val="21"/>
              </w:rPr>
            </w:pPr>
          </w:p>
        </w:tc>
        <w:tc>
          <w:tcPr>
            <w:tcW w:w="1210" w:type="dxa"/>
            <w:noWrap w:val="0"/>
            <w:vAlign w:val="center"/>
          </w:tcPr>
          <w:p w14:paraId="201730C2">
            <w:pPr>
              <w:spacing w:line="240" w:lineRule="exact"/>
              <w:jc w:val="center"/>
              <w:rPr>
                <w:szCs w:val="21"/>
              </w:rPr>
            </w:pPr>
          </w:p>
        </w:tc>
        <w:tc>
          <w:tcPr>
            <w:tcW w:w="552" w:type="dxa"/>
            <w:noWrap w:val="0"/>
            <w:vAlign w:val="center"/>
          </w:tcPr>
          <w:p w14:paraId="62B346EF">
            <w:pPr>
              <w:jc w:val="center"/>
              <w:rPr>
                <w:szCs w:val="21"/>
              </w:rPr>
            </w:pPr>
          </w:p>
        </w:tc>
        <w:tc>
          <w:tcPr>
            <w:tcW w:w="540" w:type="dxa"/>
            <w:noWrap w:val="0"/>
            <w:vAlign w:val="center"/>
          </w:tcPr>
          <w:p w14:paraId="1C4A2F2E">
            <w:pPr>
              <w:jc w:val="center"/>
              <w:rPr>
                <w:szCs w:val="21"/>
              </w:rPr>
            </w:pPr>
          </w:p>
        </w:tc>
        <w:tc>
          <w:tcPr>
            <w:tcW w:w="540" w:type="dxa"/>
            <w:noWrap w:val="0"/>
            <w:vAlign w:val="center"/>
          </w:tcPr>
          <w:p w14:paraId="20A409DE">
            <w:pPr>
              <w:jc w:val="center"/>
              <w:rPr>
                <w:szCs w:val="21"/>
              </w:rPr>
            </w:pPr>
          </w:p>
        </w:tc>
        <w:tc>
          <w:tcPr>
            <w:tcW w:w="540" w:type="dxa"/>
            <w:noWrap w:val="0"/>
            <w:vAlign w:val="center"/>
          </w:tcPr>
          <w:p w14:paraId="126D8EBD">
            <w:pPr>
              <w:jc w:val="center"/>
              <w:rPr>
                <w:szCs w:val="21"/>
              </w:rPr>
            </w:pPr>
          </w:p>
        </w:tc>
        <w:tc>
          <w:tcPr>
            <w:tcW w:w="1245" w:type="dxa"/>
            <w:noWrap w:val="0"/>
            <w:vAlign w:val="center"/>
          </w:tcPr>
          <w:p w14:paraId="56B6393C">
            <w:pPr>
              <w:jc w:val="center"/>
              <w:rPr>
                <w:szCs w:val="21"/>
              </w:rPr>
            </w:pPr>
          </w:p>
        </w:tc>
        <w:tc>
          <w:tcPr>
            <w:tcW w:w="622" w:type="dxa"/>
            <w:noWrap w:val="0"/>
            <w:vAlign w:val="center"/>
          </w:tcPr>
          <w:p w14:paraId="4002F548">
            <w:pPr>
              <w:jc w:val="center"/>
              <w:rPr>
                <w:szCs w:val="21"/>
              </w:rPr>
            </w:pPr>
          </w:p>
        </w:tc>
        <w:tc>
          <w:tcPr>
            <w:tcW w:w="1065" w:type="dxa"/>
            <w:noWrap w:val="0"/>
            <w:vAlign w:val="center"/>
          </w:tcPr>
          <w:p w14:paraId="62F771C3">
            <w:pPr>
              <w:jc w:val="center"/>
              <w:rPr>
                <w:szCs w:val="21"/>
              </w:rPr>
            </w:pPr>
          </w:p>
        </w:tc>
        <w:tc>
          <w:tcPr>
            <w:tcW w:w="1066" w:type="dxa"/>
            <w:noWrap w:val="0"/>
            <w:vAlign w:val="center"/>
          </w:tcPr>
          <w:p w14:paraId="4B5E74A9">
            <w:pPr>
              <w:jc w:val="center"/>
              <w:rPr>
                <w:szCs w:val="21"/>
              </w:rPr>
            </w:pPr>
          </w:p>
        </w:tc>
        <w:tc>
          <w:tcPr>
            <w:tcW w:w="1080" w:type="dxa"/>
            <w:noWrap w:val="0"/>
            <w:vAlign w:val="center"/>
          </w:tcPr>
          <w:p w14:paraId="27E2712B">
            <w:pPr>
              <w:jc w:val="center"/>
              <w:rPr>
                <w:szCs w:val="21"/>
              </w:rPr>
            </w:pPr>
          </w:p>
        </w:tc>
        <w:tc>
          <w:tcPr>
            <w:tcW w:w="900" w:type="dxa"/>
            <w:noWrap w:val="0"/>
            <w:vAlign w:val="center"/>
          </w:tcPr>
          <w:p w14:paraId="457CF3C0">
            <w:pPr>
              <w:jc w:val="center"/>
              <w:rPr>
                <w:szCs w:val="21"/>
              </w:rPr>
            </w:pPr>
          </w:p>
        </w:tc>
      </w:tr>
      <w:tr w14:paraId="172A9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31E775F">
            <w:pPr>
              <w:jc w:val="center"/>
              <w:rPr>
                <w:rFonts w:ascii="宋体" w:hAnsi="宋体" w:cs="宋体"/>
                <w:szCs w:val="21"/>
              </w:rPr>
            </w:pPr>
            <w:r>
              <w:rPr>
                <w:rFonts w:hint="eastAsia"/>
                <w:szCs w:val="21"/>
              </w:rPr>
              <w:t>5</w:t>
            </w:r>
          </w:p>
        </w:tc>
        <w:tc>
          <w:tcPr>
            <w:tcW w:w="1220" w:type="dxa"/>
            <w:noWrap w:val="0"/>
            <w:vAlign w:val="center"/>
          </w:tcPr>
          <w:p w14:paraId="6B8B99EB">
            <w:pPr>
              <w:jc w:val="center"/>
              <w:rPr>
                <w:szCs w:val="21"/>
              </w:rPr>
            </w:pPr>
          </w:p>
        </w:tc>
        <w:tc>
          <w:tcPr>
            <w:tcW w:w="790" w:type="dxa"/>
            <w:noWrap w:val="0"/>
            <w:vAlign w:val="center"/>
          </w:tcPr>
          <w:p w14:paraId="147A909A">
            <w:pPr>
              <w:spacing w:line="240" w:lineRule="exact"/>
              <w:jc w:val="center"/>
              <w:rPr>
                <w:szCs w:val="21"/>
              </w:rPr>
            </w:pPr>
          </w:p>
        </w:tc>
        <w:tc>
          <w:tcPr>
            <w:tcW w:w="510" w:type="dxa"/>
            <w:noWrap w:val="0"/>
            <w:vAlign w:val="center"/>
          </w:tcPr>
          <w:p w14:paraId="573CB5B6">
            <w:pPr>
              <w:spacing w:line="240" w:lineRule="exact"/>
              <w:jc w:val="center"/>
              <w:rPr>
                <w:szCs w:val="21"/>
              </w:rPr>
            </w:pPr>
          </w:p>
        </w:tc>
        <w:tc>
          <w:tcPr>
            <w:tcW w:w="720" w:type="dxa"/>
            <w:noWrap w:val="0"/>
            <w:vAlign w:val="center"/>
          </w:tcPr>
          <w:p w14:paraId="240B6F32">
            <w:pPr>
              <w:spacing w:line="240" w:lineRule="exact"/>
              <w:jc w:val="center"/>
              <w:rPr>
                <w:szCs w:val="21"/>
              </w:rPr>
            </w:pPr>
          </w:p>
        </w:tc>
        <w:tc>
          <w:tcPr>
            <w:tcW w:w="720" w:type="dxa"/>
            <w:noWrap w:val="0"/>
            <w:vAlign w:val="center"/>
          </w:tcPr>
          <w:p w14:paraId="2733E48A">
            <w:pPr>
              <w:spacing w:line="240" w:lineRule="exact"/>
              <w:jc w:val="center"/>
              <w:rPr>
                <w:szCs w:val="21"/>
              </w:rPr>
            </w:pPr>
          </w:p>
        </w:tc>
        <w:tc>
          <w:tcPr>
            <w:tcW w:w="1210" w:type="dxa"/>
            <w:noWrap w:val="0"/>
            <w:vAlign w:val="center"/>
          </w:tcPr>
          <w:p w14:paraId="7CD23C84">
            <w:pPr>
              <w:spacing w:line="240" w:lineRule="exact"/>
              <w:jc w:val="center"/>
              <w:rPr>
                <w:szCs w:val="21"/>
              </w:rPr>
            </w:pPr>
          </w:p>
        </w:tc>
        <w:tc>
          <w:tcPr>
            <w:tcW w:w="552" w:type="dxa"/>
            <w:noWrap w:val="0"/>
            <w:vAlign w:val="center"/>
          </w:tcPr>
          <w:p w14:paraId="564BDF93">
            <w:pPr>
              <w:jc w:val="center"/>
              <w:rPr>
                <w:szCs w:val="21"/>
              </w:rPr>
            </w:pPr>
          </w:p>
        </w:tc>
        <w:tc>
          <w:tcPr>
            <w:tcW w:w="540" w:type="dxa"/>
            <w:noWrap w:val="0"/>
            <w:vAlign w:val="center"/>
          </w:tcPr>
          <w:p w14:paraId="7731E063">
            <w:pPr>
              <w:jc w:val="center"/>
              <w:rPr>
                <w:szCs w:val="21"/>
              </w:rPr>
            </w:pPr>
          </w:p>
        </w:tc>
        <w:tc>
          <w:tcPr>
            <w:tcW w:w="540" w:type="dxa"/>
            <w:noWrap w:val="0"/>
            <w:vAlign w:val="center"/>
          </w:tcPr>
          <w:p w14:paraId="4DBA78CB">
            <w:pPr>
              <w:jc w:val="center"/>
              <w:rPr>
                <w:szCs w:val="21"/>
              </w:rPr>
            </w:pPr>
          </w:p>
        </w:tc>
        <w:tc>
          <w:tcPr>
            <w:tcW w:w="540" w:type="dxa"/>
            <w:noWrap w:val="0"/>
            <w:vAlign w:val="center"/>
          </w:tcPr>
          <w:p w14:paraId="7FE2C110">
            <w:pPr>
              <w:jc w:val="center"/>
              <w:rPr>
                <w:szCs w:val="21"/>
              </w:rPr>
            </w:pPr>
          </w:p>
        </w:tc>
        <w:tc>
          <w:tcPr>
            <w:tcW w:w="1245" w:type="dxa"/>
            <w:noWrap w:val="0"/>
            <w:vAlign w:val="center"/>
          </w:tcPr>
          <w:p w14:paraId="515F8287">
            <w:pPr>
              <w:jc w:val="center"/>
              <w:rPr>
                <w:szCs w:val="21"/>
              </w:rPr>
            </w:pPr>
          </w:p>
        </w:tc>
        <w:tc>
          <w:tcPr>
            <w:tcW w:w="622" w:type="dxa"/>
            <w:noWrap w:val="0"/>
            <w:vAlign w:val="center"/>
          </w:tcPr>
          <w:p w14:paraId="67A22606">
            <w:pPr>
              <w:jc w:val="center"/>
              <w:rPr>
                <w:szCs w:val="21"/>
              </w:rPr>
            </w:pPr>
          </w:p>
        </w:tc>
        <w:tc>
          <w:tcPr>
            <w:tcW w:w="1065" w:type="dxa"/>
            <w:noWrap w:val="0"/>
            <w:vAlign w:val="center"/>
          </w:tcPr>
          <w:p w14:paraId="5F7F284E">
            <w:pPr>
              <w:jc w:val="center"/>
              <w:rPr>
                <w:szCs w:val="21"/>
              </w:rPr>
            </w:pPr>
          </w:p>
        </w:tc>
        <w:tc>
          <w:tcPr>
            <w:tcW w:w="1066" w:type="dxa"/>
            <w:noWrap w:val="0"/>
            <w:vAlign w:val="center"/>
          </w:tcPr>
          <w:p w14:paraId="554A5989">
            <w:pPr>
              <w:jc w:val="center"/>
              <w:rPr>
                <w:szCs w:val="21"/>
              </w:rPr>
            </w:pPr>
          </w:p>
        </w:tc>
        <w:tc>
          <w:tcPr>
            <w:tcW w:w="1080" w:type="dxa"/>
            <w:noWrap w:val="0"/>
            <w:vAlign w:val="center"/>
          </w:tcPr>
          <w:p w14:paraId="2AD9F069">
            <w:pPr>
              <w:jc w:val="center"/>
              <w:rPr>
                <w:szCs w:val="21"/>
              </w:rPr>
            </w:pPr>
          </w:p>
        </w:tc>
        <w:tc>
          <w:tcPr>
            <w:tcW w:w="900" w:type="dxa"/>
            <w:noWrap w:val="0"/>
            <w:vAlign w:val="center"/>
          </w:tcPr>
          <w:p w14:paraId="24C1E1C9">
            <w:pPr>
              <w:jc w:val="center"/>
              <w:rPr>
                <w:szCs w:val="21"/>
              </w:rPr>
            </w:pPr>
          </w:p>
        </w:tc>
      </w:tr>
      <w:tr w14:paraId="5B20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27C870B">
            <w:pPr>
              <w:jc w:val="center"/>
              <w:rPr>
                <w:rFonts w:ascii="宋体" w:hAnsi="宋体" w:cs="宋体"/>
                <w:szCs w:val="21"/>
              </w:rPr>
            </w:pPr>
            <w:r>
              <w:rPr>
                <w:rFonts w:hint="eastAsia"/>
                <w:szCs w:val="21"/>
              </w:rPr>
              <w:t>6</w:t>
            </w:r>
          </w:p>
        </w:tc>
        <w:tc>
          <w:tcPr>
            <w:tcW w:w="1220" w:type="dxa"/>
            <w:noWrap w:val="0"/>
            <w:vAlign w:val="center"/>
          </w:tcPr>
          <w:p w14:paraId="755E8F0C">
            <w:pPr>
              <w:jc w:val="center"/>
              <w:rPr>
                <w:szCs w:val="21"/>
              </w:rPr>
            </w:pPr>
          </w:p>
        </w:tc>
        <w:tc>
          <w:tcPr>
            <w:tcW w:w="790" w:type="dxa"/>
            <w:noWrap w:val="0"/>
            <w:vAlign w:val="center"/>
          </w:tcPr>
          <w:p w14:paraId="40D3531F">
            <w:pPr>
              <w:spacing w:line="240" w:lineRule="exact"/>
              <w:jc w:val="center"/>
              <w:rPr>
                <w:szCs w:val="21"/>
              </w:rPr>
            </w:pPr>
          </w:p>
        </w:tc>
        <w:tc>
          <w:tcPr>
            <w:tcW w:w="510" w:type="dxa"/>
            <w:noWrap w:val="0"/>
            <w:vAlign w:val="center"/>
          </w:tcPr>
          <w:p w14:paraId="04F87F08">
            <w:pPr>
              <w:spacing w:line="240" w:lineRule="exact"/>
              <w:jc w:val="center"/>
              <w:rPr>
                <w:szCs w:val="21"/>
              </w:rPr>
            </w:pPr>
          </w:p>
        </w:tc>
        <w:tc>
          <w:tcPr>
            <w:tcW w:w="720" w:type="dxa"/>
            <w:noWrap w:val="0"/>
            <w:vAlign w:val="center"/>
          </w:tcPr>
          <w:p w14:paraId="0862690E">
            <w:pPr>
              <w:spacing w:line="240" w:lineRule="exact"/>
              <w:jc w:val="center"/>
              <w:rPr>
                <w:szCs w:val="21"/>
              </w:rPr>
            </w:pPr>
          </w:p>
        </w:tc>
        <w:tc>
          <w:tcPr>
            <w:tcW w:w="720" w:type="dxa"/>
            <w:noWrap w:val="0"/>
            <w:vAlign w:val="center"/>
          </w:tcPr>
          <w:p w14:paraId="017303A0">
            <w:pPr>
              <w:spacing w:line="240" w:lineRule="exact"/>
              <w:jc w:val="center"/>
              <w:rPr>
                <w:szCs w:val="21"/>
              </w:rPr>
            </w:pPr>
          </w:p>
        </w:tc>
        <w:tc>
          <w:tcPr>
            <w:tcW w:w="1210" w:type="dxa"/>
            <w:noWrap w:val="0"/>
            <w:vAlign w:val="center"/>
          </w:tcPr>
          <w:p w14:paraId="3FB43229">
            <w:pPr>
              <w:spacing w:line="240" w:lineRule="exact"/>
              <w:jc w:val="center"/>
              <w:rPr>
                <w:szCs w:val="21"/>
              </w:rPr>
            </w:pPr>
          </w:p>
        </w:tc>
        <w:tc>
          <w:tcPr>
            <w:tcW w:w="552" w:type="dxa"/>
            <w:noWrap w:val="0"/>
            <w:vAlign w:val="center"/>
          </w:tcPr>
          <w:p w14:paraId="5265FAF0">
            <w:pPr>
              <w:jc w:val="center"/>
              <w:rPr>
                <w:szCs w:val="21"/>
              </w:rPr>
            </w:pPr>
          </w:p>
        </w:tc>
        <w:tc>
          <w:tcPr>
            <w:tcW w:w="540" w:type="dxa"/>
            <w:noWrap w:val="0"/>
            <w:vAlign w:val="center"/>
          </w:tcPr>
          <w:p w14:paraId="3F516060">
            <w:pPr>
              <w:jc w:val="center"/>
              <w:rPr>
                <w:szCs w:val="21"/>
              </w:rPr>
            </w:pPr>
          </w:p>
        </w:tc>
        <w:tc>
          <w:tcPr>
            <w:tcW w:w="540" w:type="dxa"/>
            <w:noWrap w:val="0"/>
            <w:vAlign w:val="center"/>
          </w:tcPr>
          <w:p w14:paraId="70238CBC">
            <w:pPr>
              <w:jc w:val="center"/>
              <w:rPr>
                <w:szCs w:val="21"/>
              </w:rPr>
            </w:pPr>
          </w:p>
        </w:tc>
        <w:tc>
          <w:tcPr>
            <w:tcW w:w="540" w:type="dxa"/>
            <w:noWrap w:val="0"/>
            <w:vAlign w:val="center"/>
          </w:tcPr>
          <w:p w14:paraId="533BA072">
            <w:pPr>
              <w:jc w:val="center"/>
              <w:rPr>
                <w:szCs w:val="21"/>
              </w:rPr>
            </w:pPr>
          </w:p>
        </w:tc>
        <w:tc>
          <w:tcPr>
            <w:tcW w:w="1245" w:type="dxa"/>
            <w:noWrap w:val="0"/>
            <w:vAlign w:val="center"/>
          </w:tcPr>
          <w:p w14:paraId="4C8C248D">
            <w:pPr>
              <w:jc w:val="center"/>
              <w:rPr>
                <w:szCs w:val="21"/>
              </w:rPr>
            </w:pPr>
          </w:p>
        </w:tc>
        <w:tc>
          <w:tcPr>
            <w:tcW w:w="622" w:type="dxa"/>
            <w:noWrap w:val="0"/>
            <w:vAlign w:val="center"/>
          </w:tcPr>
          <w:p w14:paraId="03C66A5F">
            <w:pPr>
              <w:jc w:val="center"/>
              <w:rPr>
                <w:szCs w:val="21"/>
              </w:rPr>
            </w:pPr>
          </w:p>
        </w:tc>
        <w:tc>
          <w:tcPr>
            <w:tcW w:w="1065" w:type="dxa"/>
            <w:noWrap w:val="0"/>
            <w:vAlign w:val="center"/>
          </w:tcPr>
          <w:p w14:paraId="43627BB1">
            <w:pPr>
              <w:jc w:val="center"/>
              <w:rPr>
                <w:szCs w:val="21"/>
              </w:rPr>
            </w:pPr>
          </w:p>
        </w:tc>
        <w:tc>
          <w:tcPr>
            <w:tcW w:w="1066" w:type="dxa"/>
            <w:noWrap w:val="0"/>
            <w:vAlign w:val="center"/>
          </w:tcPr>
          <w:p w14:paraId="042AF5FE">
            <w:pPr>
              <w:jc w:val="center"/>
              <w:rPr>
                <w:szCs w:val="21"/>
              </w:rPr>
            </w:pPr>
          </w:p>
        </w:tc>
        <w:tc>
          <w:tcPr>
            <w:tcW w:w="1080" w:type="dxa"/>
            <w:noWrap w:val="0"/>
            <w:vAlign w:val="center"/>
          </w:tcPr>
          <w:p w14:paraId="20B91C92">
            <w:pPr>
              <w:jc w:val="center"/>
              <w:rPr>
                <w:szCs w:val="21"/>
              </w:rPr>
            </w:pPr>
          </w:p>
        </w:tc>
        <w:tc>
          <w:tcPr>
            <w:tcW w:w="900" w:type="dxa"/>
            <w:noWrap w:val="0"/>
            <w:vAlign w:val="center"/>
          </w:tcPr>
          <w:p w14:paraId="3FDA45D9">
            <w:pPr>
              <w:jc w:val="center"/>
              <w:rPr>
                <w:szCs w:val="21"/>
              </w:rPr>
            </w:pPr>
          </w:p>
        </w:tc>
      </w:tr>
      <w:tr w14:paraId="427E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48E33FB3">
            <w:pPr>
              <w:jc w:val="center"/>
              <w:rPr>
                <w:rFonts w:ascii="宋体" w:hAnsi="宋体" w:cs="宋体"/>
                <w:szCs w:val="21"/>
              </w:rPr>
            </w:pPr>
            <w:r>
              <w:rPr>
                <w:rFonts w:hint="eastAsia"/>
                <w:szCs w:val="21"/>
              </w:rPr>
              <w:t>7</w:t>
            </w:r>
          </w:p>
        </w:tc>
        <w:tc>
          <w:tcPr>
            <w:tcW w:w="1220" w:type="dxa"/>
            <w:noWrap w:val="0"/>
            <w:vAlign w:val="center"/>
          </w:tcPr>
          <w:p w14:paraId="53C586AC">
            <w:pPr>
              <w:jc w:val="center"/>
              <w:rPr>
                <w:szCs w:val="21"/>
              </w:rPr>
            </w:pPr>
          </w:p>
        </w:tc>
        <w:tc>
          <w:tcPr>
            <w:tcW w:w="790" w:type="dxa"/>
            <w:noWrap w:val="0"/>
            <w:vAlign w:val="center"/>
          </w:tcPr>
          <w:p w14:paraId="740FC668">
            <w:pPr>
              <w:spacing w:line="240" w:lineRule="exact"/>
              <w:jc w:val="center"/>
              <w:rPr>
                <w:szCs w:val="21"/>
              </w:rPr>
            </w:pPr>
          </w:p>
        </w:tc>
        <w:tc>
          <w:tcPr>
            <w:tcW w:w="510" w:type="dxa"/>
            <w:noWrap w:val="0"/>
            <w:vAlign w:val="center"/>
          </w:tcPr>
          <w:p w14:paraId="4B1A17F6">
            <w:pPr>
              <w:spacing w:line="240" w:lineRule="exact"/>
              <w:jc w:val="center"/>
              <w:rPr>
                <w:szCs w:val="21"/>
              </w:rPr>
            </w:pPr>
          </w:p>
        </w:tc>
        <w:tc>
          <w:tcPr>
            <w:tcW w:w="720" w:type="dxa"/>
            <w:noWrap w:val="0"/>
            <w:vAlign w:val="center"/>
          </w:tcPr>
          <w:p w14:paraId="6AAF483A">
            <w:pPr>
              <w:spacing w:line="240" w:lineRule="exact"/>
              <w:jc w:val="center"/>
              <w:rPr>
                <w:szCs w:val="21"/>
              </w:rPr>
            </w:pPr>
          </w:p>
        </w:tc>
        <w:tc>
          <w:tcPr>
            <w:tcW w:w="720" w:type="dxa"/>
            <w:noWrap w:val="0"/>
            <w:vAlign w:val="center"/>
          </w:tcPr>
          <w:p w14:paraId="0E3DA28D">
            <w:pPr>
              <w:spacing w:line="240" w:lineRule="exact"/>
              <w:jc w:val="center"/>
              <w:rPr>
                <w:szCs w:val="21"/>
              </w:rPr>
            </w:pPr>
          </w:p>
        </w:tc>
        <w:tc>
          <w:tcPr>
            <w:tcW w:w="1210" w:type="dxa"/>
            <w:noWrap w:val="0"/>
            <w:vAlign w:val="center"/>
          </w:tcPr>
          <w:p w14:paraId="79C8106F">
            <w:pPr>
              <w:spacing w:line="240" w:lineRule="exact"/>
              <w:jc w:val="center"/>
              <w:rPr>
                <w:szCs w:val="21"/>
              </w:rPr>
            </w:pPr>
          </w:p>
        </w:tc>
        <w:tc>
          <w:tcPr>
            <w:tcW w:w="552" w:type="dxa"/>
            <w:noWrap w:val="0"/>
            <w:vAlign w:val="center"/>
          </w:tcPr>
          <w:p w14:paraId="308233D8">
            <w:pPr>
              <w:jc w:val="center"/>
              <w:rPr>
                <w:szCs w:val="21"/>
              </w:rPr>
            </w:pPr>
          </w:p>
        </w:tc>
        <w:tc>
          <w:tcPr>
            <w:tcW w:w="540" w:type="dxa"/>
            <w:noWrap w:val="0"/>
            <w:vAlign w:val="center"/>
          </w:tcPr>
          <w:p w14:paraId="1C3CD43C">
            <w:pPr>
              <w:jc w:val="center"/>
              <w:rPr>
                <w:szCs w:val="21"/>
              </w:rPr>
            </w:pPr>
          </w:p>
        </w:tc>
        <w:tc>
          <w:tcPr>
            <w:tcW w:w="540" w:type="dxa"/>
            <w:noWrap w:val="0"/>
            <w:vAlign w:val="center"/>
          </w:tcPr>
          <w:p w14:paraId="52566389">
            <w:pPr>
              <w:jc w:val="center"/>
              <w:rPr>
                <w:szCs w:val="21"/>
              </w:rPr>
            </w:pPr>
          </w:p>
        </w:tc>
        <w:tc>
          <w:tcPr>
            <w:tcW w:w="540" w:type="dxa"/>
            <w:noWrap w:val="0"/>
            <w:vAlign w:val="center"/>
          </w:tcPr>
          <w:p w14:paraId="356C0B96">
            <w:pPr>
              <w:jc w:val="center"/>
              <w:rPr>
                <w:szCs w:val="21"/>
              </w:rPr>
            </w:pPr>
          </w:p>
        </w:tc>
        <w:tc>
          <w:tcPr>
            <w:tcW w:w="1245" w:type="dxa"/>
            <w:noWrap w:val="0"/>
            <w:vAlign w:val="center"/>
          </w:tcPr>
          <w:p w14:paraId="4FB80F2A">
            <w:pPr>
              <w:jc w:val="center"/>
              <w:rPr>
                <w:szCs w:val="21"/>
              </w:rPr>
            </w:pPr>
          </w:p>
        </w:tc>
        <w:tc>
          <w:tcPr>
            <w:tcW w:w="622" w:type="dxa"/>
            <w:noWrap w:val="0"/>
            <w:vAlign w:val="center"/>
          </w:tcPr>
          <w:p w14:paraId="0A4F9031">
            <w:pPr>
              <w:jc w:val="center"/>
              <w:rPr>
                <w:szCs w:val="21"/>
              </w:rPr>
            </w:pPr>
          </w:p>
        </w:tc>
        <w:tc>
          <w:tcPr>
            <w:tcW w:w="1065" w:type="dxa"/>
            <w:noWrap w:val="0"/>
            <w:vAlign w:val="center"/>
          </w:tcPr>
          <w:p w14:paraId="671C49AB">
            <w:pPr>
              <w:jc w:val="center"/>
              <w:rPr>
                <w:szCs w:val="21"/>
              </w:rPr>
            </w:pPr>
          </w:p>
        </w:tc>
        <w:tc>
          <w:tcPr>
            <w:tcW w:w="1066" w:type="dxa"/>
            <w:noWrap w:val="0"/>
            <w:vAlign w:val="center"/>
          </w:tcPr>
          <w:p w14:paraId="6A4037E6">
            <w:pPr>
              <w:jc w:val="center"/>
              <w:rPr>
                <w:szCs w:val="21"/>
              </w:rPr>
            </w:pPr>
          </w:p>
        </w:tc>
        <w:tc>
          <w:tcPr>
            <w:tcW w:w="1080" w:type="dxa"/>
            <w:noWrap w:val="0"/>
            <w:vAlign w:val="center"/>
          </w:tcPr>
          <w:p w14:paraId="302BC1F5">
            <w:pPr>
              <w:jc w:val="center"/>
              <w:rPr>
                <w:szCs w:val="21"/>
              </w:rPr>
            </w:pPr>
          </w:p>
        </w:tc>
        <w:tc>
          <w:tcPr>
            <w:tcW w:w="900" w:type="dxa"/>
            <w:noWrap w:val="0"/>
            <w:vAlign w:val="center"/>
          </w:tcPr>
          <w:p w14:paraId="2084EF21">
            <w:pPr>
              <w:jc w:val="center"/>
              <w:rPr>
                <w:szCs w:val="21"/>
              </w:rPr>
            </w:pPr>
          </w:p>
        </w:tc>
      </w:tr>
      <w:tr w14:paraId="07AB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2E0AC07A">
            <w:pPr>
              <w:jc w:val="center"/>
              <w:rPr>
                <w:rFonts w:ascii="宋体" w:hAnsi="宋体" w:cs="宋体"/>
                <w:szCs w:val="21"/>
              </w:rPr>
            </w:pPr>
            <w:r>
              <w:rPr>
                <w:rFonts w:hint="eastAsia"/>
                <w:szCs w:val="21"/>
              </w:rPr>
              <w:t>8</w:t>
            </w:r>
          </w:p>
        </w:tc>
        <w:tc>
          <w:tcPr>
            <w:tcW w:w="1220" w:type="dxa"/>
            <w:noWrap w:val="0"/>
            <w:vAlign w:val="center"/>
          </w:tcPr>
          <w:p w14:paraId="28DE5D11">
            <w:pPr>
              <w:jc w:val="center"/>
              <w:rPr>
                <w:szCs w:val="21"/>
              </w:rPr>
            </w:pPr>
          </w:p>
        </w:tc>
        <w:tc>
          <w:tcPr>
            <w:tcW w:w="790" w:type="dxa"/>
            <w:noWrap w:val="0"/>
            <w:vAlign w:val="center"/>
          </w:tcPr>
          <w:p w14:paraId="6BD366AD">
            <w:pPr>
              <w:spacing w:line="240" w:lineRule="exact"/>
              <w:jc w:val="center"/>
              <w:rPr>
                <w:szCs w:val="21"/>
              </w:rPr>
            </w:pPr>
          </w:p>
        </w:tc>
        <w:tc>
          <w:tcPr>
            <w:tcW w:w="510" w:type="dxa"/>
            <w:noWrap w:val="0"/>
            <w:vAlign w:val="center"/>
          </w:tcPr>
          <w:p w14:paraId="0052EA29">
            <w:pPr>
              <w:spacing w:line="240" w:lineRule="exact"/>
              <w:jc w:val="center"/>
              <w:rPr>
                <w:szCs w:val="21"/>
              </w:rPr>
            </w:pPr>
          </w:p>
        </w:tc>
        <w:tc>
          <w:tcPr>
            <w:tcW w:w="720" w:type="dxa"/>
            <w:noWrap w:val="0"/>
            <w:vAlign w:val="center"/>
          </w:tcPr>
          <w:p w14:paraId="4917D99D">
            <w:pPr>
              <w:spacing w:line="240" w:lineRule="exact"/>
              <w:jc w:val="center"/>
              <w:rPr>
                <w:szCs w:val="21"/>
              </w:rPr>
            </w:pPr>
          </w:p>
        </w:tc>
        <w:tc>
          <w:tcPr>
            <w:tcW w:w="720" w:type="dxa"/>
            <w:noWrap w:val="0"/>
            <w:vAlign w:val="center"/>
          </w:tcPr>
          <w:p w14:paraId="0FB95891">
            <w:pPr>
              <w:spacing w:line="240" w:lineRule="exact"/>
              <w:jc w:val="center"/>
              <w:rPr>
                <w:szCs w:val="21"/>
              </w:rPr>
            </w:pPr>
          </w:p>
        </w:tc>
        <w:tc>
          <w:tcPr>
            <w:tcW w:w="1210" w:type="dxa"/>
            <w:noWrap w:val="0"/>
            <w:vAlign w:val="center"/>
          </w:tcPr>
          <w:p w14:paraId="159A2840">
            <w:pPr>
              <w:spacing w:line="240" w:lineRule="exact"/>
              <w:jc w:val="center"/>
              <w:rPr>
                <w:szCs w:val="21"/>
              </w:rPr>
            </w:pPr>
          </w:p>
        </w:tc>
        <w:tc>
          <w:tcPr>
            <w:tcW w:w="552" w:type="dxa"/>
            <w:noWrap w:val="0"/>
            <w:vAlign w:val="center"/>
          </w:tcPr>
          <w:p w14:paraId="5627AA34">
            <w:pPr>
              <w:jc w:val="center"/>
              <w:rPr>
                <w:szCs w:val="21"/>
              </w:rPr>
            </w:pPr>
          </w:p>
        </w:tc>
        <w:tc>
          <w:tcPr>
            <w:tcW w:w="540" w:type="dxa"/>
            <w:noWrap w:val="0"/>
            <w:vAlign w:val="center"/>
          </w:tcPr>
          <w:p w14:paraId="672767A6">
            <w:pPr>
              <w:jc w:val="center"/>
              <w:rPr>
                <w:szCs w:val="21"/>
              </w:rPr>
            </w:pPr>
          </w:p>
        </w:tc>
        <w:tc>
          <w:tcPr>
            <w:tcW w:w="540" w:type="dxa"/>
            <w:noWrap w:val="0"/>
            <w:vAlign w:val="center"/>
          </w:tcPr>
          <w:p w14:paraId="4D3AB1B5">
            <w:pPr>
              <w:jc w:val="center"/>
              <w:rPr>
                <w:szCs w:val="21"/>
              </w:rPr>
            </w:pPr>
          </w:p>
        </w:tc>
        <w:tc>
          <w:tcPr>
            <w:tcW w:w="540" w:type="dxa"/>
            <w:noWrap w:val="0"/>
            <w:vAlign w:val="center"/>
          </w:tcPr>
          <w:p w14:paraId="0D810962">
            <w:pPr>
              <w:jc w:val="center"/>
              <w:rPr>
                <w:szCs w:val="21"/>
              </w:rPr>
            </w:pPr>
          </w:p>
        </w:tc>
        <w:tc>
          <w:tcPr>
            <w:tcW w:w="1245" w:type="dxa"/>
            <w:noWrap w:val="0"/>
            <w:vAlign w:val="center"/>
          </w:tcPr>
          <w:p w14:paraId="294A110C">
            <w:pPr>
              <w:jc w:val="center"/>
              <w:rPr>
                <w:szCs w:val="21"/>
              </w:rPr>
            </w:pPr>
          </w:p>
        </w:tc>
        <w:tc>
          <w:tcPr>
            <w:tcW w:w="622" w:type="dxa"/>
            <w:noWrap w:val="0"/>
            <w:vAlign w:val="center"/>
          </w:tcPr>
          <w:p w14:paraId="15D9E2EA">
            <w:pPr>
              <w:jc w:val="center"/>
              <w:rPr>
                <w:szCs w:val="21"/>
              </w:rPr>
            </w:pPr>
          </w:p>
        </w:tc>
        <w:tc>
          <w:tcPr>
            <w:tcW w:w="1065" w:type="dxa"/>
            <w:noWrap w:val="0"/>
            <w:vAlign w:val="center"/>
          </w:tcPr>
          <w:p w14:paraId="0585BCEA">
            <w:pPr>
              <w:jc w:val="center"/>
              <w:rPr>
                <w:szCs w:val="21"/>
              </w:rPr>
            </w:pPr>
          </w:p>
        </w:tc>
        <w:tc>
          <w:tcPr>
            <w:tcW w:w="1066" w:type="dxa"/>
            <w:noWrap w:val="0"/>
            <w:vAlign w:val="center"/>
          </w:tcPr>
          <w:p w14:paraId="6824CAF8">
            <w:pPr>
              <w:jc w:val="center"/>
              <w:rPr>
                <w:szCs w:val="21"/>
              </w:rPr>
            </w:pPr>
          </w:p>
        </w:tc>
        <w:tc>
          <w:tcPr>
            <w:tcW w:w="1080" w:type="dxa"/>
            <w:noWrap w:val="0"/>
            <w:vAlign w:val="center"/>
          </w:tcPr>
          <w:p w14:paraId="46855029">
            <w:pPr>
              <w:jc w:val="center"/>
              <w:rPr>
                <w:szCs w:val="21"/>
              </w:rPr>
            </w:pPr>
          </w:p>
        </w:tc>
        <w:tc>
          <w:tcPr>
            <w:tcW w:w="900" w:type="dxa"/>
            <w:noWrap w:val="0"/>
            <w:vAlign w:val="center"/>
          </w:tcPr>
          <w:p w14:paraId="47BEC477">
            <w:pPr>
              <w:jc w:val="center"/>
              <w:rPr>
                <w:szCs w:val="21"/>
              </w:rPr>
            </w:pPr>
          </w:p>
        </w:tc>
      </w:tr>
      <w:tr w14:paraId="4E93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CB834AF">
            <w:pPr>
              <w:jc w:val="center"/>
              <w:rPr>
                <w:rFonts w:ascii="宋体" w:hAnsi="宋体" w:cs="宋体"/>
                <w:szCs w:val="21"/>
              </w:rPr>
            </w:pPr>
            <w:r>
              <w:rPr>
                <w:rFonts w:hint="eastAsia"/>
                <w:szCs w:val="21"/>
              </w:rPr>
              <w:t>9</w:t>
            </w:r>
          </w:p>
        </w:tc>
        <w:tc>
          <w:tcPr>
            <w:tcW w:w="1220" w:type="dxa"/>
            <w:noWrap w:val="0"/>
            <w:vAlign w:val="center"/>
          </w:tcPr>
          <w:p w14:paraId="03B55D11">
            <w:pPr>
              <w:jc w:val="center"/>
              <w:rPr>
                <w:szCs w:val="21"/>
              </w:rPr>
            </w:pPr>
          </w:p>
        </w:tc>
        <w:tc>
          <w:tcPr>
            <w:tcW w:w="790" w:type="dxa"/>
            <w:noWrap w:val="0"/>
            <w:vAlign w:val="center"/>
          </w:tcPr>
          <w:p w14:paraId="1488F846">
            <w:pPr>
              <w:spacing w:line="240" w:lineRule="exact"/>
              <w:jc w:val="center"/>
              <w:rPr>
                <w:szCs w:val="21"/>
              </w:rPr>
            </w:pPr>
          </w:p>
        </w:tc>
        <w:tc>
          <w:tcPr>
            <w:tcW w:w="510" w:type="dxa"/>
            <w:noWrap w:val="0"/>
            <w:vAlign w:val="center"/>
          </w:tcPr>
          <w:p w14:paraId="247E8C9D">
            <w:pPr>
              <w:spacing w:line="240" w:lineRule="exact"/>
              <w:jc w:val="center"/>
              <w:rPr>
                <w:szCs w:val="21"/>
              </w:rPr>
            </w:pPr>
          </w:p>
        </w:tc>
        <w:tc>
          <w:tcPr>
            <w:tcW w:w="720" w:type="dxa"/>
            <w:noWrap w:val="0"/>
            <w:vAlign w:val="center"/>
          </w:tcPr>
          <w:p w14:paraId="7843EF55">
            <w:pPr>
              <w:spacing w:line="240" w:lineRule="exact"/>
              <w:jc w:val="center"/>
              <w:rPr>
                <w:szCs w:val="21"/>
              </w:rPr>
            </w:pPr>
          </w:p>
        </w:tc>
        <w:tc>
          <w:tcPr>
            <w:tcW w:w="720" w:type="dxa"/>
            <w:noWrap w:val="0"/>
            <w:vAlign w:val="center"/>
          </w:tcPr>
          <w:p w14:paraId="1207D397">
            <w:pPr>
              <w:spacing w:line="240" w:lineRule="exact"/>
              <w:jc w:val="center"/>
              <w:rPr>
                <w:szCs w:val="21"/>
              </w:rPr>
            </w:pPr>
          </w:p>
        </w:tc>
        <w:tc>
          <w:tcPr>
            <w:tcW w:w="1210" w:type="dxa"/>
            <w:noWrap w:val="0"/>
            <w:vAlign w:val="center"/>
          </w:tcPr>
          <w:p w14:paraId="5E785264">
            <w:pPr>
              <w:spacing w:line="240" w:lineRule="exact"/>
              <w:jc w:val="center"/>
              <w:rPr>
                <w:szCs w:val="21"/>
              </w:rPr>
            </w:pPr>
          </w:p>
        </w:tc>
        <w:tc>
          <w:tcPr>
            <w:tcW w:w="552" w:type="dxa"/>
            <w:noWrap w:val="0"/>
            <w:vAlign w:val="center"/>
          </w:tcPr>
          <w:p w14:paraId="192C22DD">
            <w:pPr>
              <w:jc w:val="center"/>
              <w:rPr>
                <w:szCs w:val="21"/>
              </w:rPr>
            </w:pPr>
          </w:p>
        </w:tc>
        <w:tc>
          <w:tcPr>
            <w:tcW w:w="540" w:type="dxa"/>
            <w:noWrap w:val="0"/>
            <w:vAlign w:val="center"/>
          </w:tcPr>
          <w:p w14:paraId="10442CF6">
            <w:pPr>
              <w:jc w:val="center"/>
              <w:rPr>
                <w:szCs w:val="21"/>
              </w:rPr>
            </w:pPr>
          </w:p>
        </w:tc>
        <w:tc>
          <w:tcPr>
            <w:tcW w:w="540" w:type="dxa"/>
            <w:noWrap w:val="0"/>
            <w:vAlign w:val="center"/>
          </w:tcPr>
          <w:p w14:paraId="038EAEA9">
            <w:pPr>
              <w:jc w:val="center"/>
              <w:rPr>
                <w:szCs w:val="21"/>
              </w:rPr>
            </w:pPr>
          </w:p>
        </w:tc>
        <w:tc>
          <w:tcPr>
            <w:tcW w:w="540" w:type="dxa"/>
            <w:noWrap w:val="0"/>
            <w:vAlign w:val="center"/>
          </w:tcPr>
          <w:p w14:paraId="002B64D0">
            <w:pPr>
              <w:jc w:val="center"/>
              <w:rPr>
                <w:szCs w:val="21"/>
              </w:rPr>
            </w:pPr>
          </w:p>
        </w:tc>
        <w:tc>
          <w:tcPr>
            <w:tcW w:w="1245" w:type="dxa"/>
            <w:noWrap w:val="0"/>
            <w:vAlign w:val="center"/>
          </w:tcPr>
          <w:p w14:paraId="01AECA40">
            <w:pPr>
              <w:jc w:val="center"/>
              <w:rPr>
                <w:szCs w:val="21"/>
              </w:rPr>
            </w:pPr>
          </w:p>
        </w:tc>
        <w:tc>
          <w:tcPr>
            <w:tcW w:w="622" w:type="dxa"/>
            <w:noWrap w:val="0"/>
            <w:vAlign w:val="center"/>
          </w:tcPr>
          <w:p w14:paraId="155F50A2">
            <w:pPr>
              <w:jc w:val="center"/>
              <w:rPr>
                <w:szCs w:val="21"/>
              </w:rPr>
            </w:pPr>
          </w:p>
        </w:tc>
        <w:tc>
          <w:tcPr>
            <w:tcW w:w="1065" w:type="dxa"/>
            <w:noWrap w:val="0"/>
            <w:vAlign w:val="center"/>
          </w:tcPr>
          <w:p w14:paraId="477507A2">
            <w:pPr>
              <w:jc w:val="center"/>
              <w:rPr>
                <w:szCs w:val="21"/>
              </w:rPr>
            </w:pPr>
          </w:p>
        </w:tc>
        <w:tc>
          <w:tcPr>
            <w:tcW w:w="1066" w:type="dxa"/>
            <w:noWrap w:val="0"/>
            <w:vAlign w:val="center"/>
          </w:tcPr>
          <w:p w14:paraId="282C6B0C">
            <w:pPr>
              <w:jc w:val="center"/>
              <w:rPr>
                <w:szCs w:val="21"/>
              </w:rPr>
            </w:pPr>
          </w:p>
        </w:tc>
        <w:tc>
          <w:tcPr>
            <w:tcW w:w="1080" w:type="dxa"/>
            <w:noWrap w:val="0"/>
            <w:vAlign w:val="center"/>
          </w:tcPr>
          <w:p w14:paraId="48E0C4E2">
            <w:pPr>
              <w:jc w:val="center"/>
              <w:rPr>
                <w:szCs w:val="21"/>
              </w:rPr>
            </w:pPr>
          </w:p>
        </w:tc>
        <w:tc>
          <w:tcPr>
            <w:tcW w:w="900" w:type="dxa"/>
            <w:noWrap w:val="0"/>
            <w:vAlign w:val="center"/>
          </w:tcPr>
          <w:p w14:paraId="22DD65CA">
            <w:pPr>
              <w:jc w:val="center"/>
              <w:rPr>
                <w:szCs w:val="21"/>
              </w:rPr>
            </w:pPr>
          </w:p>
        </w:tc>
      </w:tr>
      <w:tr w14:paraId="42CD4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F80F590">
            <w:pPr>
              <w:jc w:val="center"/>
              <w:rPr>
                <w:rFonts w:ascii="宋体" w:hAnsi="宋体" w:cs="宋体"/>
                <w:szCs w:val="21"/>
              </w:rPr>
            </w:pPr>
            <w:r>
              <w:rPr>
                <w:rFonts w:ascii="宋体" w:hAnsi="宋体" w:cs="宋体"/>
                <w:szCs w:val="21"/>
              </w:rPr>
              <w:t>…</w:t>
            </w:r>
          </w:p>
        </w:tc>
        <w:tc>
          <w:tcPr>
            <w:tcW w:w="1220" w:type="dxa"/>
            <w:noWrap w:val="0"/>
            <w:vAlign w:val="center"/>
          </w:tcPr>
          <w:p w14:paraId="3DCC5F13">
            <w:pPr>
              <w:jc w:val="center"/>
              <w:rPr>
                <w:szCs w:val="21"/>
              </w:rPr>
            </w:pPr>
          </w:p>
        </w:tc>
        <w:tc>
          <w:tcPr>
            <w:tcW w:w="790" w:type="dxa"/>
            <w:noWrap w:val="0"/>
            <w:vAlign w:val="center"/>
          </w:tcPr>
          <w:p w14:paraId="166A5B20">
            <w:pPr>
              <w:spacing w:line="240" w:lineRule="exact"/>
              <w:jc w:val="center"/>
              <w:rPr>
                <w:szCs w:val="21"/>
              </w:rPr>
            </w:pPr>
          </w:p>
        </w:tc>
        <w:tc>
          <w:tcPr>
            <w:tcW w:w="510" w:type="dxa"/>
            <w:noWrap w:val="0"/>
            <w:vAlign w:val="center"/>
          </w:tcPr>
          <w:p w14:paraId="5BB94290">
            <w:pPr>
              <w:spacing w:line="240" w:lineRule="exact"/>
              <w:jc w:val="center"/>
              <w:rPr>
                <w:szCs w:val="21"/>
              </w:rPr>
            </w:pPr>
          </w:p>
        </w:tc>
        <w:tc>
          <w:tcPr>
            <w:tcW w:w="720" w:type="dxa"/>
            <w:noWrap w:val="0"/>
            <w:vAlign w:val="center"/>
          </w:tcPr>
          <w:p w14:paraId="2667E8EF">
            <w:pPr>
              <w:spacing w:line="240" w:lineRule="exact"/>
              <w:jc w:val="center"/>
              <w:rPr>
                <w:szCs w:val="21"/>
              </w:rPr>
            </w:pPr>
          </w:p>
        </w:tc>
        <w:tc>
          <w:tcPr>
            <w:tcW w:w="720" w:type="dxa"/>
            <w:noWrap w:val="0"/>
            <w:vAlign w:val="center"/>
          </w:tcPr>
          <w:p w14:paraId="1170D174">
            <w:pPr>
              <w:spacing w:line="240" w:lineRule="exact"/>
              <w:jc w:val="center"/>
              <w:rPr>
                <w:szCs w:val="21"/>
              </w:rPr>
            </w:pPr>
          </w:p>
        </w:tc>
        <w:tc>
          <w:tcPr>
            <w:tcW w:w="1210" w:type="dxa"/>
            <w:noWrap w:val="0"/>
            <w:vAlign w:val="center"/>
          </w:tcPr>
          <w:p w14:paraId="1C68DB7F">
            <w:pPr>
              <w:spacing w:line="240" w:lineRule="exact"/>
              <w:jc w:val="center"/>
              <w:rPr>
                <w:szCs w:val="21"/>
              </w:rPr>
            </w:pPr>
          </w:p>
        </w:tc>
        <w:tc>
          <w:tcPr>
            <w:tcW w:w="552" w:type="dxa"/>
            <w:noWrap w:val="0"/>
            <w:vAlign w:val="center"/>
          </w:tcPr>
          <w:p w14:paraId="44FA2CE0">
            <w:pPr>
              <w:jc w:val="center"/>
              <w:rPr>
                <w:szCs w:val="21"/>
              </w:rPr>
            </w:pPr>
          </w:p>
        </w:tc>
        <w:tc>
          <w:tcPr>
            <w:tcW w:w="540" w:type="dxa"/>
            <w:noWrap w:val="0"/>
            <w:vAlign w:val="center"/>
          </w:tcPr>
          <w:p w14:paraId="7C04609D">
            <w:pPr>
              <w:jc w:val="center"/>
              <w:rPr>
                <w:szCs w:val="21"/>
              </w:rPr>
            </w:pPr>
          </w:p>
        </w:tc>
        <w:tc>
          <w:tcPr>
            <w:tcW w:w="540" w:type="dxa"/>
            <w:noWrap w:val="0"/>
            <w:vAlign w:val="center"/>
          </w:tcPr>
          <w:p w14:paraId="2DC8ED42">
            <w:pPr>
              <w:jc w:val="center"/>
              <w:rPr>
                <w:szCs w:val="21"/>
              </w:rPr>
            </w:pPr>
          </w:p>
        </w:tc>
        <w:tc>
          <w:tcPr>
            <w:tcW w:w="540" w:type="dxa"/>
            <w:noWrap w:val="0"/>
            <w:vAlign w:val="center"/>
          </w:tcPr>
          <w:p w14:paraId="5AA362E8">
            <w:pPr>
              <w:jc w:val="center"/>
              <w:rPr>
                <w:szCs w:val="21"/>
              </w:rPr>
            </w:pPr>
          </w:p>
        </w:tc>
        <w:tc>
          <w:tcPr>
            <w:tcW w:w="1245" w:type="dxa"/>
            <w:noWrap w:val="0"/>
            <w:vAlign w:val="center"/>
          </w:tcPr>
          <w:p w14:paraId="5703034D">
            <w:pPr>
              <w:jc w:val="center"/>
              <w:rPr>
                <w:szCs w:val="21"/>
              </w:rPr>
            </w:pPr>
          </w:p>
        </w:tc>
        <w:tc>
          <w:tcPr>
            <w:tcW w:w="622" w:type="dxa"/>
            <w:noWrap w:val="0"/>
            <w:vAlign w:val="center"/>
          </w:tcPr>
          <w:p w14:paraId="5595B80B">
            <w:pPr>
              <w:jc w:val="center"/>
              <w:rPr>
                <w:szCs w:val="21"/>
              </w:rPr>
            </w:pPr>
          </w:p>
        </w:tc>
        <w:tc>
          <w:tcPr>
            <w:tcW w:w="1065" w:type="dxa"/>
            <w:noWrap w:val="0"/>
            <w:vAlign w:val="center"/>
          </w:tcPr>
          <w:p w14:paraId="67637017">
            <w:pPr>
              <w:jc w:val="center"/>
              <w:rPr>
                <w:szCs w:val="21"/>
              </w:rPr>
            </w:pPr>
          </w:p>
        </w:tc>
        <w:tc>
          <w:tcPr>
            <w:tcW w:w="1066" w:type="dxa"/>
            <w:noWrap w:val="0"/>
            <w:vAlign w:val="center"/>
          </w:tcPr>
          <w:p w14:paraId="5635E752">
            <w:pPr>
              <w:jc w:val="center"/>
              <w:rPr>
                <w:szCs w:val="21"/>
              </w:rPr>
            </w:pPr>
          </w:p>
        </w:tc>
        <w:tc>
          <w:tcPr>
            <w:tcW w:w="1080" w:type="dxa"/>
            <w:noWrap w:val="0"/>
            <w:vAlign w:val="center"/>
          </w:tcPr>
          <w:p w14:paraId="3A0D76A2">
            <w:pPr>
              <w:jc w:val="center"/>
              <w:rPr>
                <w:szCs w:val="21"/>
              </w:rPr>
            </w:pPr>
          </w:p>
        </w:tc>
        <w:tc>
          <w:tcPr>
            <w:tcW w:w="900" w:type="dxa"/>
            <w:noWrap w:val="0"/>
            <w:vAlign w:val="center"/>
          </w:tcPr>
          <w:p w14:paraId="286C7040">
            <w:pPr>
              <w:jc w:val="center"/>
              <w:rPr>
                <w:szCs w:val="21"/>
              </w:rPr>
            </w:pPr>
          </w:p>
        </w:tc>
      </w:tr>
    </w:tbl>
    <w:p w14:paraId="472BE8D4">
      <w:pPr>
        <w:spacing w:line="400" w:lineRule="atLeast"/>
        <w:ind w:left="630" w:hanging="630" w:hangingChars="300"/>
        <w:rPr>
          <w:rFonts w:hint="eastAsia" w:ascii="宋体" w:hAnsi="宋体"/>
          <w:szCs w:val="21"/>
        </w:rPr>
      </w:pPr>
      <w:r>
        <w:rPr>
          <w:rFonts w:hint="eastAsia"/>
        </w:rPr>
        <w:t>备注</w:t>
      </w:r>
      <w:r>
        <w:t>：</w:t>
      </w:r>
      <w:r>
        <w:rPr>
          <w:rFonts w:hint="eastAsia" w:ascii="宋体" w:hAnsi="宋体"/>
          <w:szCs w:val="21"/>
        </w:rPr>
        <w:t>1．执业、职业单位指拟投入的项目管理机构人员目前是否在投标人处注册执业或岗位登记</w:t>
      </w:r>
      <w:r>
        <w:rPr>
          <w:rFonts w:ascii="宋体" w:hAnsi="宋体"/>
          <w:szCs w:val="21"/>
        </w:rPr>
        <w:t>。</w:t>
      </w:r>
    </w:p>
    <w:p w14:paraId="10CD257F">
      <w:pPr>
        <w:spacing w:line="420" w:lineRule="exact"/>
        <w:ind w:left="945" w:leftChars="300" w:hanging="315" w:hangingChars="150"/>
        <w:rPr>
          <w:rFonts w:ascii="宋体" w:hAnsi="宋体"/>
          <w:szCs w:val="21"/>
        </w:rPr>
        <w:sectPr>
          <w:pgSz w:w="16840" w:h="11907" w:orient="landscape"/>
          <w:pgMar w:top="1474" w:right="1701" w:bottom="1531" w:left="1588" w:header="851" w:footer="992" w:gutter="0"/>
          <w:cols w:space="720" w:num="1"/>
          <w:docGrid w:linePitch="312" w:charSpace="0"/>
        </w:sectPr>
      </w:pPr>
      <w:r>
        <w:rPr>
          <w:rFonts w:ascii="宋体" w:hAnsi="宋体"/>
          <w:szCs w:val="21"/>
        </w:rPr>
        <w:t>2</w:t>
      </w:r>
      <w:r>
        <w:rPr>
          <w:rFonts w:hint="eastAsia" w:ascii="宋体" w:hAnsi="宋体"/>
          <w:szCs w:val="21"/>
        </w:rPr>
        <w:t>．附项目管理机构主要人员</w:t>
      </w:r>
      <w:r>
        <w:rPr>
          <w:rFonts w:ascii="宋体" w:hAnsi="宋体"/>
          <w:szCs w:val="21"/>
        </w:rPr>
        <w:t>社会保险证明</w:t>
      </w:r>
      <w:r>
        <w:rPr>
          <w:rFonts w:hint="eastAsia" w:ascii="宋体" w:hAnsi="宋体"/>
          <w:szCs w:val="21"/>
        </w:rPr>
        <w:t>的扫描件。</w:t>
      </w:r>
      <w:r>
        <w:rPr>
          <w:rFonts w:ascii="宋体" w:hAnsi="宋体"/>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险种、缴费期限等。社会保险证明中缴费单位应与</w:t>
      </w:r>
      <w:r>
        <w:rPr>
          <w:rFonts w:hint="eastAsia" w:ascii="宋体" w:hAnsi="宋体"/>
          <w:szCs w:val="21"/>
        </w:rPr>
        <w:t>投标</w:t>
      </w:r>
      <w:r>
        <w:rPr>
          <w:rFonts w:ascii="宋体" w:hAnsi="宋体"/>
          <w:szCs w:val="21"/>
        </w:rPr>
        <w:t>单位一致</w:t>
      </w:r>
      <w:r>
        <w:rPr>
          <w:rFonts w:hint="eastAsia" w:ascii="宋体" w:hAnsi="宋体"/>
          <w:szCs w:val="21"/>
        </w:rPr>
        <w:t>。</w:t>
      </w:r>
    </w:p>
    <w:p w14:paraId="2D51A64A">
      <w:pPr>
        <w:pStyle w:val="20"/>
        <w:jc w:val="center"/>
        <w:rPr>
          <w:rFonts w:hint="eastAsia"/>
          <w:sz w:val="28"/>
          <w:szCs w:val="28"/>
        </w:rPr>
      </w:pPr>
      <w:bookmarkStart w:id="2649" w:name="_Toc108514235"/>
      <w:r>
        <w:rPr>
          <w:rFonts w:hint="eastAsia"/>
          <w:sz w:val="28"/>
          <w:szCs w:val="28"/>
        </w:rPr>
        <w:t>（二）项目经理简历表</w:t>
      </w:r>
      <w:bookmarkEnd w:id="2649"/>
    </w:p>
    <w:p w14:paraId="6916FF3A">
      <w:pPr>
        <w:spacing w:line="420" w:lineRule="exact"/>
        <w:rPr>
          <w:rFonts w:hint="eastAsia" w:ascii="宋体" w:hAnsi="宋体"/>
          <w:szCs w:val="21"/>
        </w:rPr>
      </w:pP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035"/>
        <w:gridCol w:w="1134"/>
        <w:gridCol w:w="1275"/>
        <w:gridCol w:w="2124"/>
        <w:gridCol w:w="2160"/>
      </w:tblGrid>
      <w:tr w14:paraId="63416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7570F78A">
            <w:pPr>
              <w:rPr>
                <w:rFonts w:hint="eastAsia" w:ascii="宋体" w:hAnsi="宋体"/>
                <w:szCs w:val="21"/>
              </w:rPr>
            </w:pPr>
            <w:r>
              <w:rPr>
                <w:rFonts w:hint="eastAsia" w:ascii="宋体" w:hAnsi="宋体"/>
                <w:szCs w:val="21"/>
              </w:rPr>
              <w:t>姓  名</w:t>
            </w:r>
          </w:p>
        </w:tc>
        <w:tc>
          <w:tcPr>
            <w:tcW w:w="1035" w:type="dxa"/>
            <w:noWrap w:val="0"/>
            <w:vAlign w:val="center"/>
          </w:tcPr>
          <w:p w14:paraId="1A7A0595">
            <w:pPr>
              <w:jc w:val="center"/>
              <w:rPr>
                <w:rFonts w:hint="eastAsia" w:ascii="宋体" w:hAnsi="宋体"/>
                <w:szCs w:val="21"/>
              </w:rPr>
            </w:pPr>
          </w:p>
        </w:tc>
        <w:tc>
          <w:tcPr>
            <w:tcW w:w="1134" w:type="dxa"/>
            <w:noWrap w:val="0"/>
            <w:vAlign w:val="center"/>
          </w:tcPr>
          <w:p w14:paraId="58639795">
            <w:pPr>
              <w:jc w:val="center"/>
              <w:rPr>
                <w:rFonts w:hint="eastAsia" w:ascii="宋体" w:hAnsi="宋体"/>
                <w:szCs w:val="21"/>
              </w:rPr>
            </w:pPr>
            <w:r>
              <w:rPr>
                <w:rFonts w:hint="eastAsia" w:ascii="宋体" w:hAnsi="宋体"/>
                <w:szCs w:val="21"/>
              </w:rPr>
              <w:t>年  龄</w:t>
            </w:r>
          </w:p>
        </w:tc>
        <w:tc>
          <w:tcPr>
            <w:tcW w:w="1275" w:type="dxa"/>
            <w:noWrap w:val="0"/>
            <w:vAlign w:val="center"/>
          </w:tcPr>
          <w:p w14:paraId="6FB56353">
            <w:pPr>
              <w:jc w:val="center"/>
              <w:rPr>
                <w:rFonts w:hint="eastAsia" w:ascii="宋体" w:hAnsi="宋体"/>
                <w:szCs w:val="21"/>
              </w:rPr>
            </w:pPr>
          </w:p>
        </w:tc>
        <w:tc>
          <w:tcPr>
            <w:tcW w:w="2124" w:type="dxa"/>
            <w:noWrap w:val="0"/>
            <w:vAlign w:val="center"/>
          </w:tcPr>
          <w:p w14:paraId="4A782770">
            <w:pPr>
              <w:jc w:val="center"/>
              <w:rPr>
                <w:rFonts w:hint="eastAsia" w:ascii="宋体" w:hAnsi="宋体"/>
                <w:szCs w:val="21"/>
              </w:rPr>
            </w:pPr>
            <w:r>
              <w:rPr>
                <w:rFonts w:hint="eastAsia" w:ascii="宋体" w:hAnsi="宋体"/>
                <w:szCs w:val="21"/>
              </w:rPr>
              <w:t>学历</w:t>
            </w:r>
          </w:p>
        </w:tc>
        <w:tc>
          <w:tcPr>
            <w:tcW w:w="2160" w:type="dxa"/>
            <w:noWrap w:val="0"/>
            <w:vAlign w:val="center"/>
          </w:tcPr>
          <w:p w14:paraId="065B0807">
            <w:pPr>
              <w:jc w:val="center"/>
              <w:rPr>
                <w:rFonts w:hint="eastAsia" w:ascii="宋体" w:hAnsi="宋体"/>
                <w:szCs w:val="21"/>
              </w:rPr>
            </w:pPr>
          </w:p>
        </w:tc>
      </w:tr>
      <w:tr w14:paraId="420A0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92" w:type="dxa"/>
            <w:noWrap w:val="0"/>
            <w:vAlign w:val="center"/>
          </w:tcPr>
          <w:p w14:paraId="70103AFA">
            <w:pPr>
              <w:jc w:val="center"/>
              <w:rPr>
                <w:rFonts w:hint="eastAsia" w:ascii="宋体" w:hAnsi="宋体"/>
                <w:szCs w:val="21"/>
              </w:rPr>
            </w:pPr>
            <w:r>
              <w:rPr>
                <w:rFonts w:hint="eastAsia" w:ascii="宋体" w:hAnsi="宋体"/>
                <w:szCs w:val="21"/>
              </w:rPr>
              <w:t>职  称</w:t>
            </w:r>
          </w:p>
        </w:tc>
        <w:tc>
          <w:tcPr>
            <w:tcW w:w="1035" w:type="dxa"/>
            <w:noWrap w:val="0"/>
            <w:vAlign w:val="center"/>
          </w:tcPr>
          <w:p w14:paraId="4ADAC5A1">
            <w:pPr>
              <w:jc w:val="center"/>
              <w:rPr>
                <w:rFonts w:hint="eastAsia" w:ascii="宋体" w:hAnsi="宋体"/>
                <w:szCs w:val="21"/>
              </w:rPr>
            </w:pPr>
          </w:p>
        </w:tc>
        <w:tc>
          <w:tcPr>
            <w:tcW w:w="1134" w:type="dxa"/>
            <w:noWrap w:val="0"/>
            <w:vAlign w:val="center"/>
          </w:tcPr>
          <w:p w14:paraId="4307B4BD">
            <w:pPr>
              <w:jc w:val="center"/>
              <w:rPr>
                <w:rFonts w:hint="eastAsia" w:ascii="宋体" w:hAnsi="宋体"/>
                <w:szCs w:val="21"/>
              </w:rPr>
            </w:pPr>
            <w:r>
              <w:rPr>
                <w:rFonts w:hint="eastAsia" w:ascii="宋体" w:hAnsi="宋体"/>
                <w:szCs w:val="21"/>
              </w:rPr>
              <w:t>职  务</w:t>
            </w:r>
          </w:p>
        </w:tc>
        <w:tc>
          <w:tcPr>
            <w:tcW w:w="1275" w:type="dxa"/>
            <w:noWrap w:val="0"/>
            <w:vAlign w:val="center"/>
          </w:tcPr>
          <w:p w14:paraId="524E5794">
            <w:pPr>
              <w:jc w:val="center"/>
              <w:rPr>
                <w:rFonts w:hint="eastAsia" w:ascii="宋体" w:hAnsi="宋体"/>
                <w:szCs w:val="21"/>
              </w:rPr>
            </w:pPr>
          </w:p>
        </w:tc>
        <w:tc>
          <w:tcPr>
            <w:tcW w:w="2124" w:type="dxa"/>
            <w:noWrap w:val="0"/>
            <w:vAlign w:val="center"/>
          </w:tcPr>
          <w:p w14:paraId="5F35DDDA">
            <w:pPr>
              <w:jc w:val="center"/>
              <w:rPr>
                <w:rFonts w:hint="eastAsia" w:ascii="宋体" w:hAnsi="宋体"/>
                <w:szCs w:val="21"/>
              </w:rPr>
            </w:pPr>
            <w:r>
              <w:rPr>
                <w:rFonts w:hint="eastAsia" w:ascii="宋体" w:hAnsi="宋体"/>
                <w:szCs w:val="21"/>
              </w:rPr>
              <w:t>拟在本工程任职</w:t>
            </w:r>
          </w:p>
        </w:tc>
        <w:tc>
          <w:tcPr>
            <w:tcW w:w="2160" w:type="dxa"/>
            <w:noWrap w:val="0"/>
            <w:vAlign w:val="center"/>
          </w:tcPr>
          <w:p w14:paraId="4FE91333">
            <w:pPr>
              <w:jc w:val="center"/>
              <w:rPr>
                <w:rFonts w:hint="eastAsia" w:ascii="宋体" w:hAnsi="宋体"/>
                <w:szCs w:val="21"/>
              </w:rPr>
            </w:pPr>
            <w:r>
              <w:rPr>
                <w:rFonts w:hint="eastAsia" w:ascii="宋体" w:hAnsi="宋体"/>
                <w:szCs w:val="21"/>
              </w:rPr>
              <w:t>项目经理</w:t>
            </w:r>
          </w:p>
        </w:tc>
      </w:tr>
      <w:tr w14:paraId="1485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261" w:type="dxa"/>
            <w:gridSpan w:val="3"/>
            <w:noWrap w:val="0"/>
            <w:vAlign w:val="center"/>
          </w:tcPr>
          <w:p w14:paraId="61890651">
            <w:pPr>
              <w:jc w:val="center"/>
              <w:rPr>
                <w:rFonts w:hint="eastAsia" w:ascii="宋体" w:hAnsi="宋体"/>
                <w:szCs w:val="21"/>
              </w:rPr>
            </w:pPr>
            <w:r>
              <w:rPr>
                <w:rFonts w:hint="eastAsia" w:ascii="宋体" w:hAnsi="宋体"/>
                <w:szCs w:val="21"/>
              </w:rPr>
              <w:t>注册建造师执业资格等级</w:t>
            </w:r>
          </w:p>
        </w:tc>
        <w:tc>
          <w:tcPr>
            <w:tcW w:w="1275" w:type="dxa"/>
            <w:noWrap w:val="0"/>
            <w:vAlign w:val="center"/>
          </w:tcPr>
          <w:p w14:paraId="1340EE26">
            <w:pPr>
              <w:jc w:val="center"/>
              <w:rPr>
                <w:rFonts w:hint="eastAsia" w:ascii="宋体" w:hAnsi="宋体"/>
                <w:szCs w:val="21"/>
              </w:rPr>
            </w:pPr>
            <w:r>
              <w:rPr>
                <w:rFonts w:hint="eastAsia" w:ascii="宋体" w:hAnsi="宋体"/>
                <w:szCs w:val="21"/>
              </w:rPr>
              <w:t xml:space="preserve">      级</w:t>
            </w:r>
          </w:p>
        </w:tc>
        <w:tc>
          <w:tcPr>
            <w:tcW w:w="2124" w:type="dxa"/>
            <w:noWrap w:val="0"/>
            <w:vAlign w:val="center"/>
          </w:tcPr>
          <w:p w14:paraId="63393DAF">
            <w:pPr>
              <w:jc w:val="center"/>
              <w:rPr>
                <w:rFonts w:hint="eastAsia" w:ascii="宋体" w:hAnsi="宋体"/>
                <w:szCs w:val="21"/>
              </w:rPr>
            </w:pPr>
            <w:r>
              <w:rPr>
                <w:rFonts w:hint="eastAsia" w:ascii="宋体" w:hAnsi="宋体"/>
                <w:szCs w:val="21"/>
              </w:rPr>
              <w:t>建造师专业</w:t>
            </w:r>
          </w:p>
        </w:tc>
        <w:tc>
          <w:tcPr>
            <w:tcW w:w="2160" w:type="dxa"/>
            <w:noWrap w:val="0"/>
            <w:vAlign w:val="center"/>
          </w:tcPr>
          <w:p w14:paraId="0147E3F0">
            <w:pPr>
              <w:jc w:val="center"/>
              <w:rPr>
                <w:rFonts w:hint="eastAsia" w:ascii="宋体" w:hAnsi="宋体"/>
                <w:szCs w:val="21"/>
              </w:rPr>
            </w:pPr>
          </w:p>
        </w:tc>
      </w:tr>
      <w:tr w14:paraId="3E16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261" w:type="dxa"/>
            <w:gridSpan w:val="3"/>
            <w:noWrap w:val="0"/>
            <w:vAlign w:val="center"/>
          </w:tcPr>
          <w:p w14:paraId="61AA6950">
            <w:pPr>
              <w:jc w:val="center"/>
              <w:rPr>
                <w:rFonts w:hint="eastAsia" w:ascii="宋体" w:hAnsi="宋体"/>
                <w:szCs w:val="21"/>
              </w:rPr>
            </w:pPr>
            <w:r>
              <w:rPr>
                <w:rFonts w:hint="eastAsia" w:ascii="宋体" w:hAnsi="宋体"/>
                <w:szCs w:val="21"/>
              </w:rPr>
              <w:t>安全生产考核合格证书</w:t>
            </w:r>
          </w:p>
        </w:tc>
        <w:tc>
          <w:tcPr>
            <w:tcW w:w="5559" w:type="dxa"/>
            <w:gridSpan w:val="3"/>
            <w:noWrap w:val="0"/>
            <w:vAlign w:val="center"/>
          </w:tcPr>
          <w:p w14:paraId="55BDDFAB">
            <w:pPr>
              <w:jc w:val="center"/>
              <w:rPr>
                <w:rFonts w:hint="eastAsia" w:ascii="宋体" w:hAnsi="宋体"/>
                <w:szCs w:val="21"/>
              </w:rPr>
            </w:pPr>
          </w:p>
        </w:tc>
      </w:tr>
      <w:tr w14:paraId="31A9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43D48529">
            <w:pPr>
              <w:jc w:val="center"/>
              <w:rPr>
                <w:rFonts w:hint="eastAsia" w:ascii="宋体" w:hAnsi="宋体"/>
                <w:szCs w:val="21"/>
              </w:rPr>
            </w:pPr>
            <w:r>
              <w:rPr>
                <w:rFonts w:hint="eastAsia" w:ascii="宋体" w:hAnsi="宋体"/>
                <w:szCs w:val="21"/>
              </w:rPr>
              <w:t>毕业学校</w:t>
            </w:r>
          </w:p>
        </w:tc>
        <w:tc>
          <w:tcPr>
            <w:tcW w:w="7728" w:type="dxa"/>
            <w:gridSpan w:val="5"/>
            <w:noWrap w:val="0"/>
            <w:vAlign w:val="center"/>
          </w:tcPr>
          <w:p w14:paraId="66265F24">
            <w:pPr>
              <w:ind w:firstLine="840" w:firstLineChars="400"/>
              <w:rPr>
                <w:rFonts w:hint="eastAsia" w:ascii="宋体" w:hAnsi="宋体"/>
                <w:szCs w:val="21"/>
              </w:rPr>
            </w:pPr>
            <w:r>
              <w:rPr>
                <w:rFonts w:hint="eastAsia" w:ascii="宋体" w:hAnsi="宋体"/>
                <w:szCs w:val="21"/>
              </w:rPr>
              <w:t>年毕业于                  学校            专业</w:t>
            </w:r>
          </w:p>
        </w:tc>
      </w:tr>
      <w:tr w14:paraId="18E6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0" w:type="dxa"/>
            <w:gridSpan w:val="6"/>
            <w:noWrap w:val="0"/>
            <w:vAlign w:val="center"/>
          </w:tcPr>
          <w:p w14:paraId="50F76E35">
            <w:pPr>
              <w:jc w:val="center"/>
              <w:rPr>
                <w:rFonts w:hint="eastAsia" w:ascii="宋体" w:hAnsi="宋体"/>
                <w:szCs w:val="21"/>
              </w:rPr>
            </w:pPr>
            <w:r>
              <w:rPr>
                <w:rFonts w:hint="eastAsia" w:ascii="宋体" w:hAnsi="宋体"/>
                <w:szCs w:val="21"/>
              </w:rPr>
              <w:t>主要工作经历</w:t>
            </w:r>
          </w:p>
        </w:tc>
      </w:tr>
      <w:tr w14:paraId="17B0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68E1D1B0">
            <w:pPr>
              <w:jc w:val="center"/>
              <w:rPr>
                <w:rFonts w:hint="eastAsia" w:ascii="宋体" w:hAnsi="宋体"/>
                <w:szCs w:val="21"/>
              </w:rPr>
            </w:pPr>
            <w:r>
              <w:rPr>
                <w:rFonts w:hint="eastAsia" w:ascii="宋体" w:hAnsi="宋体"/>
                <w:szCs w:val="21"/>
              </w:rPr>
              <w:t>时  间</w:t>
            </w:r>
          </w:p>
        </w:tc>
        <w:tc>
          <w:tcPr>
            <w:tcW w:w="3444" w:type="dxa"/>
            <w:gridSpan w:val="3"/>
            <w:noWrap w:val="0"/>
            <w:vAlign w:val="center"/>
          </w:tcPr>
          <w:p w14:paraId="4DD560C1">
            <w:pPr>
              <w:jc w:val="center"/>
              <w:rPr>
                <w:rFonts w:hint="eastAsia" w:ascii="宋体" w:hAnsi="宋体"/>
                <w:szCs w:val="21"/>
              </w:rPr>
            </w:pPr>
            <w:r>
              <w:rPr>
                <w:rFonts w:hint="eastAsia" w:ascii="宋体" w:hAnsi="宋体"/>
                <w:szCs w:val="21"/>
              </w:rPr>
              <w:t>参加过的类似项目名称</w:t>
            </w:r>
          </w:p>
        </w:tc>
        <w:tc>
          <w:tcPr>
            <w:tcW w:w="2124" w:type="dxa"/>
            <w:noWrap w:val="0"/>
            <w:vAlign w:val="center"/>
          </w:tcPr>
          <w:p w14:paraId="32447EC2">
            <w:pPr>
              <w:jc w:val="center"/>
              <w:rPr>
                <w:rFonts w:hint="eastAsia" w:ascii="宋体" w:hAnsi="宋体"/>
                <w:szCs w:val="21"/>
              </w:rPr>
            </w:pPr>
            <w:r>
              <w:rPr>
                <w:rFonts w:hint="eastAsia" w:ascii="宋体" w:hAnsi="宋体"/>
                <w:szCs w:val="21"/>
              </w:rPr>
              <w:t>工程概况说明</w:t>
            </w:r>
          </w:p>
        </w:tc>
        <w:tc>
          <w:tcPr>
            <w:tcW w:w="2160" w:type="dxa"/>
            <w:noWrap w:val="0"/>
            <w:vAlign w:val="center"/>
          </w:tcPr>
          <w:p w14:paraId="1E0F92B2">
            <w:pPr>
              <w:jc w:val="center"/>
              <w:rPr>
                <w:rFonts w:hint="eastAsia" w:ascii="宋体" w:hAnsi="宋体"/>
                <w:szCs w:val="21"/>
              </w:rPr>
            </w:pPr>
            <w:r>
              <w:rPr>
                <w:rFonts w:hint="eastAsia" w:ascii="宋体" w:hAnsi="宋体"/>
                <w:szCs w:val="21"/>
              </w:rPr>
              <w:t>发包人及联系电话</w:t>
            </w:r>
          </w:p>
        </w:tc>
      </w:tr>
      <w:tr w14:paraId="06970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2352F37E">
            <w:pPr>
              <w:jc w:val="center"/>
              <w:rPr>
                <w:rFonts w:hint="eastAsia" w:ascii="宋体" w:hAnsi="宋体"/>
                <w:szCs w:val="21"/>
              </w:rPr>
            </w:pPr>
          </w:p>
        </w:tc>
        <w:tc>
          <w:tcPr>
            <w:tcW w:w="3444" w:type="dxa"/>
            <w:gridSpan w:val="3"/>
            <w:noWrap w:val="0"/>
            <w:vAlign w:val="center"/>
          </w:tcPr>
          <w:p w14:paraId="58E076B5">
            <w:pPr>
              <w:jc w:val="center"/>
              <w:rPr>
                <w:rFonts w:hint="eastAsia" w:ascii="宋体" w:hAnsi="宋体"/>
                <w:szCs w:val="21"/>
              </w:rPr>
            </w:pPr>
          </w:p>
        </w:tc>
        <w:tc>
          <w:tcPr>
            <w:tcW w:w="2124" w:type="dxa"/>
            <w:noWrap w:val="0"/>
            <w:vAlign w:val="center"/>
          </w:tcPr>
          <w:p w14:paraId="6166837C">
            <w:pPr>
              <w:jc w:val="center"/>
              <w:rPr>
                <w:rFonts w:hint="eastAsia" w:ascii="宋体" w:hAnsi="宋体"/>
                <w:szCs w:val="21"/>
              </w:rPr>
            </w:pPr>
          </w:p>
        </w:tc>
        <w:tc>
          <w:tcPr>
            <w:tcW w:w="2160" w:type="dxa"/>
            <w:noWrap w:val="0"/>
            <w:vAlign w:val="center"/>
          </w:tcPr>
          <w:p w14:paraId="173C7380">
            <w:pPr>
              <w:jc w:val="center"/>
              <w:rPr>
                <w:rFonts w:hint="eastAsia" w:ascii="宋体" w:hAnsi="宋体"/>
                <w:szCs w:val="21"/>
              </w:rPr>
            </w:pPr>
          </w:p>
        </w:tc>
      </w:tr>
      <w:tr w14:paraId="558D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1092" w:type="dxa"/>
            <w:noWrap w:val="0"/>
            <w:vAlign w:val="center"/>
          </w:tcPr>
          <w:p w14:paraId="0857AC3B">
            <w:pPr>
              <w:jc w:val="center"/>
              <w:rPr>
                <w:rFonts w:hint="eastAsia" w:ascii="宋体" w:hAnsi="宋体"/>
                <w:szCs w:val="21"/>
              </w:rPr>
            </w:pPr>
          </w:p>
        </w:tc>
        <w:tc>
          <w:tcPr>
            <w:tcW w:w="3444" w:type="dxa"/>
            <w:gridSpan w:val="3"/>
            <w:noWrap w:val="0"/>
            <w:vAlign w:val="center"/>
          </w:tcPr>
          <w:p w14:paraId="7B3C881F">
            <w:pPr>
              <w:jc w:val="center"/>
              <w:rPr>
                <w:rFonts w:hint="eastAsia" w:ascii="宋体" w:hAnsi="宋体"/>
                <w:szCs w:val="21"/>
              </w:rPr>
            </w:pPr>
          </w:p>
        </w:tc>
        <w:tc>
          <w:tcPr>
            <w:tcW w:w="2124" w:type="dxa"/>
            <w:noWrap w:val="0"/>
            <w:vAlign w:val="center"/>
          </w:tcPr>
          <w:p w14:paraId="226AFF26">
            <w:pPr>
              <w:jc w:val="center"/>
              <w:rPr>
                <w:rFonts w:hint="eastAsia" w:ascii="宋体" w:hAnsi="宋体"/>
                <w:szCs w:val="21"/>
              </w:rPr>
            </w:pPr>
          </w:p>
        </w:tc>
        <w:tc>
          <w:tcPr>
            <w:tcW w:w="2160" w:type="dxa"/>
            <w:noWrap w:val="0"/>
            <w:vAlign w:val="center"/>
          </w:tcPr>
          <w:p w14:paraId="11B1CA4B">
            <w:pPr>
              <w:jc w:val="center"/>
              <w:rPr>
                <w:rFonts w:hint="eastAsia" w:ascii="宋体" w:hAnsi="宋体"/>
                <w:szCs w:val="21"/>
              </w:rPr>
            </w:pPr>
          </w:p>
        </w:tc>
      </w:tr>
      <w:tr w14:paraId="53640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50DF43FC">
            <w:pPr>
              <w:jc w:val="center"/>
              <w:rPr>
                <w:rFonts w:hint="eastAsia" w:ascii="宋体" w:hAnsi="宋体"/>
                <w:szCs w:val="21"/>
              </w:rPr>
            </w:pPr>
          </w:p>
        </w:tc>
        <w:tc>
          <w:tcPr>
            <w:tcW w:w="3444" w:type="dxa"/>
            <w:gridSpan w:val="3"/>
            <w:noWrap w:val="0"/>
            <w:vAlign w:val="center"/>
          </w:tcPr>
          <w:p w14:paraId="4696D85D">
            <w:pPr>
              <w:jc w:val="center"/>
              <w:rPr>
                <w:rFonts w:hint="eastAsia" w:ascii="宋体" w:hAnsi="宋体"/>
                <w:szCs w:val="21"/>
              </w:rPr>
            </w:pPr>
          </w:p>
        </w:tc>
        <w:tc>
          <w:tcPr>
            <w:tcW w:w="2124" w:type="dxa"/>
            <w:noWrap w:val="0"/>
            <w:vAlign w:val="center"/>
          </w:tcPr>
          <w:p w14:paraId="5454B6A7">
            <w:pPr>
              <w:jc w:val="center"/>
              <w:rPr>
                <w:rFonts w:hint="eastAsia" w:ascii="宋体" w:hAnsi="宋体"/>
                <w:szCs w:val="21"/>
              </w:rPr>
            </w:pPr>
          </w:p>
        </w:tc>
        <w:tc>
          <w:tcPr>
            <w:tcW w:w="2160" w:type="dxa"/>
            <w:noWrap w:val="0"/>
            <w:vAlign w:val="center"/>
          </w:tcPr>
          <w:p w14:paraId="40289B58">
            <w:pPr>
              <w:jc w:val="center"/>
              <w:rPr>
                <w:rFonts w:hint="eastAsia" w:ascii="宋体" w:hAnsi="宋体"/>
                <w:szCs w:val="21"/>
              </w:rPr>
            </w:pPr>
          </w:p>
        </w:tc>
      </w:tr>
      <w:tr w14:paraId="4C7E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63645FD7">
            <w:pPr>
              <w:jc w:val="center"/>
              <w:rPr>
                <w:rFonts w:hint="eastAsia" w:ascii="宋体" w:hAnsi="宋体"/>
                <w:szCs w:val="21"/>
              </w:rPr>
            </w:pPr>
          </w:p>
        </w:tc>
        <w:tc>
          <w:tcPr>
            <w:tcW w:w="3444" w:type="dxa"/>
            <w:gridSpan w:val="3"/>
            <w:noWrap w:val="0"/>
            <w:vAlign w:val="center"/>
          </w:tcPr>
          <w:p w14:paraId="0D8DD2EA">
            <w:pPr>
              <w:jc w:val="center"/>
              <w:rPr>
                <w:rFonts w:hint="eastAsia" w:ascii="宋体" w:hAnsi="宋体"/>
                <w:szCs w:val="21"/>
              </w:rPr>
            </w:pPr>
          </w:p>
        </w:tc>
        <w:tc>
          <w:tcPr>
            <w:tcW w:w="2124" w:type="dxa"/>
            <w:noWrap w:val="0"/>
            <w:vAlign w:val="center"/>
          </w:tcPr>
          <w:p w14:paraId="1B51C231">
            <w:pPr>
              <w:jc w:val="center"/>
              <w:rPr>
                <w:rFonts w:hint="eastAsia" w:ascii="宋体" w:hAnsi="宋体"/>
                <w:szCs w:val="21"/>
              </w:rPr>
            </w:pPr>
          </w:p>
        </w:tc>
        <w:tc>
          <w:tcPr>
            <w:tcW w:w="2160" w:type="dxa"/>
            <w:noWrap w:val="0"/>
            <w:vAlign w:val="center"/>
          </w:tcPr>
          <w:p w14:paraId="7FC17E2A">
            <w:pPr>
              <w:jc w:val="center"/>
              <w:rPr>
                <w:rFonts w:hint="eastAsia" w:ascii="宋体" w:hAnsi="宋体"/>
                <w:szCs w:val="21"/>
              </w:rPr>
            </w:pPr>
          </w:p>
        </w:tc>
      </w:tr>
      <w:tr w14:paraId="6C8A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34B82F64">
            <w:pPr>
              <w:jc w:val="center"/>
              <w:rPr>
                <w:rFonts w:hint="eastAsia" w:ascii="宋体" w:hAnsi="宋体"/>
                <w:szCs w:val="21"/>
              </w:rPr>
            </w:pPr>
          </w:p>
        </w:tc>
        <w:tc>
          <w:tcPr>
            <w:tcW w:w="3444" w:type="dxa"/>
            <w:gridSpan w:val="3"/>
            <w:noWrap w:val="0"/>
            <w:vAlign w:val="center"/>
          </w:tcPr>
          <w:p w14:paraId="32C932BB">
            <w:pPr>
              <w:jc w:val="center"/>
              <w:rPr>
                <w:rFonts w:hint="eastAsia" w:ascii="宋体" w:hAnsi="宋体"/>
                <w:szCs w:val="21"/>
              </w:rPr>
            </w:pPr>
          </w:p>
        </w:tc>
        <w:tc>
          <w:tcPr>
            <w:tcW w:w="2124" w:type="dxa"/>
            <w:noWrap w:val="0"/>
            <w:vAlign w:val="center"/>
          </w:tcPr>
          <w:p w14:paraId="23FD7F86">
            <w:pPr>
              <w:jc w:val="center"/>
              <w:rPr>
                <w:rFonts w:hint="eastAsia" w:ascii="宋体" w:hAnsi="宋体"/>
                <w:szCs w:val="21"/>
              </w:rPr>
            </w:pPr>
          </w:p>
        </w:tc>
        <w:tc>
          <w:tcPr>
            <w:tcW w:w="2160" w:type="dxa"/>
            <w:noWrap w:val="0"/>
            <w:vAlign w:val="center"/>
          </w:tcPr>
          <w:p w14:paraId="10FD2644">
            <w:pPr>
              <w:jc w:val="center"/>
              <w:rPr>
                <w:rFonts w:hint="eastAsia" w:ascii="宋体" w:hAnsi="宋体"/>
                <w:szCs w:val="21"/>
              </w:rPr>
            </w:pPr>
          </w:p>
        </w:tc>
      </w:tr>
      <w:tr w14:paraId="3BB0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606CFBB1">
            <w:pPr>
              <w:jc w:val="center"/>
              <w:rPr>
                <w:rFonts w:hint="eastAsia" w:ascii="宋体" w:hAnsi="宋体"/>
                <w:szCs w:val="21"/>
              </w:rPr>
            </w:pPr>
          </w:p>
        </w:tc>
        <w:tc>
          <w:tcPr>
            <w:tcW w:w="3444" w:type="dxa"/>
            <w:gridSpan w:val="3"/>
            <w:noWrap w:val="0"/>
            <w:vAlign w:val="center"/>
          </w:tcPr>
          <w:p w14:paraId="02D70B40">
            <w:pPr>
              <w:jc w:val="center"/>
              <w:rPr>
                <w:rFonts w:hint="eastAsia" w:ascii="宋体" w:hAnsi="宋体"/>
                <w:szCs w:val="21"/>
              </w:rPr>
            </w:pPr>
          </w:p>
        </w:tc>
        <w:tc>
          <w:tcPr>
            <w:tcW w:w="2124" w:type="dxa"/>
            <w:noWrap w:val="0"/>
            <w:vAlign w:val="center"/>
          </w:tcPr>
          <w:p w14:paraId="2E2D7839">
            <w:pPr>
              <w:jc w:val="center"/>
              <w:rPr>
                <w:rFonts w:hint="eastAsia" w:ascii="宋体" w:hAnsi="宋体"/>
                <w:szCs w:val="21"/>
              </w:rPr>
            </w:pPr>
          </w:p>
        </w:tc>
        <w:tc>
          <w:tcPr>
            <w:tcW w:w="2160" w:type="dxa"/>
            <w:noWrap w:val="0"/>
            <w:vAlign w:val="center"/>
          </w:tcPr>
          <w:p w14:paraId="4189E4AD">
            <w:pPr>
              <w:jc w:val="center"/>
              <w:rPr>
                <w:rFonts w:hint="eastAsia" w:ascii="宋体" w:hAnsi="宋体"/>
                <w:szCs w:val="21"/>
              </w:rPr>
            </w:pPr>
          </w:p>
        </w:tc>
      </w:tr>
      <w:tr w14:paraId="4A31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1A2086A6">
            <w:pPr>
              <w:jc w:val="center"/>
              <w:rPr>
                <w:rFonts w:hint="eastAsia" w:ascii="宋体" w:hAnsi="宋体"/>
                <w:szCs w:val="21"/>
              </w:rPr>
            </w:pPr>
          </w:p>
        </w:tc>
        <w:tc>
          <w:tcPr>
            <w:tcW w:w="3444" w:type="dxa"/>
            <w:gridSpan w:val="3"/>
            <w:noWrap w:val="0"/>
            <w:vAlign w:val="center"/>
          </w:tcPr>
          <w:p w14:paraId="793288F3">
            <w:pPr>
              <w:jc w:val="center"/>
              <w:rPr>
                <w:rFonts w:hint="eastAsia" w:ascii="宋体" w:hAnsi="宋体"/>
                <w:szCs w:val="21"/>
              </w:rPr>
            </w:pPr>
          </w:p>
        </w:tc>
        <w:tc>
          <w:tcPr>
            <w:tcW w:w="2124" w:type="dxa"/>
            <w:noWrap w:val="0"/>
            <w:vAlign w:val="center"/>
          </w:tcPr>
          <w:p w14:paraId="7966763C">
            <w:pPr>
              <w:jc w:val="center"/>
              <w:rPr>
                <w:rFonts w:hint="eastAsia" w:ascii="宋体" w:hAnsi="宋体"/>
                <w:szCs w:val="21"/>
              </w:rPr>
            </w:pPr>
          </w:p>
        </w:tc>
        <w:tc>
          <w:tcPr>
            <w:tcW w:w="2160" w:type="dxa"/>
            <w:noWrap w:val="0"/>
            <w:vAlign w:val="center"/>
          </w:tcPr>
          <w:p w14:paraId="5B3B050C">
            <w:pPr>
              <w:jc w:val="center"/>
              <w:rPr>
                <w:rFonts w:hint="eastAsia" w:ascii="宋体" w:hAnsi="宋体"/>
                <w:szCs w:val="21"/>
              </w:rPr>
            </w:pPr>
          </w:p>
        </w:tc>
      </w:tr>
      <w:tr w14:paraId="0211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1092" w:type="dxa"/>
            <w:noWrap w:val="0"/>
            <w:vAlign w:val="center"/>
          </w:tcPr>
          <w:p w14:paraId="5CAF91EB">
            <w:pPr>
              <w:jc w:val="center"/>
              <w:rPr>
                <w:rFonts w:hint="eastAsia" w:ascii="宋体" w:hAnsi="宋体"/>
                <w:szCs w:val="21"/>
              </w:rPr>
            </w:pPr>
          </w:p>
        </w:tc>
        <w:tc>
          <w:tcPr>
            <w:tcW w:w="3444" w:type="dxa"/>
            <w:gridSpan w:val="3"/>
            <w:noWrap w:val="0"/>
            <w:vAlign w:val="center"/>
          </w:tcPr>
          <w:p w14:paraId="76595D05">
            <w:pPr>
              <w:jc w:val="center"/>
              <w:rPr>
                <w:rFonts w:hint="eastAsia" w:ascii="宋体" w:hAnsi="宋体"/>
                <w:szCs w:val="21"/>
              </w:rPr>
            </w:pPr>
          </w:p>
        </w:tc>
        <w:tc>
          <w:tcPr>
            <w:tcW w:w="2124" w:type="dxa"/>
            <w:noWrap w:val="0"/>
            <w:vAlign w:val="center"/>
          </w:tcPr>
          <w:p w14:paraId="076B1C4D">
            <w:pPr>
              <w:jc w:val="center"/>
              <w:rPr>
                <w:rFonts w:hint="eastAsia" w:ascii="宋体" w:hAnsi="宋体"/>
                <w:szCs w:val="21"/>
              </w:rPr>
            </w:pPr>
          </w:p>
        </w:tc>
        <w:tc>
          <w:tcPr>
            <w:tcW w:w="2160" w:type="dxa"/>
            <w:noWrap w:val="0"/>
            <w:vAlign w:val="center"/>
          </w:tcPr>
          <w:p w14:paraId="022284DC">
            <w:pPr>
              <w:jc w:val="center"/>
              <w:rPr>
                <w:rFonts w:hint="eastAsia" w:ascii="宋体" w:hAnsi="宋体"/>
                <w:szCs w:val="21"/>
              </w:rPr>
            </w:pPr>
          </w:p>
        </w:tc>
      </w:tr>
      <w:tr w14:paraId="5BBE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noWrap w:val="0"/>
            <w:vAlign w:val="center"/>
          </w:tcPr>
          <w:p w14:paraId="4585C3B9">
            <w:pPr>
              <w:jc w:val="center"/>
              <w:rPr>
                <w:rFonts w:hint="eastAsia" w:ascii="宋体" w:hAnsi="宋体"/>
                <w:szCs w:val="21"/>
              </w:rPr>
            </w:pPr>
          </w:p>
        </w:tc>
        <w:tc>
          <w:tcPr>
            <w:tcW w:w="3444" w:type="dxa"/>
            <w:gridSpan w:val="3"/>
            <w:noWrap w:val="0"/>
            <w:vAlign w:val="center"/>
          </w:tcPr>
          <w:p w14:paraId="05683BA6">
            <w:pPr>
              <w:jc w:val="center"/>
              <w:rPr>
                <w:rFonts w:hint="eastAsia" w:ascii="宋体" w:hAnsi="宋体"/>
                <w:szCs w:val="21"/>
              </w:rPr>
            </w:pPr>
          </w:p>
        </w:tc>
        <w:tc>
          <w:tcPr>
            <w:tcW w:w="2124" w:type="dxa"/>
            <w:noWrap w:val="0"/>
            <w:vAlign w:val="center"/>
          </w:tcPr>
          <w:p w14:paraId="77BCDEA5">
            <w:pPr>
              <w:jc w:val="center"/>
              <w:rPr>
                <w:rFonts w:hint="eastAsia" w:ascii="宋体" w:hAnsi="宋体"/>
                <w:szCs w:val="21"/>
              </w:rPr>
            </w:pPr>
          </w:p>
        </w:tc>
        <w:tc>
          <w:tcPr>
            <w:tcW w:w="2160" w:type="dxa"/>
            <w:noWrap w:val="0"/>
            <w:vAlign w:val="center"/>
          </w:tcPr>
          <w:p w14:paraId="5F21B95D">
            <w:pPr>
              <w:jc w:val="center"/>
              <w:rPr>
                <w:rFonts w:hint="eastAsia" w:ascii="宋体" w:hAnsi="宋体"/>
                <w:szCs w:val="21"/>
              </w:rPr>
            </w:pPr>
          </w:p>
        </w:tc>
      </w:tr>
    </w:tbl>
    <w:p w14:paraId="3E66A284">
      <w:pPr>
        <w:autoSpaceDE w:val="0"/>
        <w:autoSpaceDN w:val="0"/>
        <w:adjustRightInd w:val="0"/>
        <w:snapToGrid w:val="0"/>
        <w:spacing w:line="325" w:lineRule="exact"/>
        <w:ind w:left="945" w:hanging="945" w:hangingChars="450"/>
        <w:rPr>
          <w:rFonts w:hint="eastAsia" w:ascii="宋体" w:hAnsi="宋体"/>
        </w:rPr>
      </w:pPr>
    </w:p>
    <w:p w14:paraId="4157E0C1">
      <w:pPr>
        <w:autoSpaceDE w:val="0"/>
        <w:autoSpaceDN w:val="0"/>
        <w:adjustRightInd w:val="0"/>
        <w:snapToGrid w:val="0"/>
        <w:spacing w:line="325" w:lineRule="exact"/>
        <w:ind w:left="945" w:hanging="945" w:hangingChars="450"/>
        <w:rPr>
          <w:rFonts w:hint="eastAsia" w:ascii="宋体" w:hAnsi="宋体"/>
        </w:rPr>
      </w:pPr>
    </w:p>
    <w:p w14:paraId="38356DCF">
      <w:pPr>
        <w:autoSpaceDE w:val="0"/>
        <w:autoSpaceDN w:val="0"/>
        <w:adjustRightInd w:val="0"/>
        <w:snapToGrid w:val="0"/>
        <w:spacing w:line="325" w:lineRule="exact"/>
        <w:ind w:left="945" w:hanging="945" w:hangingChars="450"/>
        <w:rPr>
          <w:rFonts w:hint="eastAsia" w:ascii="宋体" w:hAnsi="宋体"/>
        </w:rPr>
      </w:pPr>
      <w:r>
        <w:rPr>
          <w:rFonts w:hint="eastAsia" w:ascii="宋体" w:hAnsi="宋体"/>
        </w:rPr>
        <w:t>备注：1. 项目经理应附建造师资格证书、注册证书、安全生产考核合格证书</w:t>
      </w:r>
      <w:r>
        <w:t>（</w:t>
      </w:r>
      <w:r>
        <w:rPr>
          <w:rFonts w:hint="eastAsia"/>
        </w:rPr>
        <w:t>B证</w:t>
      </w:r>
      <w:r>
        <w:t>）</w:t>
      </w:r>
      <w:r>
        <w:rPr>
          <w:rFonts w:hint="eastAsia" w:ascii="宋体" w:hAnsi="宋体"/>
        </w:rPr>
        <w:t>、职称证书、学历证书扫描件。</w:t>
      </w:r>
    </w:p>
    <w:p w14:paraId="4C9065BA">
      <w:pPr>
        <w:autoSpaceDE w:val="0"/>
        <w:autoSpaceDN w:val="0"/>
        <w:adjustRightInd w:val="0"/>
        <w:snapToGrid w:val="0"/>
        <w:spacing w:line="325" w:lineRule="exact"/>
        <w:ind w:left="945" w:leftChars="300" w:hanging="315" w:hangingChars="150"/>
        <w:rPr>
          <w:rFonts w:hint="eastAsia" w:cs="宋体"/>
          <w:kern w:val="0"/>
          <w:szCs w:val="21"/>
        </w:rPr>
      </w:pPr>
      <w:r>
        <w:rPr>
          <w:rFonts w:hint="eastAsia" w:ascii="宋体" w:hAnsi="宋体"/>
        </w:rPr>
        <w:t>2. 类似项目限于以项目经理身份参与的项目。须附</w:t>
      </w:r>
      <w:r>
        <w:rPr>
          <w:rFonts w:hint="eastAsia" w:ascii="宋体" w:hAnsi="宋体"/>
          <w:szCs w:val="21"/>
        </w:rPr>
        <w:t>中标通知书（如有）、合同协议书、</w:t>
      </w:r>
      <w:r>
        <w:rPr>
          <w:rFonts w:hint="eastAsia"/>
        </w:rPr>
        <w:t>施工许可证（如有）、</w:t>
      </w:r>
      <w:r>
        <w:rPr>
          <w:rFonts w:hint="eastAsia" w:ascii="宋体" w:hAnsi="宋体"/>
          <w:szCs w:val="21"/>
        </w:rPr>
        <w:t>工程接收证书或工程竣工验收证书（工程竣工验收备案证）</w:t>
      </w:r>
      <w:r>
        <w:rPr>
          <w:rFonts w:hint="eastAsia" w:cs="宋体"/>
          <w:kern w:val="0"/>
          <w:szCs w:val="21"/>
        </w:rPr>
        <w:t>的扫描件，上述证明材料不足以反映“类似项目”</w:t>
      </w:r>
      <w:r>
        <w:rPr>
          <w:rFonts w:hint="eastAsia"/>
        </w:rPr>
        <w:t xml:space="preserve"> 的工程特征指标时，还应当提供</w:t>
      </w:r>
      <w:r>
        <w:rPr>
          <w:rFonts w:hint="eastAsia" w:cs="宋体"/>
          <w:kern w:val="0"/>
          <w:szCs w:val="21"/>
        </w:rPr>
        <w:t>其他技术资料的扫描件予以证明。招标发包的工程应附中标通知书，工程总承包发包、施工总承包发包、独立发包的施工专业承包应附</w:t>
      </w:r>
      <w:r>
        <w:rPr>
          <w:rFonts w:hint="eastAsia"/>
        </w:rPr>
        <w:t>施工许可证</w:t>
      </w:r>
      <w:r>
        <w:rPr>
          <w:rFonts w:hint="eastAsia" w:cs="宋体"/>
          <w:kern w:val="0"/>
          <w:szCs w:val="21"/>
        </w:rPr>
        <w:t>。</w:t>
      </w:r>
    </w:p>
    <w:p w14:paraId="600748A0">
      <w:pPr>
        <w:rPr>
          <w:rFonts w:hint="eastAsia" w:ascii="黑体" w:hAnsi="宋体" w:eastAsia="黑体"/>
          <w:szCs w:val="21"/>
        </w:rPr>
      </w:pPr>
    </w:p>
    <w:p w14:paraId="4932DFDD">
      <w:pPr>
        <w:pStyle w:val="20"/>
        <w:jc w:val="center"/>
        <w:rPr>
          <w:rFonts w:hint="eastAsia"/>
          <w:sz w:val="28"/>
          <w:szCs w:val="28"/>
        </w:rPr>
      </w:pPr>
      <w:bookmarkStart w:id="2650" w:name="_Toc108514236"/>
      <w:r>
        <w:rPr>
          <w:rFonts w:hint="eastAsia"/>
          <w:sz w:val="28"/>
          <w:szCs w:val="28"/>
        </w:rPr>
        <w:t>（三）承诺书</w:t>
      </w:r>
      <w:bookmarkEnd w:id="2650"/>
    </w:p>
    <w:p w14:paraId="1E5355FE">
      <w:pPr>
        <w:rPr>
          <w:rFonts w:hint="eastAsia" w:ascii="宋体" w:hAnsi="宋体"/>
          <w:u w:val="single"/>
        </w:rPr>
      </w:pPr>
    </w:p>
    <w:p w14:paraId="50241EB2">
      <w:pPr>
        <w:rPr>
          <w:rFonts w:hint="eastAsia" w:ascii="宋体" w:hAnsi="宋体"/>
        </w:rPr>
      </w:pPr>
      <w:r>
        <w:rPr>
          <w:rFonts w:hint="eastAsia" w:ascii="宋体" w:hAnsi="宋体"/>
          <w:u w:val="single"/>
        </w:rPr>
        <w:t xml:space="preserve">                     </w:t>
      </w:r>
      <w:r>
        <w:rPr>
          <w:rFonts w:hint="eastAsia" w:ascii="宋体" w:hAnsi="宋体"/>
        </w:rPr>
        <w:t>（招标人名称）：</w:t>
      </w:r>
    </w:p>
    <w:p w14:paraId="3A970B15">
      <w:pPr>
        <w:spacing w:line="440" w:lineRule="exact"/>
        <w:ind w:firstLine="420" w:firstLineChars="200"/>
        <w:rPr>
          <w:rFonts w:hint="eastAsia"/>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r>
        <w:rPr>
          <w:rFonts w:hint="eastAsia" w:ascii="宋体" w:hAnsi="宋体"/>
          <w:szCs w:val="21"/>
        </w:rPr>
        <w:t>（以下简称“本工程”）的项目经理</w:t>
      </w:r>
      <w:r>
        <w:rPr>
          <w:rFonts w:hint="eastAsia" w:ascii="宋体" w:hAnsi="宋体"/>
          <w:szCs w:val="21"/>
          <w:u w:val="single"/>
        </w:rPr>
        <w:t xml:space="preserve">         </w:t>
      </w:r>
      <w:r>
        <w:rPr>
          <w:rFonts w:hint="eastAsia" w:ascii="宋体" w:hAnsi="宋体"/>
          <w:szCs w:val="21"/>
        </w:rPr>
        <w:t xml:space="preserve"> （项目经理姓名） 现阶段（投标截止时间之前）没有担</w:t>
      </w:r>
      <w:r>
        <w:rPr>
          <w:rFonts w:hint="eastAsia"/>
          <w:szCs w:val="21"/>
        </w:rPr>
        <w:t>其他</w:t>
      </w:r>
      <w:r>
        <w:rPr>
          <w:rFonts w:hint="eastAsia" w:ascii="宋体" w:hAnsi="宋体"/>
          <w:szCs w:val="21"/>
        </w:rPr>
        <w:t>在施建设工程项目的项目经理。</w:t>
      </w:r>
    </w:p>
    <w:p w14:paraId="788736A7">
      <w:pPr>
        <w:spacing w:line="440" w:lineRule="exact"/>
        <w:ind w:firstLine="420" w:firstLineChars="200"/>
        <w:rPr>
          <w:rFonts w:hint="eastAsia" w:ascii="宋体" w:hAnsi="宋体"/>
          <w:szCs w:val="21"/>
        </w:rPr>
      </w:pPr>
      <w:r>
        <w:rPr>
          <w:rFonts w:hint="eastAsia" w:ascii="宋体" w:hAnsi="宋体"/>
          <w:szCs w:val="21"/>
        </w:rPr>
        <w:t>根据</w:t>
      </w:r>
      <w:r>
        <w:rPr>
          <w:rFonts w:ascii="宋体" w:hAnsi="宋体"/>
          <w:szCs w:val="21"/>
        </w:rPr>
        <w:t>《注册建造师执业管理办法（试行）》</w:t>
      </w:r>
      <w:r>
        <w:rPr>
          <w:rFonts w:hint="eastAsia" w:ascii="宋体" w:hAnsi="宋体"/>
          <w:szCs w:val="21"/>
        </w:rPr>
        <w:t>第九条规定“注册建造师不得同时担任两个及以上建设工程施工项目负责人”， 第十条规定“注册建造师担任施工项目负责人期间原则上不得更换”。我方拟派项目经理的能够参加本工程的投标是基于以下理由：</w:t>
      </w:r>
    </w:p>
    <w:p w14:paraId="0CAA39AF">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拟派项目经理存在</w:t>
      </w:r>
      <w:r>
        <w:rPr>
          <w:rFonts w:ascii="宋体" w:hAnsi="宋体"/>
          <w:szCs w:val="21"/>
        </w:rPr>
        <w:t>《注册建造师执业管理办法（试行）》</w:t>
      </w:r>
      <w:r>
        <w:rPr>
          <w:rFonts w:hint="eastAsia" w:ascii="宋体" w:hAnsi="宋体"/>
          <w:szCs w:val="21"/>
        </w:rPr>
        <w:t>第九条规定的下列情形：</w:t>
      </w:r>
    </w:p>
    <w:p w14:paraId="0FF94BDA">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00D020C5">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7ADBEAAF">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63B2DEC0">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拟派项目经理担任其他施工项目负责人期间因下列原因进行了更换，并办理书面交接手续：</w:t>
      </w:r>
    </w:p>
    <w:p w14:paraId="2B9773DD">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发包方与注册建造师受聘企业已解除承包合同的；</w:t>
      </w:r>
    </w:p>
    <w:p w14:paraId="469E49BA">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发包方同意更换项目负责人的；</w:t>
      </w:r>
    </w:p>
    <w:p w14:paraId="2615403D">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因不可抗力等特殊情况必须更换项目负责人的。</w:t>
      </w:r>
    </w:p>
    <w:p w14:paraId="7AB3D0C3">
      <w:pPr>
        <w:spacing w:line="440" w:lineRule="exact"/>
        <w:ind w:firstLine="525" w:firstLineChars="250"/>
        <w:rPr>
          <w:rFonts w:hint="eastAsia"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712A9620">
      <w:pPr>
        <w:spacing w:line="440" w:lineRule="exact"/>
        <w:ind w:firstLine="420" w:firstLineChars="200"/>
        <w:rPr>
          <w:rFonts w:hint="eastAsia" w:ascii="宋体" w:hAnsi="宋体"/>
          <w:szCs w:val="21"/>
        </w:rPr>
      </w:pPr>
      <w:r>
        <w:rPr>
          <w:rFonts w:hint="eastAsia" w:ascii="宋体" w:hAnsi="宋体"/>
          <w:szCs w:val="21"/>
        </w:rPr>
        <w:t>我方保证上述信息的真实性和准确性，并承担相应的法律责任。</w:t>
      </w:r>
    </w:p>
    <w:p w14:paraId="6B21C547">
      <w:pPr>
        <w:spacing w:line="440" w:lineRule="exact"/>
        <w:ind w:firstLine="420" w:firstLineChars="200"/>
        <w:rPr>
          <w:rFonts w:hint="eastAsia" w:ascii="宋体" w:hAnsi="宋体"/>
          <w:szCs w:val="21"/>
        </w:rPr>
      </w:pPr>
      <w:r>
        <w:rPr>
          <w:rFonts w:hint="eastAsia" w:ascii="宋体" w:hAnsi="宋体"/>
          <w:szCs w:val="21"/>
        </w:rPr>
        <w:t>特此承诺</w:t>
      </w:r>
    </w:p>
    <w:p w14:paraId="1F21402B">
      <w:pPr>
        <w:spacing w:line="440" w:lineRule="exact"/>
        <w:ind w:firstLine="420" w:firstLineChars="200"/>
        <w:rPr>
          <w:rFonts w:hint="eastAsia" w:ascii="宋体" w:hAnsi="宋体"/>
          <w:szCs w:val="21"/>
        </w:rPr>
      </w:pPr>
    </w:p>
    <w:p w14:paraId="54791F30">
      <w:pPr>
        <w:spacing w:line="440" w:lineRule="exact"/>
        <w:jc w:val="right"/>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3766CB41">
      <w:pPr>
        <w:wordWrap w:val="0"/>
        <w:spacing w:line="440" w:lineRule="exact"/>
        <w:jc w:val="right"/>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19186A3B">
      <w:pPr>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0127EDD">
      <w:pPr>
        <w:jc w:val="right"/>
        <w:rPr>
          <w:rFonts w:hint="eastAsia" w:ascii="宋体" w:hAnsi="宋体"/>
          <w:szCs w:val="21"/>
        </w:rPr>
      </w:pPr>
    </w:p>
    <w:p w14:paraId="622E2370">
      <w:pPr>
        <w:jc w:val="right"/>
        <w:rPr>
          <w:rFonts w:hint="eastAsia" w:ascii="宋体" w:hAnsi="宋体"/>
          <w:szCs w:val="21"/>
        </w:rPr>
      </w:pPr>
    </w:p>
    <w:p w14:paraId="2B380CAE">
      <w:pPr>
        <w:rPr>
          <w:rFonts w:hint="eastAsia" w:ascii="宋体" w:hAnsi="宋体"/>
          <w:szCs w:val="21"/>
        </w:rPr>
      </w:pPr>
    </w:p>
    <w:p w14:paraId="5A3F2E06">
      <w:pPr>
        <w:rPr>
          <w:rFonts w:hint="eastAsia" w:ascii="宋体" w:hAnsi="宋体"/>
          <w:szCs w:val="21"/>
        </w:rPr>
      </w:pPr>
    </w:p>
    <w:p w14:paraId="588368A8">
      <w:pPr>
        <w:autoSpaceDE w:val="0"/>
        <w:autoSpaceDN w:val="0"/>
        <w:adjustRightInd w:val="0"/>
        <w:snapToGrid w:val="0"/>
        <w:spacing w:line="325" w:lineRule="exact"/>
        <w:ind w:left="964" w:leftChars="9" w:hanging="945" w:hangingChars="450"/>
        <w:rPr>
          <w:rFonts w:hint="eastAsia" w:ascii="宋体" w:hAnsi="宋体"/>
        </w:rPr>
      </w:pPr>
      <w:r>
        <w:rPr>
          <w:rFonts w:hint="eastAsia" w:ascii="宋体" w:hAnsi="宋体"/>
        </w:rPr>
        <w:t>备注：1. 投标人应当根据“承诺书”的格式，如实说明拟派项目经理能够参加本工程投标的理由，并附相关证明材料的扫描件。</w:t>
      </w:r>
    </w:p>
    <w:p w14:paraId="59CDDC38">
      <w:pPr>
        <w:autoSpaceDE w:val="0"/>
        <w:autoSpaceDN w:val="0"/>
        <w:adjustRightInd w:val="0"/>
        <w:snapToGrid w:val="0"/>
        <w:spacing w:line="325" w:lineRule="exact"/>
        <w:ind w:left="945" w:leftChars="300" w:hanging="315" w:hangingChars="150"/>
        <w:rPr>
          <w:rFonts w:hint="eastAsia" w:ascii="宋体" w:hAnsi="宋体"/>
        </w:rPr>
      </w:pPr>
      <w:r>
        <w:rPr>
          <w:rFonts w:hint="eastAsia" w:ascii="宋体" w:hAnsi="宋体"/>
        </w:rPr>
        <w:t>2. 投标人“承诺书”的实质内容应当与格式规定的实质内容一致。</w:t>
      </w:r>
    </w:p>
    <w:p w14:paraId="0AB27F22">
      <w:pPr>
        <w:jc w:val="center"/>
        <w:rPr>
          <w:rFonts w:hint="eastAsia" w:ascii="宋体" w:hAnsi="宋体"/>
          <w:szCs w:val="21"/>
        </w:rPr>
      </w:pPr>
    </w:p>
    <w:p w14:paraId="5B116460">
      <w:pPr>
        <w:jc w:val="center"/>
        <w:rPr>
          <w:rFonts w:hint="eastAsia" w:ascii="宋体" w:hAnsi="宋体"/>
          <w:szCs w:val="21"/>
        </w:rPr>
      </w:pPr>
    </w:p>
    <w:p w14:paraId="6BCF886F">
      <w:pPr>
        <w:jc w:val="center"/>
        <w:rPr>
          <w:rFonts w:hint="eastAsia" w:ascii="宋体" w:hAnsi="宋体"/>
          <w:szCs w:val="21"/>
        </w:rPr>
      </w:pPr>
    </w:p>
    <w:p w14:paraId="60D08B92">
      <w:pPr>
        <w:pStyle w:val="20"/>
        <w:jc w:val="center"/>
        <w:rPr>
          <w:rFonts w:hint="eastAsia"/>
          <w:sz w:val="28"/>
          <w:szCs w:val="28"/>
        </w:rPr>
      </w:pPr>
      <w:bookmarkStart w:id="2651" w:name="_Toc108514237"/>
      <w:r>
        <w:rPr>
          <w:rFonts w:hint="eastAsia"/>
          <w:sz w:val="28"/>
          <w:szCs w:val="28"/>
        </w:rPr>
        <w:t>（四）其他主要项目管理人员简历表</w:t>
      </w:r>
      <w:bookmarkEnd w:id="2651"/>
    </w:p>
    <w:p w14:paraId="5DBE5115">
      <w:pPr>
        <w:ind w:firstLine="1050" w:firstLineChars="500"/>
        <w:rPr>
          <w:rFonts w:hint="eastAsia" w:ascii="宋体" w:hAnsi="宋体"/>
          <w:szCs w:val="21"/>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2880"/>
        <w:gridCol w:w="1800"/>
        <w:gridCol w:w="2880"/>
      </w:tblGrid>
      <w:tr w14:paraId="4D3E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3DC97027">
            <w:pPr>
              <w:spacing w:line="640" w:lineRule="exact"/>
              <w:rPr>
                <w:rFonts w:hint="eastAsia" w:ascii="宋体" w:hAnsi="宋体"/>
                <w:szCs w:val="21"/>
              </w:rPr>
            </w:pPr>
            <w:r>
              <w:rPr>
                <w:rFonts w:hint="eastAsia" w:ascii="宋体" w:hAnsi="宋体"/>
                <w:szCs w:val="21"/>
              </w:rPr>
              <w:t>岗位名称</w:t>
            </w:r>
          </w:p>
        </w:tc>
        <w:tc>
          <w:tcPr>
            <w:tcW w:w="7560" w:type="dxa"/>
            <w:gridSpan w:val="3"/>
            <w:noWrap w:val="0"/>
            <w:vAlign w:val="center"/>
          </w:tcPr>
          <w:p w14:paraId="5AF9F10B">
            <w:pPr>
              <w:jc w:val="center"/>
              <w:rPr>
                <w:rFonts w:hint="eastAsia" w:ascii="宋体" w:hAnsi="宋体"/>
                <w:szCs w:val="21"/>
              </w:rPr>
            </w:pPr>
          </w:p>
        </w:tc>
      </w:tr>
      <w:tr w14:paraId="456F2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5C69D9CF">
            <w:pPr>
              <w:rPr>
                <w:rFonts w:hint="eastAsia" w:ascii="宋体" w:hAnsi="宋体"/>
                <w:szCs w:val="21"/>
              </w:rPr>
            </w:pPr>
            <w:r>
              <w:rPr>
                <w:rFonts w:hint="eastAsia" w:ascii="宋体" w:hAnsi="宋体"/>
                <w:szCs w:val="21"/>
              </w:rPr>
              <w:t>姓    名</w:t>
            </w:r>
          </w:p>
        </w:tc>
        <w:tc>
          <w:tcPr>
            <w:tcW w:w="2880" w:type="dxa"/>
            <w:noWrap w:val="0"/>
            <w:vAlign w:val="center"/>
          </w:tcPr>
          <w:p w14:paraId="496C8C0D">
            <w:pPr>
              <w:jc w:val="center"/>
              <w:rPr>
                <w:rFonts w:hint="eastAsia" w:ascii="宋体" w:hAnsi="宋体"/>
                <w:szCs w:val="21"/>
              </w:rPr>
            </w:pPr>
          </w:p>
        </w:tc>
        <w:tc>
          <w:tcPr>
            <w:tcW w:w="1800" w:type="dxa"/>
            <w:noWrap w:val="0"/>
            <w:vAlign w:val="center"/>
          </w:tcPr>
          <w:p w14:paraId="7D1426F3">
            <w:pPr>
              <w:rPr>
                <w:rFonts w:hint="eastAsia" w:ascii="宋体" w:hAnsi="宋体"/>
                <w:szCs w:val="21"/>
              </w:rPr>
            </w:pPr>
            <w:r>
              <w:rPr>
                <w:rFonts w:hint="eastAsia" w:ascii="宋体" w:hAnsi="宋体"/>
                <w:szCs w:val="21"/>
              </w:rPr>
              <w:t>年    龄</w:t>
            </w:r>
          </w:p>
        </w:tc>
        <w:tc>
          <w:tcPr>
            <w:tcW w:w="2880" w:type="dxa"/>
            <w:noWrap w:val="0"/>
            <w:vAlign w:val="center"/>
          </w:tcPr>
          <w:p w14:paraId="53D1C9BA">
            <w:pPr>
              <w:jc w:val="center"/>
              <w:rPr>
                <w:rFonts w:hint="eastAsia" w:ascii="宋体" w:hAnsi="宋体"/>
                <w:szCs w:val="21"/>
              </w:rPr>
            </w:pPr>
          </w:p>
        </w:tc>
      </w:tr>
      <w:tr w14:paraId="7000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3F9FE75B">
            <w:pPr>
              <w:rPr>
                <w:rFonts w:hint="eastAsia" w:ascii="宋体" w:hAnsi="宋体"/>
                <w:szCs w:val="21"/>
              </w:rPr>
            </w:pPr>
            <w:r>
              <w:rPr>
                <w:rFonts w:hint="eastAsia" w:ascii="宋体" w:hAnsi="宋体"/>
                <w:szCs w:val="21"/>
              </w:rPr>
              <w:t>性    别</w:t>
            </w:r>
          </w:p>
        </w:tc>
        <w:tc>
          <w:tcPr>
            <w:tcW w:w="2880" w:type="dxa"/>
            <w:noWrap w:val="0"/>
            <w:vAlign w:val="center"/>
          </w:tcPr>
          <w:p w14:paraId="7133E30A">
            <w:pPr>
              <w:jc w:val="center"/>
              <w:rPr>
                <w:rFonts w:hint="eastAsia" w:ascii="宋体" w:hAnsi="宋体"/>
                <w:szCs w:val="21"/>
              </w:rPr>
            </w:pPr>
          </w:p>
        </w:tc>
        <w:tc>
          <w:tcPr>
            <w:tcW w:w="1800" w:type="dxa"/>
            <w:noWrap w:val="0"/>
            <w:vAlign w:val="center"/>
          </w:tcPr>
          <w:p w14:paraId="311622D2">
            <w:pPr>
              <w:rPr>
                <w:rFonts w:hint="eastAsia" w:ascii="宋体" w:hAnsi="宋体"/>
                <w:szCs w:val="21"/>
              </w:rPr>
            </w:pPr>
            <w:r>
              <w:rPr>
                <w:rFonts w:hint="eastAsia" w:ascii="宋体" w:hAnsi="宋体"/>
                <w:szCs w:val="21"/>
              </w:rPr>
              <w:t>毕业学校</w:t>
            </w:r>
          </w:p>
        </w:tc>
        <w:tc>
          <w:tcPr>
            <w:tcW w:w="2880" w:type="dxa"/>
            <w:noWrap w:val="0"/>
            <w:vAlign w:val="center"/>
          </w:tcPr>
          <w:p w14:paraId="267E8CE8">
            <w:pPr>
              <w:jc w:val="center"/>
              <w:rPr>
                <w:rFonts w:hint="eastAsia" w:ascii="宋体" w:hAnsi="宋体"/>
                <w:szCs w:val="21"/>
              </w:rPr>
            </w:pPr>
          </w:p>
        </w:tc>
      </w:tr>
      <w:tr w14:paraId="6529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3CD6F5FB">
            <w:pPr>
              <w:rPr>
                <w:rFonts w:hint="eastAsia" w:ascii="宋体" w:hAnsi="宋体"/>
                <w:szCs w:val="21"/>
              </w:rPr>
            </w:pPr>
            <w:r>
              <w:rPr>
                <w:rFonts w:hint="eastAsia" w:ascii="宋体" w:hAnsi="宋体"/>
                <w:szCs w:val="21"/>
              </w:rPr>
              <w:t>学历和专业</w:t>
            </w:r>
          </w:p>
        </w:tc>
        <w:tc>
          <w:tcPr>
            <w:tcW w:w="2880" w:type="dxa"/>
            <w:noWrap w:val="0"/>
            <w:vAlign w:val="center"/>
          </w:tcPr>
          <w:p w14:paraId="207EECDD">
            <w:pPr>
              <w:jc w:val="center"/>
              <w:rPr>
                <w:rFonts w:hint="eastAsia" w:ascii="宋体" w:hAnsi="宋体"/>
                <w:szCs w:val="21"/>
              </w:rPr>
            </w:pPr>
          </w:p>
        </w:tc>
        <w:tc>
          <w:tcPr>
            <w:tcW w:w="1800" w:type="dxa"/>
            <w:noWrap w:val="0"/>
            <w:vAlign w:val="center"/>
          </w:tcPr>
          <w:p w14:paraId="51620311">
            <w:pPr>
              <w:rPr>
                <w:rFonts w:hint="eastAsia" w:ascii="宋体" w:hAnsi="宋体"/>
                <w:szCs w:val="21"/>
              </w:rPr>
            </w:pPr>
            <w:r>
              <w:rPr>
                <w:rFonts w:hint="eastAsia" w:ascii="宋体" w:hAnsi="宋体"/>
                <w:szCs w:val="21"/>
              </w:rPr>
              <w:t>毕业时间</w:t>
            </w:r>
          </w:p>
        </w:tc>
        <w:tc>
          <w:tcPr>
            <w:tcW w:w="2880" w:type="dxa"/>
            <w:noWrap w:val="0"/>
            <w:vAlign w:val="center"/>
          </w:tcPr>
          <w:p w14:paraId="1BD03E1A">
            <w:pPr>
              <w:jc w:val="center"/>
              <w:rPr>
                <w:rFonts w:hint="eastAsia" w:ascii="宋体" w:hAnsi="宋体"/>
                <w:szCs w:val="21"/>
              </w:rPr>
            </w:pPr>
          </w:p>
        </w:tc>
      </w:tr>
      <w:tr w14:paraId="0239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78A416B6">
            <w:pPr>
              <w:rPr>
                <w:rFonts w:hint="eastAsia" w:ascii="宋体" w:hAnsi="宋体"/>
                <w:szCs w:val="21"/>
              </w:rPr>
            </w:pPr>
            <w:r>
              <w:rPr>
                <w:rFonts w:hint="eastAsia" w:ascii="宋体" w:hAnsi="宋体"/>
                <w:szCs w:val="21"/>
              </w:rPr>
              <w:t>执业/岗位资格</w:t>
            </w:r>
          </w:p>
        </w:tc>
        <w:tc>
          <w:tcPr>
            <w:tcW w:w="2880" w:type="dxa"/>
            <w:noWrap w:val="0"/>
            <w:vAlign w:val="center"/>
          </w:tcPr>
          <w:p w14:paraId="39F29D8A">
            <w:pPr>
              <w:jc w:val="center"/>
              <w:rPr>
                <w:rFonts w:hint="eastAsia" w:ascii="宋体" w:hAnsi="宋体"/>
                <w:szCs w:val="21"/>
              </w:rPr>
            </w:pPr>
          </w:p>
        </w:tc>
        <w:tc>
          <w:tcPr>
            <w:tcW w:w="1800" w:type="dxa"/>
            <w:noWrap w:val="0"/>
            <w:vAlign w:val="center"/>
          </w:tcPr>
          <w:p w14:paraId="088D3F0E">
            <w:pPr>
              <w:rPr>
                <w:rFonts w:hint="eastAsia" w:ascii="宋体" w:hAnsi="宋体"/>
                <w:szCs w:val="21"/>
              </w:rPr>
            </w:pPr>
            <w:r>
              <w:rPr>
                <w:rFonts w:hint="eastAsia" w:ascii="宋体" w:hAnsi="宋体"/>
                <w:szCs w:val="21"/>
              </w:rPr>
              <w:t>专业职称</w:t>
            </w:r>
          </w:p>
        </w:tc>
        <w:tc>
          <w:tcPr>
            <w:tcW w:w="2880" w:type="dxa"/>
            <w:noWrap w:val="0"/>
            <w:vAlign w:val="center"/>
          </w:tcPr>
          <w:p w14:paraId="49B4881D">
            <w:pPr>
              <w:jc w:val="center"/>
              <w:rPr>
                <w:rFonts w:hint="eastAsia" w:ascii="宋体" w:hAnsi="宋体"/>
                <w:szCs w:val="21"/>
              </w:rPr>
            </w:pPr>
          </w:p>
        </w:tc>
      </w:tr>
      <w:tr w14:paraId="407A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7A10453D">
            <w:pPr>
              <w:rPr>
                <w:rFonts w:hint="eastAsia" w:ascii="宋体" w:hAnsi="宋体"/>
                <w:szCs w:val="21"/>
              </w:rPr>
            </w:pPr>
            <w:r>
              <w:rPr>
                <w:rFonts w:hint="eastAsia" w:ascii="宋体" w:hAnsi="宋体"/>
                <w:szCs w:val="21"/>
              </w:rPr>
              <w:t>执业/岗位</w:t>
            </w:r>
          </w:p>
          <w:p w14:paraId="694F053D">
            <w:pPr>
              <w:rPr>
                <w:rFonts w:hint="eastAsia" w:ascii="宋体" w:hAnsi="宋体"/>
                <w:szCs w:val="21"/>
              </w:rPr>
            </w:pPr>
            <w:r>
              <w:rPr>
                <w:rFonts w:hint="eastAsia" w:ascii="宋体" w:hAnsi="宋体"/>
                <w:szCs w:val="21"/>
              </w:rPr>
              <w:t>证书编号</w:t>
            </w:r>
          </w:p>
        </w:tc>
        <w:tc>
          <w:tcPr>
            <w:tcW w:w="2880" w:type="dxa"/>
            <w:noWrap w:val="0"/>
            <w:vAlign w:val="center"/>
          </w:tcPr>
          <w:p w14:paraId="17042D2C">
            <w:pPr>
              <w:jc w:val="center"/>
              <w:rPr>
                <w:rFonts w:hint="eastAsia" w:ascii="宋体" w:hAnsi="宋体"/>
                <w:szCs w:val="21"/>
              </w:rPr>
            </w:pPr>
          </w:p>
        </w:tc>
        <w:tc>
          <w:tcPr>
            <w:tcW w:w="1800" w:type="dxa"/>
            <w:noWrap w:val="0"/>
            <w:vAlign w:val="center"/>
          </w:tcPr>
          <w:p w14:paraId="605224A9">
            <w:pPr>
              <w:rPr>
                <w:rFonts w:hint="eastAsia" w:ascii="宋体" w:hAnsi="宋体"/>
                <w:szCs w:val="21"/>
              </w:rPr>
            </w:pPr>
            <w:r>
              <w:rPr>
                <w:rFonts w:hint="eastAsia" w:ascii="宋体" w:hAnsi="宋体"/>
                <w:szCs w:val="21"/>
              </w:rPr>
              <w:t>专业工作年限</w:t>
            </w:r>
          </w:p>
        </w:tc>
        <w:tc>
          <w:tcPr>
            <w:tcW w:w="2880" w:type="dxa"/>
            <w:noWrap w:val="0"/>
            <w:vAlign w:val="center"/>
          </w:tcPr>
          <w:p w14:paraId="26E0677C">
            <w:pPr>
              <w:jc w:val="center"/>
              <w:rPr>
                <w:rFonts w:hint="eastAsia" w:ascii="宋体" w:hAnsi="宋体"/>
                <w:szCs w:val="21"/>
              </w:rPr>
            </w:pPr>
          </w:p>
          <w:p w14:paraId="76E86B0D">
            <w:pPr>
              <w:rPr>
                <w:rFonts w:hint="eastAsia" w:ascii="宋体" w:hAnsi="宋体"/>
                <w:szCs w:val="21"/>
              </w:rPr>
            </w:pPr>
          </w:p>
        </w:tc>
      </w:tr>
      <w:tr w14:paraId="694F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trPr>
        <w:tc>
          <w:tcPr>
            <w:tcW w:w="1368" w:type="dxa"/>
            <w:noWrap w:val="0"/>
            <w:vAlign w:val="top"/>
          </w:tcPr>
          <w:p w14:paraId="5EC17C42">
            <w:pPr>
              <w:jc w:val="left"/>
              <w:rPr>
                <w:rFonts w:hint="eastAsia" w:ascii="宋体" w:hAnsi="宋体"/>
                <w:szCs w:val="21"/>
              </w:rPr>
            </w:pPr>
          </w:p>
          <w:p w14:paraId="7AA6B3FD">
            <w:pPr>
              <w:jc w:val="left"/>
              <w:rPr>
                <w:rFonts w:hint="eastAsia" w:ascii="宋体" w:hAnsi="宋体"/>
                <w:szCs w:val="21"/>
              </w:rPr>
            </w:pPr>
          </w:p>
          <w:p w14:paraId="0DFAFA95">
            <w:pPr>
              <w:jc w:val="left"/>
              <w:rPr>
                <w:rFonts w:hint="eastAsia" w:ascii="宋体" w:hAnsi="宋体"/>
                <w:szCs w:val="21"/>
              </w:rPr>
            </w:pPr>
          </w:p>
          <w:p w14:paraId="1BF19053">
            <w:pPr>
              <w:ind w:firstLine="210" w:firstLineChars="100"/>
              <w:jc w:val="left"/>
              <w:rPr>
                <w:rFonts w:hint="eastAsia" w:ascii="宋体" w:hAnsi="宋体"/>
                <w:szCs w:val="21"/>
              </w:rPr>
            </w:pPr>
            <w:r>
              <w:rPr>
                <w:rFonts w:hint="eastAsia" w:ascii="宋体" w:hAnsi="宋体"/>
                <w:szCs w:val="21"/>
              </w:rPr>
              <w:t>主</w:t>
            </w:r>
          </w:p>
          <w:p w14:paraId="4250BAB1">
            <w:pPr>
              <w:ind w:firstLine="210" w:firstLineChars="100"/>
              <w:jc w:val="left"/>
              <w:rPr>
                <w:rFonts w:hint="eastAsia" w:ascii="宋体" w:hAnsi="宋体"/>
                <w:szCs w:val="21"/>
              </w:rPr>
            </w:pPr>
            <w:r>
              <w:rPr>
                <w:rFonts w:hint="eastAsia" w:ascii="宋体" w:hAnsi="宋体"/>
                <w:szCs w:val="21"/>
              </w:rPr>
              <w:t>要</w:t>
            </w:r>
          </w:p>
          <w:p w14:paraId="0D50667B">
            <w:pPr>
              <w:ind w:firstLine="210" w:firstLineChars="100"/>
              <w:jc w:val="left"/>
              <w:rPr>
                <w:rFonts w:hint="eastAsia" w:ascii="宋体" w:hAnsi="宋体"/>
                <w:szCs w:val="21"/>
              </w:rPr>
            </w:pPr>
            <w:r>
              <w:rPr>
                <w:rFonts w:hint="eastAsia" w:ascii="宋体" w:hAnsi="宋体"/>
                <w:szCs w:val="21"/>
              </w:rPr>
              <w:t>工</w:t>
            </w:r>
          </w:p>
          <w:p w14:paraId="50F08A76">
            <w:pPr>
              <w:ind w:firstLine="210" w:firstLineChars="100"/>
              <w:jc w:val="left"/>
              <w:rPr>
                <w:rFonts w:hint="eastAsia" w:ascii="宋体" w:hAnsi="宋体"/>
                <w:szCs w:val="21"/>
              </w:rPr>
            </w:pPr>
            <w:r>
              <w:rPr>
                <w:rFonts w:hint="eastAsia" w:ascii="宋体" w:hAnsi="宋体"/>
                <w:szCs w:val="21"/>
              </w:rPr>
              <w:t>作</w:t>
            </w:r>
          </w:p>
          <w:p w14:paraId="16883D6E">
            <w:pPr>
              <w:ind w:firstLine="210" w:firstLineChars="100"/>
              <w:jc w:val="left"/>
              <w:rPr>
                <w:rFonts w:hint="eastAsia" w:ascii="宋体" w:hAnsi="宋体"/>
                <w:szCs w:val="21"/>
              </w:rPr>
            </w:pPr>
            <w:r>
              <w:rPr>
                <w:rFonts w:hint="eastAsia" w:ascii="宋体" w:hAnsi="宋体"/>
                <w:szCs w:val="21"/>
              </w:rPr>
              <w:t>业</w:t>
            </w:r>
          </w:p>
          <w:p w14:paraId="5070BFFE">
            <w:pPr>
              <w:ind w:firstLine="210" w:firstLineChars="100"/>
              <w:jc w:val="left"/>
              <w:rPr>
                <w:rFonts w:hint="eastAsia" w:ascii="宋体" w:hAnsi="宋体"/>
                <w:szCs w:val="21"/>
              </w:rPr>
            </w:pPr>
            <w:r>
              <w:rPr>
                <w:rFonts w:hint="eastAsia" w:ascii="宋体" w:hAnsi="宋体"/>
                <w:szCs w:val="21"/>
              </w:rPr>
              <w:t>绩</w:t>
            </w:r>
          </w:p>
          <w:p w14:paraId="3A7157F0">
            <w:pPr>
              <w:ind w:firstLine="210" w:firstLineChars="100"/>
              <w:jc w:val="left"/>
              <w:rPr>
                <w:rFonts w:hint="eastAsia" w:ascii="宋体" w:hAnsi="宋体"/>
                <w:szCs w:val="21"/>
              </w:rPr>
            </w:pPr>
            <w:r>
              <w:rPr>
                <w:rFonts w:hint="eastAsia" w:ascii="宋体" w:hAnsi="宋体"/>
                <w:szCs w:val="21"/>
              </w:rPr>
              <w:t>及</w:t>
            </w:r>
          </w:p>
          <w:p w14:paraId="454F338E">
            <w:pPr>
              <w:ind w:firstLine="210" w:firstLineChars="100"/>
              <w:jc w:val="left"/>
              <w:rPr>
                <w:rFonts w:hint="eastAsia" w:ascii="宋体" w:hAnsi="宋体"/>
                <w:szCs w:val="21"/>
              </w:rPr>
            </w:pPr>
            <w:r>
              <w:rPr>
                <w:rFonts w:hint="eastAsia" w:ascii="宋体" w:hAnsi="宋体"/>
                <w:szCs w:val="21"/>
              </w:rPr>
              <w:t>担</w:t>
            </w:r>
          </w:p>
          <w:p w14:paraId="5AC4C54D">
            <w:pPr>
              <w:ind w:firstLine="210" w:firstLineChars="100"/>
              <w:jc w:val="left"/>
              <w:rPr>
                <w:rFonts w:hint="eastAsia" w:ascii="宋体" w:hAnsi="宋体"/>
                <w:szCs w:val="21"/>
              </w:rPr>
            </w:pPr>
            <w:r>
              <w:rPr>
                <w:rFonts w:hint="eastAsia" w:ascii="宋体" w:hAnsi="宋体"/>
                <w:szCs w:val="21"/>
              </w:rPr>
              <w:t>任</w:t>
            </w:r>
          </w:p>
          <w:p w14:paraId="6CFA7783">
            <w:pPr>
              <w:ind w:firstLine="210" w:firstLineChars="100"/>
              <w:jc w:val="left"/>
              <w:rPr>
                <w:rFonts w:hint="eastAsia" w:ascii="宋体" w:hAnsi="宋体"/>
                <w:szCs w:val="21"/>
              </w:rPr>
            </w:pPr>
            <w:r>
              <w:rPr>
                <w:rFonts w:hint="eastAsia" w:ascii="宋体" w:hAnsi="宋体"/>
                <w:szCs w:val="21"/>
              </w:rPr>
              <w:t>的</w:t>
            </w:r>
          </w:p>
          <w:p w14:paraId="4463EFCD">
            <w:pPr>
              <w:ind w:firstLine="210" w:firstLineChars="100"/>
              <w:jc w:val="left"/>
              <w:rPr>
                <w:rFonts w:hint="eastAsia" w:ascii="宋体" w:hAnsi="宋体"/>
                <w:szCs w:val="21"/>
              </w:rPr>
            </w:pPr>
            <w:r>
              <w:rPr>
                <w:rFonts w:hint="eastAsia" w:ascii="宋体" w:hAnsi="宋体"/>
                <w:szCs w:val="21"/>
              </w:rPr>
              <w:t>主</w:t>
            </w:r>
          </w:p>
          <w:p w14:paraId="434AE45A">
            <w:pPr>
              <w:ind w:firstLine="210" w:firstLineChars="100"/>
              <w:jc w:val="left"/>
              <w:rPr>
                <w:rFonts w:hint="eastAsia" w:ascii="宋体" w:hAnsi="宋体"/>
                <w:szCs w:val="21"/>
              </w:rPr>
            </w:pPr>
            <w:r>
              <w:rPr>
                <w:rFonts w:hint="eastAsia" w:ascii="宋体" w:hAnsi="宋体"/>
                <w:szCs w:val="21"/>
              </w:rPr>
              <w:t>要</w:t>
            </w:r>
          </w:p>
          <w:p w14:paraId="76354D54">
            <w:pPr>
              <w:ind w:firstLine="210" w:firstLineChars="100"/>
              <w:jc w:val="left"/>
              <w:rPr>
                <w:rFonts w:hint="eastAsia" w:ascii="宋体" w:hAnsi="宋体"/>
                <w:szCs w:val="21"/>
              </w:rPr>
            </w:pPr>
            <w:r>
              <w:rPr>
                <w:rFonts w:hint="eastAsia" w:ascii="宋体" w:hAnsi="宋体"/>
                <w:szCs w:val="21"/>
              </w:rPr>
              <w:t>工</w:t>
            </w:r>
          </w:p>
          <w:p w14:paraId="1AADEA8E">
            <w:pPr>
              <w:ind w:firstLine="210" w:firstLineChars="100"/>
              <w:jc w:val="left"/>
              <w:rPr>
                <w:rFonts w:hint="eastAsia" w:ascii="宋体" w:hAnsi="宋体"/>
                <w:szCs w:val="21"/>
              </w:rPr>
            </w:pPr>
            <w:r>
              <w:rPr>
                <w:rFonts w:hint="eastAsia" w:ascii="宋体" w:hAnsi="宋体"/>
                <w:szCs w:val="21"/>
              </w:rPr>
              <w:t>作</w:t>
            </w:r>
          </w:p>
        </w:tc>
        <w:tc>
          <w:tcPr>
            <w:tcW w:w="7560" w:type="dxa"/>
            <w:gridSpan w:val="3"/>
            <w:noWrap w:val="0"/>
            <w:vAlign w:val="top"/>
          </w:tcPr>
          <w:p w14:paraId="3DCC6E1C">
            <w:pPr>
              <w:rPr>
                <w:rFonts w:hint="eastAsia" w:ascii="宋体" w:hAnsi="宋体"/>
                <w:szCs w:val="21"/>
              </w:rPr>
            </w:pPr>
          </w:p>
        </w:tc>
      </w:tr>
    </w:tbl>
    <w:p w14:paraId="7B27518F">
      <w:pPr>
        <w:spacing w:line="440" w:lineRule="exact"/>
        <w:jc w:val="right"/>
        <w:rPr>
          <w:rFonts w:ascii="宋体" w:hAnsi="宋体"/>
          <w:szCs w:val="21"/>
        </w:rPr>
      </w:pPr>
    </w:p>
    <w:p w14:paraId="1223FD83">
      <w:pPr>
        <w:ind w:left="525" w:hanging="525" w:hangingChars="250"/>
        <w:rPr>
          <w:rFonts w:hint="eastAsia" w:ascii="宋体" w:hAnsi="宋体"/>
        </w:rPr>
      </w:pPr>
    </w:p>
    <w:p w14:paraId="77D156C7">
      <w:pPr>
        <w:ind w:left="525" w:hanging="525" w:hangingChars="250"/>
        <w:rPr>
          <w:rFonts w:hint="eastAsia" w:ascii="宋体" w:hAnsi="宋体"/>
          <w:szCs w:val="21"/>
        </w:rPr>
      </w:pPr>
    </w:p>
    <w:p w14:paraId="37EDB4FA">
      <w:pPr>
        <w:ind w:left="630" w:hanging="630" w:hangingChars="300"/>
        <w:rPr>
          <w:rFonts w:hint="eastAsia" w:ascii="宋体" w:hAnsi="宋体"/>
        </w:rPr>
      </w:pPr>
      <w:r>
        <w:rPr>
          <w:rFonts w:hint="eastAsia" w:ascii="宋体" w:hAnsi="宋体"/>
          <w:szCs w:val="21"/>
        </w:rPr>
        <w:t>备注：其他主</w:t>
      </w:r>
      <w:r>
        <w:rPr>
          <w:rFonts w:hint="eastAsia" w:ascii="宋体" w:hAnsi="宋体"/>
        </w:rPr>
        <w:t>要项目管理人员指项目副经理（如有）、项目技术负责人、</w:t>
      </w:r>
      <w:r>
        <w:rPr>
          <w:rFonts w:ascii="宋体" w:hAnsi="宋体"/>
        </w:rPr>
        <w:t>施工</w:t>
      </w:r>
      <w:r>
        <w:rPr>
          <w:rFonts w:hint="eastAsia" w:ascii="宋体" w:hAnsi="宋体"/>
        </w:rPr>
        <w:t>管理</w:t>
      </w:r>
      <w:r>
        <w:rPr>
          <w:rFonts w:ascii="宋体" w:hAnsi="宋体"/>
        </w:rPr>
        <w:t>、质量</w:t>
      </w:r>
      <w:r>
        <w:rPr>
          <w:rFonts w:hint="eastAsia" w:ascii="宋体" w:hAnsi="宋体"/>
        </w:rPr>
        <w:t>管理</w:t>
      </w:r>
      <w:r>
        <w:rPr>
          <w:rFonts w:ascii="宋体" w:hAnsi="宋体"/>
        </w:rPr>
        <w:t>、安全</w:t>
      </w:r>
      <w:r>
        <w:rPr>
          <w:rFonts w:hint="eastAsia" w:ascii="宋体" w:hAnsi="宋体"/>
        </w:rPr>
        <w:t>管理及资格条件要求的其他岗位人员。其中项目副经理（如有）、项目技术负责人应附资格证书（如有）、注册证书（如有）、职称证书、学历证书的扫描件, 主要业绩须附合同协议书的扫描件；安全管理人员应附有效的安全生产考核合格证书（C证）的扫描件；</w:t>
      </w:r>
      <w:r>
        <w:rPr>
          <w:rFonts w:ascii="宋体" w:hAnsi="宋体"/>
        </w:rPr>
        <w:t>施工</w:t>
      </w:r>
      <w:r>
        <w:rPr>
          <w:rFonts w:hint="eastAsia" w:ascii="宋体" w:hAnsi="宋体"/>
        </w:rPr>
        <w:t>管理</w:t>
      </w:r>
      <w:r>
        <w:rPr>
          <w:rFonts w:ascii="宋体" w:hAnsi="宋体"/>
        </w:rPr>
        <w:t>、质量</w:t>
      </w:r>
      <w:r>
        <w:rPr>
          <w:rFonts w:hint="eastAsia" w:ascii="宋体" w:hAnsi="宋体"/>
        </w:rPr>
        <w:t>管理及资格条件要求的其他岗位人员应附岗位培训考核合格证书的扫描件。</w:t>
      </w:r>
    </w:p>
    <w:p w14:paraId="46E2245B">
      <w:pPr>
        <w:spacing w:line="440" w:lineRule="exact"/>
        <w:rPr>
          <w:rFonts w:hint="eastAsia" w:ascii="宋体" w:hAnsi="宋体"/>
          <w:szCs w:val="21"/>
        </w:rPr>
      </w:pPr>
    </w:p>
    <w:p w14:paraId="0CDED616">
      <w:pPr>
        <w:pStyle w:val="18"/>
        <w:jc w:val="center"/>
        <w:rPr>
          <w:rFonts w:hint="eastAsia" w:ascii="黑体" w:hAnsi="宋体"/>
          <w:szCs w:val="28"/>
        </w:rPr>
      </w:pPr>
      <w:bookmarkStart w:id="2652" w:name="_Toc108514238"/>
      <w:r>
        <w:rPr>
          <w:rFonts w:hint="eastAsia"/>
        </w:rPr>
        <w:t>八、资格审查资料</w:t>
      </w:r>
      <w:bookmarkEnd w:id="2652"/>
    </w:p>
    <w:p w14:paraId="0B107CA8">
      <w:pPr>
        <w:pStyle w:val="20"/>
        <w:jc w:val="center"/>
        <w:rPr>
          <w:rFonts w:hint="eastAsia"/>
          <w:szCs w:val="24"/>
        </w:rPr>
      </w:pPr>
      <w:bookmarkStart w:id="2653" w:name="_Toc108514239"/>
      <w:r>
        <w:rPr>
          <w:rFonts w:hint="eastAsia"/>
          <w:szCs w:val="24"/>
        </w:rPr>
        <w:t>（一）投标人基本情况</w:t>
      </w:r>
      <w:bookmarkEnd w:id="2653"/>
    </w:p>
    <w:p w14:paraId="3CB8F8D9">
      <w:pPr>
        <w:pStyle w:val="20"/>
        <w:jc w:val="center"/>
        <w:rPr>
          <w:rFonts w:hint="eastAsia"/>
          <w:szCs w:val="24"/>
        </w:rPr>
      </w:pPr>
      <w:bookmarkStart w:id="2654" w:name="_Toc108514240"/>
      <w:r>
        <w:rPr>
          <w:rFonts w:hint="eastAsia"/>
          <w:szCs w:val="24"/>
        </w:rPr>
        <w:t>1-1投标人基本情况表</w:t>
      </w:r>
      <w:bookmarkEnd w:id="2654"/>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897"/>
        <w:gridCol w:w="1380"/>
        <w:gridCol w:w="1080"/>
        <w:gridCol w:w="32"/>
        <w:gridCol w:w="1246"/>
        <w:gridCol w:w="342"/>
        <w:gridCol w:w="900"/>
        <w:gridCol w:w="1318"/>
      </w:tblGrid>
      <w:tr w14:paraId="7CC9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4808F540">
            <w:pPr>
              <w:jc w:val="center"/>
              <w:rPr>
                <w:rFonts w:hint="eastAsia" w:ascii="宋体" w:hAnsi="宋体"/>
                <w:szCs w:val="21"/>
              </w:rPr>
            </w:pPr>
            <w:r>
              <w:rPr>
                <w:rFonts w:hint="eastAsia" w:ascii="宋体" w:hAnsi="宋体"/>
                <w:szCs w:val="21"/>
              </w:rPr>
              <w:t>投标人名称</w:t>
            </w:r>
          </w:p>
        </w:tc>
        <w:tc>
          <w:tcPr>
            <w:tcW w:w="7195" w:type="dxa"/>
            <w:gridSpan w:val="8"/>
            <w:noWrap w:val="0"/>
            <w:vAlign w:val="center"/>
          </w:tcPr>
          <w:p w14:paraId="06B19935">
            <w:pPr>
              <w:jc w:val="center"/>
              <w:rPr>
                <w:rFonts w:hint="eastAsia" w:ascii="宋体" w:hAnsi="宋体"/>
                <w:szCs w:val="21"/>
              </w:rPr>
            </w:pPr>
          </w:p>
        </w:tc>
      </w:tr>
      <w:tr w14:paraId="21F7C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B68EF9F">
            <w:pPr>
              <w:jc w:val="center"/>
              <w:rPr>
                <w:rFonts w:hint="eastAsia" w:ascii="宋体" w:hAnsi="宋体"/>
                <w:szCs w:val="21"/>
              </w:rPr>
            </w:pPr>
            <w:r>
              <w:rPr>
                <w:rFonts w:hint="eastAsia" w:ascii="宋体" w:hAnsi="宋体"/>
                <w:szCs w:val="21"/>
              </w:rPr>
              <w:t>注册地址</w:t>
            </w:r>
          </w:p>
        </w:tc>
        <w:tc>
          <w:tcPr>
            <w:tcW w:w="3389" w:type="dxa"/>
            <w:gridSpan w:val="4"/>
            <w:noWrap w:val="0"/>
            <w:vAlign w:val="center"/>
          </w:tcPr>
          <w:p w14:paraId="5CD62A69">
            <w:pPr>
              <w:jc w:val="center"/>
              <w:rPr>
                <w:rFonts w:hint="eastAsia" w:ascii="宋体" w:hAnsi="宋体"/>
                <w:szCs w:val="21"/>
              </w:rPr>
            </w:pPr>
          </w:p>
        </w:tc>
        <w:tc>
          <w:tcPr>
            <w:tcW w:w="1246" w:type="dxa"/>
            <w:noWrap w:val="0"/>
            <w:vAlign w:val="center"/>
          </w:tcPr>
          <w:p w14:paraId="21A447E6">
            <w:pPr>
              <w:jc w:val="center"/>
              <w:rPr>
                <w:rFonts w:hint="eastAsia" w:ascii="宋体" w:hAnsi="宋体"/>
                <w:szCs w:val="21"/>
              </w:rPr>
            </w:pPr>
            <w:r>
              <w:rPr>
                <w:rFonts w:hint="eastAsia" w:ascii="宋体" w:hAnsi="宋体"/>
                <w:szCs w:val="21"/>
              </w:rPr>
              <w:t>邮政编码</w:t>
            </w:r>
          </w:p>
        </w:tc>
        <w:tc>
          <w:tcPr>
            <w:tcW w:w="2560" w:type="dxa"/>
            <w:gridSpan w:val="3"/>
            <w:noWrap w:val="0"/>
            <w:vAlign w:val="center"/>
          </w:tcPr>
          <w:p w14:paraId="40A6EB35">
            <w:pPr>
              <w:jc w:val="center"/>
              <w:rPr>
                <w:rFonts w:hint="eastAsia" w:ascii="宋体" w:hAnsi="宋体"/>
                <w:szCs w:val="21"/>
              </w:rPr>
            </w:pPr>
          </w:p>
        </w:tc>
      </w:tr>
      <w:tr w14:paraId="1B5E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7C51A964">
            <w:pPr>
              <w:jc w:val="center"/>
              <w:rPr>
                <w:rFonts w:hint="eastAsia" w:ascii="宋体" w:hAnsi="宋体"/>
                <w:szCs w:val="21"/>
              </w:rPr>
            </w:pPr>
            <w:r>
              <w:rPr>
                <w:rFonts w:hint="eastAsia" w:ascii="宋体" w:hAnsi="宋体"/>
                <w:szCs w:val="21"/>
              </w:rPr>
              <w:t>联系方式</w:t>
            </w:r>
          </w:p>
        </w:tc>
        <w:tc>
          <w:tcPr>
            <w:tcW w:w="897" w:type="dxa"/>
            <w:noWrap w:val="0"/>
            <w:vAlign w:val="center"/>
          </w:tcPr>
          <w:p w14:paraId="360BACBF">
            <w:pPr>
              <w:jc w:val="center"/>
              <w:rPr>
                <w:rFonts w:hint="eastAsia" w:ascii="宋体" w:hAnsi="宋体"/>
                <w:szCs w:val="21"/>
              </w:rPr>
            </w:pPr>
            <w:r>
              <w:rPr>
                <w:rFonts w:hint="eastAsia" w:ascii="宋体" w:hAnsi="宋体"/>
                <w:szCs w:val="21"/>
              </w:rPr>
              <w:t>联系人</w:t>
            </w:r>
          </w:p>
        </w:tc>
        <w:tc>
          <w:tcPr>
            <w:tcW w:w="2492" w:type="dxa"/>
            <w:gridSpan w:val="3"/>
            <w:noWrap w:val="0"/>
            <w:vAlign w:val="center"/>
          </w:tcPr>
          <w:p w14:paraId="4C61E500">
            <w:pPr>
              <w:jc w:val="center"/>
              <w:rPr>
                <w:rFonts w:hint="eastAsia" w:ascii="宋体" w:hAnsi="宋体"/>
                <w:szCs w:val="21"/>
              </w:rPr>
            </w:pPr>
          </w:p>
        </w:tc>
        <w:tc>
          <w:tcPr>
            <w:tcW w:w="1246" w:type="dxa"/>
            <w:noWrap w:val="0"/>
            <w:vAlign w:val="center"/>
          </w:tcPr>
          <w:p w14:paraId="05B3E8C0">
            <w:pPr>
              <w:jc w:val="center"/>
              <w:rPr>
                <w:rFonts w:hint="eastAsia" w:ascii="宋体" w:hAnsi="宋体"/>
                <w:szCs w:val="21"/>
              </w:rPr>
            </w:pPr>
            <w:r>
              <w:rPr>
                <w:rFonts w:hint="eastAsia" w:ascii="宋体" w:hAnsi="宋体"/>
                <w:szCs w:val="21"/>
              </w:rPr>
              <w:t>电  话</w:t>
            </w:r>
          </w:p>
        </w:tc>
        <w:tc>
          <w:tcPr>
            <w:tcW w:w="2560" w:type="dxa"/>
            <w:gridSpan w:val="3"/>
            <w:noWrap w:val="0"/>
            <w:vAlign w:val="center"/>
          </w:tcPr>
          <w:p w14:paraId="4777F624">
            <w:pPr>
              <w:jc w:val="center"/>
              <w:rPr>
                <w:rFonts w:hint="eastAsia" w:ascii="宋体" w:hAnsi="宋体"/>
                <w:szCs w:val="21"/>
              </w:rPr>
            </w:pPr>
          </w:p>
        </w:tc>
      </w:tr>
      <w:tr w14:paraId="57977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5BB2B12A">
            <w:pPr>
              <w:jc w:val="center"/>
              <w:rPr>
                <w:rFonts w:hint="eastAsia" w:ascii="宋体" w:hAnsi="宋体"/>
                <w:szCs w:val="21"/>
              </w:rPr>
            </w:pPr>
          </w:p>
        </w:tc>
        <w:tc>
          <w:tcPr>
            <w:tcW w:w="897" w:type="dxa"/>
            <w:noWrap w:val="0"/>
            <w:vAlign w:val="center"/>
          </w:tcPr>
          <w:p w14:paraId="4240EF9A">
            <w:pPr>
              <w:jc w:val="center"/>
              <w:rPr>
                <w:rFonts w:hint="eastAsia" w:ascii="宋体" w:hAnsi="宋体"/>
                <w:szCs w:val="21"/>
              </w:rPr>
            </w:pPr>
            <w:r>
              <w:rPr>
                <w:rFonts w:hint="eastAsia" w:ascii="宋体" w:hAnsi="宋体"/>
                <w:szCs w:val="21"/>
              </w:rPr>
              <w:t>传  真</w:t>
            </w:r>
          </w:p>
        </w:tc>
        <w:tc>
          <w:tcPr>
            <w:tcW w:w="2492" w:type="dxa"/>
            <w:gridSpan w:val="3"/>
            <w:noWrap w:val="0"/>
            <w:vAlign w:val="center"/>
          </w:tcPr>
          <w:p w14:paraId="428ECF64">
            <w:pPr>
              <w:jc w:val="center"/>
              <w:rPr>
                <w:rFonts w:hint="eastAsia" w:ascii="宋体" w:hAnsi="宋体"/>
                <w:szCs w:val="21"/>
              </w:rPr>
            </w:pPr>
          </w:p>
        </w:tc>
        <w:tc>
          <w:tcPr>
            <w:tcW w:w="1246" w:type="dxa"/>
            <w:noWrap w:val="0"/>
            <w:vAlign w:val="center"/>
          </w:tcPr>
          <w:p w14:paraId="323A11B1">
            <w:pPr>
              <w:jc w:val="center"/>
              <w:rPr>
                <w:rFonts w:hint="eastAsia" w:ascii="宋体" w:hAnsi="宋体"/>
                <w:szCs w:val="21"/>
              </w:rPr>
            </w:pPr>
            <w:r>
              <w:rPr>
                <w:rFonts w:hint="eastAsia" w:ascii="宋体" w:hAnsi="宋体"/>
                <w:szCs w:val="21"/>
              </w:rPr>
              <w:t>网  址</w:t>
            </w:r>
          </w:p>
        </w:tc>
        <w:tc>
          <w:tcPr>
            <w:tcW w:w="2560" w:type="dxa"/>
            <w:gridSpan w:val="3"/>
            <w:noWrap w:val="0"/>
            <w:vAlign w:val="center"/>
          </w:tcPr>
          <w:p w14:paraId="1CDB3143">
            <w:pPr>
              <w:jc w:val="center"/>
              <w:rPr>
                <w:rFonts w:hint="eastAsia" w:ascii="宋体" w:hAnsi="宋体"/>
                <w:szCs w:val="21"/>
              </w:rPr>
            </w:pPr>
          </w:p>
        </w:tc>
      </w:tr>
      <w:tr w14:paraId="3594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E4D86EC">
            <w:pPr>
              <w:jc w:val="center"/>
              <w:rPr>
                <w:rFonts w:hint="eastAsia" w:ascii="宋体" w:hAnsi="宋体"/>
                <w:szCs w:val="21"/>
              </w:rPr>
            </w:pPr>
            <w:r>
              <w:rPr>
                <w:rFonts w:hint="eastAsia" w:ascii="宋体" w:hAnsi="宋体"/>
                <w:szCs w:val="21"/>
              </w:rPr>
              <w:t>组织结构</w:t>
            </w:r>
          </w:p>
        </w:tc>
        <w:tc>
          <w:tcPr>
            <w:tcW w:w="7195" w:type="dxa"/>
            <w:gridSpan w:val="8"/>
            <w:noWrap w:val="0"/>
            <w:vAlign w:val="center"/>
          </w:tcPr>
          <w:p w14:paraId="0C9907EF">
            <w:pPr>
              <w:jc w:val="center"/>
              <w:rPr>
                <w:rFonts w:hint="eastAsia" w:ascii="宋体" w:hAnsi="宋体"/>
                <w:szCs w:val="21"/>
              </w:rPr>
            </w:pPr>
          </w:p>
        </w:tc>
      </w:tr>
      <w:tr w14:paraId="55C3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CB6BF59">
            <w:pPr>
              <w:jc w:val="center"/>
              <w:rPr>
                <w:rFonts w:hint="eastAsia" w:ascii="宋体" w:hAnsi="宋体"/>
                <w:szCs w:val="21"/>
              </w:rPr>
            </w:pPr>
            <w:r>
              <w:rPr>
                <w:rFonts w:hint="eastAsia" w:ascii="宋体" w:hAnsi="宋体"/>
                <w:szCs w:val="21"/>
              </w:rPr>
              <w:t>法定代表人</w:t>
            </w:r>
          </w:p>
        </w:tc>
        <w:tc>
          <w:tcPr>
            <w:tcW w:w="897" w:type="dxa"/>
            <w:noWrap w:val="0"/>
            <w:vAlign w:val="center"/>
          </w:tcPr>
          <w:p w14:paraId="3D20D5BF">
            <w:pPr>
              <w:jc w:val="center"/>
              <w:rPr>
                <w:rFonts w:hint="eastAsia" w:ascii="宋体" w:hAnsi="宋体"/>
                <w:szCs w:val="21"/>
              </w:rPr>
            </w:pPr>
            <w:r>
              <w:rPr>
                <w:rFonts w:hint="eastAsia" w:ascii="宋体" w:hAnsi="宋体"/>
                <w:szCs w:val="21"/>
              </w:rPr>
              <w:t>姓名</w:t>
            </w:r>
          </w:p>
        </w:tc>
        <w:tc>
          <w:tcPr>
            <w:tcW w:w="1380" w:type="dxa"/>
            <w:noWrap w:val="0"/>
            <w:vAlign w:val="center"/>
          </w:tcPr>
          <w:p w14:paraId="4227CFCA">
            <w:pPr>
              <w:jc w:val="center"/>
              <w:rPr>
                <w:rFonts w:hint="eastAsia" w:ascii="宋体" w:hAnsi="宋体"/>
                <w:szCs w:val="21"/>
              </w:rPr>
            </w:pPr>
          </w:p>
        </w:tc>
        <w:tc>
          <w:tcPr>
            <w:tcW w:w="1080" w:type="dxa"/>
            <w:noWrap w:val="0"/>
            <w:vAlign w:val="center"/>
          </w:tcPr>
          <w:p w14:paraId="0CA87550">
            <w:pPr>
              <w:jc w:val="center"/>
              <w:rPr>
                <w:rFonts w:hint="eastAsia" w:ascii="宋体" w:hAnsi="宋体"/>
                <w:szCs w:val="21"/>
              </w:rPr>
            </w:pPr>
            <w:r>
              <w:rPr>
                <w:rFonts w:hint="eastAsia" w:ascii="宋体" w:hAnsi="宋体"/>
                <w:szCs w:val="21"/>
              </w:rPr>
              <w:t>技术职称</w:t>
            </w:r>
          </w:p>
        </w:tc>
        <w:tc>
          <w:tcPr>
            <w:tcW w:w="1620" w:type="dxa"/>
            <w:gridSpan w:val="3"/>
            <w:noWrap w:val="0"/>
            <w:vAlign w:val="center"/>
          </w:tcPr>
          <w:p w14:paraId="764345F4">
            <w:pPr>
              <w:jc w:val="center"/>
              <w:rPr>
                <w:rFonts w:hint="eastAsia" w:ascii="宋体" w:hAnsi="宋体"/>
                <w:szCs w:val="21"/>
              </w:rPr>
            </w:pPr>
          </w:p>
        </w:tc>
        <w:tc>
          <w:tcPr>
            <w:tcW w:w="900" w:type="dxa"/>
            <w:noWrap w:val="0"/>
            <w:vAlign w:val="center"/>
          </w:tcPr>
          <w:p w14:paraId="0D1615B2">
            <w:pPr>
              <w:jc w:val="center"/>
              <w:rPr>
                <w:rFonts w:hint="eastAsia" w:ascii="宋体" w:hAnsi="宋体"/>
                <w:szCs w:val="21"/>
              </w:rPr>
            </w:pPr>
            <w:r>
              <w:rPr>
                <w:rFonts w:hint="eastAsia" w:ascii="宋体" w:hAnsi="宋体"/>
                <w:szCs w:val="21"/>
              </w:rPr>
              <w:t>电话</w:t>
            </w:r>
          </w:p>
        </w:tc>
        <w:tc>
          <w:tcPr>
            <w:tcW w:w="1318" w:type="dxa"/>
            <w:noWrap w:val="0"/>
            <w:vAlign w:val="center"/>
          </w:tcPr>
          <w:p w14:paraId="71B39861">
            <w:pPr>
              <w:jc w:val="center"/>
              <w:rPr>
                <w:rFonts w:hint="eastAsia" w:ascii="宋体" w:hAnsi="宋体"/>
                <w:szCs w:val="21"/>
              </w:rPr>
            </w:pPr>
          </w:p>
        </w:tc>
      </w:tr>
      <w:tr w14:paraId="1D59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F6DAF5F">
            <w:pPr>
              <w:jc w:val="center"/>
              <w:rPr>
                <w:rFonts w:hint="eastAsia" w:ascii="宋体" w:hAnsi="宋体"/>
                <w:szCs w:val="21"/>
              </w:rPr>
            </w:pPr>
            <w:r>
              <w:rPr>
                <w:rFonts w:hint="eastAsia" w:ascii="宋体" w:hAnsi="宋体"/>
                <w:szCs w:val="21"/>
              </w:rPr>
              <w:t>技术负责人</w:t>
            </w:r>
          </w:p>
        </w:tc>
        <w:tc>
          <w:tcPr>
            <w:tcW w:w="897" w:type="dxa"/>
            <w:noWrap w:val="0"/>
            <w:vAlign w:val="center"/>
          </w:tcPr>
          <w:p w14:paraId="6BE2B8FA">
            <w:pPr>
              <w:jc w:val="center"/>
              <w:rPr>
                <w:rFonts w:hint="eastAsia" w:ascii="宋体" w:hAnsi="宋体"/>
                <w:szCs w:val="21"/>
              </w:rPr>
            </w:pPr>
            <w:r>
              <w:rPr>
                <w:rFonts w:hint="eastAsia" w:ascii="宋体" w:hAnsi="宋体"/>
                <w:szCs w:val="21"/>
              </w:rPr>
              <w:t>姓名</w:t>
            </w:r>
          </w:p>
        </w:tc>
        <w:tc>
          <w:tcPr>
            <w:tcW w:w="1380" w:type="dxa"/>
            <w:noWrap w:val="0"/>
            <w:vAlign w:val="center"/>
          </w:tcPr>
          <w:p w14:paraId="331CE0D8">
            <w:pPr>
              <w:jc w:val="center"/>
              <w:rPr>
                <w:rFonts w:hint="eastAsia" w:ascii="宋体" w:hAnsi="宋体"/>
                <w:szCs w:val="21"/>
              </w:rPr>
            </w:pPr>
          </w:p>
        </w:tc>
        <w:tc>
          <w:tcPr>
            <w:tcW w:w="1080" w:type="dxa"/>
            <w:noWrap w:val="0"/>
            <w:vAlign w:val="center"/>
          </w:tcPr>
          <w:p w14:paraId="54929EED">
            <w:pPr>
              <w:jc w:val="center"/>
              <w:rPr>
                <w:rFonts w:hint="eastAsia" w:ascii="宋体" w:hAnsi="宋体"/>
                <w:szCs w:val="21"/>
              </w:rPr>
            </w:pPr>
            <w:r>
              <w:rPr>
                <w:rFonts w:hint="eastAsia" w:ascii="宋体" w:hAnsi="宋体"/>
                <w:szCs w:val="21"/>
              </w:rPr>
              <w:t>技术职称</w:t>
            </w:r>
          </w:p>
        </w:tc>
        <w:tc>
          <w:tcPr>
            <w:tcW w:w="1620" w:type="dxa"/>
            <w:gridSpan w:val="3"/>
            <w:noWrap w:val="0"/>
            <w:vAlign w:val="center"/>
          </w:tcPr>
          <w:p w14:paraId="49021737">
            <w:pPr>
              <w:jc w:val="center"/>
              <w:rPr>
                <w:rFonts w:hint="eastAsia" w:ascii="宋体" w:hAnsi="宋体"/>
                <w:szCs w:val="21"/>
              </w:rPr>
            </w:pPr>
          </w:p>
        </w:tc>
        <w:tc>
          <w:tcPr>
            <w:tcW w:w="900" w:type="dxa"/>
            <w:noWrap w:val="0"/>
            <w:vAlign w:val="center"/>
          </w:tcPr>
          <w:p w14:paraId="40E889B1">
            <w:pPr>
              <w:jc w:val="center"/>
              <w:rPr>
                <w:rFonts w:hint="eastAsia" w:ascii="宋体" w:hAnsi="宋体"/>
                <w:szCs w:val="21"/>
              </w:rPr>
            </w:pPr>
            <w:r>
              <w:rPr>
                <w:rFonts w:hint="eastAsia" w:ascii="宋体" w:hAnsi="宋体"/>
                <w:szCs w:val="21"/>
              </w:rPr>
              <w:t>电话</w:t>
            </w:r>
          </w:p>
        </w:tc>
        <w:tc>
          <w:tcPr>
            <w:tcW w:w="1318" w:type="dxa"/>
            <w:noWrap w:val="0"/>
            <w:vAlign w:val="center"/>
          </w:tcPr>
          <w:p w14:paraId="03EB5BDB">
            <w:pPr>
              <w:jc w:val="center"/>
              <w:rPr>
                <w:rFonts w:hint="eastAsia" w:ascii="宋体" w:hAnsi="宋体"/>
                <w:szCs w:val="21"/>
              </w:rPr>
            </w:pPr>
          </w:p>
        </w:tc>
      </w:tr>
      <w:tr w14:paraId="049F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8A3FA08">
            <w:pPr>
              <w:jc w:val="center"/>
              <w:rPr>
                <w:rFonts w:hint="eastAsia" w:ascii="宋体" w:hAnsi="宋体"/>
                <w:szCs w:val="21"/>
              </w:rPr>
            </w:pPr>
            <w:r>
              <w:rPr>
                <w:rFonts w:hint="eastAsia" w:ascii="宋体" w:hAnsi="宋体"/>
                <w:szCs w:val="21"/>
              </w:rPr>
              <w:t>成立时间</w:t>
            </w:r>
          </w:p>
        </w:tc>
        <w:tc>
          <w:tcPr>
            <w:tcW w:w="2277" w:type="dxa"/>
            <w:gridSpan w:val="2"/>
            <w:noWrap w:val="0"/>
            <w:vAlign w:val="center"/>
          </w:tcPr>
          <w:p w14:paraId="2CA4FBD0">
            <w:pPr>
              <w:jc w:val="center"/>
              <w:rPr>
                <w:rFonts w:hint="eastAsia" w:ascii="宋体" w:hAnsi="宋体"/>
                <w:szCs w:val="21"/>
              </w:rPr>
            </w:pPr>
          </w:p>
        </w:tc>
        <w:tc>
          <w:tcPr>
            <w:tcW w:w="4918" w:type="dxa"/>
            <w:gridSpan w:val="6"/>
            <w:noWrap w:val="0"/>
            <w:vAlign w:val="center"/>
          </w:tcPr>
          <w:p w14:paraId="6A7D0F82">
            <w:pPr>
              <w:jc w:val="center"/>
              <w:rPr>
                <w:rFonts w:hint="eastAsia" w:ascii="宋体" w:hAnsi="宋体"/>
                <w:szCs w:val="21"/>
              </w:rPr>
            </w:pPr>
            <w:r>
              <w:rPr>
                <w:rFonts w:hint="eastAsia" w:ascii="宋体" w:hAnsi="宋体"/>
                <w:szCs w:val="21"/>
              </w:rPr>
              <w:t>员工总人数：</w:t>
            </w:r>
          </w:p>
        </w:tc>
      </w:tr>
      <w:tr w14:paraId="1DDD7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435738E0">
            <w:pPr>
              <w:jc w:val="center"/>
              <w:rPr>
                <w:rFonts w:hint="eastAsia" w:ascii="宋体" w:hAnsi="宋体"/>
                <w:szCs w:val="21"/>
              </w:rPr>
            </w:pPr>
            <w:r>
              <w:rPr>
                <w:rFonts w:hint="eastAsia" w:ascii="宋体" w:hAnsi="宋体"/>
                <w:szCs w:val="21"/>
              </w:rPr>
              <w:t>企业资质等级</w:t>
            </w:r>
          </w:p>
        </w:tc>
        <w:tc>
          <w:tcPr>
            <w:tcW w:w="2277" w:type="dxa"/>
            <w:gridSpan w:val="2"/>
            <w:noWrap w:val="0"/>
            <w:vAlign w:val="center"/>
          </w:tcPr>
          <w:p w14:paraId="6BEB6321">
            <w:pPr>
              <w:jc w:val="center"/>
              <w:rPr>
                <w:rFonts w:hint="eastAsia" w:ascii="宋体" w:hAnsi="宋体"/>
                <w:szCs w:val="21"/>
              </w:rPr>
            </w:pPr>
          </w:p>
        </w:tc>
        <w:tc>
          <w:tcPr>
            <w:tcW w:w="1080" w:type="dxa"/>
            <w:vMerge w:val="restart"/>
            <w:noWrap w:val="0"/>
            <w:vAlign w:val="center"/>
          </w:tcPr>
          <w:p w14:paraId="16C26AEC">
            <w:pPr>
              <w:jc w:val="center"/>
              <w:rPr>
                <w:rFonts w:hint="eastAsia" w:ascii="宋体" w:hAnsi="宋体"/>
                <w:szCs w:val="21"/>
              </w:rPr>
            </w:pPr>
            <w:r>
              <w:rPr>
                <w:rFonts w:hint="eastAsia" w:ascii="宋体" w:hAnsi="宋体"/>
                <w:szCs w:val="21"/>
              </w:rPr>
              <w:t>其中</w:t>
            </w:r>
          </w:p>
        </w:tc>
        <w:tc>
          <w:tcPr>
            <w:tcW w:w="1620" w:type="dxa"/>
            <w:gridSpan w:val="3"/>
            <w:noWrap w:val="0"/>
            <w:vAlign w:val="center"/>
          </w:tcPr>
          <w:p w14:paraId="6C5A3618">
            <w:pPr>
              <w:jc w:val="center"/>
              <w:rPr>
                <w:rFonts w:hint="eastAsia" w:ascii="宋体" w:hAnsi="宋体"/>
                <w:szCs w:val="21"/>
              </w:rPr>
            </w:pPr>
            <w:r>
              <w:rPr>
                <w:rFonts w:hint="eastAsia" w:ascii="宋体" w:hAnsi="宋体"/>
                <w:szCs w:val="21"/>
              </w:rPr>
              <w:t>注册建造师</w:t>
            </w:r>
          </w:p>
        </w:tc>
        <w:tc>
          <w:tcPr>
            <w:tcW w:w="2218" w:type="dxa"/>
            <w:gridSpan w:val="2"/>
            <w:noWrap w:val="0"/>
            <w:vAlign w:val="center"/>
          </w:tcPr>
          <w:p w14:paraId="5F4F231D">
            <w:pPr>
              <w:jc w:val="center"/>
              <w:rPr>
                <w:rFonts w:hint="eastAsia" w:ascii="宋体" w:hAnsi="宋体"/>
                <w:szCs w:val="21"/>
              </w:rPr>
            </w:pPr>
          </w:p>
        </w:tc>
      </w:tr>
      <w:tr w14:paraId="05A97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E3CC749">
            <w:pPr>
              <w:jc w:val="center"/>
              <w:rPr>
                <w:rFonts w:hint="eastAsia" w:ascii="宋体" w:hAnsi="宋体"/>
                <w:szCs w:val="21"/>
              </w:rPr>
            </w:pPr>
            <w:r>
              <w:rPr>
                <w:rFonts w:hint="eastAsia" w:ascii="宋体" w:hAnsi="宋体"/>
                <w:szCs w:val="21"/>
              </w:rPr>
              <w:t>营业执照号</w:t>
            </w:r>
          </w:p>
        </w:tc>
        <w:tc>
          <w:tcPr>
            <w:tcW w:w="2277" w:type="dxa"/>
            <w:gridSpan w:val="2"/>
            <w:noWrap w:val="0"/>
            <w:vAlign w:val="center"/>
          </w:tcPr>
          <w:p w14:paraId="44D12B95">
            <w:pPr>
              <w:jc w:val="center"/>
              <w:rPr>
                <w:rFonts w:hint="eastAsia" w:ascii="宋体" w:hAnsi="宋体"/>
                <w:szCs w:val="21"/>
              </w:rPr>
            </w:pPr>
          </w:p>
        </w:tc>
        <w:tc>
          <w:tcPr>
            <w:tcW w:w="1080" w:type="dxa"/>
            <w:vMerge w:val="continue"/>
            <w:noWrap w:val="0"/>
            <w:vAlign w:val="center"/>
          </w:tcPr>
          <w:p w14:paraId="055AE6B7">
            <w:pPr>
              <w:jc w:val="center"/>
              <w:rPr>
                <w:rFonts w:hint="eastAsia" w:ascii="宋体" w:hAnsi="宋体"/>
                <w:szCs w:val="21"/>
              </w:rPr>
            </w:pPr>
          </w:p>
        </w:tc>
        <w:tc>
          <w:tcPr>
            <w:tcW w:w="1620" w:type="dxa"/>
            <w:gridSpan w:val="3"/>
            <w:noWrap w:val="0"/>
            <w:vAlign w:val="center"/>
          </w:tcPr>
          <w:p w14:paraId="3D310BBD">
            <w:pPr>
              <w:jc w:val="center"/>
              <w:rPr>
                <w:rFonts w:hint="eastAsia" w:ascii="宋体" w:hAnsi="宋体"/>
                <w:szCs w:val="21"/>
              </w:rPr>
            </w:pPr>
            <w:r>
              <w:rPr>
                <w:rFonts w:hint="eastAsia" w:ascii="宋体" w:hAnsi="宋体"/>
                <w:szCs w:val="21"/>
              </w:rPr>
              <w:t>高级职称人员</w:t>
            </w:r>
          </w:p>
        </w:tc>
        <w:tc>
          <w:tcPr>
            <w:tcW w:w="2218" w:type="dxa"/>
            <w:gridSpan w:val="2"/>
            <w:noWrap w:val="0"/>
            <w:vAlign w:val="center"/>
          </w:tcPr>
          <w:p w14:paraId="54666D2E">
            <w:pPr>
              <w:jc w:val="center"/>
              <w:rPr>
                <w:rFonts w:hint="eastAsia" w:ascii="宋体" w:hAnsi="宋体"/>
                <w:szCs w:val="21"/>
              </w:rPr>
            </w:pPr>
          </w:p>
        </w:tc>
      </w:tr>
      <w:tr w14:paraId="7AA2A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4A7013EA">
            <w:pPr>
              <w:jc w:val="center"/>
              <w:rPr>
                <w:rFonts w:hint="eastAsia" w:ascii="宋体" w:hAnsi="宋体"/>
                <w:szCs w:val="21"/>
              </w:rPr>
            </w:pPr>
            <w:r>
              <w:rPr>
                <w:rFonts w:hint="eastAsia" w:ascii="宋体" w:hAnsi="宋体"/>
                <w:szCs w:val="21"/>
              </w:rPr>
              <w:t>注册资金</w:t>
            </w:r>
          </w:p>
        </w:tc>
        <w:tc>
          <w:tcPr>
            <w:tcW w:w="2277" w:type="dxa"/>
            <w:gridSpan w:val="2"/>
            <w:noWrap w:val="0"/>
            <w:vAlign w:val="center"/>
          </w:tcPr>
          <w:p w14:paraId="03C45CD5">
            <w:pPr>
              <w:jc w:val="center"/>
              <w:rPr>
                <w:rFonts w:hint="eastAsia" w:ascii="宋体" w:hAnsi="宋体"/>
                <w:szCs w:val="21"/>
              </w:rPr>
            </w:pPr>
          </w:p>
        </w:tc>
        <w:tc>
          <w:tcPr>
            <w:tcW w:w="1080" w:type="dxa"/>
            <w:vMerge w:val="continue"/>
            <w:noWrap w:val="0"/>
            <w:vAlign w:val="center"/>
          </w:tcPr>
          <w:p w14:paraId="4C4C06AD">
            <w:pPr>
              <w:jc w:val="center"/>
              <w:rPr>
                <w:rFonts w:hint="eastAsia" w:ascii="宋体" w:hAnsi="宋体"/>
                <w:szCs w:val="21"/>
              </w:rPr>
            </w:pPr>
          </w:p>
        </w:tc>
        <w:tc>
          <w:tcPr>
            <w:tcW w:w="1620" w:type="dxa"/>
            <w:gridSpan w:val="3"/>
            <w:noWrap w:val="0"/>
            <w:vAlign w:val="center"/>
          </w:tcPr>
          <w:p w14:paraId="247272FD">
            <w:pPr>
              <w:jc w:val="center"/>
              <w:rPr>
                <w:rFonts w:hint="eastAsia" w:ascii="宋体" w:hAnsi="宋体"/>
                <w:szCs w:val="21"/>
              </w:rPr>
            </w:pPr>
            <w:r>
              <w:rPr>
                <w:rFonts w:hint="eastAsia" w:ascii="宋体" w:hAnsi="宋体"/>
                <w:szCs w:val="21"/>
              </w:rPr>
              <w:t>中级职称人员</w:t>
            </w:r>
          </w:p>
        </w:tc>
        <w:tc>
          <w:tcPr>
            <w:tcW w:w="2218" w:type="dxa"/>
            <w:gridSpan w:val="2"/>
            <w:noWrap w:val="0"/>
            <w:vAlign w:val="center"/>
          </w:tcPr>
          <w:p w14:paraId="3FA709CE">
            <w:pPr>
              <w:jc w:val="center"/>
              <w:rPr>
                <w:rFonts w:hint="eastAsia" w:ascii="宋体" w:hAnsi="宋体"/>
                <w:szCs w:val="21"/>
              </w:rPr>
            </w:pPr>
          </w:p>
        </w:tc>
      </w:tr>
      <w:tr w14:paraId="6822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9733D9">
            <w:pPr>
              <w:jc w:val="center"/>
              <w:rPr>
                <w:rFonts w:hint="eastAsia" w:ascii="宋体" w:hAnsi="宋体"/>
                <w:szCs w:val="21"/>
              </w:rPr>
            </w:pPr>
            <w:r>
              <w:rPr>
                <w:rFonts w:hint="eastAsia" w:ascii="宋体" w:hAnsi="宋体"/>
                <w:szCs w:val="21"/>
              </w:rPr>
              <w:t>基本帐户</w:t>
            </w:r>
          </w:p>
          <w:p w14:paraId="74FB7DA4">
            <w:pPr>
              <w:jc w:val="center"/>
              <w:rPr>
                <w:rFonts w:hint="eastAsia" w:ascii="宋体" w:hAnsi="宋体"/>
                <w:szCs w:val="21"/>
              </w:rPr>
            </w:pPr>
            <w:r>
              <w:rPr>
                <w:rFonts w:hint="eastAsia" w:ascii="宋体" w:hAnsi="宋体"/>
                <w:szCs w:val="21"/>
              </w:rPr>
              <w:t>开户银行</w:t>
            </w:r>
          </w:p>
        </w:tc>
        <w:tc>
          <w:tcPr>
            <w:tcW w:w="2277" w:type="dxa"/>
            <w:gridSpan w:val="2"/>
            <w:noWrap w:val="0"/>
            <w:vAlign w:val="center"/>
          </w:tcPr>
          <w:p w14:paraId="55B2D017">
            <w:pPr>
              <w:jc w:val="center"/>
              <w:rPr>
                <w:rFonts w:hint="eastAsia" w:ascii="宋体" w:hAnsi="宋体"/>
                <w:szCs w:val="21"/>
              </w:rPr>
            </w:pPr>
          </w:p>
        </w:tc>
        <w:tc>
          <w:tcPr>
            <w:tcW w:w="1080" w:type="dxa"/>
            <w:vMerge w:val="continue"/>
            <w:noWrap w:val="0"/>
            <w:vAlign w:val="center"/>
          </w:tcPr>
          <w:p w14:paraId="5A89C4B2">
            <w:pPr>
              <w:jc w:val="center"/>
              <w:rPr>
                <w:rFonts w:hint="eastAsia" w:ascii="宋体" w:hAnsi="宋体"/>
                <w:szCs w:val="21"/>
              </w:rPr>
            </w:pPr>
          </w:p>
        </w:tc>
        <w:tc>
          <w:tcPr>
            <w:tcW w:w="1620" w:type="dxa"/>
            <w:gridSpan w:val="3"/>
            <w:noWrap w:val="0"/>
            <w:vAlign w:val="center"/>
          </w:tcPr>
          <w:p w14:paraId="15984339">
            <w:pPr>
              <w:jc w:val="center"/>
              <w:rPr>
                <w:rFonts w:hint="eastAsia" w:ascii="宋体" w:hAnsi="宋体"/>
                <w:szCs w:val="21"/>
              </w:rPr>
            </w:pPr>
            <w:r>
              <w:rPr>
                <w:rFonts w:hint="eastAsia" w:ascii="宋体" w:hAnsi="宋体"/>
                <w:szCs w:val="21"/>
              </w:rPr>
              <w:t>初级职称人员</w:t>
            </w:r>
          </w:p>
        </w:tc>
        <w:tc>
          <w:tcPr>
            <w:tcW w:w="2218" w:type="dxa"/>
            <w:gridSpan w:val="2"/>
            <w:noWrap w:val="0"/>
            <w:vAlign w:val="center"/>
          </w:tcPr>
          <w:p w14:paraId="74361A4F">
            <w:pPr>
              <w:jc w:val="center"/>
              <w:rPr>
                <w:rFonts w:hint="eastAsia" w:ascii="宋体" w:hAnsi="宋体"/>
                <w:szCs w:val="21"/>
              </w:rPr>
            </w:pPr>
          </w:p>
        </w:tc>
      </w:tr>
      <w:tr w14:paraId="0332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0BAB2BB">
            <w:pPr>
              <w:jc w:val="center"/>
              <w:rPr>
                <w:rFonts w:hint="eastAsia" w:ascii="宋体" w:hAnsi="宋体"/>
                <w:szCs w:val="21"/>
              </w:rPr>
            </w:pPr>
            <w:r>
              <w:rPr>
                <w:rFonts w:hint="eastAsia" w:ascii="宋体" w:hAnsi="宋体"/>
                <w:szCs w:val="21"/>
              </w:rPr>
              <w:t>基本帐户</w:t>
            </w:r>
          </w:p>
          <w:p w14:paraId="5179560F">
            <w:pPr>
              <w:jc w:val="center"/>
              <w:rPr>
                <w:rFonts w:hint="eastAsia" w:ascii="宋体" w:hAnsi="宋体"/>
                <w:szCs w:val="21"/>
              </w:rPr>
            </w:pPr>
            <w:r>
              <w:rPr>
                <w:rFonts w:hint="eastAsia" w:ascii="宋体" w:hAnsi="宋体"/>
                <w:szCs w:val="21"/>
              </w:rPr>
              <w:t>账号</w:t>
            </w:r>
          </w:p>
        </w:tc>
        <w:tc>
          <w:tcPr>
            <w:tcW w:w="2277" w:type="dxa"/>
            <w:gridSpan w:val="2"/>
            <w:noWrap w:val="0"/>
            <w:vAlign w:val="center"/>
          </w:tcPr>
          <w:p w14:paraId="26F19EDB">
            <w:pPr>
              <w:jc w:val="center"/>
              <w:rPr>
                <w:rFonts w:hint="eastAsia" w:ascii="宋体" w:hAnsi="宋体"/>
                <w:szCs w:val="21"/>
              </w:rPr>
            </w:pPr>
          </w:p>
        </w:tc>
        <w:tc>
          <w:tcPr>
            <w:tcW w:w="1080" w:type="dxa"/>
            <w:vMerge w:val="continue"/>
            <w:noWrap w:val="0"/>
            <w:vAlign w:val="center"/>
          </w:tcPr>
          <w:p w14:paraId="19EBF583">
            <w:pPr>
              <w:jc w:val="center"/>
              <w:rPr>
                <w:rFonts w:hint="eastAsia" w:ascii="宋体" w:hAnsi="宋体"/>
                <w:szCs w:val="21"/>
              </w:rPr>
            </w:pPr>
          </w:p>
        </w:tc>
        <w:tc>
          <w:tcPr>
            <w:tcW w:w="1620" w:type="dxa"/>
            <w:gridSpan w:val="3"/>
            <w:noWrap w:val="0"/>
            <w:vAlign w:val="center"/>
          </w:tcPr>
          <w:p w14:paraId="6D7E0061">
            <w:pPr>
              <w:jc w:val="center"/>
              <w:rPr>
                <w:rFonts w:hint="eastAsia" w:ascii="宋体" w:hAnsi="宋体"/>
                <w:szCs w:val="21"/>
              </w:rPr>
            </w:pPr>
            <w:r>
              <w:rPr>
                <w:rFonts w:hint="eastAsia" w:ascii="宋体" w:hAnsi="宋体"/>
                <w:szCs w:val="21"/>
              </w:rPr>
              <w:t>技  工</w:t>
            </w:r>
          </w:p>
        </w:tc>
        <w:tc>
          <w:tcPr>
            <w:tcW w:w="2218" w:type="dxa"/>
            <w:gridSpan w:val="2"/>
            <w:noWrap w:val="0"/>
            <w:vAlign w:val="center"/>
          </w:tcPr>
          <w:p w14:paraId="45E42AA4">
            <w:pPr>
              <w:jc w:val="center"/>
              <w:rPr>
                <w:rFonts w:hint="eastAsia" w:ascii="宋体" w:hAnsi="宋体"/>
                <w:szCs w:val="21"/>
              </w:rPr>
            </w:pPr>
          </w:p>
        </w:tc>
      </w:tr>
      <w:tr w14:paraId="316D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485" w:type="dxa"/>
            <w:noWrap w:val="0"/>
            <w:vAlign w:val="center"/>
          </w:tcPr>
          <w:p w14:paraId="596FCE40">
            <w:pPr>
              <w:jc w:val="center"/>
              <w:rPr>
                <w:rFonts w:hint="eastAsia" w:ascii="宋体" w:hAnsi="宋体"/>
                <w:szCs w:val="21"/>
              </w:rPr>
            </w:pPr>
            <w:r>
              <w:rPr>
                <w:rFonts w:hint="eastAsia" w:ascii="宋体" w:hAnsi="宋体"/>
                <w:szCs w:val="21"/>
              </w:rPr>
              <w:t>经营范围</w:t>
            </w:r>
          </w:p>
        </w:tc>
        <w:tc>
          <w:tcPr>
            <w:tcW w:w="7195" w:type="dxa"/>
            <w:gridSpan w:val="8"/>
            <w:noWrap w:val="0"/>
            <w:vAlign w:val="center"/>
          </w:tcPr>
          <w:p w14:paraId="159D306A">
            <w:pPr>
              <w:jc w:val="center"/>
              <w:rPr>
                <w:rFonts w:hint="eastAsia" w:ascii="宋体" w:hAnsi="宋体"/>
                <w:szCs w:val="21"/>
              </w:rPr>
            </w:pPr>
          </w:p>
        </w:tc>
      </w:tr>
      <w:tr w14:paraId="3067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B2A79C2">
            <w:pPr>
              <w:jc w:val="center"/>
              <w:rPr>
                <w:rFonts w:hint="eastAsia" w:ascii="宋体" w:hAnsi="宋体"/>
                <w:szCs w:val="21"/>
              </w:rPr>
            </w:pPr>
            <w:r>
              <w:rPr>
                <w:rFonts w:hint="eastAsia" w:ascii="宋体" w:hAnsi="宋体"/>
                <w:szCs w:val="21"/>
              </w:rPr>
              <w:t>备注</w:t>
            </w:r>
          </w:p>
        </w:tc>
        <w:tc>
          <w:tcPr>
            <w:tcW w:w="7195" w:type="dxa"/>
            <w:gridSpan w:val="8"/>
            <w:noWrap w:val="0"/>
            <w:vAlign w:val="center"/>
          </w:tcPr>
          <w:p w14:paraId="3F30E2FC">
            <w:pPr>
              <w:jc w:val="center"/>
              <w:rPr>
                <w:rFonts w:hint="eastAsia" w:ascii="宋体" w:hAnsi="宋体"/>
                <w:szCs w:val="21"/>
              </w:rPr>
            </w:pPr>
          </w:p>
        </w:tc>
      </w:tr>
    </w:tbl>
    <w:p w14:paraId="4A4F5E06">
      <w:pPr>
        <w:spacing w:line="400" w:lineRule="atLeast"/>
        <w:ind w:left="945" w:hanging="945" w:hangingChars="450"/>
        <w:rPr>
          <w:rFonts w:hint="eastAsia" w:ascii="宋体" w:hAnsi="宋体"/>
          <w:szCs w:val="21"/>
        </w:rPr>
      </w:pPr>
    </w:p>
    <w:p w14:paraId="284D976D">
      <w:pPr>
        <w:spacing w:line="400" w:lineRule="atLeast"/>
        <w:ind w:left="945" w:hanging="945" w:hangingChars="450"/>
        <w:rPr>
          <w:rFonts w:hint="eastAsia" w:ascii="宋体" w:hAnsi="宋体"/>
          <w:szCs w:val="21"/>
        </w:rPr>
      </w:pPr>
    </w:p>
    <w:p w14:paraId="5F778310">
      <w:pPr>
        <w:spacing w:line="400" w:lineRule="atLeast"/>
        <w:ind w:left="945" w:hanging="945" w:hangingChars="450"/>
        <w:rPr>
          <w:rFonts w:hint="eastAsia" w:ascii="宋体" w:hAnsi="宋体"/>
          <w:szCs w:val="21"/>
        </w:rPr>
      </w:pPr>
      <w:r>
        <w:rPr>
          <w:rFonts w:hint="eastAsia" w:ascii="宋体" w:hAnsi="宋体"/>
          <w:szCs w:val="21"/>
        </w:rPr>
        <w:t>备注：1. 本表后应附企业法人营业执照、企业资质证书、安全生产许可证、</w:t>
      </w:r>
      <w:r>
        <w:rPr>
          <w:rFonts w:ascii="宋体" w:hAnsi="宋体"/>
          <w:szCs w:val="21"/>
        </w:rPr>
        <w:t>基本账户开户许可证</w:t>
      </w:r>
      <w:r>
        <w:rPr>
          <w:rFonts w:hint="eastAsia" w:ascii="宋体" w:hAnsi="宋体"/>
        </w:rPr>
        <w:t>（基本存款账户信息）</w:t>
      </w:r>
      <w:r>
        <w:rPr>
          <w:rFonts w:hint="eastAsia" w:ascii="宋体" w:hAnsi="宋体"/>
          <w:szCs w:val="21"/>
        </w:rPr>
        <w:t>、</w:t>
      </w:r>
      <w:r>
        <w:rPr>
          <w:rFonts w:ascii="宋体" w:hAnsi="宋体"/>
          <w:szCs w:val="21"/>
        </w:rPr>
        <w:t>质量</w:t>
      </w:r>
      <w:r>
        <w:rPr>
          <w:rFonts w:hint="eastAsia" w:ascii="宋体" w:hAnsi="宋体"/>
          <w:szCs w:val="21"/>
        </w:rPr>
        <w:t>、</w:t>
      </w:r>
      <w:r>
        <w:rPr>
          <w:rFonts w:ascii="宋体" w:hAnsi="宋体"/>
          <w:szCs w:val="21"/>
        </w:rPr>
        <w:t>环境</w:t>
      </w:r>
      <w:r>
        <w:rPr>
          <w:rFonts w:hint="eastAsia" w:ascii="宋体" w:hAnsi="宋体"/>
          <w:szCs w:val="21"/>
        </w:rPr>
        <w:t>、职业健康安全管理体系认证证书等材料的扫描件。</w:t>
      </w:r>
    </w:p>
    <w:p w14:paraId="39CE446D">
      <w:pPr>
        <w:spacing w:line="400" w:lineRule="atLeast"/>
        <w:ind w:firstLine="630" w:firstLineChars="300"/>
        <w:rPr>
          <w:rFonts w:hint="eastAsia"/>
          <w:szCs w:val="21"/>
        </w:rPr>
      </w:pPr>
      <w:r>
        <w:rPr>
          <w:szCs w:val="21"/>
        </w:rPr>
        <w:t>2</w:t>
      </w:r>
      <w:r>
        <w:rPr>
          <w:rFonts w:hint="eastAsia"/>
          <w:szCs w:val="21"/>
        </w:rPr>
        <w:t>．联合体投标的，联合体各成员应分别填写。</w:t>
      </w:r>
    </w:p>
    <w:p w14:paraId="30334AC6">
      <w:pPr>
        <w:jc w:val="center"/>
        <w:rPr>
          <w:rFonts w:hint="eastAsia" w:ascii="黑体" w:hAnsi="宋体" w:eastAsia="黑体"/>
          <w:b/>
          <w:sz w:val="24"/>
        </w:rPr>
      </w:pPr>
    </w:p>
    <w:p w14:paraId="014DB14B">
      <w:pPr>
        <w:jc w:val="center"/>
        <w:rPr>
          <w:rFonts w:hint="eastAsia" w:ascii="黑体" w:hAnsi="宋体" w:eastAsia="黑体"/>
          <w:b/>
          <w:sz w:val="24"/>
        </w:rPr>
      </w:pPr>
    </w:p>
    <w:p w14:paraId="259407FF">
      <w:pPr>
        <w:pStyle w:val="20"/>
        <w:jc w:val="center"/>
        <w:rPr>
          <w:rFonts w:hint="eastAsia"/>
          <w:szCs w:val="24"/>
        </w:rPr>
      </w:pPr>
      <w:bookmarkStart w:id="2655" w:name="_Toc108514241"/>
      <w:bookmarkStart w:id="2656" w:name="_Toc467365520"/>
      <w:r>
        <w:rPr>
          <w:rFonts w:hint="eastAsia"/>
          <w:szCs w:val="24"/>
        </w:rPr>
        <w:t>1-2关联单位情况说明</w:t>
      </w:r>
      <w:bookmarkEnd w:id="2655"/>
      <w:bookmarkEnd w:id="2656"/>
    </w:p>
    <w:p w14:paraId="7D9570DA">
      <w:pPr>
        <w:pStyle w:val="6"/>
        <w:widowControl/>
        <w:spacing w:after="0" w:line="360" w:lineRule="exact"/>
        <w:ind w:firstLine="560" w:firstLineChars="200"/>
        <w:jc w:val="center"/>
        <w:outlineLvl w:val="3"/>
        <w:rPr>
          <w:rFonts w:hint="eastAsia" w:eastAsia="黑体" w:cs="宋体"/>
          <w:bCs/>
          <w:kern w:val="20"/>
          <w:sz w:val="28"/>
          <w:szCs w:val="28"/>
        </w:rPr>
      </w:pPr>
    </w:p>
    <w:p w14:paraId="0D00722F">
      <w:pPr>
        <w:widowControl/>
        <w:spacing w:line="360" w:lineRule="exact"/>
        <w:ind w:firstLine="210" w:firstLineChars="100"/>
        <w:rPr>
          <w:rFonts w:hint="eastAsia"/>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1ED5AC2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42D79E48">
            <w:pPr>
              <w:tabs>
                <w:tab w:val="left" w:pos="0"/>
              </w:tabs>
              <w:snapToGrid w:val="0"/>
              <w:spacing w:line="360" w:lineRule="exact"/>
              <w:rPr>
                <w:szCs w:val="21"/>
              </w:rPr>
            </w:pPr>
          </w:p>
          <w:p w14:paraId="218AE97E">
            <w:pPr>
              <w:ind w:left="945" w:hanging="945" w:hangingChars="450"/>
              <w:rPr>
                <w:rFonts w:hint="eastAsia" w:ascii="宋体" w:hAnsi="宋体"/>
              </w:rPr>
            </w:pPr>
            <w:r>
              <w:rPr>
                <w:rFonts w:ascii="宋体" w:hAnsi="宋体"/>
              </w:rPr>
              <w:t>单位负责人</w:t>
            </w:r>
            <w:r>
              <w:rPr>
                <w:rFonts w:hint="eastAsia" w:ascii="宋体" w:hAnsi="宋体"/>
              </w:rPr>
              <w:t>与本</w:t>
            </w:r>
            <w:r>
              <w:rPr>
                <w:rFonts w:ascii="宋体" w:hAnsi="宋体"/>
              </w:rPr>
              <w:t>单位负责人为同一人</w:t>
            </w:r>
            <w:r>
              <w:rPr>
                <w:rFonts w:hint="eastAsia" w:ascii="宋体" w:hAnsi="宋体"/>
              </w:rPr>
              <w:t>的单位：</w:t>
            </w:r>
          </w:p>
          <w:p w14:paraId="070B7A37">
            <w:pPr>
              <w:ind w:left="945" w:hanging="945" w:hangingChars="450"/>
              <w:rPr>
                <w:rFonts w:hint="eastAsia" w:ascii="宋体" w:hAnsi="宋体"/>
              </w:rPr>
            </w:pPr>
          </w:p>
          <w:p w14:paraId="5404854B">
            <w:pPr>
              <w:ind w:left="945" w:hanging="945" w:hangingChars="450"/>
              <w:rPr>
                <w:rFonts w:hint="eastAsia" w:ascii="宋体" w:hAnsi="宋体"/>
              </w:rPr>
            </w:pPr>
          </w:p>
          <w:p w14:paraId="0A23ABD2">
            <w:pPr>
              <w:ind w:left="945" w:hanging="945" w:hangingChars="450"/>
              <w:rPr>
                <w:rFonts w:hint="eastAsia" w:ascii="宋体" w:hAnsi="宋体"/>
              </w:rPr>
            </w:pPr>
          </w:p>
          <w:p w14:paraId="054CA6AC">
            <w:pPr>
              <w:ind w:left="945" w:hanging="945" w:hangingChars="450"/>
              <w:rPr>
                <w:rFonts w:hint="eastAsia" w:ascii="宋体" w:hAnsi="宋体"/>
              </w:rPr>
            </w:pPr>
          </w:p>
          <w:p w14:paraId="64619E96">
            <w:pPr>
              <w:ind w:left="945" w:hanging="945" w:hangingChars="450"/>
              <w:rPr>
                <w:rFonts w:hint="eastAsia" w:ascii="宋体" w:hAnsi="宋体"/>
              </w:rPr>
            </w:pPr>
          </w:p>
          <w:p w14:paraId="5D5BB7DC">
            <w:pPr>
              <w:ind w:left="945" w:hanging="945" w:hangingChars="450"/>
              <w:rPr>
                <w:rFonts w:hint="eastAsia" w:ascii="宋体" w:hAnsi="宋体"/>
              </w:rPr>
            </w:pPr>
          </w:p>
          <w:p w14:paraId="7E9722BA">
            <w:pPr>
              <w:ind w:left="945" w:hanging="945" w:hangingChars="450"/>
              <w:rPr>
                <w:rFonts w:hint="eastAsia" w:ascii="宋体" w:hAnsi="宋体"/>
              </w:rPr>
            </w:pPr>
            <w:r>
              <w:rPr>
                <w:rFonts w:hint="eastAsia" w:ascii="宋体" w:hAnsi="宋体"/>
              </w:rPr>
              <w:t>与本</w:t>
            </w:r>
            <w:r>
              <w:rPr>
                <w:rFonts w:ascii="宋体" w:hAnsi="宋体"/>
              </w:rPr>
              <w:t>单位存在控股</w:t>
            </w:r>
            <w:r>
              <w:rPr>
                <w:rFonts w:hint="eastAsia" w:ascii="宋体" w:hAnsi="宋体"/>
              </w:rPr>
              <w:t>与被控股</w:t>
            </w:r>
            <w:r>
              <w:rPr>
                <w:rFonts w:ascii="宋体" w:hAnsi="宋体"/>
              </w:rPr>
              <w:t>关系的单位</w:t>
            </w:r>
            <w:r>
              <w:rPr>
                <w:rFonts w:hint="eastAsia" w:ascii="宋体" w:hAnsi="宋体"/>
              </w:rPr>
              <w:t>：</w:t>
            </w:r>
          </w:p>
          <w:p w14:paraId="5D4D6638">
            <w:pPr>
              <w:ind w:left="945" w:hanging="945" w:hangingChars="450"/>
              <w:rPr>
                <w:rFonts w:hint="eastAsia" w:ascii="宋体" w:hAnsi="宋体"/>
              </w:rPr>
            </w:pPr>
          </w:p>
          <w:p w14:paraId="6B22A4E6">
            <w:pPr>
              <w:ind w:left="945" w:hanging="945" w:hangingChars="450"/>
              <w:rPr>
                <w:rFonts w:hint="eastAsia" w:ascii="宋体" w:hAnsi="宋体"/>
              </w:rPr>
            </w:pPr>
          </w:p>
          <w:p w14:paraId="7DA85051">
            <w:pPr>
              <w:ind w:left="945" w:hanging="945" w:hangingChars="450"/>
              <w:rPr>
                <w:rFonts w:hint="eastAsia" w:ascii="宋体" w:hAnsi="宋体"/>
              </w:rPr>
            </w:pPr>
          </w:p>
          <w:p w14:paraId="5C7F9F88">
            <w:pPr>
              <w:ind w:left="945" w:hanging="945" w:hangingChars="450"/>
              <w:rPr>
                <w:rFonts w:hint="eastAsia" w:ascii="宋体" w:hAnsi="宋体"/>
              </w:rPr>
            </w:pPr>
          </w:p>
          <w:p w14:paraId="2308CD23">
            <w:pPr>
              <w:ind w:left="945" w:hanging="945" w:hangingChars="450"/>
              <w:rPr>
                <w:rFonts w:hint="eastAsia" w:ascii="宋体" w:hAnsi="宋体"/>
              </w:rPr>
            </w:pPr>
          </w:p>
          <w:p w14:paraId="2035B8FF">
            <w:pPr>
              <w:ind w:left="945" w:hanging="945" w:hangingChars="450"/>
              <w:rPr>
                <w:rFonts w:hint="eastAsia" w:ascii="宋体" w:hAnsi="宋体"/>
              </w:rPr>
            </w:pPr>
          </w:p>
          <w:p w14:paraId="4C5DE9D1">
            <w:pPr>
              <w:ind w:left="945" w:hanging="945" w:hangingChars="450"/>
              <w:rPr>
                <w:rFonts w:hint="eastAsia" w:ascii="宋体" w:hAnsi="宋体"/>
              </w:rPr>
            </w:pPr>
          </w:p>
          <w:p w14:paraId="44890390">
            <w:pPr>
              <w:ind w:left="945" w:hanging="945" w:hangingChars="450"/>
              <w:rPr>
                <w:rFonts w:hint="eastAsia" w:ascii="宋体" w:hAnsi="宋体"/>
              </w:rPr>
            </w:pPr>
          </w:p>
          <w:p w14:paraId="68D63462">
            <w:pPr>
              <w:ind w:left="945" w:hanging="945" w:hangingChars="450"/>
              <w:rPr>
                <w:rFonts w:hint="eastAsia" w:ascii="宋体" w:hAnsi="宋体"/>
              </w:rPr>
            </w:pPr>
          </w:p>
          <w:p w14:paraId="4D97753E">
            <w:pPr>
              <w:ind w:left="945" w:hanging="945" w:hangingChars="450"/>
              <w:rPr>
                <w:rFonts w:ascii="宋体" w:hAnsi="宋体"/>
              </w:rPr>
            </w:pPr>
            <w:r>
              <w:rPr>
                <w:rFonts w:hint="eastAsia" w:ascii="宋体" w:hAnsi="宋体"/>
              </w:rPr>
              <w:t>与本</w:t>
            </w:r>
            <w:r>
              <w:rPr>
                <w:rFonts w:ascii="宋体" w:hAnsi="宋体"/>
              </w:rPr>
              <w:t>单位存在管理</w:t>
            </w:r>
            <w:r>
              <w:rPr>
                <w:rFonts w:hint="eastAsia" w:ascii="宋体" w:hAnsi="宋体"/>
              </w:rPr>
              <w:t>与被管理</w:t>
            </w:r>
            <w:r>
              <w:rPr>
                <w:rFonts w:ascii="宋体" w:hAnsi="宋体"/>
              </w:rPr>
              <w:t>关系的单位</w:t>
            </w:r>
            <w:r>
              <w:rPr>
                <w:rFonts w:hint="eastAsia" w:ascii="宋体" w:hAnsi="宋体"/>
              </w:rPr>
              <w:t>：</w:t>
            </w:r>
          </w:p>
          <w:p w14:paraId="64654397">
            <w:pPr>
              <w:snapToGrid w:val="0"/>
              <w:spacing w:line="360" w:lineRule="exact"/>
              <w:rPr>
                <w:szCs w:val="21"/>
              </w:rPr>
            </w:pPr>
          </w:p>
          <w:p w14:paraId="431C9C0E">
            <w:pPr>
              <w:snapToGrid w:val="0"/>
              <w:spacing w:line="360" w:lineRule="exact"/>
              <w:rPr>
                <w:szCs w:val="21"/>
              </w:rPr>
            </w:pPr>
          </w:p>
          <w:p w14:paraId="1094E193">
            <w:pPr>
              <w:tabs>
                <w:tab w:val="left" w:pos="6039"/>
              </w:tabs>
              <w:snapToGrid w:val="0"/>
              <w:spacing w:line="360" w:lineRule="exact"/>
              <w:rPr>
                <w:szCs w:val="21"/>
              </w:rPr>
            </w:pPr>
          </w:p>
        </w:tc>
      </w:tr>
    </w:tbl>
    <w:p w14:paraId="28FBC2D6">
      <w:pPr>
        <w:pStyle w:val="6"/>
        <w:widowControl/>
        <w:spacing w:after="0" w:line="360" w:lineRule="exact"/>
        <w:ind w:firstLine="420" w:firstLineChars="200"/>
        <w:jc w:val="center"/>
        <w:outlineLvl w:val="3"/>
        <w:rPr>
          <w:szCs w:val="30"/>
        </w:rPr>
      </w:pPr>
    </w:p>
    <w:p w14:paraId="2404683E">
      <w:pPr>
        <w:ind w:left="945" w:hanging="945" w:hangingChars="450"/>
        <w:rPr>
          <w:rFonts w:hint="eastAsia" w:ascii="宋体" w:hAnsi="宋体"/>
        </w:rPr>
      </w:pPr>
    </w:p>
    <w:p w14:paraId="5AFC801A">
      <w:pPr>
        <w:ind w:left="945" w:hanging="945" w:hangingChars="450"/>
        <w:rPr>
          <w:rFonts w:hint="eastAsia" w:ascii="宋体" w:hAnsi="宋体"/>
        </w:rPr>
      </w:pPr>
    </w:p>
    <w:p w14:paraId="7748EEDA">
      <w:pPr>
        <w:ind w:left="945" w:hanging="945" w:hangingChars="450"/>
        <w:rPr>
          <w:rFonts w:hint="eastAsia" w:ascii="宋体" w:hAnsi="宋体"/>
        </w:rPr>
      </w:pPr>
    </w:p>
    <w:p w14:paraId="7EE864C1">
      <w:pPr>
        <w:ind w:left="945" w:hanging="945" w:hangingChars="450"/>
        <w:rPr>
          <w:rFonts w:hint="eastAsia" w:ascii="宋体" w:hAnsi="宋体"/>
        </w:rPr>
      </w:pPr>
      <w:r>
        <w:rPr>
          <w:rFonts w:hint="eastAsia" w:ascii="宋体" w:hAnsi="宋体"/>
        </w:rPr>
        <w:t>备注：1. 投标人应当如实披露相关关联单位的情况。没有相关关联单位的明确填“无”。</w:t>
      </w:r>
    </w:p>
    <w:p w14:paraId="6B5CB002">
      <w:pPr>
        <w:ind w:left="945" w:leftChars="300" w:hanging="315" w:hangingChars="150"/>
        <w:rPr>
          <w:rFonts w:hint="eastAsia" w:ascii="宋体" w:hAnsi="宋体"/>
        </w:rPr>
      </w:pPr>
      <w:r>
        <w:rPr>
          <w:rFonts w:ascii="宋体" w:hAnsi="宋体"/>
        </w:rPr>
        <w:t>2</w:t>
      </w:r>
      <w:r>
        <w:rPr>
          <w:rFonts w:hint="eastAsia" w:ascii="宋体" w:hAnsi="宋体"/>
        </w:rPr>
        <w:t>．联合体投标的，联合体各成员应分别填写。</w:t>
      </w:r>
    </w:p>
    <w:p w14:paraId="32A0A23A">
      <w:pPr>
        <w:ind w:left="945" w:leftChars="300" w:hanging="315" w:hangingChars="150"/>
        <w:rPr>
          <w:rFonts w:hint="eastAsia" w:ascii="宋体" w:hAnsi="宋体"/>
        </w:rPr>
      </w:pPr>
    </w:p>
    <w:p w14:paraId="29E844A4">
      <w:pPr>
        <w:ind w:left="945" w:leftChars="300" w:hanging="315" w:hangingChars="150"/>
        <w:rPr>
          <w:rFonts w:hint="eastAsia" w:ascii="宋体" w:hAnsi="宋体"/>
        </w:rPr>
      </w:pPr>
    </w:p>
    <w:p w14:paraId="3F491A90">
      <w:pPr>
        <w:ind w:left="945" w:leftChars="300" w:hanging="315" w:hangingChars="150"/>
        <w:rPr>
          <w:rFonts w:hint="eastAsia" w:ascii="宋体" w:hAnsi="宋体"/>
        </w:rPr>
      </w:pPr>
    </w:p>
    <w:p w14:paraId="15AE9F93">
      <w:pPr>
        <w:ind w:left="945" w:leftChars="300" w:hanging="315" w:hangingChars="150"/>
        <w:rPr>
          <w:rFonts w:hint="eastAsia" w:ascii="宋体" w:hAnsi="宋体"/>
        </w:rPr>
      </w:pPr>
    </w:p>
    <w:p w14:paraId="12C7C875">
      <w:pPr>
        <w:ind w:left="945" w:leftChars="300" w:hanging="315" w:hangingChars="150"/>
        <w:rPr>
          <w:rFonts w:hint="eastAsia" w:ascii="宋体" w:hAnsi="宋体"/>
        </w:rPr>
      </w:pPr>
    </w:p>
    <w:p w14:paraId="5B589290">
      <w:pPr>
        <w:autoSpaceDE w:val="0"/>
        <w:autoSpaceDN w:val="0"/>
        <w:spacing w:line="319" w:lineRule="exact"/>
        <w:jc w:val="center"/>
        <w:rPr>
          <w:rFonts w:hint="eastAsia"/>
        </w:rPr>
      </w:pPr>
    </w:p>
    <w:p w14:paraId="2FA43D6E">
      <w:pPr>
        <w:autoSpaceDE w:val="0"/>
        <w:autoSpaceDN w:val="0"/>
        <w:spacing w:line="319" w:lineRule="exact"/>
        <w:jc w:val="center"/>
        <w:rPr>
          <w:rFonts w:hint="eastAsia"/>
        </w:rPr>
      </w:pPr>
    </w:p>
    <w:p w14:paraId="60081368">
      <w:pPr>
        <w:pStyle w:val="20"/>
        <w:jc w:val="center"/>
        <w:rPr>
          <w:rFonts w:hint="eastAsia"/>
          <w:szCs w:val="24"/>
        </w:rPr>
      </w:pPr>
      <w:bookmarkStart w:id="2657" w:name="_Toc467365521"/>
      <w:bookmarkStart w:id="2658" w:name="_Toc108514242"/>
      <w:r>
        <w:rPr>
          <w:rFonts w:hint="eastAsia"/>
          <w:szCs w:val="24"/>
        </w:rPr>
        <w:t>1-3 建筑业企业信息登记</w:t>
      </w:r>
      <w:bookmarkEnd w:id="2657"/>
      <w:bookmarkEnd w:id="2658"/>
    </w:p>
    <w:p w14:paraId="5FA787AB">
      <w:pPr>
        <w:ind w:left="945" w:hanging="945" w:hangingChars="450"/>
        <w:rPr>
          <w:rFonts w:hint="eastAsia" w:ascii="宋体" w:hAnsi="宋体"/>
        </w:rPr>
      </w:pPr>
    </w:p>
    <w:p w14:paraId="7BBF3BA3">
      <w:pPr>
        <w:ind w:left="945" w:hanging="945" w:hangingChars="450"/>
        <w:rPr>
          <w:rFonts w:hint="eastAsia" w:ascii="宋体" w:hAnsi="宋体"/>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7397EE5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5BAE3F1B">
            <w:pPr>
              <w:snapToGrid w:val="0"/>
              <w:spacing w:line="360" w:lineRule="exact"/>
              <w:rPr>
                <w:szCs w:val="21"/>
              </w:rPr>
            </w:pPr>
          </w:p>
          <w:p w14:paraId="342CA316">
            <w:pPr>
              <w:tabs>
                <w:tab w:val="left" w:pos="6039"/>
              </w:tabs>
              <w:snapToGrid w:val="0"/>
              <w:spacing w:line="360" w:lineRule="exact"/>
              <w:rPr>
                <w:szCs w:val="21"/>
              </w:rPr>
            </w:pPr>
          </w:p>
        </w:tc>
      </w:tr>
    </w:tbl>
    <w:p w14:paraId="03409129">
      <w:pPr>
        <w:ind w:left="945" w:hanging="945" w:hangingChars="450"/>
        <w:rPr>
          <w:rFonts w:hint="eastAsia" w:ascii="宋体" w:hAnsi="宋体"/>
        </w:rPr>
      </w:pPr>
    </w:p>
    <w:p w14:paraId="21F8EE69">
      <w:pPr>
        <w:rPr>
          <w:rFonts w:hint="eastAsia" w:ascii="宋体" w:hAnsi="宋体"/>
        </w:rPr>
      </w:pPr>
    </w:p>
    <w:p w14:paraId="4189B480">
      <w:pPr>
        <w:ind w:left="945" w:hanging="945" w:hangingChars="450"/>
        <w:rPr>
          <w:rFonts w:hint="eastAsia"/>
        </w:rPr>
      </w:pPr>
      <w:r>
        <w:rPr>
          <w:rFonts w:hint="eastAsia"/>
        </w:rPr>
        <w:t>备注：1. 根据湖北省住房和城乡建设厅 《关于推动全省建筑市场统一开放的通知》  （鄂建文〔2015〕83号）的规定，“省内外建筑企业在各市州区域流动，统一实行一体化平台登记管理”。投标人应当在“湖北省建筑市场监督与诚信一体化工作平台”（网址：</w:t>
      </w:r>
      <w:r>
        <w:t>http://jg.hbcic.net.cn/web/</w:t>
      </w:r>
      <w:r>
        <w:rPr>
          <w:rFonts w:hint="eastAsia"/>
        </w:rPr>
        <w:t>）进行企业基本信息和人员信息登记，并将带二维码的名称为“建筑业</w:t>
      </w:r>
      <w:r>
        <w:t>企业</w:t>
      </w:r>
      <w:r>
        <w:rPr>
          <w:rFonts w:hint="eastAsia"/>
        </w:rPr>
        <w:t>在鄂投标信息登记表”的扫描件附在本表中。</w:t>
      </w:r>
    </w:p>
    <w:p w14:paraId="4781DC25">
      <w:pPr>
        <w:ind w:left="945" w:leftChars="450"/>
        <w:rPr>
          <w:rFonts w:hint="eastAsia"/>
        </w:rPr>
      </w:pPr>
      <w:r>
        <w:rPr>
          <w:rFonts w:hint="eastAsia"/>
        </w:rPr>
        <w:t>投标</w:t>
      </w:r>
      <w:r>
        <w:t>文件</w:t>
      </w:r>
      <w:r>
        <w:rPr>
          <w:rFonts w:hint="eastAsia"/>
        </w:rPr>
        <w:t>“项目管理机构主要人员表” 中的项目经理、项目技术负责人、施工管理、质量管理、安全管理人员的姓名和岗位信息应当与“建筑业</w:t>
      </w:r>
      <w:r>
        <w:t>企业</w:t>
      </w:r>
      <w:r>
        <w:rPr>
          <w:rFonts w:hint="eastAsia"/>
        </w:rPr>
        <w:t>在鄂投标信息登记表” 中的信息一致。</w:t>
      </w:r>
    </w:p>
    <w:p w14:paraId="1DFB645C">
      <w:pPr>
        <w:ind w:firstLine="735" w:firstLineChars="350"/>
        <w:rPr>
          <w:rFonts w:hint="eastAsia"/>
        </w:rPr>
      </w:pPr>
      <w:r>
        <w:rPr>
          <w:rFonts w:hint="eastAsia"/>
        </w:rPr>
        <w:t>2. 联合体投标的，联合体各成员均应附 “建筑业</w:t>
      </w:r>
      <w:r>
        <w:t>企业</w:t>
      </w:r>
      <w:r>
        <w:rPr>
          <w:rFonts w:hint="eastAsia"/>
        </w:rPr>
        <w:t>在鄂投标信息登记表”。</w:t>
      </w:r>
    </w:p>
    <w:p w14:paraId="590702D0">
      <w:pPr>
        <w:ind w:left="945" w:leftChars="350" w:hanging="210" w:hangingChars="100"/>
        <w:rPr>
          <w:rFonts w:hint="eastAsia"/>
        </w:rPr>
      </w:pPr>
      <w:r>
        <w:rPr>
          <w:rFonts w:hint="eastAsia"/>
        </w:rPr>
        <w:t>3. 不具备建筑业企业资质证书的企业无需在该一体化平台登记。</w:t>
      </w:r>
    </w:p>
    <w:p w14:paraId="305BBE2C">
      <w:pPr>
        <w:ind w:left="945" w:leftChars="300" w:hanging="315" w:hangingChars="150"/>
        <w:rPr>
          <w:rFonts w:hint="eastAsia"/>
        </w:rPr>
      </w:pPr>
    </w:p>
    <w:p w14:paraId="446EA388">
      <w:pPr>
        <w:jc w:val="center"/>
        <w:rPr>
          <w:rFonts w:hint="eastAsia" w:ascii="黑体" w:hAnsi="宋体" w:eastAsia="黑体"/>
          <w:b/>
          <w:sz w:val="24"/>
        </w:rPr>
      </w:pPr>
    </w:p>
    <w:p w14:paraId="43A001CA">
      <w:pPr>
        <w:pStyle w:val="20"/>
        <w:jc w:val="center"/>
        <w:rPr>
          <w:rFonts w:hint="eastAsia"/>
          <w:szCs w:val="24"/>
        </w:rPr>
      </w:pPr>
      <w:bookmarkStart w:id="2659" w:name="_Toc108514243"/>
      <w:r>
        <w:rPr>
          <w:rFonts w:hint="eastAsia"/>
          <w:szCs w:val="24"/>
        </w:rPr>
        <w:t>1-4项目管理机构主要人员及简历表</w:t>
      </w:r>
      <w:bookmarkEnd w:id="2659"/>
    </w:p>
    <w:p w14:paraId="562D3589">
      <w:pPr>
        <w:spacing w:line="400" w:lineRule="atLeast"/>
        <w:ind w:firstLine="630" w:firstLineChars="300"/>
        <w:rPr>
          <w:rFonts w:hint="eastAsia"/>
          <w:szCs w:val="21"/>
        </w:rPr>
      </w:pPr>
    </w:p>
    <w:p w14:paraId="5E185C56">
      <w:pPr>
        <w:spacing w:line="400" w:lineRule="atLeast"/>
        <w:ind w:firstLine="630" w:firstLineChars="300"/>
        <w:rPr>
          <w:rFonts w:hint="eastAsia" w:ascii="宋体" w:hAnsi="宋体"/>
          <w:szCs w:val="21"/>
        </w:rPr>
      </w:pPr>
      <w:r>
        <w:rPr>
          <w:rFonts w:hint="eastAsia" w:ascii="黑体" w:hAnsi="宋体" w:eastAsia="黑体"/>
          <w:szCs w:val="21"/>
        </w:rPr>
        <w:t>说明：</w:t>
      </w:r>
      <w:r>
        <w:rPr>
          <w:rFonts w:hint="eastAsia" w:ascii="宋体" w:hAnsi="宋体"/>
          <w:szCs w:val="21"/>
        </w:rPr>
        <w:t>“项目管理机构主要人员及简历表”同本章第七节。</w:t>
      </w:r>
    </w:p>
    <w:p w14:paraId="2C80E5FE">
      <w:pPr>
        <w:spacing w:line="400" w:lineRule="atLeast"/>
        <w:ind w:firstLine="630" w:firstLineChars="300"/>
        <w:rPr>
          <w:rFonts w:hint="eastAsia"/>
          <w:szCs w:val="21"/>
        </w:rPr>
      </w:pPr>
    </w:p>
    <w:p w14:paraId="3570664A">
      <w:pPr>
        <w:spacing w:line="400" w:lineRule="atLeast"/>
        <w:ind w:firstLine="630" w:firstLineChars="300"/>
        <w:rPr>
          <w:rFonts w:hint="eastAsia"/>
          <w:szCs w:val="21"/>
        </w:rPr>
      </w:pPr>
    </w:p>
    <w:p w14:paraId="36207A4E">
      <w:pPr>
        <w:spacing w:line="400" w:lineRule="atLeast"/>
        <w:ind w:firstLine="630" w:firstLineChars="300"/>
        <w:rPr>
          <w:rFonts w:hint="eastAsia"/>
          <w:szCs w:val="21"/>
        </w:rPr>
      </w:pPr>
    </w:p>
    <w:p w14:paraId="78ECA3AE">
      <w:pPr>
        <w:spacing w:line="400" w:lineRule="atLeast"/>
        <w:ind w:firstLine="630" w:firstLineChars="300"/>
        <w:rPr>
          <w:rFonts w:hint="eastAsia"/>
          <w:szCs w:val="21"/>
        </w:rPr>
      </w:pPr>
    </w:p>
    <w:p w14:paraId="5A3C1F84">
      <w:pPr>
        <w:spacing w:line="400" w:lineRule="atLeast"/>
        <w:ind w:firstLine="630" w:firstLineChars="300"/>
        <w:rPr>
          <w:rFonts w:hint="eastAsia"/>
          <w:szCs w:val="21"/>
        </w:rPr>
      </w:pPr>
    </w:p>
    <w:p w14:paraId="0C90CDE5">
      <w:pPr>
        <w:spacing w:line="400" w:lineRule="atLeast"/>
        <w:ind w:firstLine="630" w:firstLineChars="300"/>
        <w:rPr>
          <w:rFonts w:hint="eastAsia"/>
          <w:szCs w:val="21"/>
        </w:rPr>
      </w:pPr>
    </w:p>
    <w:p w14:paraId="4054728D">
      <w:pPr>
        <w:spacing w:line="400" w:lineRule="atLeast"/>
        <w:ind w:firstLine="630" w:firstLineChars="300"/>
        <w:rPr>
          <w:rFonts w:hint="eastAsia"/>
          <w:szCs w:val="21"/>
        </w:rPr>
      </w:pPr>
    </w:p>
    <w:p w14:paraId="3312FB18">
      <w:pPr>
        <w:spacing w:line="400" w:lineRule="atLeast"/>
        <w:ind w:firstLine="630" w:firstLineChars="300"/>
        <w:rPr>
          <w:rFonts w:hint="eastAsia"/>
          <w:szCs w:val="21"/>
        </w:rPr>
      </w:pPr>
    </w:p>
    <w:p w14:paraId="783D9CF5">
      <w:pPr>
        <w:spacing w:line="400" w:lineRule="atLeast"/>
        <w:ind w:firstLine="630" w:firstLineChars="300"/>
        <w:rPr>
          <w:rFonts w:hint="eastAsia"/>
          <w:szCs w:val="21"/>
        </w:rPr>
      </w:pPr>
    </w:p>
    <w:p w14:paraId="56177DD3">
      <w:pPr>
        <w:spacing w:line="400" w:lineRule="atLeast"/>
        <w:ind w:firstLine="630" w:firstLineChars="300"/>
        <w:rPr>
          <w:rFonts w:hint="eastAsia"/>
          <w:szCs w:val="21"/>
        </w:rPr>
      </w:pPr>
    </w:p>
    <w:p w14:paraId="6F9EB755">
      <w:pPr>
        <w:spacing w:line="400" w:lineRule="atLeast"/>
        <w:ind w:firstLine="630" w:firstLineChars="300"/>
        <w:rPr>
          <w:rFonts w:hint="eastAsia"/>
          <w:szCs w:val="21"/>
        </w:rPr>
      </w:pPr>
    </w:p>
    <w:p w14:paraId="448599E3">
      <w:pPr>
        <w:spacing w:line="400" w:lineRule="atLeast"/>
        <w:ind w:firstLine="630" w:firstLineChars="300"/>
        <w:rPr>
          <w:rFonts w:hint="eastAsia"/>
          <w:szCs w:val="21"/>
        </w:rPr>
      </w:pPr>
    </w:p>
    <w:p w14:paraId="129C4712">
      <w:pPr>
        <w:spacing w:line="400" w:lineRule="atLeast"/>
        <w:ind w:firstLine="630" w:firstLineChars="300"/>
        <w:rPr>
          <w:rFonts w:hint="eastAsia"/>
          <w:szCs w:val="21"/>
        </w:rPr>
      </w:pPr>
    </w:p>
    <w:p w14:paraId="411F0D92">
      <w:pPr>
        <w:spacing w:line="400" w:lineRule="atLeast"/>
        <w:ind w:firstLine="630" w:firstLineChars="300"/>
        <w:rPr>
          <w:rFonts w:hint="eastAsia"/>
          <w:szCs w:val="21"/>
        </w:rPr>
      </w:pPr>
    </w:p>
    <w:p w14:paraId="442E606C">
      <w:pPr>
        <w:spacing w:line="400" w:lineRule="atLeast"/>
        <w:ind w:firstLine="630" w:firstLineChars="300"/>
        <w:rPr>
          <w:rFonts w:hint="eastAsia"/>
          <w:szCs w:val="21"/>
        </w:rPr>
      </w:pPr>
    </w:p>
    <w:p w14:paraId="29D6BADF">
      <w:pPr>
        <w:spacing w:line="400" w:lineRule="atLeast"/>
        <w:ind w:firstLine="630" w:firstLineChars="300"/>
        <w:rPr>
          <w:rFonts w:hint="eastAsia"/>
          <w:szCs w:val="21"/>
        </w:rPr>
      </w:pPr>
    </w:p>
    <w:p w14:paraId="2E279CA4">
      <w:pPr>
        <w:spacing w:line="400" w:lineRule="atLeast"/>
        <w:ind w:firstLine="630" w:firstLineChars="300"/>
        <w:rPr>
          <w:rFonts w:hint="eastAsia"/>
          <w:szCs w:val="21"/>
        </w:rPr>
      </w:pPr>
    </w:p>
    <w:p w14:paraId="7B3440D4">
      <w:pPr>
        <w:spacing w:line="400" w:lineRule="atLeast"/>
        <w:ind w:firstLine="630" w:firstLineChars="300"/>
        <w:rPr>
          <w:rFonts w:hint="eastAsia"/>
          <w:szCs w:val="21"/>
        </w:rPr>
      </w:pPr>
    </w:p>
    <w:p w14:paraId="7EEF44DC">
      <w:pPr>
        <w:spacing w:line="400" w:lineRule="atLeast"/>
        <w:ind w:firstLine="630" w:firstLineChars="300"/>
        <w:rPr>
          <w:rFonts w:hint="eastAsia"/>
          <w:szCs w:val="21"/>
        </w:rPr>
      </w:pPr>
    </w:p>
    <w:p w14:paraId="2F3D8B9A">
      <w:pPr>
        <w:spacing w:line="400" w:lineRule="atLeast"/>
        <w:ind w:firstLine="630" w:firstLineChars="300"/>
        <w:rPr>
          <w:rFonts w:hint="eastAsia"/>
          <w:szCs w:val="21"/>
        </w:rPr>
      </w:pPr>
    </w:p>
    <w:p w14:paraId="75143793">
      <w:pPr>
        <w:spacing w:line="400" w:lineRule="atLeast"/>
        <w:ind w:firstLine="630" w:firstLineChars="300"/>
        <w:rPr>
          <w:rFonts w:hint="eastAsia"/>
          <w:szCs w:val="21"/>
        </w:rPr>
      </w:pPr>
    </w:p>
    <w:p w14:paraId="7679FDF4">
      <w:pPr>
        <w:spacing w:line="400" w:lineRule="atLeast"/>
        <w:ind w:firstLine="630" w:firstLineChars="300"/>
        <w:rPr>
          <w:rFonts w:hint="eastAsia"/>
          <w:szCs w:val="21"/>
        </w:rPr>
      </w:pPr>
    </w:p>
    <w:p w14:paraId="50327B7B">
      <w:pPr>
        <w:spacing w:line="400" w:lineRule="atLeast"/>
        <w:ind w:firstLine="630" w:firstLineChars="300"/>
        <w:rPr>
          <w:rFonts w:hint="eastAsia"/>
          <w:szCs w:val="21"/>
        </w:rPr>
      </w:pPr>
    </w:p>
    <w:p w14:paraId="2D8B0C2B">
      <w:pPr>
        <w:spacing w:line="400" w:lineRule="atLeast"/>
        <w:ind w:firstLine="630" w:firstLineChars="300"/>
        <w:rPr>
          <w:rFonts w:hint="eastAsia"/>
          <w:szCs w:val="21"/>
        </w:rPr>
      </w:pPr>
    </w:p>
    <w:p w14:paraId="5D5AF105">
      <w:pPr>
        <w:spacing w:line="400" w:lineRule="atLeast"/>
        <w:ind w:firstLine="630" w:firstLineChars="300"/>
        <w:rPr>
          <w:rFonts w:hint="eastAsia"/>
          <w:szCs w:val="21"/>
        </w:rPr>
      </w:pPr>
    </w:p>
    <w:p w14:paraId="7CA7D844">
      <w:pPr>
        <w:spacing w:line="400" w:lineRule="atLeast"/>
        <w:ind w:firstLine="630" w:firstLineChars="300"/>
        <w:rPr>
          <w:rFonts w:hint="eastAsia"/>
          <w:szCs w:val="21"/>
        </w:rPr>
      </w:pPr>
    </w:p>
    <w:p w14:paraId="3FF6EA64">
      <w:pPr>
        <w:spacing w:line="400" w:lineRule="atLeast"/>
        <w:ind w:firstLine="630" w:firstLineChars="300"/>
        <w:rPr>
          <w:rFonts w:hint="eastAsia"/>
          <w:szCs w:val="21"/>
        </w:rPr>
      </w:pPr>
    </w:p>
    <w:p w14:paraId="422E9755">
      <w:pPr>
        <w:spacing w:line="400" w:lineRule="atLeast"/>
        <w:ind w:firstLine="630" w:firstLineChars="300"/>
        <w:rPr>
          <w:rFonts w:hint="eastAsia"/>
          <w:szCs w:val="21"/>
        </w:rPr>
      </w:pPr>
    </w:p>
    <w:p w14:paraId="6CCCF9C1">
      <w:pPr>
        <w:spacing w:line="400" w:lineRule="atLeast"/>
        <w:ind w:firstLine="630" w:firstLineChars="300"/>
        <w:rPr>
          <w:rFonts w:hint="eastAsia"/>
          <w:szCs w:val="21"/>
        </w:rPr>
      </w:pPr>
    </w:p>
    <w:p w14:paraId="0D573283">
      <w:pPr>
        <w:spacing w:line="400" w:lineRule="atLeast"/>
        <w:ind w:firstLine="630" w:firstLineChars="300"/>
        <w:rPr>
          <w:rFonts w:hint="eastAsia"/>
          <w:szCs w:val="21"/>
        </w:rPr>
      </w:pPr>
    </w:p>
    <w:p w14:paraId="0B4DA680">
      <w:pPr>
        <w:spacing w:line="400" w:lineRule="atLeast"/>
        <w:ind w:firstLine="630" w:firstLineChars="300"/>
        <w:rPr>
          <w:szCs w:val="21"/>
        </w:rPr>
        <w:sectPr>
          <w:pgSz w:w="11907" w:h="16840"/>
          <w:pgMar w:top="1701" w:right="1531" w:bottom="1588" w:left="1474" w:header="851" w:footer="992" w:gutter="0"/>
          <w:cols w:space="720" w:num="1"/>
          <w:docGrid w:linePitch="312" w:charSpace="0"/>
        </w:sectPr>
      </w:pPr>
    </w:p>
    <w:p w14:paraId="18582ED5">
      <w:pPr>
        <w:spacing w:line="400" w:lineRule="atLeast"/>
        <w:ind w:firstLine="630" w:firstLineChars="300"/>
        <w:rPr>
          <w:rFonts w:hint="eastAsia"/>
          <w:szCs w:val="21"/>
        </w:rPr>
      </w:pPr>
    </w:p>
    <w:p w14:paraId="6B7BE8A2">
      <w:pPr>
        <w:pStyle w:val="20"/>
        <w:jc w:val="center"/>
        <w:rPr>
          <w:rFonts w:hint="eastAsia" w:ascii="黑体" w:hAnsi="宋体"/>
          <w:b/>
        </w:rPr>
      </w:pPr>
      <w:bookmarkStart w:id="2660" w:name="_Toc108514244"/>
      <w:r>
        <w:rPr>
          <w:rFonts w:hint="eastAsia"/>
          <w:szCs w:val="24"/>
        </w:rPr>
        <w:t>1-5拟投入主要施工机械设备情况表</w:t>
      </w:r>
      <w:bookmarkEnd w:id="2660"/>
    </w:p>
    <w:p w14:paraId="65B2F936">
      <w:pPr>
        <w:spacing w:line="400" w:lineRule="exact"/>
        <w:rPr>
          <w:rFonts w:hint="eastAsia" w:eastAsia="黑体"/>
          <w:sz w:val="28"/>
          <w:szCs w:val="20"/>
        </w:rPr>
      </w:pPr>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66"/>
        <w:gridCol w:w="1966"/>
        <w:gridCol w:w="1966"/>
        <w:gridCol w:w="1967"/>
        <w:gridCol w:w="1967"/>
        <w:gridCol w:w="1967"/>
        <w:gridCol w:w="1968"/>
      </w:tblGrid>
      <w:tr w14:paraId="20BDB9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53B3C5F">
            <w:pPr>
              <w:jc w:val="center"/>
              <w:rPr>
                <w:rFonts w:hint="eastAsia" w:ascii="宋体" w:hAnsi="宋体"/>
                <w:szCs w:val="21"/>
              </w:rPr>
            </w:pPr>
            <w:r>
              <w:rPr>
                <w:rFonts w:hint="eastAsia" w:ascii="宋体" w:hAnsi="宋体"/>
                <w:szCs w:val="21"/>
              </w:rPr>
              <w:t>机械设备名称</w:t>
            </w:r>
          </w:p>
        </w:tc>
        <w:tc>
          <w:tcPr>
            <w:tcW w:w="2031" w:type="dxa"/>
            <w:noWrap w:val="0"/>
            <w:vAlign w:val="center"/>
          </w:tcPr>
          <w:p w14:paraId="0005E0D1">
            <w:pPr>
              <w:jc w:val="center"/>
              <w:rPr>
                <w:rFonts w:hint="eastAsia" w:ascii="宋体" w:hAnsi="宋体"/>
                <w:szCs w:val="21"/>
              </w:rPr>
            </w:pPr>
            <w:r>
              <w:rPr>
                <w:rFonts w:hint="eastAsia" w:ascii="宋体" w:hAnsi="宋体"/>
                <w:szCs w:val="21"/>
              </w:rPr>
              <w:t>型号规格</w:t>
            </w:r>
          </w:p>
        </w:tc>
        <w:tc>
          <w:tcPr>
            <w:tcW w:w="2031" w:type="dxa"/>
            <w:noWrap w:val="0"/>
            <w:vAlign w:val="center"/>
          </w:tcPr>
          <w:p w14:paraId="155648C1">
            <w:pPr>
              <w:jc w:val="center"/>
              <w:rPr>
                <w:rFonts w:hint="eastAsia" w:ascii="宋体" w:hAnsi="宋体"/>
                <w:szCs w:val="21"/>
              </w:rPr>
            </w:pPr>
            <w:r>
              <w:rPr>
                <w:rFonts w:hint="eastAsia" w:ascii="宋体" w:hAnsi="宋体"/>
                <w:szCs w:val="21"/>
              </w:rPr>
              <w:t>数  量</w:t>
            </w:r>
          </w:p>
        </w:tc>
        <w:tc>
          <w:tcPr>
            <w:tcW w:w="2031" w:type="dxa"/>
            <w:noWrap w:val="0"/>
            <w:vAlign w:val="center"/>
          </w:tcPr>
          <w:p w14:paraId="7736487C">
            <w:pPr>
              <w:jc w:val="center"/>
              <w:rPr>
                <w:rFonts w:hint="eastAsia" w:ascii="宋体" w:hAnsi="宋体"/>
                <w:szCs w:val="21"/>
              </w:rPr>
            </w:pPr>
            <w:r>
              <w:rPr>
                <w:rFonts w:hint="eastAsia" w:ascii="宋体" w:hAnsi="宋体"/>
                <w:szCs w:val="21"/>
              </w:rPr>
              <w:t>目前状况</w:t>
            </w:r>
          </w:p>
        </w:tc>
        <w:tc>
          <w:tcPr>
            <w:tcW w:w="2031" w:type="dxa"/>
            <w:noWrap w:val="0"/>
            <w:vAlign w:val="center"/>
          </w:tcPr>
          <w:p w14:paraId="65A6C4D4">
            <w:pPr>
              <w:jc w:val="center"/>
              <w:rPr>
                <w:rFonts w:hint="eastAsia" w:ascii="宋体" w:hAnsi="宋体"/>
                <w:szCs w:val="21"/>
              </w:rPr>
            </w:pPr>
            <w:r>
              <w:rPr>
                <w:rFonts w:hint="eastAsia" w:ascii="宋体" w:hAnsi="宋体"/>
                <w:szCs w:val="21"/>
              </w:rPr>
              <w:t>来  源</w:t>
            </w:r>
          </w:p>
        </w:tc>
        <w:tc>
          <w:tcPr>
            <w:tcW w:w="2031" w:type="dxa"/>
            <w:noWrap w:val="0"/>
            <w:vAlign w:val="center"/>
          </w:tcPr>
          <w:p w14:paraId="64075065">
            <w:pPr>
              <w:jc w:val="center"/>
              <w:rPr>
                <w:rFonts w:hint="eastAsia" w:ascii="宋体" w:hAnsi="宋体"/>
                <w:szCs w:val="21"/>
              </w:rPr>
            </w:pPr>
            <w:r>
              <w:rPr>
                <w:rFonts w:hint="eastAsia" w:ascii="宋体" w:hAnsi="宋体"/>
                <w:szCs w:val="21"/>
              </w:rPr>
              <w:t>现停放地点</w:t>
            </w:r>
          </w:p>
        </w:tc>
        <w:tc>
          <w:tcPr>
            <w:tcW w:w="2032" w:type="dxa"/>
            <w:noWrap w:val="0"/>
            <w:vAlign w:val="center"/>
          </w:tcPr>
          <w:p w14:paraId="1917508C">
            <w:pPr>
              <w:jc w:val="center"/>
              <w:rPr>
                <w:rFonts w:ascii="宋体" w:hAnsi="宋体"/>
                <w:szCs w:val="21"/>
              </w:rPr>
            </w:pPr>
            <w:r>
              <w:rPr>
                <w:rFonts w:hint="eastAsia" w:ascii="宋体" w:hAnsi="宋体"/>
                <w:szCs w:val="21"/>
              </w:rPr>
              <w:t>备  注</w:t>
            </w:r>
          </w:p>
        </w:tc>
      </w:tr>
      <w:tr w14:paraId="3684F5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816BDF1">
            <w:pPr>
              <w:jc w:val="center"/>
              <w:rPr>
                <w:rFonts w:hint="eastAsia" w:ascii="宋体" w:hAnsi="宋体"/>
                <w:szCs w:val="21"/>
              </w:rPr>
            </w:pPr>
          </w:p>
        </w:tc>
        <w:tc>
          <w:tcPr>
            <w:tcW w:w="2031" w:type="dxa"/>
            <w:noWrap w:val="0"/>
            <w:vAlign w:val="center"/>
          </w:tcPr>
          <w:p w14:paraId="5FCD290E">
            <w:pPr>
              <w:jc w:val="center"/>
              <w:rPr>
                <w:rFonts w:hint="eastAsia" w:ascii="宋体" w:hAnsi="宋体"/>
                <w:szCs w:val="21"/>
              </w:rPr>
            </w:pPr>
          </w:p>
        </w:tc>
        <w:tc>
          <w:tcPr>
            <w:tcW w:w="2031" w:type="dxa"/>
            <w:noWrap w:val="0"/>
            <w:vAlign w:val="center"/>
          </w:tcPr>
          <w:p w14:paraId="1BEB5225">
            <w:pPr>
              <w:jc w:val="center"/>
              <w:rPr>
                <w:rFonts w:hint="eastAsia" w:ascii="宋体" w:hAnsi="宋体"/>
                <w:szCs w:val="21"/>
              </w:rPr>
            </w:pPr>
          </w:p>
        </w:tc>
        <w:tc>
          <w:tcPr>
            <w:tcW w:w="2031" w:type="dxa"/>
            <w:noWrap w:val="0"/>
            <w:vAlign w:val="center"/>
          </w:tcPr>
          <w:p w14:paraId="57062D50">
            <w:pPr>
              <w:jc w:val="center"/>
              <w:rPr>
                <w:rFonts w:hint="eastAsia" w:ascii="宋体" w:hAnsi="宋体"/>
                <w:szCs w:val="21"/>
              </w:rPr>
            </w:pPr>
          </w:p>
        </w:tc>
        <w:tc>
          <w:tcPr>
            <w:tcW w:w="2031" w:type="dxa"/>
            <w:noWrap w:val="0"/>
            <w:vAlign w:val="center"/>
          </w:tcPr>
          <w:p w14:paraId="0CDBD222">
            <w:pPr>
              <w:jc w:val="center"/>
              <w:rPr>
                <w:rFonts w:hint="eastAsia" w:ascii="宋体" w:hAnsi="宋体"/>
                <w:szCs w:val="21"/>
              </w:rPr>
            </w:pPr>
          </w:p>
        </w:tc>
        <w:tc>
          <w:tcPr>
            <w:tcW w:w="2031" w:type="dxa"/>
            <w:noWrap w:val="0"/>
            <w:vAlign w:val="center"/>
          </w:tcPr>
          <w:p w14:paraId="0EA87494">
            <w:pPr>
              <w:jc w:val="center"/>
              <w:rPr>
                <w:rFonts w:hint="eastAsia" w:ascii="宋体" w:hAnsi="宋体"/>
                <w:szCs w:val="21"/>
              </w:rPr>
            </w:pPr>
          </w:p>
        </w:tc>
        <w:tc>
          <w:tcPr>
            <w:tcW w:w="2032" w:type="dxa"/>
            <w:noWrap w:val="0"/>
            <w:vAlign w:val="center"/>
          </w:tcPr>
          <w:p w14:paraId="726DB23B">
            <w:pPr>
              <w:jc w:val="center"/>
              <w:rPr>
                <w:rFonts w:hint="eastAsia" w:ascii="宋体" w:hAnsi="宋体"/>
                <w:szCs w:val="21"/>
              </w:rPr>
            </w:pPr>
          </w:p>
        </w:tc>
      </w:tr>
      <w:tr w14:paraId="07EDA2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185125E7">
            <w:pPr>
              <w:jc w:val="center"/>
              <w:rPr>
                <w:rFonts w:hint="eastAsia" w:ascii="宋体" w:hAnsi="宋体"/>
                <w:szCs w:val="21"/>
              </w:rPr>
            </w:pPr>
          </w:p>
        </w:tc>
        <w:tc>
          <w:tcPr>
            <w:tcW w:w="2031" w:type="dxa"/>
            <w:noWrap w:val="0"/>
            <w:vAlign w:val="center"/>
          </w:tcPr>
          <w:p w14:paraId="58116D41">
            <w:pPr>
              <w:jc w:val="center"/>
              <w:rPr>
                <w:rFonts w:hint="eastAsia" w:ascii="宋体" w:hAnsi="宋体"/>
                <w:szCs w:val="21"/>
              </w:rPr>
            </w:pPr>
          </w:p>
        </w:tc>
        <w:tc>
          <w:tcPr>
            <w:tcW w:w="2031" w:type="dxa"/>
            <w:noWrap w:val="0"/>
            <w:vAlign w:val="center"/>
          </w:tcPr>
          <w:p w14:paraId="71B3C7F0">
            <w:pPr>
              <w:jc w:val="center"/>
              <w:rPr>
                <w:rFonts w:hint="eastAsia" w:ascii="宋体" w:hAnsi="宋体"/>
                <w:szCs w:val="21"/>
              </w:rPr>
            </w:pPr>
          </w:p>
        </w:tc>
        <w:tc>
          <w:tcPr>
            <w:tcW w:w="2031" w:type="dxa"/>
            <w:noWrap w:val="0"/>
            <w:vAlign w:val="center"/>
          </w:tcPr>
          <w:p w14:paraId="7B9EB712">
            <w:pPr>
              <w:jc w:val="center"/>
              <w:rPr>
                <w:rFonts w:hint="eastAsia" w:ascii="宋体" w:hAnsi="宋体"/>
                <w:szCs w:val="21"/>
              </w:rPr>
            </w:pPr>
          </w:p>
        </w:tc>
        <w:tc>
          <w:tcPr>
            <w:tcW w:w="2031" w:type="dxa"/>
            <w:noWrap w:val="0"/>
            <w:vAlign w:val="center"/>
          </w:tcPr>
          <w:p w14:paraId="51662F71">
            <w:pPr>
              <w:jc w:val="center"/>
              <w:rPr>
                <w:rFonts w:hint="eastAsia" w:ascii="宋体" w:hAnsi="宋体"/>
                <w:szCs w:val="21"/>
              </w:rPr>
            </w:pPr>
          </w:p>
        </w:tc>
        <w:tc>
          <w:tcPr>
            <w:tcW w:w="2031" w:type="dxa"/>
            <w:noWrap w:val="0"/>
            <w:vAlign w:val="center"/>
          </w:tcPr>
          <w:p w14:paraId="1618D624">
            <w:pPr>
              <w:jc w:val="center"/>
              <w:rPr>
                <w:rFonts w:hint="eastAsia" w:ascii="宋体" w:hAnsi="宋体"/>
                <w:szCs w:val="21"/>
              </w:rPr>
            </w:pPr>
          </w:p>
        </w:tc>
        <w:tc>
          <w:tcPr>
            <w:tcW w:w="2032" w:type="dxa"/>
            <w:noWrap w:val="0"/>
            <w:vAlign w:val="center"/>
          </w:tcPr>
          <w:p w14:paraId="07037632">
            <w:pPr>
              <w:jc w:val="center"/>
              <w:rPr>
                <w:rFonts w:hint="eastAsia" w:ascii="宋体" w:hAnsi="宋体"/>
                <w:szCs w:val="21"/>
              </w:rPr>
            </w:pPr>
          </w:p>
        </w:tc>
      </w:tr>
      <w:tr w14:paraId="66182C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70C59D88">
            <w:pPr>
              <w:jc w:val="center"/>
              <w:rPr>
                <w:rFonts w:hint="eastAsia" w:ascii="宋体" w:hAnsi="宋体"/>
                <w:szCs w:val="21"/>
              </w:rPr>
            </w:pPr>
          </w:p>
        </w:tc>
        <w:tc>
          <w:tcPr>
            <w:tcW w:w="2031" w:type="dxa"/>
            <w:noWrap w:val="0"/>
            <w:vAlign w:val="center"/>
          </w:tcPr>
          <w:p w14:paraId="28D4A578">
            <w:pPr>
              <w:jc w:val="center"/>
              <w:rPr>
                <w:rFonts w:hint="eastAsia" w:ascii="宋体" w:hAnsi="宋体"/>
                <w:szCs w:val="21"/>
              </w:rPr>
            </w:pPr>
          </w:p>
        </w:tc>
        <w:tc>
          <w:tcPr>
            <w:tcW w:w="2031" w:type="dxa"/>
            <w:noWrap w:val="0"/>
            <w:vAlign w:val="center"/>
          </w:tcPr>
          <w:p w14:paraId="7838672C">
            <w:pPr>
              <w:jc w:val="center"/>
              <w:rPr>
                <w:rFonts w:hint="eastAsia" w:ascii="宋体" w:hAnsi="宋体"/>
                <w:szCs w:val="21"/>
              </w:rPr>
            </w:pPr>
          </w:p>
        </w:tc>
        <w:tc>
          <w:tcPr>
            <w:tcW w:w="2031" w:type="dxa"/>
            <w:noWrap w:val="0"/>
            <w:vAlign w:val="center"/>
          </w:tcPr>
          <w:p w14:paraId="7B216A5D">
            <w:pPr>
              <w:jc w:val="center"/>
              <w:rPr>
                <w:rFonts w:hint="eastAsia" w:ascii="宋体" w:hAnsi="宋体"/>
                <w:szCs w:val="21"/>
              </w:rPr>
            </w:pPr>
          </w:p>
        </w:tc>
        <w:tc>
          <w:tcPr>
            <w:tcW w:w="2031" w:type="dxa"/>
            <w:noWrap w:val="0"/>
            <w:vAlign w:val="center"/>
          </w:tcPr>
          <w:p w14:paraId="5B069999">
            <w:pPr>
              <w:jc w:val="center"/>
              <w:rPr>
                <w:rFonts w:hint="eastAsia" w:ascii="宋体" w:hAnsi="宋体"/>
                <w:szCs w:val="21"/>
              </w:rPr>
            </w:pPr>
          </w:p>
        </w:tc>
        <w:tc>
          <w:tcPr>
            <w:tcW w:w="2031" w:type="dxa"/>
            <w:noWrap w:val="0"/>
            <w:vAlign w:val="center"/>
          </w:tcPr>
          <w:p w14:paraId="6242BC29">
            <w:pPr>
              <w:jc w:val="center"/>
              <w:rPr>
                <w:rFonts w:hint="eastAsia" w:ascii="宋体" w:hAnsi="宋体"/>
                <w:szCs w:val="21"/>
              </w:rPr>
            </w:pPr>
          </w:p>
        </w:tc>
        <w:tc>
          <w:tcPr>
            <w:tcW w:w="2032" w:type="dxa"/>
            <w:noWrap w:val="0"/>
            <w:vAlign w:val="center"/>
          </w:tcPr>
          <w:p w14:paraId="0A075013">
            <w:pPr>
              <w:jc w:val="center"/>
              <w:rPr>
                <w:rFonts w:hint="eastAsia" w:ascii="宋体" w:hAnsi="宋体"/>
                <w:szCs w:val="21"/>
              </w:rPr>
            </w:pPr>
          </w:p>
        </w:tc>
      </w:tr>
      <w:tr w14:paraId="305492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5FD3FF32">
            <w:pPr>
              <w:jc w:val="center"/>
              <w:rPr>
                <w:rFonts w:hint="eastAsia" w:ascii="宋体" w:hAnsi="宋体"/>
                <w:szCs w:val="21"/>
              </w:rPr>
            </w:pPr>
          </w:p>
        </w:tc>
        <w:tc>
          <w:tcPr>
            <w:tcW w:w="2031" w:type="dxa"/>
            <w:noWrap w:val="0"/>
            <w:vAlign w:val="center"/>
          </w:tcPr>
          <w:p w14:paraId="70E3F2ED">
            <w:pPr>
              <w:jc w:val="center"/>
              <w:rPr>
                <w:rFonts w:hint="eastAsia" w:ascii="宋体" w:hAnsi="宋体"/>
                <w:szCs w:val="21"/>
              </w:rPr>
            </w:pPr>
          </w:p>
        </w:tc>
        <w:tc>
          <w:tcPr>
            <w:tcW w:w="2031" w:type="dxa"/>
            <w:noWrap w:val="0"/>
            <w:vAlign w:val="center"/>
          </w:tcPr>
          <w:p w14:paraId="36412B73">
            <w:pPr>
              <w:jc w:val="center"/>
              <w:rPr>
                <w:rFonts w:hint="eastAsia" w:ascii="宋体" w:hAnsi="宋体"/>
                <w:szCs w:val="21"/>
              </w:rPr>
            </w:pPr>
          </w:p>
        </w:tc>
        <w:tc>
          <w:tcPr>
            <w:tcW w:w="2031" w:type="dxa"/>
            <w:noWrap w:val="0"/>
            <w:vAlign w:val="center"/>
          </w:tcPr>
          <w:p w14:paraId="47F9F156">
            <w:pPr>
              <w:jc w:val="center"/>
              <w:rPr>
                <w:rFonts w:hint="eastAsia" w:ascii="宋体" w:hAnsi="宋体"/>
                <w:szCs w:val="21"/>
              </w:rPr>
            </w:pPr>
          </w:p>
        </w:tc>
        <w:tc>
          <w:tcPr>
            <w:tcW w:w="2031" w:type="dxa"/>
            <w:noWrap w:val="0"/>
            <w:vAlign w:val="center"/>
          </w:tcPr>
          <w:p w14:paraId="0D2120E2">
            <w:pPr>
              <w:jc w:val="center"/>
              <w:rPr>
                <w:rFonts w:hint="eastAsia" w:ascii="宋体" w:hAnsi="宋体"/>
                <w:szCs w:val="21"/>
              </w:rPr>
            </w:pPr>
          </w:p>
        </w:tc>
        <w:tc>
          <w:tcPr>
            <w:tcW w:w="2031" w:type="dxa"/>
            <w:noWrap w:val="0"/>
            <w:vAlign w:val="center"/>
          </w:tcPr>
          <w:p w14:paraId="30896247">
            <w:pPr>
              <w:jc w:val="center"/>
              <w:rPr>
                <w:rFonts w:hint="eastAsia" w:ascii="宋体" w:hAnsi="宋体"/>
                <w:szCs w:val="21"/>
              </w:rPr>
            </w:pPr>
          </w:p>
        </w:tc>
        <w:tc>
          <w:tcPr>
            <w:tcW w:w="2032" w:type="dxa"/>
            <w:noWrap w:val="0"/>
            <w:vAlign w:val="center"/>
          </w:tcPr>
          <w:p w14:paraId="3D541071">
            <w:pPr>
              <w:jc w:val="center"/>
              <w:rPr>
                <w:rFonts w:hint="eastAsia" w:ascii="宋体" w:hAnsi="宋体"/>
                <w:szCs w:val="21"/>
              </w:rPr>
            </w:pPr>
          </w:p>
        </w:tc>
      </w:tr>
      <w:tr w14:paraId="3340FF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A2F2251">
            <w:pPr>
              <w:jc w:val="center"/>
              <w:rPr>
                <w:rFonts w:hint="eastAsia" w:ascii="宋体" w:hAnsi="宋体"/>
                <w:szCs w:val="21"/>
              </w:rPr>
            </w:pPr>
          </w:p>
        </w:tc>
        <w:tc>
          <w:tcPr>
            <w:tcW w:w="2031" w:type="dxa"/>
            <w:noWrap w:val="0"/>
            <w:vAlign w:val="center"/>
          </w:tcPr>
          <w:p w14:paraId="2A01E2A8">
            <w:pPr>
              <w:jc w:val="center"/>
              <w:rPr>
                <w:rFonts w:hint="eastAsia" w:ascii="宋体" w:hAnsi="宋体"/>
                <w:szCs w:val="21"/>
              </w:rPr>
            </w:pPr>
          </w:p>
        </w:tc>
        <w:tc>
          <w:tcPr>
            <w:tcW w:w="2031" w:type="dxa"/>
            <w:noWrap w:val="0"/>
            <w:vAlign w:val="center"/>
          </w:tcPr>
          <w:p w14:paraId="027520C9">
            <w:pPr>
              <w:jc w:val="center"/>
              <w:rPr>
                <w:rFonts w:hint="eastAsia" w:ascii="宋体" w:hAnsi="宋体"/>
                <w:szCs w:val="21"/>
              </w:rPr>
            </w:pPr>
          </w:p>
        </w:tc>
        <w:tc>
          <w:tcPr>
            <w:tcW w:w="2031" w:type="dxa"/>
            <w:noWrap w:val="0"/>
            <w:vAlign w:val="center"/>
          </w:tcPr>
          <w:p w14:paraId="3369773A">
            <w:pPr>
              <w:jc w:val="center"/>
              <w:rPr>
                <w:rFonts w:hint="eastAsia" w:ascii="宋体" w:hAnsi="宋体"/>
                <w:szCs w:val="21"/>
              </w:rPr>
            </w:pPr>
          </w:p>
        </w:tc>
        <w:tc>
          <w:tcPr>
            <w:tcW w:w="2031" w:type="dxa"/>
            <w:noWrap w:val="0"/>
            <w:vAlign w:val="center"/>
          </w:tcPr>
          <w:p w14:paraId="747CB38A">
            <w:pPr>
              <w:jc w:val="center"/>
              <w:rPr>
                <w:rFonts w:hint="eastAsia" w:ascii="宋体" w:hAnsi="宋体"/>
                <w:szCs w:val="21"/>
              </w:rPr>
            </w:pPr>
          </w:p>
        </w:tc>
        <w:tc>
          <w:tcPr>
            <w:tcW w:w="2031" w:type="dxa"/>
            <w:noWrap w:val="0"/>
            <w:vAlign w:val="center"/>
          </w:tcPr>
          <w:p w14:paraId="0287C61C">
            <w:pPr>
              <w:jc w:val="center"/>
              <w:rPr>
                <w:rFonts w:hint="eastAsia" w:ascii="宋体" w:hAnsi="宋体"/>
                <w:szCs w:val="21"/>
              </w:rPr>
            </w:pPr>
          </w:p>
        </w:tc>
        <w:tc>
          <w:tcPr>
            <w:tcW w:w="2032" w:type="dxa"/>
            <w:noWrap w:val="0"/>
            <w:vAlign w:val="center"/>
          </w:tcPr>
          <w:p w14:paraId="28D23669">
            <w:pPr>
              <w:jc w:val="center"/>
              <w:rPr>
                <w:rFonts w:hint="eastAsia" w:ascii="宋体" w:hAnsi="宋体"/>
                <w:szCs w:val="21"/>
              </w:rPr>
            </w:pPr>
          </w:p>
        </w:tc>
      </w:tr>
      <w:tr w14:paraId="000889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227228A3">
            <w:pPr>
              <w:jc w:val="center"/>
              <w:rPr>
                <w:rFonts w:hint="eastAsia" w:ascii="宋体" w:hAnsi="宋体"/>
                <w:szCs w:val="21"/>
              </w:rPr>
            </w:pPr>
          </w:p>
        </w:tc>
        <w:tc>
          <w:tcPr>
            <w:tcW w:w="2031" w:type="dxa"/>
            <w:noWrap w:val="0"/>
            <w:vAlign w:val="center"/>
          </w:tcPr>
          <w:p w14:paraId="1F43CFB9">
            <w:pPr>
              <w:jc w:val="center"/>
              <w:rPr>
                <w:rFonts w:hint="eastAsia" w:ascii="宋体" w:hAnsi="宋体"/>
                <w:szCs w:val="21"/>
              </w:rPr>
            </w:pPr>
          </w:p>
        </w:tc>
        <w:tc>
          <w:tcPr>
            <w:tcW w:w="2031" w:type="dxa"/>
            <w:noWrap w:val="0"/>
            <w:vAlign w:val="center"/>
          </w:tcPr>
          <w:p w14:paraId="164EBA23">
            <w:pPr>
              <w:jc w:val="center"/>
              <w:rPr>
                <w:rFonts w:hint="eastAsia" w:ascii="宋体" w:hAnsi="宋体"/>
                <w:szCs w:val="21"/>
              </w:rPr>
            </w:pPr>
          </w:p>
        </w:tc>
        <w:tc>
          <w:tcPr>
            <w:tcW w:w="2031" w:type="dxa"/>
            <w:noWrap w:val="0"/>
            <w:vAlign w:val="center"/>
          </w:tcPr>
          <w:p w14:paraId="6C55DE0D">
            <w:pPr>
              <w:jc w:val="center"/>
              <w:rPr>
                <w:rFonts w:hint="eastAsia" w:ascii="宋体" w:hAnsi="宋体"/>
                <w:szCs w:val="21"/>
              </w:rPr>
            </w:pPr>
          </w:p>
        </w:tc>
        <w:tc>
          <w:tcPr>
            <w:tcW w:w="2031" w:type="dxa"/>
            <w:noWrap w:val="0"/>
            <w:vAlign w:val="center"/>
          </w:tcPr>
          <w:p w14:paraId="044CE211">
            <w:pPr>
              <w:jc w:val="center"/>
              <w:rPr>
                <w:rFonts w:hint="eastAsia" w:ascii="宋体" w:hAnsi="宋体"/>
                <w:szCs w:val="21"/>
              </w:rPr>
            </w:pPr>
          </w:p>
        </w:tc>
        <w:tc>
          <w:tcPr>
            <w:tcW w:w="2031" w:type="dxa"/>
            <w:noWrap w:val="0"/>
            <w:vAlign w:val="center"/>
          </w:tcPr>
          <w:p w14:paraId="7C9708C3">
            <w:pPr>
              <w:jc w:val="center"/>
              <w:rPr>
                <w:rFonts w:hint="eastAsia" w:ascii="宋体" w:hAnsi="宋体"/>
                <w:szCs w:val="21"/>
              </w:rPr>
            </w:pPr>
          </w:p>
        </w:tc>
        <w:tc>
          <w:tcPr>
            <w:tcW w:w="2032" w:type="dxa"/>
            <w:noWrap w:val="0"/>
            <w:vAlign w:val="center"/>
          </w:tcPr>
          <w:p w14:paraId="60DB2D1A">
            <w:pPr>
              <w:jc w:val="center"/>
              <w:rPr>
                <w:rFonts w:hint="eastAsia" w:ascii="宋体" w:hAnsi="宋体"/>
                <w:szCs w:val="21"/>
              </w:rPr>
            </w:pPr>
          </w:p>
        </w:tc>
      </w:tr>
      <w:tr w14:paraId="7DC960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172E8B46">
            <w:pPr>
              <w:jc w:val="center"/>
              <w:rPr>
                <w:rFonts w:hint="eastAsia" w:ascii="宋体" w:hAnsi="宋体"/>
                <w:szCs w:val="21"/>
              </w:rPr>
            </w:pPr>
          </w:p>
        </w:tc>
        <w:tc>
          <w:tcPr>
            <w:tcW w:w="2031" w:type="dxa"/>
            <w:noWrap w:val="0"/>
            <w:vAlign w:val="center"/>
          </w:tcPr>
          <w:p w14:paraId="43E00AE7">
            <w:pPr>
              <w:jc w:val="center"/>
              <w:rPr>
                <w:rFonts w:hint="eastAsia" w:ascii="宋体" w:hAnsi="宋体"/>
                <w:szCs w:val="21"/>
              </w:rPr>
            </w:pPr>
          </w:p>
        </w:tc>
        <w:tc>
          <w:tcPr>
            <w:tcW w:w="2031" w:type="dxa"/>
            <w:noWrap w:val="0"/>
            <w:vAlign w:val="center"/>
          </w:tcPr>
          <w:p w14:paraId="1EA6D2C0">
            <w:pPr>
              <w:jc w:val="center"/>
              <w:rPr>
                <w:rFonts w:hint="eastAsia" w:ascii="宋体" w:hAnsi="宋体"/>
                <w:szCs w:val="21"/>
              </w:rPr>
            </w:pPr>
          </w:p>
        </w:tc>
        <w:tc>
          <w:tcPr>
            <w:tcW w:w="2031" w:type="dxa"/>
            <w:noWrap w:val="0"/>
            <w:vAlign w:val="center"/>
          </w:tcPr>
          <w:p w14:paraId="79FAED7C">
            <w:pPr>
              <w:jc w:val="center"/>
              <w:rPr>
                <w:rFonts w:hint="eastAsia" w:ascii="宋体" w:hAnsi="宋体"/>
                <w:szCs w:val="21"/>
              </w:rPr>
            </w:pPr>
          </w:p>
        </w:tc>
        <w:tc>
          <w:tcPr>
            <w:tcW w:w="2031" w:type="dxa"/>
            <w:noWrap w:val="0"/>
            <w:vAlign w:val="center"/>
          </w:tcPr>
          <w:p w14:paraId="1B01918A">
            <w:pPr>
              <w:jc w:val="center"/>
              <w:rPr>
                <w:rFonts w:hint="eastAsia" w:ascii="宋体" w:hAnsi="宋体"/>
                <w:szCs w:val="21"/>
              </w:rPr>
            </w:pPr>
          </w:p>
        </w:tc>
        <w:tc>
          <w:tcPr>
            <w:tcW w:w="2031" w:type="dxa"/>
            <w:noWrap w:val="0"/>
            <w:vAlign w:val="center"/>
          </w:tcPr>
          <w:p w14:paraId="1A0D9DA4">
            <w:pPr>
              <w:jc w:val="center"/>
              <w:rPr>
                <w:rFonts w:hint="eastAsia" w:ascii="宋体" w:hAnsi="宋体"/>
                <w:szCs w:val="21"/>
              </w:rPr>
            </w:pPr>
          </w:p>
        </w:tc>
        <w:tc>
          <w:tcPr>
            <w:tcW w:w="2032" w:type="dxa"/>
            <w:noWrap w:val="0"/>
            <w:vAlign w:val="center"/>
          </w:tcPr>
          <w:p w14:paraId="248E32F5">
            <w:pPr>
              <w:jc w:val="center"/>
              <w:rPr>
                <w:rFonts w:hint="eastAsia" w:ascii="宋体" w:hAnsi="宋体"/>
                <w:szCs w:val="21"/>
              </w:rPr>
            </w:pPr>
          </w:p>
        </w:tc>
      </w:tr>
      <w:tr w14:paraId="37F328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031" w:type="dxa"/>
            <w:noWrap w:val="0"/>
            <w:vAlign w:val="center"/>
          </w:tcPr>
          <w:p w14:paraId="3C7BECDD">
            <w:pPr>
              <w:jc w:val="center"/>
              <w:rPr>
                <w:rFonts w:hint="eastAsia" w:ascii="宋体" w:hAnsi="宋体"/>
                <w:szCs w:val="21"/>
              </w:rPr>
            </w:pPr>
          </w:p>
        </w:tc>
        <w:tc>
          <w:tcPr>
            <w:tcW w:w="2031" w:type="dxa"/>
            <w:noWrap w:val="0"/>
            <w:vAlign w:val="center"/>
          </w:tcPr>
          <w:p w14:paraId="7D786844">
            <w:pPr>
              <w:jc w:val="center"/>
              <w:rPr>
                <w:rFonts w:hint="eastAsia" w:ascii="宋体" w:hAnsi="宋体"/>
                <w:szCs w:val="21"/>
              </w:rPr>
            </w:pPr>
          </w:p>
        </w:tc>
        <w:tc>
          <w:tcPr>
            <w:tcW w:w="2031" w:type="dxa"/>
            <w:noWrap w:val="0"/>
            <w:vAlign w:val="center"/>
          </w:tcPr>
          <w:p w14:paraId="7FCF55D9">
            <w:pPr>
              <w:jc w:val="center"/>
              <w:rPr>
                <w:rFonts w:hint="eastAsia" w:ascii="宋体" w:hAnsi="宋体"/>
                <w:szCs w:val="21"/>
              </w:rPr>
            </w:pPr>
          </w:p>
        </w:tc>
        <w:tc>
          <w:tcPr>
            <w:tcW w:w="2031" w:type="dxa"/>
            <w:noWrap w:val="0"/>
            <w:vAlign w:val="center"/>
          </w:tcPr>
          <w:p w14:paraId="3C5AFB0D">
            <w:pPr>
              <w:jc w:val="center"/>
              <w:rPr>
                <w:rFonts w:hint="eastAsia" w:ascii="宋体" w:hAnsi="宋体"/>
                <w:szCs w:val="21"/>
              </w:rPr>
            </w:pPr>
          </w:p>
        </w:tc>
        <w:tc>
          <w:tcPr>
            <w:tcW w:w="2031" w:type="dxa"/>
            <w:noWrap w:val="0"/>
            <w:vAlign w:val="center"/>
          </w:tcPr>
          <w:p w14:paraId="40E7CCA4">
            <w:pPr>
              <w:jc w:val="center"/>
              <w:rPr>
                <w:rFonts w:hint="eastAsia" w:ascii="宋体" w:hAnsi="宋体"/>
                <w:szCs w:val="21"/>
              </w:rPr>
            </w:pPr>
          </w:p>
        </w:tc>
        <w:tc>
          <w:tcPr>
            <w:tcW w:w="2031" w:type="dxa"/>
            <w:noWrap w:val="0"/>
            <w:vAlign w:val="center"/>
          </w:tcPr>
          <w:p w14:paraId="1C3E36BD">
            <w:pPr>
              <w:jc w:val="center"/>
              <w:rPr>
                <w:rFonts w:hint="eastAsia" w:ascii="宋体" w:hAnsi="宋体"/>
                <w:szCs w:val="21"/>
              </w:rPr>
            </w:pPr>
          </w:p>
        </w:tc>
        <w:tc>
          <w:tcPr>
            <w:tcW w:w="2032" w:type="dxa"/>
            <w:noWrap w:val="0"/>
            <w:vAlign w:val="center"/>
          </w:tcPr>
          <w:p w14:paraId="6F8C783A">
            <w:pPr>
              <w:jc w:val="center"/>
              <w:rPr>
                <w:rFonts w:hint="eastAsia" w:ascii="宋体" w:hAnsi="宋体"/>
                <w:szCs w:val="21"/>
              </w:rPr>
            </w:pPr>
          </w:p>
        </w:tc>
      </w:tr>
    </w:tbl>
    <w:p w14:paraId="1353E736">
      <w:pPr>
        <w:spacing w:line="400" w:lineRule="exact"/>
        <w:ind w:left="630" w:hanging="630" w:hangingChars="300"/>
        <w:rPr>
          <w:rFonts w:hint="eastAsia" w:ascii="宋体" w:hAnsi="宋体"/>
          <w:szCs w:val="21"/>
        </w:rPr>
      </w:pPr>
      <w:r>
        <w:rPr>
          <w:rFonts w:hint="eastAsia" w:ascii="宋体" w:hAnsi="宋体"/>
          <w:szCs w:val="21"/>
        </w:rPr>
        <w:t>备注：“目前状况”应说明已使用年限、是否完好以及目前是否正在使用，“来源”分为“自有”和“市场租赁”两种情况，正在使用中的设备应在“备注”中注明何时能够投入本项目。本招标项目（标段）投标人资质条件、能力和信誉中要求的主要施工机械设备，投标人应提供相关证明材料，如</w:t>
      </w:r>
      <w:r>
        <w:rPr>
          <w:rFonts w:hint="eastAsia"/>
          <w:szCs w:val="21"/>
        </w:rPr>
        <w:t>自有设备的原始发票扫描件、折旧政策、停放地点和使用状况等的说明文件，租赁设备的租赁意向书或带条件生效的租赁合同扫描件。</w:t>
      </w:r>
    </w:p>
    <w:p w14:paraId="5E75505C">
      <w:pPr>
        <w:pStyle w:val="20"/>
        <w:jc w:val="center"/>
        <w:rPr>
          <w:szCs w:val="24"/>
        </w:rPr>
        <w:sectPr>
          <w:pgSz w:w="16840" w:h="11907" w:orient="landscape"/>
          <w:pgMar w:top="1474" w:right="1701" w:bottom="1531" w:left="1588" w:header="851" w:footer="992" w:gutter="0"/>
          <w:cols w:space="720" w:num="1"/>
          <w:docGrid w:linePitch="312" w:charSpace="0"/>
        </w:sectPr>
      </w:pPr>
    </w:p>
    <w:p w14:paraId="09E8A519">
      <w:pPr>
        <w:pStyle w:val="20"/>
        <w:jc w:val="center"/>
        <w:rPr>
          <w:rFonts w:hint="eastAsia"/>
          <w:szCs w:val="24"/>
        </w:rPr>
      </w:pPr>
      <w:bookmarkStart w:id="2661" w:name="_Toc108514245"/>
      <w:r>
        <w:rPr>
          <w:rFonts w:hint="eastAsia"/>
          <w:szCs w:val="24"/>
        </w:rPr>
        <w:t>（二）近3年财务状况</w:t>
      </w:r>
      <w:bookmarkEnd w:id="2661"/>
    </w:p>
    <w:p w14:paraId="79D37B78">
      <w:pPr>
        <w:pStyle w:val="20"/>
        <w:jc w:val="center"/>
        <w:rPr>
          <w:rFonts w:hint="eastAsia"/>
          <w:szCs w:val="24"/>
        </w:rPr>
      </w:pPr>
      <w:bookmarkStart w:id="2662" w:name="_Toc108514246"/>
      <w:r>
        <w:rPr>
          <w:rFonts w:hint="eastAsia"/>
          <w:szCs w:val="24"/>
        </w:rPr>
        <w:t>2-1近3年财务状况表</w:t>
      </w:r>
      <w:bookmarkEnd w:id="2662"/>
    </w:p>
    <w:tbl>
      <w:tblPr>
        <w:tblStyle w:val="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4"/>
        <w:gridCol w:w="815"/>
        <w:gridCol w:w="1539"/>
        <w:gridCol w:w="1539"/>
        <w:gridCol w:w="1539"/>
        <w:gridCol w:w="1539"/>
      </w:tblGrid>
      <w:tr w14:paraId="4A34B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32BF623">
            <w:pPr>
              <w:jc w:val="center"/>
              <w:rPr>
                <w:rFonts w:hint="eastAsia" w:ascii="宋体" w:hAnsi="宋体"/>
                <w:szCs w:val="21"/>
              </w:rPr>
            </w:pPr>
            <w:r>
              <w:rPr>
                <w:rFonts w:hint="eastAsia" w:ascii="宋体" w:hAnsi="宋体"/>
                <w:szCs w:val="21"/>
              </w:rPr>
              <w:t>名称</w:t>
            </w:r>
          </w:p>
        </w:tc>
        <w:tc>
          <w:tcPr>
            <w:tcW w:w="815" w:type="dxa"/>
            <w:noWrap w:val="0"/>
            <w:vAlign w:val="center"/>
          </w:tcPr>
          <w:p w14:paraId="42D921A2">
            <w:pPr>
              <w:jc w:val="center"/>
              <w:rPr>
                <w:rFonts w:hint="eastAsia" w:ascii="宋体" w:hAnsi="宋体"/>
                <w:szCs w:val="21"/>
              </w:rPr>
            </w:pPr>
            <w:r>
              <w:rPr>
                <w:rFonts w:hint="eastAsia" w:ascii="宋体" w:hAnsi="宋体"/>
                <w:szCs w:val="21"/>
              </w:rPr>
              <w:t>单位</w:t>
            </w:r>
          </w:p>
        </w:tc>
        <w:tc>
          <w:tcPr>
            <w:tcW w:w="1539" w:type="dxa"/>
            <w:noWrap w:val="0"/>
            <w:vAlign w:val="center"/>
          </w:tcPr>
          <w:p w14:paraId="023B490E">
            <w:pPr>
              <w:jc w:val="center"/>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p>
        </w:tc>
        <w:tc>
          <w:tcPr>
            <w:tcW w:w="1539" w:type="dxa"/>
            <w:noWrap w:val="0"/>
            <w:vAlign w:val="center"/>
          </w:tcPr>
          <w:p w14:paraId="5E4450CA">
            <w:pPr>
              <w:jc w:val="center"/>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p>
        </w:tc>
        <w:tc>
          <w:tcPr>
            <w:tcW w:w="1539" w:type="dxa"/>
            <w:noWrap w:val="0"/>
            <w:vAlign w:val="center"/>
          </w:tcPr>
          <w:p w14:paraId="20ABCBF0">
            <w:pPr>
              <w:jc w:val="center"/>
              <w:rPr>
                <w:rFonts w:hint="eastAsia" w:ascii="宋体" w:hAnsi="宋体"/>
                <w:szCs w:val="21"/>
              </w:rPr>
            </w:pPr>
            <w:r>
              <w:rPr>
                <w:rFonts w:hint="eastAsia" w:ascii="宋体" w:hAnsi="宋体"/>
                <w:szCs w:val="21"/>
                <w:u w:val="single"/>
              </w:rPr>
              <w:t>　　　</w:t>
            </w:r>
            <w:r>
              <w:rPr>
                <w:rFonts w:hint="eastAsia" w:ascii="宋体" w:hAnsi="宋体"/>
                <w:szCs w:val="21"/>
              </w:rPr>
              <w:t>年</w:t>
            </w:r>
          </w:p>
        </w:tc>
        <w:tc>
          <w:tcPr>
            <w:tcW w:w="1539" w:type="dxa"/>
            <w:noWrap w:val="0"/>
            <w:vAlign w:val="center"/>
          </w:tcPr>
          <w:p w14:paraId="52BB0E20">
            <w:pPr>
              <w:jc w:val="center"/>
              <w:rPr>
                <w:rFonts w:hint="eastAsia" w:ascii="宋体" w:hAnsi="宋体"/>
                <w:szCs w:val="21"/>
              </w:rPr>
            </w:pPr>
            <w:r>
              <w:rPr>
                <w:rFonts w:hint="eastAsia" w:ascii="宋体" w:hAnsi="宋体"/>
                <w:szCs w:val="21"/>
              </w:rPr>
              <w:t>近3年平均值　</w:t>
            </w:r>
          </w:p>
        </w:tc>
      </w:tr>
      <w:tr w14:paraId="5AC88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FD74F18">
            <w:pPr>
              <w:rPr>
                <w:rFonts w:hint="eastAsia" w:ascii="宋体" w:hAnsi="宋体"/>
                <w:szCs w:val="21"/>
              </w:rPr>
            </w:pPr>
            <w:r>
              <w:rPr>
                <w:rFonts w:hint="eastAsia" w:ascii="宋体" w:hAnsi="宋体"/>
                <w:szCs w:val="21"/>
              </w:rPr>
              <w:t>一．注册资金</w:t>
            </w:r>
          </w:p>
        </w:tc>
        <w:tc>
          <w:tcPr>
            <w:tcW w:w="815" w:type="dxa"/>
            <w:noWrap w:val="0"/>
            <w:vAlign w:val="center"/>
          </w:tcPr>
          <w:p w14:paraId="68F71E0A">
            <w:pPr>
              <w:jc w:val="center"/>
              <w:rPr>
                <w:rFonts w:hint="eastAsia" w:ascii="宋体" w:hAnsi="宋体"/>
                <w:szCs w:val="21"/>
              </w:rPr>
            </w:pPr>
            <w:r>
              <w:rPr>
                <w:rFonts w:hint="eastAsia" w:ascii="宋体" w:hAnsi="宋体"/>
                <w:szCs w:val="21"/>
              </w:rPr>
              <w:t>万元</w:t>
            </w:r>
          </w:p>
        </w:tc>
        <w:tc>
          <w:tcPr>
            <w:tcW w:w="1539" w:type="dxa"/>
            <w:noWrap w:val="0"/>
            <w:vAlign w:val="center"/>
          </w:tcPr>
          <w:p w14:paraId="564061CF">
            <w:pPr>
              <w:jc w:val="center"/>
              <w:rPr>
                <w:rFonts w:hint="eastAsia" w:ascii="宋体" w:hAnsi="宋体"/>
                <w:szCs w:val="21"/>
              </w:rPr>
            </w:pPr>
          </w:p>
        </w:tc>
        <w:tc>
          <w:tcPr>
            <w:tcW w:w="1539" w:type="dxa"/>
            <w:noWrap w:val="0"/>
            <w:vAlign w:val="center"/>
          </w:tcPr>
          <w:p w14:paraId="612BF9ED">
            <w:pPr>
              <w:jc w:val="center"/>
              <w:rPr>
                <w:rFonts w:hint="eastAsia" w:ascii="宋体" w:hAnsi="宋体"/>
                <w:szCs w:val="21"/>
              </w:rPr>
            </w:pPr>
          </w:p>
        </w:tc>
        <w:tc>
          <w:tcPr>
            <w:tcW w:w="1539" w:type="dxa"/>
            <w:noWrap w:val="0"/>
            <w:vAlign w:val="center"/>
          </w:tcPr>
          <w:p w14:paraId="23376F95">
            <w:pPr>
              <w:jc w:val="center"/>
              <w:rPr>
                <w:rFonts w:hint="eastAsia" w:ascii="宋体" w:hAnsi="宋体"/>
                <w:szCs w:val="21"/>
              </w:rPr>
            </w:pPr>
          </w:p>
        </w:tc>
        <w:tc>
          <w:tcPr>
            <w:tcW w:w="1539" w:type="dxa"/>
            <w:noWrap w:val="0"/>
            <w:vAlign w:val="center"/>
          </w:tcPr>
          <w:p w14:paraId="69393D32">
            <w:pPr>
              <w:jc w:val="center"/>
              <w:rPr>
                <w:rFonts w:hint="eastAsia" w:ascii="宋体" w:hAnsi="宋体"/>
                <w:szCs w:val="21"/>
              </w:rPr>
            </w:pPr>
            <w:r>
              <w:rPr>
                <w:rFonts w:hint="eastAsia" w:ascii="宋体" w:hAnsi="宋体"/>
                <w:szCs w:val="21"/>
              </w:rPr>
              <w:t>-</w:t>
            </w:r>
          </w:p>
        </w:tc>
      </w:tr>
      <w:tr w14:paraId="337EA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4A514C1">
            <w:pPr>
              <w:rPr>
                <w:rFonts w:hint="eastAsia" w:ascii="宋体" w:hAnsi="宋体"/>
                <w:szCs w:val="21"/>
              </w:rPr>
            </w:pPr>
            <w:r>
              <w:rPr>
                <w:rFonts w:hint="eastAsia" w:ascii="宋体" w:hAnsi="宋体"/>
                <w:szCs w:val="21"/>
              </w:rPr>
              <w:t>二．净资产</w:t>
            </w:r>
          </w:p>
        </w:tc>
        <w:tc>
          <w:tcPr>
            <w:tcW w:w="815" w:type="dxa"/>
            <w:noWrap w:val="0"/>
            <w:vAlign w:val="center"/>
          </w:tcPr>
          <w:p w14:paraId="045D4F78">
            <w:pPr>
              <w:jc w:val="center"/>
              <w:rPr>
                <w:rFonts w:hint="eastAsia" w:ascii="宋体" w:hAnsi="宋体"/>
                <w:szCs w:val="21"/>
              </w:rPr>
            </w:pPr>
            <w:r>
              <w:rPr>
                <w:rFonts w:hint="eastAsia" w:ascii="宋体" w:hAnsi="宋体"/>
                <w:szCs w:val="21"/>
              </w:rPr>
              <w:t>万元</w:t>
            </w:r>
          </w:p>
        </w:tc>
        <w:tc>
          <w:tcPr>
            <w:tcW w:w="1539" w:type="dxa"/>
            <w:noWrap w:val="0"/>
            <w:vAlign w:val="center"/>
          </w:tcPr>
          <w:p w14:paraId="0947FDF2">
            <w:pPr>
              <w:jc w:val="center"/>
              <w:rPr>
                <w:rFonts w:hint="eastAsia" w:ascii="宋体" w:hAnsi="宋体"/>
                <w:szCs w:val="21"/>
              </w:rPr>
            </w:pPr>
          </w:p>
        </w:tc>
        <w:tc>
          <w:tcPr>
            <w:tcW w:w="1539" w:type="dxa"/>
            <w:noWrap w:val="0"/>
            <w:vAlign w:val="center"/>
          </w:tcPr>
          <w:p w14:paraId="4DAF804A">
            <w:pPr>
              <w:jc w:val="center"/>
              <w:rPr>
                <w:rFonts w:hint="eastAsia" w:ascii="宋体" w:hAnsi="宋体"/>
                <w:szCs w:val="21"/>
              </w:rPr>
            </w:pPr>
          </w:p>
        </w:tc>
        <w:tc>
          <w:tcPr>
            <w:tcW w:w="1539" w:type="dxa"/>
            <w:noWrap w:val="0"/>
            <w:vAlign w:val="center"/>
          </w:tcPr>
          <w:p w14:paraId="54DFF72C">
            <w:pPr>
              <w:jc w:val="center"/>
              <w:rPr>
                <w:rFonts w:hint="eastAsia" w:ascii="宋体" w:hAnsi="宋体"/>
                <w:szCs w:val="21"/>
              </w:rPr>
            </w:pPr>
          </w:p>
        </w:tc>
        <w:tc>
          <w:tcPr>
            <w:tcW w:w="1539" w:type="dxa"/>
            <w:noWrap w:val="0"/>
            <w:vAlign w:val="center"/>
          </w:tcPr>
          <w:p w14:paraId="378075F1">
            <w:pPr>
              <w:jc w:val="center"/>
              <w:rPr>
                <w:rFonts w:hint="eastAsia" w:ascii="宋体" w:hAnsi="宋体"/>
                <w:szCs w:val="21"/>
              </w:rPr>
            </w:pPr>
            <w:r>
              <w:rPr>
                <w:rFonts w:hint="eastAsia" w:ascii="宋体" w:hAnsi="宋体"/>
                <w:szCs w:val="21"/>
              </w:rPr>
              <w:t>-</w:t>
            </w:r>
          </w:p>
        </w:tc>
      </w:tr>
      <w:tr w14:paraId="64CF1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B403B55">
            <w:pPr>
              <w:rPr>
                <w:rFonts w:hint="eastAsia" w:ascii="宋体" w:hAnsi="宋体"/>
                <w:szCs w:val="21"/>
              </w:rPr>
            </w:pPr>
            <w:r>
              <w:rPr>
                <w:rFonts w:hint="eastAsia" w:ascii="宋体" w:hAnsi="宋体"/>
                <w:szCs w:val="21"/>
              </w:rPr>
              <w:t>三．总资产</w:t>
            </w:r>
          </w:p>
        </w:tc>
        <w:tc>
          <w:tcPr>
            <w:tcW w:w="815" w:type="dxa"/>
            <w:noWrap w:val="0"/>
            <w:vAlign w:val="center"/>
          </w:tcPr>
          <w:p w14:paraId="143E3788">
            <w:pPr>
              <w:jc w:val="center"/>
              <w:rPr>
                <w:rFonts w:hint="eastAsia" w:ascii="宋体" w:hAnsi="宋体"/>
                <w:szCs w:val="21"/>
              </w:rPr>
            </w:pPr>
            <w:r>
              <w:rPr>
                <w:rFonts w:hint="eastAsia" w:ascii="宋体" w:hAnsi="宋体"/>
                <w:szCs w:val="21"/>
              </w:rPr>
              <w:t>万元</w:t>
            </w:r>
          </w:p>
        </w:tc>
        <w:tc>
          <w:tcPr>
            <w:tcW w:w="1539" w:type="dxa"/>
            <w:noWrap w:val="0"/>
            <w:vAlign w:val="center"/>
          </w:tcPr>
          <w:p w14:paraId="6EDA5F1F">
            <w:pPr>
              <w:jc w:val="center"/>
              <w:rPr>
                <w:rFonts w:hint="eastAsia" w:ascii="宋体" w:hAnsi="宋体"/>
                <w:szCs w:val="21"/>
              </w:rPr>
            </w:pPr>
          </w:p>
        </w:tc>
        <w:tc>
          <w:tcPr>
            <w:tcW w:w="1539" w:type="dxa"/>
            <w:noWrap w:val="0"/>
            <w:vAlign w:val="center"/>
          </w:tcPr>
          <w:p w14:paraId="6E4F08C7">
            <w:pPr>
              <w:jc w:val="center"/>
              <w:rPr>
                <w:rFonts w:hint="eastAsia" w:ascii="宋体" w:hAnsi="宋体"/>
                <w:szCs w:val="21"/>
              </w:rPr>
            </w:pPr>
          </w:p>
        </w:tc>
        <w:tc>
          <w:tcPr>
            <w:tcW w:w="1539" w:type="dxa"/>
            <w:noWrap w:val="0"/>
            <w:vAlign w:val="center"/>
          </w:tcPr>
          <w:p w14:paraId="72881407">
            <w:pPr>
              <w:jc w:val="center"/>
              <w:rPr>
                <w:rFonts w:hint="eastAsia" w:ascii="宋体" w:hAnsi="宋体"/>
                <w:szCs w:val="21"/>
              </w:rPr>
            </w:pPr>
          </w:p>
        </w:tc>
        <w:tc>
          <w:tcPr>
            <w:tcW w:w="1539" w:type="dxa"/>
            <w:noWrap w:val="0"/>
            <w:vAlign w:val="center"/>
          </w:tcPr>
          <w:p w14:paraId="66F31A4E">
            <w:pPr>
              <w:jc w:val="center"/>
              <w:rPr>
                <w:rFonts w:hint="eastAsia" w:ascii="宋体" w:hAnsi="宋体"/>
                <w:szCs w:val="21"/>
              </w:rPr>
            </w:pPr>
          </w:p>
        </w:tc>
      </w:tr>
      <w:tr w14:paraId="2EF86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E848A4B">
            <w:pPr>
              <w:rPr>
                <w:rFonts w:hint="eastAsia" w:ascii="宋体" w:hAnsi="宋体"/>
                <w:szCs w:val="21"/>
              </w:rPr>
            </w:pPr>
            <w:r>
              <w:rPr>
                <w:rFonts w:hint="eastAsia" w:ascii="宋体" w:hAnsi="宋体"/>
                <w:szCs w:val="21"/>
              </w:rPr>
              <w:t>四．固定资产</w:t>
            </w:r>
          </w:p>
        </w:tc>
        <w:tc>
          <w:tcPr>
            <w:tcW w:w="815" w:type="dxa"/>
            <w:noWrap w:val="0"/>
            <w:vAlign w:val="center"/>
          </w:tcPr>
          <w:p w14:paraId="1BB99FC1">
            <w:pPr>
              <w:jc w:val="center"/>
              <w:rPr>
                <w:rFonts w:hint="eastAsia" w:ascii="宋体" w:hAnsi="宋体"/>
                <w:szCs w:val="21"/>
              </w:rPr>
            </w:pPr>
            <w:r>
              <w:rPr>
                <w:rFonts w:hint="eastAsia" w:ascii="宋体" w:hAnsi="宋体"/>
                <w:szCs w:val="21"/>
              </w:rPr>
              <w:t>万元</w:t>
            </w:r>
          </w:p>
        </w:tc>
        <w:tc>
          <w:tcPr>
            <w:tcW w:w="1539" w:type="dxa"/>
            <w:noWrap w:val="0"/>
            <w:vAlign w:val="center"/>
          </w:tcPr>
          <w:p w14:paraId="397EE0E5">
            <w:pPr>
              <w:jc w:val="center"/>
              <w:rPr>
                <w:rFonts w:hint="eastAsia" w:ascii="宋体" w:hAnsi="宋体"/>
                <w:szCs w:val="21"/>
              </w:rPr>
            </w:pPr>
          </w:p>
        </w:tc>
        <w:tc>
          <w:tcPr>
            <w:tcW w:w="1539" w:type="dxa"/>
            <w:noWrap w:val="0"/>
            <w:vAlign w:val="center"/>
          </w:tcPr>
          <w:p w14:paraId="5C1BA47C">
            <w:pPr>
              <w:jc w:val="center"/>
              <w:rPr>
                <w:rFonts w:hint="eastAsia" w:ascii="宋体" w:hAnsi="宋体"/>
                <w:szCs w:val="21"/>
              </w:rPr>
            </w:pPr>
          </w:p>
        </w:tc>
        <w:tc>
          <w:tcPr>
            <w:tcW w:w="1539" w:type="dxa"/>
            <w:noWrap w:val="0"/>
            <w:vAlign w:val="center"/>
          </w:tcPr>
          <w:p w14:paraId="13990FF9">
            <w:pPr>
              <w:jc w:val="center"/>
              <w:rPr>
                <w:rFonts w:hint="eastAsia" w:ascii="宋体" w:hAnsi="宋体"/>
                <w:szCs w:val="21"/>
              </w:rPr>
            </w:pPr>
          </w:p>
        </w:tc>
        <w:tc>
          <w:tcPr>
            <w:tcW w:w="1539" w:type="dxa"/>
            <w:noWrap w:val="0"/>
            <w:vAlign w:val="center"/>
          </w:tcPr>
          <w:p w14:paraId="3E6093C5">
            <w:pPr>
              <w:jc w:val="center"/>
              <w:rPr>
                <w:rFonts w:hint="eastAsia" w:ascii="宋体" w:hAnsi="宋体"/>
                <w:szCs w:val="21"/>
              </w:rPr>
            </w:pPr>
            <w:r>
              <w:rPr>
                <w:rFonts w:hint="eastAsia" w:ascii="宋体" w:hAnsi="宋体"/>
                <w:szCs w:val="21"/>
              </w:rPr>
              <w:t>-</w:t>
            </w:r>
          </w:p>
        </w:tc>
      </w:tr>
      <w:tr w14:paraId="2A6A3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94E1528">
            <w:pPr>
              <w:rPr>
                <w:rFonts w:hint="eastAsia" w:ascii="宋体" w:hAnsi="宋体"/>
                <w:szCs w:val="21"/>
              </w:rPr>
            </w:pPr>
            <w:r>
              <w:rPr>
                <w:rFonts w:hint="eastAsia" w:ascii="宋体" w:hAnsi="宋体"/>
                <w:szCs w:val="21"/>
              </w:rPr>
              <w:t>五．流动资产</w:t>
            </w:r>
          </w:p>
        </w:tc>
        <w:tc>
          <w:tcPr>
            <w:tcW w:w="815" w:type="dxa"/>
            <w:noWrap w:val="0"/>
            <w:vAlign w:val="center"/>
          </w:tcPr>
          <w:p w14:paraId="2367DD21">
            <w:pPr>
              <w:jc w:val="center"/>
              <w:rPr>
                <w:rFonts w:hint="eastAsia" w:ascii="宋体" w:hAnsi="宋体"/>
                <w:szCs w:val="21"/>
              </w:rPr>
            </w:pPr>
            <w:r>
              <w:rPr>
                <w:rFonts w:hint="eastAsia" w:ascii="宋体" w:hAnsi="宋体"/>
                <w:szCs w:val="21"/>
              </w:rPr>
              <w:t>万元</w:t>
            </w:r>
          </w:p>
        </w:tc>
        <w:tc>
          <w:tcPr>
            <w:tcW w:w="1539" w:type="dxa"/>
            <w:noWrap w:val="0"/>
            <w:vAlign w:val="center"/>
          </w:tcPr>
          <w:p w14:paraId="5C5FDB91">
            <w:pPr>
              <w:jc w:val="center"/>
              <w:rPr>
                <w:rFonts w:hint="eastAsia" w:ascii="宋体" w:hAnsi="宋体"/>
                <w:szCs w:val="21"/>
              </w:rPr>
            </w:pPr>
          </w:p>
        </w:tc>
        <w:tc>
          <w:tcPr>
            <w:tcW w:w="1539" w:type="dxa"/>
            <w:noWrap w:val="0"/>
            <w:vAlign w:val="center"/>
          </w:tcPr>
          <w:p w14:paraId="0FF475D7">
            <w:pPr>
              <w:jc w:val="center"/>
              <w:rPr>
                <w:rFonts w:hint="eastAsia" w:ascii="宋体" w:hAnsi="宋体"/>
                <w:szCs w:val="21"/>
              </w:rPr>
            </w:pPr>
          </w:p>
        </w:tc>
        <w:tc>
          <w:tcPr>
            <w:tcW w:w="1539" w:type="dxa"/>
            <w:noWrap w:val="0"/>
            <w:vAlign w:val="center"/>
          </w:tcPr>
          <w:p w14:paraId="6E372E02">
            <w:pPr>
              <w:jc w:val="center"/>
              <w:rPr>
                <w:rFonts w:hint="eastAsia" w:ascii="宋体" w:hAnsi="宋体"/>
                <w:szCs w:val="21"/>
              </w:rPr>
            </w:pPr>
          </w:p>
        </w:tc>
        <w:tc>
          <w:tcPr>
            <w:tcW w:w="1539" w:type="dxa"/>
            <w:noWrap w:val="0"/>
            <w:vAlign w:val="center"/>
          </w:tcPr>
          <w:p w14:paraId="74910F50">
            <w:pPr>
              <w:jc w:val="center"/>
              <w:rPr>
                <w:rFonts w:hint="eastAsia" w:ascii="宋体" w:hAnsi="宋体"/>
                <w:szCs w:val="21"/>
              </w:rPr>
            </w:pPr>
          </w:p>
        </w:tc>
      </w:tr>
      <w:tr w14:paraId="38E6C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E3DF9B2">
            <w:pPr>
              <w:rPr>
                <w:rFonts w:hint="eastAsia" w:ascii="宋体" w:hAnsi="宋体"/>
                <w:szCs w:val="21"/>
              </w:rPr>
            </w:pPr>
            <w:r>
              <w:rPr>
                <w:rFonts w:hint="eastAsia" w:ascii="宋体" w:hAnsi="宋体"/>
                <w:szCs w:val="21"/>
              </w:rPr>
              <w:t>六．流动负债</w:t>
            </w:r>
          </w:p>
        </w:tc>
        <w:tc>
          <w:tcPr>
            <w:tcW w:w="815" w:type="dxa"/>
            <w:noWrap w:val="0"/>
            <w:vAlign w:val="center"/>
          </w:tcPr>
          <w:p w14:paraId="5EC9F006">
            <w:pPr>
              <w:jc w:val="center"/>
              <w:rPr>
                <w:rFonts w:hint="eastAsia" w:ascii="宋体" w:hAnsi="宋体"/>
                <w:szCs w:val="21"/>
              </w:rPr>
            </w:pPr>
            <w:r>
              <w:rPr>
                <w:rFonts w:hint="eastAsia" w:ascii="宋体" w:hAnsi="宋体"/>
                <w:szCs w:val="21"/>
              </w:rPr>
              <w:t>万元</w:t>
            </w:r>
          </w:p>
        </w:tc>
        <w:tc>
          <w:tcPr>
            <w:tcW w:w="1539" w:type="dxa"/>
            <w:noWrap w:val="0"/>
            <w:vAlign w:val="center"/>
          </w:tcPr>
          <w:p w14:paraId="264B7613">
            <w:pPr>
              <w:jc w:val="center"/>
              <w:rPr>
                <w:rFonts w:hint="eastAsia" w:ascii="宋体" w:hAnsi="宋体"/>
                <w:szCs w:val="21"/>
              </w:rPr>
            </w:pPr>
          </w:p>
        </w:tc>
        <w:tc>
          <w:tcPr>
            <w:tcW w:w="1539" w:type="dxa"/>
            <w:noWrap w:val="0"/>
            <w:vAlign w:val="center"/>
          </w:tcPr>
          <w:p w14:paraId="5BDF8C6B">
            <w:pPr>
              <w:jc w:val="center"/>
              <w:rPr>
                <w:rFonts w:hint="eastAsia" w:ascii="宋体" w:hAnsi="宋体"/>
                <w:szCs w:val="21"/>
              </w:rPr>
            </w:pPr>
          </w:p>
        </w:tc>
        <w:tc>
          <w:tcPr>
            <w:tcW w:w="1539" w:type="dxa"/>
            <w:noWrap w:val="0"/>
            <w:vAlign w:val="center"/>
          </w:tcPr>
          <w:p w14:paraId="7F1BA6E0">
            <w:pPr>
              <w:jc w:val="center"/>
              <w:rPr>
                <w:rFonts w:hint="eastAsia" w:ascii="宋体" w:hAnsi="宋体"/>
                <w:szCs w:val="21"/>
              </w:rPr>
            </w:pPr>
          </w:p>
        </w:tc>
        <w:tc>
          <w:tcPr>
            <w:tcW w:w="1539" w:type="dxa"/>
            <w:noWrap w:val="0"/>
            <w:vAlign w:val="center"/>
          </w:tcPr>
          <w:p w14:paraId="183E5208">
            <w:pPr>
              <w:jc w:val="center"/>
              <w:rPr>
                <w:rFonts w:hint="eastAsia" w:ascii="宋体" w:hAnsi="宋体"/>
                <w:szCs w:val="21"/>
              </w:rPr>
            </w:pPr>
          </w:p>
        </w:tc>
      </w:tr>
      <w:tr w14:paraId="19561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66C7334">
            <w:pPr>
              <w:rPr>
                <w:rFonts w:hint="eastAsia" w:ascii="宋体" w:hAnsi="宋体"/>
                <w:szCs w:val="21"/>
              </w:rPr>
            </w:pPr>
            <w:r>
              <w:rPr>
                <w:rFonts w:hint="eastAsia" w:ascii="宋体" w:hAnsi="宋体"/>
                <w:szCs w:val="21"/>
              </w:rPr>
              <w:t>七．负债合计</w:t>
            </w:r>
          </w:p>
        </w:tc>
        <w:tc>
          <w:tcPr>
            <w:tcW w:w="815" w:type="dxa"/>
            <w:noWrap w:val="0"/>
            <w:vAlign w:val="center"/>
          </w:tcPr>
          <w:p w14:paraId="226E08C2">
            <w:pPr>
              <w:jc w:val="center"/>
              <w:rPr>
                <w:rFonts w:hint="eastAsia" w:ascii="宋体" w:hAnsi="宋体"/>
                <w:szCs w:val="21"/>
              </w:rPr>
            </w:pPr>
            <w:r>
              <w:rPr>
                <w:rFonts w:hint="eastAsia" w:ascii="宋体" w:hAnsi="宋体"/>
                <w:szCs w:val="21"/>
              </w:rPr>
              <w:t>万元</w:t>
            </w:r>
          </w:p>
        </w:tc>
        <w:tc>
          <w:tcPr>
            <w:tcW w:w="1539" w:type="dxa"/>
            <w:noWrap w:val="0"/>
            <w:vAlign w:val="center"/>
          </w:tcPr>
          <w:p w14:paraId="3309CDED">
            <w:pPr>
              <w:jc w:val="center"/>
              <w:rPr>
                <w:rFonts w:hint="eastAsia" w:ascii="宋体" w:hAnsi="宋体"/>
                <w:szCs w:val="21"/>
              </w:rPr>
            </w:pPr>
          </w:p>
        </w:tc>
        <w:tc>
          <w:tcPr>
            <w:tcW w:w="1539" w:type="dxa"/>
            <w:noWrap w:val="0"/>
            <w:vAlign w:val="center"/>
          </w:tcPr>
          <w:p w14:paraId="64B88654">
            <w:pPr>
              <w:jc w:val="center"/>
              <w:rPr>
                <w:rFonts w:hint="eastAsia" w:ascii="宋体" w:hAnsi="宋体"/>
                <w:szCs w:val="21"/>
              </w:rPr>
            </w:pPr>
          </w:p>
        </w:tc>
        <w:tc>
          <w:tcPr>
            <w:tcW w:w="1539" w:type="dxa"/>
            <w:noWrap w:val="0"/>
            <w:vAlign w:val="center"/>
          </w:tcPr>
          <w:p w14:paraId="727B1F4B">
            <w:pPr>
              <w:jc w:val="center"/>
              <w:rPr>
                <w:rFonts w:hint="eastAsia" w:ascii="宋体" w:hAnsi="宋体"/>
                <w:szCs w:val="21"/>
              </w:rPr>
            </w:pPr>
          </w:p>
        </w:tc>
        <w:tc>
          <w:tcPr>
            <w:tcW w:w="1539" w:type="dxa"/>
            <w:noWrap w:val="0"/>
            <w:vAlign w:val="center"/>
          </w:tcPr>
          <w:p w14:paraId="042D2021">
            <w:pPr>
              <w:jc w:val="center"/>
              <w:rPr>
                <w:rFonts w:hint="eastAsia" w:ascii="宋体" w:hAnsi="宋体"/>
                <w:szCs w:val="21"/>
              </w:rPr>
            </w:pPr>
          </w:p>
        </w:tc>
      </w:tr>
      <w:tr w14:paraId="76703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E46C9AB">
            <w:pPr>
              <w:rPr>
                <w:rFonts w:hint="eastAsia" w:ascii="宋体" w:hAnsi="宋体"/>
                <w:szCs w:val="21"/>
              </w:rPr>
            </w:pPr>
            <w:r>
              <w:rPr>
                <w:rFonts w:hint="eastAsia" w:ascii="宋体" w:hAnsi="宋体"/>
                <w:szCs w:val="21"/>
              </w:rPr>
              <w:t>八．营业收入</w:t>
            </w:r>
          </w:p>
        </w:tc>
        <w:tc>
          <w:tcPr>
            <w:tcW w:w="815" w:type="dxa"/>
            <w:noWrap w:val="0"/>
            <w:vAlign w:val="center"/>
          </w:tcPr>
          <w:p w14:paraId="2A2421F7">
            <w:pPr>
              <w:jc w:val="center"/>
              <w:rPr>
                <w:rFonts w:hint="eastAsia" w:ascii="宋体" w:hAnsi="宋体"/>
                <w:szCs w:val="21"/>
              </w:rPr>
            </w:pPr>
            <w:r>
              <w:rPr>
                <w:rFonts w:hint="eastAsia" w:ascii="宋体" w:hAnsi="宋体"/>
                <w:szCs w:val="21"/>
              </w:rPr>
              <w:t>万元</w:t>
            </w:r>
          </w:p>
        </w:tc>
        <w:tc>
          <w:tcPr>
            <w:tcW w:w="1539" w:type="dxa"/>
            <w:noWrap w:val="0"/>
            <w:vAlign w:val="center"/>
          </w:tcPr>
          <w:p w14:paraId="4A3F04B0">
            <w:pPr>
              <w:jc w:val="center"/>
              <w:rPr>
                <w:rFonts w:hint="eastAsia" w:ascii="宋体" w:hAnsi="宋体"/>
                <w:szCs w:val="21"/>
              </w:rPr>
            </w:pPr>
          </w:p>
        </w:tc>
        <w:tc>
          <w:tcPr>
            <w:tcW w:w="1539" w:type="dxa"/>
            <w:noWrap w:val="0"/>
            <w:vAlign w:val="center"/>
          </w:tcPr>
          <w:p w14:paraId="7F1FAC90">
            <w:pPr>
              <w:jc w:val="center"/>
              <w:rPr>
                <w:rFonts w:hint="eastAsia" w:ascii="宋体" w:hAnsi="宋体"/>
                <w:szCs w:val="21"/>
              </w:rPr>
            </w:pPr>
          </w:p>
        </w:tc>
        <w:tc>
          <w:tcPr>
            <w:tcW w:w="1539" w:type="dxa"/>
            <w:noWrap w:val="0"/>
            <w:vAlign w:val="center"/>
          </w:tcPr>
          <w:p w14:paraId="1D87BD49">
            <w:pPr>
              <w:jc w:val="center"/>
              <w:rPr>
                <w:rFonts w:hint="eastAsia" w:ascii="宋体" w:hAnsi="宋体"/>
                <w:szCs w:val="21"/>
              </w:rPr>
            </w:pPr>
          </w:p>
        </w:tc>
        <w:tc>
          <w:tcPr>
            <w:tcW w:w="1539" w:type="dxa"/>
            <w:noWrap w:val="0"/>
            <w:vAlign w:val="center"/>
          </w:tcPr>
          <w:p w14:paraId="7C1BEB52">
            <w:pPr>
              <w:jc w:val="center"/>
              <w:rPr>
                <w:rFonts w:hint="eastAsia" w:ascii="宋体" w:hAnsi="宋体"/>
                <w:szCs w:val="21"/>
              </w:rPr>
            </w:pPr>
          </w:p>
        </w:tc>
      </w:tr>
      <w:tr w14:paraId="15A4D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2494AF8">
            <w:pPr>
              <w:rPr>
                <w:rFonts w:hint="eastAsia" w:ascii="宋体" w:hAnsi="宋体"/>
                <w:szCs w:val="21"/>
              </w:rPr>
            </w:pPr>
            <w:r>
              <w:rPr>
                <w:rFonts w:hint="eastAsia" w:ascii="宋体" w:hAnsi="宋体"/>
                <w:szCs w:val="21"/>
              </w:rPr>
              <w:t>九．净利润</w:t>
            </w:r>
          </w:p>
        </w:tc>
        <w:tc>
          <w:tcPr>
            <w:tcW w:w="815" w:type="dxa"/>
            <w:noWrap w:val="0"/>
            <w:vAlign w:val="center"/>
          </w:tcPr>
          <w:p w14:paraId="05F18CE0">
            <w:pPr>
              <w:jc w:val="center"/>
              <w:rPr>
                <w:rFonts w:hint="eastAsia" w:ascii="宋体" w:hAnsi="宋体"/>
                <w:szCs w:val="21"/>
              </w:rPr>
            </w:pPr>
            <w:r>
              <w:rPr>
                <w:rFonts w:hint="eastAsia" w:ascii="宋体" w:hAnsi="宋体"/>
                <w:szCs w:val="21"/>
              </w:rPr>
              <w:t>万元</w:t>
            </w:r>
          </w:p>
        </w:tc>
        <w:tc>
          <w:tcPr>
            <w:tcW w:w="1539" w:type="dxa"/>
            <w:noWrap w:val="0"/>
            <w:vAlign w:val="center"/>
          </w:tcPr>
          <w:p w14:paraId="47D26C40">
            <w:pPr>
              <w:jc w:val="center"/>
              <w:rPr>
                <w:rFonts w:hint="eastAsia" w:ascii="宋体" w:hAnsi="宋体"/>
                <w:szCs w:val="21"/>
              </w:rPr>
            </w:pPr>
          </w:p>
        </w:tc>
        <w:tc>
          <w:tcPr>
            <w:tcW w:w="1539" w:type="dxa"/>
            <w:noWrap w:val="0"/>
            <w:vAlign w:val="center"/>
          </w:tcPr>
          <w:p w14:paraId="42875CC0">
            <w:pPr>
              <w:jc w:val="center"/>
              <w:rPr>
                <w:rFonts w:hint="eastAsia" w:ascii="宋体" w:hAnsi="宋体"/>
                <w:szCs w:val="21"/>
              </w:rPr>
            </w:pPr>
          </w:p>
        </w:tc>
        <w:tc>
          <w:tcPr>
            <w:tcW w:w="1539" w:type="dxa"/>
            <w:noWrap w:val="0"/>
            <w:vAlign w:val="center"/>
          </w:tcPr>
          <w:p w14:paraId="1F293A8B">
            <w:pPr>
              <w:jc w:val="center"/>
              <w:rPr>
                <w:rFonts w:hint="eastAsia" w:ascii="宋体" w:hAnsi="宋体"/>
                <w:szCs w:val="21"/>
              </w:rPr>
            </w:pPr>
          </w:p>
        </w:tc>
        <w:tc>
          <w:tcPr>
            <w:tcW w:w="1539" w:type="dxa"/>
            <w:noWrap w:val="0"/>
            <w:vAlign w:val="center"/>
          </w:tcPr>
          <w:p w14:paraId="50216688">
            <w:pPr>
              <w:jc w:val="center"/>
              <w:rPr>
                <w:rFonts w:hint="eastAsia" w:ascii="宋体" w:hAnsi="宋体"/>
                <w:szCs w:val="21"/>
              </w:rPr>
            </w:pPr>
            <w:r>
              <w:rPr>
                <w:rFonts w:hint="eastAsia" w:ascii="宋体" w:hAnsi="宋体"/>
                <w:szCs w:val="21"/>
              </w:rPr>
              <w:t>-</w:t>
            </w:r>
          </w:p>
        </w:tc>
      </w:tr>
      <w:tr w14:paraId="51F2F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1DC7035">
            <w:pPr>
              <w:rPr>
                <w:rFonts w:hint="eastAsia" w:ascii="宋体" w:hAnsi="宋体"/>
                <w:szCs w:val="21"/>
              </w:rPr>
            </w:pPr>
            <w:r>
              <w:rPr>
                <w:rFonts w:hint="eastAsia" w:ascii="宋体" w:hAnsi="宋体"/>
                <w:szCs w:val="21"/>
              </w:rPr>
              <w:t>十．现金流量净额</w:t>
            </w:r>
          </w:p>
        </w:tc>
        <w:tc>
          <w:tcPr>
            <w:tcW w:w="815" w:type="dxa"/>
            <w:noWrap w:val="0"/>
            <w:vAlign w:val="center"/>
          </w:tcPr>
          <w:p w14:paraId="7FEABBDF">
            <w:pPr>
              <w:jc w:val="center"/>
              <w:rPr>
                <w:rFonts w:hint="eastAsia" w:ascii="宋体" w:hAnsi="宋体"/>
                <w:szCs w:val="21"/>
              </w:rPr>
            </w:pPr>
            <w:r>
              <w:rPr>
                <w:rFonts w:hint="eastAsia" w:ascii="宋体" w:hAnsi="宋体"/>
                <w:szCs w:val="21"/>
              </w:rPr>
              <w:t>万元</w:t>
            </w:r>
          </w:p>
        </w:tc>
        <w:tc>
          <w:tcPr>
            <w:tcW w:w="1539" w:type="dxa"/>
            <w:noWrap w:val="0"/>
            <w:vAlign w:val="center"/>
          </w:tcPr>
          <w:p w14:paraId="0BCC2C19">
            <w:pPr>
              <w:jc w:val="center"/>
              <w:rPr>
                <w:rFonts w:hint="eastAsia" w:ascii="宋体" w:hAnsi="宋体"/>
                <w:szCs w:val="21"/>
              </w:rPr>
            </w:pPr>
          </w:p>
        </w:tc>
        <w:tc>
          <w:tcPr>
            <w:tcW w:w="1539" w:type="dxa"/>
            <w:noWrap w:val="0"/>
            <w:vAlign w:val="center"/>
          </w:tcPr>
          <w:p w14:paraId="070D049B">
            <w:pPr>
              <w:jc w:val="center"/>
              <w:rPr>
                <w:rFonts w:hint="eastAsia" w:ascii="宋体" w:hAnsi="宋体"/>
                <w:szCs w:val="21"/>
              </w:rPr>
            </w:pPr>
          </w:p>
        </w:tc>
        <w:tc>
          <w:tcPr>
            <w:tcW w:w="1539" w:type="dxa"/>
            <w:noWrap w:val="0"/>
            <w:vAlign w:val="center"/>
          </w:tcPr>
          <w:p w14:paraId="02DBE320">
            <w:pPr>
              <w:jc w:val="center"/>
              <w:rPr>
                <w:rFonts w:hint="eastAsia" w:ascii="宋体" w:hAnsi="宋体"/>
                <w:szCs w:val="21"/>
              </w:rPr>
            </w:pPr>
          </w:p>
        </w:tc>
        <w:tc>
          <w:tcPr>
            <w:tcW w:w="1539" w:type="dxa"/>
            <w:noWrap w:val="0"/>
            <w:vAlign w:val="center"/>
          </w:tcPr>
          <w:p w14:paraId="28B6023F">
            <w:pPr>
              <w:jc w:val="center"/>
              <w:rPr>
                <w:rFonts w:hint="eastAsia" w:ascii="宋体" w:hAnsi="宋体"/>
                <w:szCs w:val="21"/>
              </w:rPr>
            </w:pPr>
            <w:r>
              <w:rPr>
                <w:rFonts w:hint="eastAsia" w:ascii="宋体" w:hAnsi="宋体"/>
                <w:szCs w:val="21"/>
              </w:rPr>
              <w:t>-</w:t>
            </w:r>
          </w:p>
        </w:tc>
      </w:tr>
      <w:tr w14:paraId="3EF76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F62C25A">
            <w:pPr>
              <w:rPr>
                <w:rFonts w:hint="eastAsia" w:ascii="宋体" w:hAnsi="宋体"/>
                <w:szCs w:val="21"/>
              </w:rPr>
            </w:pPr>
            <w:r>
              <w:rPr>
                <w:rFonts w:hint="eastAsia" w:ascii="宋体" w:hAnsi="宋体"/>
                <w:szCs w:val="21"/>
              </w:rPr>
              <w:t>十一．主要财务指标</w:t>
            </w:r>
          </w:p>
        </w:tc>
        <w:tc>
          <w:tcPr>
            <w:tcW w:w="815" w:type="dxa"/>
            <w:noWrap w:val="0"/>
            <w:vAlign w:val="center"/>
          </w:tcPr>
          <w:p w14:paraId="3D8EE609">
            <w:pPr>
              <w:jc w:val="center"/>
              <w:rPr>
                <w:rFonts w:hint="eastAsia" w:ascii="宋体" w:hAnsi="宋体"/>
                <w:szCs w:val="21"/>
              </w:rPr>
            </w:pPr>
          </w:p>
        </w:tc>
        <w:tc>
          <w:tcPr>
            <w:tcW w:w="1539" w:type="dxa"/>
            <w:noWrap w:val="0"/>
            <w:vAlign w:val="center"/>
          </w:tcPr>
          <w:p w14:paraId="145DA548">
            <w:pPr>
              <w:jc w:val="center"/>
              <w:rPr>
                <w:rFonts w:hint="eastAsia" w:ascii="宋体" w:hAnsi="宋体"/>
                <w:szCs w:val="21"/>
              </w:rPr>
            </w:pPr>
          </w:p>
        </w:tc>
        <w:tc>
          <w:tcPr>
            <w:tcW w:w="1539" w:type="dxa"/>
            <w:noWrap w:val="0"/>
            <w:vAlign w:val="center"/>
          </w:tcPr>
          <w:p w14:paraId="4BF5CD4C">
            <w:pPr>
              <w:jc w:val="center"/>
              <w:rPr>
                <w:rFonts w:hint="eastAsia" w:ascii="宋体" w:hAnsi="宋体"/>
                <w:szCs w:val="21"/>
              </w:rPr>
            </w:pPr>
          </w:p>
        </w:tc>
        <w:tc>
          <w:tcPr>
            <w:tcW w:w="1539" w:type="dxa"/>
            <w:noWrap w:val="0"/>
            <w:vAlign w:val="center"/>
          </w:tcPr>
          <w:p w14:paraId="59F19BE5">
            <w:pPr>
              <w:jc w:val="center"/>
              <w:rPr>
                <w:rFonts w:hint="eastAsia" w:ascii="宋体" w:hAnsi="宋体"/>
                <w:szCs w:val="21"/>
              </w:rPr>
            </w:pPr>
          </w:p>
        </w:tc>
        <w:tc>
          <w:tcPr>
            <w:tcW w:w="1539" w:type="dxa"/>
            <w:noWrap w:val="0"/>
            <w:vAlign w:val="center"/>
          </w:tcPr>
          <w:p w14:paraId="4F6F631A">
            <w:pPr>
              <w:jc w:val="center"/>
              <w:rPr>
                <w:rFonts w:hint="eastAsia" w:ascii="宋体" w:hAnsi="宋体"/>
                <w:szCs w:val="21"/>
              </w:rPr>
            </w:pPr>
            <w:r>
              <w:rPr>
                <w:rFonts w:hint="eastAsia" w:ascii="宋体" w:hAnsi="宋体"/>
                <w:szCs w:val="21"/>
              </w:rPr>
              <w:t>-</w:t>
            </w:r>
          </w:p>
        </w:tc>
      </w:tr>
      <w:tr w14:paraId="29695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5F74480">
            <w:pPr>
              <w:rPr>
                <w:rFonts w:hint="eastAsia" w:ascii="宋体" w:hAnsi="宋体"/>
                <w:szCs w:val="21"/>
              </w:rPr>
            </w:pPr>
            <w:r>
              <w:rPr>
                <w:rFonts w:hint="eastAsia" w:ascii="宋体" w:hAnsi="宋体"/>
                <w:szCs w:val="21"/>
              </w:rPr>
              <w:t>1．净资产收益率</w:t>
            </w:r>
          </w:p>
        </w:tc>
        <w:tc>
          <w:tcPr>
            <w:tcW w:w="815" w:type="dxa"/>
            <w:noWrap w:val="0"/>
            <w:vAlign w:val="top"/>
          </w:tcPr>
          <w:p w14:paraId="387B53CC">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430C4919">
            <w:pPr>
              <w:jc w:val="center"/>
              <w:rPr>
                <w:rFonts w:hint="eastAsia" w:ascii="宋体" w:hAnsi="宋体"/>
                <w:szCs w:val="21"/>
              </w:rPr>
            </w:pPr>
          </w:p>
        </w:tc>
        <w:tc>
          <w:tcPr>
            <w:tcW w:w="1539" w:type="dxa"/>
            <w:noWrap w:val="0"/>
            <w:vAlign w:val="center"/>
          </w:tcPr>
          <w:p w14:paraId="0F6B1EEE">
            <w:pPr>
              <w:jc w:val="center"/>
              <w:rPr>
                <w:rFonts w:hint="eastAsia" w:ascii="宋体" w:hAnsi="宋体"/>
                <w:szCs w:val="21"/>
              </w:rPr>
            </w:pPr>
          </w:p>
        </w:tc>
        <w:tc>
          <w:tcPr>
            <w:tcW w:w="1539" w:type="dxa"/>
            <w:noWrap w:val="0"/>
            <w:vAlign w:val="center"/>
          </w:tcPr>
          <w:p w14:paraId="6EEFA6F7">
            <w:pPr>
              <w:jc w:val="center"/>
              <w:rPr>
                <w:rFonts w:hint="eastAsia" w:ascii="宋体" w:hAnsi="宋体"/>
                <w:szCs w:val="21"/>
              </w:rPr>
            </w:pPr>
          </w:p>
        </w:tc>
        <w:tc>
          <w:tcPr>
            <w:tcW w:w="1539" w:type="dxa"/>
            <w:noWrap w:val="0"/>
            <w:vAlign w:val="center"/>
          </w:tcPr>
          <w:p w14:paraId="570C49D4">
            <w:pPr>
              <w:jc w:val="center"/>
              <w:rPr>
                <w:rFonts w:hint="eastAsia" w:ascii="宋体" w:hAnsi="宋体"/>
                <w:szCs w:val="21"/>
              </w:rPr>
            </w:pPr>
          </w:p>
        </w:tc>
      </w:tr>
      <w:tr w14:paraId="514DE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7309796">
            <w:pPr>
              <w:rPr>
                <w:rFonts w:hint="eastAsia" w:ascii="宋体" w:hAnsi="宋体"/>
                <w:szCs w:val="21"/>
              </w:rPr>
            </w:pPr>
            <w:r>
              <w:rPr>
                <w:rFonts w:hint="eastAsia" w:ascii="宋体" w:hAnsi="宋体"/>
                <w:szCs w:val="21"/>
              </w:rPr>
              <w:t>2．总资产报酬率</w:t>
            </w:r>
          </w:p>
        </w:tc>
        <w:tc>
          <w:tcPr>
            <w:tcW w:w="815" w:type="dxa"/>
            <w:noWrap w:val="0"/>
            <w:vAlign w:val="top"/>
          </w:tcPr>
          <w:p w14:paraId="2F67E0AD">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5ABCBD6C">
            <w:pPr>
              <w:jc w:val="center"/>
              <w:rPr>
                <w:rFonts w:hint="eastAsia" w:ascii="宋体" w:hAnsi="宋体"/>
                <w:szCs w:val="21"/>
              </w:rPr>
            </w:pPr>
          </w:p>
        </w:tc>
        <w:tc>
          <w:tcPr>
            <w:tcW w:w="1539" w:type="dxa"/>
            <w:noWrap w:val="0"/>
            <w:vAlign w:val="center"/>
          </w:tcPr>
          <w:p w14:paraId="714E3127">
            <w:pPr>
              <w:jc w:val="center"/>
              <w:rPr>
                <w:rFonts w:hint="eastAsia" w:ascii="宋体" w:hAnsi="宋体"/>
                <w:szCs w:val="21"/>
              </w:rPr>
            </w:pPr>
          </w:p>
        </w:tc>
        <w:tc>
          <w:tcPr>
            <w:tcW w:w="1539" w:type="dxa"/>
            <w:noWrap w:val="0"/>
            <w:vAlign w:val="center"/>
          </w:tcPr>
          <w:p w14:paraId="355A4A1E">
            <w:pPr>
              <w:jc w:val="center"/>
              <w:rPr>
                <w:rFonts w:hint="eastAsia" w:ascii="宋体" w:hAnsi="宋体"/>
                <w:szCs w:val="21"/>
              </w:rPr>
            </w:pPr>
          </w:p>
        </w:tc>
        <w:tc>
          <w:tcPr>
            <w:tcW w:w="1539" w:type="dxa"/>
            <w:noWrap w:val="0"/>
            <w:vAlign w:val="center"/>
          </w:tcPr>
          <w:p w14:paraId="17304C9E">
            <w:pPr>
              <w:jc w:val="center"/>
              <w:rPr>
                <w:rFonts w:hint="eastAsia" w:ascii="宋体" w:hAnsi="宋体"/>
                <w:szCs w:val="21"/>
              </w:rPr>
            </w:pPr>
          </w:p>
        </w:tc>
      </w:tr>
      <w:tr w14:paraId="73B64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D3FF709">
            <w:pPr>
              <w:rPr>
                <w:rFonts w:hint="eastAsia" w:ascii="宋体" w:hAnsi="宋体"/>
                <w:szCs w:val="21"/>
              </w:rPr>
            </w:pPr>
            <w:r>
              <w:rPr>
                <w:rFonts w:hint="eastAsia" w:ascii="宋体" w:hAnsi="宋体"/>
                <w:szCs w:val="21"/>
              </w:rPr>
              <w:t>3．主营业务利润率</w:t>
            </w:r>
          </w:p>
        </w:tc>
        <w:tc>
          <w:tcPr>
            <w:tcW w:w="815" w:type="dxa"/>
            <w:noWrap w:val="0"/>
            <w:vAlign w:val="top"/>
          </w:tcPr>
          <w:p w14:paraId="1650D607">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3FF8C729">
            <w:pPr>
              <w:jc w:val="center"/>
              <w:rPr>
                <w:rFonts w:hint="eastAsia" w:ascii="宋体" w:hAnsi="宋体"/>
                <w:szCs w:val="21"/>
              </w:rPr>
            </w:pPr>
          </w:p>
        </w:tc>
        <w:tc>
          <w:tcPr>
            <w:tcW w:w="1539" w:type="dxa"/>
            <w:noWrap w:val="0"/>
            <w:vAlign w:val="center"/>
          </w:tcPr>
          <w:p w14:paraId="2D646A8B">
            <w:pPr>
              <w:jc w:val="center"/>
              <w:rPr>
                <w:rFonts w:hint="eastAsia" w:ascii="宋体" w:hAnsi="宋体"/>
                <w:szCs w:val="21"/>
              </w:rPr>
            </w:pPr>
          </w:p>
        </w:tc>
        <w:tc>
          <w:tcPr>
            <w:tcW w:w="1539" w:type="dxa"/>
            <w:noWrap w:val="0"/>
            <w:vAlign w:val="center"/>
          </w:tcPr>
          <w:p w14:paraId="7F4CD5E0">
            <w:pPr>
              <w:jc w:val="center"/>
              <w:rPr>
                <w:rFonts w:hint="eastAsia" w:ascii="宋体" w:hAnsi="宋体"/>
                <w:szCs w:val="21"/>
              </w:rPr>
            </w:pPr>
          </w:p>
        </w:tc>
        <w:tc>
          <w:tcPr>
            <w:tcW w:w="1539" w:type="dxa"/>
            <w:noWrap w:val="0"/>
            <w:vAlign w:val="center"/>
          </w:tcPr>
          <w:p w14:paraId="08581399">
            <w:pPr>
              <w:jc w:val="center"/>
              <w:rPr>
                <w:rFonts w:hint="eastAsia" w:ascii="宋体" w:hAnsi="宋体"/>
                <w:szCs w:val="21"/>
              </w:rPr>
            </w:pPr>
            <w:r>
              <w:rPr>
                <w:rFonts w:hint="eastAsia" w:ascii="宋体" w:hAnsi="宋体"/>
                <w:szCs w:val="21"/>
              </w:rPr>
              <w:t>-</w:t>
            </w:r>
          </w:p>
        </w:tc>
      </w:tr>
      <w:tr w14:paraId="13607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D7FA9E3">
            <w:pPr>
              <w:rPr>
                <w:rFonts w:hint="eastAsia" w:ascii="宋体" w:hAnsi="宋体"/>
                <w:szCs w:val="21"/>
              </w:rPr>
            </w:pPr>
            <w:r>
              <w:rPr>
                <w:rFonts w:hint="eastAsia" w:ascii="宋体" w:hAnsi="宋体"/>
                <w:szCs w:val="21"/>
              </w:rPr>
              <w:t>4．资产负债率</w:t>
            </w:r>
          </w:p>
        </w:tc>
        <w:tc>
          <w:tcPr>
            <w:tcW w:w="815" w:type="dxa"/>
            <w:noWrap w:val="0"/>
            <w:vAlign w:val="top"/>
          </w:tcPr>
          <w:p w14:paraId="6483CDBC">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54011790">
            <w:pPr>
              <w:jc w:val="center"/>
              <w:rPr>
                <w:rFonts w:hint="eastAsia" w:ascii="宋体" w:hAnsi="宋体"/>
                <w:szCs w:val="21"/>
              </w:rPr>
            </w:pPr>
          </w:p>
        </w:tc>
        <w:tc>
          <w:tcPr>
            <w:tcW w:w="1539" w:type="dxa"/>
            <w:noWrap w:val="0"/>
            <w:vAlign w:val="center"/>
          </w:tcPr>
          <w:p w14:paraId="41799753">
            <w:pPr>
              <w:jc w:val="center"/>
              <w:rPr>
                <w:rFonts w:hint="eastAsia" w:ascii="宋体" w:hAnsi="宋体"/>
                <w:szCs w:val="21"/>
              </w:rPr>
            </w:pPr>
          </w:p>
        </w:tc>
        <w:tc>
          <w:tcPr>
            <w:tcW w:w="1539" w:type="dxa"/>
            <w:noWrap w:val="0"/>
            <w:vAlign w:val="center"/>
          </w:tcPr>
          <w:p w14:paraId="750BA28A">
            <w:pPr>
              <w:jc w:val="center"/>
              <w:rPr>
                <w:rFonts w:hint="eastAsia" w:ascii="宋体" w:hAnsi="宋体"/>
                <w:szCs w:val="21"/>
              </w:rPr>
            </w:pPr>
          </w:p>
        </w:tc>
        <w:tc>
          <w:tcPr>
            <w:tcW w:w="1539" w:type="dxa"/>
            <w:noWrap w:val="0"/>
            <w:vAlign w:val="center"/>
          </w:tcPr>
          <w:p w14:paraId="204E3724">
            <w:pPr>
              <w:jc w:val="center"/>
              <w:rPr>
                <w:rFonts w:hint="eastAsia" w:ascii="宋体" w:hAnsi="宋体"/>
                <w:szCs w:val="21"/>
              </w:rPr>
            </w:pPr>
          </w:p>
        </w:tc>
      </w:tr>
      <w:tr w14:paraId="4BD95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958403D">
            <w:pPr>
              <w:rPr>
                <w:rFonts w:hint="eastAsia" w:ascii="宋体" w:hAnsi="宋体"/>
                <w:szCs w:val="21"/>
              </w:rPr>
            </w:pPr>
            <w:r>
              <w:rPr>
                <w:rFonts w:hint="eastAsia" w:ascii="宋体" w:hAnsi="宋体"/>
                <w:szCs w:val="21"/>
              </w:rPr>
              <w:t>5．流动比率</w:t>
            </w:r>
          </w:p>
        </w:tc>
        <w:tc>
          <w:tcPr>
            <w:tcW w:w="815" w:type="dxa"/>
            <w:noWrap w:val="0"/>
            <w:vAlign w:val="top"/>
          </w:tcPr>
          <w:p w14:paraId="0B3FDE8A">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265FC272">
            <w:pPr>
              <w:jc w:val="center"/>
              <w:rPr>
                <w:rFonts w:hint="eastAsia" w:ascii="宋体" w:hAnsi="宋体"/>
                <w:szCs w:val="21"/>
              </w:rPr>
            </w:pPr>
          </w:p>
        </w:tc>
        <w:tc>
          <w:tcPr>
            <w:tcW w:w="1539" w:type="dxa"/>
            <w:noWrap w:val="0"/>
            <w:vAlign w:val="center"/>
          </w:tcPr>
          <w:p w14:paraId="4B194491">
            <w:pPr>
              <w:jc w:val="center"/>
              <w:rPr>
                <w:rFonts w:hint="eastAsia" w:ascii="宋体" w:hAnsi="宋体"/>
                <w:szCs w:val="21"/>
              </w:rPr>
            </w:pPr>
          </w:p>
        </w:tc>
        <w:tc>
          <w:tcPr>
            <w:tcW w:w="1539" w:type="dxa"/>
            <w:noWrap w:val="0"/>
            <w:vAlign w:val="center"/>
          </w:tcPr>
          <w:p w14:paraId="572FE54E">
            <w:pPr>
              <w:jc w:val="center"/>
              <w:rPr>
                <w:rFonts w:hint="eastAsia" w:ascii="宋体" w:hAnsi="宋体"/>
                <w:szCs w:val="21"/>
              </w:rPr>
            </w:pPr>
          </w:p>
        </w:tc>
        <w:tc>
          <w:tcPr>
            <w:tcW w:w="1539" w:type="dxa"/>
            <w:noWrap w:val="0"/>
            <w:vAlign w:val="center"/>
          </w:tcPr>
          <w:p w14:paraId="55FF116F">
            <w:pPr>
              <w:jc w:val="center"/>
              <w:rPr>
                <w:rFonts w:hint="eastAsia" w:ascii="宋体" w:hAnsi="宋体"/>
                <w:szCs w:val="21"/>
              </w:rPr>
            </w:pPr>
          </w:p>
        </w:tc>
      </w:tr>
      <w:tr w14:paraId="61F7E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780F5BB">
            <w:pPr>
              <w:rPr>
                <w:rFonts w:hint="eastAsia" w:ascii="宋体" w:hAnsi="宋体"/>
                <w:szCs w:val="21"/>
              </w:rPr>
            </w:pPr>
            <w:r>
              <w:rPr>
                <w:rFonts w:hint="eastAsia" w:ascii="宋体" w:hAnsi="宋体"/>
                <w:szCs w:val="21"/>
              </w:rPr>
              <w:t>6．速动比率</w:t>
            </w:r>
          </w:p>
        </w:tc>
        <w:tc>
          <w:tcPr>
            <w:tcW w:w="815" w:type="dxa"/>
            <w:noWrap w:val="0"/>
            <w:vAlign w:val="top"/>
          </w:tcPr>
          <w:p w14:paraId="6867DD12">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6455AB83">
            <w:pPr>
              <w:jc w:val="center"/>
              <w:rPr>
                <w:rFonts w:hint="eastAsia" w:ascii="宋体" w:hAnsi="宋体"/>
                <w:szCs w:val="21"/>
              </w:rPr>
            </w:pPr>
          </w:p>
        </w:tc>
        <w:tc>
          <w:tcPr>
            <w:tcW w:w="1539" w:type="dxa"/>
            <w:noWrap w:val="0"/>
            <w:vAlign w:val="center"/>
          </w:tcPr>
          <w:p w14:paraId="5741DABC">
            <w:pPr>
              <w:jc w:val="center"/>
              <w:rPr>
                <w:rFonts w:hint="eastAsia" w:ascii="宋体" w:hAnsi="宋体"/>
                <w:szCs w:val="21"/>
              </w:rPr>
            </w:pPr>
          </w:p>
        </w:tc>
        <w:tc>
          <w:tcPr>
            <w:tcW w:w="1539" w:type="dxa"/>
            <w:noWrap w:val="0"/>
            <w:vAlign w:val="center"/>
          </w:tcPr>
          <w:p w14:paraId="41F0B496">
            <w:pPr>
              <w:jc w:val="center"/>
              <w:rPr>
                <w:rFonts w:hint="eastAsia" w:ascii="宋体" w:hAnsi="宋体"/>
                <w:szCs w:val="21"/>
              </w:rPr>
            </w:pPr>
          </w:p>
        </w:tc>
        <w:tc>
          <w:tcPr>
            <w:tcW w:w="1539" w:type="dxa"/>
            <w:noWrap w:val="0"/>
            <w:vAlign w:val="center"/>
          </w:tcPr>
          <w:p w14:paraId="3F3251DD">
            <w:pPr>
              <w:jc w:val="center"/>
              <w:rPr>
                <w:rFonts w:hint="eastAsia" w:ascii="宋体" w:hAnsi="宋体"/>
                <w:szCs w:val="21"/>
              </w:rPr>
            </w:pPr>
          </w:p>
        </w:tc>
      </w:tr>
    </w:tbl>
    <w:p w14:paraId="5957B514">
      <w:pPr>
        <w:autoSpaceDE w:val="0"/>
        <w:autoSpaceDN w:val="0"/>
        <w:adjustRightInd w:val="0"/>
        <w:snapToGrid w:val="0"/>
        <w:spacing w:line="325" w:lineRule="exact"/>
        <w:ind w:left="945" w:hanging="945" w:hangingChars="450"/>
        <w:rPr>
          <w:rFonts w:hint="eastAsia" w:ascii="宋体" w:cs="宋体"/>
          <w:kern w:val="0"/>
          <w:szCs w:val="21"/>
        </w:rPr>
      </w:pPr>
      <w:r>
        <w:rPr>
          <w:rFonts w:hint="eastAsia" w:ascii="黑体" w:hAnsi="宋体" w:eastAsia="黑体"/>
          <w:szCs w:val="21"/>
        </w:rPr>
        <w:t>备注：</w:t>
      </w:r>
      <w:r>
        <w:rPr>
          <w:rFonts w:ascii="宋体" w:cs="宋体"/>
          <w:kern w:val="0"/>
          <w:szCs w:val="21"/>
        </w:rPr>
        <w:t>1</w:t>
      </w:r>
      <w:r>
        <w:rPr>
          <w:rFonts w:hint="eastAsia" w:ascii="宋体" w:hAnsi="宋体"/>
          <w:szCs w:val="21"/>
        </w:rPr>
        <w:t>．</w:t>
      </w:r>
      <w:r>
        <w:rPr>
          <w:rFonts w:hint="eastAsia" w:ascii="宋体" w:cs="宋体"/>
          <w:kern w:val="0"/>
          <w:szCs w:val="21"/>
        </w:rPr>
        <w:t>本表后应附近3年经会计师事务所或审计机构审计的财务会计报表，包括资产负债表、现金流量表、利润表和财务情况说明书的扫描件。</w:t>
      </w:r>
    </w:p>
    <w:p w14:paraId="61BB1C32">
      <w:pPr>
        <w:spacing w:line="400" w:lineRule="atLeast"/>
        <w:ind w:left="945" w:leftChars="450"/>
        <w:rPr>
          <w:rFonts w:hint="eastAsia"/>
          <w:szCs w:val="21"/>
        </w:rPr>
      </w:pPr>
      <w:r>
        <w:rPr>
          <w:rFonts w:hint="eastAsia"/>
          <w:szCs w:val="21"/>
        </w:rPr>
        <w:t>投标截止日如在6月30日以前，则近3年是指上上个年度往前推算的3年，例如投标截止日为2014年5月30日，近3年是指2010年度、2011年度、2012年度。</w:t>
      </w:r>
    </w:p>
    <w:p w14:paraId="39CE9628">
      <w:pPr>
        <w:autoSpaceDE w:val="0"/>
        <w:autoSpaceDN w:val="0"/>
        <w:adjustRightInd w:val="0"/>
        <w:snapToGrid w:val="0"/>
        <w:spacing w:line="325" w:lineRule="exact"/>
        <w:ind w:left="945" w:leftChars="450"/>
        <w:rPr>
          <w:rFonts w:hint="eastAsia" w:ascii="宋体" w:cs="宋体"/>
          <w:kern w:val="0"/>
          <w:szCs w:val="21"/>
        </w:rPr>
      </w:pPr>
      <w:r>
        <w:rPr>
          <w:rFonts w:hint="eastAsia"/>
          <w:szCs w:val="21"/>
        </w:rPr>
        <w:t>投标截止日如在6月30日以后，则近3年是指上个年度往前推算的3年，例如投标截止日为2014年7月1日，近3年是指2011年度、2012年度、2013年度。</w:t>
      </w:r>
    </w:p>
    <w:p w14:paraId="73EC5B74">
      <w:pPr>
        <w:autoSpaceDE w:val="0"/>
        <w:autoSpaceDN w:val="0"/>
        <w:adjustRightInd w:val="0"/>
        <w:snapToGrid w:val="0"/>
        <w:spacing w:line="325" w:lineRule="exact"/>
        <w:ind w:left="945" w:hanging="945" w:hangingChars="450"/>
        <w:rPr>
          <w:rFonts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ascii="宋体" w:cs="宋体"/>
          <w:kern w:val="0"/>
          <w:szCs w:val="21"/>
        </w:rPr>
        <w:t>2</w:t>
      </w:r>
      <w:r>
        <w:rPr>
          <w:rFonts w:hint="eastAsia" w:ascii="宋体" w:hAnsi="宋体"/>
          <w:szCs w:val="21"/>
        </w:rPr>
        <w:t>．</w:t>
      </w:r>
      <w:r>
        <w:rPr>
          <w:rFonts w:hint="eastAsia" w:ascii="宋体" w:cs="宋体"/>
          <w:kern w:val="0"/>
          <w:szCs w:val="21"/>
        </w:rPr>
        <w:t>本表所列数据必须与本表各附件中的数据相一致。</w:t>
      </w:r>
      <w:r>
        <w:rPr>
          <w:rFonts w:hint="eastAsia" w:ascii="宋体" w:hAnsi="宋体"/>
          <w:szCs w:val="21"/>
        </w:rPr>
        <w:t>如果有不一致之处，以不利于投标人的数据为准。</w:t>
      </w:r>
    </w:p>
    <w:p w14:paraId="0EC96DE2">
      <w:pPr>
        <w:autoSpaceDE w:val="0"/>
        <w:autoSpaceDN w:val="0"/>
        <w:adjustRightInd w:val="0"/>
        <w:snapToGrid w:val="0"/>
        <w:spacing w:line="325" w:lineRule="exact"/>
        <w:rPr>
          <w:rFonts w:hint="eastAsia"/>
          <w:b/>
          <w:sz w:val="28"/>
          <w:szCs w:val="28"/>
        </w:rPr>
      </w:pPr>
      <w:r>
        <w:rPr>
          <w:rFonts w:ascii="宋体" w:cs="宋体"/>
          <w:kern w:val="0"/>
          <w:szCs w:val="21"/>
        </w:rPr>
        <w:t xml:space="preserve">  </w:t>
      </w:r>
      <w:r>
        <w:rPr>
          <w:rFonts w:hint="eastAsia" w:ascii="宋体" w:cs="宋体"/>
          <w:kern w:val="0"/>
          <w:szCs w:val="21"/>
        </w:rPr>
        <w:t xml:space="preserve">    </w:t>
      </w:r>
      <w:r>
        <w:rPr>
          <w:rFonts w:ascii="宋体" w:cs="宋体"/>
          <w:kern w:val="0"/>
          <w:szCs w:val="21"/>
        </w:rPr>
        <w:t>3</w:t>
      </w:r>
      <w:r>
        <w:rPr>
          <w:rFonts w:hint="eastAsia" w:ascii="宋体" w:hAnsi="宋体"/>
          <w:szCs w:val="21"/>
        </w:rPr>
        <w:t>．</w:t>
      </w:r>
      <w:r>
        <w:rPr>
          <w:rFonts w:hint="eastAsia" w:ascii="宋体" w:cs="宋体"/>
          <w:kern w:val="0"/>
          <w:szCs w:val="21"/>
        </w:rPr>
        <w:t>联合体</w:t>
      </w:r>
      <w:r>
        <w:rPr>
          <w:rFonts w:hint="eastAsia"/>
          <w:szCs w:val="21"/>
        </w:rPr>
        <w:t>投标</w:t>
      </w:r>
      <w:r>
        <w:rPr>
          <w:rFonts w:hint="eastAsia" w:ascii="宋体" w:cs="宋体"/>
          <w:kern w:val="0"/>
          <w:szCs w:val="21"/>
        </w:rPr>
        <w:t>的，联合体各成员应分别填写。</w:t>
      </w:r>
    </w:p>
    <w:p w14:paraId="3572B999">
      <w:pPr>
        <w:jc w:val="center"/>
        <w:rPr>
          <w:rFonts w:hint="eastAsia"/>
          <w:b/>
          <w:sz w:val="28"/>
          <w:szCs w:val="28"/>
        </w:rPr>
      </w:pPr>
    </w:p>
    <w:p w14:paraId="1C9B6EDF">
      <w:pPr>
        <w:jc w:val="center"/>
        <w:rPr>
          <w:rFonts w:hint="eastAsia"/>
          <w:b/>
          <w:sz w:val="28"/>
          <w:szCs w:val="28"/>
        </w:rPr>
      </w:pPr>
    </w:p>
    <w:p w14:paraId="234C6535">
      <w:pPr>
        <w:pStyle w:val="20"/>
        <w:jc w:val="center"/>
        <w:rPr>
          <w:rFonts w:hint="eastAsia" w:ascii="黑体" w:hAnsi="宋体"/>
        </w:rPr>
      </w:pPr>
      <w:bookmarkStart w:id="2663" w:name="_Toc108514247"/>
      <w:r>
        <w:rPr>
          <w:rFonts w:hint="eastAsia"/>
          <w:szCs w:val="24"/>
        </w:rPr>
        <w:t>2-2拟投入的流动资金函(格式)</w:t>
      </w:r>
      <w:bookmarkEnd w:id="2663"/>
    </w:p>
    <w:p w14:paraId="30434535">
      <w:pPr>
        <w:spacing w:line="400" w:lineRule="exact"/>
        <w:rPr>
          <w:rFonts w:hint="eastAsia" w:ascii="宋体" w:hAnsi="宋体"/>
          <w:szCs w:val="21"/>
          <w:u w:val="single"/>
        </w:rPr>
      </w:pPr>
    </w:p>
    <w:p w14:paraId="033A165C">
      <w:pPr>
        <w:spacing w:line="40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4761555B">
      <w:pPr>
        <w:spacing w:line="400" w:lineRule="exact"/>
        <w:ind w:firstLine="420" w:firstLineChars="200"/>
        <w:rPr>
          <w:rFonts w:hint="eastAsia" w:ascii="宋体" w:hAnsi="宋体"/>
          <w:szCs w:val="21"/>
        </w:rPr>
      </w:pPr>
      <w:r>
        <w:rPr>
          <w:rFonts w:hint="eastAsia" w:ascii="宋体" w:hAnsi="宋体"/>
          <w:szCs w:val="21"/>
        </w:rPr>
        <w:t>我方拟投入</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w:t>
      </w:r>
      <w:r>
        <w:rPr>
          <w:rFonts w:hint="eastAsia" w:ascii="宋体" w:hAnsi="宋体"/>
          <w:szCs w:val="21"/>
        </w:rPr>
        <w:t>(标段名称)的流动资金为</w:t>
      </w:r>
      <w:r>
        <w:rPr>
          <w:rFonts w:hint="eastAsia" w:ascii="宋体" w:hAnsi="宋体"/>
          <w:szCs w:val="21"/>
          <w:u w:val="single"/>
        </w:rPr>
        <w:t>　　　　</w:t>
      </w:r>
      <w:r>
        <w:rPr>
          <w:rFonts w:hint="eastAsia" w:ascii="宋体" w:hAnsi="宋体"/>
          <w:szCs w:val="21"/>
        </w:rPr>
        <w:t>万元，资金来源于</w:t>
      </w:r>
      <w:r>
        <w:rPr>
          <w:rFonts w:hint="eastAsia" w:ascii="宋体" w:hAnsi="宋体"/>
          <w:szCs w:val="21"/>
          <w:u w:val="single"/>
        </w:rPr>
        <w:t>　　　　　　　</w:t>
      </w:r>
      <w:r>
        <w:rPr>
          <w:rFonts w:hint="eastAsia" w:ascii="宋体" w:hAnsi="宋体"/>
          <w:szCs w:val="21"/>
        </w:rPr>
        <w:t>，资金来源证明文件附后。</w:t>
      </w:r>
    </w:p>
    <w:p w14:paraId="4103E86F">
      <w:pPr>
        <w:tabs>
          <w:tab w:val="left" w:pos="2670"/>
        </w:tabs>
        <w:spacing w:line="400" w:lineRule="exact"/>
        <w:ind w:firstLine="420" w:firstLineChars="200"/>
        <w:rPr>
          <w:rFonts w:hint="eastAsia" w:ascii="宋体" w:hAnsi="宋体"/>
          <w:szCs w:val="21"/>
        </w:rPr>
      </w:pPr>
      <w:r>
        <w:rPr>
          <w:rFonts w:hint="eastAsia"/>
          <w:szCs w:val="21"/>
        </w:rPr>
        <w:t>我方可使用的银行授信余额和银行存款共计</w:t>
      </w:r>
      <w:r>
        <w:rPr>
          <w:rFonts w:hint="eastAsia"/>
          <w:szCs w:val="21"/>
          <w:u w:val="single"/>
        </w:rPr>
        <w:t xml:space="preserve">            </w:t>
      </w:r>
      <w:r>
        <w:rPr>
          <w:rFonts w:hint="eastAsia"/>
          <w:szCs w:val="21"/>
        </w:rPr>
        <w:t>万元。</w:t>
      </w:r>
    </w:p>
    <w:p w14:paraId="1E596B71">
      <w:pPr>
        <w:spacing w:line="400" w:lineRule="exact"/>
        <w:ind w:firstLine="420" w:firstLineChars="200"/>
        <w:rPr>
          <w:rFonts w:hint="eastAsia" w:ascii="宋体" w:hAnsi="宋体"/>
          <w:szCs w:val="21"/>
        </w:rPr>
      </w:pPr>
    </w:p>
    <w:p w14:paraId="484628F7">
      <w:pPr>
        <w:spacing w:line="400" w:lineRule="exact"/>
        <w:ind w:firstLine="420" w:firstLineChars="200"/>
        <w:rPr>
          <w:rFonts w:hint="eastAsia" w:ascii="宋体" w:hAnsi="宋体"/>
          <w:szCs w:val="21"/>
        </w:rPr>
      </w:pPr>
    </w:p>
    <w:p w14:paraId="03147EF2">
      <w:pPr>
        <w:spacing w:line="400" w:lineRule="exact"/>
        <w:ind w:firstLine="420" w:firstLineChars="200"/>
        <w:rPr>
          <w:rFonts w:hint="eastAsia" w:ascii="宋体" w:hAnsi="宋体"/>
          <w:szCs w:val="21"/>
        </w:rPr>
      </w:pPr>
      <w:r>
        <w:rPr>
          <w:rFonts w:hint="eastAsia" w:ascii="宋体" w:hAnsi="宋体"/>
          <w:szCs w:val="21"/>
        </w:rPr>
        <w:t>　　　　　　　　　　　　　　　　　　　　　投标人：</w:t>
      </w:r>
      <w:r>
        <w:rPr>
          <w:rFonts w:hint="eastAsia" w:ascii="宋体" w:hAnsi="宋体"/>
          <w:szCs w:val="21"/>
          <w:u w:val="single"/>
        </w:rPr>
        <w:t>　　　　　　　　</w:t>
      </w:r>
      <w:r>
        <w:rPr>
          <w:rFonts w:hint="eastAsia" w:ascii="宋体" w:hAnsi="宋体"/>
          <w:szCs w:val="21"/>
        </w:rPr>
        <w:t>(盖单位章)</w:t>
      </w:r>
    </w:p>
    <w:p w14:paraId="2CED9DC4">
      <w:pPr>
        <w:spacing w:line="400" w:lineRule="exact"/>
        <w:ind w:firstLine="420" w:firstLineChars="200"/>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685AF70D">
      <w:pPr>
        <w:rPr>
          <w:rFonts w:hint="eastAsia"/>
        </w:rPr>
      </w:pPr>
      <w:r>
        <w:rPr>
          <w:rFonts w:hint="eastAsia"/>
        </w:rPr>
        <w:t xml:space="preserve"> </w:t>
      </w:r>
    </w:p>
    <w:p w14:paraId="6F32168B">
      <w:pPr>
        <w:rPr>
          <w:rFonts w:hint="eastAsia"/>
        </w:rPr>
      </w:pPr>
    </w:p>
    <w:p w14:paraId="0858B93B">
      <w:pPr>
        <w:rPr>
          <w:rFonts w:hint="eastAsia"/>
        </w:rPr>
      </w:pPr>
    </w:p>
    <w:p w14:paraId="33531BAC">
      <w:pPr>
        <w:rPr>
          <w:rFonts w:hint="eastAsia"/>
        </w:rPr>
      </w:pPr>
    </w:p>
    <w:p w14:paraId="20919EFE">
      <w:pPr>
        <w:rPr>
          <w:rFonts w:hint="eastAsia"/>
        </w:rPr>
      </w:pPr>
    </w:p>
    <w:p w14:paraId="531E0951">
      <w:pPr>
        <w:rPr>
          <w:rFonts w:hint="eastAsia"/>
        </w:rPr>
      </w:pPr>
    </w:p>
    <w:p w14:paraId="1993F019">
      <w:pPr>
        <w:rPr>
          <w:rFonts w:hint="eastAsia"/>
        </w:rPr>
      </w:pPr>
    </w:p>
    <w:p w14:paraId="73CB65B5">
      <w:pPr>
        <w:rPr>
          <w:rFonts w:hint="eastAsia"/>
        </w:rPr>
      </w:pPr>
    </w:p>
    <w:p w14:paraId="238288CA">
      <w:pPr>
        <w:rPr>
          <w:rFonts w:hint="eastAsia"/>
        </w:rPr>
      </w:pPr>
    </w:p>
    <w:p w14:paraId="40EB0A1D">
      <w:pPr>
        <w:rPr>
          <w:rFonts w:hint="eastAsia"/>
        </w:rPr>
      </w:pPr>
    </w:p>
    <w:p w14:paraId="0EFF265C">
      <w:pPr>
        <w:rPr>
          <w:rFonts w:hint="eastAsia"/>
        </w:rPr>
      </w:pPr>
    </w:p>
    <w:p w14:paraId="053E9987">
      <w:pPr>
        <w:rPr>
          <w:rFonts w:hint="eastAsia"/>
        </w:rPr>
      </w:pPr>
    </w:p>
    <w:p w14:paraId="2FBC4422">
      <w:pPr>
        <w:rPr>
          <w:rFonts w:hint="eastAsia"/>
        </w:rPr>
      </w:pPr>
    </w:p>
    <w:p w14:paraId="16BF7E6D">
      <w:pPr>
        <w:rPr>
          <w:rFonts w:hint="eastAsia"/>
        </w:rPr>
      </w:pPr>
    </w:p>
    <w:p w14:paraId="6C7C8D03">
      <w:pPr>
        <w:rPr>
          <w:rFonts w:hint="eastAsia"/>
        </w:rPr>
      </w:pPr>
    </w:p>
    <w:p w14:paraId="72964F81">
      <w:pPr>
        <w:rPr>
          <w:rFonts w:hint="eastAsia"/>
        </w:rPr>
      </w:pPr>
    </w:p>
    <w:p w14:paraId="348D03B8">
      <w:pPr>
        <w:rPr>
          <w:rFonts w:hint="eastAsia"/>
        </w:rPr>
      </w:pPr>
    </w:p>
    <w:p w14:paraId="4CA71D13">
      <w:pPr>
        <w:rPr>
          <w:rFonts w:hint="eastAsia"/>
        </w:rPr>
      </w:pPr>
    </w:p>
    <w:p w14:paraId="6B471D5D">
      <w:pPr>
        <w:rPr>
          <w:rFonts w:hint="eastAsia"/>
        </w:rPr>
      </w:pPr>
    </w:p>
    <w:p w14:paraId="6E6929BF">
      <w:pPr>
        <w:rPr>
          <w:rFonts w:hint="eastAsia"/>
        </w:rPr>
      </w:pPr>
    </w:p>
    <w:p w14:paraId="180B96AE">
      <w:pPr>
        <w:rPr>
          <w:rFonts w:hint="eastAsia"/>
        </w:rPr>
      </w:pPr>
    </w:p>
    <w:p w14:paraId="364327E9">
      <w:pPr>
        <w:ind w:left="945" w:hanging="945" w:hangingChars="450"/>
        <w:rPr>
          <w:rFonts w:hint="eastAsia" w:ascii="宋体" w:hAnsi="宋体"/>
        </w:rPr>
      </w:pPr>
      <w:r>
        <w:rPr>
          <w:rFonts w:hint="eastAsia" w:ascii="宋体" w:hAnsi="宋体"/>
        </w:rPr>
        <w:t>备注：1</w:t>
      </w:r>
      <w:r>
        <w:rPr>
          <w:rFonts w:hint="eastAsia" w:ascii="宋体" w:hAnsi="宋体"/>
          <w:szCs w:val="21"/>
        </w:rPr>
        <w:t>．</w:t>
      </w:r>
      <w:r>
        <w:rPr>
          <w:rFonts w:hint="eastAsia" w:ascii="宋体" w:hAnsi="宋体"/>
        </w:rPr>
        <w:t>如招标人为避免</w:t>
      </w:r>
      <w:r>
        <w:rPr>
          <w:rFonts w:hint="eastAsia" w:ascii="宋体" w:hAnsi="宋体"/>
          <w:szCs w:val="21"/>
        </w:rPr>
        <w:t>投标</w:t>
      </w:r>
      <w:r>
        <w:rPr>
          <w:rFonts w:hint="eastAsia" w:ascii="宋体" w:hAnsi="宋体"/>
        </w:rPr>
        <w:t>人中标后因流动资金不足影响工程施工，而要求</w:t>
      </w:r>
      <w:r>
        <w:rPr>
          <w:rFonts w:hint="eastAsia" w:ascii="宋体" w:hAnsi="宋体"/>
          <w:szCs w:val="21"/>
        </w:rPr>
        <w:t>投标</w:t>
      </w:r>
      <w:r>
        <w:rPr>
          <w:rFonts w:hint="eastAsia" w:ascii="宋体" w:hAnsi="宋体"/>
        </w:rPr>
        <w:t>人具有一定的流动资金的，</w:t>
      </w:r>
      <w:r>
        <w:rPr>
          <w:rFonts w:hint="eastAsia" w:ascii="宋体" w:hAnsi="宋体"/>
          <w:szCs w:val="21"/>
        </w:rPr>
        <w:t>投标</w:t>
      </w:r>
      <w:r>
        <w:rPr>
          <w:rFonts w:hint="eastAsia" w:ascii="宋体" w:hAnsi="宋体"/>
        </w:rPr>
        <w:t>人应当填写此表。</w:t>
      </w:r>
    </w:p>
    <w:p w14:paraId="6DECB8A6">
      <w:pPr>
        <w:ind w:left="945" w:leftChars="100" w:hanging="735" w:hangingChars="350"/>
        <w:rPr>
          <w:rFonts w:hint="eastAsia" w:ascii="宋体" w:hAnsi="宋体"/>
        </w:rPr>
      </w:pPr>
      <w:r>
        <w:rPr>
          <w:rFonts w:hint="eastAsia" w:ascii="宋体" w:hAnsi="宋体"/>
        </w:rPr>
        <w:t xml:space="preserve">    2</w:t>
      </w:r>
      <w:r>
        <w:rPr>
          <w:rFonts w:hint="eastAsia" w:ascii="宋体" w:hAnsi="宋体"/>
          <w:szCs w:val="21"/>
        </w:rPr>
        <w:t>．</w:t>
      </w:r>
      <w:r>
        <w:rPr>
          <w:rFonts w:hint="eastAsia" w:ascii="宋体" w:hAnsi="宋体"/>
        </w:rPr>
        <w:t>资金来源填写银行存款、银行信贷或其它形式，如</w:t>
      </w:r>
      <w:r>
        <w:rPr>
          <w:rFonts w:hint="eastAsia" w:ascii="宋体" w:hAnsi="宋体"/>
          <w:szCs w:val="21"/>
        </w:rPr>
        <w:t>银行授信总额度、本年度可使用的银行授信余额等。</w:t>
      </w:r>
    </w:p>
    <w:p w14:paraId="0D5285EB">
      <w:pPr>
        <w:ind w:left="945" w:hanging="945" w:hangingChars="450"/>
        <w:rPr>
          <w:rFonts w:hint="eastAsia" w:ascii="宋体" w:hAnsi="宋体"/>
        </w:rPr>
      </w:pPr>
      <w:r>
        <w:rPr>
          <w:rFonts w:hint="eastAsia" w:ascii="宋体" w:hAnsi="宋体"/>
        </w:rPr>
        <w:t>　  　3</w:t>
      </w:r>
      <w:r>
        <w:rPr>
          <w:rFonts w:hint="eastAsia" w:ascii="宋体" w:hAnsi="宋体"/>
          <w:szCs w:val="21"/>
        </w:rPr>
        <w:t>．</w:t>
      </w:r>
      <w:r>
        <w:rPr>
          <w:rFonts w:hint="eastAsia" w:ascii="宋体" w:hAnsi="宋体" w:cs="宋体"/>
          <w:kern w:val="0"/>
          <w:szCs w:val="21"/>
        </w:rPr>
        <w:t>本表后附</w:t>
      </w:r>
      <w:r>
        <w:rPr>
          <w:rFonts w:hint="eastAsia" w:ascii="宋体" w:hAnsi="宋体"/>
        </w:rPr>
        <w:t>相关</w:t>
      </w:r>
      <w:r>
        <w:rPr>
          <w:rFonts w:hint="eastAsia" w:ascii="宋体" w:hAnsi="宋体"/>
          <w:szCs w:val="21"/>
        </w:rPr>
        <w:t>资金来源证明文件</w:t>
      </w:r>
      <w:r>
        <w:rPr>
          <w:rFonts w:hint="eastAsia" w:ascii="宋体" w:hAnsi="宋体"/>
        </w:rPr>
        <w:t>扫描件，银行存款证明、银行信贷证明应采用相关银行出具的格式。</w:t>
      </w:r>
    </w:p>
    <w:p w14:paraId="0CEB9B22">
      <w:pPr>
        <w:spacing w:after="240" w:afterLines="100" w:line="400" w:lineRule="exact"/>
        <w:rPr>
          <w:rFonts w:hint="eastAsia" w:ascii="宋体" w:hAnsi="宋体"/>
          <w:szCs w:val="21"/>
        </w:rPr>
      </w:pPr>
      <w:r>
        <w:rPr>
          <w:rFonts w:hint="eastAsia" w:ascii="宋体" w:hAnsi="宋体"/>
        </w:rPr>
        <w:t>　  　4</w:t>
      </w:r>
      <w:r>
        <w:rPr>
          <w:rFonts w:hint="eastAsia" w:ascii="宋体" w:hAnsi="宋体"/>
          <w:szCs w:val="21"/>
        </w:rPr>
        <w:t>．招标人也可根据招标项目具体情况要求说明是否拥有有效期内的银行AAA资信证明。</w:t>
      </w:r>
    </w:p>
    <w:p w14:paraId="04C481C9">
      <w:pPr>
        <w:spacing w:line="440" w:lineRule="exact"/>
        <w:ind w:left="630" w:hanging="630" w:hangingChars="300"/>
        <w:rPr>
          <w:rFonts w:hint="eastAsia" w:ascii="宋体" w:hAnsi="宋体"/>
          <w:szCs w:val="21"/>
        </w:rPr>
      </w:pPr>
    </w:p>
    <w:p w14:paraId="33BCE85E">
      <w:pPr>
        <w:spacing w:line="440" w:lineRule="exact"/>
        <w:ind w:left="630" w:hanging="630" w:hangingChars="300"/>
        <w:rPr>
          <w:rFonts w:hint="eastAsia" w:ascii="宋体" w:hAnsi="宋体"/>
          <w:szCs w:val="21"/>
        </w:rPr>
      </w:pPr>
    </w:p>
    <w:p w14:paraId="719D4E22">
      <w:pPr>
        <w:spacing w:line="440" w:lineRule="exact"/>
        <w:ind w:left="630" w:hanging="630" w:hangingChars="300"/>
        <w:rPr>
          <w:rFonts w:hint="eastAsia" w:ascii="宋体" w:hAnsi="宋体"/>
          <w:szCs w:val="21"/>
        </w:rPr>
      </w:pPr>
    </w:p>
    <w:p w14:paraId="4337CB03">
      <w:pPr>
        <w:pStyle w:val="20"/>
        <w:jc w:val="center"/>
        <w:rPr>
          <w:rFonts w:hint="eastAsia" w:ascii="黑体" w:hAnsi="宋体"/>
        </w:rPr>
      </w:pPr>
      <w:bookmarkStart w:id="2664" w:name="_Toc108514248"/>
      <w:r>
        <w:rPr>
          <w:rFonts w:hint="eastAsia"/>
          <w:szCs w:val="24"/>
        </w:rPr>
        <w:t>（三）近5年完成的类似项目情况</w:t>
      </w:r>
      <w:bookmarkEnd w:id="2664"/>
    </w:p>
    <w:p w14:paraId="21D34470">
      <w:pPr>
        <w:spacing w:line="440" w:lineRule="exact"/>
        <w:ind w:left="718" w:leftChars="342" w:firstLine="2040" w:firstLineChars="850"/>
        <w:rPr>
          <w:rFonts w:hint="eastAsia" w:ascii="黑体" w:hAnsi="宋体" w:eastAsia="黑体"/>
          <w:sz w:val="24"/>
        </w:rPr>
      </w:pPr>
    </w:p>
    <w:p w14:paraId="0AF02EF9">
      <w:pPr>
        <w:pStyle w:val="20"/>
        <w:jc w:val="center"/>
        <w:rPr>
          <w:rFonts w:hint="eastAsia"/>
          <w:szCs w:val="24"/>
        </w:rPr>
      </w:pPr>
      <w:bookmarkStart w:id="2665" w:name="_Toc108514249"/>
      <w:r>
        <w:rPr>
          <w:rFonts w:hint="eastAsia"/>
          <w:szCs w:val="24"/>
        </w:rPr>
        <w:t>3-1 近5年完成的类似项目汇总表</w:t>
      </w:r>
      <w:bookmarkEnd w:id="2665"/>
    </w:p>
    <w:p w14:paraId="665BCDA5">
      <w:pPr>
        <w:spacing w:line="440" w:lineRule="exact"/>
        <w:rPr>
          <w:rFonts w:hint="eastAsia" w:ascii="黑体" w:hAnsi="宋体" w:eastAsia="黑体"/>
          <w:sz w:val="24"/>
        </w:rPr>
      </w:pPr>
    </w:p>
    <w:tbl>
      <w:tblPr>
        <w:tblStyle w:val="15"/>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7913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25EDC84">
            <w:pPr>
              <w:topLinePunct/>
              <w:spacing w:line="400" w:lineRule="atLeast"/>
              <w:jc w:val="center"/>
              <w:rPr>
                <w:rFonts w:hint="eastAsia"/>
                <w:szCs w:val="21"/>
              </w:rPr>
            </w:pPr>
            <w:r>
              <w:rPr>
                <w:rFonts w:hint="eastAsia"/>
                <w:szCs w:val="21"/>
              </w:rPr>
              <w:t>序号</w:t>
            </w:r>
          </w:p>
        </w:tc>
        <w:tc>
          <w:tcPr>
            <w:tcW w:w="1846" w:type="dxa"/>
            <w:noWrap w:val="0"/>
            <w:vAlign w:val="top"/>
          </w:tcPr>
          <w:p w14:paraId="590745CE">
            <w:pPr>
              <w:topLinePunct/>
              <w:spacing w:line="400" w:lineRule="atLeast"/>
              <w:jc w:val="center"/>
              <w:rPr>
                <w:rFonts w:hint="eastAsia"/>
                <w:szCs w:val="21"/>
              </w:rPr>
            </w:pPr>
            <w:r>
              <w:rPr>
                <w:rFonts w:hint="eastAsia"/>
                <w:szCs w:val="21"/>
              </w:rPr>
              <w:t>项目名称</w:t>
            </w:r>
          </w:p>
        </w:tc>
        <w:tc>
          <w:tcPr>
            <w:tcW w:w="1394" w:type="dxa"/>
            <w:noWrap w:val="0"/>
            <w:vAlign w:val="top"/>
          </w:tcPr>
          <w:p w14:paraId="631242C1">
            <w:pPr>
              <w:topLinePunct/>
              <w:spacing w:line="400" w:lineRule="atLeast"/>
              <w:jc w:val="center"/>
              <w:rPr>
                <w:rFonts w:hint="eastAsia"/>
                <w:szCs w:val="21"/>
              </w:rPr>
            </w:pPr>
            <w:r>
              <w:rPr>
                <w:rFonts w:hint="eastAsia" w:ascii="宋体" w:hAnsi="宋体"/>
                <w:szCs w:val="21"/>
              </w:rPr>
              <w:t>发包人名称</w:t>
            </w:r>
          </w:p>
        </w:tc>
        <w:tc>
          <w:tcPr>
            <w:tcW w:w="1080" w:type="dxa"/>
            <w:noWrap w:val="0"/>
            <w:vAlign w:val="top"/>
          </w:tcPr>
          <w:p w14:paraId="72D63515">
            <w:pPr>
              <w:topLinePunct/>
              <w:spacing w:line="400" w:lineRule="atLeast"/>
              <w:jc w:val="center"/>
              <w:rPr>
                <w:rFonts w:hint="eastAsia"/>
                <w:szCs w:val="21"/>
              </w:rPr>
            </w:pPr>
            <w:r>
              <w:rPr>
                <w:rFonts w:hint="eastAsia"/>
                <w:szCs w:val="21"/>
              </w:rPr>
              <w:t>工程规模</w:t>
            </w:r>
          </w:p>
        </w:tc>
        <w:tc>
          <w:tcPr>
            <w:tcW w:w="1112" w:type="dxa"/>
            <w:noWrap w:val="0"/>
            <w:vAlign w:val="top"/>
          </w:tcPr>
          <w:p w14:paraId="137DFF37">
            <w:pPr>
              <w:topLinePunct/>
              <w:spacing w:line="400" w:lineRule="atLeast"/>
              <w:jc w:val="center"/>
              <w:rPr>
                <w:rFonts w:hint="eastAsia"/>
                <w:szCs w:val="21"/>
              </w:rPr>
            </w:pPr>
            <w:r>
              <w:rPr>
                <w:rFonts w:hint="eastAsia" w:ascii="宋体" w:hAnsi="宋体"/>
                <w:szCs w:val="21"/>
              </w:rPr>
              <w:t>合同价格</w:t>
            </w:r>
            <w:r>
              <w:rPr>
                <w:rFonts w:hint="eastAsia"/>
                <w:szCs w:val="21"/>
              </w:rPr>
              <w:t>（万元）</w:t>
            </w:r>
          </w:p>
        </w:tc>
        <w:tc>
          <w:tcPr>
            <w:tcW w:w="1778" w:type="dxa"/>
            <w:noWrap w:val="0"/>
            <w:vAlign w:val="top"/>
          </w:tcPr>
          <w:p w14:paraId="3BA8694B">
            <w:pPr>
              <w:topLinePunct/>
              <w:spacing w:line="400" w:lineRule="atLeast"/>
              <w:jc w:val="center"/>
              <w:rPr>
                <w:rFonts w:hint="eastAsia"/>
                <w:szCs w:val="21"/>
              </w:rPr>
            </w:pPr>
            <w:r>
              <w:rPr>
                <w:rFonts w:hint="eastAsia" w:ascii="宋体" w:hAnsi="宋体"/>
                <w:szCs w:val="21"/>
              </w:rPr>
              <w:t>开、竣工日期</w:t>
            </w:r>
          </w:p>
        </w:tc>
        <w:tc>
          <w:tcPr>
            <w:tcW w:w="1080" w:type="dxa"/>
            <w:noWrap w:val="0"/>
            <w:vAlign w:val="top"/>
          </w:tcPr>
          <w:p w14:paraId="2510BAEB">
            <w:pPr>
              <w:topLinePunct/>
              <w:spacing w:line="400" w:lineRule="atLeast"/>
              <w:jc w:val="center"/>
              <w:rPr>
                <w:rFonts w:hint="eastAsia"/>
                <w:szCs w:val="21"/>
              </w:rPr>
            </w:pPr>
            <w:r>
              <w:rPr>
                <w:rFonts w:hint="eastAsia" w:ascii="宋体" w:hAnsi="宋体"/>
                <w:szCs w:val="21"/>
              </w:rPr>
              <w:t>项目经理</w:t>
            </w:r>
          </w:p>
        </w:tc>
      </w:tr>
      <w:tr w14:paraId="19A5C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A7A4D1">
            <w:pPr>
              <w:topLinePunct/>
              <w:spacing w:line="400" w:lineRule="atLeast"/>
              <w:jc w:val="center"/>
              <w:rPr>
                <w:rFonts w:hint="eastAsia"/>
                <w:szCs w:val="21"/>
              </w:rPr>
            </w:pPr>
          </w:p>
        </w:tc>
        <w:tc>
          <w:tcPr>
            <w:tcW w:w="1846" w:type="dxa"/>
            <w:noWrap w:val="0"/>
            <w:vAlign w:val="top"/>
          </w:tcPr>
          <w:p w14:paraId="2EF63316">
            <w:pPr>
              <w:topLinePunct/>
              <w:spacing w:line="400" w:lineRule="atLeast"/>
              <w:jc w:val="center"/>
              <w:rPr>
                <w:rFonts w:hint="eastAsia"/>
                <w:szCs w:val="21"/>
              </w:rPr>
            </w:pPr>
          </w:p>
        </w:tc>
        <w:tc>
          <w:tcPr>
            <w:tcW w:w="1394" w:type="dxa"/>
            <w:noWrap w:val="0"/>
            <w:vAlign w:val="top"/>
          </w:tcPr>
          <w:p w14:paraId="3ADFB733">
            <w:pPr>
              <w:topLinePunct/>
              <w:spacing w:line="400" w:lineRule="atLeast"/>
              <w:jc w:val="center"/>
              <w:rPr>
                <w:rFonts w:hint="eastAsia"/>
                <w:szCs w:val="21"/>
              </w:rPr>
            </w:pPr>
          </w:p>
        </w:tc>
        <w:tc>
          <w:tcPr>
            <w:tcW w:w="1080" w:type="dxa"/>
            <w:noWrap w:val="0"/>
            <w:vAlign w:val="top"/>
          </w:tcPr>
          <w:p w14:paraId="45063BB6">
            <w:pPr>
              <w:topLinePunct/>
              <w:spacing w:line="400" w:lineRule="atLeast"/>
              <w:jc w:val="center"/>
              <w:rPr>
                <w:rFonts w:hint="eastAsia"/>
                <w:szCs w:val="21"/>
              </w:rPr>
            </w:pPr>
          </w:p>
        </w:tc>
        <w:tc>
          <w:tcPr>
            <w:tcW w:w="1112" w:type="dxa"/>
            <w:noWrap w:val="0"/>
            <w:vAlign w:val="top"/>
          </w:tcPr>
          <w:p w14:paraId="6889606C">
            <w:pPr>
              <w:topLinePunct/>
              <w:spacing w:line="400" w:lineRule="atLeast"/>
              <w:jc w:val="center"/>
              <w:rPr>
                <w:rFonts w:hint="eastAsia"/>
                <w:szCs w:val="21"/>
              </w:rPr>
            </w:pPr>
          </w:p>
        </w:tc>
        <w:tc>
          <w:tcPr>
            <w:tcW w:w="1778" w:type="dxa"/>
            <w:noWrap w:val="0"/>
            <w:vAlign w:val="top"/>
          </w:tcPr>
          <w:p w14:paraId="053358F8">
            <w:pPr>
              <w:topLinePunct/>
              <w:spacing w:line="400" w:lineRule="atLeast"/>
              <w:jc w:val="center"/>
              <w:rPr>
                <w:rFonts w:hint="eastAsia"/>
                <w:szCs w:val="21"/>
              </w:rPr>
            </w:pPr>
          </w:p>
        </w:tc>
        <w:tc>
          <w:tcPr>
            <w:tcW w:w="1080" w:type="dxa"/>
            <w:noWrap w:val="0"/>
            <w:vAlign w:val="top"/>
          </w:tcPr>
          <w:p w14:paraId="0744A121">
            <w:pPr>
              <w:topLinePunct/>
              <w:spacing w:line="400" w:lineRule="atLeast"/>
              <w:jc w:val="center"/>
              <w:rPr>
                <w:rFonts w:hint="eastAsia"/>
                <w:szCs w:val="21"/>
              </w:rPr>
            </w:pPr>
          </w:p>
        </w:tc>
      </w:tr>
      <w:tr w14:paraId="6113C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3471619">
            <w:pPr>
              <w:topLinePunct/>
              <w:spacing w:line="400" w:lineRule="atLeast"/>
              <w:jc w:val="center"/>
              <w:rPr>
                <w:rFonts w:hint="eastAsia"/>
                <w:szCs w:val="21"/>
              </w:rPr>
            </w:pPr>
          </w:p>
        </w:tc>
        <w:tc>
          <w:tcPr>
            <w:tcW w:w="1846" w:type="dxa"/>
            <w:noWrap w:val="0"/>
            <w:vAlign w:val="top"/>
          </w:tcPr>
          <w:p w14:paraId="1D09F15D">
            <w:pPr>
              <w:topLinePunct/>
              <w:spacing w:line="400" w:lineRule="atLeast"/>
              <w:jc w:val="center"/>
              <w:rPr>
                <w:rFonts w:hint="eastAsia"/>
                <w:szCs w:val="21"/>
              </w:rPr>
            </w:pPr>
          </w:p>
        </w:tc>
        <w:tc>
          <w:tcPr>
            <w:tcW w:w="1394" w:type="dxa"/>
            <w:noWrap w:val="0"/>
            <w:vAlign w:val="top"/>
          </w:tcPr>
          <w:p w14:paraId="02BD7759">
            <w:pPr>
              <w:topLinePunct/>
              <w:spacing w:line="400" w:lineRule="atLeast"/>
              <w:jc w:val="center"/>
              <w:rPr>
                <w:rFonts w:hint="eastAsia"/>
                <w:szCs w:val="21"/>
              </w:rPr>
            </w:pPr>
          </w:p>
        </w:tc>
        <w:tc>
          <w:tcPr>
            <w:tcW w:w="1080" w:type="dxa"/>
            <w:noWrap w:val="0"/>
            <w:vAlign w:val="top"/>
          </w:tcPr>
          <w:p w14:paraId="683F8FC5">
            <w:pPr>
              <w:topLinePunct/>
              <w:spacing w:line="400" w:lineRule="atLeast"/>
              <w:jc w:val="center"/>
              <w:rPr>
                <w:rFonts w:hint="eastAsia"/>
                <w:szCs w:val="21"/>
              </w:rPr>
            </w:pPr>
          </w:p>
        </w:tc>
        <w:tc>
          <w:tcPr>
            <w:tcW w:w="1112" w:type="dxa"/>
            <w:noWrap w:val="0"/>
            <w:vAlign w:val="top"/>
          </w:tcPr>
          <w:p w14:paraId="7311E6BD">
            <w:pPr>
              <w:topLinePunct/>
              <w:spacing w:line="400" w:lineRule="atLeast"/>
              <w:jc w:val="center"/>
              <w:rPr>
                <w:rFonts w:hint="eastAsia"/>
                <w:szCs w:val="21"/>
              </w:rPr>
            </w:pPr>
          </w:p>
        </w:tc>
        <w:tc>
          <w:tcPr>
            <w:tcW w:w="1778" w:type="dxa"/>
            <w:noWrap w:val="0"/>
            <w:vAlign w:val="top"/>
          </w:tcPr>
          <w:p w14:paraId="3FCAED70">
            <w:pPr>
              <w:topLinePunct/>
              <w:spacing w:line="400" w:lineRule="atLeast"/>
              <w:jc w:val="center"/>
              <w:rPr>
                <w:rFonts w:hint="eastAsia"/>
                <w:szCs w:val="21"/>
              </w:rPr>
            </w:pPr>
          </w:p>
        </w:tc>
        <w:tc>
          <w:tcPr>
            <w:tcW w:w="1080" w:type="dxa"/>
            <w:noWrap w:val="0"/>
            <w:vAlign w:val="top"/>
          </w:tcPr>
          <w:p w14:paraId="5BE9B5A7">
            <w:pPr>
              <w:topLinePunct/>
              <w:spacing w:line="400" w:lineRule="atLeast"/>
              <w:jc w:val="center"/>
              <w:rPr>
                <w:rFonts w:hint="eastAsia"/>
                <w:szCs w:val="21"/>
              </w:rPr>
            </w:pPr>
          </w:p>
        </w:tc>
      </w:tr>
      <w:tr w14:paraId="47D0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2DEB59C">
            <w:pPr>
              <w:topLinePunct/>
              <w:spacing w:line="400" w:lineRule="atLeast"/>
              <w:jc w:val="center"/>
              <w:rPr>
                <w:rFonts w:hint="eastAsia"/>
                <w:szCs w:val="21"/>
              </w:rPr>
            </w:pPr>
          </w:p>
        </w:tc>
        <w:tc>
          <w:tcPr>
            <w:tcW w:w="1846" w:type="dxa"/>
            <w:noWrap w:val="0"/>
            <w:vAlign w:val="top"/>
          </w:tcPr>
          <w:p w14:paraId="6CCFC6DF">
            <w:pPr>
              <w:topLinePunct/>
              <w:spacing w:line="400" w:lineRule="atLeast"/>
              <w:jc w:val="center"/>
              <w:rPr>
                <w:rFonts w:hint="eastAsia"/>
                <w:szCs w:val="21"/>
              </w:rPr>
            </w:pPr>
          </w:p>
        </w:tc>
        <w:tc>
          <w:tcPr>
            <w:tcW w:w="1394" w:type="dxa"/>
            <w:noWrap w:val="0"/>
            <w:vAlign w:val="top"/>
          </w:tcPr>
          <w:p w14:paraId="6225A29E">
            <w:pPr>
              <w:topLinePunct/>
              <w:spacing w:line="400" w:lineRule="atLeast"/>
              <w:jc w:val="center"/>
              <w:rPr>
                <w:rFonts w:hint="eastAsia"/>
                <w:szCs w:val="21"/>
              </w:rPr>
            </w:pPr>
          </w:p>
        </w:tc>
        <w:tc>
          <w:tcPr>
            <w:tcW w:w="1080" w:type="dxa"/>
            <w:noWrap w:val="0"/>
            <w:vAlign w:val="top"/>
          </w:tcPr>
          <w:p w14:paraId="5D5AAAC1">
            <w:pPr>
              <w:topLinePunct/>
              <w:spacing w:line="400" w:lineRule="atLeast"/>
              <w:jc w:val="center"/>
              <w:rPr>
                <w:rFonts w:hint="eastAsia"/>
                <w:szCs w:val="21"/>
              </w:rPr>
            </w:pPr>
          </w:p>
        </w:tc>
        <w:tc>
          <w:tcPr>
            <w:tcW w:w="1112" w:type="dxa"/>
            <w:noWrap w:val="0"/>
            <w:vAlign w:val="top"/>
          </w:tcPr>
          <w:p w14:paraId="0C5D65F0">
            <w:pPr>
              <w:topLinePunct/>
              <w:spacing w:line="400" w:lineRule="atLeast"/>
              <w:jc w:val="center"/>
              <w:rPr>
                <w:rFonts w:hint="eastAsia"/>
                <w:szCs w:val="21"/>
              </w:rPr>
            </w:pPr>
          </w:p>
        </w:tc>
        <w:tc>
          <w:tcPr>
            <w:tcW w:w="1778" w:type="dxa"/>
            <w:noWrap w:val="0"/>
            <w:vAlign w:val="top"/>
          </w:tcPr>
          <w:p w14:paraId="6A556E09">
            <w:pPr>
              <w:topLinePunct/>
              <w:spacing w:line="400" w:lineRule="atLeast"/>
              <w:jc w:val="center"/>
              <w:rPr>
                <w:rFonts w:hint="eastAsia"/>
                <w:szCs w:val="21"/>
              </w:rPr>
            </w:pPr>
          </w:p>
        </w:tc>
        <w:tc>
          <w:tcPr>
            <w:tcW w:w="1080" w:type="dxa"/>
            <w:noWrap w:val="0"/>
            <w:vAlign w:val="top"/>
          </w:tcPr>
          <w:p w14:paraId="56299420">
            <w:pPr>
              <w:topLinePunct/>
              <w:spacing w:line="400" w:lineRule="atLeast"/>
              <w:jc w:val="center"/>
              <w:rPr>
                <w:rFonts w:hint="eastAsia"/>
                <w:szCs w:val="21"/>
              </w:rPr>
            </w:pPr>
          </w:p>
        </w:tc>
      </w:tr>
      <w:tr w14:paraId="1119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3E8D55A">
            <w:pPr>
              <w:topLinePunct/>
              <w:spacing w:line="400" w:lineRule="atLeast"/>
              <w:jc w:val="center"/>
              <w:rPr>
                <w:rFonts w:hint="eastAsia"/>
                <w:szCs w:val="21"/>
              </w:rPr>
            </w:pPr>
          </w:p>
        </w:tc>
        <w:tc>
          <w:tcPr>
            <w:tcW w:w="1846" w:type="dxa"/>
            <w:noWrap w:val="0"/>
            <w:vAlign w:val="top"/>
          </w:tcPr>
          <w:p w14:paraId="57244B24">
            <w:pPr>
              <w:topLinePunct/>
              <w:spacing w:line="400" w:lineRule="atLeast"/>
              <w:jc w:val="center"/>
              <w:rPr>
                <w:rFonts w:hint="eastAsia"/>
                <w:szCs w:val="21"/>
              </w:rPr>
            </w:pPr>
          </w:p>
        </w:tc>
        <w:tc>
          <w:tcPr>
            <w:tcW w:w="1394" w:type="dxa"/>
            <w:noWrap w:val="0"/>
            <w:vAlign w:val="top"/>
          </w:tcPr>
          <w:p w14:paraId="29B46FED">
            <w:pPr>
              <w:topLinePunct/>
              <w:spacing w:line="400" w:lineRule="atLeast"/>
              <w:jc w:val="center"/>
              <w:rPr>
                <w:rFonts w:hint="eastAsia"/>
                <w:szCs w:val="21"/>
              </w:rPr>
            </w:pPr>
          </w:p>
        </w:tc>
        <w:tc>
          <w:tcPr>
            <w:tcW w:w="1080" w:type="dxa"/>
            <w:noWrap w:val="0"/>
            <w:vAlign w:val="top"/>
          </w:tcPr>
          <w:p w14:paraId="1A9AFD13">
            <w:pPr>
              <w:topLinePunct/>
              <w:spacing w:line="400" w:lineRule="atLeast"/>
              <w:jc w:val="center"/>
              <w:rPr>
                <w:rFonts w:hint="eastAsia"/>
                <w:szCs w:val="21"/>
              </w:rPr>
            </w:pPr>
          </w:p>
        </w:tc>
        <w:tc>
          <w:tcPr>
            <w:tcW w:w="1112" w:type="dxa"/>
            <w:noWrap w:val="0"/>
            <w:vAlign w:val="top"/>
          </w:tcPr>
          <w:p w14:paraId="0C9DA03D">
            <w:pPr>
              <w:topLinePunct/>
              <w:spacing w:line="400" w:lineRule="atLeast"/>
              <w:jc w:val="center"/>
              <w:rPr>
                <w:rFonts w:hint="eastAsia"/>
                <w:szCs w:val="21"/>
              </w:rPr>
            </w:pPr>
          </w:p>
        </w:tc>
        <w:tc>
          <w:tcPr>
            <w:tcW w:w="1778" w:type="dxa"/>
            <w:noWrap w:val="0"/>
            <w:vAlign w:val="top"/>
          </w:tcPr>
          <w:p w14:paraId="3DA278E1">
            <w:pPr>
              <w:topLinePunct/>
              <w:spacing w:line="400" w:lineRule="atLeast"/>
              <w:jc w:val="center"/>
              <w:rPr>
                <w:rFonts w:hint="eastAsia"/>
                <w:szCs w:val="21"/>
              </w:rPr>
            </w:pPr>
          </w:p>
        </w:tc>
        <w:tc>
          <w:tcPr>
            <w:tcW w:w="1080" w:type="dxa"/>
            <w:noWrap w:val="0"/>
            <w:vAlign w:val="top"/>
          </w:tcPr>
          <w:p w14:paraId="138828E4">
            <w:pPr>
              <w:topLinePunct/>
              <w:spacing w:line="400" w:lineRule="atLeast"/>
              <w:jc w:val="center"/>
              <w:rPr>
                <w:rFonts w:hint="eastAsia"/>
                <w:szCs w:val="21"/>
              </w:rPr>
            </w:pPr>
          </w:p>
        </w:tc>
      </w:tr>
      <w:tr w14:paraId="6B35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0960D71">
            <w:pPr>
              <w:topLinePunct/>
              <w:spacing w:line="400" w:lineRule="atLeast"/>
              <w:jc w:val="center"/>
              <w:rPr>
                <w:rFonts w:hint="eastAsia"/>
                <w:szCs w:val="21"/>
              </w:rPr>
            </w:pPr>
          </w:p>
        </w:tc>
        <w:tc>
          <w:tcPr>
            <w:tcW w:w="1846" w:type="dxa"/>
            <w:noWrap w:val="0"/>
            <w:vAlign w:val="top"/>
          </w:tcPr>
          <w:p w14:paraId="60346683">
            <w:pPr>
              <w:topLinePunct/>
              <w:spacing w:line="400" w:lineRule="atLeast"/>
              <w:jc w:val="center"/>
              <w:rPr>
                <w:rFonts w:hint="eastAsia"/>
                <w:szCs w:val="21"/>
              </w:rPr>
            </w:pPr>
          </w:p>
        </w:tc>
        <w:tc>
          <w:tcPr>
            <w:tcW w:w="1394" w:type="dxa"/>
            <w:noWrap w:val="0"/>
            <w:vAlign w:val="top"/>
          </w:tcPr>
          <w:p w14:paraId="4E43AF70">
            <w:pPr>
              <w:topLinePunct/>
              <w:spacing w:line="400" w:lineRule="atLeast"/>
              <w:jc w:val="center"/>
              <w:rPr>
                <w:rFonts w:hint="eastAsia"/>
                <w:szCs w:val="21"/>
              </w:rPr>
            </w:pPr>
          </w:p>
        </w:tc>
        <w:tc>
          <w:tcPr>
            <w:tcW w:w="1080" w:type="dxa"/>
            <w:noWrap w:val="0"/>
            <w:vAlign w:val="top"/>
          </w:tcPr>
          <w:p w14:paraId="33E51FB5">
            <w:pPr>
              <w:topLinePunct/>
              <w:spacing w:line="400" w:lineRule="atLeast"/>
              <w:jc w:val="center"/>
              <w:rPr>
                <w:rFonts w:hint="eastAsia"/>
                <w:szCs w:val="21"/>
              </w:rPr>
            </w:pPr>
          </w:p>
        </w:tc>
        <w:tc>
          <w:tcPr>
            <w:tcW w:w="1112" w:type="dxa"/>
            <w:noWrap w:val="0"/>
            <w:vAlign w:val="top"/>
          </w:tcPr>
          <w:p w14:paraId="2DC95476">
            <w:pPr>
              <w:topLinePunct/>
              <w:spacing w:line="400" w:lineRule="atLeast"/>
              <w:jc w:val="center"/>
              <w:rPr>
                <w:rFonts w:hint="eastAsia"/>
                <w:szCs w:val="21"/>
              </w:rPr>
            </w:pPr>
          </w:p>
        </w:tc>
        <w:tc>
          <w:tcPr>
            <w:tcW w:w="1778" w:type="dxa"/>
            <w:noWrap w:val="0"/>
            <w:vAlign w:val="top"/>
          </w:tcPr>
          <w:p w14:paraId="32EDEA88">
            <w:pPr>
              <w:topLinePunct/>
              <w:spacing w:line="400" w:lineRule="atLeast"/>
              <w:jc w:val="center"/>
              <w:rPr>
                <w:rFonts w:hint="eastAsia"/>
                <w:szCs w:val="21"/>
              </w:rPr>
            </w:pPr>
          </w:p>
        </w:tc>
        <w:tc>
          <w:tcPr>
            <w:tcW w:w="1080" w:type="dxa"/>
            <w:noWrap w:val="0"/>
            <w:vAlign w:val="top"/>
          </w:tcPr>
          <w:p w14:paraId="69B8C163">
            <w:pPr>
              <w:topLinePunct/>
              <w:spacing w:line="400" w:lineRule="atLeast"/>
              <w:jc w:val="center"/>
              <w:rPr>
                <w:rFonts w:hint="eastAsia"/>
                <w:szCs w:val="21"/>
              </w:rPr>
            </w:pPr>
          </w:p>
        </w:tc>
      </w:tr>
      <w:tr w14:paraId="6435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40" w:type="dxa"/>
            <w:noWrap w:val="0"/>
            <w:vAlign w:val="top"/>
          </w:tcPr>
          <w:p w14:paraId="335F2255">
            <w:pPr>
              <w:topLinePunct/>
              <w:spacing w:line="400" w:lineRule="atLeast"/>
              <w:jc w:val="center"/>
              <w:rPr>
                <w:rFonts w:hint="eastAsia"/>
                <w:szCs w:val="21"/>
              </w:rPr>
            </w:pPr>
          </w:p>
        </w:tc>
        <w:tc>
          <w:tcPr>
            <w:tcW w:w="1846" w:type="dxa"/>
            <w:noWrap w:val="0"/>
            <w:vAlign w:val="top"/>
          </w:tcPr>
          <w:p w14:paraId="1E33B265">
            <w:pPr>
              <w:topLinePunct/>
              <w:spacing w:line="400" w:lineRule="atLeast"/>
              <w:jc w:val="center"/>
              <w:rPr>
                <w:rFonts w:hint="eastAsia"/>
                <w:szCs w:val="21"/>
              </w:rPr>
            </w:pPr>
          </w:p>
        </w:tc>
        <w:tc>
          <w:tcPr>
            <w:tcW w:w="1394" w:type="dxa"/>
            <w:noWrap w:val="0"/>
            <w:vAlign w:val="top"/>
          </w:tcPr>
          <w:p w14:paraId="0CC38482">
            <w:pPr>
              <w:topLinePunct/>
              <w:spacing w:line="400" w:lineRule="atLeast"/>
              <w:jc w:val="center"/>
              <w:rPr>
                <w:rFonts w:hint="eastAsia"/>
                <w:szCs w:val="21"/>
              </w:rPr>
            </w:pPr>
          </w:p>
        </w:tc>
        <w:tc>
          <w:tcPr>
            <w:tcW w:w="1080" w:type="dxa"/>
            <w:noWrap w:val="0"/>
            <w:vAlign w:val="top"/>
          </w:tcPr>
          <w:p w14:paraId="30B780B2">
            <w:pPr>
              <w:topLinePunct/>
              <w:spacing w:line="400" w:lineRule="atLeast"/>
              <w:jc w:val="center"/>
              <w:rPr>
                <w:rFonts w:hint="eastAsia"/>
                <w:szCs w:val="21"/>
              </w:rPr>
            </w:pPr>
          </w:p>
        </w:tc>
        <w:tc>
          <w:tcPr>
            <w:tcW w:w="1112" w:type="dxa"/>
            <w:noWrap w:val="0"/>
            <w:vAlign w:val="top"/>
          </w:tcPr>
          <w:p w14:paraId="78753E61">
            <w:pPr>
              <w:topLinePunct/>
              <w:spacing w:line="400" w:lineRule="atLeast"/>
              <w:jc w:val="center"/>
              <w:rPr>
                <w:rFonts w:hint="eastAsia"/>
                <w:szCs w:val="21"/>
              </w:rPr>
            </w:pPr>
          </w:p>
        </w:tc>
        <w:tc>
          <w:tcPr>
            <w:tcW w:w="1778" w:type="dxa"/>
            <w:noWrap w:val="0"/>
            <w:vAlign w:val="top"/>
          </w:tcPr>
          <w:p w14:paraId="1A153280">
            <w:pPr>
              <w:topLinePunct/>
              <w:spacing w:line="400" w:lineRule="atLeast"/>
              <w:jc w:val="center"/>
              <w:rPr>
                <w:rFonts w:hint="eastAsia"/>
                <w:szCs w:val="21"/>
              </w:rPr>
            </w:pPr>
          </w:p>
        </w:tc>
        <w:tc>
          <w:tcPr>
            <w:tcW w:w="1080" w:type="dxa"/>
            <w:noWrap w:val="0"/>
            <w:vAlign w:val="top"/>
          </w:tcPr>
          <w:p w14:paraId="3A6C5519">
            <w:pPr>
              <w:topLinePunct/>
              <w:spacing w:line="400" w:lineRule="atLeast"/>
              <w:jc w:val="center"/>
              <w:rPr>
                <w:rFonts w:hint="eastAsia"/>
                <w:szCs w:val="21"/>
              </w:rPr>
            </w:pPr>
          </w:p>
        </w:tc>
      </w:tr>
      <w:tr w14:paraId="22C0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29D5563">
            <w:pPr>
              <w:topLinePunct/>
              <w:spacing w:line="400" w:lineRule="atLeast"/>
              <w:jc w:val="center"/>
              <w:rPr>
                <w:rFonts w:hint="eastAsia"/>
                <w:szCs w:val="21"/>
              </w:rPr>
            </w:pPr>
          </w:p>
        </w:tc>
        <w:tc>
          <w:tcPr>
            <w:tcW w:w="1846" w:type="dxa"/>
            <w:noWrap w:val="0"/>
            <w:vAlign w:val="top"/>
          </w:tcPr>
          <w:p w14:paraId="28CF9804">
            <w:pPr>
              <w:topLinePunct/>
              <w:spacing w:line="400" w:lineRule="atLeast"/>
              <w:jc w:val="center"/>
              <w:rPr>
                <w:rFonts w:hint="eastAsia"/>
                <w:szCs w:val="21"/>
              </w:rPr>
            </w:pPr>
          </w:p>
        </w:tc>
        <w:tc>
          <w:tcPr>
            <w:tcW w:w="1394" w:type="dxa"/>
            <w:noWrap w:val="0"/>
            <w:vAlign w:val="top"/>
          </w:tcPr>
          <w:p w14:paraId="26D699C7">
            <w:pPr>
              <w:topLinePunct/>
              <w:spacing w:line="400" w:lineRule="atLeast"/>
              <w:jc w:val="center"/>
              <w:rPr>
                <w:rFonts w:hint="eastAsia"/>
                <w:szCs w:val="21"/>
              </w:rPr>
            </w:pPr>
          </w:p>
        </w:tc>
        <w:tc>
          <w:tcPr>
            <w:tcW w:w="1080" w:type="dxa"/>
            <w:noWrap w:val="0"/>
            <w:vAlign w:val="top"/>
          </w:tcPr>
          <w:p w14:paraId="3CFF7E0F">
            <w:pPr>
              <w:topLinePunct/>
              <w:spacing w:line="400" w:lineRule="atLeast"/>
              <w:jc w:val="center"/>
              <w:rPr>
                <w:rFonts w:hint="eastAsia"/>
                <w:szCs w:val="21"/>
              </w:rPr>
            </w:pPr>
          </w:p>
        </w:tc>
        <w:tc>
          <w:tcPr>
            <w:tcW w:w="1112" w:type="dxa"/>
            <w:noWrap w:val="0"/>
            <w:vAlign w:val="top"/>
          </w:tcPr>
          <w:p w14:paraId="168D62A0">
            <w:pPr>
              <w:topLinePunct/>
              <w:spacing w:line="400" w:lineRule="atLeast"/>
              <w:jc w:val="center"/>
              <w:rPr>
                <w:rFonts w:hint="eastAsia"/>
                <w:szCs w:val="21"/>
              </w:rPr>
            </w:pPr>
          </w:p>
        </w:tc>
        <w:tc>
          <w:tcPr>
            <w:tcW w:w="1778" w:type="dxa"/>
            <w:noWrap w:val="0"/>
            <w:vAlign w:val="top"/>
          </w:tcPr>
          <w:p w14:paraId="4B98E90C">
            <w:pPr>
              <w:topLinePunct/>
              <w:spacing w:line="400" w:lineRule="atLeast"/>
              <w:jc w:val="center"/>
              <w:rPr>
                <w:rFonts w:hint="eastAsia"/>
                <w:szCs w:val="21"/>
              </w:rPr>
            </w:pPr>
          </w:p>
        </w:tc>
        <w:tc>
          <w:tcPr>
            <w:tcW w:w="1080" w:type="dxa"/>
            <w:noWrap w:val="0"/>
            <w:vAlign w:val="top"/>
          </w:tcPr>
          <w:p w14:paraId="59BAA53F">
            <w:pPr>
              <w:topLinePunct/>
              <w:spacing w:line="400" w:lineRule="atLeast"/>
              <w:jc w:val="center"/>
              <w:rPr>
                <w:rFonts w:hint="eastAsia"/>
                <w:szCs w:val="21"/>
              </w:rPr>
            </w:pPr>
          </w:p>
        </w:tc>
      </w:tr>
      <w:tr w14:paraId="43626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EA5D440">
            <w:pPr>
              <w:topLinePunct/>
              <w:spacing w:line="400" w:lineRule="atLeast"/>
              <w:jc w:val="center"/>
              <w:rPr>
                <w:rFonts w:hint="eastAsia"/>
                <w:szCs w:val="21"/>
              </w:rPr>
            </w:pPr>
          </w:p>
        </w:tc>
        <w:tc>
          <w:tcPr>
            <w:tcW w:w="1846" w:type="dxa"/>
            <w:noWrap w:val="0"/>
            <w:vAlign w:val="top"/>
          </w:tcPr>
          <w:p w14:paraId="40F711CD">
            <w:pPr>
              <w:topLinePunct/>
              <w:spacing w:line="400" w:lineRule="atLeast"/>
              <w:jc w:val="center"/>
              <w:rPr>
                <w:rFonts w:hint="eastAsia"/>
                <w:szCs w:val="21"/>
              </w:rPr>
            </w:pPr>
          </w:p>
        </w:tc>
        <w:tc>
          <w:tcPr>
            <w:tcW w:w="1394" w:type="dxa"/>
            <w:noWrap w:val="0"/>
            <w:vAlign w:val="top"/>
          </w:tcPr>
          <w:p w14:paraId="4E3CD9DE">
            <w:pPr>
              <w:topLinePunct/>
              <w:spacing w:line="400" w:lineRule="atLeast"/>
              <w:jc w:val="center"/>
              <w:rPr>
                <w:rFonts w:hint="eastAsia"/>
                <w:szCs w:val="21"/>
              </w:rPr>
            </w:pPr>
          </w:p>
        </w:tc>
        <w:tc>
          <w:tcPr>
            <w:tcW w:w="1080" w:type="dxa"/>
            <w:noWrap w:val="0"/>
            <w:vAlign w:val="top"/>
          </w:tcPr>
          <w:p w14:paraId="7773F2C1">
            <w:pPr>
              <w:topLinePunct/>
              <w:spacing w:line="400" w:lineRule="atLeast"/>
              <w:jc w:val="center"/>
              <w:rPr>
                <w:rFonts w:hint="eastAsia"/>
                <w:szCs w:val="21"/>
              </w:rPr>
            </w:pPr>
          </w:p>
        </w:tc>
        <w:tc>
          <w:tcPr>
            <w:tcW w:w="1112" w:type="dxa"/>
            <w:noWrap w:val="0"/>
            <w:vAlign w:val="top"/>
          </w:tcPr>
          <w:p w14:paraId="4A1DE0B5">
            <w:pPr>
              <w:topLinePunct/>
              <w:spacing w:line="400" w:lineRule="atLeast"/>
              <w:jc w:val="center"/>
              <w:rPr>
                <w:rFonts w:hint="eastAsia"/>
                <w:szCs w:val="21"/>
              </w:rPr>
            </w:pPr>
          </w:p>
        </w:tc>
        <w:tc>
          <w:tcPr>
            <w:tcW w:w="1778" w:type="dxa"/>
            <w:noWrap w:val="0"/>
            <w:vAlign w:val="top"/>
          </w:tcPr>
          <w:p w14:paraId="1E55276B">
            <w:pPr>
              <w:topLinePunct/>
              <w:spacing w:line="400" w:lineRule="atLeast"/>
              <w:jc w:val="center"/>
              <w:rPr>
                <w:rFonts w:hint="eastAsia"/>
                <w:szCs w:val="21"/>
              </w:rPr>
            </w:pPr>
          </w:p>
        </w:tc>
        <w:tc>
          <w:tcPr>
            <w:tcW w:w="1080" w:type="dxa"/>
            <w:noWrap w:val="0"/>
            <w:vAlign w:val="top"/>
          </w:tcPr>
          <w:p w14:paraId="7917592E">
            <w:pPr>
              <w:topLinePunct/>
              <w:spacing w:line="400" w:lineRule="atLeast"/>
              <w:jc w:val="center"/>
              <w:rPr>
                <w:rFonts w:hint="eastAsia"/>
                <w:szCs w:val="21"/>
              </w:rPr>
            </w:pPr>
          </w:p>
        </w:tc>
      </w:tr>
      <w:tr w14:paraId="2155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118506D">
            <w:pPr>
              <w:topLinePunct/>
              <w:spacing w:line="400" w:lineRule="atLeast"/>
              <w:jc w:val="center"/>
              <w:rPr>
                <w:rFonts w:hint="eastAsia"/>
                <w:szCs w:val="21"/>
              </w:rPr>
            </w:pPr>
          </w:p>
        </w:tc>
        <w:tc>
          <w:tcPr>
            <w:tcW w:w="1846" w:type="dxa"/>
            <w:noWrap w:val="0"/>
            <w:vAlign w:val="top"/>
          </w:tcPr>
          <w:p w14:paraId="22E2F3A2">
            <w:pPr>
              <w:topLinePunct/>
              <w:spacing w:line="400" w:lineRule="atLeast"/>
              <w:jc w:val="center"/>
              <w:rPr>
                <w:rFonts w:hint="eastAsia"/>
                <w:szCs w:val="21"/>
              </w:rPr>
            </w:pPr>
          </w:p>
        </w:tc>
        <w:tc>
          <w:tcPr>
            <w:tcW w:w="1394" w:type="dxa"/>
            <w:noWrap w:val="0"/>
            <w:vAlign w:val="top"/>
          </w:tcPr>
          <w:p w14:paraId="1B5B0F81">
            <w:pPr>
              <w:topLinePunct/>
              <w:spacing w:line="400" w:lineRule="atLeast"/>
              <w:jc w:val="center"/>
              <w:rPr>
                <w:rFonts w:hint="eastAsia"/>
                <w:szCs w:val="21"/>
              </w:rPr>
            </w:pPr>
          </w:p>
        </w:tc>
        <w:tc>
          <w:tcPr>
            <w:tcW w:w="1080" w:type="dxa"/>
            <w:noWrap w:val="0"/>
            <w:vAlign w:val="top"/>
          </w:tcPr>
          <w:p w14:paraId="5240DD1A">
            <w:pPr>
              <w:topLinePunct/>
              <w:spacing w:line="400" w:lineRule="atLeast"/>
              <w:jc w:val="center"/>
              <w:rPr>
                <w:rFonts w:hint="eastAsia"/>
                <w:szCs w:val="21"/>
              </w:rPr>
            </w:pPr>
          </w:p>
        </w:tc>
        <w:tc>
          <w:tcPr>
            <w:tcW w:w="1112" w:type="dxa"/>
            <w:noWrap w:val="0"/>
            <w:vAlign w:val="top"/>
          </w:tcPr>
          <w:p w14:paraId="1F96DDC7">
            <w:pPr>
              <w:topLinePunct/>
              <w:spacing w:line="400" w:lineRule="atLeast"/>
              <w:jc w:val="center"/>
              <w:rPr>
                <w:rFonts w:hint="eastAsia"/>
                <w:szCs w:val="21"/>
              </w:rPr>
            </w:pPr>
          </w:p>
        </w:tc>
        <w:tc>
          <w:tcPr>
            <w:tcW w:w="1778" w:type="dxa"/>
            <w:noWrap w:val="0"/>
            <w:vAlign w:val="top"/>
          </w:tcPr>
          <w:p w14:paraId="26BA9701">
            <w:pPr>
              <w:topLinePunct/>
              <w:spacing w:line="400" w:lineRule="atLeast"/>
              <w:jc w:val="center"/>
              <w:rPr>
                <w:rFonts w:hint="eastAsia"/>
                <w:szCs w:val="21"/>
              </w:rPr>
            </w:pPr>
          </w:p>
        </w:tc>
        <w:tc>
          <w:tcPr>
            <w:tcW w:w="1080" w:type="dxa"/>
            <w:noWrap w:val="0"/>
            <w:vAlign w:val="top"/>
          </w:tcPr>
          <w:p w14:paraId="0D27A057">
            <w:pPr>
              <w:topLinePunct/>
              <w:spacing w:line="400" w:lineRule="atLeast"/>
              <w:jc w:val="center"/>
              <w:rPr>
                <w:rFonts w:hint="eastAsia"/>
                <w:szCs w:val="21"/>
              </w:rPr>
            </w:pPr>
          </w:p>
        </w:tc>
      </w:tr>
      <w:tr w14:paraId="19FB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4D65585">
            <w:pPr>
              <w:topLinePunct/>
              <w:spacing w:line="400" w:lineRule="atLeast"/>
              <w:jc w:val="center"/>
              <w:rPr>
                <w:rFonts w:hint="eastAsia"/>
                <w:szCs w:val="21"/>
              </w:rPr>
            </w:pPr>
          </w:p>
        </w:tc>
        <w:tc>
          <w:tcPr>
            <w:tcW w:w="1846" w:type="dxa"/>
            <w:noWrap w:val="0"/>
            <w:vAlign w:val="top"/>
          </w:tcPr>
          <w:p w14:paraId="023EEBA5">
            <w:pPr>
              <w:topLinePunct/>
              <w:spacing w:line="400" w:lineRule="atLeast"/>
              <w:jc w:val="center"/>
              <w:rPr>
                <w:rFonts w:hint="eastAsia"/>
                <w:szCs w:val="21"/>
              </w:rPr>
            </w:pPr>
          </w:p>
        </w:tc>
        <w:tc>
          <w:tcPr>
            <w:tcW w:w="1394" w:type="dxa"/>
            <w:noWrap w:val="0"/>
            <w:vAlign w:val="top"/>
          </w:tcPr>
          <w:p w14:paraId="2C69445C">
            <w:pPr>
              <w:topLinePunct/>
              <w:spacing w:line="400" w:lineRule="atLeast"/>
              <w:jc w:val="center"/>
              <w:rPr>
                <w:rFonts w:hint="eastAsia"/>
                <w:szCs w:val="21"/>
              </w:rPr>
            </w:pPr>
          </w:p>
        </w:tc>
        <w:tc>
          <w:tcPr>
            <w:tcW w:w="1080" w:type="dxa"/>
            <w:noWrap w:val="0"/>
            <w:vAlign w:val="top"/>
          </w:tcPr>
          <w:p w14:paraId="2ADFCF20">
            <w:pPr>
              <w:topLinePunct/>
              <w:spacing w:line="400" w:lineRule="atLeast"/>
              <w:jc w:val="center"/>
              <w:rPr>
                <w:rFonts w:hint="eastAsia"/>
                <w:szCs w:val="21"/>
              </w:rPr>
            </w:pPr>
          </w:p>
        </w:tc>
        <w:tc>
          <w:tcPr>
            <w:tcW w:w="1112" w:type="dxa"/>
            <w:noWrap w:val="0"/>
            <w:vAlign w:val="top"/>
          </w:tcPr>
          <w:p w14:paraId="7AC70F0D">
            <w:pPr>
              <w:topLinePunct/>
              <w:spacing w:line="400" w:lineRule="atLeast"/>
              <w:jc w:val="center"/>
              <w:rPr>
                <w:rFonts w:hint="eastAsia"/>
                <w:szCs w:val="21"/>
              </w:rPr>
            </w:pPr>
          </w:p>
        </w:tc>
        <w:tc>
          <w:tcPr>
            <w:tcW w:w="1778" w:type="dxa"/>
            <w:noWrap w:val="0"/>
            <w:vAlign w:val="top"/>
          </w:tcPr>
          <w:p w14:paraId="0B5121B4">
            <w:pPr>
              <w:topLinePunct/>
              <w:spacing w:line="400" w:lineRule="atLeast"/>
              <w:jc w:val="center"/>
              <w:rPr>
                <w:rFonts w:hint="eastAsia"/>
                <w:szCs w:val="21"/>
              </w:rPr>
            </w:pPr>
          </w:p>
        </w:tc>
        <w:tc>
          <w:tcPr>
            <w:tcW w:w="1080" w:type="dxa"/>
            <w:noWrap w:val="0"/>
            <w:vAlign w:val="top"/>
          </w:tcPr>
          <w:p w14:paraId="77097899">
            <w:pPr>
              <w:topLinePunct/>
              <w:spacing w:line="400" w:lineRule="atLeast"/>
              <w:jc w:val="center"/>
              <w:rPr>
                <w:rFonts w:hint="eastAsia"/>
                <w:szCs w:val="21"/>
              </w:rPr>
            </w:pPr>
          </w:p>
        </w:tc>
      </w:tr>
      <w:tr w14:paraId="18F5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F3ADC7E">
            <w:pPr>
              <w:topLinePunct/>
              <w:spacing w:line="400" w:lineRule="atLeast"/>
              <w:jc w:val="center"/>
              <w:rPr>
                <w:rFonts w:hint="eastAsia"/>
                <w:szCs w:val="21"/>
              </w:rPr>
            </w:pPr>
          </w:p>
        </w:tc>
        <w:tc>
          <w:tcPr>
            <w:tcW w:w="1846" w:type="dxa"/>
            <w:noWrap w:val="0"/>
            <w:vAlign w:val="top"/>
          </w:tcPr>
          <w:p w14:paraId="133D8F32">
            <w:pPr>
              <w:topLinePunct/>
              <w:spacing w:line="400" w:lineRule="atLeast"/>
              <w:jc w:val="center"/>
              <w:rPr>
                <w:rFonts w:hint="eastAsia"/>
                <w:szCs w:val="21"/>
              </w:rPr>
            </w:pPr>
          </w:p>
        </w:tc>
        <w:tc>
          <w:tcPr>
            <w:tcW w:w="1394" w:type="dxa"/>
            <w:noWrap w:val="0"/>
            <w:vAlign w:val="top"/>
          </w:tcPr>
          <w:p w14:paraId="6E3673C4">
            <w:pPr>
              <w:topLinePunct/>
              <w:spacing w:line="400" w:lineRule="atLeast"/>
              <w:jc w:val="center"/>
              <w:rPr>
                <w:rFonts w:hint="eastAsia"/>
                <w:szCs w:val="21"/>
              </w:rPr>
            </w:pPr>
          </w:p>
        </w:tc>
        <w:tc>
          <w:tcPr>
            <w:tcW w:w="1080" w:type="dxa"/>
            <w:noWrap w:val="0"/>
            <w:vAlign w:val="top"/>
          </w:tcPr>
          <w:p w14:paraId="693ADDA4">
            <w:pPr>
              <w:topLinePunct/>
              <w:spacing w:line="400" w:lineRule="atLeast"/>
              <w:jc w:val="center"/>
              <w:rPr>
                <w:rFonts w:hint="eastAsia"/>
                <w:szCs w:val="21"/>
              </w:rPr>
            </w:pPr>
          </w:p>
        </w:tc>
        <w:tc>
          <w:tcPr>
            <w:tcW w:w="1112" w:type="dxa"/>
            <w:noWrap w:val="0"/>
            <w:vAlign w:val="top"/>
          </w:tcPr>
          <w:p w14:paraId="063B7B9F">
            <w:pPr>
              <w:topLinePunct/>
              <w:spacing w:line="400" w:lineRule="atLeast"/>
              <w:jc w:val="center"/>
              <w:rPr>
                <w:rFonts w:hint="eastAsia"/>
                <w:szCs w:val="21"/>
              </w:rPr>
            </w:pPr>
          </w:p>
        </w:tc>
        <w:tc>
          <w:tcPr>
            <w:tcW w:w="1778" w:type="dxa"/>
            <w:noWrap w:val="0"/>
            <w:vAlign w:val="top"/>
          </w:tcPr>
          <w:p w14:paraId="7276E715">
            <w:pPr>
              <w:topLinePunct/>
              <w:spacing w:line="400" w:lineRule="atLeast"/>
              <w:jc w:val="center"/>
              <w:rPr>
                <w:rFonts w:hint="eastAsia"/>
                <w:szCs w:val="21"/>
              </w:rPr>
            </w:pPr>
          </w:p>
        </w:tc>
        <w:tc>
          <w:tcPr>
            <w:tcW w:w="1080" w:type="dxa"/>
            <w:noWrap w:val="0"/>
            <w:vAlign w:val="top"/>
          </w:tcPr>
          <w:p w14:paraId="62DE024C">
            <w:pPr>
              <w:topLinePunct/>
              <w:spacing w:line="400" w:lineRule="atLeast"/>
              <w:jc w:val="center"/>
              <w:rPr>
                <w:rFonts w:hint="eastAsia"/>
                <w:szCs w:val="21"/>
              </w:rPr>
            </w:pPr>
          </w:p>
        </w:tc>
      </w:tr>
      <w:tr w14:paraId="0780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B182DBF">
            <w:pPr>
              <w:topLinePunct/>
              <w:spacing w:line="400" w:lineRule="atLeast"/>
              <w:jc w:val="center"/>
              <w:rPr>
                <w:rFonts w:hint="eastAsia"/>
                <w:szCs w:val="21"/>
              </w:rPr>
            </w:pPr>
          </w:p>
        </w:tc>
        <w:tc>
          <w:tcPr>
            <w:tcW w:w="1846" w:type="dxa"/>
            <w:noWrap w:val="0"/>
            <w:vAlign w:val="top"/>
          </w:tcPr>
          <w:p w14:paraId="38FE7FDF">
            <w:pPr>
              <w:topLinePunct/>
              <w:spacing w:line="400" w:lineRule="atLeast"/>
              <w:jc w:val="center"/>
              <w:rPr>
                <w:rFonts w:hint="eastAsia"/>
                <w:szCs w:val="21"/>
              </w:rPr>
            </w:pPr>
          </w:p>
        </w:tc>
        <w:tc>
          <w:tcPr>
            <w:tcW w:w="1394" w:type="dxa"/>
            <w:noWrap w:val="0"/>
            <w:vAlign w:val="top"/>
          </w:tcPr>
          <w:p w14:paraId="0F9E3CB6">
            <w:pPr>
              <w:topLinePunct/>
              <w:spacing w:line="400" w:lineRule="atLeast"/>
              <w:jc w:val="center"/>
              <w:rPr>
                <w:rFonts w:hint="eastAsia"/>
                <w:szCs w:val="21"/>
              </w:rPr>
            </w:pPr>
          </w:p>
        </w:tc>
        <w:tc>
          <w:tcPr>
            <w:tcW w:w="1080" w:type="dxa"/>
            <w:noWrap w:val="0"/>
            <w:vAlign w:val="top"/>
          </w:tcPr>
          <w:p w14:paraId="24AC57E7">
            <w:pPr>
              <w:topLinePunct/>
              <w:spacing w:line="400" w:lineRule="atLeast"/>
              <w:jc w:val="center"/>
              <w:rPr>
                <w:rFonts w:hint="eastAsia"/>
                <w:szCs w:val="21"/>
              </w:rPr>
            </w:pPr>
          </w:p>
        </w:tc>
        <w:tc>
          <w:tcPr>
            <w:tcW w:w="1112" w:type="dxa"/>
            <w:noWrap w:val="0"/>
            <w:vAlign w:val="top"/>
          </w:tcPr>
          <w:p w14:paraId="0C70D2A7">
            <w:pPr>
              <w:topLinePunct/>
              <w:spacing w:line="400" w:lineRule="atLeast"/>
              <w:jc w:val="center"/>
              <w:rPr>
                <w:rFonts w:hint="eastAsia"/>
                <w:szCs w:val="21"/>
              </w:rPr>
            </w:pPr>
          </w:p>
        </w:tc>
        <w:tc>
          <w:tcPr>
            <w:tcW w:w="1778" w:type="dxa"/>
            <w:noWrap w:val="0"/>
            <w:vAlign w:val="top"/>
          </w:tcPr>
          <w:p w14:paraId="39C033B2">
            <w:pPr>
              <w:topLinePunct/>
              <w:spacing w:line="400" w:lineRule="atLeast"/>
              <w:jc w:val="center"/>
              <w:rPr>
                <w:rFonts w:hint="eastAsia"/>
                <w:szCs w:val="21"/>
              </w:rPr>
            </w:pPr>
          </w:p>
        </w:tc>
        <w:tc>
          <w:tcPr>
            <w:tcW w:w="1080" w:type="dxa"/>
            <w:noWrap w:val="0"/>
            <w:vAlign w:val="top"/>
          </w:tcPr>
          <w:p w14:paraId="16E5250D">
            <w:pPr>
              <w:topLinePunct/>
              <w:spacing w:line="400" w:lineRule="atLeast"/>
              <w:jc w:val="center"/>
              <w:rPr>
                <w:rFonts w:hint="eastAsia"/>
                <w:szCs w:val="21"/>
              </w:rPr>
            </w:pPr>
          </w:p>
        </w:tc>
      </w:tr>
      <w:tr w14:paraId="6D09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40" w:type="dxa"/>
            <w:noWrap w:val="0"/>
            <w:vAlign w:val="top"/>
          </w:tcPr>
          <w:p w14:paraId="270D86DE">
            <w:pPr>
              <w:topLinePunct/>
              <w:spacing w:line="400" w:lineRule="atLeast"/>
              <w:jc w:val="center"/>
              <w:rPr>
                <w:rFonts w:hint="eastAsia"/>
                <w:szCs w:val="21"/>
              </w:rPr>
            </w:pPr>
          </w:p>
        </w:tc>
        <w:tc>
          <w:tcPr>
            <w:tcW w:w="1846" w:type="dxa"/>
            <w:noWrap w:val="0"/>
            <w:vAlign w:val="top"/>
          </w:tcPr>
          <w:p w14:paraId="6662B9FC">
            <w:pPr>
              <w:topLinePunct/>
              <w:spacing w:line="400" w:lineRule="atLeast"/>
              <w:jc w:val="center"/>
              <w:rPr>
                <w:rFonts w:hint="eastAsia"/>
                <w:szCs w:val="21"/>
              </w:rPr>
            </w:pPr>
          </w:p>
        </w:tc>
        <w:tc>
          <w:tcPr>
            <w:tcW w:w="1394" w:type="dxa"/>
            <w:noWrap w:val="0"/>
            <w:vAlign w:val="top"/>
          </w:tcPr>
          <w:p w14:paraId="7CEB07AF">
            <w:pPr>
              <w:topLinePunct/>
              <w:spacing w:line="400" w:lineRule="atLeast"/>
              <w:jc w:val="center"/>
              <w:rPr>
                <w:rFonts w:hint="eastAsia"/>
                <w:szCs w:val="21"/>
              </w:rPr>
            </w:pPr>
          </w:p>
        </w:tc>
        <w:tc>
          <w:tcPr>
            <w:tcW w:w="1080" w:type="dxa"/>
            <w:noWrap w:val="0"/>
            <w:vAlign w:val="top"/>
          </w:tcPr>
          <w:p w14:paraId="38361017">
            <w:pPr>
              <w:topLinePunct/>
              <w:spacing w:line="400" w:lineRule="atLeast"/>
              <w:jc w:val="center"/>
              <w:rPr>
                <w:rFonts w:hint="eastAsia"/>
                <w:szCs w:val="21"/>
              </w:rPr>
            </w:pPr>
          </w:p>
        </w:tc>
        <w:tc>
          <w:tcPr>
            <w:tcW w:w="1112" w:type="dxa"/>
            <w:noWrap w:val="0"/>
            <w:vAlign w:val="top"/>
          </w:tcPr>
          <w:p w14:paraId="007B79DE">
            <w:pPr>
              <w:topLinePunct/>
              <w:spacing w:line="400" w:lineRule="atLeast"/>
              <w:jc w:val="center"/>
              <w:rPr>
                <w:rFonts w:hint="eastAsia"/>
                <w:szCs w:val="21"/>
              </w:rPr>
            </w:pPr>
          </w:p>
        </w:tc>
        <w:tc>
          <w:tcPr>
            <w:tcW w:w="1778" w:type="dxa"/>
            <w:noWrap w:val="0"/>
            <w:vAlign w:val="top"/>
          </w:tcPr>
          <w:p w14:paraId="6CA117AD">
            <w:pPr>
              <w:topLinePunct/>
              <w:spacing w:line="400" w:lineRule="atLeast"/>
              <w:jc w:val="center"/>
              <w:rPr>
                <w:rFonts w:hint="eastAsia"/>
                <w:szCs w:val="21"/>
              </w:rPr>
            </w:pPr>
          </w:p>
        </w:tc>
        <w:tc>
          <w:tcPr>
            <w:tcW w:w="1080" w:type="dxa"/>
            <w:noWrap w:val="0"/>
            <w:vAlign w:val="top"/>
          </w:tcPr>
          <w:p w14:paraId="0D6CA232">
            <w:pPr>
              <w:topLinePunct/>
              <w:spacing w:line="400" w:lineRule="atLeast"/>
              <w:jc w:val="center"/>
              <w:rPr>
                <w:rFonts w:hint="eastAsia"/>
                <w:szCs w:val="21"/>
              </w:rPr>
            </w:pPr>
          </w:p>
        </w:tc>
      </w:tr>
      <w:tr w14:paraId="28D5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3E8E597">
            <w:pPr>
              <w:topLinePunct/>
              <w:spacing w:line="400" w:lineRule="atLeast"/>
              <w:jc w:val="center"/>
              <w:rPr>
                <w:rFonts w:hint="eastAsia"/>
                <w:szCs w:val="21"/>
              </w:rPr>
            </w:pPr>
          </w:p>
        </w:tc>
        <w:tc>
          <w:tcPr>
            <w:tcW w:w="1846" w:type="dxa"/>
            <w:noWrap w:val="0"/>
            <w:vAlign w:val="top"/>
          </w:tcPr>
          <w:p w14:paraId="79570CB8">
            <w:pPr>
              <w:topLinePunct/>
              <w:spacing w:line="400" w:lineRule="atLeast"/>
              <w:jc w:val="center"/>
              <w:rPr>
                <w:rFonts w:hint="eastAsia"/>
                <w:szCs w:val="21"/>
              </w:rPr>
            </w:pPr>
          </w:p>
        </w:tc>
        <w:tc>
          <w:tcPr>
            <w:tcW w:w="1394" w:type="dxa"/>
            <w:noWrap w:val="0"/>
            <w:vAlign w:val="top"/>
          </w:tcPr>
          <w:p w14:paraId="179556F6">
            <w:pPr>
              <w:topLinePunct/>
              <w:spacing w:line="400" w:lineRule="atLeast"/>
              <w:jc w:val="center"/>
              <w:rPr>
                <w:rFonts w:hint="eastAsia"/>
                <w:szCs w:val="21"/>
              </w:rPr>
            </w:pPr>
          </w:p>
        </w:tc>
        <w:tc>
          <w:tcPr>
            <w:tcW w:w="1080" w:type="dxa"/>
            <w:noWrap w:val="0"/>
            <w:vAlign w:val="top"/>
          </w:tcPr>
          <w:p w14:paraId="5ABB34A5">
            <w:pPr>
              <w:topLinePunct/>
              <w:spacing w:line="400" w:lineRule="atLeast"/>
              <w:jc w:val="center"/>
              <w:rPr>
                <w:rFonts w:hint="eastAsia"/>
                <w:szCs w:val="21"/>
              </w:rPr>
            </w:pPr>
          </w:p>
        </w:tc>
        <w:tc>
          <w:tcPr>
            <w:tcW w:w="1112" w:type="dxa"/>
            <w:noWrap w:val="0"/>
            <w:vAlign w:val="top"/>
          </w:tcPr>
          <w:p w14:paraId="0756FC2C">
            <w:pPr>
              <w:topLinePunct/>
              <w:spacing w:line="400" w:lineRule="atLeast"/>
              <w:jc w:val="center"/>
              <w:rPr>
                <w:rFonts w:hint="eastAsia"/>
                <w:szCs w:val="21"/>
              </w:rPr>
            </w:pPr>
          </w:p>
        </w:tc>
        <w:tc>
          <w:tcPr>
            <w:tcW w:w="1778" w:type="dxa"/>
            <w:noWrap w:val="0"/>
            <w:vAlign w:val="top"/>
          </w:tcPr>
          <w:p w14:paraId="5C33BF79">
            <w:pPr>
              <w:topLinePunct/>
              <w:spacing w:line="400" w:lineRule="atLeast"/>
              <w:jc w:val="center"/>
              <w:rPr>
                <w:rFonts w:hint="eastAsia"/>
                <w:szCs w:val="21"/>
              </w:rPr>
            </w:pPr>
          </w:p>
        </w:tc>
        <w:tc>
          <w:tcPr>
            <w:tcW w:w="1080" w:type="dxa"/>
            <w:noWrap w:val="0"/>
            <w:vAlign w:val="top"/>
          </w:tcPr>
          <w:p w14:paraId="3FA1863F">
            <w:pPr>
              <w:topLinePunct/>
              <w:spacing w:line="400" w:lineRule="atLeast"/>
              <w:jc w:val="center"/>
              <w:rPr>
                <w:rFonts w:hint="eastAsia"/>
                <w:szCs w:val="21"/>
              </w:rPr>
            </w:pPr>
          </w:p>
        </w:tc>
      </w:tr>
      <w:tr w14:paraId="7A5F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17B34EC">
            <w:pPr>
              <w:topLinePunct/>
              <w:spacing w:line="400" w:lineRule="atLeast"/>
              <w:jc w:val="center"/>
              <w:rPr>
                <w:rFonts w:hint="eastAsia"/>
                <w:szCs w:val="21"/>
              </w:rPr>
            </w:pPr>
          </w:p>
        </w:tc>
        <w:tc>
          <w:tcPr>
            <w:tcW w:w="1846" w:type="dxa"/>
            <w:noWrap w:val="0"/>
            <w:vAlign w:val="top"/>
          </w:tcPr>
          <w:p w14:paraId="324445EA">
            <w:pPr>
              <w:topLinePunct/>
              <w:spacing w:line="400" w:lineRule="atLeast"/>
              <w:jc w:val="center"/>
              <w:rPr>
                <w:rFonts w:hint="eastAsia"/>
                <w:szCs w:val="21"/>
              </w:rPr>
            </w:pPr>
          </w:p>
        </w:tc>
        <w:tc>
          <w:tcPr>
            <w:tcW w:w="1394" w:type="dxa"/>
            <w:noWrap w:val="0"/>
            <w:vAlign w:val="top"/>
          </w:tcPr>
          <w:p w14:paraId="6C424234">
            <w:pPr>
              <w:topLinePunct/>
              <w:spacing w:line="400" w:lineRule="atLeast"/>
              <w:jc w:val="center"/>
              <w:rPr>
                <w:rFonts w:hint="eastAsia"/>
                <w:szCs w:val="21"/>
              </w:rPr>
            </w:pPr>
          </w:p>
        </w:tc>
        <w:tc>
          <w:tcPr>
            <w:tcW w:w="1080" w:type="dxa"/>
            <w:noWrap w:val="0"/>
            <w:vAlign w:val="top"/>
          </w:tcPr>
          <w:p w14:paraId="79DDE331">
            <w:pPr>
              <w:topLinePunct/>
              <w:spacing w:line="400" w:lineRule="atLeast"/>
              <w:jc w:val="center"/>
              <w:rPr>
                <w:rFonts w:hint="eastAsia"/>
                <w:szCs w:val="21"/>
              </w:rPr>
            </w:pPr>
          </w:p>
        </w:tc>
        <w:tc>
          <w:tcPr>
            <w:tcW w:w="1112" w:type="dxa"/>
            <w:noWrap w:val="0"/>
            <w:vAlign w:val="top"/>
          </w:tcPr>
          <w:p w14:paraId="393BE41E">
            <w:pPr>
              <w:topLinePunct/>
              <w:spacing w:line="400" w:lineRule="atLeast"/>
              <w:jc w:val="center"/>
              <w:rPr>
                <w:rFonts w:hint="eastAsia"/>
                <w:szCs w:val="21"/>
              </w:rPr>
            </w:pPr>
          </w:p>
        </w:tc>
        <w:tc>
          <w:tcPr>
            <w:tcW w:w="1778" w:type="dxa"/>
            <w:noWrap w:val="0"/>
            <w:vAlign w:val="top"/>
          </w:tcPr>
          <w:p w14:paraId="01105D52">
            <w:pPr>
              <w:topLinePunct/>
              <w:spacing w:line="400" w:lineRule="atLeast"/>
              <w:jc w:val="center"/>
              <w:rPr>
                <w:rFonts w:hint="eastAsia"/>
                <w:szCs w:val="21"/>
              </w:rPr>
            </w:pPr>
          </w:p>
        </w:tc>
        <w:tc>
          <w:tcPr>
            <w:tcW w:w="1080" w:type="dxa"/>
            <w:noWrap w:val="0"/>
            <w:vAlign w:val="top"/>
          </w:tcPr>
          <w:p w14:paraId="5790A37B">
            <w:pPr>
              <w:topLinePunct/>
              <w:spacing w:line="400" w:lineRule="atLeast"/>
              <w:jc w:val="center"/>
              <w:rPr>
                <w:rFonts w:hint="eastAsia"/>
                <w:szCs w:val="21"/>
              </w:rPr>
            </w:pPr>
          </w:p>
        </w:tc>
      </w:tr>
      <w:tr w14:paraId="3236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5D9444D">
            <w:pPr>
              <w:topLinePunct/>
              <w:spacing w:line="400" w:lineRule="atLeast"/>
              <w:jc w:val="center"/>
              <w:rPr>
                <w:rFonts w:hint="eastAsia"/>
                <w:szCs w:val="21"/>
              </w:rPr>
            </w:pPr>
          </w:p>
        </w:tc>
        <w:tc>
          <w:tcPr>
            <w:tcW w:w="1846" w:type="dxa"/>
            <w:noWrap w:val="0"/>
            <w:vAlign w:val="top"/>
          </w:tcPr>
          <w:p w14:paraId="5B357E8A">
            <w:pPr>
              <w:topLinePunct/>
              <w:spacing w:line="400" w:lineRule="atLeast"/>
              <w:jc w:val="center"/>
              <w:rPr>
                <w:rFonts w:hint="eastAsia"/>
                <w:szCs w:val="21"/>
              </w:rPr>
            </w:pPr>
          </w:p>
        </w:tc>
        <w:tc>
          <w:tcPr>
            <w:tcW w:w="1394" w:type="dxa"/>
            <w:noWrap w:val="0"/>
            <w:vAlign w:val="top"/>
          </w:tcPr>
          <w:p w14:paraId="41DDDE30">
            <w:pPr>
              <w:topLinePunct/>
              <w:spacing w:line="400" w:lineRule="atLeast"/>
              <w:jc w:val="center"/>
              <w:rPr>
                <w:rFonts w:hint="eastAsia"/>
                <w:szCs w:val="21"/>
              </w:rPr>
            </w:pPr>
          </w:p>
        </w:tc>
        <w:tc>
          <w:tcPr>
            <w:tcW w:w="1080" w:type="dxa"/>
            <w:noWrap w:val="0"/>
            <w:vAlign w:val="top"/>
          </w:tcPr>
          <w:p w14:paraId="5F527837">
            <w:pPr>
              <w:topLinePunct/>
              <w:spacing w:line="400" w:lineRule="atLeast"/>
              <w:jc w:val="center"/>
              <w:rPr>
                <w:rFonts w:hint="eastAsia"/>
                <w:szCs w:val="21"/>
              </w:rPr>
            </w:pPr>
          </w:p>
        </w:tc>
        <w:tc>
          <w:tcPr>
            <w:tcW w:w="1112" w:type="dxa"/>
            <w:noWrap w:val="0"/>
            <w:vAlign w:val="top"/>
          </w:tcPr>
          <w:p w14:paraId="0A029C09">
            <w:pPr>
              <w:topLinePunct/>
              <w:spacing w:line="400" w:lineRule="atLeast"/>
              <w:jc w:val="center"/>
              <w:rPr>
                <w:rFonts w:hint="eastAsia"/>
                <w:szCs w:val="21"/>
              </w:rPr>
            </w:pPr>
          </w:p>
        </w:tc>
        <w:tc>
          <w:tcPr>
            <w:tcW w:w="1778" w:type="dxa"/>
            <w:noWrap w:val="0"/>
            <w:vAlign w:val="top"/>
          </w:tcPr>
          <w:p w14:paraId="5FDB777A">
            <w:pPr>
              <w:topLinePunct/>
              <w:spacing w:line="400" w:lineRule="atLeast"/>
              <w:jc w:val="center"/>
              <w:rPr>
                <w:rFonts w:hint="eastAsia"/>
                <w:szCs w:val="21"/>
              </w:rPr>
            </w:pPr>
          </w:p>
        </w:tc>
        <w:tc>
          <w:tcPr>
            <w:tcW w:w="1080" w:type="dxa"/>
            <w:noWrap w:val="0"/>
            <w:vAlign w:val="top"/>
          </w:tcPr>
          <w:p w14:paraId="71075577">
            <w:pPr>
              <w:topLinePunct/>
              <w:spacing w:line="400" w:lineRule="atLeast"/>
              <w:jc w:val="center"/>
              <w:rPr>
                <w:rFonts w:hint="eastAsia"/>
                <w:szCs w:val="21"/>
              </w:rPr>
            </w:pPr>
          </w:p>
        </w:tc>
      </w:tr>
    </w:tbl>
    <w:p w14:paraId="784DDC5B">
      <w:pPr>
        <w:spacing w:line="440" w:lineRule="exact"/>
        <w:ind w:left="720" w:hanging="720" w:hangingChars="300"/>
        <w:rPr>
          <w:rFonts w:hint="eastAsia" w:ascii="黑体" w:hAnsi="宋体" w:eastAsia="黑体"/>
          <w:sz w:val="24"/>
        </w:rPr>
      </w:pPr>
    </w:p>
    <w:p w14:paraId="6CC8D1AF">
      <w:pPr>
        <w:spacing w:line="440" w:lineRule="exact"/>
        <w:ind w:left="720" w:hanging="720" w:hangingChars="300"/>
        <w:rPr>
          <w:rFonts w:hint="eastAsia" w:ascii="黑体" w:hAnsi="宋体" w:eastAsia="黑体"/>
          <w:sz w:val="24"/>
        </w:rPr>
      </w:pPr>
    </w:p>
    <w:p w14:paraId="46135D9E">
      <w:pPr>
        <w:spacing w:line="440" w:lineRule="exact"/>
        <w:ind w:left="720" w:hanging="720" w:hangingChars="300"/>
        <w:rPr>
          <w:rFonts w:hint="eastAsia" w:ascii="黑体" w:hAnsi="宋体" w:eastAsia="黑体"/>
          <w:sz w:val="24"/>
        </w:rPr>
      </w:pPr>
    </w:p>
    <w:p w14:paraId="7632F410">
      <w:pPr>
        <w:spacing w:line="440" w:lineRule="exact"/>
        <w:ind w:left="720" w:hanging="720" w:hangingChars="300"/>
        <w:rPr>
          <w:rFonts w:hint="eastAsia" w:ascii="黑体" w:hAnsi="宋体" w:eastAsia="黑体"/>
          <w:sz w:val="24"/>
        </w:rPr>
      </w:pPr>
    </w:p>
    <w:p w14:paraId="5528329B">
      <w:pPr>
        <w:spacing w:line="440" w:lineRule="exact"/>
        <w:ind w:left="720" w:hanging="720" w:hangingChars="300"/>
        <w:rPr>
          <w:rFonts w:hint="eastAsia" w:ascii="黑体" w:hAnsi="宋体" w:eastAsia="黑体"/>
          <w:sz w:val="24"/>
        </w:rPr>
      </w:pPr>
    </w:p>
    <w:p w14:paraId="78A94B8F">
      <w:pPr>
        <w:pStyle w:val="20"/>
        <w:jc w:val="center"/>
        <w:rPr>
          <w:rFonts w:hint="eastAsia"/>
          <w:szCs w:val="24"/>
        </w:rPr>
      </w:pPr>
      <w:bookmarkStart w:id="2666" w:name="_Toc108514250"/>
      <w:r>
        <w:rPr>
          <w:rFonts w:hint="eastAsia"/>
          <w:szCs w:val="24"/>
        </w:rPr>
        <w:t>3-2 近5年完成的类似项目情况表</w:t>
      </w:r>
      <w:bookmarkEnd w:id="2666"/>
    </w:p>
    <w:p w14:paraId="520DAE00">
      <w:pPr>
        <w:spacing w:line="440" w:lineRule="exact"/>
        <w:ind w:left="720" w:hanging="720" w:hangingChars="300"/>
        <w:jc w:val="center"/>
        <w:rPr>
          <w:rFonts w:hint="eastAsia" w:ascii="黑体" w:hAnsi="宋体" w:eastAsia="黑体"/>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094"/>
      </w:tblGrid>
      <w:tr w14:paraId="3508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2B46265">
            <w:pPr>
              <w:jc w:val="center"/>
              <w:rPr>
                <w:rFonts w:hint="eastAsia" w:ascii="宋体" w:hAnsi="宋体"/>
                <w:szCs w:val="21"/>
              </w:rPr>
            </w:pPr>
            <w:r>
              <w:rPr>
                <w:rFonts w:hint="eastAsia" w:ascii="宋体" w:hAnsi="宋体"/>
                <w:szCs w:val="21"/>
              </w:rPr>
              <w:t>项目名称</w:t>
            </w:r>
          </w:p>
        </w:tc>
        <w:tc>
          <w:tcPr>
            <w:tcW w:w="6094" w:type="dxa"/>
            <w:noWrap w:val="0"/>
            <w:vAlign w:val="center"/>
          </w:tcPr>
          <w:p w14:paraId="762B87E8">
            <w:pPr>
              <w:jc w:val="center"/>
              <w:rPr>
                <w:rFonts w:hint="eastAsia" w:ascii="宋体" w:hAnsi="宋体"/>
                <w:szCs w:val="21"/>
              </w:rPr>
            </w:pPr>
          </w:p>
        </w:tc>
      </w:tr>
      <w:tr w14:paraId="7779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5F95FE7">
            <w:pPr>
              <w:jc w:val="center"/>
              <w:rPr>
                <w:rFonts w:hint="eastAsia" w:ascii="宋体" w:hAnsi="宋体"/>
                <w:szCs w:val="21"/>
              </w:rPr>
            </w:pPr>
            <w:r>
              <w:rPr>
                <w:rFonts w:hint="eastAsia" w:ascii="宋体" w:hAnsi="宋体"/>
                <w:szCs w:val="21"/>
              </w:rPr>
              <w:t>项目所在地</w:t>
            </w:r>
          </w:p>
        </w:tc>
        <w:tc>
          <w:tcPr>
            <w:tcW w:w="6094" w:type="dxa"/>
            <w:noWrap w:val="0"/>
            <w:vAlign w:val="center"/>
          </w:tcPr>
          <w:p w14:paraId="2048F4D4">
            <w:pPr>
              <w:jc w:val="center"/>
              <w:rPr>
                <w:rFonts w:hint="eastAsia" w:ascii="宋体" w:hAnsi="宋体"/>
                <w:szCs w:val="21"/>
              </w:rPr>
            </w:pPr>
          </w:p>
        </w:tc>
      </w:tr>
      <w:tr w14:paraId="4150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CE9A3FB">
            <w:pPr>
              <w:jc w:val="center"/>
              <w:rPr>
                <w:rFonts w:hint="eastAsia" w:ascii="宋体" w:hAnsi="宋体"/>
                <w:szCs w:val="21"/>
              </w:rPr>
            </w:pPr>
            <w:r>
              <w:rPr>
                <w:rFonts w:hint="eastAsia" w:ascii="宋体" w:hAnsi="宋体"/>
                <w:szCs w:val="21"/>
              </w:rPr>
              <w:t>发包人名称</w:t>
            </w:r>
          </w:p>
        </w:tc>
        <w:tc>
          <w:tcPr>
            <w:tcW w:w="6094" w:type="dxa"/>
            <w:noWrap w:val="0"/>
            <w:vAlign w:val="center"/>
          </w:tcPr>
          <w:p w14:paraId="10514601">
            <w:pPr>
              <w:jc w:val="center"/>
              <w:rPr>
                <w:rFonts w:hint="eastAsia" w:ascii="宋体" w:hAnsi="宋体"/>
                <w:szCs w:val="21"/>
              </w:rPr>
            </w:pPr>
          </w:p>
        </w:tc>
      </w:tr>
      <w:tr w14:paraId="3B66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B861677">
            <w:pPr>
              <w:jc w:val="center"/>
              <w:rPr>
                <w:rFonts w:hint="eastAsia" w:ascii="宋体" w:hAnsi="宋体"/>
                <w:szCs w:val="21"/>
              </w:rPr>
            </w:pPr>
            <w:r>
              <w:rPr>
                <w:rFonts w:hint="eastAsia" w:ascii="宋体" w:hAnsi="宋体"/>
                <w:szCs w:val="21"/>
              </w:rPr>
              <w:t>发包人地址</w:t>
            </w:r>
          </w:p>
        </w:tc>
        <w:tc>
          <w:tcPr>
            <w:tcW w:w="6094" w:type="dxa"/>
            <w:noWrap w:val="0"/>
            <w:vAlign w:val="center"/>
          </w:tcPr>
          <w:p w14:paraId="602CD0D6">
            <w:pPr>
              <w:jc w:val="center"/>
              <w:rPr>
                <w:rFonts w:hint="eastAsia" w:ascii="宋体" w:hAnsi="宋体"/>
                <w:szCs w:val="21"/>
              </w:rPr>
            </w:pPr>
          </w:p>
        </w:tc>
      </w:tr>
      <w:tr w14:paraId="0B55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7F72FF5">
            <w:pPr>
              <w:jc w:val="center"/>
              <w:rPr>
                <w:rFonts w:hint="eastAsia" w:ascii="宋体" w:hAnsi="宋体"/>
                <w:szCs w:val="21"/>
              </w:rPr>
            </w:pPr>
            <w:r>
              <w:rPr>
                <w:rFonts w:hint="eastAsia" w:ascii="宋体" w:hAnsi="宋体"/>
                <w:szCs w:val="21"/>
              </w:rPr>
              <w:t>发包人联系人及电话</w:t>
            </w:r>
          </w:p>
        </w:tc>
        <w:tc>
          <w:tcPr>
            <w:tcW w:w="6094" w:type="dxa"/>
            <w:noWrap w:val="0"/>
            <w:vAlign w:val="center"/>
          </w:tcPr>
          <w:p w14:paraId="230EC448">
            <w:pPr>
              <w:jc w:val="center"/>
              <w:rPr>
                <w:rFonts w:hint="eastAsia" w:ascii="宋体" w:hAnsi="宋体"/>
                <w:szCs w:val="21"/>
              </w:rPr>
            </w:pPr>
          </w:p>
        </w:tc>
      </w:tr>
      <w:tr w14:paraId="51B4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493FB9A">
            <w:pPr>
              <w:jc w:val="center"/>
              <w:rPr>
                <w:rFonts w:hint="eastAsia" w:ascii="宋体" w:hAnsi="宋体"/>
                <w:szCs w:val="21"/>
              </w:rPr>
            </w:pPr>
            <w:r>
              <w:rPr>
                <w:rFonts w:hint="eastAsia" w:ascii="宋体" w:hAnsi="宋体"/>
                <w:szCs w:val="21"/>
              </w:rPr>
              <w:t>合同价格</w:t>
            </w:r>
          </w:p>
        </w:tc>
        <w:tc>
          <w:tcPr>
            <w:tcW w:w="6094" w:type="dxa"/>
            <w:noWrap w:val="0"/>
            <w:vAlign w:val="center"/>
          </w:tcPr>
          <w:p w14:paraId="4150FEB3">
            <w:pPr>
              <w:jc w:val="center"/>
              <w:rPr>
                <w:rFonts w:hint="eastAsia" w:ascii="宋体" w:hAnsi="宋体"/>
                <w:szCs w:val="21"/>
              </w:rPr>
            </w:pPr>
          </w:p>
        </w:tc>
      </w:tr>
      <w:tr w14:paraId="1AC2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6635643">
            <w:pPr>
              <w:jc w:val="center"/>
              <w:rPr>
                <w:rFonts w:hint="eastAsia" w:ascii="宋体" w:hAnsi="宋体"/>
                <w:szCs w:val="21"/>
              </w:rPr>
            </w:pPr>
            <w:r>
              <w:rPr>
                <w:rFonts w:hint="eastAsia" w:ascii="宋体" w:hAnsi="宋体"/>
                <w:szCs w:val="21"/>
              </w:rPr>
              <w:t>开工日期</w:t>
            </w:r>
          </w:p>
        </w:tc>
        <w:tc>
          <w:tcPr>
            <w:tcW w:w="6094" w:type="dxa"/>
            <w:noWrap w:val="0"/>
            <w:vAlign w:val="center"/>
          </w:tcPr>
          <w:p w14:paraId="3EBA2F25">
            <w:pPr>
              <w:jc w:val="center"/>
              <w:rPr>
                <w:rFonts w:hint="eastAsia" w:ascii="宋体" w:hAnsi="宋体"/>
                <w:szCs w:val="21"/>
              </w:rPr>
            </w:pPr>
          </w:p>
        </w:tc>
      </w:tr>
      <w:tr w14:paraId="2227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ABD2B15">
            <w:pPr>
              <w:jc w:val="center"/>
              <w:rPr>
                <w:rFonts w:hint="eastAsia" w:ascii="宋体" w:hAnsi="宋体"/>
                <w:szCs w:val="21"/>
              </w:rPr>
            </w:pPr>
            <w:r>
              <w:rPr>
                <w:rFonts w:hint="eastAsia" w:ascii="宋体" w:hAnsi="宋体"/>
                <w:szCs w:val="21"/>
              </w:rPr>
              <w:t>竣工日期</w:t>
            </w:r>
          </w:p>
        </w:tc>
        <w:tc>
          <w:tcPr>
            <w:tcW w:w="6094" w:type="dxa"/>
            <w:noWrap w:val="0"/>
            <w:vAlign w:val="center"/>
          </w:tcPr>
          <w:p w14:paraId="02343615">
            <w:pPr>
              <w:jc w:val="center"/>
              <w:rPr>
                <w:rFonts w:hint="eastAsia" w:ascii="宋体" w:hAnsi="宋体"/>
                <w:szCs w:val="21"/>
              </w:rPr>
            </w:pPr>
          </w:p>
        </w:tc>
      </w:tr>
      <w:tr w14:paraId="6014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9107D93">
            <w:pPr>
              <w:jc w:val="center"/>
              <w:rPr>
                <w:rFonts w:hint="eastAsia" w:ascii="宋体" w:hAnsi="宋体"/>
                <w:szCs w:val="21"/>
              </w:rPr>
            </w:pPr>
            <w:r>
              <w:rPr>
                <w:rFonts w:hint="eastAsia" w:ascii="宋体" w:hAnsi="宋体"/>
                <w:szCs w:val="21"/>
              </w:rPr>
              <w:t>承担的工作</w:t>
            </w:r>
          </w:p>
        </w:tc>
        <w:tc>
          <w:tcPr>
            <w:tcW w:w="6094" w:type="dxa"/>
            <w:noWrap w:val="0"/>
            <w:vAlign w:val="center"/>
          </w:tcPr>
          <w:p w14:paraId="0C90AA0F">
            <w:pPr>
              <w:jc w:val="center"/>
              <w:rPr>
                <w:rFonts w:hint="eastAsia" w:ascii="宋体" w:hAnsi="宋体"/>
                <w:szCs w:val="21"/>
              </w:rPr>
            </w:pPr>
          </w:p>
        </w:tc>
      </w:tr>
      <w:tr w14:paraId="595D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670248E">
            <w:pPr>
              <w:jc w:val="center"/>
              <w:rPr>
                <w:rFonts w:hint="eastAsia" w:ascii="宋体" w:hAnsi="宋体"/>
                <w:szCs w:val="21"/>
              </w:rPr>
            </w:pPr>
            <w:r>
              <w:rPr>
                <w:rFonts w:hint="eastAsia" w:ascii="宋体" w:hAnsi="宋体"/>
                <w:szCs w:val="21"/>
              </w:rPr>
              <w:t>工程质量</w:t>
            </w:r>
          </w:p>
        </w:tc>
        <w:tc>
          <w:tcPr>
            <w:tcW w:w="6094" w:type="dxa"/>
            <w:noWrap w:val="0"/>
            <w:vAlign w:val="center"/>
          </w:tcPr>
          <w:p w14:paraId="014A5A9E">
            <w:pPr>
              <w:jc w:val="center"/>
              <w:rPr>
                <w:rFonts w:hint="eastAsia" w:ascii="宋体" w:hAnsi="宋体"/>
                <w:szCs w:val="21"/>
              </w:rPr>
            </w:pPr>
          </w:p>
        </w:tc>
      </w:tr>
      <w:tr w14:paraId="49AC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A1151C6">
            <w:pPr>
              <w:jc w:val="center"/>
              <w:rPr>
                <w:rFonts w:hint="eastAsia" w:ascii="宋体" w:hAnsi="宋体"/>
                <w:szCs w:val="21"/>
              </w:rPr>
            </w:pPr>
            <w:r>
              <w:rPr>
                <w:rFonts w:hint="eastAsia" w:ascii="宋体" w:hAnsi="宋体"/>
                <w:szCs w:val="21"/>
              </w:rPr>
              <w:t>项目经理</w:t>
            </w:r>
          </w:p>
        </w:tc>
        <w:tc>
          <w:tcPr>
            <w:tcW w:w="6094" w:type="dxa"/>
            <w:noWrap w:val="0"/>
            <w:vAlign w:val="center"/>
          </w:tcPr>
          <w:p w14:paraId="2ED75834">
            <w:pPr>
              <w:jc w:val="center"/>
              <w:rPr>
                <w:rFonts w:hint="eastAsia" w:ascii="宋体" w:hAnsi="宋体"/>
                <w:szCs w:val="21"/>
              </w:rPr>
            </w:pPr>
          </w:p>
        </w:tc>
      </w:tr>
      <w:tr w14:paraId="26594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D07C66C">
            <w:pPr>
              <w:jc w:val="center"/>
              <w:rPr>
                <w:rFonts w:hint="eastAsia" w:ascii="宋体" w:hAnsi="宋体"/>
                <w:szCs w:val="21"/>
              </w:rPr>
            </w:pPr>
            <w:r>
              <w:rPr>
                <w:rFonts w:hint="eastAsia" w:ascii="宋体" w:hAnsi="宋体"/>
                <w:szCs w:val="21"/>
              </w:rPr>
              <w:t>技术负责人</w:t>
            </w:r>
          </w:p>
        </w:tc>
        <w:tc>
          <w:tcPr>
            <w:tcW w:w="6094" w:type="dxa"/>
            <w:noWrap w:val="0"/>
            <w:vAlign w:val="center"/>
          </w:tcPr>
          <w:p w14:paraId="021D4816">
            <w:pPr>
              <w:jc w:val="center"/>
              <w:rPr>
                <w:rFonts w:hint="eastAsia" w:ascii="宋体" w:hAnsi="宋体"/>
                <w:szCs w:val="21"/>
              </w:rPr>
            </w:pPr>
          </w:p>
        </w:tc>
      </w:tr>
      <w:tr w14:paraId="02600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6EB2742">
            <w:pPr>
              <w:jc w:val="center"/>
              <w:rPr>
                <w:rFonts w:hint="eastAsia" w:ascii="宋体" w:hAnsi="宋体"/>
                <w:szCs w:val="21"/>
              </w:rPr>
            </w:pPr>
            <w:r>
              <w:rPr>
                <w:rFonts w:hint="eastAsia" w:ascii="宋体" w:hAnsi="宋体"/>
                <w:szCs w:val="21"/>
              </w:rPr>
              <w:t>总监理工程师及电话</w:t>
            </w:r>
          </w:p>
        </w:tc>
        <w:tc>
          <w:tcPr>
            <w:tcW w:w="6094" w:type="dxa"/>
            <w:noWrap w:val="0"/>
            <w:vAlign w:val="center"/>
          </w:tcPr>
          <w:p w14:paraId="6C244B04">
            <w:pPr>
              <w:jc w:val="center"/>
              <w:rPr>
                <w:rFonts w:hint="eastAsia" w:ascii="宋体" w:hAnsi="宋体"/>
                <w:szCs w:val="21"/>
              </w:rPr>
            </w:pPr>
          </w:p>
        </w:tc>
      </w:tr>
      <w:tr w14:paraId="1A0E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2411" w:type="dxa"/>
            <w:noWrap w:val="0"/>
            <w:vAlign w:val="center"/>
          </w:tcPr>
          <w:p w14:paraId="278B7968">
            <w:pPr>
              <w:jc w:val="center"/>
              <w:rPr>
                <w:rFonts w:hint="eastAsia" w:ascii="宋体" w:hAnsi="宋体"/>
                <w:szCs w:val="21"/>
              </w:rPr>
            </w:pPr>
            <w:r>
              <w:rPr>
                <w:rFonts w:hint="eastAsia" w:ascii="宋体" w:hAnsi="宋体"/>
                <w:szCs w:val="21"/>
              </w:rPr>
              <w:t>项目描述</w:t>
            </w:r>
          </w:p>
        </w:tc>
        <w:tc>
          <w:tcPr>
            <w:tcW w:w="6094" w:type="dxa"/>
            <w:noWrap w:val="0"/>
            <w:vAlign w:val="center"/>
          </w:tcPr>
          <w:p w14:paraId="50391E03">
            <w:pPr>
              <w:jc w:val="center"/>
              <w:rPr>
                <w:rFonts w:hint="eastAsia" w:ascii="宋体" w:hAnsi="宋体"/>
                <w:szCs w:val="21"/>
              </w:rPr>
            </w:pPr>
          </w:p>
        </w:tc>
      </w:tr>
      <w:tr w14:paraId="4B84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1E025CA">
            <w:pPr>
              <w:jc w:val="center"/>
              <w:rPr>
                <w:rFonts w:hint="eastAsia" w:ascii="宋体" w:hAnsi="宋体"/>
                <w:szCs w:val="21"/>
              </w:rPr>
            </w:pPr>
            <w:r>
              <w:rPr>
                <w:rFonts w:hint="eastAsia" w:ascii="宋体" w:hAnsi="宋体"/>
                <w:szCs w:val="21"/>
              </w:rPr>
              <w:t>备注</w:t>
            </w:r>
          </w:p>
        </w:tc>
        <w:tc>
          <w:tcPr>
            <w:tcW w:w="6094" w:type="dxa"/>
            <w:noWrap w:val="0"/>
            <w:vAlign w:val="center"/>
          </w:tcPr>
          <w:p w14:paraId="4F957927">
            <w:pPr>
              <w:jc w:val="center"/>
              <w:rPr>
                <w:rFonts w:hint="eastAsia" w:ascii="宋体" w:hAnsi="宋体"/>
                <w:szCs w:val="21"/>
              </w:rPr>
            </w:pPr>
          </w:p>
        </w:tc>
      </w:tr>
    </w:tbl>
    <w:p w14:paraId="5461B692">
      <w:pPr>
        <w:ind w:left="945" w:hanging="945" w:hangingChars="450"/>
        <w:rPr>
          <w:rFonts w:hint="eastAsia" w:ascii="宋体" w:hAnsi="宋体"/>
        </w:rPr>
      </w:pPr>
    </w:p>
    <w:p w14:paraId="72140603">
      <w:pPr>
        <w:ind w:left="945" w:hanging="945" w:hangingChars="450"/>
        <w:rPr>
          <w:rFonts w:hint="eastAsia" w:ascii="宋体" w:hAnsi="宋体"/>
        </w:rPr>
      </w:pPr>
      <w:r>
        <w:rPr>
          <w:rFonts w:hint="eastAsia" w:ascii="宋体" w:hAnsi="宋体"/>
        </w:rPr>
        <w:t>备注：1．“类似项目</w:t>
      </w:r>
      <w:r>
        <w:rPr>
          <w:rFonts w:ascii="宋体" w:hAnsi="宋体"/>
        </w:rPr>
        <w:t>”</w:t>
      </w:r>
      <w:r>
        <w:rPr>
          <w:rFonts w:hint="eastAsia" w:ascii="宋体" w:hAnsi="宋体"/>
        </w:rPr>
        <w:t>见投标人须知前附表第3.5.1</w:t>
      </w:r>
      <w:r>
        <w:rPr>
          <w:rFonts w:hint="eastAsia"/>
        </w:rPr>
        <w:t>项</w:t>
      </w:r>
      <w:r>
        <w:rPr>
          <w:rFonts w:hint="eastAsia" w:ascii="宋体" w:hAnsi="宋体"/>
        </w:rPr>
        <w:t>。</w:t>
      </w:r>
    </w:p>
    <w:p w14:paraId="10EECEE1">
      <w:pPr>
        <w:ind w:left="945" w:leftChars="300" w:hanging="315" w:hangingChars="150"/>
        <w:rPr>
          <w:rFonts w:hint="eastAsia" w:ascii="宋体" w:hAnsi="宋体"/>
        </w:rPr>
      </w:pPr>
      <w:r>
        <w:rPr>
          <w:rFonts w:hint="eastAsia" w:ascii="宋体" w:hAnsi="宋体"/>
        </w:rPr>
        <w:t>2. 近5年是指从投标截止日往前推算5年，例如投标截止日为2014年3月5日，则近5年是指2009年3月5日至2014年3月4日。</w:t>
      </w:r>
    </w:p>
    <w:p w14:paraId="61A3D4C2">
      <w:pPr>
        <w:ind w:left="945" w:leftChars="300" w:hanging="315" w:hangingChars="150"/>
        <w:rPr>
          <w:rFonts w:hint="eastAsia" w:ascii="宋体" w:hAnsi="宋体"/>
        </w:rPr>
      </w:pPr>
      <w:r>
        <w:rPr>
          <w:rFonts w:hint="eastAsia" w:ascii="宋体" w:hAnsi="宋体"/>
        </w:rPr>
        <w:t>3．本表后附中标通知书（如有）、合同协议书、</w:t>
      </w:r>
      <w:r>
        <w:rPr>
          <w:rFonts w:hint="eastAsia"/>
        </w:rPr>
        <w:t>施工许可证（如有）、</w:t>
      </w:r>
      <w:r>
        <w:rPr>
          <w:rFonts w:hint="eastAsia" w:ascii="宋体" w:hAnsi="宋体"/>
        </w:rPr>
        <w:t>工程接收证书或工程竣工验收证书（工程竣工验收备案证）的扫描件，</w:t>
      </w:r>
      <w:r>
        <w:rPr>
          <w:rFonts w:hint="eastAsia" w:cs="宋体"/>
          <w:kern w:val="0"/>
          <w:szCs w:val="21"/>
        </w:rPr>
        <w:t>上述证明材料不足以反映“类似项目”</w:t>
      </w:r>
      <w:r>
        <w:rPr>
          <w:rFonts w:hint="eastAsia"/>
        </w:rPr>
        <w:t xml:space="preserve"> 的工程特征指标时，还应当提供</w:t>
      </w:r>
      <w:r>
        <w:rPr>
          <w:rFonts w:hint="eastAsia" w:cs="宋体"/>
          <w:kern w:val="0"/>
          <w:szCs w:val="21"/>
        </w:rPr>
        <w:t>其他技术资料的扫描件予以证明。</w:t>
      </w:r>
      <w:r>
        <w:rPr>
          <w:rFonts w:hint="eastAsia" w:ascii="宋体" w:hAnsi="宋体"/>
        </w:rPr>
        <w:t>招标发包的工程应附中标通知书</w:t>
      </w:r>
      <w:r>
        <w:rPr>
          <w:rFonts w:hint="eastAsia" w:cs="宋体"/>
          <w:kern w:val="0"/>
          <w:szCs w:val="21"/>
        </w:rPr>
        <w:t>，工程总承包发包、施工总承包发包、独立发包的施工专业承包应附</w:t>
      </w:r>
      <w:r>
        <w:rPr>
          <w:rFonts w:hint="eastAsia"/>
        </w:rPr>
        <w:t>施工许可证</w:t>
      </w:r>
      <w:r>
        <w:rPr>
          <w:rFonts w:hint="eastAsia" w:ascii="宋体" w:hAnsi="宋体"/>
        </w:rPr>
        <w:t>。以工程接收证书或工程竣工验收证书（工程竣工验收备案证）时间</w:t>
      </w:r>
      <w:r>
        <w:rPr>
          <w:rFonts w:ascii="宋体" w:hAnsi="宋体"/>
        </w:rPr>
        <w:t>为准</w:t>
      </w:r>
      <w:r>
        <w:rPr>
          <w:rFonts w:hint="eastAsia" w:ascii="宋体" w:hAnsi="宋体"/>
        </w:rPr>
        <w:t>。</w:t>
      </w:r>
    </w:p>
    <w:p w14:paraId="45706C30">
      <w:pPr>
        <w:ind w:left="945" w:leftChars="300" w:hanging="315" w:hangingChars="150"/>
        <w:rPr>
          <w:rFonts w:hint="eastAsia" w:ascii="宋体" w:hAnsi="宋体"/>
        </w:rPr>
      </w:pPr>
      <w:r>
        <w:rPr>
          <w:rFonts w:hint="eastAsia" w:ascii="宋体" w:hAnsi="宋体"/>
        </w:rPr>
        <w:t>4. 每张表格只填写一个项目，并标明序号。</w:t>
      </w:r>
    </w:p>
    <w:p w14:paraId="3D951362">
      <w:pPr>
        <w:pStyle w:val="20"/>
        <w:jc w:val="center"/>
        <w:rPr>
          <w:rFonts w:hint="eastAsia" w:ascii="黑体" w:hAnsi="宋体"/>
        </w:rPr>
      </w:pPr>
      <w:bookmarkStart w:id="2667" w:name="_Toc108514251"/>
      <w:r>
        <w:rPr>
          <w:rFonts w:hint="eastAsia"/>
          <w:szCs w:val="24"/>
        </w:rPr>
        <w:t>（四）正在施工的和新承接的项目情况</w:t>
      </w:r>
      <w:bookmarkEnd w:id="2667"/>
    </w:p>
    <w:p w14:paraId="64346733">
      <w:pPr>
        <w:pStyle w:val="20"/>
        <w:jc w:val="center"/>
        <w:rPr>
          <w:rFonts w:hint="eastAsia"/>
          <w:szCs w:val="24"/>
        </w:rPr>
      </w:pPr>
      <w:bookmarkStart w:id="2668" w:name="_Toc108514252"/>
      <w:r>
        <w:rPr>
          <w:rFonts w:hint="eastAsia"/>
          <w:szCs w:val="24"/>
        </w:rPr>
        <w:t>4-1 正在施工的和新承接的项目汇总表</w:t>
      </w:r>
      <w:bookmarkEnd w:id="2668"/>
    </w:p>
    <w:tbl>
      <w:tblPr>
        <w:tblStyle w:val="15"/>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1329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3B594B93">
            <w:pPr>
              <w:topLinePunct/>
              <w:spacing w:line="400" w:lineRule="atLeast"/>
              <w:jc w:val="center"/>
              <w:rPr>
                <w:rFonts w:hint="eastAsia"/>
                <w:szCs w:val="21"/>
              </w:rPr>
            </w:pPr>
            <w:r>
              <w:rPr>
                <w:rFonts w:hint="eastAsia"/>
                <w:szCs w:val="21"/>
              </w:rPr>
              <w:t>序号</w:t>
            </w:r>
          </w:p>
        </w:tc>
        <w:tc>
          <w:tcPr>
            <w:tcW w:w="1846" w:type="dxa"/>
            <w:noWrap w:val="0"/>
            <w:vAlign w:val="top"/>
          </w:tcPr>
          <w:p w14:paraId="5FEE6A37">
            <w:pPr>
              <w:topLinePunct/>
              <w:spacing w:line="400" w:lineRule="atLeast"/>
              <w:jc w:val="center"/>
              <w:rPr>
                <w:rFonts w:hint="eastAsia"/>
                <w:szCs w:val="21"/>
              </w:rPr>
            </w:pPr>
            <w:r>
              <w:rPr>
                <w:rFonts w:hint="eastAsia"/>
                <w:szCs w:val="21"/>
              </w:rPr>
              <w:t>项目名称</w:t>
            </w:r>
          </w:p>
        </w:tc>
        <w:tc>
          <w:tcPr>
            <w:tcW w:w="1394" w:type="dxa"/>
            <w:noWrap w:val="0"/>
            <w:vAlign w:val="top"/>
          </w:tcPr>
          <w:p w14:paraId="66B3D5B9">
            <w:pPr>
              <w:topLinePunct/>
              <w:spacing w:line="400" w:lineRule="atLeast"/>
              <w:jc w:val="center"/>
              <w:rPr>
                <w:rFonts w:hint="eastAsia"/>
                <w:szCs w:val="21"/>
              </w:rPr>
            </w:pPr>
            <w:r>
              <w:rPr>
                <w:rFonts w:hint="eastAsia" w:ascii="宋体" w:hAnsi="宋体"/>
                <w:szCs w:val="21"/>
              </w:rPr>
              <w:t>发包人名称</w:t>
            </w:r>
          </w:p>
        </w:tc>
        <w:tc>
          <w:tcPr>
            <w:tcW w:w="1080" w:type="dxa"/>
            <w:noWrap w:val="0"/>
            <w:vAlign w:val="top"/>
          </w:tcPr>
          <w:p w14:paraId="045D1B85">
            <w:pPr>
              <w:topLinePunct/>
              <w:spacing w:line="400" w:lineRule="atLeast"/>
              <w:jc w:val="center"/>
              <w:rPr>
                <w:rFonts w:hint="eastAsia"/>
                <w:szCs w:val="21"/>
              </w:rPr>
            </w:pPr>
            <w:r>
              <w:rPr>
                <w:rFonts w:hint="eastAsia"/>
                <w:szCs w:val="21"/>
              </w:rPr>
              <w:t>工程规模</w:t>
            </w:r>
          </w:p>
        </w:tc>
        <w:tc>
          <w:tcPr>
            <w:tcW w:w="1112" w:type="dxa"/>
            <w:noWrap w:val="0"/>
            <w:vAlign w:val="top"/>
          </w:tcPr>
          <w:p w14:paraId="4995CAF0">
            <w:pPr>
              <w:topLinePunct/>
              <w:spacing w:line="400" w:lineRule="atLeast"/>
              <w:jc w:val="center"/>
              <w:rPr>
                <w:rFonts w:hint="eastAsia"/>
                <w:szCs w:val="21"/>
              </w:rPr>
            </w:pPr>
            <w:r>
              <w:rPr>
                <w:rFonts w:hint="eastAsia" w:ascii="宋体" w:hAnsi="宋体"/>
                <w:szCs w:val="21"/>
              </w:rPr>
              <w:t>合同价格</w:t>
            </w:r>
            <w:r>
              <w:rPr>
                <w:rFonts w:hint="eastAsia"/>
                <w:szCs w:val="21"/>
              </w:rPr>
              <w:t>（万元）</w:t>
            </w:r>
          </w:p>
        </w:tc>
        <w:tc>
          <w:tcPr>
            <w:tcW w:w="1778" w:type="dxa"/>
            <w:noWrap w:val="0"/>
            <w:vAlign w:val="top"/>
          </w:tcPr>
          <w:p w14:paraId="172832D3">
            <w:pPr>
              <w:topLinePunct/>
              <w:spacing w:line="400" w:lineRule="atLeast"/>
              <w:jc w:val="center"/>
              <w:rPr>
                <w:rFonts w:hint="eastAsia" w:ascii="宋体" w:hAnsi="宋体"/>
                <w:szCs w:val="21"/>
              </w:rPr>
            </w:pPr>
            <w:r>
              <w:rPr>
                <w:rFonts w:hint="eastAsia" w:ascii="宋体" w:hAnsi="宋体"/>
                <w:szCs w:val="21"/>
              </w:rPr>
              <w:t>计划开、竣</w:t>
            </w:r>
          </w:p>
          <w:p w14:paraId="7F967E12">
            <w:pPr>
              <w:topLinePunct/>
              <w:spacing w:line="400" w:lineRule="atLeast"/>
              <w:jc w:val="center"/>
              <w:rPr>
                <w:rFonts w:hint="eastAsia"/>
                <w:szCs w:val="21"/>
              </w:rPr>
            </w:pPr>
            <w:r>
              <w:rPr>
                <w:rFonts w:hint="eastAsia" w:ascii="宋体" w:hAnsi="宋体"/>
                <w:szCs w:val="21"/>
              </w:rPr>
              <w:t>工日期</w:t>
            </w:r>
          </w:p>
        </w:tc>
        <w:tc>
          <w:tcPr>
            <w:tcW w:w="1080" w:type="dxa"/>
            <w:noWrap w:val="0"/>
            <w:vAlign w:val="top"/>
          </w:tcPr>
          <w:p w14:paraId="06FDD777">
            <w:pPr>
              <w:topLinePunct/>
              <w:spacing w:line="400" w:lineRule="atLeast"/>
              <w:jc w:val="center"/>
              <w:rPr>
                <w:rFonts w:hint="eastAsia"/>
                <w:szCs w:val="21"/>
              </w:rPr>
            </w:pPr>
            <w:r>
              <w:rPr>
                <w:rFonts w:hint="eastAsia" w:ascii="宋体" w:hAnsi="宋体"/>
                <w:szCs w:val="21"/>
              </w:rPr>
              <w:t>项目经理</w:t>
            </w:r>
          </w:p>
        </w:tc>
      </w:tr>
      <w:tr w14:paraId="2ED2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C970CD">
            <w:pPr>
              <w:topLinePunct/>
              <w:spacing w:line="400" w:lineRule="atLeast"/>
              <w:jc w:val="center"/>
              <w:rPr>
                <w:rFonts w:hint="eastAsia"/>
                <w:szCs w:val="21"/>
              </w:rPr>
            </w:pPr>
          </w:p>
        </w:tc>
        <w:tc>
          <w:tcPr>
            <w:tcW w:w="1846" w:type="dxa"/>
            <w:noWrap w:val="0"/>
            <w:vAlign w:val="top"/>
          </w:tcPr>
          <w:p w14:paraId="19129F38">
            <w:pPr>
              <w:topLinePunct/>
              <w:spacing w:line="400" w:lineRule="atLeast"/>
              <w:jc w:val="center"/>
              <w:rPr>
                <w:rFonts w:hint="eastAsia"/>
                <w:szCs w:val="21"/>
              </w:rPr>
            </w:pPr>
          </w:p>
        </w:tc>
        <w:tc>
          <w:tcPr>
            <w:tcW w:w="1394" w:type="dxa"/>
            <w:noWrap w:val="0"/>
            <w:vAlign w:val="top"/>
          </w:tcPr>
          <w:p w14:paraId="0FD360C5">
            <w:pPr>
              <w:topLinePunct/>
              <w:spacing w:line="400" w:lineRule="atLeast"/>
              <w:jc w:val="center"/>
              <w:rPr>
                <w:rFonts w:hint="eastAsia"/>
                <w:szCs w:val="21"/>
              </w:rPr>
            </w:pPr>
          </w:p>
        </w:tc>
        <w:tc>
          <w:tcPr>
            <w:tcW w:w="1080" w:type="dxa"/>
            <w:noWrap w:val="0"/>
            <w:vAlign w:val="top"/>
          </w:tcPr>
          <w:p w14:paraId="1204DFA4">
            <w:pPr>
              <w:topLinePunct/>
              <w:spacing w:line="400" w:lineRule="atLeast"/>
              <w:jc w:val="center"/>
              <w:rPr>
                <w:rFonts w:hint="eastAsia"/>
                <w:szCs w:val="21"/>
              </w:rPr>
            </w:pPr>
          </w:p>
        </w:tc>
        <w:tc>
          <w:tcPr>
            <w:tcW w:w="1112" w:type="dxa"/>
            <w:noWrap w:val="0"/>
            <w:vAlign w:val="top"/>
          </w:tcPr>
          <w:p w14:paraId="1123F9FF">
            <w:pPr>
              <w:topLinePunct/>
              <w:spacing w:line="400" w:lineRule="atLeast"/>
              <w:jc w:val="center"/>
              <w:rPr>
                <w:rFonts w:hint="eastAsia"/>
                <w:szCs w:val="21"/>
              </w:rPr>
            </w:pPr>
          </w:p>
        </w:tc>
        <w:tc>
          <w:tcPr>
            <w:tcW w:w="1778" w:type="dxa"/>
            <w:noWrap w:val="0"/>
            <w:vAlign w:val="top"/>
          </w:tcPr>
          <w:p w14:paraId="2016066C">
            <w:pPr>
              <w:topLinePunct/>
              <w:spacing w:line="400" w:lineRule="atLeast"/>
              <w:jc w:val="center"/>
              <w:rPr>
                <w:rFonts w:hint="eastAsia"/>
                <w:szCs w:val="21"/>
              </w:rPr>
            </w:pPr>
          </w:p>
        </w:tc>
        <w:tc>
          <w:tcPr>
            <w:tcW w:w="1080" w:type="dxa"/>
            <w:noWrap w:val="0"/>
            <w:vAlign w:val="top"/>
          </w:tcPr>
          <w:p w14:paraId="32C4B4E5">
            <w:pPr>
              <w:topLinePunct/>
              <w:spacing w:line="400" w:lineRule="atLeast"/>
              <w:jc w:val="center"/>
              <w:rPr>
                <w:rFonts w:hint="eastAsia"/>
                <w:szCs w:val="21"/>
              </w:rPr>
            </w:pPr>
          </w:p>
        </w:tc>
      </w:tr>
      <w:tr w14:paraId="7E25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4C4F081">
            <w:pPr>
              <w:topLinePunct/>
              <w:spacing w:line="400" w:lineRule="atLeast"/>
              <w:jc w:val="center"/>
              <w:rPr>
                <w:rFonts w:hint="eastAsia"/>
                <w:szCs w:val="21"/>
              </w:rPr>
            </w:pPr>
          </w:p>
        </w:tc>
        <w:tc>
          <w:tcPr>
            <w:tcW w:w="1846" w:type="dxa"/>
            <w:noWrap w:val="0"/>
            <w:vAlign w:val="top"/>
          </w:tcPr>
          <w:p w14:paraId="08E2F148">
            <w:pPr>
              <w:topLinePunct/>
              <w:spacing w:line="400" w:lineRule="atLeast"/>
              <w:jc w:val="center"/>
              <w:rPr>
                <w:rFonts w:hint="eastAsia"/>
                <w:szCs w:val="21"/>
              </w:rPr>
            </w:pPr>
          </w:p>
        </w:tc>
        <w:tc>
          <w:tcPr>
            <w:tcW w:w="1394" w:type="dxa"/>
            <w:noWrap w:val="0"/>
            <w:vAlign w:val="top"/>
          </w:tcPr>
          <w:p w14:paraId="116AD443">
            <w:pPr>
              <w:topLinePunct/>
              <w:spacing w:line="400" w:lineRule="atLeast"/>
              <w:jc w:val="center"/>
              <w:rPr>
                <w:rFonts w:hint="eastAsia"/>
                <w:szCs w:val="21"/>
              </w:rPr>
            </w:pPr>
          </w:p>
        </w:tc>
        <w:tc>
          <w:tcPr>
            <w:tcW w:w="1080" w:type="dxa"/>
            <w:noWrap w:val="0"/>
            <w:vAlign w:val="top"/>
          </w:tcPr>
          <w:p w14:paraId="3E1BBF36">
            <w:pPr>
              <w:topLinePunct/>
              <w:spacing w:line="400" w:lineRule="atLeast"/>
              <w:jc w:val="center"/>
              <w:rPr>
                <w:rFonts w:hint="eastAsia"/>
                <w:szCs w:val="21"/>
              </w:rPr>
            </w:pPr>
          </w:p>
        </w:tc>
        <w:tc>
          <w:tcPr>
            <w:tcW w:w="1112" w:type="dxa"/>
            <w:noWrap w:val="0"/>
            <w:vAlign w:val="top"/>
          </w:tcPr>
          <w:p w14:paraId="12C79204">
            <w:pPr>
              <w:topLinePunct/>
              <w:spacing w:line="400" w:lineRule="atLeast"/>
              <w:jc w:val="center"/>
              <w:rPr>
                <w:rFonts w:hint="eastAsia"/>
                <w:szCs w:val="21"/>
              </w:rPr>
            </w:pPr>
          </w:p>
        </w:tc>
        <w:tc>
          <w:tcPr>
            <w:tcW w:w="1778" w:type="dxa"/>
            <w:noWrap w:val="0"/>
            <w:vAlign w:val="top"/>
          </w:tcPr>
          <w:p w14:paraId="32910718">
            <w:pPr>
              <w:topLinePunct/>
              <w:spacing w:line="400" w:lineRule="atLeast"/>
              <w:jc w:val="center"/>
              <w:rPr>
                <w:rFonts w:hint="eastAsia"/>
                <w:szCs w:val="21"/>
              </w:rPr>
            </w:pPr>
          </w:p>
        </w:tc>
        <w:tc>
          <w:tcPr>
            <w:tcW w:w="1080" w:type="dxa"/>
            <w:noWrap w:val="0"/>
            <w:vAlign w:val="top"/>
          </w:tcPr>
          <w:p w14:paraId="416C9A5C">
            <w:pPr>
              <w:topLinePunct/>
              <w:spacing w:line="400" w:lineRule="atLeast"/>
              <w:jc w:val="center"/>
              <w:rPr>
                <w:rFonts w:hint="eastAsia"/>
                <w:szCs w:val="21"/>
              </w:rPr>
            </w:pPr>
          </w:p>
        </w:tc>
      </w:tr>
      <w:tr w14:paraId="556F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9878A5E">
            <w:pPr>
              <w:topLinePunct/>
              <w:spacing w:line="400" w:lineRule="atLeast"/>
              <w:jc w:val="center"/>
              <w:rPr>
                <w:rFonts w:hint="eastAsia"/>
                <w:szCs w:val="21"/>
              </w:rPr>
            </w:pPr>
          </w:p>
        </w:tc>
        <w:tc>
          <w:tcPr>
            <w:tcW w:w="1846" w:type="dxa"/>
            <w:noWrap w:val="0"/>
            <w:vAlign w:val="top"/>
          </w:tcPr>
          <w:p w14:paraId="43A6E8B7">
            <w:pPr>
              <w:topLinePunct/>
              <w:spacing w:line="400" w:lineRule="atLeast"/>
              <w:jc w:val="center"/>
              <w:rPr>
                <w:rFonts w:hint="eastAsia"/>
                <w:szCs w:val="21"/>
              </w:rPr>
            </w:pPr>
          </w:p>
        </w:tc>
        <w:tc>
          <w:tcPr>
            <w:tcW w:w="1394" w:type="dxa"/>
            <w:noWrap w:val="0"/>
            <w:vAlign w:val="top"/>
          </w:tcPr>
          <w:p w14:paraId="3DCE4F9E">
            <w:pPr>
              <w:topLinePunct/>
              <w:spacing w:line="400" w:lineRule="atLeast"/>
              <w:jc w:val="center"/>
              <w:rPr>
                <w:rFonts w:hint="eastAsia"/>
                <w:szCs w:val="21"/>
              </w:rPr>
            </w:pPr>
          </w:p>
        </w:tc>
        <w:tc>
          <w:tcPr>
            <w:tcW w:w="1080" w:type="dxa"/>
            <w:noWrap w:val="0"/>
            <w:vAlign w:val="top"/>
          </w:tcPr>
          <w:p w14:paraId="49A8E67F">
            <w:pPr>
              <w:topLinePunct/>
              <w:spacing w:line="400" w:lineRule="atLeast"/>
              <w:jc w:val="center"/>
              <w:rPr>
                <w:rFonts w:hint="eastAsia"/>
                <w:szCs w:val="21"/>
              </w:rPr>
            </w:pPr>
          </w:p>
        </w:tc>
        <w:tc>
          <w:tcPr>
            <w:tcW w:w="1112" w:type="dxa"/>
            <w:noWrap w:val="0"/>
            <w:vAlign w:val="top"/>
          </w:tcPr>
          <w:p w14:paraId="7A93265A">
            <w:pPr>
              <w:topLinePunct/>
              <w:spacing w:line="400" w:lineRule="atLeast"/>
              <w:jc w:val="center"/>
              <w:rPr>
                <w:rFonts w:hint="eastAsia"/>
                <w:szCs w:val="21"/>
              </w:rPr>
            </w:pPr>
          </w:p>
        </w:tc>
        <w:tc>
          <w:tcPr>
            <w:tcW w:w="1778" w:type="dxa"/>
            <w:noWrap w:val="0"/>
            <w:vAlign w:val="top"/>
          </w:tcPr>
          <w:p w14:paraId="5726E751">
            <w:pPr>
              <w:topLinePunct/>
              <w:spacing w:line="400" w:lineRule="atLeast"/>
              <w:jc w:val="center"/>
              <w:rPr>
                <w:rFonts w:hint="eastAsia"/>
                <w:szCs w:val="21"/>
              </w:rPr>
            </w:pPr>
          </w:p>
        </w:tc>
        <w:tc>
          <w:tcPr>
            <w:tcW w:w="1080" w:type="dxa"/>
            <w:noWrap w:val="0"/>
            <w:vAlign w:val="top"/>
          </w:tcPr>
          <w:p w14:paraId="7838EA20">
            <w:pPr>
              <w:topLinePunct/>
              <w:spacing w:line="400" w:lineRule="atLeast"/>
              <w:jc w:val="center"/>
              <w:rPr>
                <w:rFonts w:hint="eastAsia"/>
                <w:szCs w:val="21"/>
              </w:rPr>
            </w:pPr>
          </w:p>
        </w:tc>
      </w:tr>
      <w:tr w14:paraId="123E0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BB888D5">
            <w:pPr>
              <w:topLinePunct/>
              <w:spacing w:line="400" w:lineRule="atLeast"/>
              <w:jc w:val="center"/>
              <w:rPr>
                <w:rFonts w:hint="eastAsia"/>
                <w:szCs w:val="21"/>
              </w:rPr>
            </w:pPr>
          </w:p>
        </w:tc>
        <w:tc>
          <w:tcPr>
            <w:tcW w:w="1846" w:type="dxa"/>
            <w:noWrap w:val="0"/>
            <w:vAlign w:val="top"/>
          </w:tcPr>
          <w:p w14:paraId="7487F348">
            <w:pPr>
              <w:topLinePunct/>
              <w:spacing w:line="400" w:lineRule="atLeast"/>
              <w:jc w:val="center"/>
              <w:rPr>
                <w:rFonts w:hint="eastAsia"/>
                <w:szCs w:val="21"/>
              </w:rPr>
            </w:pPr>
          </w:p>
        </w:tc>
        <w:tc>
          <w:tcPr>
            <w:tcW w:w="1394" w:type="dxa"/>
            <w:noWrap w:val="0"/>
            <w:vAlign w:val="top"/>
          </w:tcPr>
          <w:p w14:paraId="1604D301">
            <w:pPr>
              <w:topLinePunct/>
              <w:spacing w:line="400" w:lineRule="atLeast"/>
              <w:jc w:val="center"/>
              <w:rPr>
                <w:rFonts w:hint="eastAsia"/>
                <w:szCs w:val="21"/>
              </w:rPr>
            </w:pPr>
          </w:p>
        </w:tc>
        <w:tc>
          <w:tcPr>
            <w:tcW w:w="1080" w:type="dxa"/>
            <w:noWrap w:val="0"/>
            <w:vAlign w:val="top"/>
          </w:tcPr>
          <w:p w14:paraId="64165157">
            <w:pPr>
              <w:topLinePunct/>
              <w:spacing w:line="400" w:lineRule="atLeast"/>
              <w:jc w:val="center"/>
              <w:rPr>
                <w:rFonts w:hint="eastAsia"/>
                <w:szCs w:val="21"/>
              </w:rPr>
            </w:pPr>
          </w:p>
        </w:tc>
        <w:tc>
          <w:tcPr>
            <w:tcW w:w="1112" w:type="dxa"/>
            <w:noWrap w:val="0"/>
            <w:vAlign w:val="top"/>
          </w:tcPr>
          <w:p w14:paraId="33D41590">
            <w:pPr>
              <w:topLinePunct/>
              <w:spacing w:line="400" w:lineRule="atLeast"/>
              <w:jc w:val="center"/>
              <w:rPr>
                <w:rFonts w:hint="eastAsia"/>
                <w:szCs w:val="21"/>
              </w:rPr>
            </w:pPr>
          </w:p>
        </w:tc>
        <w:tc>
          <w:tcPr>
            <w:tcW w:w="1778" w:type="dxa"/>
            <w:noWrap w:val="0"/>
            <w:vAlign w:val="top"/>
          </w:tcPr>
          <w:p w14:paraId="257046C7">
            <w:pPr>
              <w:topLinePunct/>
              <w:spacing w:line="400" w:lineRule="atLeast"/>
              <w:jc w:val="center"/>
              <w:rPr>
                <w:rFonts w:hint="eastAsia"/>
                <w:szCs w:val="21"/>
              </w:rPr>
            </w:pPr>
          </w:p>
        </w:tc>
        <w:tc>
          <w:tcPr>
            <w:tcW w:w="1080" w:type="dxa"/>
            <w:noWrap w:val="0"/>
            <w:vAlign w:val="top"/>
          </w:tcPr>
          <w:p w14:paraId="53B7C85C">
            <w:pPr>
              <w:topLinePunct/>
              <w:spacing w:line="400" w:lineRule="atLeast"/>
              <w:jc w:val="center"/>
              <w:rPr>
                <w:rFonts w:hint="eastAsia"/>
                <w:szCs w:val="21"/>
              </w:rPr>
            </w:pPr>
          </w:p>
        </w:tc>
      </w:tr>
      <w:tr w14:paraId="3A82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2DAC299">
            <w:pPr>
              <w:topLinePunct/>
              <w:spacing w:line="400" w:lineRule="atLeast"/>
              <w:jc w:val="center"/>
              <w:rPr>
                <w:rFonts w:hint="eastAsia"/>
                <w:szCs w:val="21"/>
              </w:rPr>
            </w:pPr>
          </w:p>
        </w:tc>
        <w:tc>
          <w:tcPr>
            <w:tcW w:w="1846" w:type="dxa"/>
            <w:noWrap w:val="0"/>
            <w:vAlign w:val="top"/>
          </w:tcPr>
          <w:p w14:paraId="4032B43A">
            <w:pPr>
              <w:topLinePunct/>
              <w:spacing w:line="400" w:lineRule="atLeast"/>
              <w:jc w:val="center"/>
              <w:rPr>
                <w:rFonts w:hint="eastAsia"/>
                <w:szCs w:val="21"/>
              </w:rPr>
            </w:pPr>
          </w:p>
        </w:tc>
        <w:tc>
          <w:tcPr>
            <w:tcW w:w="1394" w:type="dxa"/>
            <w:noWrap w:val="0"/>
            <w:vAlign w:val="top"/>
          </w:tcPr>
          <w:p w14:paraId="5C308C89">
            <w:pPr>
              <w:topLinePunct/>
              <w:spacing w:line="400" w:lineRule="atLeast"/>
              <w:jc w:val="center"/>
              <w:rPr>
                <w:rFonts w:hint="eastAsia"/>
                <w:szCs w:val="21"/>
              </w:rPr>
            </w:pPr>
          </w:p>
        </w:tc>
        <w:tc>
          <w:tcPr>
            <w:tcW w:w="1080" w:type="dxa"/>
            <w:noWrap w:val="0"/>
            <w:vAlign w:val="top"/>
          </w:tcPr>
          <w:p w14:paraId="6194A58E">
            <w:pPr>
              <w:topLinePunct/>
              <w:spacing w:line="400" w:lineRule="atLeast"/>
              <w:jc w:val="center"/>
              <w:rPr>
                <w:rFonts w:hint="eastAsia"/>
                <w:szCs w:val="21"/>
              </w:rPr>
            </w:pPr>
          </w:p>
        </w:tc>
        <w:tc>
          <w:tcPr>
            <w:tcW w:w="1112" w:type="dxa"/>
            <w:noWrap w:val="0"/>
            <w:vAlign w:val="top"/>
          </w:tcPr>
          <w:p w14:paraId="6E1DDAC6">
            <w:pPr>
              <w:topLinePunct/>
              <w:spacing w:line="400" w:lineRule="atLeast"/>
              <w:jc w:val="center"/>
              <w:rPr>
                <w:rFonts w:hint="eastAsia"/>
                <w:szCs w:val="21"/>
              </w:rPr>
            </w:pPr>
          </w:p>
        </w:tc>
        <w:tc>
          <w:tcPr>
            <w:tcW w:w="1778" w:type="dxa"/>
            <w:noWrap w:val="0"/>
            <w:vAlign w:val="top"/>
          </w:tcPr>
          <w:p w14:paraId="15ADA23C">
            <w:pPr>
              <w:topLinePunct/>
              <w:spacing w:line="400" w:lineRule="atLeast"/>
              <w:jc w:val="center"/>
              <w:rPr>
                <w:rFonts w:hint="eastAsia"/>
                <w:szCs w:val="21"/>
              </w:rPr>
            </w:pPr>
          </w:p>
        </w:tc>
        <w:tc>
          <w:tcPr>
            <w:tcW w:w="1080" w:type="dxa"/>
            <w:noWrap w:val="0"/>
            <w:vAlign w:val="top"/>
          </w:tcPr>
          <w:p w14:paraId="18F150FF">
            <w:pPr>
              <w:topLinePunct/>
              <w:spacing w:line="400" w:lineRule="atLeast"/>
              <w:jc w:val="center"/>
              <w:rPr>
                <w:rFonts w:hint="eastAsia"/>
                <w:szCs w:val="21"/>
              </w:rPr>
            </w:pPr>
          </w:p>
        </w:tc>
      </w:tr>
      <w:tr w14:paraId="4506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457D28B">
            <w:pPr>
              <w:topLinePunct/>
              <w:spacing w:line="400" w:lineRule="atLeast"/>
              <w:jc w:val="center"/>
              <w:rPr>
                <w:rFonts w:hint="eastAsia"/>
                <w:szCs w:val="21"/>
              </w:rPr>
            </w:pPr>
          </w:p>
        </w:tc>
        <w:tc>
          <w:tcPr>
            <w:tcW w:w="1846" w:type="dxa"/>
            <w:noWrap w:val="0"/>
            <w:vAlign w:val="top"/>
          </w:tcPr>
          <w:p w14:paraId="170CAB26">
            <w:pPr>
              <w:topLinePunct/>
              <w:spacing w:line="400" w:lineRule="atLeast"/>
              <w:jc w:val="center"/>
              <w:rPr>
                <w:rFonts w:hint="eastAsia"/>
                <w:szCs w:val="21"/>
              </w:rPr>
            </w:pPr>
          </w:p>
        </w:tc>
        <w:tc>
          <w:tcPr>
            <w:tcW w:w="1394" w:type="dxa"/>
            <w:noWrap w:val="0"/>
            <w:vAlign w:val="top"/>
          </w:tcPr>
          <w:p w14:paraId="28A3B1D3">
            <w:pPr>
              <w:topLinePunct/>
              <w:spacing w:line="400" w:lineRule="atLeast"/>
              <w:jc w:val="center"/>
              <w:rPr>
                <w:rFonts w:hint="eastAsia"/>
                <w:szCs w:val="21"/>
              </w:rPr>
            </w:pPr>
          </w:p>
        </w:tc>
        <w:tc>
          <w:tcPr>
            <w:tcW w:w="1080" w:type="dxa"/>
            <w:noWrap w:val="0"/>
            <w:vAlign w:val="top"/>
          </w:tcPr>
          <w:p w14:paraId="3A7EDC76">
            <w:pPr>
              <w:topLinePunct/>
              <w:spacing w:line="400" w:lineRule="atLeast"/>
              <w:jc w:val="center"/>
              <w:rPr>
                <w:rFonts w:hint="eastAsia"/>
                <w:szCs w:val="21"/>
              </w:rPr>
            </w:pPr>
          </w:p>
        </w:tc>
        <w:tc>
          <w:tcPr>
            <w:tcW w:w="1112" w:type="dxa"/>
            <w:noWrap w:val="0"/>
            <w:vAlign w:val="top"/>
          </w:tcPr>
          <w:p w14:paraId="4462740A">
            <w:pPr>
              <w:topLinePunct/>
              <w:spacing w:line="400" w:lineRule="atLeast"/>
              <w:jc w:val="center"/>
              <w:rPr>
                <w:rFonts w:hint="eastAsia"/>
                <w:szCs w:val="21"/>
              </w:rPr>
            </w:pPr>
          </w:p>
        </w:tc>
        <w:tc>
          <w:tcPr>
            <w:tcW w:w="1778" w:type="dxa"/>
            <w:noWrap w:val="0"/>
            <w:vAlign w:val="top"/>
          </w:tcPr>
          <w:p w14:paraId="55E7159C">
            <w:pPr>
              <w:topLinePunct/>
              <w:spacing w:line="400" w:lineRule="atLeast"/>
              <w:jc w:val="center"/>
              <w:rPr>
                <w:rFonts w:hint="eastAsia"/>
                <w:szCs w:val="21"/>
              </w:rPr>
            </w:pPr>
          </w:p>
        </w:tc>
        <w:tc>
          <w:tcPr>
            <w:tcW w:w="1080" w:type="dxa"/>
            <w:noWrap w:val="0"/>
            <w:vAlign w:val="top"/>
          </w:tcPr>
          <w:p w14:paraId="5DDE1028">
            <w:pPr>
              <w:topLinePunct/>
              <w:spacing w:line="400" w:lineRule="atLeast"/>
              <w:jc w:val="center"/>
              <w:rPr>
                <w:rFonts w:hint="eastAsia"/>
                <w:szCs w:val="21"/>
              </w:rPr>
            </w:pPr>
          </w:p>
        </w:tc>
      </w:tr>
      <w:tr w14:paraId="6EA46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2D24C3">
            <w:pPr>
              <w:topLinePunct/>
              <w:spacing w:line="400" w:lineRule="atLeast"/>
              <w:jc w:val="center"/>
              <w:rPr>
                <w:rFonts w:hint="eastAsia"/>
                <w:szCs w:val="21"/>
              </w:rPr>
            </w:pPr>
          </w:p>
        </w:tc>
        <w:tc>
          <w:tcPr>
            <w:tcW w:w="1846" w:type="dxa"/>
            <w:noWrap w:val="0"/>
            <w:vAlign w:val="top"/>
          </w:tcPr>
          <w:p w14:paraId="5D78BCD5">
            <w:pPr>
              <w:topLinePunct/>
              <w:spacing w:line="400" w:lineRule="atLeast"/>
              <w:jc w:val="center"/>
              <w:rPr>
                <w:rFonts w:hint="eastAsia"/>
                <w:szCs w:val="21"/>
              </w:rPr>
            </w:pPr>
          </w:p>
        </w:tc>
        <w:tc>
          <w:tcPr>
            <w:tcW w:w="1394" w:type="dxa"/>
            <w:noWrap w:val="0"/>
            <w:vAlign w:val="top"/>
          </w:tcPr>
          <w:p w14:paraId="17C21C5C">
            <w:pPr>
              <w:topLinePunct/>
              <w:spacing w:line="400" w:lineRule="atLeast"/>
              <w:jc w:val="center"/>
              <w:rPr>
                <w:rFonts w:hint="eastAsia"/>
                <w:szCs w:val="21"/>
              </w:rPr>
            </w:pPr>
          </w:p>
        </w:tc>
        <w:tc>
          <w:tcPr>
            <w:tcW w:w="1080" w:type="dxa"/>
            <w:noWrap w:val="0"/>
            <w:vAlign w:val="top"/>
          </w:tcPr>
          <w:p w14:paraId="169B1067">
            <w:pPr>
              <w:topLinePunct/>
              <w:spacing w:line="400" w:lineRule="atLeast"/>
              <w:jc w:val="center"/>
              <w:rPr>
                <w:rFonts w:hint="eastAsia"/>
                <w:szCs w:val="21"/>
              </w:rPr>
            </w:pPr>
          </w:p>
        </w:tc>
        <w:tc>
          <w:tcPr>
            <w:tcW w:w="1112" w:type="dxa"/>
            <w:noWrap w:val="0"/>
            <w:vAlign w:val="top"/>
          </w:tcPr>
          <w:p w14:paraId="66CF1792">
            <w:pPr>
              <w:topLinePunct/>
              <w:spacing w:line="400" w:lineRule="atLeast"/>
              <w:jc w:val="center"/>
              <w:rPr>
                <w:rFonts w:hint="eastAsia"/>
                <w:szCs w:val="21"/>
              </w:rPr>
            </w:pPr>
          </w:p>
        </w:tc>
        <w:tc>
          <w:tcPr>
            <w:tcW w:w="1778" w:type="dxa"/>
            <w:noWrap w:val="0"/>
            <w:vAlign w:val="top"/>
          </w:tcPr>
          <w:p w14:paraId="0D0F6221">
            <w:pPr>
              <w:topLinePunct/>
              <w:spacing w:line="400" w:lineRule="atLeast"/>
              <w:jc w:val="center"/>
              <w:rPr>
                <w:rFonts w:hint="eastAsia"/>
                <w:szCs w:val="21"/>
              </w:rPr>
            </w:pPr>
          </w:p>
        </w:tc>
        <w:tc>
          <w:tcPr>
            <w:tcW w:w="1080" w:type="dxa"/>
            <w:noWrap w:val="0"/>
            <w:vAlign w:val="top"/>
          </w:tcPr>
          <w:p w14:paraId="33B68027">
            <w:pPr>
              <w:topLinePunct/>
              <w:spacing w:line="400" w:lineRule="atLeast"/>
              <w:jc w:val="center"/>
              <w:rPr>
                <w:rFonts w:hint="eastAsia"/>
                <w:szCs w:val="21"/>
              </w:rPr>
            </w:pPr>
          </w:p>
        </w:tc>
      </w:tr>
      <w:tr w14:paraId="0F474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C4621C6">
            <w:pPr>
              <w:topLinePunct/>
              <w:spacing w:line="400" w:lineRule="atLeast"/>
              <w:jc w:val="center"/>
              <w:rPr>
                <w:rFonts w:hint="eastAsia"/>
                <w:szCs w:val="21"/>
              </w:rPr>
            </w:pPr>
          </w:p>
        </w:tc>
        <w:tc>
          <w:tcPr>
            <w:tcW w:w="1846" w:type="dxa"/>
            <w:noWrap w:val="0"/>
            <w:vAlign w:val="top"/>
          </w:tcPr>
          <w:p w14:paraId="5E68113B">
            <w:pPr>
              <w:topLinePunct/>
              <w:spacing w:line="400" w:lineRule="atLeast"/>
              <w:jc w:val="center"/>
              <w:rPr>
                <w:rFonts w:hint="eastAsia"/>
                <w:szCs w:val="21"/>
              </w:rPr>
            </w:pPr>
          </w:p>
        </w:tc>
        <w:tc>
          <w:tcPr>
            <w:tcW w:w="1394" w:type="dxa"/>
            <w:noWrap w:val="0"/>
            <w:vAlign w:val="top"/>
          </w:tcPr>
          <w:p w14:paraId="6E1C1CD2">
            <w:pPr>
              <w:topLinePunct/>
              <w:spacing w:line="400" w:lineRule="atLeast"/>
              <w:jc w:val="center"/>
              <w:rPr>
                <w:rFonts w:hint="eastAsia"/>
                <w:szCs w:val="21"/>
              </w:rPr>
            </w:pPr>
          </w:p>
        </w:tc>
        <w:tc>
          <w:tcPr>
            <w:tcW w:w="1080" w:type="dxa"/>
            <w:noWrap w:val="0"/>
            <w:vAlign w:val="top"/>
          </w:tcPr>
          <w:p w14:paraId="1E47A026">
            <w:pPr>
              <w:topLinePunct/>
              <w:spacing w:line="400" w:lineRule="atLeast"/>
              <w:jc w:val="center"/>
              <w:rPr>
                <w:rFonts w:hint="eastAsia"/>
                <w:szCs w:val="21"/>
              </w:rPr>
            </w:pPr>
          </w:p>
        </w:tc>
        <w:tc>
          <w:tcPr>
            <w:tcW w:w="1112" w:type="dxa"/>
            <w:noWrap w:val="0"/>
            <w:vAlign w:val="top"/>
          </w:tcPr>
          <w:p w14:paraId="0B883181">
            <w:pPr>
              <w:topLinePunct/>
              <w:spacing w:line="400" w:lineRule="atLeast"/>
              <w:jc w:val="center"/>
              <w:rPr>
                <w:rFonts w:hint="eastAsia"/>
                <w:szCs w:val="21"/>
              </w:rPr>
            </w:pPr>
          </w:p>
        </w:tc>
        <w:tc>
          <w:tcPr>
            <w:tcW w:w="1778" w:type="dxa"/>
            <w:noWrap w:val="0"/>
            <w:vAlign w:val="top"/>
          </w:tcPr>
          <w:p w14:paraId="15E805DD">
            <w:pPr>
              <w:topLinePunct/>
              <w:spacing w:line="400" w:lineRule="atLeast"/>
              <w:jc w:val="center"/>
              <w:rPr>
                <w:rFonts w:hint="eastAsia"/>
                <w:szCs w:val="21"/>
              </w:rPr>
            </w:pPr>
          </w:p>
        </w:tc>
        <w:tc>
          <w:tcPr>
            <w:tcW w:w="1080" w:type="dxa"/>
            <w:noWrap w:val="0"/>
            <w:vAlign w:val="top"/>
          </w:tcPr>
          <w:p w14:paraId="167747CA">
            <w:pPr>
              <w:topLinePunct/>
              <w:spacing w:line="400" w:lineRule="atLeast"/>
              <w:jc w:val="center"/>
              <w:rPr>
                <w:rFonts w:hint="eastAsia"/>
                <w:szCs w:val="21"/>
              </w:rPr>
            </w:pPr>
          </w:p>
        </w:tc>
      </w:tr>
      <w:tr w14:paraId="65533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A059649">
            <w:pPr>
              <w:topLinePunct/>
              <w:spacing w:line="400" w:lineRule="atLeast"/>
              <w:jc w:val="center"/>
              <w:rPr>
                <w:rFonts w:hint="eastAsia"/>
                <w:szCs w:val="21"/>
              </w:rPr>
            </w:pPr>
          </w:p>
        </w:tc>
        <w:tc>
          <w:tcPr>
            <w:tcW w:w="1846" w:type="dxa"/>
            <w:noWrap w:val="0"/>
            <w:vAlign w:val="top"/>
          </w:tcPr>
          <w:p w14:paraId="18231AD4">
            <w:pPr>
              <w:topLinePunct/>
              <w:spacing w:line="400" w:lineRule="atLeast"/>
              <w:jc w:val="center"/>
              <w:rPr>
                <w:rFonts w:hint="eastAsia"/>
                <w:szCs w:val="21"/>
              </w:rPr>
            </w:pPr>
          </w:p>
        </w:tc>
        <w:tc>
          <w:tcPr>
            <w:tcW w:w="1394" w:type="dxa"/>
            <w:noWrap w:val="0"/>
            <w:vAlign w:val="top"/>
          </w:tcPr>
          <w:p w14:paraId="19669BE9">
            <w:pPr>
              <w:topLinePunct/>
              <w:spacing w:line="400" w:lineRule="atLeast"/>
              <w:jc w:val="center"/>
              <w:rPr>
                <w:rFonts w:hint="eastAsia"/>
                <w:szCs w:val="21"/>
              </w:rPr>
            </w:pPr>
          </w:p>
        </w:tc>
        <w:tc>
          <w:tcPr>
            <w:tcW w:w="1080" w:type="dxa"/>
            <w:noWrap w:val="0"/>
            <w:vAlign w:val="top"/>
          </w:tcPr>
          <w:p w14:paraId="6659CB72">
            <w:pPr>
              <w:topLinePunct/>
              <w:spacing w:line="400" w:lineRule="atLeast"/>
              <w:jc w:val="center"/>
              <w:rPr>
                <w:rFonts w:hint="eastAsia"/>
                <w:szCs w:val="21"/>
              </w:rPr>
            </w:pPr>
          </w:p>
        </w:tc>
        <w:tc>
          <w:tcPr>
            <w:tcW w:w="1112" w:type="dxa"/>
            <w:noWrap w:val="0"/>
            <w:vAlign w:val="top"/>
          </w:tcPr>
          <w:p w14:paraId="4BB41B52">
            <w:pPr>
              <w:topLinePunct/>
              <w:spacing w:line="400" w:lineRule="atLeast"/>
              <w:jc w:val="center"/>
              <w:rPr>
                <w:rFonts w:hint="eastAsia"/>
                <w:szCs w:val="21"/>
              </w:rPr>
            </w:pPr>
          </w:p>
        </w:tc>
        <w:tc>
          <w:tcPr>
            <w:tcW w:w="1778" w:type="dxa"/>
            <w:noWrap w:val="0"/>
            <w:vAlign w:val="top"/>
          </w:tcPr>
          <w:p w14:paraId="0E8CCF31">
            <w:pPr>
              <w:topLinePunct/>
              <w:spacing w:line="400" w:lineRule="atLeast"/>
              <w:jc w:val="center"/>
              <w:rPr>
                <w:rFonts w:hint="eastAsia"/>
                <w:szCs w:val="21"/>
              </w:rPr>
            </w:pPr>
          </w:p>
        </w:tc>
        <w:tc>
          <w:tcPr>
            <w:tcW w:w="1080" w:type="dxa"/>
            <w:noWrap w:val="0"/>
            <w:vAlign w:val="top"/>
          </w:tcPr>
          <w:p w14:paraId="42749E00">
            <w:pPr>
              <w:topLinePunct/>
              <w:spacing w:line="400" w:lineRule="atLeast"/>
              <w:jc w:val="center"/>
              <w:rPr>
                <w:rFonts w:hint="eastAsia"/>
                <w:szCs w:val="21"/>
              </w:rPr>
            </w:pPr>
          </w:p>
        </w:tc>
      </w:tr>
      <w:tr w14:paraId="2D6D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239976E">
            <w:pPr>
              <w:topLinePunct/>
              <w:spacing w:line="400" w:lineRule="atLeast"/>
              <w:jc w:val="center"/>
              <w:rPr>
                <w:rFonts w:hint="eastAsia"/>
                <w:szCs w:val="21"/>
              </w:rPr>
            </w:pPr>
          </w:p>
        </w:tc>
        <w:tc>
          <w:tcPr>
            <w:tcW w:w="1846" w:type="dxa"/>
            <w:noWrap w:val="0"/>
            <w:vAlign w:val="top"/>
          </w:tcPr>
          <w:p w14:paraId="7028DB46">
            <w:pPr>
              <w:topLinePunct/>
              <w:spacing w:line="400" w:lineRule="atLeast"/>
              <w:jc w:val="center"/>
              <w:rPr>
                <w:rFonts w:hint="eastAsia"/>
                <w:szCs w:val="21"/>
              </w:rPr>
            </w:pPr>
          </w:p>
        </w:tc>
        <w:tc>
          <w:tcPr>
            <w:tcW w:w="1394" w:type="dxa"/>
            <w:noWrap w:val="0"/>
            <w:vAlign w:val="top"/>
          </w:tcPr>
          <w:p w14:paraId="77D6D858">
            <w:pPr>
              <w:topLinePunct/>
              <w:spacing w:line="400" w:lineRule="atLeast"/>
              <w:jc w:val="center"/>
              <w:rPr>
                <w:rFonts w:hint="eastAsia"/>
                <w:szCs w:val="21"/>
              </w:rPr>
            </w:pPr>
          </w:p>
        </w:tc>
        <w:tc>
          <w:tcPr>
            <w:tcW w:w="1080" w:type="dxa"/>
            <w:noWrap w:val="0"/>
            <w:vAlign w:val="top"/>
          </w:tcPr>
          <w:p w14:paraId="074164E7">
            <w:pPr>
              <w:topLinePunct/>
              <w:spacing w:line="400" w:lineRule="atLeast"/>
              <w:jc w:val="center"/>
              <w:rPr>
                <w:rFonts w:hint="eastAsia"/>
                <w:szCs w:val="21"/>
              </w:rPr>
            </w:pPr>
          </w:p>
        </w:tc>
        <w:tc>
          <w:tcPr>
            <w:tcW w:w="1112" w:type="dxa"/>
            <w:noWrap w:val="0"/>
            <w:vAlign w:val="top"/>
          </w:tcPr>
          <w:p w14:paraId="3D336EA1">
            <w:pPr>
              <w:topLinePunct/>
              <w:spacing w:line="400" w:lineRule="atLeast"/>
              <w:jc w:val="center"/>
              <w:rPr>
                <w:rFonts w:hint="eastAsia"/>
                <w:szCs w:val="21"/>
              </w:rPr>
            </w:pPr>
          </w:p>
        </w:tc>
        <w:tc>
          <w:tcPr>
            <w:tcW w:w="1778" w:type="dxa"/>
            <w:noWrap w:val="0"/>
            <w:vAlign w:val="top"/>
          </w:tcPr>
          <w:p w14:paraId="26455463">
            <w:pPr>
              <w:topLinePunct/>
              <w:spacing w:line="400" w:lineRule="atLeast"/>
              <w:jc w:val="center"/>
              <w:rPr>
                <w:rFonts w:hint="eastAsia"/>
                <w:szCs w:val="21"/>
              </w:rPr>
            </w:pPr>
          </w:p>
        </w:tc>
        <w:tc>
          <w:tcPr>
            <w:tcW w:w="1080" w:type="dxa"/>
            <w:noWrap w:val="0"/>
            <w:vAlign w:val="top"/>
          </w:tcPr>
          <w:p w14:paraId="008AC6AD">
            <w:pPr>
              <w:topLinePunct/>
              <w:spacing w:line="400" w:lineRule="atLeast"/>
              <w:jc w:val="center"/>
              <w:rPr>
                <w:rFonts w:hint="eastAsia"/>
                <w:szCs w:val="21"/>
              </w:rPr>
            </w:pPr>
          </w:p>
        </w:tc>
      </w:tr>
      <w:tr w14:paraId="47CA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EEC43F">
            <w:pPr>
              <w:topLinePunct/>
              <w:spacing w:line="400" w:lineRule="atLeast"/>
              <w:jc w:val="center"/>
              <w:rPr>
                <w:rFonts w:hint="eastAsia"/>
                <w:szCs w:val="21"/>
              </w:rPr>
            </w:pPr>
          </w:p>
        </w:tc>
        <w:tc>
          <w:tcPr>
            <w:tcW w:w="1846" w:type="dxa"/>
            <w:noWrap w:val="0"/>
            <w:vAlign w:val="top"/>
          </w:tcPr>
          <w:p w14:paraId="6335CB5F">
            <w:pPr>
              <w:topLinePunct/>
              <w:spacing w:line="400" w:lineRule="atLeast"/>
              <w:jc w:val="center"/>
              <w:rPr>
                <w:rFonts w:hint="eastAsia"/>
                <w:szCs w:val="21"/>
              </w:rPr>
            </w:pPr>
          </w:p>
        </w:tc>
        <w:tc>
          <w:tcPr>
            <w:tcW w:w="1394" w:type="dxa"/>
            <w:noWrap w:val="0"/>
            <w:vAlign w:val="top"/>
          </w:tcPr>
          <w:p w14:paraId="4FE22961">
            <w:pPr>
              <w:topLinePunct/>
              <w:spacing w:line="400" w:lineRule="atLeast"/>
              <w:jc w:val="center"/>
              <w:rPr>
                <w:rFonts w:hint="eastAsia"/>
                <w:szCs w:val="21"/>
              </w:rPr>
            </w:pPr>
          </w:p>
        </w:tc>
        <w:tc>
          <w:tcPr>
            <w:tcW w:w="1080" w:type="dxa"/>
            <w:noWrap w:val="0"/>
            <w:vAlign w:val="top"/>
          </w:tcPr>
          <w:p w14:paraId="446EEF06">
            <w:pPr>
              <w:topLinePunct/>
              <w:spacing w:line="400" w:lineRule="atLeast"/>
              <w:jc w:val="center"/>
              <w:rPr>
                <w:rFonts w:hint="eastAsia"/>
                <w:szCs w:val="21"/>
              </w:rPr>
            </w:pPr>
          </w:p>
        </w:tc>
        <w:tc>
          <w:tcPr>
            <w:tcW w:w="1112" w:type="dxa"/>
            <w:noWrap w:val="0"/>
            <w:vAlign w:val="top"/>
          </w:tcPr>
          <w:p w14:paraId="2E2BE31F">
            <w:pPr>
              <w:topLinePunct/>
              <w:spacing w:line="400" w:lineRule="atLeast"/>
              <w:jc w:val="center"/>
              <w:rPr>
                <w:rFonts w:hint="eastAsia"/>
                <w:szCs w:val="21"/>
              </w:rPr>
            </w:pPr>
          </w:p>
        </w:tc>
        <w:tc>
          <w:tcPr>
            <w:tcW w:w="1778" w:type="dxa"/>
            <w:noWrap w:val="0"/>
            <w:vAlign w:val="top"/>
          </w:tcPr>
          <w:p w14:paraId="10045796">
            <w:pPr>
              <w:topLinePunct/>
              <w:spacing w:line="400" w:lineRule="atLeast"/>
              <w:jc w:val="center"/>
              <w:rPr>
                <w:rFonts w:hint="eastAsia"/>
                <w:szCs w:val="21"/>
              </w:rPr>
            </w:pPr>
          </w:p>
        </w:tc>
        <w:tc>
          <w:tcPr>
            <w:tcW w:w="1080" w:type="dxa"/>
            <w:noWrap w:val="0"/>
            <w:vAlign w:val="top"/>
          </w:tcPr>
          <w:p w14:paraId="64738BDF">
            <w:pPr>
              <w:topLinePunct/>
              <w:spacing w:line="400" w:lineRule="atLeast"/>
              <w:jc w:val="center"/>
              <w:rPr>
                <w:rFonts w:hint="eastAsia"/>
                <w:szCs w:val="21"/>
              </w:rPr>
            </w:pPr>
          </w:p>
        </w:tc>
      </w:tr>
      <w:tr w14:paraId="7CB8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6186963">
            <w:pPr>
              <w:topLinePunct/>
              <w:spacing w:line="400" w:lineRule="atLeast"/>
              <w:jc w:val="center"/>
              <w:rPr>
                <w:rFonts w:hint="eastAsia"/>
                <w:szCs w:val="21"/>
              </w:rPr>
            </w:pPr>
          </w:p>
        </w:tc>
        <w:tc>
          <w:tcPr>
            <w:tcW w:w="1846" w:type="dxa"/>
            <w:noWrap w:val="0"/>
            <w:vAlign w:val="top"/>
          </w:tcPr>
          <w:p w14:paraId="682F6746">
            <w:pPr>
              <w:topLinePunct/>
              <w:spacing w:line="400" w:lineRule="atLeast"/>
              <w:jc w:val="center"/>
              <w:rPr>
                <w:rFonts w:hint="eastAsia"/>
                <w:szCs w:val="21"/>
              </w:rPr>
            </w:pPr>
          </w:p>
        </w:tc>
        <w:tc>
          <w:tcPr>
            <w:tcW w:w="1394" w:type="dxa"/>
            <w:noWrap w:val="0"/>
            <w:vAlign w:val="top"/>
          </w:tcPr>
          <w:p w14:paraId="00EA07BD">
            <w:pPr>
              <w:topLinePunct/>
              <w:spacing w:line="400" w:lineRule="atLeast"/>
              <w:jc w:val="center"/>
              <w:rPr>
                <w:rFonts w:hint="eastAsia"/>
                <w:szCs w:val="21"/>
              </w:rPr>
            </w:pPr>
          </w:p>
        </w:tc>
        <w:tc>
          <w:tcPr>
            <w:tcW w:w="1080" w:type="dxa"/>
            <w:noWrap w:val="0"/>
            <w:vAlign w:val="top"/>
          </w:tcPr>
          <w:p w14:paraId="78F615BC">
            <w:pPr>
              <w:topLinePunct/>
              <w:spacing w:line="400" w:lineRule="atLeast"/>
              <w:jc w:val="center"/>
              <w:rPr>
                <w:rFonts w:hint="eastAsia"/>
                <w:szCs w:val="21"/>
              </w:rPr>
            </w:pPr>
          </w:p>
        </w:tc>
        <w:tc>
          <w:tcPr>
            <w:tcW w:w="1112" w:type="dxa"/>
            <w:noWrap w:val="0"/>
            <w:vAlign w:val="top"/>
          </w:tcPr>
          <w:p w14:paraId="53A3A8CB">
            <w:pPr>
              <w:topLinePunct/>
              <w:spacing w:line="400" w:lineRule="atLeast"/>
              <w:jc w:val="center"/>
              <w:rPr>
                <w:rFonts w:hint="eastAsia"/>
                <w:szCs w:val="21"/>
              </w:rPr>
            </w:pPr>
          </w:p>
        </w:tc>
        <w:tc>
          <w:tcPr>
            <w:tcW w:w="1778" w:type="dxa"/>
            <w:noWrap w:val="0"/>
            <w:vAlign w:val="top"/>
          </w:tcPr>
          <w:p w14:paraId="241E1B2E">
            <w:pPr>
              <w:topLinePunct/>
              <w:spacing w:line="400" w:lineRule="atLeast"/>
              <w:jc w:val="center"/>
              <w:rPr>
                <w:rFonts w:hint="eastAsia"/>
                <w:szCs w:val="21"/>
              </w:rPr>
            </w:pPr>
          </w:p>
        </w:tc>
        <w:tc>
          <w:tcPr>
            <w:tcW w:w="1080" w:type="dxa"/>
            <w:noWrap w:val="0"/>
            <w:vAlign w:val="top"/>
          </w:tcPr>
          <w:p w14:paraId="75AEA9C3">
            <w:pPr>
              <w:topLinePunct/>
              <w:spacing w:line="400" w:lineRule="atLeast"/>
              <w:jc w:val="center"/>
              <w:rPr>
                <w:rFonts w:hint="eastAsia"/>
                <w:szCs w:val="21"/>
              </w:rPr>
            </w:pPr>
          </w:p>
        </w:tc>
      </w:tr>
      <w:tr w14:paraId="475B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5F58EB0">
            <w:pPr>
              <w:topLinePunct/>
              <w:spacing w:line="400" w:lineRule="atLeast"/>
              <w:jc w:val="center"/>
              <w:rPr>
                <w:rFonts w:hint="eastAsia"/>
                <w:szCs w:val="21"/>
              </w:rPr>
            </w:pPr>
          </w:p>
        </w:tc>
        <w:tc>
          <w:tcPr>
            <w:tcW w:w="1846" w:type="dxa"/>
            <w:noWrap w:val="0"/>
            <w:vAlign w:val="top"/>
          </w:tcPr>
          <w:p w14:paraId="1CCA5450">
            <w:pPr>
              <w:topLinePunct/>
              <w:spacing w:line="400" w:lineRule="atLeast"/>
              <w:jc w:val="center"/>
              <w:rPr>
                <w:rFonts w:hint="eastAsia"/>
                <w:szCs w:val="21"/>
              </w:rPr>
            </w:pPr>
          </w:p>
        </w:tc>
        <w:tc>
          <w:tcPr>
            <w:tcW w:w="1394" w:type="dxa"/>
            <w:noWrap w:val="0"/>
            <w:vAlign w:val="top"/>
          </w:tcPr>
          <w:p w14:paraId="4935D369">
            <w:pPr>
              <w:topLinePunct/>
              <w:spacing w:line="400" w:lineRule="atLeast"/>
              <w:jc w:val="center"/>
              <w:rPr>
                <w:rFonts w:hint="eastAsia"/>
                <w:szCs w:val="21"/>
              </w:rPr>
            </w:pPr>
          </w:p>
        </w:tc>
        <w:tc>
          <w:tcPr>
            <w:tcW w:w="1080" w:type="dxa"/>
            <w:noWrap w:val="0"/>
            <w:vAlign w:val="top"/>
          </w:tcPr>
          <w:p w14:paraId="3A54909D">
            <w:pPr>
              <w:topLinePunct/>
              <w:spacing w:line="400" w:lineRule="atLeast"/>
              <w:jc w:val="center"/>
              <w:rPr>
                <w:rFonts w:hint="eastAsia"/>
                <w:szCs w:val="21"/>
              </w:rPr>
            </w:pPr>
          </w:p>
        </w:tc>
        <w:tc>
          <w:tcPr>
            <w:tcW w:w="1112" w:type="dxa"/>
            <w:noWrap w:val="0"/>
            <w:vAlign w:val="top"/>
          </w:tcPr>
          <w:p w14:paraId="01F563DA">
            <w:pPr>
              <w:topLinePunct/>
              <w:spacing w:line="400" w:lineRule="atLeast"/>
              <w:jc w:val="center"/>
              <w:rPr>
                <w:rFonts w:hint="eastAsia"/>
                <w:szCs w:val="21"/>
              </w:rPr>
            </w:pPr>
          </w:p>
        </w:tc>
        <w:tc>
          <w:tcPr>
            <w:tcW w:w="1778" w:type="dxa"/>
            <w:noWrap w:val="0"/>
            <w:vAlign w:val="top"/>
          </w:tcPr>
          <w:p w14:paraId="09773023">
            <w:pPr>
              <w:topLinePunct/>
              <w:spacing w:line="400" w:lineRule="atLeast"/>
              <w:jc w:val="center"/>
              <w:rPr>
                <w:rFonts w:hint="eastAsia"/>
                <w:szCs w:val="21"/>
              </w:rPr>
            </w:pPr>
          </w:p>
        </w:tc>
        <w:tc>
          <w:tcPr>
            <w:tcW w:w="1080" w:type="dxa"/>
            <w:noWrap w:val="0"/>
            <w:vAlign w:val="top"/>
          </w:tcPr>
          <w:p w14:paraId="1C8EF8FA">
            <w:pPr>
              <w:topLinePunct/>
              <w:spacing w:line="400" w:lineRule="atLeast"/>
              <w:jc w:val="center"/>
              <w:rPr>
                <w:rFonts w:hint="eastAsia"/>
                <w:szCs w:val="21"/>
              </w:rPr>
            </w:pPr>
          </w:p>
        </w:tc>
      </w:tr>
      <w:tr w14:paraId="2DCE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779F950">
            <w:pPr>
              <w:topLinePunct/>
              <w:spacing w:line="400" w:lineRule="atLeast"/>
              <w:jc w:val="center"/>
              <w:rPr>
                <w:rFonts w:hint="eastAsia"/>
                <w:szCs w:val="21"/>
              </w:rPr>
            </w:pPr>
          </w:p>
        </w:tc>
        <w:tc>
          <w:tcPr>
            <w:tcW w:w="1846" w:type="dxa"/>
            <w:noWrap w:val="0"/>
            <w:vAlign w:val="top"/>
          </w:tcPr>
          <w:p w14:paraId="0D9C1601">
            <w:pPr>
              <w:topLinePunct/>
              <w:spacing w:line="400" w:lineRule="atLeast"/>
              <w:jc w:val="center"/>
              <w:rPr>
                <w:rFonts w:hint="eastAsia"/>
                <w:szCs w:val="21"/>
              </w:rPr>
            </w:pPr>
          </w:p>
        </w:tc>
        <w:tc>
          <w:tcPr>
            <w:tcW w:w="1394" w:type="dxa"/>
            <w:noWrap w:val="0"/>
            <w:vAlign w:val="top"/>
          </w:tcPr>
          <w:p w14:paraId="1968BED8">
            <w:pPr>
              <w:topLinePunct/>
              <w:spacing w:line="400" w:lineRule="atLeast"/>
              <w:jc w:val="center"/>
              <w:rPr>
                <w:rFonts w:hint="eastAsia"/>
                <w:szCs w:val="21"/>
              </w:rPr>
            </w:pPr>
          </w:p>
        </w:tc>
        <w:tc>
          <w:tcPr>
            <w:tcW w:w="1080" w:type="dxa"/>
            <w:noWrap w:val="0"/>
            <w:vAlign w:val="top"/>
          </w:tcPr>
          <w:p w14:paraId="3C8F8BCE">
            <w:pPr>
              <w:topLinePunct/>
              <w:spacing w:line="400" w:lineRule="atLeast"/>
              <w:jc w:val="center"/>
              <w:rPr>
                <w:rFonts w:hint="eastAsia"/>
                <w:szCs w:val="21"/>
              </w:rPr>
            </w:pPr>
          </w:p>
        </w:tc>
        <w:tc>
          <w:tcPr>
            <w:tcW w:w="1112" w:type="dxa"/>
            <w:noWrap w:val="0"/>
            <w:vAlign w:val="top"/>
          </w:tcPr>
          <w:p w14:paraId="61A54862">
            <w:pPr>
              <w:topLinePunct/>
              <w:spacing w:line="400" w:lineRule="atLeast"/>
              <w:jc w:val="center"/>
              <w:rPr>
                <w:rFonts w:hint="eastAsia"/>
                <w:szCs w:val="21"/>
              </w:rPr>
            </w:pPr>
          </w:p>
        </w:tc>
        <w:tc>
          <w:tcPr>
            <w:tcW w:w="1778" w:type="dxa"/>
            <w:noWrap w:val="0"/>
            <w:vAlign w:val="top"/>
          </w:tcPr>
          <w:p w14:paraId="16E00294">
            <w:pPr>
              <w:topLinePunct/>
              <w:spacing w:line="400" w:lineRule="atLeast"/>
              <w:jc w:val="center"/>
              <w:rPr>
                <w:rFonts w:hint="eastAsia"/>
                <w:szCs w:val="21"/>
              </w:rPr>
            </w:pPr>
          </w:p>
        </w:tc>
        <w:tc>
          <w:tcPr>
            <w:tcW w:w="1080" w:type="dxa"/>
            <w:noWrap w:val="0"/>
            <w:vAlign w:val="top"/>
          </w:tcPr>
          <w:p w14:paraId="4610939F">
            <w:pPr>
              <w:topLinePunct/>
              <w:spacing w:line="400" w:lineRule="atLeast"/>
              <w:jc w:val="center"/>
              <w:rPr>
                <w:rFonts w:hint="eastAsia"/>
                <w:szCs w:val="21"/>
              </w:rPr>
            </w:pPr>
          </w:p>
        </w:tc>
      </w:tr>
      <w:tr w14:paraId="669DD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D651350">
            <w:pPr>
              <w:topLinePunct/>
              <w:spacing w:line="400" w:lineRule="atLeast"/>
              <w:jc w:val="center"/>
              <w:rPr>
                <w:rFonts w:hint="eastAsia"/>
                <w:szCs w:val="21"/>
              </w:rPr>
            </w:pPr>
          </w:p>
        </w:tc>
        <w:tc>
          <w:tcPr>
            <w:tcW w:w="1846" w:type="dxa"/>
            <w:noWrap w:val="0"/>
            <w:vAlign w:val="top"/>
          </w:tcPr>
          <w:p w14:paraId="33E598FC">
            <w:pPr>
              <w:topLinePunct/>
              <w:spacing w:line="400" w:lineRule="atLeast"/>
              <w:jc w:val="center"/>
              <w:rPr>
                <w:rFonts w:hint="eastAsia"/>
                <w:szCs w:val="21"/>
              </w:rPr>
            </w:pPr>
          </w:p>
        </w:tc>
        <w:tc>
          <w:tcPr>
            <w:tcW w:w="1394" w:type="dxa"/>
            <w:noWrap w:val="0"/>
            <w:vAlign w:val="top"/>
          </w:tcPr>
          <w:p w14:paraId="302E49AA">
            <w:pPr>
              <w:topLinePunct/>
              <w:spacing w:line="400" w:lineRule="atLeast"/>
              <w:jc w:val="center"/>
              <w:rPr>
                <w:rFonts w:hint="eastAsia"/>
                <w:szCs w:val="21"/>
              </w:rPr>
            </w:pPr>
          </w:p>
        </w:tc>
        <w:tc>
          <w:tcPr>
            <w:tcW w:w="1080" w:type="dxa"/>
            <w:noWrap w:val="0"/>
            <w:vAlign w:val="top"/>
          </w:tcPr>
          <w:p w14:paraId="7F44065D">
            <w:pPr>
              <w:topLinePunct/>
              <w:spacing w:line="400" w:lineRule="atLeast"/>
              <w:jc w:val="center"/>
              <w:rPr>
                <w:rFonts w:hint="eastAsia"/>
                <w:szCs w:val="21"/>
              </w:rPr>
            </w:pPr>
          </w:p>
        </w:tc>
        <w:tc>
          <w:tcPr>
            <w:tcW w:w="1112" w:type="dxa"/>
            <w:noWrap w:val="0"/>
            <w:vAlign w:val="top"/>
          </w:tcPr>
          <w:p w14:paraId="048529BF">
            <w:pPr>
              <w:topLinePunct/>
              <w:spacing w:line="400" w:lineRule="atLeast"/>
              <w:jc w:val="center"/>
              <w:rPr>
                <w:rFonts w:hint="eastAsia"/>
                <w:szCs w:val="21"/>
              </w:rPr>
            </w:pPr>
          </w:p>
        </w:tc>
        <w:tc>
          <w:tcPr>
            <w:tcW w:w="1778" w:type="dxa"/>
            <w:noWrap w:val="0"/>
            <w:vAlign w:val="top"/>
          </w:tcPr>
          <w:p w14:paraId="460A22EC">
            <w:pPr>
              <w:topLinePunct/>
              <w:spacing w:line="400" w:lineRule="atLeast"/>
              <w:jc w:val="center"/>
              <w:rPr>
                <w:rFonts w:hint="eastAsia"/>
                <w:szCs w:val="21"/>
              </w:rPr>
            </w:pPr>
          </w:p>
        </w:tc>
        <w:tc>
          <w:tcPr>
            <w:tcW w:w="1080" w:type="dxa"/>
            <w:noWrap w:val="0"/>
            <w:vAlign w:val="top"/>
          </w:tcPr>
          <w:p w14:paraId="70083A69">
            <w:pPr>
              <w:topLinePunct/>
              <w:spacing w:line="400" w:lineRule="atLeast"/>
              <w:jc w:val="center"/>
              <w:rPr>
                <w:rFonts w:hint="eastAsia"/>
                <w:szCs w:val="21"/>
              </w:rPr>
            </w:pPr>
          </w:p>
        </w:tc>
      </w:tr>
      <w:tr w14:paraId="4EFF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4FD33F1">
            <w:pPr>
              <w:topLinePunct/>
              <w:spacing w:line="400" w:lineRule="atLeast"/>
              <w:jc w:val="center"/>
              <w:rPr>
                <w:rFonts w:hint="eastAsia"/>
                <w:szCs w:val="21"/>
              </w:rPr>
            </w:pPr>
          </w:p>
        </w:tc>
        <w:tc>
          <w:tcPr>
            <w:tcW w:w="1846" w:type="dxa"/>
            <w:noWrap w:val="0"/>
            <w:vAlign w:val="top"/>
          </w:tcPr>
          <w:p w14:paraId="584FA8B4">
            <w:pPr>
              <w:topLinePunct/>
              <w:spacing w:line="400" w:lineRule="atLeast"/>
              <w:jc w:val="center"/>
              <w:rPr>
                <w:rFonts w:hint="eastAsia"/>
                <w:szCs w:val="21"/>
              </w:rPr>
            </w:pPr>
          </w:p>
        </w:tc>
        <w:tc>
          <w:tcPr>
            <w:tcW w:w="1394" w:type="dxa"/>
            <w:noWrap w:val="0"/>
            <w:vAlign w:val="top"/>
          </w:tcPr>
          <w:p w14:paraId="0F9C551C">
            <w:pPr>
              <w:topLinePunct/>
              <w:spacing w:line="400" w:lineRule="atLeast"/>
              <w:jc w:val="center"/>
              <w:rPr>
                <w:rFonts w:hint="eastAsia"/>
                <w:szCs w:val="21"/>
              </w:rPr>
            </w:pPr>
          </w:p>
        </w:tc>
        <w:tc>
          <w:tcPr>
            <w:tcW w:w="1080" w:type="dxa"/>
            <w:noWrap w:val="0"/>
            <w:vAlign w:val="top"/>
          </w:tcPr>
          <w:p w14:paraId="7C43CF0E">
            <w:pPr>
              <w:topLinePunct/>
              <w:spacing w:line="400" w:lineRule="atLeast"/>
              <w:jc w:val="center"/>
              <w:rPr>
                <w:rFonts w:hint="eastAsia"/>
                <w:szCs w:val="21"/>
              </w:rPr>
            </w:pPr>
          </w:p>
        </w:tc>
        <w:tc>
          <w:tcPr>
            <w:tcW w:w="1112" w:type="dxa"/>
            <w:noWrap w:val="0"/>
            <w:vAlign w:val="top"/>
          </w:tcPr>
          <w:p w14:paraId="24AF5C49">
            <w:pPr>
              <w:topLinePunct/>
              <w:spacing w:line="400" w:lineRule="atLeast"/>
              <w:jc w:val="center"/>
              <w:rPr>
                <w:rFonts w:hint="eastAsia"/>
                <w:szCs w:val="21"/>
              </w:rPr>
            </w:pPr>
          </w:p>
        </w:tc>
        <w:tc>
          <w:tcPr>
            <w:tcW w:w="1778" w:type="dxa"/>
            <w:noWrap w:val="0"/>
            <w:vAlign w:val="top"/>
          </w:tcPr>
          <w:p w14:paraId="393CD59F">
            <w:pPr>
              <w:topLinePunct/>
              <w:spacing w:line="400" w:lineRule="atLeast"/>
              <w:jc w:val="center"/>
              <w:rPr>
                <w:rFonts w:hint="eastAsia"/>
                <w:szCs w:val="21"/>
              </w:rPr>
            </w:pPr>
          </w:p>
        </w:tc>
        <w:tc>
          <w:tcPr>
            <w:tcW w:w="1080" w:type="dxa"/>
            <w:noWrap w:val="0"/>
            <w:vAlign w:val="top"/>
          </w:tcPr>
          <w:p w14:paraId="44D96E1F">
            <w:pPr>
              <w:topLinePunct/>
              <w:spacing w:line="400" w:lineRule="atLeast"/>
              <w:jc w:val="center"/>
              <w:rPr>
                <w:rFonts w:hint="eastAsia"/>
                <w:szCs w:val="21"/>
              </w:rPr>
            </w:pPr>
          </w:p>
        </w:tc>
      </w:tr>
    </w:tbl>
    <w:p w14:paraId="49BD8242">
      <w:pPr>
        <w:spacing w:before="120" w:beforeLines="50" w:after="120" w:afterLines="50" w:line="440" w:lineRule="exact"/>
        <w:rPr>
          <w:rFonts w:hint="eastAsia" w:ascii="黑体" w:hAnsi="宋体" w:eastAsia="黑体"/>
          <w:sz w:val="24"/>
        </w:rPr>
      </w:pPr>
    </w:p>
    <w:p w14:paraId="46438F43">
      <w:pPr>
        <w:spacing w:before="120" w:beforeLines="50" w:after="120" w:afterLines="50" w:line="440" w:lineRule="exact"/>
        <w:rPr>
          <w:rFonts w:hint="eastAsia" w:ascii="黑体" w:hAnsi="宋体" w:eastAsia="黑体"/>
          <w:sz w:val="24"/>
        </w:rPr>
      </w:pPr>
    </w:p>
    <w:p w14:paraId="7346E72F">
      <w:pPr>
        <w:spacing w:before="120" w:beforeLines="50" w:after="120" w:afterLines="50" w:line="440" w:lineRule="exact"/>
        <w:rPr>
          <w:rFonts w:hint="eastAsia" w:ascii="黑体" w:hAnsi="宋体" w:eastAsia="黑体"/>
          <w:sz w:val="24"/>
        </w:rPr>
      </w:pPr>
    </w:p>
    <w:p w14:paraId="46BF1479">
      <w:pPr>
        <w:spacing w:before="120" w:beforeLines="50" w:after="120" w:afterLines="50" w:line="440" w:lineRule="exact"/>
        <w:rPr>
          <w:rFonts w:hint="eastAsia" w:ascii="黑体" w:hAnsi="宋体" w:eastAsia="黑体"/>
          <w:sz w:val="24"/>
        </w:rPr>
      </w:pPr>
    </w:p>
    <w:p w14:paraId="0165A18D">
      <w:pPr>
        <w:spacing w:before="120" w:beforeLines="50" w:after="120" w:afterLines="50" w:line="440" w:lineRule="exact"/>
        <w:jc w:val="center"/>
        <w:rPr>
          <w:rFonts w:hint="eastAsia" w:ascii="黑体" w:hAnsi="宋体" w:eastAsia="黑体"/>
          <w:sz w:val="24"/>
        </w:rPr>
      </w:pPr>
    </w:p>
    <w:p w14:paraId="3D086E27">
      <w:pPr>
        <w:pStyle w:val="20"/>
        <w:jc w:val="center"/>
        <w:rPr>
          <w:rFonts w:hint="eastAsia"/>
          <w:szCs w:val="24"/>
        </w:rPr>
      </w:pPr>
      <w:bookmarkStart w:id="2669" w:name="_Toc108514253"/>
      <w:r>
        <w:rPr>
          <w:rFonts w:hint="eastAsia"/>
          <w:szCs w:val="24"/>
        </w:rPr>
        <w:t>4-2 正在施工的和新承接的项目情况表</w:t>
      </w:r>
      <w:bookmarkEnd w:id="2669"/>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04B5D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2410" w:type="dxa"/>
            <w:noWrap w:val="0"/>
            <w:vAlign w:val="center"/>
          </w:tcPr>
          <w:p w14:paraId="25C76487">
            <w:pPr>
              <w:jc w:val="center"/>
              <w:rPr>
                <w:rFonts w:hint="eastAsia" w:ascii="宋体" w:hAnsi="宋体"/>
                <w:szCs w:val="21"/>
              </w:rPr>
            </w:pPr>
            <w:r>
              <w:rPr>
                <w:rFonts w:hint="eastAsia" w:ascii="宋体" w:hAnsi="宋体"/>
                <w:szCs w:val="21"/>
              </w:rPr>
              <w:t>项目名称</w:t>
            </w:r>
          </w:p>
        </w:tc>
        <w:tc>
          <w:tcPr>
            <w:tcW w:w="6095" w:type="dxa"/>
            <w:noWrap w:val="0"/>
            <w:vAlign w:val="center"/>
          </w:tcPr>
          <w:p w14:paraId="4DA815EA">
            <w:pPr>
              <w:jc w:val="center"/>
              <w:rPr>
                <w:rFonts w:hint="eastAsia" w:ascii="宋体" w:hAnsi="宋体"/>
                <w:szCs w:val="21"/>
              </w:rPr>
            </w:pPr>
          </w:p>
        </w:tc>
      </w:tr>
      <w:tr w14:paraId="0D91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424A900">
            <w:pPr>
              <w:jc w:val="center"/>
              <w:rPr>
                <w:rFonts w:hint="eastAsia" w:ascii="宋体" w:hAnsi="宋体"/>
                <w:szCs w:val="21"/>
              </w:rPr>
            </w:pPr>
            <w:r>
              <w:rPr>
                <w:rFonts w:hint="eastAsia" w:ascii="宋体" w:hAnsi="宋体"/>
                <w:szCs w:val="21"/>
              </w:rPr>
              <w:t>项目所在地</w:t>
            </w:r>
          </w:p>
        </w:tc>
        <w:tc>
          <w:tcPr>
            <w:tcW w:w="6095" w:type="dxa"/>
            <w:noWrap w:val="0"/>
            <w:vAlign w:val="center"/>
          </w:tcPr>
          <w:p w14:paraId="2C9AF58D">
            <w:pPr>
              <w:jc w:val="center"/>
              <w:rPr>
                <w:rFonts w:hint="eastAsia" w:ascii="宋体" w:hAnsi="宋体"/>
                <w:szCs w:val="21"/>
              </w:rPr>
            </w:pPr>
          </w:p>
        </w:tc>
      </w:tr>
      <w:tr w14:paraId="3605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6437630">
            <w:pPr>
              <w:jc w:val="center"/>
              <w:rPr>
                <w:rFonts w:hint="eastAsia" w:ascii="宋体" w:hAnsi="宋体"/>
                <w:szCs w:val="21"/>
              </w:rPr>
            </w:pPr>
            <w:r>
              <w:rPr>
                <w:rFonts w:hint="eastAsia" w:ascii="宋体" w:hAnsi="宋体"/>
                <w:szCs w:val="21"/>
              </w:rPr>
              <w:t>发包人名称</w:t>
            </w:r>
          </w:p>
        </w:tc>
        <w:tc>
          <w:tcPr>
            <w:tcW w:w="6095" w:type="dxa"/>
            <w:noWrap w:val="0"/>
            <w:vAlign w:val="center"/>
          </w:tcPr>
          <w:p w14:paraId="03090985">
            <w:pPr>
              <w:jc w:val="center"/>
              <w:rPr>
                <w:rFonts w:hint="eastAsia" w:ascii="宋体" w:hAnsi="宋体"/>
                <w:szCs w:val="21"/>
              </w:rPr>
            </w:pPr>
          </w:p>
        </w:tc>
      </w:tr>
      <w:tr w14:paraId="2AD2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6C665A6">
            <w:pPr>
              <w:jc w:val="center"/>
              <w:rPr>
                <w:rFonts w:hint="eastAsia" w:ascii="宋体" w:hAnsi="宋体"/>
                <w:szCs w:val="21"/>
              </w:rPr>
            </w:pPr>
            <w:r>
              <w:rPr>
                <w:rFonts w:hint="eastAsia" w:ascii="宋体" w:hAnsi="宋体"/>
                <w:szCs w:val="21"/>
              </w:rPr>
              <w:t>发包人地址</w:t>
            </w:r>
          </w:p>
        </w:tc>
        <w:tc>
          <w:tcPr>
            <w:tcW w:w="6095" w:type="dxa"/>
            <w:noWrap w:val="0"/>
            <w:vAlign w:val="center"/>
          </w:tcPr>
          <w:p w14:paraId="346EB515">
            <w:pPr>
              <w:jc w:val="center"/>
              <w:rPr>
                <w:rFonts w:hint="eastAsia" w:ascii="宋体" w:hAnsi="宋体"/>
                <w:szCs w:val="21"/>
              </w:rPr>
            </w:pPr>
          </w:p>
        </w:tc>
      </w:tr>
      <w:tr w14:paraId="3C93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8981B36">
            <w:pPr>
              <w:jc w:val="center"/>
              <w:rPr>
                <w:rFonts w:hint="eastAsia" w:ascii="宋体" w:hAnsi="宋体"/>
                <w:szCs w:val="21"/>
              </w:rPr>
            </w:pPr>
            <w:r>
              <w:rPr>
                <w:rFonts w:hint="eastAsia" w:ascii="宋体" w:hAnsi="宋体"/>
                <w:szCs w:val="21"/>
              </w:rPr>
              <w:t>发包人电话</w:t>
            </w:r>
          </w:p>
        </w:tc>
        <w:tc>
          <w:tcPr>
            <w:tcW w:w="6095" w:type="dxa"/>
            <w:noWrap w:val="0"/>
            <w:vAlign w:val="center"/>
          </w:tcPr>
          <w:p w14:paraId="42043FBD">
            <w:pPr>
              <w:jc w:val="center"/>
              <w:rPr>
                <w:rFonts w:hint="eastAsia" w:ascii="宋体" w:hAnsi="宋体"/>
                <w:szCs w:val="21"/>
              </w:rPr>
            </w:pPr>
          </w:p>
        </w:tc>
      </w:tr>
      <w:tr w14:paraId="7E08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D702EF0">
            <w:pPr>
              <w:jc w:val="center"/>
              <w:rPr>
                <w:rFonts w:hint="eastAsia" w:ascii="宋体" w:hAnsi="宋体"/>
                <w:szCs w:val="21"/>
              </w:rPr>
            </w:pPr>
            <w:r>
              <w:rPr>
                <w:rFonts w:hint="eastAsia" w:ascii="宋体" w:hAnsi="宋体"/>
                <w:szCs w:val="21"/>
              </w:rPr>
              <w:t>签约合同价</w:t>
            </w:r>
          </w:p>
        </w:tc>
        <w:tc>
          <w:tcPr>
            <w:tcW w:w="6095" w:type="dxa"/>
            <w:noWrap w:val="0"/>
            <w:vAlign w:val="center"/>
          </w:tcPr>
          <w:p w14:paraId="1A070651">
            <w:pPr>
              <w:jc w:val="center"/>
              <w:rPr>
                <w:rFonts w:hint="eastAsia" w:ascii="宋体" w:hAnsi="宋体"/>
                <w:szCs w:val="21"/>
              </w:rPr>
            </w:pPr>
          </w:p>
        </w:tc>
      </w:tr>
      <w:tr w14:paraId="5EFD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0281105">
            <w:pPr>
              <w:jc w:val="center"/>
              <w:rPr>
                <w:rFonts w:hint="eastAsia" w:ascii="宋体" w:hAnsi="宋体"/>
                <w:szCs w:val="21"/>
              </w:rPr>
            </w:pPr>
            <w:r>
              <w:rPr>
                <w:rFonts w:hint="eastAsia" w:ascii="宋体" w:hAnsi="宋体"/>
                <w:szCs w:val="21"/>
              </w:rPr>
              <w:t>开工日期</w:t>
            </w:r>
          </w:p>
        </w:tc>
        <w:tc>
          <w:tcPr>
            <w:tcW w:w="6095" w:type="dxa"/>
            <w:noWrap w:val="0"/>
            <w:vAlign w:val="center"/>
          </w:tcPr>
          <w:p w14:paraId="261651C8">
            <w:pPr>
              <w:jc w:val="center"/>
              <w:rPr>
                <w:rFonts w:hint="eastAsia" w:ascii="宋体" w:hAnsi="宋体"/>
                <w:szCs w:val="21"/>
              </w:rPr>
            </w:pPr>
          </w:p>
        </w:tc>
      </w:tr>
      <w:tr w14:paraId="0C67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D05086E">
            <w:pPr>
              <w:jc w:val="center"/>
              <w:rPr>
                <w:rFonts w:hint="eastAsia" w:ascii="宋体" w:hAnsi="宋体"/>
                <w:szCs w:val="21"/>
              </w:rPr>
            </w:pPr>
            <w:r>
              <w:rPr>
                <w:rFonts w:hint="eastAsia" w:ascii="宋体" w:hAnsi="宋体"/>
                <w:szCs w:val="21"/>
              </w:rPr>
              <w:t>计划竣工日期</w:t>
            </w:r>
          </w:p>
        </w:tc>
        <w:tc>
          <w:tcPr>
            <w:tcW w:w="6095" w:type="dxa"/>
            <w:noWrap w:val="0"/>
            <w:vAlign w:val="center"/>
          </w:tcPr>
          <w:p w14:paraId="2E0D4AEC">
            <w:pPr>
              <w:jc w:val="center"/>
              <w:rPr>
                <w:rFonts w:hint="eastAsia" w:ascii="宋体" w:hAnsi="宋体"/>
                <w:szCs w:val="21"/>
              </w:rPr>
            </w:pPr>
          </w:p>
        </w:tc>
      </w:tr>
      <w:tr w14:paraId="09D4F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5899268">
            <w:pPr>
              <w:jc w:val="center"/>
              <w:rPr>
                <w:rFonts w:hint="eastAsia" w:ascii="宋体" w:hAnsi="宋体"/>
                <w:szCs w:val="21"/>
              </w:rPr>
            </w:pPr>
            <w:r>
              <w:rPr>
                <w:rFonts w:hint="eastAsia" w:ascii="宋体" w:hAnsi="宋体"/>
                <w:szCs w:val="21"/>
              </w:rPr>
              <w:t>承担的工作</w:t>
            </w:r>
          </w:p>
        </w:tc>
        <w:tc>
          <w:tcPr>
            <w:tcW w:w="6095" w:type="dxa"/>
            <w:noWrap w:val="0"/>
            <w:vAlign w:val="center"/>
          </w:tcPr>
          <w:p w14:paraId="70E62C7E">
            <w:pPr>
              <w:jc w:val="center"/>
              <w:rPr>
                <w:rFonts w:hint="eastAsia" w:ascii="宋体" w:hAnsi="宋体"/>
                <w:szCs w:val="21"/>
              </w:rPr>
            </w:pPr>
          </w:p>
        </w:tc>
      </w:tr>
      <w:tr w14:paraId="5F943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33E78C9">
            <w:pPr>
              <w:jc w:val="center"/>
              <w:rPr>
                <w:rFonts w:hint="eastAsia" w:ascii="宋体" w:hAnsi="宋体"/>
                <w:szCs w:val="21"/>
              </w:rPr>
            </w:pPr>
            <w:r>
              <w:rPr>
                <w:rFonts w:hint="eastAsia" w:ascii="宋体" w:hAnsi="宋体"/>
                <w:szCs w:val="21"/>
              </w:rPr>
              <w:t>工程质量</w:t>
            </w:r>
          </w:p>
        </w:tc>
        <w:tc>
          <w:tcPr>
            <w:tcW w:w="6095" w:type="dxa"/>
            <w:noWrap w:val="0"/>
            <w:vAlign w:val="center"/>
          </w:tcPr>
          <w:p w14:paraId="55FF8CD2">
            <w:pPr>
              <w:jc w:val="center"/>
              <w:rPr>
                <w:rFonts w:hint="eastAsia" w:ascii="宋体" w:hAnsi="宋体"/>
                <w:szCs w:val="21"/>
              </w:rPr>
            </w:pPr>
          </w:p>
        </w:tc>
      </w:tr>
      <w:tr w14:paraId="4C7F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333D31">
            <w:pPr>
              <w:jc w:val="center"/>
              <w:rPr>
                <w:rFonts w:hint="eastAsia" w:ascii="宋体" w:hAnsi="宋体"/>
                <w:szCs w:val="21"/>
              </w:rPr>
            </w:pPr>
            <w:r>
              <w:rPr>
                <w:rFonts w:hint="eastAsia" w:ascii="宋体" w:hAnsi="宋体"/>
                <w:szCs w:val="21"/>
              </w:rPr>
              <w:t>项目经理</w:t>
            </w:r>
          </w:p>
        </w:tc>
        <w:tc>
          <w:tcPr>
            <w:tcW w:w="6095" w:type="dxa"/>
            <w:noWrap w:val="0"/>
            <w:vAlign w:val="center"/>
          </w:tcPr>
          <w:p w14:paraId="0DABCE2B">
            <w:pPr>
              <w:jc w:val="center"/>
              <w:rPr>
                <w:rFonts w:hint="eastAsia" w:ascii="宋体" w:hAnsi="宋体"/>
                <w:szCs w:val="21"/>
              </w:rPr>
            </w:pPr>
          </w:p>
        </w:tc>
      </w:tr>
      <w:tr w14:paraId="0B09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8D25E20">
            <w:pPr>
              <w:jc w:val="center"/>
              <w:rPr>
                <w:rFonts w:hint="eastAsia" w:ascii="宋体" w:hAnsi="宋体"/>
                <w:szCs w:val="21"/>
              </w:rPr>
            </w:pPr>
            <w:r>
              <w:rPr>
                <w:rFonts w:hint="eastAsia" w:ascii="宋体" w:hAnsi="宋体"/>
                <w:szCs w:val="21"/>
              </w:rPr>
              <w:t>技术负责人</w:t>
            </w:r>
          </w:p>
        </w:tc>
        <w:tc>
          <w:tcPr>
            <w:tcW w:w="6095" w:type="dxa"/>
            <w:noWrap w:val="0"/>
            <w:vAlign w:val="center"/>
          </w:tcPr>
          <w:p w14:paraId="62CE1E47">
            <w:pPr>
              <w:jc w:val="center"/>
              <w:rPr>
                <w:rFonts w:hint="eastAsia" w:ascii="宋体" w:hAnsi="宋体"/>
                <w:szCs w:val="21"/>
              </w:rPr>
            </w:pPr>
          </w:p>
        </w:tc>
      </w:tr>
      <w:tr w14:paraId="2677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BE1D806">
            <w:pPr>
              <w:jc w:val="center"/>
              <w:rPr>
                <w:rFonts w:hint="eastAsia" w:ascii="宋体" w:hAnsi="宋体"/>
                <w:szCs w:val="21"/>
              </w:rPr>
            </w:pPr>
            <w:r>
              <w:rPr>
                <w:rFonts w:hint="eastAsia" w:ascii="宋体" w:hAnsi="宋体"/>
                <w:szCs w:val="21"/>
              </w:rPr>
              <w:t>总监理工程师及电话</w:t>
            </w:r>
          </w:p>
        </w:tc>
        <w:tc>
          <w:tcPr>
            <w:tcW w:w="6095" w:type="dxa"/>
            <w:noWrap w:val="0"/>
            <w:vAlign w:val="center"/>
          </w:tcPr>
          <w:p w14:paraId="510E4FE1">
            <w:pPr>
              <w:jc w:val="center"/>
              <w:rPr>
                <w:rFonts w:hint="eastAsia" w:ascii="宋体" w:hAnsi="宋体"/>
                <w:szCs w:val="21"/>
              </w:rPr>
            </w:pPr>
          </w:p>
        </w:tc>
      </w:tr>
      <w:tr w14:paraId="0D31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15C249F7">
            <w:pPr>
              <w:jc w:val="center"/>
              <w:rPr>
                <w:rFonts w:hint="eastAsia" w:ascii="宋体" w:hAnsi="宋体"/>
                <w:szCs w:val="21"/>
              </w:rPr>
            </w:pPr>
            <w:r>
              <w:rPr>
                <w:rFonts w:hint="eastAsia" w:ascii="宋体" w:hAnsi="宋体"/>
                <w:szCs w:val="21"/>
              </w:rPr>
              <w:t>项目描述</w:t>
            </w:r>
          </w:p>
        </w:tc>
        <w:tc>
          <w:tcPr>
            <w:tcW w:w="6095" w:type="dxa"/>
            <w:noWrap w:val="0"/>
            <w:vAlign w:val="center"/>
          </w:tcPr>
          <w:p w14:paraId="6846B340">
            <w:pPr>
              <w:jc w:val="center"/>
              <w:rPr>
                <w:rFonts w:hint="eastAsia" w:ascii="宋体" w:hAnsi="宋体"/>
                <w:szCs w:val="21"/>
              </w:rPr>
            </w:pPr>
          </w:p>
        </w:tc>
      </w:tr>
      <w:tr w14:paraId="4AFE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5117BF6">
            <w:pPr>
              <w:jc w:val="center"/>
              <w:rPr>
                <w:rFonts w:hint="eastAsia" w:ascii="宋体" w:hAnsi="宋体"/>
                <w:szCs w:val="21"/>
              </w:rPr>
            </w:pPr>
            <w:r>
              <w:rPr>
                <w:rFonts w:hint="eastAsia" w:ascii="宋体" w:hAnsi="宋体"/>
                <w:szCs w:val="21"/>
              </w:rPr>
              <w:t>备注</w:t>
            </w:r>
          </w:p>
        </w:tc>
        <w:tc>
          <w:tcPr>
            <w:tcW w:w="6095" w:type="dxa"/>
            <w:noWrap w:val="0"/>
            <w:vAlign w:val="center"/>
          </w:tcPr>
          <w:p w14:paraId="56112120">
            <w:pPr>
              <w:jc w:val="center"/>
              <w:rPr>
                <w:rFonts w:hint="eastAsia" w:ascii="宋体" w:hAnsi="宋体"/>
                <w:szCs w:val="21"/>
              </w:rPr>
            </w:pPr>
          </w:p>
        </w:tc>
      </w:tr>
    </w:tbl>
    <w:p w14:paraId="42C39E5E">
      <w:pPr>
        <w:ind w:left="945" w:hanging="945" w:hangingChars="450"/>
        <w:rPr>
          <w:rFonts w:hint="eastAsia" w:ascii="宋体" w:hAnsi="宋体"/>
        </w:rPr>
      </w:pPr>
    </w:p>
    <w:p w14:paraId="508DF263">
      <w:pPr>
        <w:ind w:left="945" w:hanging="945" w:hangingChars="450"/>
        <w:rPr>
          <w:rFonts w:hint="eastAsia" w:ascii="宋体" w:hAnsi="宋体"/>
        </w:rPr>
      </w:pPr>
    </w:p>
    <w:p w14:paraId="33558817">
      <w:pPr>
        <w:ind w:left="630" w:hanging="630" w:hangingChars="300"/>
        <w:rPr>
          <w:rFonts w:hint="eastAsia" w:ascii="宋体" w:hAnsi="宋体"/>
          <w:szCs w:val="21"/>
        </w:rPr>
      </w:pPr>
      <w:r>
        <w:rPr>
          <w:rFonts w:hint="eastAsia" w:ascii="宋体" w:hAnsi="宋体"/>
        </w:rPr>
        <w:t>备注：本表后附中标通知书（如有）、合同协议书、施工许可证（如有）的扫描件。其中招标发包的工程应附中标通知书，</w:t>
      </w:r>
      <w:r>
        <w:rPr>
          <w:rFonts w:hint="eastAsia" w:cs="宋体"/>
          <w:kern w:val="0"/>
          <w:szCs w:val="21"/>
        </w:rPr>
        <w:t>工程总承包发包、施工总承包发包、独立发包的施工专业承包正在施工的应附</w:t>
      </w:r>
      <w:r>
        <w:rPr>
          <w:rFonts w:hint="eastAsia"/>
        </w:rPr>
        <w:t>施工许可证</w:t>
      </w:r>
      <w:r>
        <w:rPr>
          <w:rFonts w:hint="eastAsia" w:ascii="宋体" w:hAnsi="宋体"/>
        </w:rPr>
        <w:t>。每张表格只填写一个项目，并标明序号。</w:t>
      </w:r>
    </w:p>
    <w:p w14:paraId="39665778">
      <w:pPr>
        <w:pStyle w:val="20"/>
        <w:jc w:val="center"/>
        <w:rPr>
          <w:rFonts w:hint="eastAsia" w:ascii="黑体" w:hAnsi="宋体"/>
        </w:rPr>
      </w:pPr>
      <w:bookmarkStart w:id="2670" w:name="_Toc108514254"/>
      <w:r>
        <w:rPr>
          <w:rFonts w:hint="eastAsia"/>
          <w:szCs w:val="24"/>
        </w:rPr>
        <w:t>（五）企业信誉情况</w:t>
      </w:r>
      <w:bookmarkEnd w:id="2670"/>
    </w:p>
    <w:p w14:paraId="77209C10">
      <w:pPr>
        <w:jc w:val="center"/>
        <w:rPr>
          <w:rFonts w:hint="eastAsia" w:ascii="黑体" w:hAnsi="宋体" w:eastAsia="黑体"/>
          <w:b/>
          <w:sz w:val="24"/>
        </w:rPr>
      </w:pPr>
    </w:p>
    <w:p w14:paraId="40A8D3A5">
      <w:pPr>
        <w:jc w:val="center"/>
        <w:rPr>
          <w:rFonts w:hint="eastAsia" w:ascii="黑体" w:hAnsi="宋体" w:eastAsia="黑体"/>
          <w:b/>
          <w:sz w:val="24"/>
        </w:rPr>
      </w:pPr>
    </w:p>
    <w:p w14:paraId="646C6CB3">
      <w:pPr>
        <w:pStyle w:val="20"/>
        <w:jc w:val="center"/>
        <w:rPr>
          <w:rFonts w:hint="eastAsia"/>
          <w:szCs w:val="24"/>
        </w:rPr>
      </w:pPr>
      <w:bookmarkStart w:id="2671" w:name="_Toc108514255"/>
      <w:r>
        <w:rPr>
          <w:rFonts w:hint="eastAsia"/>
          <w:szCs w:val="24"/>
        </w:rPr>
        <w:t>5-1</w:t>
      </w:r>
      <w:r>
        <w:rPr>
          <w:rFonts w:hint="eastAsia" w:ascii="宋体" w:hAnsi="宋体"/>
          <w:szCs w:val="21"/>
        </w:rPr>
        <w:t>企业信誉声明</w:t>
      </w:r>
      <w:bookmarkEnd w:id="2671"/>
    </w:p>
    <w:p w14:paraId="6D538EF5">
      <w:pPr>
        <w:rPr>
          <w:rFonts w:hint="eastAsia" w:ascii="宋体" w:hAnsi="宋体"/>
          <w:u w:val="single"/>
        </w:rPr>
      </w:pPr>
    </w:p>
    <w:p w14:paraId="7F7792E8">
      <w:pPr>
        <w:rPr>
          <w:rFonts w:hint="eastAsia" w:ascii="宋体" w:hAnsi="宋体"/>
        </w:rPr>
      </w:pPr>
      <w:r>
        <w:rPr>
          <w:rFonts w:hint="eastAsia" w:ascii="宋体" w:hAnsi="宋体"/>
          <w:u w:val="single"/>
        </w:rPr>
        <w:t xml:space="preserve">                     </w:t>
      </w:r>
      <w:r>
        <w:rPr>
          <w:rFonts w:hint="eastAsia" w:ascii="宋体" w:hAnsi="宋体"/>
        </w:rPr>
        <w:t>（招标人名称）：</w:t>
      </w:r>
    </w:p>
    <w:p w14:paraId="5422CC9B">
      <w:pPr>
        <w:rPr>
          <w:rFonts w:hint="eastAsia" w:ascii="宋体" w:hAnsi="宋体"/>
        </w:rPr>
      </w:pPr>
    </w:p>
    <w:p w14:paraId="6715E4DA">
      <w:pPr>
        <w:spacing w:line="440" w:lineRule="exact"/>
        <w:ind w:firstLine="420" w:firstLineChars="200"/>
        <w:rPr>
          <w:rFonts w:hint="eastAsia" w:ascii="宋体" w:hAnsi="宋体"/>
          <w:szCs w:val="21"/>
        </w:rPr>
      </w:pPr>
      <w:r>
        <w:rPr>
          <w:rFonts w:hint="eastAsia" w:ascii="宋体" w:hAnsi="宋体"/>
          <w:szCs w:val="21"/>
        </w:rPr>
        <w:t>我方在此声明，</w:t>
      </w:r>
      <w:r>
        <w:rPr>
          <w:rFonts w:hint="eastAsia" w:ascii="宋体" w:hAnsi="宋体"/>
        </w:rPr>
        <w:t>截止本招标项目投标截止时间，我方处于</w:t>
      </w:r>
      <w:r>
        <w:rPr>
          <w:rFonts w:hint="eastAsia" w:ascii="宋体" w:hAnsi="宋体"/>
          <w:szCs w:val="21"/>
        </w:rPr>
        <w:t>正常的经营状态，不存在下列任何一种情形。</w:t>
      </w:r>
    </w:p>
    <w:p w14:paraId="31F15DCD">
      <w:pPr>
        <w:spacing w:line="400" w:lineRule="exact"/>
        <w:ind w:firstLine="420" w:firstLineChars="200"/>
        <w:rPr>
          <w:rFonts w:hint="eastAsia"/>
        </w:rPr>
      </w:pPr>
      <w:r>
        <w:rPr>
          <w:rFonts w:hint="eastAsia"/>
        </w:rPr>
        <w:t>1.被依法暂停或取消投标资格；</w:t>
      </w:r>
    </w:p>
    <w:p w14:paraId="31267D93">
      <w:pPr>
        <w:spacing w:line="400" w:lineRule="exact"/>
        <w:ind w:firstLine="420" w:firstLineChars="200"/>
        <w:rPr>
          <w:rFonts w:hint="eastAsia"/>
        </w:rPr>
      </w:pPr>
      <w:r>
        <w:rPr>
          <w:rFonts w:hint="eastAsia"/>
        </w:rPr>
        <w:t xml:space="preserve">2.被责令停产停业、暂扣或者吊销许可证、暂扣或者吊销执照； </w:t>
      </w:r>
    </w:p>
    <w:p w14:paraId="73F4EA83">
      <w:pPr>
        <w:spacing w:line="400" w:lineRule="exact"/>
        <w:ind w:firstLine="420" w:firstLineChars="200"/>
        <w:rPr>
          <w:rFonts w:hint="eastAsia"/>
        </w:rPr>
      </w:pPr>
      <w:r>
        <w:rPr>
          <w:rFonts w:hint="eastAsia"/>
        </w:rPr>
        <w:t>3.进入清算程序，或被宣告破产，或其他丧失履约能力的情形；</w:t>
      </w:r>
    </w:p>
    <w:p w14:paraId="5B5366F4">
      <w:pPr>
        <w:spacing w:line="400" w:lineRule="exact"/>
        <w:ind w:firstLine="420" w:firstLineChars="200"/>
        <w:rPr>
          <w:rFonts w:hint="eastAsia"/>
        </w:rPr>
      </w:pPr>
      <w:r>
        <w:rPr>
          <w:rFonts w:hint="eastAsia"/>
        </w:rPr>
        <w:t>4.在最近三年内发生重大工程质量问题；</w:t>
      </w:r>
    </w:p>
    <w:p w14:paraId="0194C57E">
      <w:pPr>
        <w:spacing w:line="400" w:lineRule="exact"/>
        <w:ind w:firstLine="420" w:firstLineChars="200"/>
      </w:pPr>
      <w:r>
        <w:rPr>
          <w:rFonts w:hint="eastAsia"/>
        </w:rPr>
        <w:t>5.在“国家企业信用信息公示系统”（</w:t>
      </w:r>
      <w:r>
        <w:t xml:space="preserve"> www.gsxt.gov.cn</w:t>
      </w:r>
      <w:r>
        <w:rPr>
          <w:rFonts w:hint="eastAsia"/>
        </w:rPr>
        <w:t>）被列入严重违法失信企业名单；</w:t>
      </w:r>
    </w:p>
    <w:p w14:paraId="1B8C7B6E">
      <w:pPr>
        <w:spacing w:line="400" w:lineRule="exact"/>
        <w:ind w:firstLine="420" w:firstLineChars="200"/>
      </w:pPr>
      <w:r>
        <w:rPr>
          <w:rFonts w:hint="eastAsia"/>
        </w:rPr>
        <w:t>6.在“信用中国”网站（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）或“中国执行信息公开网”（http://zxgk.court.gov.cn/shixin/）被列入失信被执行人名单；</w:t>
      </w:r>
    </w:p>
    <w:p w14:paraId="0112FBB1">
      <w:pPr>
        <w:spacing w:line="400" w:lineRule="exact"/>
        <w:ind w:firstLine="420" w:firstLineChars="200"/>
      </w:pPr>
      <w:r>
        <w:rPr>
          <w:rFonts w:hint="eastAsia"/>
        </w:rPr>
        <w:t>7.在近三年内投标人或其法定代表人、拟委任的项目经理有行贿犯罪行为；</w:t>
      </w:r>
    </w:p>
    <w:p w14:paraId="651A01F1">
      <w:pPr>
        <w:spacing w:line="440" w:lineRule="exact"/>
        <w:ind w:firstLine="420" w:firstLineChars="200"/>
        <w:rPr>
          <w:rFonts w:hint="eastAsia"/>
        </w:rPr>
      </w:pPr>
      <w:r>
        <w:rPr>
          <w:rFonts w:hint="eastAsia"/>
        </w:rPr>
        <w:t>8.法律法规或投标人须知前附表第1.4.3（19）目规定的其他情形。</w:t>
      </w:r>
    </w:p>
    <w:p w14:paraId="3E9DE095">
      <w:pPr>
        <w:spacing w:line="440" w:lineRule="exact"/>
        <w:ind w:firstLine="420" w:firstLineChars="200"/>
        <w:rPr>
          <w:rFonts w:hint="eastAsia" w:ascii="宋体" w:hAnsi="宋体"/>
          <w:szCs w:val="21"/>
        </w:rPr>
      </w:pPr>
      <w:r>
        <w:rPr>
          <w:rFonts w:hint="eastAsia" w:ascii="宋体" w:hAnsi="宋体"/>
          <w:szCs w:val="21"/>
        </w:rPr>
        <w:t>我方</w:t>
      </w:r>
      <w:r>
        <w:rPr>
          <w:rFonts w:hint="eastAsia"/>
        </w:rPr>
        <w:t>对上述声明的</w:t>
      </w:r>
      <w:r>
        <w:rPr>
          <w:rFonts w:hint="eastAsia" w:ascii="宋体" w:hAnsi="宋体"/>
          <w:szCs w:val="21"/>
        </w:rPr>
        <w:t>真实性和准确性</w:t>
      </w:r>
      <w:r>
        <w:rPr>
          <w:rFonts w:hint="eastAsia"/>
        </w:rPr>
        <w:t>负责</w:t>
      </w:r>
      <w:r>
        <w:rPr>
          <w:rFonts w:hint="eastAsia" w:ascii="宋体" w:hAnsi="宋体"/>
          <w:szCs w:val="21"/>
        </w:rPr>
        <w:t>，并承担相应的法律责任。</w:t>
      </w:r>
    </w:p>
    <w:p w14:paraId="1D15FA51">
      <w:pPr>
        <w:spacing w:line="440" w:lineRule="exact"/>
        <w:ind w:firstLine="420" w:firstLineChars="200"/>
        <w:rPr>
          <w:rFonts w:hint="eastAsia" w:ascii="宋体" w:hAnsi="宋体"/>
          <w:szCs w:val="21"/>
        </w:rPr>
      </w:pPr>
    </w:p>
    <w:p w14:paraId="7A1BC2DD">
      <w:pPr>
        <w:spacing w:line="440" w:lineRule="exact"/>
        <w:ind w:firstLine="420" w:firstLineChars="200"/>
        <w:rPr>
          <w:rFonts w:hint="eastAsia" w:ascii="宋体" w:hAnsi="宋体"/>
          <w:szCs w:val="21"/>
        </w:rPr>
      </w:pPr>
    </w:p>
    <w:p w14:paraId="7BC87DF0">
      <w:pPr>
        <w:spacing w:line="440" w:lineRule="exact"/>
        <w:ind w:firstLine="3990" w:firstLineChars="190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376727FA">
      <w:pPr>
        <w:spacing w:line="440" w:lineRule="exact"/>
        <w:ind w:firstLine="3990" w:firstLineChars="19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31338421">
      <w:pPr>
        <w:spacing w:line="440" w:lineRule="exact"/>
        <w:ind w:firstLine="420" w:firstLineChars="200"/>
        <w:rPr>
          <w:rFonts w:hint="eastAsia" w:ascii="宋体" w:hAnsi="宋体"/>
          <w:szCs w:val="21"/>
        </w:rPr>
      </w:pPr>
    </w:p>
    <w:p w14:paraId="43F096E0">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2C3B112C">
      <w:pPr>
        <w:spacing w:line="440" w:lineRule="exact"/>
        <w:rPr>
          <w:rFonts w:hint="eastAsia" w:ascii="宋体" w:hAnsi="宋体"/>
          <w:szCs w:val="21"/>
        </w:rPr>
      </w:pPr>
    </w:p>
    <w:p w14:paraId="6E3614B5">
      <w:pPr>
        <w:spacing w:line="440" w:lineRule="exact"/>
        <w:rPr>
          <w:rFonts w:hint="eastAsia" w:ascii="宋体" w:hAnsi="宋体"/>
          <w:szCs w:val="21"/>
        </w:rPr>
      </w:pPr>
    </w:p>
    <w:p w14:paraId="7DB09437">
      <w:pPr>
        <w:spacing w:line="440" w:lineRule="exact"/>
        <w:rPr>
          <w:rFonts w:hint="eastAsia" w:ascii="宋体" w:hAnsi="宋体"/>
          <w:szCs w:val="21"/>
        </w:rPr>
      </w:pPr>
    </w:p>
    <w:p w14:paraId="3F98FF38">
      <w:pPr>
        <w:ind w:left="840" w:hanging="840" w:hangingChars="400"/>
        <w:rPr>
          <w:rFonts w:hint="eastAsia" w:ascii="宋体" w:hAnsi="宋体"/>
        </w:rPr>
      </w:pPr>
      <w:r>
        <w:rPr>
          <w:rFonts w:hint="eastAsia" w:ascii="宋体" w:hAnsi="宋体"/>
        </w:rPr>
        <w:t>备注：1.投标人应针对第二章“投标人须知”第1.4.1项和第1.4.3项的要求，在此对其信誉情况做出说明。如上格式文件所示。</w:t>
      </w:r>
    </w:p>
    <w:p w14:paraId="0D07D36F">
      <w:pPr>
        <w:rPr>
          <w:rFonts w:hint="eastAsia" w:ascii="宋体" w:hAnsi="宋体"/>
        </w:rPr>
      </w:pPr>
      <w:r>
        <w:rPr>
          <w:rFonts w:hint="eastAsia" w:ascii="宋体" w:hAnsi="宋体"/>
        </w:rPr>
        <w:t xml:space="preserve">      2.联合体投标的，联合体各成员单位均应按要求做出说明。</w:t>
      </w:r>
    </w:p>
    <w:p w14:paraId="7E369EC3">
      <w:pPr>
        <w:spacing w:line="320" w:lineRule="exact"/>
        <w:ind w:left="840" w:leftChars="300" w:hanging="210" w:hangingChars="100"/>
        <w:rPr>
          <w:rFonts w:hint="eastAsia" w:ascii="宋体" w:hAnsi="宋体"/>
        </w:rPr>
      </w:pPr>
      <w:r>
        <w:rPr>
          <w:rFonts w:hint="eastAsia" w:cs="宋体"/>
          <w:kern w:val="0"/>
          <w:szCs w:val="21"/>
        </w:rPr>
        <w:t>3.近三年是指从投标截止日往前推算3年，例如投标截止日为2014年2月1日，则近3年是指2011年2月1日至2014年1月31日。</w:t>
      </w:r>
    </w:p>
    <w:p w14:paraId="52D1EB75">
      <w:pPr>
        <w:ind w:left="840" w:leftChars="300" w:hanging="210" w:hangingChars="100"/>
        <w:rPr>
          <w:rFonts w:hint="eastAsia" w:ascii="宋体" w:hAnsi="宋体"/>
        </w:rPr>
      </w:pPr>
      <w:r>
        <w:rPr>
          <w:rFonts w:hint="eastAsia" w:ascii="宋体" w:hAnsi="宋体"/>
        </w:rPr>
        <w:t>4.招标人和评标委员会在评标过程中，应对各投标人（包括联合体各成员单位）的严重违法失信企业、失信被执行人、行贿犯罪行为等情况进行查询，并将查询结果“截图”附在评标报告中。</w:t>
      </w:r>
    </w:p>
    <w:p w14:paraId="2425E9F5">
      <w:pPr>
        <w:pStyle w:val="20"/>
        <w:jc w:val="center"/>
        <w:rPr>
          <w:rFonts w:hint="eastAsia"/>
          <w:szCs w:val="24"/>
        </w:rPr>
      </w:pPr>
      <w:bookmarkStart w:id="2672" w:name="_Toc108514256"/>
      <w:r>
        <w:rPr>
          <w:rFonts w:hint="eastAsia"/>
          <w:szCs w:val="24"/>
        </w:rPr>
        <w:t>5-2 近3年发生的诉讼和仲裁情况</w:t>
      </w:r>
      <w:bookmarkEnd w:id="2672"/>
    </w:p>
    <w:p w14:paraId="119A387B">
      <w:pPr>
        <w:spacing w:before="120" w:beforeLines="50" w:after="240" w:afterLines="100" w:line="440" w:lineRule="exact"/>
        <w:rPr>
          <w:rFonts w:hint="eastAsia" w:ascii="黑体" w:hAnsi="宋体" w:eastAsia="黑体"/>
          <w:sz w:val="24"/>
        </w:rPr>
      </w:pPr>
    </w:p>
    <w:tbl>
      <w:tblPr>
        <w:tblStyle w:val="1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4BA8A9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2D112D45">
            <w:pPr>
              <w:jc w:val="center"/>
              <w:rPr>
                <w:rFonts w:hint="eastAsia" w:ascii="宋体" w:hAnsi="宋体"/>
                <w:szCs w:val="21"/>
              </w:rPr>
            </w:pPr>
            <w:r>
              <w:rPr>
                <w:rFonts w:hint="eastAsia" w:ascii="宋体" w:hAnsi="宋体"/>
                <w:szCs w:val="21"/>
              </w:rPr>
              <w:t>类别</w:t>
            </w:r>
          </w:p>
        </w:tc>
        <w:tc>
          <w:tcPr>
            <w:tcW w:w="954" w:type="dxa"/>
            <w:noWrap w:val="0"/>
            <w:vAlign w:val="center"/>
          </w:tcPr>
          <w:p w14:paraId="7C5C614A">
            <w:pPr>
              <w:jc w:val="center"/>
              <w:rPr>
                <w:rFonts w:hint="eastAsia" w:ascii="宋体" w:hAnsi="宋体"/>
                <w:szCs w:val="21"/>
              </w:rPr>
            </w:pPr>
            <w:r>
              <w:rPr>
                <w:rFonts w:hint="eastAsia" w:ascii="宋体" w:hAnsi="宋体"/>
                <w:szCs w:val="21"/>
              </w:rPr>
              <w:t>序号</w:t>
            </w:r>
          </w:p>
        </w:tc>
        <w:tc>
          <w:tcPr>
            <w:tcW w:w="1260" w:type="dxa"/>
            <w:noWrap w:val="0"/>
            <w:vAlign w:val="center"/>
          </w:tcPr>
          <w:p w14:paraId="64F085E1">
            <w:pPr>
              <w:jc w:val="center"/>
              <w:rPr>
                <w:rFonts w:ascii="宋体" w:hAnsi="宋体"/>
                <w:szCs w:val="21"/>
              </w:rPr>
            </w:pPr>
            <w:r>
              <w:rPr>
                <w:rFonts w:hint="eastAsia" w:ascii="宋体" w:hAnsi="宋体"/>
                <w:szCs w:val="21"/>
              </w:rPr>
              <w:t>发生时间</w:t>
            </w:r>
          </w:p>
        </w:tc>
        <w:tc>
          <w:tcPr>
            <w:tcW w:w="3600" w:type="dxa"/>
            <w:noWrap w:val="0"/>
            <w:vAlign w:val="center"/>
          </w:tcPr>
          <w:p w14:paraId="62D83506">
            <w:pPr>
              <w:jc w:val="center"/>
              <w:rPr>
                <w:rFonts w:ascii="宋体" w:hAnsi="宋体"/>
                <w:szCs w:val="21"/>
              </w:rPr>
            </w:pPr>
            <w:r>
              <w:rPr>
                <w:rFonts w:hint="eastAsia" w:ascii="宋体" w:hAnsi="宋体"/>
                <w:szCs w:val="21"/>
              </w:rPr>
              <w:t>情况简介</w:t>
            </w:r>
          </w:p>
        </w:tc>
        <w:tc>
          <w:tcPr>
            <w:tcW w:w="1952" w:type="dxa"/>
            <w:noWrap w:val="0"/>
            <w:vAlign w:val="center"/>
          </w:tcPr>
          <w:p w14:paraId="6BF5A875">
            <w:pPr>
              <w:jc w:val="center"/>
              <w:rPr>
                <w:rFonts w:hint="eastAsia" w:ascii="宋体" w:hAnsi="宋体"/>
                <w:szCs w:val="21"/>
              </w:rPr>
            </w:pPr>
            <w:r>
              <w:rPr>
                <w:rFonts w:hint="eastAsia" w:ascii="宋体" w:hAnsi="宋体"/>
                <w:szCs w:val="21"/>
              </w:rPr>
              <w:t>证明材料索引</w:t>
            </w:r>
          </w:p>
        </w:tc>
      </w:tr>
      <w:tr w14:paraId="660E54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4AED1602">
            <w:pPr>
              <w:spacing w:line="240" w:lineRule="exact"/>
              <w:jc w:val="center"/>
              <w:rPr>
                <w:rFonts w:hint="eastAsia" w:ascii="宋体" w:hAnsi="宋体"/>
                <w:szCs w:val="21"/>
              </w:rPr>
            </w:pPr>
            <w:r>
              <w:rPr>
                <w:rFonts w:hint="eastAsia" w:ascii="宋体" w:hAnsi="宋体"/>
                <w:szCs w:val="21"/>
              </w:rPr>
              <w:t>诉</w:t>
            </w:r>
          </w:p>
          <w:p w14:paraId="6AFB2380">
            <w:pPr>
              <w:spacing w:line="240" w:lineRule="exact"/>
              <w:jc w:val="center"/>
              <w:rPr>
                <w:rFonts w:hint="eastAsia" w:ascii="宋体" w:hAnsi="宋体"/>
                <w:szCs w:val="21"/>
              </w:rPr>
            </w:pPr>
            <w:r>
              <w:rPr>
                <w:rFonts w:hint="eastAsia" w:ascii="宋体" w:hAnsi="宋体"/>
                <w:szCs w:val="21"/>
              </w:rPr>
              <w:t>讼</w:t>
            </w:r>
          </w:p>
          <w:p w14:paraId="6C40BE93">
            <w:pPr>
              <w:spacing w:line="240" w:lineRule="exact"/>
              <w:jc w:val="center"/>
              <w:rPr>
                <w:rFonts w:hint="eastAsia" w:ascii="宋体" w:hAnsi="宋体"/>
                <w:szCs w:val="21"/>
              </w:rPr>
            </w:pPr>
            <w:r>
              <w:rPr>
                <w:rFonts w:hint="eastAsia" w:ascii="宋体" w:hAnsi="宋体"/>
                <w:szCs w:val="21"/>
              </w:rPr>
              <w:t>情</w:t>
            </w:r>
          </w:p>
          <w:p w14:paraId="6B009079">
            <w:pPr>
              <w:spacing w:line="240" w:lineRule="exact"/>
              <w:jc w:val="center"/>
              <w:rPr>
                <w:rFonts w:hint="eastAsia" w:ascii="宋体" w:hAnsi="宋体"/>
                <w:szCs w:val="21"/>
              </w:rPr>
            </w:pPr>
            <w:r>
              <w:rPr>
                <w:rFonts w:hint="eastAsia" w:ascii="宋体" w:hAnsi="宋体"/>
                <w:szCs w:val="21"/>
              </w:rPr>
              <w:t>况</w:t>
            </w:r>
          </w:p>
        </w:tc>
        <w:tc>
          <w:tcPr>
            <w:tcW w:w="954" w:type="dxa"/>
            <w:noWrap w:val="0"/>
            <w:vAlign w:val="center"/>
          </w:tcPr>
          <w:p w14:paraId="1FFA0AF5">
            <w:pPr>
              <w:jc w:val="center"/>
              <w:rPr>
                <w:rFonts w:hint="eastAsia" w:ascii="宋体" w:hAnsi="宋体"/>
                <w:szCs w:val="21"/>
              </w:rPr>
            </w:pPr>
          </w:p>
        </w:tc>
        <w:tc>
          <w:tcPr>
            <w:tcW w:w="1260" w:type="dxa"/>
            <w:noWrap w:val="0"/>
            <w:vAlign w:val="center"/>
          </w:tcPr>
          <w:p w14:paraId="7F824E47">
            <w:pPr>
              <w:jc w:val="center"/>
              <w:rPr>
                <w:rFonts w:hint="eastAsia" w:ascii="宋体" w:hAnsi="宋体"/>
                <w:szCs w:val="21"/>
              </w:rPr>
            </w:pPr>
          </w:p>
        </w:tc>
        <w:tc>
          <w:tcPr>
            <w:tcW w:w="3600" w:type="dxa"/>
            <w:noWrap w:val="0"/>
            <w:vAlign w:val="center"/>
          </w:tcPr>
          <w:p w14:paraId="24337BEF">
            <w:pPr>
              <w:jc w:val="center"/>
              <w:rPr>
                <w:rFonts w:hint="eastAsia" w:ascii="宋体" w:hAnsi="宋体"/>
                <w:szCs w:val="21"/>
              </w:rPr>
            </w:pPr>
          </w:p>
        </w:tc>
        <w:tc>
          <w:tcPr>
            <w:tcW w:w="1952" w:type="dxa"/>
            <w:noWrap w:val="0"/>
            <w:vAlign w:val="center"/>
          </w:tcPr>
          <w:p w14:paraId="03812100">
            <w:pPr>
              <w:jc w:val="center"/>
              <w:rPr>
                <w:rFonts w:hint="eastAsia" w:ascii="宋体" w:hAnsi="宋体"/>
                <w:szCs w:val="21"/>
              </w:rPr>
            </w:pPr>
          </w:p>
        </w:tc>
      </w:tr>
      <w:tr w14:paraId="674D09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60" w:hRule="atLeast"/>
        </w:trPr>
        <w:tc>
          <w:tcPr>
            <w:tcW w:w="954" w:type="dxa"/>
            <w:vMerge w:val="continue"/>
            <w:noWrap w:val="0"/>
            <w:vAlign w:val="center"/>
          </w:tcPr>
          <w:p w14:paraId="3F5DEFFD">
            <w:pPr>
              <w:jc w:val="center"/>
              <w:rPr>
                <w:rFonts w:hint="eastAsia" w:ascii="宋体" w:hAnsi="宋体"/>
                <w:szCs w:val="21"/>
              </w:rPr>
            </w:pPr>
          </w:p>
        </w:tc>
        <w:tc>
          <w:tcPr>
            <w:tcW w:w="954" w:type="dxa"/>
            <w:noWrap w:val="0"/>
            <w:vAlign w:val="center"/>
          </w:tcPr>
          <w:p w14:paraId="65AD2A26">
            <w:pPr>
              <w:jc w:val="center"/>
              <w:rPr>
                <w:rFonts w:hint="eastAsia" w:ascii="宋体" w:hAnsi="宋体"/>
                <w:szCs w:val="21"/>
              </w:rPr>
            </w:pPr>
          </w:p>
        </w:tc>
        <w:tc>
          <w:tcPr>
            <w:tcW w:w="1260" w:type="dxa"/>
            <w:noWrap w:val="0"/>
            <w:vAlign w:val="center"/>
          </w:tcPr>
          <w:p w14:paraId="570B5A3D">
            <w:pPr>
              <w:jc w:val="center"/>
              <w:rPr>
                <w:rFonts w:hint="eastAsia" w:ascii="宋体" w:hAnsi="宋体"/>
                <w:szCs w:val="21"/>
              </w:rPr>
            </w:pPr>
          </w:p>
        </w:tc>
        <w:tc>
          <w:tcPr>
            <w:tcW w:w="3600" w:type="dxa"/>
            <w:noWrap w:val="0"/>
            <w:vAlign w:val="center"/>
          </w:tcPr>
          <w:p w14:paraId="5F34D9BA">
            <w:pPr>
              <w:jc w:val="center"/>
              <w:rPr>
                <w:rFonts w:hint="eastAsia" w:ascii="宋体" w:hAnsi="宋体"/>
                <w:szCs w:val="21"/>
              </w:rPr>
            </w:pPr>
          </w:p>
        </w:tc>
        <w:tc>
          <w:tcPr>
            <w:tcW w:w="1952" w:type="dxa"/>
            <w:noWrap w:val="0"/>
            <w:vAlign w:val="center"/>
          </w:tcPr>
          <w:p w14:paraId="4B11C278">
            <w:pPr>
              <w:jc w:val="center"/>
              <w:rPr>
                <w:rFonts w:hint="eastAsia" w:ascii="宋体" w:hAnsi="宋体"/>
                <w:szCs w:val="21"/>
              </w:rPr>
            </w:pPr>
          </w:p>
        </w:tc>
      </w:tr>
      <w:tr w14:paraId="198814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67397029">
            <w:pPr>
              <w:jc w:val="center"/>
              <w:rPr>
                <w:rFonts w:hint="eastAsia" w:ascii="宋体" w:hAnsi="宋体"/>
                <w:szCs w:val="21"/>
              </w:rPr>
            </w:pPr>
          </w:p>
        </w:tc>
        <w:tc>
          <w:tcPr>
            <w:tcW w:w="954" w:type="dxa"/>
            <w:noWrap w:val="0"/>
            <w:vAlign w:val="center"/>
          </w:tcPr>
          <w:p w14:paraId="7F5EF96C">
            <w:pPr>
              <w:jc w:val="center"/>
              <w:rPr>
                <w:rFonts w:hint="eastAsia" w:ascii="宋体" w:hAnsi="宋体"/>
                <w:szCs w:val="21"/>
              </w:rPr>
            </w:pPr>
          </w:p>
        </w:tc>
        <w:tc>
          <w:tcPr>
            <w:tcW w:w="1260" w:type="dxa"/>
            <w:noWrap w:val="0"/>
            <w:vAlign w:val="center"/>
          </w:tcPr>
          <w:p w14:paraId="1CFFDAD5">
            <w:pPr>
              <w:jc w:val="center"/>
              <w:rPr>
                <w:rFonts w:hint="eastAsia" w:ascii="宋体" w:hAnsi="宋体"/>
                <w:szCs w:val="21"/>
              </w:rPr>
            </w:pPr>
          </w:p>
        </w:tc>
        <w:tc>
          <w:tcPr>
            <w:tcW w:w="3600" w:type="dxa"/>
            <w:noWrap w:val="0"/>
            <w:vAlign w:val="center"/>
          </w:tcPr>
          <w:p w14:paraId="4988BAD4">
            <w:pPr>
              <w:jc w:val="center"/>
              <w:rPr>
                <w:rFonts w:hint="eastAsia" w:ascii="宋体" w:hAnsi="宋体"/>
                <w:szCs w:val="21"/>
              </w:rPr>
            </w:pPr>
          </w:p>
        </w:tc>
        <w:tc>
          <w:tcPr>
            <w:tcW w:w="1952" w:type="dxa"/>
            <w:noWrap w:val="0"/>
            <w:vAlign w:val="center"/>
          </w:tcPr>
          <w:p w14:paraId="15265A3E">
            <w:pPr>
              <w:jc w:val="center"/>
              <w:rPr>
                <w:rFonts w:hint="eastAsia" w:ascii="宋体" w:hAnsi="宋体"/>
                <w:szCs w:val="21"/>
              </w:rPr>
            </w:pPr>
          </w:p>
        </w:tc>
      </w:tr>
      <w:tr w14:paraId="166081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5C529917">
            <w:pPr>
              <w:spacing w:line="240" w:lineRule="exact"/>
              <w:jc w:val="center"/>
              <w:rPr>
                <w:rFonts w:hint="eastAsia" w:ascii="宋体" w:hAnsi="宋体"/>
                <w:szCs w:val="21"/>
              </w:rPr>
            </w:pPr>
            <w:r>
              <w:rPr>
                <w:rFonts w:hint="eastAsia" w:ascii="宋体" w:hAnsi="宋体"/>
                <w:szCs w:val="21"/>
              </w:rPr>
              <w:t>仲</w:t>
            </w:r>
          </w:p>
          <w:p w14:paraId="55496159">
            <w:pPr>
              <w:spacing w:line="240" w:lineRule="exact"/>
              <w:jc w:val="center"/>
              <w:rPr>
                <w:rFonts w:hint="eastAsia" w:ascii="宋体" w:hAnsi="宋体"/>
                <w:szCs w:val="21"/>
              </w:rPr>
            </w:pPr>
            <w:r>
              <w:rPr>
                <w:rFonts w:hint="eastAsia" w:ascii="宋体" w:hAnsi="宋体"/>
                <w:szCs w:val="21"/>
              </w:rPr>
              <w:t>裁</w:t>
            </w:r>
          </w:p>
          <w:p w14:paraId="50B4A612">
            <w:pPr>
              <w:spacing w:line="240" w:lineRule="exact"/>
              <w:jc w:val="center"/>
              <w:rPr>
                <w:rFonts w:hint="eastAsia" w:ascii="宋体" w:hAnsi="宋体"/>
                <w:szCs w:val="21"/>
              </w:rPr>
            </w:pPr>
            <w:r>
              <w:rPr>
                <w:rFonts w:hint="eastAsia" w:ascii="宋体" w:hAnsi="宋体"/>
                <w:szCs w:val="21"/>
              </w:rPr>
              <w:t>情</w:t>
            </w:r>
          </w:p>
          <w:p w14:paraId="63C7C1E0">
            <w:pPr>
              <w:spacing w:line="240" w:lineRule="exact"/>
              <w:jc w:val="center"/>
              <w:rPr>
                <w:rFonts w:ascii="宋体" w:hAnsi="宋体"/>
                <w:szCs w:val="21"/>
              </w:rPr>
            </w:pPr>
            <w:r>
              <w:rPr>
                <w:rFonts w:hint="eastAsia" w:ascii="宋体" w:hAnsi="宋体"/>
                <w:szCs w:val="21"/>
              </w:rPr>
              <w:t>况</w:t>
            </w:r>
          </w:p>
        </w:tc>
        <w:tc>
          <w:tcPr>
            <w:tcW w:w="954" w:type="dxa"/>
            <w:noWrap w:val="0"/>
            <w:vAlign w:val="center"/>
          </w:tcPr>
          <w:p w14:paraId="13F2BE33">
            <w:pPr>
              <w:jc w:val="center"/>
              <w:rPr>
                <w:rFonts w:hint="eastAsia" w:ascii="宋体" w:hAnsi="宋体"/>
                <w:szCs w:val="21"/>
              </w:rPr>
            </w:pPr>
          </w:p>
        </w:tc>
        <w:tc>
          <w:tcPr>
            <w:tcW w:w="1260" w:type="dxa"/>
            <w:noWrap w:val="0"/>
            <w:vAlign w:val="center"/>
          </w:tcPr>
          <w:p w14:paraId="6F3A653E">
            <w:pPr>
              <w:jc w:val="center"/>
              <w:rPr>
                <w:rFonts w:hint="eastAsia" w:ascii="宋体" w:hAnsi="宋体"/>
                <w:szCs w:val="21"/>
              </w:rPr>
            </w:pPr>
          </w:p>
        </w:tc>
        <w:tc>
          <w:tcPr>
            <w:tcW w:w="3600" w:type="dxa"/>
            <w:noWrap w:val="0"/>
            <w:vAlign w:val="center"/>
          </w:tcPr>
          <w:p w14:paraId="0149ECC9">
            <w:pPr>
              <w:jc w:val="center"/>
              <w:rPr>
                <w:rFonts w:hint="eastAsia" w:ascii="宋体" w:hAnsi="宋体"/>
                <w:szCs w:val="21"/>
              </w:rPr>
            </w:pPr>
          </w:p>
        </w:tc>
        <w:tc>
          <w:tcPr>
            <w:tcW w:w="1952" w:type="dxa"/>
            <w:noWrap w:val="0"/>
            <w:vAlign w:val="center"/>
          </w:tcPr>
          <w:p w14:paraId="3806FB85">
            <w:pPr>
              <w:jc w:val="center"/>
              <w:rPr>
                <w:rFonts w:hint="eastAsia" w:ascii="宋体" w:hAnsi="宋体"/>
                <w:szCs w:val="21"/>
              </w:rPr>
            </w:pPr>
          </w:p>
        </w:tc>
      </w:tr>
      <w:tr w14:paraId="6A8F38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05A85C0">
            <w:pPr>
              <w:jc w:val="center"/>
              <w:rPr>
                <w:rFonts w:hint="eastAsia" w:ascii="宋体" w:hAnsi="宋体"/>
                <w:szCs w:val="21"/>
              </w:rPr>
            </w:pPr>
          </w:p>
        </w:tc>
        <w:tc>
          <w:tcPr>
            <w:tcW w:w="954" w:type="dxa"/>
            <w:noWrap w:val="0"/>
            <w:vAlign w:val="center"/>
          </w:tcPr>
          <w:p w14:paraId="35F93433">
            <w:pPr>
              <w:jc w:val="center"/>
              <w:rPr>
                <w:rFonts w:hint="eastAsia" w:ascii="宋体" w:hAnsi="宋体"/>
                <w:szCs w:val="21"/>
              </w:rPr>
            </w:pPr>
          </w:p>
        </w:tc>
        <w:tc>
          <w:tcPr>
            <w:tcW w:w="1260" w:type="dxa"/>
            <w:noWrap w:val="0"/>
            <w:vAlign w:val="center"/>
          </w:tcPr>
          <w:p w14:paraId="6523040B">
            <w:pPr>
              <w:jc w:val="center"/>
              <w:rPr>
                <w:rFonts w:hint="eastAsia" w:ascii="宋体" w:hAnsi="宋体"/>
                <w:szCs w:val="21"/>
              </w:rPr>
            </w:pPr>
          </w:p>
        </w:tc>
        <w:tc>
          <w:tcPr>
            <w:tcW w:w="3600" w:type="dxa"/>
            <w:noWrap w:val="0"/>
            <w:vAlign w:val="center"/>
          </w:tcPr>
          <w:p w14:paraId="185B9120">
            <w:pPr>
              <w:jc w:val="center"/>
              <w:rPr>
                <w:rFonts w:hint="eastAsia" w:ascii="宋体" w:hAnsi="宋体"/>
                <w:szCs w:val="21"/>
              </w:rPr>
            </w:pPr>
          </w:p>
        </w:tc>
        <w:tc>
          <w:tcPr>
            <w:tcW w:w="1952" w:type="dxa"/>
            <w:noWrap w:val="0"/>
            <w:vAlign w:val="center"/>
          </w:tcPr>
          <w:p w14:paraId="28C50113">
            <w:pPr>
              <w:jc w:val="center"/>
              <w:rPr>
                <w:rFonts w:hint="eastAsia" w:ascii="宋体" w:hAnsi="宋体"/>
                <w:szCs w:val="21"/>
              </w:rPr>
            </w:pPr>
          </w:p>
        </w:tc>
      </w:tr>
      <w:tr w14:paraId="5EE961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574972DE">
            <w:pPr>
              <w:jc w:val="center"/>
              <w:rPr>
                <w:rFonts w:hint="eastAsia" w:ascii="宋体" w:hAnsi="宋体"/>
                <w:szCs w:val="21"/>
              </w:rPr>
            </w:pPr>
          </w:p>
        </w:tc>
        <w:tc>
          <w:tcPr>
            <w:tcW w:w="954" w:type="dxa"/>
            <w:noWrap w:val="0"/>
            <w:vAlign w:val="center"/>
          </w:tcPr>
          <w:p w14:paraId="265924A2">
            <w:pPr>
              <w:jc w:val="center"/>
              <w:rPr>
                <w:rFonts w:hint="eastAsia" w:ascii="宋体" w:hAnsi="宋体"/>
                <w:szCs w:val="21"/>
              </w:rPr>
            </w:pPr>
          </w:p>
        </w:tc>
        <w:tc>
          <w:tcPr>
            <w:tcW w:w="1260" w:type="dxa"/>
            <w:noWrap w:val="0"/>
            <w:vAlign w:val="center"/>
          </w:tcPr>
          <w:p w14:paraId="7C740A68">
            <w:pPr>
              <w:jc w:val="center"/>
              <w:rPr>
                <w:rFonts w:hint="eastAsia" w:ascii="宋体" w:hAnsi="宋体"/>
                <w:szCs w:val="21"/>
              </w:rPr>
            </w:pPr>
          </w:p>
        </w:tc>
        <w:tc>
          <w:tcPr>
            <w:tcW w:w="3600" w:type="dxa"/>
            <w:noWrap w:val="0"/>
            <w:vAlign w:val="center"/>
          </w:tcPr>
          <w:p w14:paraId="2F1F7019">
            <w:pPr>
              <w:jc w:val="center"/>
              <w:rPr>
                <w:rFonts w:hint="eastAsia" w:ascii="宋体" w:hAnsi="宋体"/>
                <w:szCs w:val="21"/>
              </w:rPr>
            </w:pPr>
          </w:p>
        </w:tc>
        <w:tc>
          <w:tcPr>
            <w:tcW w:w="1952" w:type="dxa"/>
            <w:noWrap w:val="0"/>
            <w:vAlign w:val="center"/>
          </w:tcPr>
          <w:p w14:paraId="633F475E">
            <w:pPr>
              <w:jc w:val="center"/>
              <w:rPr>
                <w:rFonts w:hint="eastAsia" w:ascii="宋体" w:hAnsi="宋体"/>
                <w:szCs w:val="21"/>
              </w:rPr>
            </w:pPr>
          </w:p>
        </w:tc>
      </w:tr>
    </w:tbl>
    <w:p w14:paraId="28F03F2F">
      <w:pPr>
        <w:spacing w:line="400" w:lineRule="exact"/>
        <w:ind w:left="840" w:hanging="840" w:hangingChars="400"/>
        <w:rPr>
          <w:rFonts w:hint="eastAsia" w:ascii="宋体" w:hAnsi="宋体"/>
          <w:szCs w:val="21"/>
        </w:rPr>
      </w:pPr>
      <w:r>
        <w:rPr>
          <w:rFonts w:hint="eastAsia" w:ascii="宋体" w:hAnsi="宋体"/>
          <w:szCs w:val="21"/>
        </w:rPr>
        <w:t>备注：</w:t>
      </w:r>
      <w:r>
        <w:rPr>
          <w:rFonts w:hint="eastAsia"/>
          <w:szCs w:val="21"/>
        </w:rPr>
        <w:t>1. 招标文件将近3年发生的</w:t>
      </w:r>
      <w:r>
        <w:rPr>
          <w:rFonts w:hint="eastAsia" w:ascii="宋体" w:hAnsi="宋体"/>
          <w:szCs w:val="21"/>
        </w:rPr>
        <w:t>诉讼和仲裁情况作为资格条件或评分项的，投标人</w:t>
      </w:r>
      <w:r>
        <w:rPr>
          <w:rFonts w:hint="eastAsia"/>
          <w:szCs w:val="21"/>
        </w:rPr>
        <w:t>应当如实填报</w:t>
      </w:r>
      <w:r>
        <w:rPr>
          <w:rFonts w:hint="eastAsia" w:ascii="宋体" w:hAnsi="宋体"/>
          <w:szCs w:val="21"/>
        </w:rPr>
        <w:t>相关情况。</w:t>
      </w:r>
    </w:p>
    <w:p w14:paraId="042E4202">
      <w:pPr>
        <w:spacing w:line="400" w:lineRule="exact"/>
        <w:ind w:left="840" w:leftChars="300" w:hanging="210" w:hangingChars="100"/>
        <w:rPr>
          <w:rFonts w:hint="eastAsia" w:ascii="宋体" w:hAnsi="宋体"/>
          <w:szCs w:val="21"/>
        </w:rPr>
      </w:pPr>
      <w:r>
        <w:rPr>
          <w:rFonts w:hint="eastAsia"/>
          <w:szCs w:val="21"/>
        </w:rPr>
        <w:t>2. 近3年是指从投标截止日往前推算的3年，如投标截止日</w:t>
      </w:r>
      <w:r>
        <w:rPr>
          <w:rFonts w:hint="eastAsia" w:ascii="宋体" w:hAnsi="宋体"/>
          <w:szCs w:val="21"/>
        </w:rPr>
        <w:t>为2014年3月5日，则近3年是指2011年3月5日至2014年3月4日。</w:t>
      </w:r>
    </w:p>
    <w:p w14:paraId="09CC8F60">
      <w:pPr>
        <w:spacing w:line="400" w:lineRule="exact"/>
        <w:ind w:left="840" w:leftChars="300" w:hanging="210" w:hangingChars="100"/>
        <w:rPr>
          <w:rFonts w:hint="eastAsia" w:ascii="宋体" w:hAnsi="宋体"/>
          <w:szCs w:val="21"/>
        </w:rPr>
      </w:pPr>
      <w:r>
        <w:rPr>
          <w:rFonts w:hint="eastAsia"/>
          <w:szCs w:val="21"/>
        </w:rPr>
        <w:t>3.</w:t>
      </w:r>
      <w:r>
        <w:rPr>
          <w:rFonts w:hint="eastAsia" w:ascii="宋体" w:hAnsi="宋体"/>
          <w:szCs w:val="21"/>
        </w:rPr>
        <w:t xml:space="preserve"> 近3年发生的诉讼和仲裁情况仅限于申请人败诉的，且与签订或履行施工承包合同有关的案件，不包括调解结案以及未终审判决的诉讼或未裁决的仲裁。附法院或仲裁机构作出的判</w:t>
      </w:r>
      <w:r>
        <w:rPr>
          <w:rFonts w:hint="eastAsia"/>
          <w:szCs w:val="21"/>
        </w:rPr>
        <w:t>决或裁决等有关法律文书的扫描件。以仲裁裁决或判决书的制发</w:t>
      </w:r>
      <w:r>
        <w:rPr>
          <w:rFonts w:hint="eastAsia" w:ascii="宋体" w:hAnsi="宋体"/>
          <w:szCs w:val="21"/>
        </w:rPr>
        <w:t>时间</w:t>
      </w:r>
      <w:r>
        <w:rPr>
          <w:rFonts w:ascii="宋体" w:hAnsi="宋体"/>
          <w:szCs w:val="21"/>
        </w:rPr>
        <w:t>为准</w:t>
      </w:r>
      <w:r>
        <w:rPr>
          <w:rFonts w:hint="eastAsia" w:ascii="宋体" w:hAnsi="宋体"/>
          <w:szCs w:val="21"/>
        </w:rPr>
        <w:t>。</w:t>
      </w:r>
    </w:p>
    <w:p w14:paraId="38DC5595">
      <w:pPr>
        <w:spacing w:line="400" w:lineRule="exact"/>
        <w:rPr>
          <w:rFonts w:hint="eastAsia" w:ascii="宋体" w:hAnsi="宋体"/>
          <w:szCs w:val="21"/>
        </w:rPr>
      </w:pPr>
    </w:p>
    <w:p w14:paraId="1E4E42F2">
      <w:pPr>
        <w:pStyle w:val="7"/>
        <w:spacing w:after="0" w:line="400" w:lineRule="atLeast"/>
        <w:ind w:left="0" w:leftChars="0"/>
        <w:jc w:val="center"/>
        <w:rPr>
          <w:rFonts w:hint="eastAsia" w:ascii="黑体" w:hAnsi="宋体" w:eastAsia="黑体"/>
          <w:sz w:val="24"/>
        </w:rPr>
      </w:pPr>
    </w:p>
    <w:p w14:paraId="748E5CC0">
      <w:pPr>
        <w:pStyle w:val="20"/>
        <w:jc w:val="center"/>
        <w:rPr>
          <w:rFonts w:hint="eastAsia"/>
          <w:szCs w:val="24"/>
        </w:rPr>
      </w:pPr>
      <w:bookmarkStart w:id="2673" w:name="_Toc108514257"/>
      <w:r>
        <w:rPr>
          <w:rFonts w:hint="eastAsia"/>
          <w:szCs w:val="24"/>
        </w:rPr>
        <w:t>5-3 近5年投标人工程获奖</w:t>
      </w:r>
      <w:r>
        <w:rPr>
          <w:szCs w:val="24"/>
        </w:rPr>
        <w:t>情况表</w:t>
      </w:r>
      <w:bookmarkEnd w:id="2673"/>
    </w:p>
    <w:p w14:paraId="6E53D4C5">
      <w:pPr>
        <w:pStyle w:val="7"/>
        <w:spacing w:after="0" w:line="400" w:lineRule="atLeast"/>
        <w:ind w:left="0" w:leftChars="0"/>
        <w:jc w:val="center"/>
        <w:rPr>
          <w:rFonts w:hint="eastAsia" w:eastAsia="黑体"/>
          <w:sz w:val="24"/>
        </w:rPr>
      </w:pP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76CA7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0C82F86E">
            <w:pPr>
              <w:topLinePunct/>
              <w:spacing w:line="400" w:lineRule="atLeast"/>
              <w:jc w:val="center"/>
              <w:rPr>
                <w:rFonts w:hint="eastAsia"/>
                <w:szCs w:val="21"/>
              </w:rPr>
            </w:pPr>
            <w:r>
              <w:rPr>
                <w:rFonts w:hint="eastAsia"/>
                <w:szCs w:val="21"/>
              </w:rPr>
              <w:t>序号</w:t>
            </w:r>
          </w:p>
        </w:tc>
        <w:tc>
          <w:tcPr>
            <w:tcW w:w="2402" w:type="dxa"/>
            <w:noWrap w:val="0"/>
            <w:vAlign w:val="top"/>
          </w:tcPr>
          <w:p w14:paraId="2175E9AE">
            <w:pPr>
              <w:topLinePunct/>
              <w:spacing w:line="400" w:lineRule="atLeast"/>
              <w:jc w:val="center"/>
              <w:rPr>
                <w:rFonts w:hint="eastAsia"/>
                <w:szCs w:val="21"/>
              </w:rPr>
            </w:pPr>
            <w:r>
              <w:rPr>
                <w:rFonts w:hint="eastAsia"/>
                <w:szCs w:val="21"/>
              </w:rPr>
              <w:t>项目名称</w:t>
            </w:r>
          </w:p>
        </w:tc>
        <w:tc>
          <w:tcPr>
            <w:tcW w:w="1800" w:type="dxa"/>
            <w:noWrap w:val="0"/>
            <w:vAlign w:val="top"/>
          </w:tcPr>
          <w:p w14:paraId="01850072">
            <w:pPr>
              <w:topLinePunct/>
              <w:spacing w:line="400" w:lineRule="atLeast"/>
              <w:jc w:val="center"/>
              <w:rPr>
                <w:rFonts w:hint="eastAsia"/>
                <w:szCs w:val="21"/>
              </w:rPr>
            </w:pPr>
            <w:r>
              <w:rPr>
                <w:rFonts w:hint="eastAsia"/>
                <w:szCs w:val="21"/>
              </w:rPr>
              <w:t>获奖名称</w:t>
            </w:r>
          </w:p>
        </w:tc>
        <w:tc>
          <w:tcPr>
            <w:tcW w:w="1440" w:type="dxa"/>
            <w:noWrap w:val="0"/>
            <w:vAlign w:val="top"/>
          </w:tcPr>
          <w:p w14:paraId="32250A99">
            <w:pPr>
              <w:topLinePunct/>
              <w:spacing w:line="400" w:lineRule="atLeast"/>
              <w:jc w:val="center"/>
              <w:rPr>
                <w:rFonts w:hint="eastAsia"/>
                <w:szCs w:val="21"/>
              </w:rPr>
            </w:pPr>
            <w:r>
              <w:rPr>
                <w:rFonts w:hint="eastAsia"/>
                <w:szCs w:val="21"/>
              </w:rPr>
              <w:t>获奖日期</w:t>
            </w:r>
          </w:p>
        </w:tc>
        <w:tc>
          <w:tcPr>
            <w:tcW w:w="2160" w:type="dxa"/>
            <w:noWrap w:val="0"/>
            <w:vAlign w:val="top"/>
          </w:tcPr>
          <w:p w14:paraId="59FFDA1E">
            <w:pPr>
              <w:topLinePunct/>
              <w:spacing w:line="400" w:lineRule="atLeast"/>
              <w:jc w:val="center"/>
              <w:rPr>
                <w:rFonts w:hint="eastAsia"/>
                <w:szCs w:val="21"/>
              </w:rPr>
            </w:pPr>
            <w:r>
              <w:rPr>
                <w:rFonts w:hint="eastAsia"/>
                <w:szCs w:val="21"/>
              </w:rPr>
              <w:t>颁奖单位</w:t>
            </w:r>
          </w:p>
        </w:tc>
      </w:tr>
      <w:tr w14:paraId="3D1B0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F57C127">
            <w:pPr>
              <w:topLinePunct/>
              <w:spacing w:line="400" w:lineRule="atLeast"/>
              <w:jc w:val="center"/>
              <w:rPr>
                <w:szCs w:val="21"/>
              </w:rPr>
            </w:pPr>
          </w:p>
        </w:tc>
        <w:tc>
          <w:tcPr>
            <w:tcW w:w="2402" w:type="dxa"/>
            <w:noWrap w:val="0"/>
            <w:vAlign w:val="top"/>
          </w:tcPr>
          <w:p w14:paraId="574F6F5C">
            <w:pPr>
              <w:topLinePunct/>
              <w:spacing w:line="400" w:lineRule="atLeast"/>
              <w:jc w:val="center"/>
              <w:rPr>
                <w:szCs w:val="21"/>
              </w:rPr>
            </w:pPr>
          </w:p>
        </w:tc>
        <w:tc>
          <w:tcPr>
            <w:tcW w:w="1800" w:type="dxa"/>
            <w:noWrap w:val="0"/>
            <w:vAlign w:val="top"/>
          </w:tcPr>
          <w:p w14:paraId="3977CD6C">
            <w:pPr>
              <w:topLinePunct/>
              <w:spacing w:line="400" w:lineRule="atLeast"/>
              <w:jc w:val="center"/>
              <w:rPr>
                <w:szCs w:val="21"/>
              </w:rPr>
            </w:pPr>
          </w:p>
        </w:tc>
        <w:tc>
          <w:tcPr>
            <w:tcW w:w="1440" w:type="dxa"/>
            <w:noWrap w:val="0"/>
            <w:vAlign w:val="top"/>
          </w:tcPr>
          <w:p w14:paraId="4605622D">
            <w:pPr>
              <w:topLinePunct/>
              <w:spacing w:line="400" w:lineRule="atLeast"/>
              <w:jc w:val="center"/>
              <w:rPr>
                <w:szCs w:val="21"/>
              </w:rPr>
            </w:pPr>
          </w:p>
        </w:tc>
        <w:tc>
          <w:tcPr>
            <w:tcW w:w="2160" w:type="dxa"/>
            <w:noWrap w:val="0"/>
            <w:vAlign w:val="top"/>
          </w:tcPr>
          <w:p w14:paraId="7C59CE61">
            <w:pPr>
              <w:topLinePunct/>
              <w:spacing w:line="400" w:lineRule="atLeast"/>
              <w:jc w:val="center"/>
              <w:rPr>
                <w:szCs w:val="21"/>
              </w:rPr>
            </w:pPr>
          </w:p>
        </w:tc>
      </w:tr>
      <w:tr w14:paraId="35B8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4A983D9">
            <w:pPr>
              <w:topLinePunct/>
              <w:spacing w:line="400" w:lineRule="atLeast"/>
              <w:jc w:val="center"/>
              <w:rPr>
                <w:szCs w:val="21"/>
              </w:rPr>
            </w:pPr>
          </w:p>
        </w:tc>
        <w:tc>
          <w:tcPr>
            <w:tcW w:w="2402" w:type="dxa"/>
            <w:noWrap w:val="0"/>
            <w:vAlign w:val="top"/>
          </w:tcPr>
          <w:p w14:paraId="20838D20">
            <w:pPr>
              <w:topLinePunct/>
              <w:spacing w:line="400" w:lineRule="atLeast"/>
              <w:jc w:val="center"/>
              <w:rPr>
                <w:szCs w:val="21"/>
              </w:rPr>
            </w:pPr>
          </w:p>
        </w:tc>
        <w:tc>
          <w:tcPr>
            <w:tcW w:w="1800" w:type="dxa"/>
            <w:noWrap w:val="0"/>
            <w:vAlign w:val="top"/>
          </w:tcPr>
          <w:p w14:paraId="6765CF7E">
            <w:pPr>
              <w:topLinePunct/>
              <w:spacing w:line="400" w:lineRule="atLeast"/>
              <w:jc w:val="center"/>
              <w:rPr>
                <w:szCs w:val="21"/>
              </w:rPr>
            </w:pPr>
          </w:p>
        </w:tc>
        <w:tc>
          <w:tcPr>
            <w:tcW w:w="1440" w:type="dxa"/>
            <w:noWrap w:val="0"/>
            <w:vAlign w:val="top"/>
          </w:tcPr>
          <w:p w14:paraId="4DB59DFE">
            <w:pPr>
              <w:topLinePunct/>
              <w:spacing w:line="400" w:lineRule="atLeast"/>
              <w:jc w:val="center"/>
              <w:rPr>
                <w:szCs w:val="21"/>
              </w:rPr>
            </w:pPr>
          </w:p>
        </w:tc>
        <w:tc>
          <w:tcPr>
            <w:tcW w:w="2160" w:type="dxa"/>
            <w:noWrap w:val="0"/>
            <w:vAlign w:val="top"/>
          </w:tcPr>
          <w:p w14:paraId="1E846861">
            <w:pPr>
              <w:topLinePunct/>
              <w:spacing w:line="400" w:lineRule="atLeast"/>
              <w:jc w:val="center"/>
              <w:rPr>
                <w:szCs w:val="21"/>
              </w:rPr>
            </w:pPr>
          </w:p>
        </w:tc>
      </w:tr>
      <w:tr w14:paraId="20C1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9E46F0E">
            <w:pPr>
              <w:topLinePunct/>
              <w:spacing w:line="400" w:lineRule="atLeast"/>
              <w:jc w:val="center"/>
              <w:rPr>
                <w:szCs w:val="21"/>
              </w:rPr>
            </w:pPr>
          </w:p>
        </w:tc>
        <w:tc>
          <w:tcPr>
            <w:tcW w:w="2402" w:type="dxa"/>
            <w:noWrap w:val="0"/>
            <w:vAlign w:val="top"/>
          </w:tcPr>
          <w:p w14:paraId="5587EFA1">
            <w:pPr>
              <w:topLinePunct/>
              <w:spacing w:line="400" w:lineRule="atLeast"/>
              <w:jc w:val="center"/>
              <w:rPr>
                <w:szCs w:val="21"/>
              </w:rPr>
            </w:pPr>
          </w:p>
        </w:tc>
        <w:tc>
          <w:tcPr>
            <w:tcW w:w="1800" w:type="dxa"/>
            <w:noWrap w:val="0"/>
            <w:vAlign w:val="top"/>
          </w:tcPr>
          <w:p w14:paraId="495E4F7B">
            <w:pPr>
              <w:topLinePunct/>
              <w:spacing w:line="400" w:lineRule="atLeast"/>
              <w:jc w:val="center"/>
              <w:rPr>
                <w:szCs w:val="21"/>
              </w:rPr>
            </w:pPr>
          </w:p>
        </w:tc>
        <w:tc>
          <w:tcPr>
            <w:tcW w:w="1440" w:type="dxa"/>
            <w:noWrap w:val="0"/>
            <w:vAlign w:val="top"/>
          </w:tcPr>
          <w:p w14:paraId="46DF5319">
            <w:pPr>
              <w:topLinePunct/>
              <w:spacing w:line="400" w:lineRule="atLeast"/>
              <w:jc w:val="center"/>
              <w:rPr>
                <w:szCs w:val="21"/>
              </w:rPr>
            </w:pPr>
          </w:p>
        </w:tc>
        <w:tc>
          <w:tcPr>
            <w:tcW w:w="2160" w:type="dxa"/>
            <w:noWrap w:val="0"/>
            <w:vAlign w:val="top"/>
          </w:tcPr>
          <w:p w14:paraId="336AEF3F">
            <w:pPr>
              <w:topLinePunct/>
              <w:spacing w:line="400" w:lineRule="atLeast"/>
              <w:jc w:val="center"/>
              <w:rPr>
                <w:szCs w:val="21"/>
              </w:rPr>
            </w:pPr>
          </w:p>
        </w:tc>
      </w:tr>
      <w:tr w14:paraId="5582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FA0D752">
            <w:pPr>
              <w:topLinePunct/>
              <w:spacing w:line="400" w:lineRule="atLeast"/>
              <w:jc w:val="center"/>
              <w:rPr>
                <w:szCs w:val="21"/>
              </w:rPr>
            </w:pPr>
          </w:p>
        </w:tc>
        <w:tc>
          <w:tcPr>
            <w:tcW w:w="2402" w:type="dxa"/>
            <w:noWrap w:val="0"/>
            <w:vAlign w:val="top"/>
          </w:tcPr>
          <w:p w14:paraId="37BF6C3F">
            <w:pPr>
              <w:topLinePunct/>
              <w:spacing w:line="400" w:lineRule="atLeast"/>
              <w:jc w:val="center"/>
              <w:rPr>
                <w:szCs w:val="21"/>
              </w:rPr>
            </w:pPr>
          </w:p>
        </w:tc>
        <w:tc>
          <w:tcPr>
            <w:tcW w:w="1800" w:type="dxa"/>
            <w:noWrap w:val="0"/>
            <w:vAlign w:val="top"/>
          </w:tcPr>
          <w:p w14:paraId="7F7D1145">
            <w:pPr>
              <w:topLinePunct/>
              <w:spacing w:line="400" w:lineRule="atLeast"/>
              <w:jc w:val="center"/>
              <w:rPr>
                <w:szCs w:val="21"/>
              </w:rPr>
            </w:pPr>
          </w:p>
        </w:tc>
        <w:tc>
          <w:tcPr>
            <w:tcW w:w="1440" w:type="dxa"/>
            <w:noWrap w:val="0"/>
            <w:vAlign w:val="top"/>
          </w:tcPr>
          <w:p w14:paraId="3EC88A79">
            <w:pPr>
              <w:topLinePunct/>
              <w:spacing w:line="400" w:lineRule="atLeast"/>
              <w:jc w:val="center"/>
              <w:rPr>
                <w:szCs w:val="21"/>
              </w:rPr>
            </w:pPr>
          </w:p>
        </w:tc>
        <w:tc>
          <w:tcPr>
            <w:tcW w:w="2160" w:type="dxa"/>
            <w:noWrap w:val="0"/>
            <w:vAlign w:val="top"/>
          </w:tcPr>
          <w:p w14:paraId="5EF215DD">
            <w:pPr>
              <w:topLinePunct/>
              <w:spacing w:line="400" w:lineRule="atLeast"/>
              <w:jc w:val="center"/>
              <w:rPr>
                <w:szCs w:val="21"/>
              </w:rPr>
            </w:pPr>
          </w:p>
        </w:tc>
      </w:tr>
      <w:tr w14:paraId="170A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78D1B71">
            <w:pPr>
              <w:topLinePunct/>
              <w:spacing w:line="400" w:lineRule="atLeast"/>
              <w:jc w:val="center"/>
              <w:rPr>
                <w:szCs w:val="21"/>
              </w:rPr>
            </w:pPr>
          </w:p>
        </w:tc>
        <w:tc>
          <w:tcPr>
            <w:tcW w:w="2402" w:type="dxa"/>
            <w:noWrap w:val="0"/>
            <w:vAlign w:val="top"/>
          </w:tcPr>
          <w:p w14:paraId="45D2928B">
            <w:pPr>
              <w:topLinePunct/>
              <w:spacing w:line="400" w:lineRule="atLeast"/>
              <w:jc w:val="center"/>
              <w:rPr>
                <w:szCs w:val="21"/>
              </w:rPr>
            </w:pPr>
          </w:p>
        </w:tc>
        <w:tc>
          <w:tcPr>
            <w:tcW w:w="1800" w:type="dxa"/>
            <w:noWrap w:val="0"/>
            <w:vAlign w:val="top"/>
          </w:tcPr>
          <w:p w14:paraId="1726F7D3">
            <w:pPr>
              <w:topLinePunct/>
              <w:spacing w:line="400" w:lineRule="atLeast"/>
              <w:jc w:val="center"/>
              <w:rPr>
                <w:szCs w:val="21"/>
              </w:rPr>
            </w:pPr>
          </w:p>
        </w:tc>
        <w:tc>
          <w:tcPr>
            <w:tcW w:w="1440" w:type="dxa"/>
            <w:noWrap w:val="0"/>
            <w:vAlign w:val="top"/>
          </w:tcPr>
          <w:p w14:paraId="72EBC086">
            <w:pPr>
              <w:topLinePunct/>
              <w:spacing w:line="400" w:lineRule="atLeast"/>
              <w:jc w:val="center"/>
              <w:rPr>
                <w:szCs w:val="21"/>
              </w:rPr>
            </w:pPr>
          </w:p>
        </w:tc>
        <w:tc>
          <w:tcPr>
            <w:tcW w:w="2160" w:type="dxa"/>
            <w:noWrap w:val="0"/>
            <w:vAlign w:val="top"/>
          </w:tcPr>
          <w:p w14:paraId="71331805">
            <w:pPr>
              <w:topLinePunct/>
              <w:spacing w:line="400" w:lineRule="atLeast"/>
              <w:jc w:val="center"/>
              <w:rPr>
                <w:szCs w:val="21"/>
              </w:rPr>
            </w:pPr>
          </w:p>
        </w:tc>
      </w:tr>
      <w:tr w14:paraId="0329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8B69869">
            <w:pPr>
              <w:topLinePunct/>
              <w:spacing w:line="400" w:lineRule="atLeast"/>
              <w:jc w:val="center"/>
              <w:rPr>
                <w:szCs w:val="21"/>
              </w:rPr>
            </w:pPr>
          </w:p>
        </w:tc>
        <w:tc>
          <w:tcPr>
            <w:tcW w:w="2402" w:type="dxa"/>
            <w:noWrap w:val="0"/>
            <w:vAlign w:val="top"/>
          </w:tcPr>
          <w:p w14:paraId="5A1A85E3">
            <w:pPr>
              <w:topLinePunct/>
              <w:spacing w:line="400" w:lineRule="atLeast"/>
              <w:jc w:val="center"/>
              <w:rPr>
                <w:szCs w:val="21"/>
              </w:rPr>
            </w:pPr>
          </w:p>
        </w:tc>
        <w:tc>
          <w:tcPr>
            <w:tcW w:w="1800" w:type="dxa"/>
            <w:noWrap w:val="0"/>
            <w:vAlign w:val="top"/>
          </w:tcPr>
          <w:p w14:paraId="4CF66955">
            <w:pPr>
              <w:topLinePunct/>
              <w:spacing w:line="400" w:lineRule="atLeast"/>
              <w:jc w:val="center"/>
              <w:rPr>
                <w:szCs w:val="21"/>
              </w:rPr>
            </w:pPr>
          </w:p>
        </w:tc>
        <w:tc>
          <w:tcPr>
            <w:tcW w:w="1440" w:type="dxa"/>
            <w:noWrap w:val="0"/>
            <w:vAlign w:val="top"/>
          </w:tcPr>
          <w:p w14:paraId="3C21F39D">
            <w:pPr>
              <w:topLinePunct/>
              <w:spacing w:line="400" w:lineRule="atLeast"/>
              <w:jc w:val="center"/>
              <w:rPr>
                <w:szCs w:val="21"/>
              </w:rPr>
            </w:pPr>
          </w:p>
        </w:tc>
        <w:tc>
          <w:tcPr>
            <w:tcW w:w="2160" w:type="dxa"/>
            <w:noWrap w:val="0"/>
            <w:vAlign w:val="top"/>
          </w:tcPr>
          <w:p w14:paraId="0CF8FD92">
            <w:pPr>
              <w:topLinePunct/>
              <w:spacing w:line="400" w:lineRule="atLeast"/>
              <w:jc w:val="center"/>
              <w:rPr>
                <w:szCs w:val="21"/>
              </w:rPr>
            </w:pPr>
          </w:p>
        </w:tc>
      </w:tr>
      <w:tr w14:paraId="773F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FDA0317">
            <w:pPr>
              <w:topLinePunct/>
              <w:spacing w:line="400" w:lineRule="atLeast"/>
              <w:jc w:val="center"/>
              <w:rPr>
                <w:szCs w:val="21"/>
              </w:rPr>
            </w:pPr>
          </w:p>
        </w:tc>
        <w:tc>
          <w:tcPr>
            <w:tcW w:w="2402" w:type="dxa"/>
            <w:noWrap w:val="0"/>
            <w:vAlign w:val="top"/>
          </w:tcPr>
          <w:p w14:paraId="5C697779">
            <w:pPr>
              <w:topLinePunct/>
              <w:spacing w:line="400" w:lineRule="atLeast"/>
              <w:jc w:val="center"/>
              <w:rPr>
                <w:szCs w:val="21"/>
              </w:rPr>
            </w:pPr>
          </w:p>
        </w:tc>
        <w:tc>
          <w:tcPr>
            <w:tcW w:w="1800" w:type="dxa"/>
            <w:noWrap w:val="0"/>
            <w:vAlign w:val="top"/>
          </w:tcPr>
          <w:p w14:paraId="08C415A9">
            <w:pPr>
              <w:topLinePunct/>
              <w:spacing w:line="400" w:lineRule="atLeast"/>
              <w:jc w:val="center"/>
              <w:rPr>
                <w:szCs w:val="21"/>
              </w:rPr>
            </w:pPr>
          </w:p>
        </w:tc>
        <w:tc>
          <w:tcPr>
            <w:tcW w:w="1440" w:type="dxa"/>
            <w:noWrap w:val="0"/>
            <w:vAlign w:val="top"/>
          </w:tcPr>
          <w:p w14:paraId="1B5F8A7F">
            <w:pPr>
              <w:topLinePunct/>
              <w:spacing w:line="400" w:lineRule="atLeast"/>
              <w:jc w:val="center"/>
              <w:rPr>
                <w:szCs w:val="21"/>
              </w:rPr>
            </w:pPr>
          </w:p>
        </w:tc>
        <w:tc>
          <w:tcPr>
            <w:tcW w:w="2160" w:type="dxa"/>
            <w:noWrap w:val="0"/>
            <w:vAlign w:val="top"/>
          </w:tcPr>
          <w:p w14:paraId="23D5EA20">
            <w:pPr>
              <w:topLinePunct/>
              <w:spacing w:line="400" w:lineRule="atLeast"/>
              <w:jc w:val="center"/>
              <w:rPr>
                <w:szCs w:val="21"/>
              </w:rPr>
            </w:pPr>
          </w:p>
        </w:tc>
      </w:tr>
      <w:tr w14:paraId="48C0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85EDC06">
            <w:pPr>
              <w:topLinePunct/>
              <w:spacing w:line="400" w:lineRule="atLeast"/>
              <w:jc w:val="center"/>
              <w:rPr>
                <w:szCs w:val="21"/>
              </w:rPr>
            </w:pPr>
          </w:p>
        </w:tc>
        <w:tc>
          <w:tcPr>
            <w:tcW w:w="2402" w:type="dxa"/>
            <w:noWrap w:val="0"/>
            <w:vAlign w:val="top"/>
          </w:tcPr>
          <w:p w14:paraId="6581E93E">
            <w:pPr>
              <w:topLinePunct/>
              <w:spacing w:line="400" w:lineRule="atLeast"/>
              <w:jc w:val="center"/>
              <w:rPr>
                <w:szCs w:val="21"/>
              </w:rPr>
            </w:pPr>
          </w:p>
        </w:tc>
        <w:tc>
          <w:tcPr>
            <w:tcW w:w="1800" w:type="dxa"/>
            <w:noWrap w:val="0"/>
            <w:vAlign w:val="top"/>
          </w:tcPr>
          <w:p w14:paraId="43A3DED5">
            <w:pPr>
              <w:topLinePunct/>
              <w:spacing w:line="400" w:lineRule="atLeast"/>
              <w:jc w:val="center"/>
              <w:rPr>
                <w:szCs w:val="21"/>
              </w:rPr>
            </w:pPr>
          </w:p>
        </w:tc>
        <w:tc>
          <w:tcPr>
            <w:tcW w:w="1440" w:type="dxa"/>
            <w:noWrap w:val="0"/>
            <w:vAlign w:val="top"/>
          </w:tcPr>
          <w:p w14:paraId="7F7A0B53">
            <w:pPr>
              <w:topLinePunct/>
              <w:spacing w:line="400" w:lineRule="atLeast"/>
              <w:jc w:val="center"/>
              <w:rPr>
                <w:szCs w:val="21"/>
              </w:rPr>
            </w:pPr>
          </w:p>
        </w:tc>
        <w:tc>
          <w:tcPr>
            <w:tcW w:w="2160" w:type="dxa"/>
            <w:noWrap w:val="0"/>
            <w:vAlign w:val="top"/>
          </w:tcPr>
          <w:p w14:paraId="1000D5CF">
            <w:pPr>
              <w:topLinePunct/>
              <w:spacing w:line="400" w:lineRule="atLeast"/>
              <w:jc w:val="center"/>
              <w:rPr>
                <w:szCs w:val="21"/>
              </w:rPr>
            </w:pPr>
          </w:p>
        </w:tc>
      </w:tr>
      <w:tr w14:paraId="3809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DB0E784">
            <w:pPr>
              <w:topLinePunct/>
              <w:spacing w:line="400" w:lineRule="atLeast"/>
              <w:jc w:val="center"/>
              <w:rPr>
                <w:szCs w:val="21"/>
              </w:rPr>
            </w:pPr>
          </w:p>
        </w:tc>
        <w:tc>
          <w:tcPr>
            <w:tcW w:w="2402" w:type="dxa"/>
            <w:noWrap w:val="0"/>
            <w:vAlign w:val="top"/>
          </w:tcPr>
          <w:p w14:paraId="7C00F387">
            <w:pPr>
              <w:topLinePunct/>
              <w:spacing w:line="400" w:lineRule="atLeast"/>
              <w:jc w:val="center"/>
              <w:rPr>
                <w:szCs w:val="21"/>
              </w:rPr>
            </w:pPr>
          </w:p>
        </w:tc>
        <w:tc>
          <w:tcPr>
            <w:tcW w:w="1800" w:type="dxa"/>
            <w:noWrap w:val="0"/>
            <w:vAlign w:val="top"/>
          </w:tcPr>
          <w:p w14:paraId="4484234A">
            <w:pPr>
              <w:topLinePunct/>
              <w:spacing w:line="400" w:lineRule="atLeast"/>
              <w:jc w:val="center"/>
              <w:rPr>
                <w:szCs w:val="21"/>
              </w:rPr>
            </w:pPr>
          </w:p>
        </w:tc>
        <w:tc>
          <w:tcPr>
            <w:tcW w:w="1440" w:type="dxa"/>
            <w:noWrap w:val="0"/>
            <w:vAlign w:val="top"/>
          </w:tcPr>
          <w:p w14:paraId="2ABF3509">
            <w:pPr>
              <w:topLinePunct/>
              <w:spacing w:line="400" w:lineRule="atLeast"/>
              <w:jc w:val="center"/>
              <w:rPr>
                <w:szCs w:val="21"/>
              </w:rPr>
            </w:pPr>
          </w:p>
        </w:tc>
        <w:tc>
          <w:tcPr>
            <w:tcW w:w="2160" w:type="dxa"/>
            <w:noWrap w:val="0"/>
            <w:vAlign w:val="top"/>
          </w:tcPr>
          <w:p w14:paraId="289B98AE">
            <w:pPr>
              <w:topLinePunct/>
              <w:spacing w:line="400" w:lineRule="atLeast"/>
              <w:jc w:val="center"/>
              <w:rPr>
                <w:szCs w:val="21"/>
              </w:rPr>
            </w:pPr>
          </w:p>
        </w:tc>
      </w:tr>
      <w:tr w14:paraId="5758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1640541">
            <w:pPr>
              <w:topLinePunct/>
              <w:spacing w:line="400" w:lineRule="atLeast"/>
              <w:jc w:val="center"/>
              <w:rPr>
                <w:szCs w:val="21"/>
              </w:rPr>
            </w:pPr>
          </w:p>
        </w:tc>
        <w:tc>
          <w:tcPr>
            <w:tcW w:w="2402" w:type="dxa"/>
            <w:noWrap w:val="0"/>
            <w:vAlign w:val="top"/>
          </w:tcPr>
          <w:p w14:paraId="1CBF39E8">
            <w:pPr>
              <w:topLinePunct/>
              <w:spacing w:line="400" w:lineRule="atLeast"/>
              <w:jc w:val="center"/>
              <w:rPr>
                <w:szCs w:val="21"/>
              </w:rPr>
            </w:pPr>
          </w:p>
        </w:tc>
        <w:tc>
          <w:tcPr>
            <w:tcW w:w="1800" w:type="dxa"/>
            <w:noWrap w:val="0"/>
            <w:vAlign w:val="top"/>
          </w:tcPr>
          <w:p w14:paraId="2B86FAEC">
            <w:pPr>
              <w:topLinePunct/>
              <w:spacing w:line="400" w:lineRule="atLeast"/>
              <w:jc w:val="center"/>
              <w:rPr>
                <w:szCs w:val="21"/>
              </w:rPr>
            </w:pPr>
          </w:p>
        </w:tc>
        <w:tc>
          <w:tcPr>
            <w:tcW w:w="1440" w:type="dxa"/>
            <w:noWrap w:val="0"/>
            <w:vAlign w:val="top"/>
          </w:tcPr>
          <w:p w14:paraId="4EA97BF0">
            <w:pPr>
              <w:topLinePunct/>
              <w:spacing w:line="400" w:lineRule="atLeast"/>
              <w:jc w:val="center"/>
              <w:rPr>
                <w:szCs w:val="21"/>
              </w:rPr>
            </w:pPr>
          </w:p>
        </w:tc>
        <w:tc>
          <w:tcPr>
            <w:tcW w:w="2160" w:type="dxa"/>
            <w:noWrap w:val="0"/>
            <w:vAlign w:val="top"/>
          </w:tcPr>
          <w:p w14:paraId="69F3E130">
            <w:pPr>
              <w:topLinePunct/>
              <w:spacing w:line="400" w:lineRule="atLeast"/>
              <w:jc w:val="center"/>
              <w:rPr>
                <w:szCs w:val="21"/>
              </w:rPr>
            </w:pPr>
          </w:p>
        </w:tc>
      </w:tr>
      <w:tr w14:paraId="721F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00E6CFA">
            <w:pPr>
              <w:topLinePunct/>
              <w:spacing w:line="400" w:lineRule="atLeast"/>
              <w:jc w:val="center"/>
              <w:rPr>
                <w:szCs w:val="21"/>
              </w:rPr>
            </w:pPr>
          </w:p>
        </w:tc>
        <w:tc>
          <w:tcPr>
            <w:tcW w:w="2402" w:type="dxa"/>
            <w:noWrap w:val="0"/>
            <w:vAlign w:val="top"/>
          </w:tcPr>
          <w:p w14:paraId="663B53B4">
            <w:pPr>
              <w:topLinePunct/>
              <w:spacing w:line="400" w:lineRule="atLeast"/>
              <w:jc w:val="center"/>
              <w:rPr>
                <w:szCs w:val="21"/>
              </w:rPr>
            </w:pPr>
          </w:p>
        </w:tc>
        <w:tc>
          <w:tcPr>
            <w:tcW w:w="1800" w:type="dxa"/>
            <w:noWrap w:val="0"/>
            <w:vAlign w:val="top"/>
          </w:tcPr>
          <w:p w14:paraId="6688FF3A">
            <w:pPr>
              <w:topLinePunct/>
              <w:spacing w:line="400" w:lineRule="atLeast"/>
              <w:jc w:val="center"/>
              <w:rPr>
                <w:szCs w:val="21"/>
              </w:rPr>
            </w:pPr>
          </w:p>
        </w:tc>
        <w:tc>
          <w:tcPr>
            <w:tcW w:w="1440" w:type="dxa"/>
            <w:noWrap w:val="0"/>
            <w:vAlign w:val="top"/>
          </w:tcPr>
          <w:p w14:paraId="0741B76A">
            <w:pPr>
              <w:topLinePunct/>
              <w:spacing w:line="400" w:lineRule="atLeast"/>
              <w:jc w:val="center"/>
              <w:rPr>
                <w:szCs w:val="21"/>
              </w:rPr>
            </w:pPr>
          </w:p>
        </w:tc>
        <w:tc>
          <w:tcPr>
            <w:tcW w:w="2160" w:type="dxa"/>
            <w:noWrap w:val="0"/>
            <w:vAlign w:val="top"/>
          </w:tcPr>
          <w:p w14:paraId="2FEB2D74">
            <w:pPr>
              <w:topLinePunct/>
              <w:spacing w:line="400" w:lineRule="atLeast"/>
              <w:jc w:val="center"/>
              <w:rPr>
                <w:szCs w:val="21"/>
              </w:rPr>
            </w:pPr>
          </w:p>
        </w:tc>
      </w:tr>
      <w:tr w14:paraId="25F0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trPr>
        <w:tc>
          <w:tcPr>
            <w:tcW w:w="766" w:type="dxa"/>
            <w:noWrap w:val="0"/>
            <w:vAlign w:val="top"/>
          </w:tcPr>
          <w:p w14:paraId="4C18E79F">
            <w:pPr>
              <w:topLinePunct/>
              <w:spacing w:line="400" w:lineRule="atLeast"/>
              <w:jc w:val="center"/>
              <w:rPr>
                <w:szCs w:val="21"/>
              </w:rPr>
            </w:pPr>
          </w:p>
        </w:tc>
        <w:tc>
          <w:tcPr>
            <w:tcW w:w="2402" w:type="dxa"/>
            <w:noWrap w:val="0"/>
            <w:vAlign w:val="top"/>
          </w:tcPr>
          <w:p w14:paraId="69DEC666">
            <w:pPr>
              <w:topLinePunct/>
              <w:spacing w:line="400" w:lineRule="atLeast"/>
              <w:jc w:val="center"/>
              <w:rPr>
                <w:szCs w:val="21"/>
              </w:rPr>
            </w:pPr>
          </w:p>
        </w:tc>
        <w:tc>
          <w:tcPr>
            <w:tcW w:w="1800" w:type="dxa"/>
            <w:noWrap w:val="0"/>
            <w:vAlign w:val="top"/>
          </w:tcPr>
          <w:p w14:paraId="6A3CBDB3">
            <w:pPr>
              <w:topLinePunct/>
              <w:spacing w:line="400" w:lineRule="atLeast"/>
              <w:jc w:val="center"/>
              <w:rPr>
                <w:szCs w:val="21"/>
              </w:rPr>
            </w:pPr>
          </w:p>
        </w:tc>
        <w:tc>
          <w:tcPr>
            <w:tcW w:w="1440" w:type="dxa"/>
            <w:noWrap w:val="0"/>
            <w:vAlign w:val="top"/>
          </w:tcPr>
          <w:p w14:paraId="0426A224">
            <w:pPr>
              <w:topLinePunct/>
              <w:spacing w:line="400" w:lineRule="atLeast"/>
              <w:jc w:val="center"/>
              <w:rPr>
                <w:szCs w:val="21"/>
              </w:rPr>
            </w:pPr>
          </w:p>
        </w:tc>
        <w:tc>
          <w:tcPr>
            <w:tcW w:w="2160" w:type="dxa"/>
            <w:noWrap w:val="0"/>
            <w:vAlign w:val="top"/>
          </w:tcPr>
          <w:p w14:paraId="2FAA18E3">
            <w:pPr>
              <w:topLinePunct/>
              <w:spacing w:line="400" w:lineRule="atLeast"/>
              <w:jc w:val="center"/>
              <w:rPr>
                <w:szCs w:val="21"/>
              </w:rPr>
            </w:pPr>
          </w:p>
        </w:tc>
      </w:tr>
      <w:tr w14:paraId="2536E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0F185A5">
            <w:pPr>
              <w:topLinePunct/>
              <w:spacing w:line="400" w:lineRule="atLeast"/>
              <w:jc w:val="center"/>
              <w:rPr>
                <w:szCs w:val="21"/>
              </w:rPr>
            </w:pPr>
          </w:p>
        </w:tc>
        <w:tc>
          <w:tcPr>
            <w:tcW w:w="2402" w:type="dxa"/>
            <w:noWrap w:val="0"/>
            <w:vAlign w:val="top"/>
          </w:tcPr>
          <w:p w14:paraId="1F5D0C98">
            <w:pPr>
              <w:topLinePunct/>
              <w:spacing w:line="400" w:lineRule="atLeast"/>
              <w:jc w:val="center"/>
              <w:rPr>
                <w:szCs w:val="21"/>
              </w:rPr>
            </w:pPr>
          </w:p>
        </w:tc>
        <w:tc>
          <w:tcPr>
            <w:tcW w:w="1800" w:type="dxa"/>
            <w:noWrap w:val="0"/>
            <w:vAlign w:val="top"/>
          </w:tcPr>
          <w:p w14:paraId="07C99180">
            <w:pPr>
              <w:topLinePunct/>
              <w:spacing w:line="400" w:lineRule="atLeast"/>
              <w:jc w:val="center"/>
              <w:rPr>
                <w:szCs w:val="21"/>
              </w:rPr>
            </w:pPr>
          </w:p>
        </w:tc>
        <w:tc>
          <w:tcPr>
            <w:tcW w:w="1440" w:type="dxa"/>
            <w:noWrap w:val="0"/>
            <w:vAlign w:val="top"/>
          </w:tcPr>
          <w:p w14:paraId="69ECE776">
            <w:pPr>
              <w:topLinePunct/>
              <w:spacing w:line="400" w:lineRule="atLeast"/>
              <w:jc w:val="center"/>
              <w:rPr>
                <w:szCs w:val="21"/>
              </w:rPr>
            </w:pPr>
          </w:p>
        </w:tc>
        <w:tc>
          <w:tcPr>
            <w:tcW w:w="2160" w:type="dxa"/>
            <w:noWrap w:val="0"/>
            <w:vAlign w:val="top"/>
          </w:tcPr>
          <w:p w14:paraId="6F20E135">
            <w:pPr>
              <w:topLinePunct/>
              <w:spacing w:line="400" w:lineRule="atLeast"/>
              <w:jc w:val="center"/>
              <w:rPr>
                <w:szCs w:val="21"/>
              </w:rPr>
            </w:pPr>
          </w:p>
        </w:tc>
      </w:tr>
    </w:tbl>
    <w:p w14:paraId="07419FB9">
      <w:pPr>
        <w:pStyle w:val="9"/>
        <w:rPr>
          <w:rFonts w:hint="eastAsia" w:ascii="Times New Roman" w:hAnsi="Times New Roman" w:eastAsia="黑体"/>
          <w:sz w:val="24"/>
          <w:szCs w:val="24"/>
        </w:rPr>
      </w:pPr>
    </w:p>
    <w:p w14:paraId="7205AE2A">
      <w:pPr>
        <w:pStyle w:val="9"/>
        <w:rPr>
          <w:rFonts w:hint="eastAsia" w:ascii="Times New Roman" w:hAnsi="Times New Roman" w:eastAsia="黑体"/>
          <w:sz w:val="24"/>
          <w:szCs w:val="24"/>
        </w:rPr>
      </w:pPr>
    </w:p>
    <w:p w14:paraId="44E58277">
      <w:pPr>
        <w:spacing w:line="400" w:lineRule="atLeast"/>
        <w:ind w:left="840" w:hanging="840" w:hangingChars="400"/>
        <w:rPr>
          <w:rFonts w:hint="eastAsia"/>
          <w:szCs w:val="21"/>
        </w:rPr>
      </w:pPr>
      <w:r>
        <w:rPr>
          <w:rFonts w:hint="eastAsia"/>
        </w:rPr>
        <w:t>备</w:t>
      </w:r>
      <w:r>
        <w:t>注：</w:t>
      </w:r>
      <w:r>
        <w:rPr>
          <w:rFonts w:hint="eastAsia"/>
          <w:szCs w:val="21"/>
        </w:rPr>
        <w:t>1. 近5年是指从投标截止日往前推算的5年，如投标截止日为2014年3月5日，则近5年是指2009年3月5日至2014年3月4日。</w:t>
      </w:r>
    </w:p>
    <w:p w14:paraId="3D21E34D">
      <w:pPr>
        <w:spacing w:line="400" w:lineRule="atLeast"/>
        <w:ind w:left="840" w:leftChars="300" w:hanging="210" w:hangingChars="100"/>
        <w:rPr>
          <w:rFonts w:hint="eastAsia"/>
          <w:szCs w:val="21"/>
        </w:rPr>
      </w:pPr>
      <w:r>
        <w:rPr>
          <w:rFonts w:hint="eastAsia"/>
          <w:szCs w:val="21"/>
        </w:rPr>
        <w:t>2. 本表后应附</w:t>
      </w:r>
      <w:r>
        <w:rPr>
          <w:szCs w:val="21"/>
        </w:rPr>
        <w:t>中标通知书</w:t>
      </w:r>
      <w:r>
        <w:rPr>
          <w:rFonts w:hint="eastAsia"/>
          <w:szCs w:val="21"/>
        </w:rPr>
        <w:t>（如有）、</w:t>
      </w:r>
      <w:r>
        <w:rPr>
          <w:szCs w:val="21"/>
        </w:rPr>
        <w:t>合同协议书、</w:t>
      </w:r>
      <w:r>
        <w:rPr>
          <w:rFonts w:hint="eastAsia"/>
          <w:szCs w:val="21"/>
        </w:rPr>
        <w:t>施工许可证（如有）、工程接收证书或工程竣工验收证书（工程竣工验收备案证）、表彰文件、获奖证书及其他证明材料等扫描件。</w:t>
      </w:r>
      <w:r>
        <w:rPr>
          <w:rFonts w:hint="eastAsia" w:cs="宋体"/>
          <w:kern w:val="0"/>
          <w:szCs w:val="21"/>
        </w:rPr>
        <w:t>招标发包的工程应附中标通知书，工程总承包发包、施工总承包发包、独立发包的施工专业承包应附</w:t>
      </w:r>
      <w:r>
        <w:rPr>
          <w:rFonts w:hint="eastAsia"/>
        </w:rPr>
        <w:t>施工许可证</w:t>
      </w:r>
      <w:r>
        <w:rPr>
          <w:rFonts w:hint="eastAsia" w:cs="宋体"/>
          <w:kern w:val="0"/>
          <w:szCs w:val="21"/>
        </w:rPr>
        <w:t>。</w:t>
      </w:r>
      <w:r>
        <w:rPr>
          <w:rFonts w:hint="eastAsia"/>
          <w:szCs w:val="21"/>
        </w:rPr>
        <w:t>以表彰文件、获奖证书的颁发时间为准。</w:t>
      </w:r>
    </w:p>
    <w:p w14:paraId="23B1FF28">
      <w:pPr>
        <w:spacing w:line="400" w:lineRule="atLeast"/>
        <w:ind w:left="630" w:leftChars="300"/>
        <w:rPr>
          <w:rFonts w:hint="eastAsia"/>
          <w:szCs w:val="21"/>
        </w:rPr>
      </w:pPr>
      <w:r>
        <w:rPr>
          <w:rFonts w:hint="eastAsia"/>
          <w:szCs w:val="21"/>
        </w:rPr>
        <w:t>3. 颁奖单位应当是国家机关或民政部门注册登记的合法颁奖单位。</w:t>
      </w:r>
    </w:p>
    <w:p w14:paraId="272F28C6">
      <w:pPr>
        <w:spacing w:line="440" w:lineRule="exact"/>
        <w:rPr>
          <w:rFonts w:hint="eastAsia" w:ascii="宋体" w:hAnsi="宋体"/>
          <w:szCs w:val="21"/>
        </w:rPr>
      </w:pPr>
    </w:p>
    <w:p w14:paraId="3740E6DC">
      <w:pPr>
        <w:pStyle w:val="20"/>
        <w:jc w:val="center"/>
        <w:rPr>
          <w:rFonts w:hint="eastAsia"/>
          <w:szCs w:val="24"/>
        </w:rPr>
      </w:pPr>
      <w:bookmarkStart w:id="2674" w:name="_Toc108514258"/>
      <w:r>
        <w:rPr>
          <w:rFonts w:hint="eastAsia"/>
          <w:szCs w:val="24"/>
        </w:rPr>
        <w:t>5-4 近5年项目经理工程获奖</w:t>
      </w:r>
      <w:r>
        <w:rPr>
          <w:szCs w:val="24"/>
        </w:rPr>
        <w:t>情况表</w:t>
      </w:r>
      <w:bookmarkEnd w:id="2674"/>
    </w:p>
    <w:p w14:paraId="60D12BEC">
      <w:pPr>
        <w:pStyle w:val="7"/>
        <w:spacing w:after="0" w:line="400" w:lineRule="atLeast"/>
        <w:ind w:left="0" w:leftChars="0"/>
        <w:jc w:val="center"/>
        <w:rPr>
          <w:rFonts w:hint="eastAsia" w:eastAsia="黑体"/>
          <w:sz w:val="24"/>
        </w:rPr>
      </w:pP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1FA7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50A0F9F">
            <w:pPr>
              <w:topLinePunct/>
              <w:spacing w:line="400" w:lineRule="atLeast"/>
              <w:jc w:val="center"/>
              <w:rPr>
                <w:rFonts w:hint="eastAsia"/>
                <w:szCs w:val="21"/>
              </w:rPr>
            </w:pPr>
            <w:r>
              <w:rPr>
                <w:rFonts w:hint="eastAsia"/>
                <w:szCs w:val="21"/>
              </w:rPr>
              <w:t>序号</w:t>
            </w:r>
          </w:p>
        </w:tc>
        <w:tc>
          <w:tcPr>
            <w:tcW w:w="2402" w:type="dxa"/>
            <w:noWrap w:val="0"/>
            <w:vAlign w:val="top"/>
          </w:tcPr>
          <w:p w14:paraId="35A0EE27">
            <w:pPr>
              <w:topLinePunct/>
              <w:spacing w:line="400" w:lineRule="atLeast"/>
              <w:jc w:val="center"/>
              <w:rPr>
                <w:rFonts w:hint="eastAsia"/>
                <w:szCs w:val="21"/>
              </w:rPr>
            </w:pPr>
            <w:r>
              <w:rPr>
                <w:rFonts w:hint="eastAsia"/>
                <w:szCs w:val="21"/>
              </w:rPr>
              <w:t>项目名称</w:t>
            </w:r>
          </w:p>
        </w:tc>
        <w:tc>
          <w:tcPr>
            <w:tcW w:w="1800" w:type="dxa"/>
            <w:noWrap w:val="0"/>
            <w:vAlign w:val="top"/>
          </w:tcPr>
          <w:p w14:paraId="3469AF79">
            <w:pPr>
              <w:topLinePunct/>
              <w:spacing w:line="400" w:lineRule="atLeast"/>
              <w:jc w:val="center"/>
              <w:rPr>
                <w:rFonts w:hint="eastAsia"/>
                <w:szCs w:val="21"/>
              </w:rPr>
            </w:pPr>
            <w:r>
              <w:rPr>
                <w:rFonts w:hint="eastAsia"/>
                <w:szCs w:val="21"/>
              </w:rPr>
              <w:t>获奖名称</w:t>
            </w:r>
          </w:p>
        </w:tc>
        <w:tc>
          <w:tcPr>
            <w:tcW w:w="1440" w:type="dxa"/>
            <w:noWrap w:val="0"/>
            <w:vAlign w:val="top"/>
          </w:tcPr>
          <w:p w14:paraId="7504CB04">
            <w:pPr>
              <w:topLinePunct/>
              <w:spacing w:line="400" w:lineRule="atLeast"/>
              <w:jc w:val="center"/>
              <w:rPr>
                <w:rFonts w:hint="eastAsia"/>
                <w:szCs w:val="21"/>
              </w:rPr>
            </w:pPr>
            <w:r>
              <w:rPr>
                <w:rFonts w:hint="eastAsia"/>
                <w:szCs w:val="21"/>
              </w:rPr>
              <w:t>获奖日期</w:t>
            </w:r>
          </w:p>
        </w:tc>
        <w:tc>
          <w:tcPr>
            <w:tcW w:w="2160" w:type="dxa"/>
            <w:noWrap w:val="0"/>
            <w:vAlign w:val="top"/>
          </w:tcPr>
          <w:p w14:paraId="75EA79EC">
            <w:pPr>
              <w:topLinePunct/>
              <w:spacing w:line="400" w:lineRule="atLeast"/>
              <w:jc w:val="center"/>
              <w:rPr>
                <w:rFonts w:hint="eastAsia"/>
                <w:szCs w:val="21"/>
              </w:rPr>
            </w:pPr>
            <w:r>
              <w:rPr>
                <w:rFonts w:hint="eastAsia"/>
                <w:szCs w:val="21"/>
              </w:rPr>
              <w:t>颁奖单位</w:t>
            </w:r>
          </w:p>
        </w:tc>
      </w:tr>
      <w:tr w14:paraId="0C04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EA6861C">
            <w:pPr>
              <w:topLinePunct/>
              <w:spacing w:line="400" w:lineRule="atLeast"/>
              <w:jc w:val="center"/>
              <w:rPr>
                <w:szCs w:val="21"/>
              </w:rPr>
            </w:pPr>
          </w:p>
        </w:tc>
        <w:tc>
          <w:tcPr>
            <w:tcW w:w="2402" w:type="dxa"/>
            <w:noWrap w:val="0"/>
            <w:vAlign w:val="top"/>
          </w:tcPr>
          <w:p w14:paraId="0A2DDB36">
            <w:pPr>
              <w:topLinePunct/>
              <w:spacing w:line="400" w:lineRule="atLeast"/>
              <w:jc w:val="center"/>
              <w:rPr>
                <w:szCs w:val="21"/>
              </w:rPr>
            </w:pPr>
          </w:p>
        </w:tc>
        <w:tc>
          <w:tcPr>
            <w:tcW w:w="1800" w:type="dxa"/>
            <w:noWrap w:val="0"/>
            <w:vAlign w:val="top"/>
          </w:tcPr>
          <w:p w14:paraId="7C293B25">
            <w:pPr>
              <w:topLinePunct/>
              <w:spacing w:line="400" w:lineRule="atLeast"/>
              <w:jc w:val="center"/>
              <w:rPr>
                <w:szCs w:val="21"/>
              </w:rPr>
            </w:pPr>
          </w:p>
        </w:tc>
        <w:tc>
          <w:tcPr>
            <w:tcW w:w="1440" w:type="dxa"/>
            <w:noWrap w:val="0"/>
            <w:vAlign w:val="top"/>
          </w:tcPr>
          <w:p w14:paraId="7E29C08B">
            <w:pPr>
              <w:topLinePunct/>
              <w:spacing w:line="400" w:lineRule="atLeast"/>
              <w:jc w:val="center"/>
              <w:rPr>
                <w:szCs w:val="21"/>
              </w:rPr>
            </w:pPr>
          </w:p>
        </w:tc>
        <w:tc>
          <w:tcPr>
            <w:tcW w:w="2160" w:type="dxa"/>
            <w:noWrap w:val="0"/>
            <w:vAlign w:val="top"/>
          </w:tcPr>
          <w:p w14:paraId="769611B0">
            <w:pPr>
              <w:topLinePunct/>
              <w:spacing w:line="400" w:lineRule="atLeast"/>
              <w:jc w:val="center"/>
              <w:rPr>
                <w:szCs w:val="21"/>
              </w:rPr>
            </w:pPr>
          </w:p>
        </w:tc>
      </w:tr>
      <w:tr w14:paraId="6DA9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D8FDB34">
            <w:pPr>
              <w:topLinePunct/>
              <w:spacing w:line="400" w:lineRule="atLeast"/>
              <w:jc w:val="center"/>
              <w:rPr>
                <w:szCs w:val="21"/>
              </w:rPr>
            </w:pPr>
          </w:p>
        </w:tc>
        <w:tc>
          <w:tcPr>
            <w:tcW w:w="2402" w:type="dxa"/>
            <w:noWrap w:val="0"/>
            <w:vAlign w:val="top"/>
          </w:tcPr>
          <w:p w14:paraId="5C751268">
            <w:pPr>
              <w:topLinePunct/>
              <w:spacing w:line="400" w:lineRule="atLeast"/>
              <w:jc w:val="center"/>
              <w:rPr>
                <w:szCs w:val="21"/>
              </w:rPr>
            </w:pPr>
          </w:p>
        </w:tc>
        <w:tc>
          <w:tcPr>
            <w:tcW w:w="1800" w:type="dxa"/>
            <w:noWrap w:val="0"/>
            <w:vAlign w:val="top"/>
          </w:tcPr>
          <w:p w14:paraId="18374B61">
            <w:pPr>
              <w:topLinePunct/>
              <w:spacing w:line="400" w:lineRule="atLeast"/>
              <w:jc w:val="center"/>
              <w:rPr>
                <w:szCs w:val="21"/>
              </w:rPr>
            </w:pPr>
          </w:p>
        </w:tc>
        <w:tc>
          <w:tcPr>
            <w:tcW w:w="1440" w:type="dxa"/>
            <w:noWrap w:val="0"/>
            <w:vAlign w:val="top"/>
          </w:tcPr>
          <w:p w14:paraId="03E2609B">
            <w:pPr>
              <w:topLinePunct/>
              <w:spacing w:line="400" w:lineRule="atLeast"/>
              <w:jc w:val="center"/>
              <w:rPr>
                <w:szCs w:val="21"/>
              </w:rPr>
            </w:pPr>
          </w:p>
        </w:tc>
        <w:tc>
          <w:tcPr>
            <w:tcW w:w="2160" w:type="dxa"/>
            <w:noWrap w:val="0"/>
            <w:vAlign w:val="top"/>
          </w:tcPr>
          <w:p w14:paraId="7D837B9F">
            <w:pPr>
              <w:topLinePunct/>
              <w:spacing w:line="400" w:lineRule="atLeast"/>
              <w:jc w:val="center"/>
              <w:rPr>
                <w:szCs w:val="21"/>
              </w:rPr>
            </w:pPr>
          </w:p>
        </w:tc>
      </w:tr>
      <w:tr w14:paraId="4AAE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F7E9382">
            <w:pPr>
              <w:topLinePunct/>
              <w:spacing w:line="400" w:lineRule="atLeast"/>
              <w:jc w:val="center"/>
              <w:rPr>
                <w:szCs w:val="21"/>
              </w:rPr>
            </w:pPr>
          </w:p>
        </w:tc>
        <w:tc>
          <w:tcPr>
            <w:tcW w:w="2402" w:type="dxa"/>
            <w:noWrap w:val="0"/>
            <w:vAlign w:val="top"/>
          </w:tcPr>
          <w:p w14:paraId="6854BF50">
            <w:pPr>
              <w:topLinePunct/>
              <w:spacing w:line="400" w:lineRule="atLeast"/>
              <w:jc w:val="center"/>
              <w:rPr>
                <w:szCs w:val="21"/>
              </w:rPr>
            </w:pPr>
          </w:p>
        </w:tc>
        <w:tc>
          <w:tcPr>
            <w:tcW w:w="1800" w:type="dxa"/>
            <w:noWrap w:val="0"/>
            <w:vAlign w:val="top"/>
          </w:tcPr>
          <w:p w14:paraId="582779AD">
            <w:pPr>
              <w:topLinePunct/>
              <w:spacing w:line="400" w:lineRule="atLeast"/>
              <w:jc w:val="center"/>
              <w:rPr>
                <w:szCs w:val="21"/>
              </w:rPr>
            </w:pPr>
          </w:p>
        </w:tc>
        <w:tc>
          <w:tcPr>
            <w:tcW w:w="1440" w:type="dxa"/>
            <w:noWrap w:val="0"/>
            <w:vAlign w:val="top"/>
          </w:tcPr>
          <w:p w14:paraId="29D011FD">
            <w:pPr>
              <w:topLinePunct/>
              <w:spacing w:line="400" w:lineRule="atLeast"/>
              <w:jc w:val="center"/>
              <w:rPr>
                <w:szCs w:val="21"/>
              </w:rPr>
            </w:pPr>
          </w:p>
        </w:tc>
        <w:tc>
          <w:tcPr>
            <w:tcW w:w="2160" w:type="dxa"/>
            <w:noWrap w:val="0"/>
            <w:vAlign w:val="top"/>
          </w:tcPr>
          <w:p w14:paraId="0404C041">
            <w:pPr>
              <w:topLinePunct/>
              <w:spacing w:line="400" w:lineRule="atLeast"/>
              <w:jc w:val="center"/>
              <w:rPr>
                <w:szCs w:val="21"/>
              </w:rPr>
            </w:pPr>
          </w:p>
        </w:tc>
      </w:tr>
      <w:tr w14:paraId="2681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AD0D0D5">
            <w:pPr>
              <w:topLinePunct/>
              <w:spacing w:line="400" w:lineRule="atLeast"/>
              <w:jc w:val="center"/>
              <w:rPr>
                <w:szCs w:val="21"/>
              </w:rPr>
            </w:pPr>
          </w:p>
        </w:tc>
        <w:tc>
          <w:tcPr>
            <w:tcW w:w="2402" w:type="dxa"/>
            <w:noWrap w:val="0"/>
            <w:vAlign w:val="top"/>
          </w:tcPr>
          <w:p w14:paraId="394E0C37">
            <w:pPr>
              <w:topLinePunct/>
              <w:spacing w:line="400" w:lineRule="atLeast"/>
              <w:jc w:val="center"/>
              <w:rPr>
                <w:szCs w:val="21"/>
              </w:rPr>
            </w:pPr>
          </w:p>
        </w:tc>
        <w:tc>
          <w:tcPr>
            <w:tcW w:w="1800" w:type="dxa"/>
            <w:noWrap w:val="0"/>
            <w:vAlign w:val="top"/>
          </w:tcPr>
          <w:p w14:paraId="3964FF1D">
            <w:pPr>
              <w:topLinePunct/>
              <w:spacing w:line="400" w:lineRule="atLeast"/>
              <w:jc w:val="center"/>
              <w:rPr>
                <w:szCs w:val="21"/>
              </w:rPr>
            </w:pPr>
          </w:p>
        </w:tc>
        <w:tc>
          <w:tcPr>
            <w:tcW w:w="1440" w:type="dxa"/>
            <w:noWrap w:val="0"/>
            <w:vAlign w:val="top"/>
          </w:tcPr>
          <w:p w14:paraId="3ED174D2">
            <w:pPr>
              <w:topLinePunct/>
              <w:spacing w:line="400" w:lineRule="atLeast"/>
              <w:jc w:val="center"/>
              <w:rPr>
                <w:szCs w:val="21"/>
              </w:rPr>
            </w:pPr>
          </w:p>
        </w:tc>
        <w:tc>
          <w:tcPr>
            <w:tcW w:w="2160" w:type="dxa"/>
            <w:noWrap w:val="0"/>
            <w:vAlign w:val="top"/>
          </w:tcPr>
          <w:p w14:paraId="18171A9D">
            <w:pPr>
              <w:topLinePunct/>
              <w:spacing w:line="400" w:lineRule="atLeast"/>
              <w:jc w:val="center"/>
              <w:rPr>
                <w:szCs w:val="21"/>
              </w:rPr>
            </w:pPr>
          </w:p>
        </w:tc>
      </w:tr>
      <w:tr w14:paraId="198E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28D51F6">
            <w:pPr>
              <w:topLinePunct/>
              <w:spacing w:line="400" w:lineRule="atLeast"/>
              <w:jc w:val="center"/>
              <w:rPr>
                <w:szCs w:val="21"/>
              </w:rPr>
            </w:pPr>
          </w:p>
        </w:tc>
        <w:tc>
          <w:tcPr>
            <w:tcW w:w="2402" w:type="dxa"/>
            <w:noWrap w:val="0"/>
            <w:vAlign w:val="top"/>
          </w:tcPr>
          <w:p w14:paraId="170A606F">
            <w:pPr>
              <w:topLinePunct/>
              <w:spacing w:line="400" w:lineRule="atLeast"/>
              <w:jc w:val="center"/>
              <w:rPr>
                <w:szCs w:val="21"/>
              </w:rPr>
            </w:pPr>
          </w:p>
        </w:tc>
        <w:tc>
          <w:tcPr>
            <w:tcW w:w="1800" w:type="dxa"/>
            <w:noWrap w:val="0"/>
            <w:vAlign w:val="top"/>
          </w:tcPr>
          <w:p w14:paraId="49BC40B7">
            <w:pPr>
              <w:topLinePunct/>
              <w:spacing w:line="400" w:lineRule="atLeast"/>
              <w:jc w:val="center"/>
              <w:rPr>
                <w:szCs w:val="21"/>
              </w:rPr>
            </w:pPr>
          </w:p>
        </w:tc>
        <w:tc>
          <w:tcPr>
            <w:tcW w:w="1440" w:type="dxa"/>
            <w:noWrap w:val="0"/>
            <w:vAlign w:val="top"/>
          </w:tcPr>
          <w:p w14:paraId="5AF6C3DC">
            <w:pPr>
              <w:topLinePunct/>
              <w:spacing w:line="400" w:lineRule="atLeast"/>
              <w:jc w:val="center"/>
              <w:rPr>
                <w:szCs w:val="21"/>
              </w:rPr>
            </w:pPr>
          </w:p>
        </w:tc>
        <w:tc>
          <w:tcPr>
            <w:tcW w:w="2160" w:type="dxa"/>
            <w:noWrap w:val="0"/>
            <w:vAlign w:val="top"/>
          </w:tcPr>
          <w:p w14:paraId="5B01C682">
            <w:pPr>
              <w:topLinePunct/>
              <w:spacing w:line="400" w:lineRule="atLeast"/>
              <w:jc w:val="center"/>
              <w:rPr>
                <w:szCs w:val="21"/>
              </w:rPr>
            </w:pPr>
          </w:p>
        </w:tc>
      </w:tr>
      <w:tr w14:paraId="3682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28DFD99">
            <w:pPr>
              <w:topLinePunct/>
              <w:spacing w:line="400" w:lineRule="atLeast"/>
              <w:jc w:val="center"/>
              <w:rPr>
                <w:szCs w:val="21"/>
              </w:rPr>
            </w:pPr>
          </w:p>
        </w:tc>
        <w:tc>
          <w:tcPr>
            <w:tcW w:w="2402" w:type="dxa"/>
            <w:noWrap w:val="0"/>
            <w:vAlign w:val="top"/>
          </w:tcPr>
          <w:p w14:paraId="44963316">
            <w:pPr>
              <w:topLinePunct/>
              <w:spacing w:line="400" w:lineRule="atLeast"/>
              <w:jc w:val="center"/>
              <w:rPr>
                <w:szCs w:val="21"/>
              </w:rPr>
            </w:pPr>
          </w:p>
        </w:tc>
        <w:tc>
          <w:tcPr>
            <w:tcW w:w="1800" w:type="dxa"/>
            <w:noWrap w:val="0"/>
            <w:vAlign w:val="top"/>
          </w:tcPr>
          <w:p w14:paraId="59054DD3">
            <w:pPr>
              <w:topLinePunct/>
              <w:spacing w:line="400" w:lineRule="atLeast"/>
              <w:jc w:val="center"/>
              <w:rPr>
                <w:szCs w:val="21"/>
              </w:rPr>
            </w:pPr>
          </w:p>
        </w:tc>
        <w:tc>
          <w:tcPr>
            <w:tcW w:w="1440" w:type="dxa"/>
            <w:noWrap w:val="0"/>
            <w:vAlign w:val="top"/>
          </w:tcPr>
          <w:p w14:paraId="2EBAFB8A">
            <w:pPr>
              <w:topLinePunct/>
              <w:spacing w:line="400" w:lineRule="atLeast"/>
              <w:jc w:val="center"/>
              <w:rPr>
                <w:szCs w:val="21"/>
              </w:rPr>
            </w:pPr>
          </w:p>
        </w:tc>
        <w:tc>
          <w:tcPr>
            <w:tcW w:w="2160" w:type="dxa"/>
            <w:noWrap w:val="0"/>
            <w:vAlign w:val="top"/>
          </w:tcPr>
          <w:p w14:paraId="2B6440B0">
            <w:pPr>
              <w:topLinePunct/>
              <w:spacing w:line="400" w:lineRule="atLeast"/>
              <w:jc w:val="center"/>
              <w:rPr>
                <w:szCs w:val="21"/>
              </w:rPr>
            </w:pPr>
          </w:p>
        </w:tc>
      </w:tr>
      <w:tr w14:paraId="4937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83190FA">
            <w:pPr>
              <w:topLinePunct/>
              <w:spacing w:line="400" w:lineRule="atLeast"/>
              <w:jc w:val="center"/>
              <w:rPr>
                <w:szCs w:val="21"/>
              </w:rPr>
            </w:pPr>
          </w:p>
        </w:tc>
        <w:tc>
          <w:tcPr>
            <w:tcW w:w="2402" w:type="dxa"/>
            <w:noWrap w:val="0"/>
            <w:vAlign w:val="top"/>
          </w:tcPr>
          <w:p w14:paraId="3EB8663A">
            <w:pPr>
              <w:topLinePunct/>
              <w:spacing w:line="400" w:lineRule="atLeast"/>
              <w:jc w:val="center"/>
              <w:rPr>
                <w:szCs w:val="21"/>
              </w:rPr>
            </w:pPr>
          </w:p>
        </w:tc>
        <w:tc>
          <w:tcPr>
            <w:tcW w:w="1800" w:type="dxa"/>
            <w:noWrap w:val="0"/>
            <w:vAlign w:val="top"/>
          </w:tcPr>
          <w:p w14:paraId="158CD8F8">
            <w:pPr>
              <w:topLinePunct/>
              <w:spacing w:line="400" w:lineRule="atLeast"/>
              <w:jc w:val="center"/>
              <w:rPr>
                <w:szCs w:val="21"/>
              </w:rPr>
            </w:pPr>
          </w:p>
        </w:tc>
        <w:tc>
          <w:tcPr>
            <w:tcW w:w="1440" w:type="dxa"/>
            <w:noWrap w:val="0"/>
            <w:vAlign w:val="top"/>
          </w:tcPr>
          <w:p w14:paraId="0E7C91DD">
            <w:pPr>
              <w:topLinePunct/>
              <w:spacing w:line="400" w:lineRule="atLeast"/>
              <w:jc w:val="center"/>
              <w:rPr>
                <w:szCs w:val="21"/>
              </w:rPr>
            </w:pPr>
          </w:p>
        </w:tc>
        <w:tc>
          <w:tcPr>
            <w:tcW w:w="2160" w:type="dxa"/>
            <w:noWrap w:val="0"/>
            <w:vAlign w:val="top"/>
          </w:tcPr>
          <w:p w14:paraId="1FED0035">
            <w:pPr>
              <w:topLinePunct/>
              <w:spacing w:line="400" w:lineRule="atLeast"/>
              <w:jc w:val="center"/>
              <w:rPr>
                <w:szCs w:val="21"/>
              </w:rPr>
            </w:pPr>
          </w:p>
        </w:tc>
      </w:tr>
      <w:tr w14:paraId="6AD81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15735D2">
            <w:pPr>
              <w:topLinePunct/>
              <w:spacing w:line="400" w:lineRule="atLeast"/>
              <w:jc w:val="center"/>
              <w:rPr>
                <w:szCs w:val="21"/>
              </w:rPr>
            </w:pPr>
          </w:p>
        </w:tc>
        <w:tc>
          <w:tcPr>
            <w:tcW w:w="2402" w:type="dxa"/>
            <w:noWrap w:val="0"/>
            <w:vAlign w:val="top"/>
          </w:tcPr>
          <w:p w14:paraId="26BFFF34">
            <w:pPr>
              <w:topLinePunct/>
              <w:spacing w:line="400" w:lineRule="atLeast"/>
              <w:jc w:val="center"/>
              <w:rPr>
                <w:szCs w:val="21"/>
              </w:rPr>
            </w:pPr>
          </w:p>
        </w:tc>
        <w:tc>
          <w:tcPr>
            <w:tcW w:w="1800" w:type="dxa"/>
            <w:noWrap w:val="0"/>
            <w:vAlign w:val="top"/>
          </w:tcPr>
          <w:p w14:paraId="3D6E8BDD">
            <w:pPr>
              <w:topLinePunct/>
              <w:spacing w:line="400" w:lineRule="atLeast"/>
              <w:jc w:val="center"/>
              <w:rPr>
                <w:szCs w:val="21"/>
              </w:rPr>
            </w:pPr>
          </w:p>
        </w:tc>
        <w:tc>
          <w:tcPr>
            <w:tcW w:w="1440" w:type="dxa"/>
            <w:noWrap w:val="0"/>
            <w:vAlign w:val="top"/>
          </w:tcPr>
          <w:p w14:paraId="4A3862F6">
            <w:pPr>
              <w:topLinePunct/>
              <w:spacing w:line="400" w:lineRule="atLeast"/>
              <w:jc w:val="center"/>
              <w:rPr>
                <w:szCs w:val="21"/>
              </w:rPr>
            </w:pPr>
          </w:p>
        </w:tc>
        <w:tc>
          <w:tcPr>
            <w:tcW w:w="2160" w:type="dxa"/>
            <w:noWrap w:val="0"/>
            <w:vAlign w:val="top"/>
          </w:tcPr>
          <w:p w14:paraId="63DD6C0D">
            <w:pPr>
              <w:topLinePunct/>
              <w:spacing w:line="400" w:lineRule="atLeast"/>
              <w:jc w:val="center"/>
              <w:rPr>
                <w:szCs w:val="21"/>
              </w:rPr>
            </w:pPr>
          </w:p>
        </w:tc>
      </w:tr>
      <w:tr w14:paraId="3296E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FCA8CE5">
            <w:pPr>
              <w:topLinePunct/>
              <w:spacing w:line="400" w:lineRule="atLeast"/>
              <w:jc w:val="center"/>
              <w:rPr>
                <w:szCs w:val="21"/>
              </w:rPr>
            </w:pPr>
          </w:p>
        </w:tc>
        <w:tc>
          <w:tcPr>
            <w:tcW w:w="2402" w:type="dxa"/>
            <w:noWrap w:val="0"/>
            <w:vAlign w:val="top"/>
          </w:tcPr>
          <w:p w14:paraId="78261E92">
            <w:pPr>
              <w:topLinePunct/>
              <w:spacing w:line="400" w:lineRule="atLeast"/>
              <w:jc w:val="center"/>
              <w:rPr>
                <w:szCs w:val="21"/>
              </w:rPr>
            </w:pPr>
          </w:p>
        </w:tc>
        <w:tc>
          <w:tcPr>
            <w:tcW w:w="1800" w:type="dxa"/>
            <w:noWrap w:val="0"/>
            <w:vAlign w:val="top"/>
          </w:tcPr>
          <w:p w14:paraId="071F1E6D">
            <w:pPr>
              <w:topLinePunct/>
              <w:spacing w:line="400" w:lineRule="atLeast"/>
              <w:jc w:val="center"/>
              <w:rPr>
                <w:szCs w:val="21"/>
              </w:rPr>
            </w:pPr>
          </w:p>
        </w:tc>
        <w:tc>
          <w:tcPr>
            <w:tcW w:w="1440" w:type="dxa"/>
            <w:noWrap w:val="0"/>
            <w:vAlign w:val="top"/>
          </w:tcPr>
          <w:p w14:paraId="6078528A">
            <w:pPr>
              <w:topLinePunct/>
              <w:spacing w:line="400" w:lineRule="atLeast"/>
              <w:jc w:val="center"/>
              <w:rPr>
                <w:szCs w:val="21"/>
              </w:rPr>
            </w:pPr>
          </w:p>
        </w:tc>
        <w:tc>
          <w:tcPr>
            <w:tcW w:w="2160" w:type="dxa"/>
            <w:noWrap w:val="0"/>
            <w:vAlign w:val="top"/>
          </w:tcPr>
          <w:p w14:paraId="4B8320B2">
            <w:pPr>
              <w:topLinePunct/>
              <w:spacing w:line="400" w:lineRule="atLeast"/>
              <w:jc w:val="center"/>
              <w:rPr>
                <w:szCs w:val="21"/>
              </w:rPr>
            </w:pPr>
          </w:p>
        </w:tc>
      </w:tr>
      <w:tr w14:paraId="14F0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1609DD5">
            <w:pPr>
              <w:topLinePunct/>
              <w:spacing w:line="400" w:lineRule="atLeast"/>
              <w:jc w:val="center"/>
              <w:rPr>
                <w:szCs w:val="21"/>
              </w:rPr>
            </w:pPr>
          </w:p>
        </w:tc>
        <w:tc>
          <w:tcPr>
            <w:tcW w:w="2402" w:type="dxa"/>
            <w:noWrap w:val="0"/>
            <w:vAlign w:val="top"/>
          </w:tcPr>
          <w:p w14:paraId="6FD2485F">
            <w:pPr>
              <w:topLinePunct/>
              <w:spacing w:line="400" w:lineRule="atLeast"/>
              <w:jc w:val="center"/>
              <w:rPr>
                <w:szCs w:val="21"/>
              </w:rPr>
            </w:pPr>
          </w:p>
        </w:tc>
        <w:tc>
          <w:tcPr>
            <w:tcW w:w="1800" w:type="dxa"/>
            <w:noWrap w:val="0"/>
            <w:vAlign w:val="top"/>
          </w:tcPr>
          <w:p w14:paraId="066BC105">
            <w:pPr>
              <w:topLinePunct/>
              <w:spacing w:line="400" w:lineRule="atLeast"/>
              <w:jc w:val="center"/>
              <w:rPr>
                <w:szCs w:val="21"/>
              </w:rPr>
            </w:pPr>
          </w:p>
        </w:tc>
        <w:tc>
          <w:tcPr>
            <w:tcW w:w="1440" w:type="dxa"/>
            <w:noWrap w:val="0"/>
            <w:vAlign w:val="top"/>
          </w:tcPr>
          <w:p w14:paraId="4937A982">
            <w:pPr>
              <w:topLinePunct/>
              <w:spacing w:line="400" w:lineRule="atLeast"/>
              <w:jc w:val="center"/>
              <w:rPr>
                <w:szCs w:val="21"/>
              </w:rPr>
            </w:pPr>
          </w:p>
        </w:tc>
        <w:tc>
          <w:tcPr>
            <w:tcW w:w="2160" w:type="dxa"/>
            <w:noWrap w:val="0"/>
            <w:vAlign w:val="top"/>
          </w:tcPr>
          <w:p w14:paraId="79D28FC7">
            <w:pPr>
              <w:topLinePunct/>
              <w:spacing w:line="400" w:lineRule="atLeast"/>
              <w:jc w:val="center"/>
              <w:rPr>
                <w:szCs w:val="21"/>
              </w:rPr>
            </w:pPr>
          </w:p>
        </w:tc>
      </w:tr>
      <w:tr w14:paraId="37A2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EC3B22C">
            <w:pPr>
              <w:topLinePunct/>
              <w:spacing w:line="400" w:lineRule="atLeast"/>
              <w:jc w:val="center"/>
              <w:rPr>
                <w:szCs w:val="21"/>
              </w:rPr>
            </w:pPr>
          </w:p>
        </w:tc>
        <w:tc>
          <w:tcPr>
            <w:tcW w:w="2402" w:type="dxa"/>
            <w:noWrap w:val="0"/>
            <w:vAlign w:val="top"/>
          </w:tcPr>
          <w:p w14:paraId="4E7BEF76">
            <w:pPr>
              <w:topLinePunct/>
              <w:spacing w:line="400" w:lineRule="atLeast"/>
              <w:jc w:val="center"/>
              <w:rPr>
                <w:szCs w:val="21"/>
              </w:rPr>
            </w:pPr>
          </w:p>
        </w:tc>
        <w:tc>
          <w:tcPr>
            <w:tcW w:w="1800" w:type="dxa"/>
            <w:noWrap w:val="0"/>
            <w:vAlign w:val="top"/>
          </w:tcPr>
          <w:p w14:paraId="396EAA1C">
            <w:pPr>
              <w:topLinePunct/>
              <w:spacing w:line="400" w:lineRule="atLeast"/>
              <w:jc w:val="center"/>
              <w:rPr>
                <w:szCs w:val="21"/>
              </w:rPr>
            </w:pPr>
          </w:p>
        </w:tc>
        <w:tc>
          <w:tcPr>
            <w:tcW w:w="1440" w:type="dxa"/>
            <w:noWrap w:val="0"/>
            <w:vAlign w:val="top"/>
          </w:tcPr>
          <w:p w14:paraId="60B6D290">
            <w:pPr>
              <w:topLinePunct/>
              <w:spacing w:line="400" w:lineRule="atLeast"/>
              <w:jc w:val="center"/>
              <w:rPr>
                <w:szCs w:val="21"/>
              </w:rPr>
            </w:pPr>
          </w:p>
        </w:tc>
        <w:tc>
          <w:tcPr>
            <w:tcW w:w="2160" w:type="dxa"/>
            <w:noWrap w:val="0"/>
            <w:vAlign w:val="top"/>
          </w:tcPr>
          <w:p w14:paraId="12922E9B">
            <w:pPr>
              <w:topLinePunct/>
              <w:spacing w:line="400" w:lineRule="atLeast"/>
              <w:jc w:val="center"/>
              <w:rPr>
                <w:szCs w:val="21"/>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81CB827">
            <w:pPr>
              <w:topLinePunct/>
              <w:spacing w:line="400" w:lineRule="atLeast"/>
              <w:jc w:val="center"/>
              <w:rPr>
                <w:szCs w:val="21"/>
              </w:rPr>
            </w:pPr>
          </w:p>
        </w:tc>
        <w:tc>
          <w:tcPr>
            <w:tcW w:w="2402" w:type="dxa"/>
            <w:noWrap w:val="0"/>
            <w:vAlign w:val="top"/>
          </w:tcPr>
          <w:p w14:paraId="365CAE89">
            <w:pPr>
              <w:topLinePunct/>
              <w:spacing w:line="400" w:lineRule="atLeast"/>
              <w:jc w:val="center"/>
              <w:rPr>
                <w:szCs w:val="21"/>
              </w:rPr>
            </w:pPr>
          </w:p>
        </w:tc>
        <w:tc>
          <w:tcPr>
            <w:tcW w:w="1800" w:type="dxa"/>
            <w:noWrap w:val="0"/>
            <w:vAlign w:val="top"/>
          </w:tcPr>
          <w:p w14:paraId="68AD89DF">
            <w:pPr>
              <w:topLinePunct/>
              <w:spacing w:line="400" w:lineRule="atLeast"/>
              <w:jc w:val="center"/>
              <w:rPr>
                <w:szCs w:val="21"/>
              </w:rPr>
            </w:pPr>
          </w:p>
        </w:tc>
        <w:tc>
          <w:tcPr>
            <w:tcW w:w="1440" w:type="dxa"/>
            <w:noWrap w:val="0"/>
            <w:vAlign w:val="top"/>
          </w:tcPr>
          <w:p w14:paraId="4DE3B210">
            <w:pPr>
              <w:topLinePunct/>
              <w:spacing w:line="400" w:lineRule="atLeast"/>
              <w:jc w:val="center"/>
              <w:rPr>
                <w:szCs w:val="21"/>
              </w:rPr>
            </w:pPr>
          </w:p>
        </w:tc>
        <w:tc>
          <w:tcPr>
            <w:tcW w:w="2160" w:type="dxa"/>
            <w:noWrap w:val="0"/>
            <w:vAlign w:val="top"/>
          </w:tcPr>
          <w:p w14:paraId="5BD842A2">
            <w:pPr>
              <w:topLinePunct/>
              <w:spacing w:line="400" w:lineRule="atLeast"/>
              <w:jc w:val="center"/>
              <w:rPr>
                <w:szCs w:val="21"/>
              </w:rPr>
            </w:pPr>
          </w:p>
        </w:tc>
      </w:tr>
      <w:tr w14:paraId="31D1F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5BFB2AD">
            <w:pPr>
              <w:topLinePunct/>
              <w:spacing w:line="400" w:lineRule="atLeast"/>
              <w:jc w:val="center"/>
              <w:rPr>
                <w:szCs w:val="21"/>
              </w:rPr>
            </w:pPr>
          </w:p>
        </w:tc>
        <w:tc>
          <w:tcPr>
            <w:tcW w:w="2402" w:type="dxa"/>
            <w:noWrap w:val="0"/>
            <w:vAlign w:val="top"/>
          </w:tcPr>
          <w:p w14:paraId="0D09EFBE">
            <w:pPr>
              <w:topLinePunct/>
              <w:spacing w:line="400" w:lineRule="atLeast"/>
              <w:jc w:val="center"/>
              <w:rPr>
                <w:szCs w:val="21"/>
              </w:rPr>
            </w:pPr>
          </w:p>
        </w:tc>
        <w:tc>
          <w:tcPr>
            <w:tcW w:w="1800" w:type="dxa"/>
            <w:noWrap w:val="0"/>
            <w:vAlign w:val="top"/>
          </w:tcPr>
          <w:p w14:paraId="1645311D">
            <w:pPr>
              <w:topLinePunct/>
              <w:spacing w:line="400" w:lineRule="atLeast"/>
              <w:jc w:val="center"/>
              <w:rPr>
                <w:szCs w:val="21"/>
              </w:rPr>
            </w:pPr>
          </w:p>
        </w:tc>
        <w:tc>
          <w:tcPr>
            <w:tcW w:w="1440" w:type="dxa"/>
            <w:noWrap w:val="0"/>
            <w:vAlign w:val="top"/>
          </w:tcPr>
          <w:p w14:paraId="4B43625C">
            <w:pPr>
              <w:topLinePunct/>
              <w:spacing w:line="400" w:lineRule="atLeast"/>
              <w:jc w:val="center"/>
              <w:rPr>
                <w:szCs w:val="21"/>
              </w:rPr>
            </w:pPr>
          </w:p>
        </w:tc>
        <w:tc>
          <w:tcPr>
            <w:tcW w:w="2160" w:type="dxa"/>
            <w:noWrap w:val="0"/>
            <w:vAlign w:val="top"/>
          </w:tcPr>
          <w:p w14:paraId="6BBB0E6D">
            <w:pPr>
              <w:topLinePunct/>
              <w:spacing w:line="400" w:lineRule="atLeast"/>
              <w:jc w:val="center"/>
              <w:rPr>
                <w:szCs w:val="21"/>
              </w:rPr>
            </w:pPr>
          </w:p>
        </w:tc>
      </w:tr>
    </w:tbl>
    <w:p w14:paraId="430B48BB">
      <w:pPr>
        <w:pStyle w:val="9"/>
        <w:ind w:firstLine="0"/>
        <w:rPr>
          <w:rFonts w:hint="eastAsia" w:ascii="Times New Roman" w:hAnsi="Times New Roman" w:eastAsia="黑体"/>
          <w:sz w:val="24"/>
          <w:szCs w:val="24"/>
        </w:rPr>
      </w:pPr>
    </w:p>
    <w:p w14:paraId="2EE9D69A">
      <w:pPr>
        <w:spacing w:line="400" w:lineRule="atLeast"/>
        <w:ind w:left="840" w:hanging="840" w:hangingChars="400"/>
        <w:rPr>
          <w:rFonts w:hint="eastAsia"/>
          <w:szCs w:val="21"/>
        </w:rPr>
      </w:pPr>
      <w:r>
        <w:rPr>
          <w:rFonts w:hint="eastAsia"/>
        </w:rPr>
        <w:t>备</w:t>
      </w:r>
      <w:r>
        <w:t>注：</w:t>
      </w:r>
      <w:r>
        <w:rPr>
          <w:rFonts w:hint="eastAsia"/>
          <w:szCs w:val="21"/>
        </w:rPr>
        <w:t>1. 近5年是指从投标截止日往前推算的5年，如投标截止日为2014年3月5日，则近5年是指2009年3月5日至2014年3月4日。</w:t>
      </w:r>
    </w:p>
    <w:p w14:paraId="53249470">
      <w:pPr>
        <w:spacing w:line="400" w:lineRule="atLeast"/>
        <w:ind w:left="840" w:leftChars="300" w:hanging="210" w:hangingChars="100"/>
        <w:rPr>
          <w:rFonts w:hint="eastAsia"/>
          <w:szCs w:val="21"/>
        </w:rPr>
      </w:pPr>
      <w:r>
        <w:rPr>
          <w:rFonts w:hint="eastAsia"/>
          <w:szCs w:val="21"/>
        </w:rPr>
        <w:t>2.本表后应附</w:t>
      </w:r>
      <w:r>
        <w:rPr>
          <w:szCs w:val="21"/>
        </w:rPr>
        <w:t>中标通知书</w:t>
      </w:r>
      <w:r>
        <w:rPr>
          <w:rFonts w:hint="eastAsia"/>
          <w:szCs w:val="21"/>
        </w:rPr>
        <w:t>（如有）、</w:t>
      </w:r>
      <w:r>
        <w:rPr>
          <w:szCs w:val="21"/>
        </w:rPr>
        <w:t>合同协议书、</w:t>
      </w:r>
      <w:r>
        <w:rPr>
          <w:rFonts w:hint="eastAsia"/>
        </w:rPr>
        <w:t>施工许可证（如有）、</w:t>
      </w:r>
      <w:r>
        <w:rPr>
          <w:rFonts w:hint="eastAsia"/>
          <w:szCs w:val="21"/>
        </w:rPr>
        <w:t>工程接收证书或工程竣工验收证书（工程竣工验收备案证）、表彰文件、获奖证书及其他证明材料等扫描件。</w:t>
      </w:r>
      <w:r>
        <w:rPr>
          <w:rFonts w:hint="eastAsia" w:cs="宋体"/>
          <w:kern w:val="0"/>
          <w:szCs w:val="21"/>
        </w:rPr>
        <w:t>招标发包的工程应附中标通知书，工程总承包发包、施工总承包发包、独立发包的施工专业承包应附</w:t>
      </w:r>
      <w:r>
        <w:rPr>
          <w:rFonts w:hint="eastAsia"/>
        </w:rPr>
        <w:t>施工许可证</w:t>
      </w:r>
      <w:r>
        <w:rPr>
          <w:rFonts w:hint="eastAsia" w:cs="宋体"/>
          <w:kern w:val="0"/>
          <w:szCs w:val="21"/>
        </w:rPr>
        <w:t>。</w:t>
      </w:r>
      <w:r>
        <w:rPr>
          <w:rFonts w:hint="eastAsia"/>
          <w:szCs w:val="21"/>
        </w:rPr>
        <w:t>以表彰文件、获奖证书的颁发时间为准。</w:t>
      </w:r>
    </w:p>
    <w:p w14:paraId="31A7A7F2">
      <w:pPr>
        <w:spacing w:line="400" w:lineRule="atLeast"/>
        <w:ind w:left="840" w:leftChars="300" w:hanging="210" w:hangingChars="100"/>
        <w:rPr>
          <w:rFonts w:hint="eastAsia"/>
          <w:szCs w:val="21"/>
        </w:rPr>
      </w:pPr>
      <w:r>
        <w:rPr>
          <w:rFonts w:hint="eastAsia"/>
          <w:szCs w:val="21"/>
        </w:rPr>
        <w:t>3. 颁奖单位应当是国家机关或民政部门注册登记的合法颁奖单位。</w:t>
      </w:r>
    </w:p>
    <w:p w14:paraId="54D829A2">
      <w:pPr>
        <w:spacing w:line="400" w:lineRule="atLeast"/>
        <w:ind w:left="840" w:leftChars="300" w:hanging="210" w:hangingChars="100"/>
        <w:rPr>
          <w:rFonts w:hint="eastAsia"/>
          <w:szCs w:val="21"/>
        </w:rPr>
      </w:pPr>
    </w:p>
    <w:p w14:paraId="5F8A2498">
      <w:pPr>
        <w:spacing w:line="440" w:lineRule="exact"/>
        <w:rPr>
          <w:rFonts w:hint="eastAsia" w:ascii="宋体" w:hAnsi="宋体"/>
          <w:szCs w:val="21"/>
        </w:rPr>
      </w:pPr>
    </w:p>
    <w:p w14:paraId="68FACC75">
      <w:pPr>
        <w:pStyle w:val="20"/>
        <w:jc w:val="center"/>
        <w:rPr>
          <w:rFonts w:hint="eastAsia"/>
          <w:szCs w:val="24"/>
        </w:rPr>
      </w:pPr>
      <w:bookmarkStart w:id="2675" w:name="_Toc108514259"/>
      <w:r>
        <w:rPr>
          <w:rFonts w:hint="eastAsia"/>
          <w:szCs w:val="24"/>
        </w:rPr>
        <w:t>5-5 近5年项目经理获表彰</w:t>
      </w:r>
      <w:r>
        <w:rPr>
          <w:szCs w:val="24"/>
        </w:rPr>
        <w:t>情况表</w:t>
      </w:r>
      <w:bookmarkEnd w:id="2675"/>
    </w:p>
    <w:p w14:paraId="0E32EA24">
      <w:pPr>
        <w:spacing w:line="440" w:lineRule="exact"/>
        <w:rPr>
          <w:rFonts w:hint="eastAsia" w:ascii="宋体" w:hAnsi="宋体"/>
          <w:szCs w:val="21"/>
        </w:rPr>
      </w:pPr>
    </w:p>
    <w:tbl>
      <w:tblPr>
        <w:tblStyle w:val="1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15C1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FCA0966">
            <w:pPr>
              <w:topLinePunct/>
              <w:spacing w:line="400" w:lineRule="atLeast"/>
              <w:jc w:val="center"/>
              <w:rPr>
                <w:rFonts w:hint="eastAsia"/>
                <w:szCs w:val="21"/>
              </w:rPr>
            </w:pPr>
            <w:r>
              <w:rPr>
                <w:rFonts w:hint="eastAsia"/>
                <w:szCs w:val="21"/>
              </w:rPr>
              <w:t>序号</w:t>
            </w:r>
          </w:p>
        </w:tc>
        <w:tc>
          <w:tcPr>
            <w:tcW w:w="3482" w:type="dxa"/>
            <w:noWrap w:val="0"/>
            <w:vAlign w:val="top"/>
          </w:tcPr>
          <w:p w14:paraId="45FBDE1D">
            <w:pPr>
              <w:topLinePunct/>
              <w:spacing w:line="400" w:lineRule="atLeast"/>
              <w:jc w:val="center"/>
              <w:rPr>
                <w:rFonts w:hint="eastAsia"/>
                <w:szCs w:val="21"/>
              </w:rPr>
            </w:pPr>
            <w:r>
              <w:rPr>
                <w:rFonts w:hint="eastAsia"/>
                <w:szCs w:val="21"/>
              </w:rPr>
              <w:t>获奖名称</w:t>
            </w:r>
          </w:p>
        </w:tc>
        <w:tc>
          <w:tcPr>
            <w:tcW w:w="1800" w:type="dxa"/>
            <w:noWrap w:val="0"/>
            <w:vAlign w:val="top"/>
          </w:tcPr>
          <w:p w14:paraId="76E9B398">
            <w:pPr>
              <w:topLinePunct/>
              <w:spacing w:line="400" w:lineRule="atLeast"/>
              <w:jc w:val="center"/>
              <w:rPr>
                <w:rFonts w:hint="eastAsia"/>
                <w:szCs w:val="21"/>
              </w:rPr>
            </w:pPr>
            <w:r>
              <w:rPr>
                <w:rFonts w:hint="eastAsia"/>
                <w:szCs w:val="21"/>
              </w:rPr>
              <w:t>获奖日期</w:t>
            </w:r>
          </w:p>
        </w:tc>
        <w:tc>
          <w:tcPr>
            <w:tcW w:w="2520" w:type="dxa"/>
            <w:noWrap w:val="0"/>
            <w:vAlign w:val="top"/>
          </w:tcPr>
          <w:p w14:paraId="79C56806">
            <w:pPr>
              <w:topLinePunct/>
              <w:spacing w:line="400" w:lineRule="atLeast"/>
              <w:jc w:val="center"/>
              <w:rPr>
                <w:rFonts w:hint="eastAsia"/>
                <w:szCs w:val="21"/>
              </w:rPr>
            </w:pPr>
            <w:r>
              <w:rPr>
                <w:rFonts w:hint="eastAsia"/>
                <w:szCs w:val="21"/>
              </w:rPr>
              <w:t>颁奖单位</w:t>
            </w:r>
          </w:p>
        </w:tc>
      </w:tr>
      <w:tr w14:paraId="7EBB9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39636C3">
            <w:pPr>
              <w:topLinePunct/>
              <w:spacing w:line="400" w:lineRule="atLeast"/>
              <w:jc w:val="center"/>
              <w:rPr>
                <w:szCs w:val="21"/>
              </w:rPr>
            </w:pPr>
          </w:p>
        </w:tc>
        <w:tc>
          <w:tcPr>
            <w:tcW w:w="3482" w:type="dxa"/>
            <w:noWrap w:val="0"/>
            <w:vAlign w:val="top"/>
          </w:tcPr>
          <w:p w14:paraId="37904EBE">
            <w:pPr>
              <w:topLinePunct/>
              <w:spacing w:line="400" w:lineRule="atLeast"/>
              <w:jc w:val="center"/>
              <w:rPr>
                <w:szCs w:val="21"/>
              </w:rPr>
            </w:pPr>
          </w:p>
        </w:tc>
        <w:tc>
          <w:tcPr>
            <w:tcW w:w="1800" w:type="dxa"/>
            <w:noWrap w:val="0"/>
            <w:vAlign w:val="top"/>
          </w:tcPr>
          <w:p w14:paraId="555436A0">
            <w:pPr>
              <w:topLinePunct/>
              <w:spacing w:line="400" w:lineRule="atLeast"/>
              <w:jc w:val="center"/>
              <w:rPr>
                <w:szCs w:val="21"/>
              </w:rPr>
            </w:pPr>
          </w:p>
        </w:tc>
        <w:tc>
          <w:tcPr>
            <w:tcW w:w="2520" w:type="dxa"/>
            <w:noWrap w:val="0"/>
            <w:vAlign w:val="top"/>
          </w:tcPr>
          <w:p w14:paraId="0891695E">
            <w:pPr>
              <w:topLinePunct/>
              <w:spacing w:line="400" w:lineRule="atLeast"/>
              <w:jc w:val="center"/>
              <w:rPr>
                <w:szCs w:val="21"/>
              </w:rPr>
            </w:pPr>
          </w:p>
        </w:tc>
      </w:tr>
      <w:tr w14:paraId="0B94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807AB70">
            <w:pPr>
              <w:topLinePunct/>
              <w:spacing w:line="400" w:lineRule="atLeast"/>
              <w:jc w:val="center"/>
              <w:rPr>
                <w:szCs w:val="21"/>
              </w:rPr>
            </w:pPr>
          </w:p>
        </w:tc>
        <w:tc>
          <w:tcPr>
            <w:tcW w:w="3482" w:type="dxa"/>
            <w:noWrap w:val="0"/>
            <w:vAlign w:val="top"/>
          </w:tcPr>
          <w:p w14:paraId="1F17B47F">
            <w:pPr>
              <w:topLinePunct/>
              <w:spacing w:line="400" w:lineRule="atLeast"/>
              <w:jc w:val="center"/>
              <w:rPr>
                <w:szCs w:val="21"/>
              </w:rPr>
            </w:pPr>
          </w:p>
        </w:tc>
        <w:tc>
          <w:tcPr>
            <w:tcW w:w="1800" w:type="dxa"/>
            <w:noWrap w:val="0"/>
            <w:vAlign w:val="top"/>
          </w:tcPr>
          <w:p w14:paraId="4BDAA677">
            <w:pPr>
              <w:topLinePunct/>
              <w:spacing w:line="400" w:lineRule="atLeast"/>
              <w:jc w:val="center"/>
              <w:rPr>
                <w:szCs w:val="21"/>
              </w:rPr>
            </w:pPr>
          </w:p>
        </w:tc>
        <w:tc>
          <w:tcPr>
            <w:tcW w:w="2520" w:type="dxa"/>
            <w:noWrap w:val="0"/>
            <w:vAlign w:val="top"/>
          </w:tcPr>
          <w:p w14:paraId="13D24055">
            <w:pPr>
              <w:topLinePunct/>
              <w:spacing w:line="400" w:lineRule="atLeast"/>
              <w:jc w:val="center"/>
              <w:rPr>
                <w:szCs w:val="21"/>
              </w:rPr>
            </w:pPr>
          </w:p>
        </w:tc>
      </w:tr>
      <w:tr w14:paraId="020A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653625C">
            <w:pPr>
              <w:topLinePunct/>
              <w:spacing w:line="400" w:lineRule="atLeast"/>
              <w:jc w:val="center"/>
              <w:rPr>
                <w:szCs w:val="21"/>
              </w:rPr>
            </w:pPr>
          </w:p>
        </w:tc>
        <w:tc>
          <w:tcPr>
            <w:tcW w:w="3482" w:type="dxa"/>
            <w:noWrap w:val="0"/>
            <w:vAlign w:val="top"/>
          </w:tcPr>
          <w:p w14:paraId="7E0633D3">
            <w:pPr>
              <w:topLinePunct/>
              <w:spacing w:line="400" w:lineRule="atLeast"/>
              <w:jc w:val="center"/>
              <w:rPr>
                <w:szCs w:val="21"/>
              </w:rPr>
            </w:pPr>
          </w:p>
        </w:tc>
        <w:tc>
          <w:tcPr>
            <w:tcW w:w="1800" w:type="dxa"/>
            <w:noWrap w:val="0"/>
            <w:vAlign w:val="top"/>
          </w:tcPr>
          <w:p w14:paraId="26EC4D55">
            <w:pPr>
              <w:topLinePunct/>
              <w:spacing w:line="400" w:lineRule="atLeast"/>
              <w:jc w:val="center"/>
              <w:rPr>
                <w:szCs w:val="21"/>
              </w:rPr>
            </w:pPr>
          </w:p>
        </w:tc>
        <w:tc>
          <w:tcPr>
            <w:tcW w:w="2520" w:type="dxa"/>
            <w:noWrap w:val="0"/>
            <w:vAlign w:val="top"/>
          </w:tcPr>
          <w:p w14:paraId="57C6DF7F">
            <w:pPr>
              <w:topLinePunct/>
              <w:spacing w:line="400" w:lineRule="atLeast"/>
              <w:jc w:val="center"/>
              <w:rPr>
                <w:szCs w:val="21"/>
              </w:rPr>
            </w:pPr>
          </w:p>
        </w:tc>
      </w:tr>
      <w:tr w14:paraId="3700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B19C130">
            <w:pPr>
              <w:topLinePunct/>
              <w:spacing w:line="400" w:lineRule="atLeast"/>
              <w:jc w:val="center"/>
              <w:rPr>
                <w:szCs w:val="21"/>
              </w:rPr>
            </w:pPr>
          </w:p>
        </w:tc>
        <w:tc>
          <w:tcPr>
            <w:tcW w:w="3482" w:type="dxa"/>
            <w:noWrap w:val="0"/>
            <w:vAlign w:val="top"/>
          </w:tcPr>
          <w:p w14:paraId="0A7F9662">
            <w:pPr>
              <w:topLinePunct/>
              <w:spacing w:line="400" w:lineRule="atLeast"/>
              <w:jc w:val="center"/>
              <w:rPr>
                <w:szCs w:val="21"/>
              </w:rPr>
            </w:pPr>
          </w:p>
        </w:tc>
        <w:tc>
          <w:tcPr>
            <w:tcW w:w="1800" w:type="dxa"/>
            <w:noWrap w:val="0"/>
            <w:vAlign w:val="top"/>
          </w:tcPr>
          <w:p w14:paraId="219EF972">
            <w:pPr>
              <w:topLinePunct/>
              <w:spacing w:line="400" w:lineRule="atLeast"/>
              <w:jc w:val="center"/>
              <w:rPr>
                <w:szCs w:val="21"/>
              </w:rPr>
            </w:pPr>
          </w:p>
        </w:tc>
        <w:tc>
          <w:tcPr>
            <w:tcW w:w="2520" w:type="dxa"/>
            <w:noWrap w:val="0"/>
            <w:vAlign w:val="top"/>
          </w:tcPr>
          <w:p w14:paraId="68EA2574">
            <w:pPr>
              <w:topLinePunct/>
              <w:spacing w:line="400" w:lineRule="atLeast"/>
              <w:jc w:val="center"/>
              <w:rPr>
                <w:szCs w:val="21"/>
              </w:rPr>
            </w:pPr>
          </w:p>
        </w:tc>
      </w:tr>
      <w:tr w14:paraId="10AB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1AB6063">
            <w:pPr>
              <w:topLinePunct/>
              <w:spacing w:line="400" w:lineRule="atLeast"/>
              <w:jc w:val="center"/>
              <w:rPr>
                <w:szCs w:val="21"/>
              </w:rPr>
            </w:pPr>
          </w:p>
        </w:tc>
        <w:tc>
          <w:tcPr>
            <w:tcW w:w="3482" w:type="dxa"/>
            <w:noWrap w:val="0"/>
            <w:vAlign w:val="top"/>
          </w:tcPr>
          <w:p w14:paraId="70976C3D">
            <w:pPr>
              <w:topLinePunct/>
              <w:spacing w:line="400" w:lineRule="atLeast"/>
              <w:jc w:val="center"/>
              <w:rPr>
                <w:szCs w:val="21"/>
              </w:rPr>
            </w:pPr>
          </w:p>
        </w:tc>
        <w:tc>
          <w:tcPr>
            <w:tcW w:w="1800" w:type="dxa"/>
            <w:noWrap w:val="0"/>
            <w:vAlign w:val="top"/>
          </w:tcPr>
          <w:p w14:paraId="351C3859">
            <w:pPr>
              <w:topLinePunct/>
              <w:spacing w:line="400" w:lineRule="atLeast"/>
              <w:jc w:val="center"/>
              <w:rPr>
                <w:szCs w:val="21"/>
              </w:rPr>
            </w:pPr>
          </w:p>
        </w:tc>
        <w:tc>
          <w:tcPr>
            <w:tcW w:w="2520" w:type="dxa"/>
            <w:noWrap w:val="0"/>
            <w:vAlign w:val="top"/>
          </w:tcPr>
          <w:p w14:paraId="451FAEE5">
            <w:pPr>
              <w:topLinePunct/>
              <w:spacing w:line="400" w:lineRule="atLeast"/>
              <w:jc w:val="center"/>
              <w:rPr>
                <w:szCs w:val="21"/>
              </w:rPr>
            </w:pPr>
          </w:p>
        </w:tc>
      </w:tr>
      <w:tr w14:paraId="6C01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FF33FA2">
            <w:pPr>
              <w:topLinePunct/>
              <w:spacing w:line="400" w:lineRule="atLeast"/>
              <w:jc w:val="center"/>
              <w:rPr>
                <w:szCs w:val="21"/>
              </w:rPr>
            </w:pPr>
          </w:p>
        </w:tc>
        <w:tc>
          <w:tcPr>
            <w:tcW w:w="3482" w:type="dxa"/>
            <w:noWrap w:val="0"/>
            <w:vAlign w:val="top"/>
          </w:tcPr>
          <w:p w14:paraId="39F7BD19">
            <w:pPr>
              <w:topLinePunct/>
              <w:spacing w:line="400" w:lineRule="atLeast"/>
              <w:jc w:val="center"/>
              <w:rPr>
                <w:szCs w:val="21"/>
              </w:rPr>
            </w:pPr>
          </w:p>
        </w:tc>
        <w:tc>
          <w:tcPr>
            <w:tcW w:w="1800" w:type="dxa"/>
            <w:noWrap w:val="0"/>
            <w:vAlign w:val="top"/>
          </w:tcPr>
          <w:p w14:paraId="5187277E">
            <w:pPr>
              <w:topLinePunct/>
              <w:spacing w:line="400" w:lineRule="atLeast"/>
              <w:jc w:val="center"/>
              <w:rPr>
                <w:szCs w:val="21"/>
              </w:rPr>
            </w:pPr>
          </w:p>
        </w:tc>
        <w:tc>
          <w:tcPr>
            <w:tcW w:w="2520" w:type="dxa"/>
            <w:noWrap w:val="0"/>
            <w:vAlign w:val="top"/>
          </w:tcPr>
          <w:p w14:paraId="51858F0C">
            <w:pPr>
              <w:topLinePunct/>
              <w:spacing w:line="400" w:lineRule="atLeast"/>
              <w:jc w:val="center"/>
              <w:rPr>
                <w:szCs w:val="21"/>
              </w:rPr>
            </w:pPr>
          </w:p>
        </w:tc>
      </w:tr>
      <w:tr w14:paraId="43C7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6D1F3AA">
            <w:pPr>
              <w:topLinePunct/>
              <w:spacing w:line="400" w:lineRule="atLeast"/>
              <w:jc w:val="center"/>
              <w:rPr>
                <w:szCs w:val="21"/>
              </w:rPr>
            </w:pPr>
          </w:p>
        </w:tc>
        <w:tc>
          <w:tcPr>
            <w:tcW w:w="3482" w:type="dxa"/>
            <w:noWrap w:val="0"/>
            <w:vAlign w:val="top"/>
          </w:tcPr>
          <w:p w14:paraId="22EA9AF6">
            <w:pPr>
              <w:topLinePunct/>
              <w:spacing w:line="400" w:lineRule="atLeast"/>
              <w:jc w:val="center"/>
              <w:rPr>
                <w:szCs w:val="21"/>
              </w:rPr>
            </w:pPr>
          </w:p>
        </w:tc>
        <w:tc>
          <w:tcPr>
            <w:tcW w:w="1800" w:type="dxa"/>
            <w:noWrap w:val="0"/>
            <w:vAlign w:val="top"/>
          </w:tcPr>
          <w:p w14:paraId="10522356">
            <w:pPr>
              <w:topLinePunct/>
              <w:spacing w:line="400" w:lineRule="atLeast"/>
              <w:jc w:val="center"/>
              <w:rPr>
                <w:szCs w:val="21"/>
              </w:rPr>
            </w:pPr>
          </w:p>
        </w:tc>
        <w:tc>
          <w:tcPr>
            <w:tcW w:w="2520" w:type="dxa"/>
            <w:noWrap w:val="0"/>
            <w:vAlign w:val="top"/>
          </w:tcPr>
          <w:p w14:paraId="40F5A310">
            <w:pPr>
              <w:topLinePunct/>
              <w:spacing w:line="400" w:lineRule="atLeast"/>
              <w:jc w:val="center"/>
              <w:rPr>
                <w:szCs w:val="21"/>
              </w:rPr>
            </w:pPr>
          </w:p>
        </w:tc>
      </w:tr>
      <w:tr w14:paraId="58A3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EA7C072">
            <w:pPr>
              <w:topLinePunct/>
              <w:spacing w:line="400" w:lineRule="atLeast"/>
              <w:jc w:val="center"/>
              <w:rPr>
                <w:szCs w:val="21"/>
              </w:rPr>
            </w:pPr>
          </w:p>
        </w:tc>
        <w:tc>
          <w:tcPr>
            <w:tcW w:w="3482" w:type="dxa"/>
            <w:noWrap w:val="0"/>
            <w:vAlign w:val="top"/>
          </w:tcPr>
          <w:p w14:paraId="0C3E1420">
            <w:pPr>
              <w:topLinePunct/>
              <w:spacing w:line="400" w:lineRule="atLeast"/>
              <w:jc w:val="center"/>
              <w:rPr>
                <w:szCs w:val="21"/>
              </w:rPr>
            </w:pPr>
          </w:p>
        </w:tc>
        <w:tc>
          <w:tcPr>
            <w:tcW w:w="1800" w:type="dxa"/>
            <w:noWrap w:val="0"/>
            <w:vAlign w:val="top"/>
          </w:tcPr>
          <w:p w14:paraId="72700B5A">
            <w:pPr>
              <w:topLinePunct/>
              <w:spacing w:line="400" w:lineRule="atLeast"/>
              <w:jc w:val="center"/>
              <w:rPr>
                <w:szCs w:val="21"/>
              </w:rPr>
            </w:pPr>
          </w:p>
        </w:tc>
        <w:tc>
          <w:tcPr>
            <w:tcW w:w="2520" w:type="dxa"/>
            <w:noWrap w:val="0"/>
            <w:vAlign w:val="top"/>
          </w:tcPr>
          <w:p w14:paraId="31F05F7E">
            <w:pPr>
              <w:topLinePunct/>
              <w:spacing w:line="400" w:lineRule="atLeast"/>
              <w:jc w:val="center"/>
              <w:rPr>
                <w:szCs w:val="21"/>
              </w:rPr>
            </w:pPr>
          </w:p>
        </w:tc>
      </w:tr>
      <w:tr w14:paraId="799A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8CB7D37">
            <w:pPr>
              <w:topLinePunct/>
              <w:spacing w:line="400" w:lineRule="atLeast"/>
              <w:jc w:val="center"/>
              <w:rPr>
                <w:szCs w:val="21"/>
              </w:rPr>
            </w:pPr>
          </w:p>
        </w:tc>
        <w:tc>
          <w:tcPr>
            <w:tcW w:w="3482" w:type="dxa"/>
            <w:noWrap w:val="0"/>
            <w:vAlign w:val="top"/>
          </w:tcPr>
          <w:p w14:paraId="40113F62">
            <w:pPr>
              <w:topLinePunct/>
              <w:spacing w:line="400" w:lineRule="atLeast"/>
              <w:jc w:val="center"/>
              <w:rPr>
                <w:szCs w:val="21"/>
              </w:rPr>
            </w:pPr>
          </w:p>
        </w:tc>
        <w:tc>
          <w:tcPr>
            <w:tcW w:w="1800" w:type="dxa"/>
            <w:noWrap w:val="0"/>
            <w:vAlign w:val="top"/>
          </w:tcPr>
          <w:p w14:paraId="1BA9042A">
            <w:pPr>
              <w:topLinePunct/>
              <w:spacing w:line="400" w:lineRule="atLeast"/>
              <w:jc w:val="center"/>
              <w:rPr>
                <w:szCs w:val="21"/>
              </w:rPr>
            </w:pPr>
          </w:p>
        </w:tc>
        <w:tc>
          <w:tcPr>
            <w:tcW w:w="2520" w:type="dxa"/>
            <w:noWrap w:val="0"/>
            <w:vAlign w:val="top"/>
          </w:tcPr>
          <w:p w14:paraId="142362A6">
            <w:pPr>
              <w:topLinePunct/>
              <w:spacing w:line="400" w:lineRule="atLeast"/>
              <w:jc w:val="center"/>
              <w:rPr>
                <w:szCs w:val="21"/>
              </w:rPr>
            </w:pPr>
          </w:p>
        </w:tc>
      </w:tr>
    </w:tbl>
    <w:p w14:paraId="02290957">
      <w:pPr>
        <w:spacing w:line="440" w:lineRule="exact"/>
        <w:rPr>
          <w:rFonts w:hint="eastAsia" w:ascii="宋体" w:hAnsi="宋体"/>
          <w:szCs w:val="21"/>
        </w:rPr>
      </w:pPr>
    </w:p>
    <w:p w14:paraId="2340AAB1">
      <w:pPr>
        <w:spacing w:line="400" w:lineRule="atLeast"/>
        <w:ind w:left="840" w:hanging="840" w:hangingChars="400"/>
        <w:rPr>
          <w:rFonts w:hint="eastAsia"/>
          <w:szCs w:val="21"/>
        </w:rPr>
      </w:pPr>
      <w:r>
        <w:rPr>
          <w:rFonts w:hint="eastAsia"/>
        </w:rPr>
        <w:t>备</w:t>
      </w:r>
      <w:r>
        <w:t>注：</w:t>
      </w:r>
      <w:r>
        <w:rPr>
          <w:rFonts w:hint="eastAsia"/>
          <w:szCs w:val="21"/>
        </w:rPr>
        <w:t>1. 近5年是指从投标截止日往前推算的5年，如投标截止日为2014年3月5日，则近5年是指2009年3月5日至2014年3月4日。</w:t>
      </w:r>
    </w:p>
    <w:p w14:paraId="72B0A2E9">
      <w:pPr>
        <w:spacing w:line="400" w:lineRule="atLeast"/>
        <w:ind w:left="840" w:leftChars="300" w:hanging="210" w:hangingChars="100"/>
        <w:rPr>
          <w:rFonts w:hint="eastAsia"/>
          <w:szCs w:val="21"/>
        </w:rPr>
      </w:pPr>
      <w:r>
        <w:rPr>
          <w:rFonts w:hint="eastAsia"/>
          <w:szCs w:val="21"/>
        </w:rPr>
        <w:t>2.本表后应附表彰文件、获奖证书的扫描件。以表彰文件、获奖证书的颁发时间为准。</w:t>
      </w:r>
    </w:p>
    <w:p w14:paraId="38B2EB8C">
      <w:pPr>
        <w:spacing w:line="400" w:lineRule="atLeast"/>
        <w:ind w:left="840" w:leftChars="300" w:hanging="210" w:hangingChars="100"/>
        <w:rPr>
          <w:rFonts w:hint="eastAsia"/>
          <w:szCs w:val="21"/>
        </w:rPr>
      </w:pPr>
      <w:r>
        <w:rPr>
          <w:rFonts w:hint="eastAsia"/>
          <w:szCs w:val="21"/>
        </w:rPr>
        <w:t>3. 颁奖单位应当是国家机关或民政部门注册登记的合法颁奖单位。</w:t>
      </w:r>
    </w:p>
    <w:p w14:paraId="2D705B82">
      <w:pPr>
        <w:spacing w:line="440" w:lineRule="exact"/>
        <w:rPr>
          <w:rFonts w:hint="eastAsia" w:ascii="宋体" w:hAnsi="宋体"/>
          <w:szCs w:val="21"/>
        </w:rPr>
      </w:pPr>
    </w:p>
    <w:p w14:paraId="5CB1B0B4">
      <w:pPr>
        <w:spacing w:line="440" w:lineRule="exact"/>
        <w:rPr>
          <w:rFonts w:hint="eastAsia" w:ascii="宋体" w:hAnsi="宋体"/>
          <w:szCs w:val="21"/>
        </w:rPr>
      </w:pPr>
    </w:p>
    <w:p w14:paraId="1C4ED40A">
      <w:pPr>
        <w:spacing w:line="440" w:lineRule="exact"/>
        <w:rPr>
          <w:rFonts w:hint="eastAsia" w:ascii="宋体" w:hAnsi="宋体"/>
          <w:szCs w:val="21"/>
        </w:rPr>
      </w:pPr>
    </w:p>
    <w:p w14:paraId="10C72D90">
      <w:pPr>
        <w:spacing w:line="440" w:lineRule="exact"/>
        <w:rPr>
          <w:rFonts w:hint="eastAsia" w:ascii="宋体" w:hAnsi="宋体"/>
          <w:szCs w:val="21"/>
        </w:rPr>
      </w:pPr>
    </w:p>
    <w:p w14:paraId="1B335B62">
      <w:pPr>
        <w:spacing w:line="440" w:lineRule="exact"/>
        <w:rPr>
          <w:rFonts w:hint="eastAsia" w:ascii="宋体" w:hAnsi="宋体"/>
          <w:szCs w:val="21"/>
        </w:rPr>
      </w:pPr>
    </w:p>
    <w:p w14:paraId="4BFB3884">
      <w:pPr>
        <w:spacing w:line="440" w:lineRule="exact"/>
        <w:rPr>
          <w:rFonts w:hint="eastAsia" w:ascii="宋体" w:hAnsi="宋体"/>
          <w:szCs w:val="21"/>
        </w:rPr>
      </w:pPr>
    </w:p>
    <w:p w14:paraId="1AF0CB4B">
      <w:pPr>
        <w:spacing w:line="440" w:lineRule="exact"/>
        <w:rPr>
          <w:rFonts w:hint="eastAsia" w:ascii="宋体" w:hAnsi="宋体"/>
          <w:szCs w:val="21"/>
        </w:rPr>
      </w:pPr>
    </w:p>
    <w:p w14:paraId="1ECAD427">
      <w:pPr>
        <w:spacing w:line="440" w:lineRule="exact"/>
        <w:rPr>
          <w:rFonts w:hint="eastAsia" w:ascii="宋体" w:hAnsi="宋体"/>
          <w:szCs w:val="21"/>
        </w:rPr>
      </w:pPr>
    </w:p>
    <w:p w14:paraId="0C0CF1F1">
      <w:pPr>
        <w:spacing w:line="440" w:lineRule="exact"/>
        <w:rPr>
          <w:rFonts w:hint="eastAsia" w:ascii="宋体" w:hAnsi="宋体"/>
          <w:szCs w:val="21"/>
        </w:rPr>
      </w:pPr>
    </w:p>
    <w:p w14:paraId="65D052F8">
      <w:pPr>
        <w:pStyle w:val="18"/>
        <w:jc w:val="center"/>
        <w:rPr>
          <w:rFonts w:hint="eastAsia" w:ascii="黑体" w:hAnsi="宋体"/>
          <w:szCs w:val="28"/>
        </w:rPr>
      </w:pPr>
      <w:bookmarkStart w:id="2676" w:name="_Toc108514260"/>
      <w:r>
        <w:rPr>
          <w:rFonts w:hint="eastAsia"/>
        </w:rPr>
        <w:t>九、已标价工程量清单</w:t>
      </w:r>
      <w:bookmarkEnd w:id="2676"/>
    </w:p>
    <w:p w14:paraId="394DDF8F">
      <w:pPr>
        <w:spacing w:line="460" w:lineRule="exact"/>
        <w:rPr>
          <w:rFonts w:hint="eastAsia" w:ascii="黑体" w:hAnsi="宋体" w:eastAsia="黑体"/>
          <w:szCs w:val="21"/>
        </w:rPr>
      </w:pPr>
    </w:p>
    <w:p w14:paraId="4C0EC5FF">
      <w:pPr>
        <w:spacing w:line="460" w:lineRule="exact"/>
        <w:rPr>
          <w:rFonts w:hint="eastAsia" w:ascii="宋体" w:hAnsi="宋体"/>
          <w:szCs w:val="21"/>
        </w:rPr>
      </w:pPr>
      <w:r>
        <w:rPr>
          <w:rFonts w:hint="eastAsia" w:ascii="黑体" w:hAnsi="宋体" w:eastAsia="黑体"/>
          <w:szCs w:val="21"/>
        </w:rPr>
        <w:t>说明：</w:t>
      </w:r>
      <w:r>
        <w:rPr>
          <w:rFonts w:hint="eastAsia" w:ascii="宋体" w:hAnsi="宋体"/>
          <w:szCs w:val="21"/>
        </w:rPr>
        <w:t>已标价工程量清单按第五章“工程量清单”中的相关清单表格式填写。构成合同文件</w:t>
      </w:r>
    </w:p>
    <w:p w14:paraId="389A9F9A">
      <w:pPr>
        <w:spacing w:line="460" w:lineRule="exact"/>
        <w:rPr>
          <w:rFonts w:hint="eastAsia" w:ascii="宋体" w:hAnsi="宋体"/>
          <w:szCs w:val="21"/>
        </w:rPr>
      </w:pPr>
      <w:r>
        <w:rPr>
          <w:rFonts w:hint="eastAsia" w:ascii="宋体" w:hAnsi="宋体"/>
          <w:szCs w:val="21"/>
        </w:rPr>
        <w:t>的已标价工程量清单包括第五章“工程量清单”有关工程量清单、投标报价以及其他说明的</w:t>
      </w:r>
    </w:p>
    <w:p w14:paraId="0381E626">
      <w:pPr>
        <w:spacing w:line="460" w:lineRule="exact"/>
        <w:rPr>
          <w:rFonts w:hint="eastAsia" w:ascii="宋体" w:hAnsi="宋体"/>
          <w:szCs w:val="21"/>
        </w:rPr>
      </w:pPr>
      <w:r>
        <w:rPr>
          <w:rFonts w:hint="eastAsia" w:ascii="宋体" w:hAnsi="宋体"/>
          <w:szCs w:val="21"/>
        </w:rPr>
        <w:t>内容。</w:t>
      </w:r>
    </w:p>
    <w:p w14:paraId="4814CF1F">
      <w:pPr>
        <w:spacing w:line="460" w:lineRule="exact"/>
        <w:rPr>
          <w:rFonts w:hint="eastAsia" w:ascii="宋体" w:hAnsi="宋体"/>
          <w:szCs w:val="21"/>
        </w:rPr>
      </w:pPr>
    </w:p>
    <w:p w14:paraId="1368B609">
      <w:pPr>
        <w:spacing w:line="460" w:lineRule="exact"/>
        <w:rPr>
          <w:rFonts w:hint="eastAsia" w:ascii="宋体" w:hAnsi="宋体"/>
          <w:szCs w:val="21"/>
        </w:rPr>
      </w:pPr>
    </w:p>
    <w:p w14:paraId="1617EA65">
      <w:pPr>
        <w:spacing w:line="460" w:lineRule="exact"/>
        <w:rPr>
          <w:rFonts w:hint="eastAsia" w:ascii="宋体" w:hAnsi="宋体"/>
          <w:szCs w:val="21"/>
        </w:rPr>
      </w:pPr>
    </w:p>
    <w:p w14:paraId="45EF4731">
      <w:pPr>
        <w:spacing w:line="460" w:lineRule="exact"/>
        <w:rPr>
          <w:rFonts w:hint="eastAsia" w:ascii="宋体" w:hAnsi="宋体"/>
          <w:szCs w:val="21"/>
        </w:rPr>
      </w:pPr>
    </w:p>
    <w:p w14:paraId="78762706">
      <w:pPr>
        <w:spacing w:line="460" w:lineRule="exact"/>
        <w:rPr>
          <w:rFonts w:hint="eastAsia" w:ascii="宋体" w:hAnsi="宋体"/>
          <w:szCs w:val="21"/>
        </w:rPr>
      </w:pPr>
    </w:p>
    <w:p w14:paraId="31D62076">
      <w:pPr>
        <w:spacing w:line="460" w:lineRule="exact"/>
        <w:rPr>
          <w:rFonts w:hint="eastAsia" w:ascii="宋体" w:hAnsi="宋体"/>
          <w:szCs w:val="21"/>
        </w:rPr>
      </w:pPr>
    </w:p>
    <w:p w14:paraId="717CF1D0">
      <w:pPr>
        <w:spacing w:line="460" w:lineRule="exact"/>
        <w:rPr>
          <w:rFonts w:hint="eastAsia" w:ascii="宋体" w:hAnsi="宋体"/>
          <w:szCs w:val="21"/>
        </w:rPr>
      </w:pPr>
    </w:p>
    <w:p w14:paraId="37A8CC16">
      <w:pPr>
        <w:spacing w:line="460" w:lineRule="exact"/>
        <w:rPr>
          <w:rFonts w:hint="eastAsia" w:ascii="宋体" w:hAnsi="宋体"/>
          <w:szCs w:val="21"/>
        </w:rPr>
      </w:pPr>
    </w:p>
    <w:p w14:paraId="529956E4">
      <w:pPr>
        <w:spacing w:line="460" w:lineRule="exact"/>
        <w:rPr>
          <w:rFonts w:hint="eastAsia" w:ascii="宋体" w:hAnsi="宋体"/>
          <w:szCs w:val="21"/>
        </w:rPr>
      </w:pPr>
    </w:p>
    <w:p w14:paraId="49F43172">
      <w:pPr>
        <w:spacing w:line="460" w:lineRule="exact"/>
        <w:rPr>
          <w:rFonts w:hint="eastAsia" w:ascii="宋体" w:hAnsi="宋体"/>
          <w:szCs w:val="21"/>
        </w:rPr>
      </w:pPr>
    </w:p>
    <w:p w14:paraId="665AE960">
      <w:pPr>
        <w:spacing w:line="460" w:lineRule="exact"/>
        <w:rPr>
          <w:rFonts w:hint="eastAsia" w:ascii="宋体" w:hAnsi="宋体"/>
          <w:szCs w:val="21"/>
        </w:rPr>
      </w:pPr>
    </w:p>
    <w:p w14:paraId="39C4FFEE">
      <w:pPr>
        <w:spacing w:line="460" w:lineRule="exact"/>
        <w:rPr>
          <w:rFonts w:hint="eastAsia" w:ascii="宋体" w:hAnsi="宋体"/>
          <w:szCs w:val="21"/>
        </w:rPr>
      </w:pPr>
    </w:p>
    <w:p w14:paraId="3A82C0CE">
      <w:pPr>
        <w:spacing w:line="460" w:lineRule="exact"/>
        <w:rPr>
          <w:rFonts w:hint="eastAsia" w:ascii="宋体" w:hAnsi="宋体"/>
          <w:szCs w:val="21"/>
        </w:rPr>
      </w:pPr>
    </w:p>
    <w:p w14:paraId="73498E97">
      <w:pPr>
        <w:spacing w:line="460" w:lineRule="exact"/>
        <w:rPr>
          <w:rFonts w:hint="eastAsia" w:ascii="宋体" w:hAnsi="宋体"/>
          <w:szCs w:val="21"/>
        </w:rPr>
      </w:pPr>
    </w:p>
    <w:p w14:paraId="0FA2DCC5">
      <w:pPr>
        <w:spacing w:line="460" w:lineRule="exact"/>
        <w:rPr>
          <w:rFonts w:hint="eastAsia" w:ascii="宋体" w:hAnsi="宋体"/>
          <w:szCs w:val="21"/>
        </w:rPr>
      </w:pPr>
    </w:p>
    <w:p w14:paraId="49074020">
      <w:pPr>
        <w:spacing w:line="460" w:lineRule="exact"/>
        <w:rPr>
          <w:rFonts w:hint="eastAsia" w:ascii="宋体" w:hAnsi="宋体"/>
          <w:szCs w:val="21"/>
        </w:rPr>
      </w:pPr>
    </w:p>
    <w:p w14:paraId="33630272">
      <w:pPr>
        <w:spacing w:line="460" w:lineRule="exact"/>
        <w:rPr>
          <w:rFonts w:hint="eastAsia" w:ascii="宋体" w:hAnsi="宋体"/>
          <w:szCs w:val="21"/>
        </w:rPr>
      </w:pPr>
    </w:p>
    <w:p w14:paraId="38DA62CB">
      <w:pPr>
        <w:spacing w:line="460" w:lineRule="exact"/>
        <w:rPr>
          <w:rFonts w:hint="eastAsia" w:ascii="宋体" w:hAnsi="宋体"/>
          <w:szCs w:val="21"/>
        </w:rPr>
      </w:pPr>
    </w:p>
    <w:p w14:paraId="1EB5E864">
      <w:pPr>
        <w:spacing w:line="460" w:lineRule="exact"/>
        <w:rPr>
          <w:rFonts w:hint="eastAsia" w:ascii="宋体" w:hAnsi="宋体"/>
          <w:szCs w:val="21"/>
        </w:rPr>
      </w:pPr>
    </w:p>
    <w:p w14:paraId="7D3BE0D4">
      <w:pPr>
        <w:spacing w:line="460" w:lineRule="exact"/>
        <w:rPr>
          <w:rFonts w:hint="eastAsia" w:ascii="宋体" w:hAnsi="宋体"/>
          <w:szCs w:val="21"/>
        </w:rPr>
      </w:pPr>
    </w:p>
    <w:p w14:paraId="148B0B3F">
      <w:pPr>
        <w:spacing w:line="460" w:lineRule="exact"/>
        <w:rPr>
          <w:rFonts w:hint="eastAsia" w:ascii="宋体" w:hAnsi="宋体"/>
          <w:szCs w:val="21"/>
        </w:rPr>
      </w:pPr>
    </w:p>
    <w:p w14:paraId="6CDB9ED8">
      <w:pPr>
        <w:spacing w:line="460" w:lineRule="exact"/>
        <w:rPr>
          <w:rFonts w:hint="eastAsia" w:ascii="宋体" w:hAnsi="宋体"/>
          <w:szCs w:val="21"/>
        </w:rPr>
      </w:pPr>
    </w:p>
    <w:p w14:paraId="4B31E2D3">
      <w:pPr>
        <w:spacing w:line="460" w:lineRule="exact"/>
        <w:rPr>
          <w:rFonts w:hint="eastAsia"/>
        </w:rPr>
      </w:pPr>
      <w:bookmarkStart w:id="2677" w:name="_Toc426495639"/>
    </w:p>
    <w:p w14:paraId="3E2FF5CD">
      <w:pPr>
        <w:spacing w:line="460" w:lineRule="exact"/>
        <w:rPr>
          <w:rFonts w:hint="eastAsia"/>
        </w:rPr>
      </w:pPr>
    </w:p>
    <w:p w14:paraId="1DD9EB5B">
      <w:pPr>
        <w:pStyle w:val="20"/>
        <w:rPr>
          <w:rFonts w:hint="eastAsia"/>
        </w:rPr>
      </w:pPr>
      <w:bookmarkStart w:id="2678" w:name="_Toc108514261"/>
      <w:r>
        <w:rPr>
          <w:rFonts w:hint="eastAsia"/>
        </w:rPr>
        <w:t>已标价工程量清单（投标总价）封面</w:t>
      </w:r>
      <w:bookmarkEnd w:id="2677"/>
      <w:bookmarkEnd w:id="2678"/>
    </w:p>
    <w:p w14:paraId="5472C2C3">
      <w:pPr>
        <w:spacing w:line="460" w:lineRule="exact"/>
        <w:rPr>
          <w:rFonts w:hint="eastAsia" w:ascii="宋体" w:hAnsi="宋体"/>
          <w:szCs w:val="21"/>
        </w:rPr>
      </w:pPr>
    </w:p>
    <w:p w14:paraId="1A23D9E4">
      <w:pPr>
        <w:spacing w:line="460" w:lineRule="exact"/>
        <w:rPr>
          <w:rFonts w:hint="eastAsia" w:eastAsia="黑体"/>
          <w:sz w:val="32"/>
          <w:u w:val="single"/>
        </w:rPr>
      </w:pPr>
    </w:p>
    <w:p w14:paraId="58BCF99F">
      <w:pPr>
        <w:spacing w:line="460" w:lineRule="exact"/>
        <w:rPr>
          <w:rFonts w:hint="eastAsia" w:eastAsia="黑体"/>
          <w:sz w:val="32"/>
          <w:u w:val="single"/>
        </w:rPr>
      </w:pPr>
    </w:p>
    <w:p w14:paraId="280017CF">
      <w:pPr>
        <w:spacing w:line="460" w:lineRule="exact"/>
        <w:rPr>
          <w:rFonts w:hint="eastAsia" w:eastAsia="黑体"/>
          <w:sz w:val="32"/>
          <w:u w:val="single"/>
        </w:rPr>
      </w:pPr>
    </w:p>
    <w:p w14:paraId="602354FC">
      <w:pPr>
        <w:spacing w:line="460" w:lineRule="exact"/>
        <w:rPr>
          <w:rFonts w:hint="eastAsia" w:eastAsia="黑体"/>
          <w:sz w:val="32"/>
          <w:u w:val="single"/>
        </w:rPr>
      </w:pPr>
    </w:p>
    <w:p w14:paraId="15C53634">
      <w:pPr>
        <w:spacing w:line="460" w:lineRule="exact"/>
        <w:ind w:firstLine="960" w:firstLineChars="300"/>
        <w:rPr>
          <w:rFonts w:hint="eastAsia" w:ascii="宋体" w:hAnsi="宋体"/>
          <w:szCs w:val="21"/>
        </w:rPr>
      </w:pPr>
      <w:r>
        <w:rPr>
          <w:rFonts w:eastAsia="黑体"/>
          <w:sz w:val="32"/>
          <w:u w:val="single"/>
        </w:rPr>
        <w:t xml:space="preserve">        </w:t>
      </w:r>
      <w:r>
        <w:rPr>
          <w:rFonts w:eastAsia="黑体"/>
          <w:sz w:val="32"/>
        </w:rPr>
        <w:t>（项目名称）</w:t>
      </w:r>
      <w:r>
        <w:rPr>
          <w:rFonts w:eastAsia="黑体"/>
          <w:sz w:val="32"/>
          <w:u w:val="single"/>
        </w:rPr>
        <w:t xml:space="preserve">     </w:t>
      </w:r>
      <w:r>
        <w:rPr>
          <w:rFonts w:hint="eastAsia" w:eastAsia="黑体"/>
          <w:sz w:val="32"/>
        </w:rPr>
        <w:t>（标段名称）</w:t>
      </w:r>
      <w:r>
        <w:rPr>
          <w:rFonts w:eastAsia="黑体"/>
          <w:sz w:val="32"/>
        </w:rPr>
        <w:t>施工招标</w:t>
      </w:r>
    </w:p>
    <w:p w14:paraId="5CDB0D42">
      <w:pPr>
        <w:spacing w:line="460" w:lineRule="exact"/>
        <w:rPr>
          <w:rFonts w:hint="eastAsia" w:ascii="宋体" w:hAnsi="宋体"/>
          <w:szCs w:val="21"/>
        </w:rPr>
      </w:pPr>
    </w:p>
    <w:p w14:paraId="78214D13">
      <w:pPr>
        <w:spacing w:line="360" w:lineRule="auto"/>
        <w:jc w:val="center"/>
        <w:rPr>
          <w:rFonts w:hint="eastAsia" w:eastAsia="黑体"/>
          <w:sz w:val="44"/>
          <w:szCs w:val="44"/>
        </w:rPr>
      </w:pPr>
    </w:p>
    <w:p w14:paraId="74633273">
      <w:pPr>
        <w:spacing w:line="360" w:lineRule="auto"/>
        <w:jc w:val="center"/>
        <w:rPr>
          <w:rFonts w:hint="eastAsia" w:eastAsia="黑体"/>
          <w:sz w:val="44"/>
          <w:szCs w:val="44"/>
        </w:rPr>
      </w:pPr>
      <w:r>
        <w:rPr>
          <w:rFonts w:hint="eastAsia" w:eastAsia="黑体"/>
          <w:sz w:val="44"/>
          <w:szCs w:val="44"/>
        </w:rPr>
        <w:t>已标价</w:t>
      </w:r>
      <w:r>
        <w:rPr>
          <w:rFonts w:eastAsia="黑体"/>
          <w:sz w:val="44"/>
          <w:szCs w:val="44"/>
        </w:rPr>
        <w:t>工程量清单</w:t>
      </w:r>
    </w:p>
    <w:p w14:paraId="2A25CF1E">
      <w:pPr>
        <w:spacing w:line="360" w:lineRule="auto"/>
        <w:jc w:val="center"/>
        <w:rPr>
          <w:rFonts w:hint="eastAsia" w:eastAsia="黑体"/>
          <w:sz w:val="44"/>
          <w:szCs w:val="44"/>
        </w:rPr>
      </w:pPr>
      <w:r>
        <w:rPr>
          <w:rFonts w:hint="eastAsia" w:eastAsia="黑体"/>
          <w:sz w:val="44"/>
          <w:szCs w:val="44"/>
        </w:rPr>
        <w:t>（投标总价）</w:t>
      </w:r>
    </w:p>
    <w:p w14:paraId="7CB91CDF">
      <w:pPr>
        <w:spacing w:line="460" w:lineRule="exact"/>
        <w:jc w:val="center"/>
        <w:rPr>
          <w:rFonts w:hint="eastAsia" w:eastAsia="黑体"/>
          <w:sz w:val="44"/>
          <w:szCs w:val="44"/>
        </w:rPr>
      </w:pPr>
    </w:p>
    <w:p w14:paraId="4D64A4C5">
      <w:pPr>
        <w:spacing w:line="460" w:lineRule="exact"/>
        <w:jc w:val="center"/>
        <w:rPr>
          <w:rFonts w:hint="eastAsia" w:eastAsia="黑体"/>
          <w:sz w:val="44"/>
          <w:szCs w:val="44"/>
        </w:rPr>
      </w:pPr>
    </w:p>
    <w:p w14:paraId="01807D97">
      <w:pPr>
        <w:spacing w:line="460" w:lineRule="exact"/>
        <w:jc w:val="center"/>
        <w:rPr>
          <w:rFonts w:hint="eastAsia" w:eastAsia="黑体"/>
          <w:sz w:val="44"/>
          <w:szCs w:val="44"/>
        </w:rPr>
      </w:pPr>
    </w:p>
    <w:p w14:paraId="36C8B952">
      <w:pPr>
        <w:spacing w:line="460" w:lineRule="exact"/>
        <w:jc w:val="center"/>
        <w:rPr>
          <w:rFonts w:hint="eastAsia" w:eastAsia="黑体"/>
          <w:sz w:val="44"/>
          <w:szCs w:val="44"/>
        </w:rPr>
      </w:pPr>
    </w:p>
    <w:p w14:paraId="7D67E16E">
      <w:pPr>
        <w:spacing w:line="460" w:lineRule="exact"/>
        <w:jc w:val="center"/>
        <w:rPr>
          <w:rFonts w:hint="eastAsia" w:eastAsia="黑体"/>
          <w:sz w:val="44"/>
          <w:szCs w:val="44"/>
        </w:rPr>
      </w:pPr>
    </w:p>
    <w:p w14:paraId="743E5887">
      <w:pPr>
        <w:spacing w:line="460" w:lineRule="exact"/>
        <w:jc w:val="center"/>
        <w:rPr>
          <w:rFonts w:hint="eastAsia" w:eastAsia="黑体"/>
          <w:sz w:val="44"/>
          <w:szCs w:val="44"/>
        </w:rPr>
      </w:pPr>
    </w:p>
    <w:p w14:paraId="27FDF983">
      <w:pPr>
        <w:spacing w:line="460" w:lineRule="exact"/>
        <w:jc w:val="center"/>
        <w:rPr>
          <w:rFonts w:hint="eastAsia" w:eastAsia="黑体"/>
          <w:sz w:val="44"/>
          <w:szCs w:val="44"/>
        </w:rPr>
      </w:pPr>
    </w:p>
    <w:p w14:paraId="4B745B4A">
      <w:pPr>
        <w:spacing w:line="600" w:lineRule="exact"/>
        <w:ind w:firstLine="1260" w:firstLineChars="600"/>
        <w:rPr>
          <w:rFonts w:hint="eastAsia" w:ascii="黑体" w:eastAsia="黑体"/>
        </w:rPr>
      </w:pPr>
    </w:p>
    <w:p w14:paraId="30782C16">
      <w:pPr>
        <w:spacing w:line="320" w:lineRule="exact"/>
        <w:ind w:firstLine="2380" w:firstLineChars="850"/>
        <w:rPr>
          <w:rFonts w:hint="eastAsia" w:ascii="宋体" w:hAnsi="宋体"/>
          <w:sz w:val="28"/>
          <w:szCs w:val="28"/>
        </w:rPr>
      </w:pPr>
      <w:r>
        <w:rPr>
          <w:rFonts w:hint="eastAsia" w:ascii="宋体" w:hAnsi="宋体"/>
          <w:sz w:val="28"/>
          <w:szCs w:val="28"/>
        </w:rPr>
        <w:t>投 标 人：</w:t>
      </w:r>
      <w:r>
        <w:rPr>
          <w:rFonts w:hint="eastAsia" w:ascii="宋体" w:hAnsi="宋体"/>
          <w:sz w:val="28"/>
          <w:szCs w:val="28"/>
          <w:u w:val="single"/>
        </w:rPr>
        <w:t xml:space="preserve">                            </w:t>
      </w:r>
    </w:p>
    <w:p w14:paraId="2AD8CB5A">
      <w:pPr>
        <w:spacing w:line="320" w:lineRule="exact"/>
        <w:ind w:firstLine="4760" w:firstLineChars="1700"/>
        <w:rPr>
          <w:rFonts w:hint="eastAsia" w:ascii="宋体" w:hAnsi="宋体"/>
          <w:sz w:val="28"/>
          <w:szCs w:val="28"/>
        </w:rPr>
      </w:pPr>
      <w:r>
        <w:rPr>
          <w:rFonts w:hint="eastAsia" w:ascii="宋体" w:hAnsi="宋体"/>
          <w:sz w:val="28"/>
          <w:szCs w:val="28"/>
        </w:rPr>
        <w:t>(单位盖章)</w:t>
      </w:r>
    </w:p>
    <w:p w14:paraId="6E2BF561">
      <w:pPr>
        <w:spacing w:line="380" w:lineRule="exact"/>
        <w:ind w:firstLine="420" w:firstLineChars="200"/>
        <w:rPr>
          <w:rFonts w:hint="eastAsia" w:ascii="宋体" w:hAnsi="宋体"/>
        </w:rPr>
      </w:pPr>
    </w:p>
    <w:p w14:paraId="22A9CD53">
      <w:pPr>
        <w:spacing w:line="380" w:lineRule="exact"/>
        <w:ind w:firstLine="420" w:firstLineChars="200"/>
        <w:rPr>
          <w:rFonts w:hint="eastAsia" w:ascii="宋体" w:hAnsi="宋体"/>
        </w:rPr>
      </w:pPr>
    </w:p>
    <w:p w14:paraId="07B2AFA4">
      <w:pPr>
        <w:spacing w:line="380" w:lineRule="exact"/>
        <w:ind w:firstLine="420" w:firstLineChars="200"/>
        <w:rPr>
          <w:rFonts w:hint="eastAsia" w:ascii="宋体" w:hAnsi="宋体"/>
          <w:sz w:val="28"/>
          <w:szCs w:val="28"/>
        </w:rPr>
      </w:pPr>
      <w:r>
        <w:rPr>
          <w:rFonts w:hint="eastAsia" w:ascii="宋体" w:hAnsi="宋体"/>
        </w:rPr>
        <w:t xml:space="preserve">        </w:t>
      </w:r>
      <w:r>
        <w:rPr>
          <w:rFonts w:hint="eastAsia" w:ascii="宋体" w:hAnsi="宋体"/>
          <w:sz w:val="24"/>
        </w:rPr>
        <w:t xml:space="preserve">         </w:t>
      </w:r>
      <w:r>
        <w:rPr>
          <w:rFonts w:hint="eastAsia" w:ascii="宋体" w:hAnsi="宋体"/>
          <w:sz w:val="28"/>
          <w:szCs w:val="28"/>
        </w:rPr>
        <w:t xml:space="preserve">编制时间： </w:t>
      </w:r>
      <w:r>
        <w:rPr>
          <w:rFonts w:hint="eastAsia" w:ascii="宋体" w:hAnsi="宋体"/>
        </w:rPr>
        <w:t xml:space="preserve"> </w:t>
      </w:r>
      <w:r>
        <w:rPr>
          <w:rFonts w:hint="eastAsia" w:ascii="宋体" w:hAnsi="宋体"/>
          <w:sz w:val="24"/>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14:paraId="79B527B6">
      <w:pPr>
        <w:spacing w:line="460" w:lineRule="exact"/>
        <w:jc w:val="center"/>
        <w:rPr>
          <w:rFonts w:hint="eastAsia" w:eastAsia="黑体"/>
          <w:sz w:val="44"/>
          <w:szCs w:val="44"/>
        </w:rPr>
      </w:pPr>
    </w:p>
    <w:p w14:paraId="01AC74D5">
      <w:pPr>
        <w:spacing w:line="460" w:lineRule="exact"/>
        <w:jc w:val="center"/>
        <w:rPr>
          <w:rFonts w:hint="eastAsia" w:eastAsia="黑体"/>
          <w:sz w:val="44"/>
          <w:szCs w:val="44"/>
        </w:rPr>
      </w:pPr>
    </w:p>
    <w:p w14:paraId="45C51313">
      <w:pPr>
        <w:spacing w:line="460" w:lineRule="exact"/>
        <w:jc w:val="center"/>
        <w:rPr>
          <w:rFonts w:hint="eastAsia" w:ascii="宋体" w:hAnsi="宋体"/>
          <w:szCs w:val="21"/>
        </w:rPr>
      </w:pPr>
    </w:p>
    <w:p w14:paraId="0F961B04">
      <w:pPr>
        <w:pStyle w:val="20"/>
        <w:rPr>
          <w:rFonts w:hint="eastAsia"/>
        </w:rPr>
      </w:pPr>
      <w:bookmarkStart w:id="2679" w:name="_Toc108514262"/>
      <w:bookmarkStart w:id="2680" w:name="_Toc426495640"/>
      <w:r>
        <w:rPr>
          <w:rFonts w:hint="eastAsia"/>
        </w:rPr>
        <w:t>投标总价扉页</w:t>
      </w:r>
      <w:bookmarkEnd w:id="2679"/>
      <w:bookmarkEnd w:id="2680"/>
    </w:p>
    <w:p w14:paraId="0DFEE5D6">
      <w:pPr>
        <w:spacing w:line="380" w:lineRule="exact"/>
        <w:ind w:firstLine="480" w:firstLineChars="200"/>
        <w:rPr>
          <w:rFonts w:hint="eastAsia" w:ascii="黑体" w:eastAsia="黑体"/>
          <w:sz w:val="24"/>
        </w:rPr>
      </w:pPr>
    </w:p>
    <w:p w14:paraId="1397C492">
      <w:pPr>
        <w:spacing w:line="380" w:lineRule="exact"/>
        <w:ind w:firstLine="480" w:firstLineChars="200"/>
        <w:rPr>
          <w:rFonts w:hint="eastAsia" w:ascii="黑体" w:eastAsia="黑体"/>
          <w:sz w:val="24"/>
        </w:rPr>
      </w:pPr>
    </w:p>
    <w:p w14:paraId="38DFA16D">
      <w:pPr>
        <w:spacing w:line="460" w:lineRule="exact"/>
        <w:ind w:firstLine="900" w:firstLineChars="300"/>
        <w:rPr>
          <w:rFonts w:hint="eastAsia" w:ascii="宋体" w:hAnsi="宋体"/>
          <w:sz w:val="30"/>
          <w:szCs w:val="30"/>
        </w:rPr>
      </w:pPr>
      <w:r>
        <w:rPr>
          <w:rFonts w:eastAsia="黑体"/>
          <w:sz w:val="30"/>
          <w:szCs w:val="30"/>
          <w:u w:val="single"/>
        </w:rPr>
        <w:t xml:space="preserve">        </w:t>
      </w:r>
      <w:r>
        <w:rPr>
          <w:rFonts w:eastAsia="黑体"/>
          <w:sz w:val="30"/>
          <w:szCs w:val="30"/>
        </w:rPr>
        <w:t>（项目名称）</w:t>
      </w:r>
      <w:r>
        <w:rPr>
          <w:rFonts w:eastAsia="黑体"/>
          <w:sz w:val="30"/>
          <w:szCs w:val="30"/>
          <w:u w:val="single"/>
        </w:rPr>
        <w:t xml:space="preserve">  </w:t>
      </w:r>
      <w:r>
        <w:rPr>
          <w:rFonts w:hint="eastAsia" w:eastAsia="黑体"/>
          <w:sz w:val="30"/>
          <w:szCs w:val="30"/>
          <w:u w:val="single"/>
        </w:rPr>
        <w:t xml:space="preserve">  </w:t>
      </w:r>
      <w:r>
        <w:rPr>
          <w:rFonts w:eastAsia="黑体"/>
          <w:sz w:val="30"/>
          <w:szCs w:val="30"/>
          <w:u w:val="single"/>
        </w:rPr>
        <w:t xml:space="preserve">  </w:t>
      </w:r>
      <w:r>
        <w:rPr>
          <w:rFonts w:hint="eastAsia" w:eastAsia="黑体"/>
          <w:sz w:val="30"/>
          <w:szCs w:val="30"/>
        </w:rPr>
        <w:t>（标段名称）</w:t>
      </w:r>
      <w:r>
        <w:rPr>
          <w:rFonts w:eastAsia="黑体"/>
          <w:sz w:val="30"/>
          <w:szCs w:val="30"/>
        </w:rPr>
        <w:t>施工招标</w:t>
      </w:r>
    </w:p>
    <w:p w14:paraId="6676A336">
      <w:pPr>
        <w:spacing w:line="380" w:lineRule="exact"/>
        <w:ind w:firstLine="480" w:firstLineChars="200"/>
        <w:rPr>
          <w:rFonts w:hint="eastAsia" w:ascii="黑体" w:eastAsia="黑体"/>
          <w:sz w:val="24"/>
        </w:rPr>
      </w:pPr>
    </w:p>
    <w:p w14:paraId="267478C6">
      <w:pPr>
        <w:spacing w:after="480" w:afterLines="200" w:line="380" w:lineRule="exact"/>
        <w:ind w:firstLine="720" w:firstLineChars="200"/>
        <w:jc w:val="center"/>
        <w:rPr>
          <w:rFonts w:hint="eastAsia" w:ascii="黑体" w:eastAsia="黑体"/>
          <w:spacing w:val="20"/>
          <w:sz w:val="32"/>
          <w:szCs w:val="32"/>
        </w:rPr>
      </w:pPr>
      <w:r>
        <w:rPr>
          <w:rFonts w:hint="eastAsia" w:ascii="黑体" w:eastAsia="黑体"/>
          <w:spacing w:val="20"/>
          <w:sz w:val="32"/>
          <w:szCs w:val="32"/>
        </w:rPr>
        <w:t>投标总价</w:t>
      </w:r>
    </w:p>
    <w:p w14:paraId="4963BCE2">
      <w:pPr>
        <w:spacing w:line="600" w:lineRule="exact"/>
        <w:ind w:firstLine="420" w:firstLineChars="200"/>
        <w:rPr>
          <w:rFonts w:hint="eastAsia" w:ascii="宋体" w:hAnsi="宋体"/>
          <w:u w:val="single"/>
        </w:rPr>
      </w:pPr>
      <w:r>
        <w:rPr>
          <w:rFonts w:hint="eastAsia" w:ascii="宋体" w:hAnsi="宋体"/>
        </w:rPr>
        <w:t>招 标 人：</w:t>
      </w:r>
      <w:r>
        <w:rPr>
          <w:rFonts w:hint="eastAsia" w:ascii="宋体" w:hAnsi="宋体"/>
          <w:u w:val="single"/>
        </w:rPr>
        <w:t xml:space="preserve">                                                               </w:t>
      </w:r>
    </w:p>
    <w:p w14:paraId="7B4A1B1C">
      <w:pPr>
        <w:spacing w:line="600" w:lineRule="exact"/>
        <w:ind w:firstLine="420" w:firstLineChars="200"/>
        <w:rPr>
          <w:rFonts w:hint="eastAsia" w:ascii="宋体" w:hAnsi="宋体"/>
        </w:rPr>
      </w:pPr>
      <w:r>
        <w:rPr>
          <w:rFonts w:hint="eastAsia" w:ascii="宋体" w:hAnsi="宋体"/>
        </w:rPr>
        <w:t>工程名称：</w:t>
      </w:r>
      <w:r>
        <w:rPr>
          <w:rFonts w:hint="eastAsia" w:ascii="宋体" w:hAnsi="宋体"/>
          <w:u w:val="single"/>
        </w:rPr>
        <w:t xml:space="preserve">                                                               </w:t>
      </w:r>
    </w:p>
    <w:p w14:paraId="03FFBF9A">
      <w:pPr>
        <w:spacing w:line="600" w:lineRule="exact"/>
        <w:ind w:firstLine="420" w:firstLineChars="200"/>
        <w:rPr>
          <w:rFonts w:hint="eastAsia" w:ascii="宋体" w:hAnsi="宋体"/>
        </w:rPr>
      </w:pPr>
      <w:r>
        <w:rPr>
          <w:rFonts w:hint="eastAsia" w:ascii="宋体" w:hAnsi="宋体"/>
        </w:rPr>
        <w:t>投标总价(小写) ：</w:t>
      </w:r>
      <w:r>
        <w:rPr>
          <w:rFonts w:hint="eastAsia" w:ascii="宋体" w:hAnsi="宋体"/>
          <w:u w:val="single"/>
        </w:rPr>
        <w:t xml:space="preserve">                                                   元   </w:t>
      </w:r>
    </w:p>
    <w:p w14:paraId="2B33A91B">
      <w:pPr>
        <w:spacing w:line="600" w:lineRule="exact"/>
        <w:ind w:firstLine="1260" w:firstLineChars="600"/>
        <w:rPr>
          <w:rFonts w:hint="eastAsia" w:ascii="宋体" w:hAnsi="宋体"/>
          <w:u w:val="single"/>
        </w:rPr>
      </w:pPr>
      <w:r>
        <w:rPr>
          <w:rFonts w:hint="eastAsia" w:ascii="宋体" w:hAnsi="宋体"/>
        </w:rPr>
        <w:t>(大写) ：</w:t>
      </w:r>
      <w:r>
        <w:rPr>
          <w:rFonts w:hint="eastAsia" w:ascii="宋体" w:hAnsi="宋体"/>
          <w:u w:val="single"/>
        </w:rPr>
        <w:t xml:space="preserve">                                                   元   </w:t>
      </w:r>
    </w:p>
    <w:p w14:paraId="1F6C9D5E">
      <w:pPr>
        <w:spacing w:line="600" w:lineRule="exact"/>
        <w:ind w:firstLine="1260" w:firstLineChars="600"/>
        <w:rPr>
          <w:rFonts w:hint="eastAsia" w:ascii="宋体" w:hAnsi="宋体"/>
        </w:rPr>
      </w:pPr>
    </w:p>
    <w:p w14:paraId="1906D891">
      <w:pPr>
        <w:spacing w:line="320" w:lineRule="exact"/>
        <w:ind w:firstLine="420" w:firstLineChars="200"/>
        <w:rPr>
          <w:rFonts w:hint="eastAsia" w:ascii="宋体" w:hAnsi="宋体"/>
        </w:rPr>
      </w:pPr>
      <w:r>
        <w:rPr>
          <w:rFonts w:hint="eastAsia" w:ascii="宋体" w:hAnsi="宋体"/>
        </w:rPr>
        <w:t>投 标 人：</w:t>
      </w:r>
      <w:r>
        <w:rPr>
          <w:rFonts w:hint="eastAsia" w:ascii="宋体" w:hAnsi="宋体"/>
          <w:u w:val="single"/>
        </w:rPr>
        <w:t xml:space="preserve">                                                               </w:t>
      </w:r>
    </w:p>
    <w:p w14:paraId="6B2DB8D6">
      <w:pPr>
        <w:spacing w:line="320" w:lineRule="exact"/>
        <w:ind w:firstLine="4200" w:firstLineChars="2000"/>
        <w:rPr>
          <w:rFonts w:hint="eastAsia" w:ascii="宋体" w:hAnsi="宋体"/>
        </w:rPr>
      </w:pPr>
      <w:r>
        <w:rPr>
          <w:rFonts w:hint="eastAsia" w:ascii="宋体" w:hAnsi="宋体"/>
        </w:rPr>
        <w:t>(单位盖章)</w:t>
      </w:r>
    </w:p>
    <w:p w14:paraId="62DCA14A">
      <w:pPr>
        <w:spacing w:line="380" w:lineRule="exact"/>
        <w:ind w:firstLine="420" w:firstLineChars="200"/>
        <w:rPr>
          <w:rFonts w:hint="eastAsia" w:ascii="宋体" w:hAnsi="宋体"/>
        </w:rPr>
      </w:pPr>
    </w:p>
    <w:p w14:paraId="44E42C2D">
      <w:pPr>
        <w:spacing w:after="72" w:afterLines="30" w:line="380" w:lineRule="exact"/>
        <w:ind w:firstLine="420" w:firstLineChars="200"/>
        <w:rPr>
          <w:rFonts w:hint="eastAsia" w:ascii="宋体" w:hAnsi="宋体"/>
        </w:rPr>
      </w:pPr>
      <w:r>
        <w:rPr>
          <w:rFonts w:hint="eastAsia" w:ascii="宋体" w:hAnsi="宋体"/>
        </w:rPr>
        <w:t>法定代表人</w:t>
      </w:r>
    </w:p>
    <w:p w14:paraId="24F182EB">
      <w:pPr>
        <w:spacing w:line="320" w:lineRule="exact"/>
        <w:ind w:firstLine="420" w:firstLineChars="200"/>
        <w:rPr>
          <w:rFonts w:hint="eastAsia" w:ascii="宋体" w:hAnsi="宋体"/>
        </w:rPr>
      </w:pPr>
      <w:r>
        <w:rPr>
          <w:rFonts w:hint="eastAsia" w:ascii="宋体" w:hAnsi="宋体"/>
        </w:rPr>
        <w:t>或其授权人：</w:t>
      </w:r>
      <w:r>
        <w:rPr>
          <w:rFonts w:hint="eastAsia" w:ascii="宋体" w:hAnsi="宋体"/>
          <w:u w:val="single"/>
        </w:rPr>
        <w:t xml:space="preserve">                                                             </w:t>
      </w:r>
    </w:p>
    <w:p w14:paraId="7BB42126">
      <w:pPr>
        <w:spacing w:line="320" w:lineRule="exact"/>
        <w:ind w:firstLine="4410" w:firstLineChars="2100"/>
        <w:rPr>
          <w:rFonts w:hint="eastAsia" w:ascii="宋体" w:hAnsi="宋体"/>
        </w:rPr>
      </w:pPr>
      <w:r>
        <w:rPr>
          <w:rFonts w:hint="eastAsia" w:ascii="宋体" w:hAnsi="宋体"/>
        </w:rPr>
        <w:t>(签字)</w:t>
      </w:r>
    </w:p>
    <w:p w14:paraId="2B33AB47">
      <w:pPr>
        <w:spacing w:line="320" w:lineRule="exact"/>
        <w:ind w:firstLine="3990" w:firstLineChars="1900"/>
        <w:rPr>
          <w:rFonts w:hint="eastAsia" w:ascii="宋体" w:hAnsi="宋体"/>
        </w:rPr>
      </w:pPr>
    </w:p>
    <w:p w14:paraId="2CB0B425">
      <w:pPr>
        <w:spacing w:line="320" w:lineRule="exact"/>
        <w:ind w:firstLine="3990" w:firstLineChars="1900"/>
        <w:rPr>
          <w:rFonts w:hint="eastAsia" w:ascii="宋体" w:hAnsi="宋体"/>
        </w:rPr>
      </w:pPr>
    </w:p>
    <w:p w14:paraId="2CF1AC4B">
      <w:pPr>
        <w:spacing w:line="320" w:lineRule="exact"/>
        <w:ind w:firstLine="420" w:firstLineChars="200"/>
        <w:rPr>
          <w:rFonts w:hint="eastAsia" w:ascii="宋体" w:hAnsi="宋体"/>
        </w:rPr>
      </w:pPr>
      <w:r>
        <w:rPr>
          <w:rFonts w:hint="eastAsia" w:ascii="宋体" w:hAnsi="宋体"/>
        </w:rPr>
        <w:t>编制人：</w:t>
      </w:r>
      <w:r>
        <w:rPr>
          <w:rFonts w:hint="eastAsia" w:ascii="宋体" w:hAnsi="宋体"/>
          <w:u w:val="single"/>
        </w:rPr>
        <w:t xml:space="preserve">                                                                 </w:t>
      </w:r>
    </w:p>
    <w:p w14:paraId="71429B6D">
      <w:pPr>
        <w:spacing w:line="320" w:lineRule="exact"/>
        <w:ind w:firstLine="3570" w:firstLineChars="1700"/>
        <w:rPr>
          <w:rFonts w:hint="eastAsia" w:ascii="宋体" w:hAnsi="宋体"/>
        </w:rPr>
      </w:pPr>
      <w:r>
        <w:rPr>
          <w:rFonts w:hint="eastAsia" w:ascii="宋体" w:hAnsi="宋体"/>
        </w:rPr>
        <w:t>(造价人员签字盖专用章)</w:t>
      </w:r>
    </w:p>
    <w:p w14:paraId="5C824959">
      <w:pPr>
        <w:spacing w:line="380" w:lineRule="exact"/>
        <w:ind w:firstLine="420" w:firstLineChars="200"/>
        <w:rPr>
          <w:rFonts w:hint="eastAsia" w:ascii="宋体" w:hAnsi="宋体"/>
        </w:rPr>
      </w:pPr>
    </w:p>
    <w:p w14:paraId="08EAAFCE">
      <w:pPr>
        <w:spacing w:line="380" w:lineRule="exact"/>
        <w:ind w:firstLine="420" w:firstLineChars="200"/>
        <w:rPr>
          <w:rFonts w:hint="eastAsia" w:ascii="宋体" w:hAnsi="宋体"/>
        </w:rPr>
      </w:pPr>
    </w:p>
    <w:p w14:paraId="4A02BBD0">
      <w:pPr>
        <w:spacing w:line="380" w:lineRule="exact"/>
        <w:ind w:firstLine="420" w:firstLineChars="200"/>
        <w:rPr>
          <w:rFonts w:hint="eastAsia" w:ascii="宋体" w:hAnsi="宋体"/>
        </w:rPr>
      </w:pPr>
      <w:r>
        <w:rPr>
          <w:rFonts w:hint="eastAsia" w:ascii="宋体" w:hAnsi="宋体"/>
        </w:rPr>
        <w:t>编制时间：                        年      月      日</w:t>
      </w:r>
    </w:p>
    <w:p w14:paraId="0D44EBA7">
      <w:pPr>
        <w:spacing w:line="380" w:lineRule="exact"/>
        <w:ind w:firstLine="420" w:firstLineChars="200"/>
        <w:rPr>
          <w:rFonts w:hint="eastAsia" w:ascii="黑体" w:eastAsia="黑体"/>
        </w:rPr>
      </w:pPr>
    </w:p>
    <w:p w14:paraId="33A2BA22">
      <w:pPr>
        <w:spacing w:line="380" w:lineRule="exact"/>
        <w:ind w:firstLine="420" w:firstLineChars="200"/>
        <w:rPr>
          <w:rFonts w:hint="eastAsia" w:ascii="黑体" w:eastAsia="黑体"/>
        </w:rPr>
      </w:pPr>
    </w:p>
    <w:p w14:paraId="7C1114A4">
      <w:pPr>
        <w:spacing w:line="380" w:lineRule="exact"/>
        <w:ind w:firstLine="420" w:firstLineChars="200"/>
        <w:rPr>
          <w:rFonts w:hint="eastAsia" w:ascii="宋体" w:hAnsi="宋体"/>
        </w:rPr>
      </w:pPr>
      <w:r>
        <w:rPr>
          <w:rFonts w:hint="eastAsia" w:ascii="宋体" w:hAnsi="宋体"/>
        </w:rPr>
        <w:t>备注：1. 投标总价可按四舍五入精确到元。</w:t>
      </w:r>
    </w:p>
    <w:p w14:paraId="1905AAAA">
      <w:pPr>
        <w:spacing w:line="380" w:lineRule="exact"/>
        <w:ind w:left="1365" w:leftChars="200" w:hanging="945" w:hangingChars="450"/>
        <w:rPr>
          <w:rFonts w:hint="eastAsia" w:ascii="宋体" w:hAnsi="宋体"/>
        </w:rPr>
      </w:pPr>
      <w:r>
        <w:rPr>
          <w:rFonts w:hint="eastAsia" w:ascii="宋体" w:hAnsi="宋体"/>
        </w:rPr>
        <w:t xml:space="preserve">      2. 因“电子交易平台”未要求造价人员办理CA数字证书，“造价人员签字盖专用章”处暂无需签字和盖专用章。</w:t>
      </w:r>
    </w:p>
    <w:p w14:paraId="38054712">
      <w:pPr>
        <w:spacing w:line="380" w:lineRule="exact"/>
        <w:ind w:left="1365" w:leftChars="500" w:hanging="315" w:hangingChars="150"/>
        <w:rPr>
          <w:rFonts w:hint="eastAsia" w:ascii="宋体" w:hAnsi="宋体"/>
        </w:rPr>
      </w:pPr>
      <w:r>
        <w:rPr>
          <w:rFonts w:hint="eastAsia" w:ascii="宋体" w:hAnsi="宋体"/>
        </w:rPr>
        <w:t>3. 已标价工程量清单的内容和制作按第五章“工程量清单”和第二章“投标人须知”</w:t>
      </w:r>
      <w:r>
        <w:rPr>
          <w:rFonts w:hint="eastAsia"/>
        </w:rPr>
        <w:t xml:space="preserve"> </w:t>
      </w:r>
      <w:r>
        <w:rPr>
          <w:rFonts w:hint="eastAsia" w:ascii="宋体" w:hAnsi="宋体"/>
        </w:rPr>
        <w:t>第3.7.3（4）目的要求填报和制作。</w:t>
      </w:r>
    </w:p>
    <w:p w14:paraId="1E433E13">
      <w:pPr>
        <w:spacing w:line="380" w:lineRule="exact"/>
        <w:ind w:firstLine="420" w:firstLineChars="200"/>
        <w:rPr>
          <w:rFonts w:hint="eastAsia" w:ascii="宋体" w:hAnsi="宋体"/>
        </w:rPr>
      </w:pPr>
    </w:p>
    <w:p w14:paraId="171963F4">
      <w:pPr>
        <w:pStyle w:val="18"/>
        <w:jc w:val="center"/>
        <w:rPr>
          <w:rFonts w:hint="eastAsia" w:ascii="黑体" w:hAnsi="宋体"/>
          <w:szCs w:val="28"/>
        </w:rPr>
      </w:pPr>
      <w:bookmarkStart w:id="2681" w:name="_Toc108514263"/>
      <w:r>
        <w:rPr>
          <w:rFonts w:hint="eastAsia"/>
        </w:rPr>
        <w:t>十、施工组织设计</w:t>
      </w:r>
      <w:bookmarkEnd w:id="2681"/>
    </w:p>
    <w:p w14:paraId="40F8E17C">
      <w:pPr>
        <w:spacing w:line="420" w:lineRule="exact"/>
        <w:ind w:firstLine="420" w:firstLineChars="200"/>
        <w:rPr>
          <w:rFonts w:hint="eastAsia" w:ascii="宋体" w:hAnsi="宋体"/>
          <w:szCs w:val="21"/>
        </w:rPr>
      </w:pPr>
      <w:r>
        <w:rPr>
          <w:rFonts w:hint="eastAsia" w:ascii="宋体" w:hAnsi="宋体"/>
          <w:szCs w:val="21"/>
        </w:rPr>
        <w:t>1．投标人应根据招标文件和对现场的勘察情况，采用文字并结合图表形式，按照中华人民共和国国家标准《建筑施工组织设计规范》（GB/T50502-2009）的要求编制本工程的施工组织设计，其要点如下：</w:t>
      </w:r>
    </w:p>
    <w:p w14:paraId="35A11C37">
      <w:pPr>
        <w:spacing w:line="420" w:lineRule="exact"/>
        <w:ind w:firstLine="420" w:firstLineChars="200"/>
        <w:rPr>
          <w:rFonts w:hint="eastAsia" w:ascii="宋体" w:hAnsi="宋体"/>
          <w:b/>
          <w:szCs w:val="21"/>
        </w:rPr>
      </w:pPr>
      <w:r>
        <w:rPr>
          <w:rFonts w:hint="eastAsia" w:ascii="宋体" w:hAnsi="宋体"/>
          <w:szCs w:val="21"/>
        </w:rPr>
        <w:t>（1）</w:t>
      </w:r>
      <w:r>
        <w:rPr>
          <w:rFonts w:hint="eastAsia" w:ascii="宋体" w:hAnsi="宋体"/>
          <w:b/>
          <w:szCs w:val="21"/>
        </w:rPr>
        <w:t>工程概况</w:t>
      </w:r>
    </w:p>
    <w:p w14:paraId="1EB888F9">
      <w:pPr>
        <w:spacing w:line="420" w:lineRule="exact"/>
        <w:ind w:firstLine="945" w:firstLineChars="450"/>
        <w:rPr>
          <w:rFonts w:hint="eastAsia" w:ascii="宋体" w:hAnsi="宋体"/>
          <w:szCs w:val="21"/>
        </w:rPr>
      </w:pPr>
      <w:r>
        <w:rPr>
          <w:rFonts w:hint="eastAsia" w:ascii="宋体" w:hAnsi="宋体"/>
          <w:szCs w:val="21"/>
        </w:rPr>
        <w:t>包括工程主要情况、各专业设计简介、工程施工条件等；</w:t>
      </w:r>
    </w:p>
    <w:p w14:paraId="5519844D">
      <w:pPr>
        <w:spacing w:line="420" w:lineRule="exact"/>
        <w:ind w:left="630" w:leftChars="200" w:hanging="210" w:hangingChars="100"/>
        <w:rPr>
          <w:rFonts w:hint="eastAsia" w:ascii="宋体" w:hAnsi="宋体"/>
          <w:szCs w:val="21"/>
        </w:rPr>
      </w:pPr>
      <w:r>
        <w:rPr>
          <w:rFonts w:hint="eastAsia" w:ascii="宋体" w:hAnsi="宋体"/>
          <w:szCs w:val="21"/>
        </w:rPr>
        <w:t>（2）</w:t>
      </w:r>
      <w:r>
        <w:rPr>
          <w:rFonts w:hint="eastAsia" w:ascii="宋体" w:hAnsi="宋体"/>
          <w:b/>
          <w:szCs w:val="21"/>
        </w:rPr>
        <w:t>施工部署</w:t>
      </w:r>
    </w:p>
    <w:p w14:paraId="0C96C054">
      <w:pPr>
        <w:spacing w:line="420" w:lineRule="exact"/>
        <w:ind w:left="962" w:leftChars="458"/>
        <w:rPr>
          <w:rFonts w:hint="eastAsia" w:ascii="宋体" w:hAnsi="宋体"/>
          <w:szCs w:val="21"/>
        </w:rPr>
      </w:pPr>
      <w:r>
        <w:rPr>
          <w:rFonts w:hint="eastAsia" w:ascii="宋体" w:hAnsi="宋体"/>
          <w:szCs w:val="21"/>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74406450">
      <w:pPr>
        <w:spacing w:line="420" w:lineRule="exact"/>
        <w:ind w:left="630" w:leftChars="200" w:hanging="210" w:hangingChars="100"/>
        <w:rPr>
          <w:rFonts w:hint="eastAsia" w:ascii="宋体" w:hAnsi="宋体"/>
          <w:szCs w:val="21"/>
        </w:rPr>
      </w:pPr>
      <w:r>
        <w:rPr>
          <w:rFonts w:hint="eastAsia" w:ascii="宋体" w:hAnsi="宋体"/>
          <w:szCs w:val="21"/>
        </w:rPr>
        <w:t>（3）</w:t>
      </w:r>
      <w:r>
        <w:rPr>
          <w:rFonts w:hint="eastAsia" w:ascii="宋体" w:hAnsi="宋体"/>
          <w:b/>
          <w:szCs w:val="21"/>
        </w:rPr>
        <w:t>施工进度计划</w:t>
      </w:r>
    </w:p>
    <w:p w14:paraId="29114D45">
      <w:pPr>
        <w:spacing w:line="420" w:lineRule="exact"/>
        <w:ind w:left="945" w:leftChars="450"/>
        <w:rPr>
          <w:rFonts w:hint="eastAsia" w:ascii="宋体" w:hAnsi="宋体"/>
          <w:szCs w:val="21"/>
        </w:rPr>
      </w:pPr>
      <w:r>
        <w:rPr>
          <w:rFonts w:hint="eastAsia" w:ascii="宋体" w:hAnsi="宋体"/>
          <w:szCs w:val="21"/>
        </w:rPr>
        <w:t>可采用网络图或横道图表示，并附必要说明，对于规模较大或较复杂的工程，宜采用网络图表示；</w:t>
      </w:r>
    </w:p>
    <w:p w14:paraId="4E2356FC">
      <w:pPr>
        <w:spacing w:line="420" w:lineRule="exact"/>
        <w:ind w:left="630" w:leftChars="200" w:hanging="210" w:hangingChars="100"/>
        <w:rPr>
          <w:rFonts w:hint="eastAsia" w:ascii="宋体" w:hAnsi="宋体"/>
          <w:szCs w:val="21"/>
        </w:rPr>
      </w:pPr>
      <w:r>
        <w:rPr>
          <w:rFonts w:hint="eastAsia" w:ascii="宋体" w:hAnsi="宋体"/>
          <w:szCs w:val="21"/>
        </w:rPr>
        <w:t>（4）</w:t>
      </w:r>
      <w:r>
        <w:rPr>
          <w:rFonts w:hint="eastAsia" w:ascii="宋体" w:hAnsi="宋体"/>
          <w:b/>
          <w:szCs w:val="21"/>
        </w:rPr>
        <w:t>施工准备与资源配置计划</w:t>
      </w:r>
    </w:p>
    <w:p w14:paraId="11384529">
      <w:pPr>
        <w:spacing w:line="420" w:lineRule="exact"/>
        <w:ind w:left="945" w:leftChars="450"/>
        <w:rPr>
          <w:rFonts w:hint="eastAsia" w:ascii="宋体" w:hAnsi="宋体"/>
          <w:szCs w:val="21"/>
        </w:rPr>
      </w:pPr>
      <w:r>
        <w:rPr>
          <w:rFonts w:hint="eastAsia" w:ascii="宋体" w:hAnsi="宋体"/>
          <w:szCs w:val="21"/>
        </w:rPr>
        <w:t>施工准备包括技术准备、现场准备和资金准备；资源配置计划包括劳动力配置计划、主要工程材料和设备配置计划、主要周转材料和施工机具配置计划等；</w:t>
      </w:r>
    </w:p>
    <w:p w14:paraId="3C7B18B5">
      <w:pPr>
        <w:spacing w:line="420" w:lineRule="exact"/>
        <w:ind w:left="630" w:leftChars="200" w:hanging="210" w:hangingChars="100"/>
        <w:rPr>
          <w:rFonts w:hint="eastAsia" w:ascii="宋体" w:hAnsi="宋体"/>
          <w:szCs w:val="21"/>
        </w:rPr>
      </w:pPr>
      <w:r>
        <w:rPr>
          <w:rFonts w:hint="eastAsia" w:ascii="宋体" w:hAnsi="宋体"/>
          <w:szCs w:val="21"/>
        </w:rPr>
        <w:t>（5）</w:t>
      </w:r>
      <w:r>
        <w:rPr>
          <w:rFonts w:hint="eastAsia" w:ascii="宋体" w:hAnsi="宋体"/>
          <w:b/>
          <w:szCs w:val="21"/>
        </w:rPr>
        <w:t>主要施工方案</w:t>
      </w:r>
    </w:p>
    <w:p w14:paraId="226CADEA">
      <w:pPr>
        <w:spacing w:line="420" w:lineRule="exact"/>
        <w:ind w:left="945" w:leftChars="450"/>
        <w:rPr>
          <w:rFonts w:hint="eastAsia" w:ascii="宋体" w:hAnsi="宋体"/>
          <w:szCs w:val="21"/>
        </w:rPr>
      </w:pPr>
      <w:r>
        <w:rPr>
          <w:rFonts w:hint="eastAsia" w:ascii="宋体" w:hAnsi="宋体"/>
          <w:szCs w:val="21"/>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22DF6B34">
      <w:pPr>
        <w:spacing w:line="420" w:lineRule="exact"/>
        <w:ind w:left="630" w:leftChars="200" w:hanging="210" w:hangingChars="100"/>
        <w:rPr>
          <w:rFonts w:hint="eastAsia" w:ascii="宋体" w:hAnsi="宋体"/>
          <w:szCs w:val="21"/>
        </w:rPr>
      </w:pPr>
      <w:r>
        <w:rPr>
          <w:rFonts w:hint="eastAsia" w:ascii="宋体" w:hAnsi="宋体"/>
          <w:szCs w:val="21"/>
        </w:rPr>
        <w:t>（6）</w:t>
      </w:r>
      <w:r>
        <w:rPr>
          <w:rFonts w:hint="eastAsia" w:ascii="宋体" w:hAnsi="宋体"/>
          <w:b/>
          <w:szCs w:val="21"/>
        </w:rPr>
        <w:t>施工现场平面布置</w:t>
      </w:r>
    </w:p>
    <w:p w14:paraId="431044BE">
      <w:pPr>
        <w:spacing w:line="420" w:lineRule="exact"/>
        <w:ind w:left="899" w:leftChars="428"/>
        <w:rPr>
          <w:rFonts w:hint="eastAsia" w:ascii="宋体" w:hAnsi="宋体"/>
          <w:szCs w:val="21"/>
        </w:rPr>
      </w:pPr>
      <w:r>
        <w:rPr>
          <w:rFonts w:hint="eastAsia" w:ascii="宋体" w:hAnsi="宋体"/>
          <w:szCs w:val="21"/>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14:paraId="25302B4B">
      <w:pPr>
        <w:spacing w:line="420" w:lineRule="exact"/>
        <w:ind w:left="630" w:leftChars="200" w:hanging="210" w:hangingChars="100"/>
        <w:rPr>
          <w:rFonts w:hint="eastAsia" w:ascii="宋体" w:hAnsi="宋体"/>
          <w:szCs w:val="21"/>
        </w:rPr>
      </w:pPr>
      <w:r>
        <w:rPr>
          <w:rFonts w:hint="eastAsia" w:ascii="宋体" w:hAnsi="宋体"/>
          <w:szCs w:val="21"/>
        </w:rPr>
        <w:t>（7）</w:t>
      </w:r>
      <w:r>
        <w:rPr>
          <w:rFonts w:hint="eastAsia" w:ascii="宋体" w:hAnsi="宋体"/>
          <w:b/>
          <w:szCs w:val="21"/>
        </w:rPr>
        <w:t>主要施工管理计划</w:t>
      </w:r>
    </w:p>
    <w:p w14:paraId="727C1E97">
      <w:pPr>
        <w:spacing w:line="420" w:lineRule="exact"/>
        <w:ind w:left="945" w:leftChars="450"/>
        <w:rPr>
          <w:rFonts w:hint="eastAsia" w:ascii="宋体" w:hAnsi="宋体"/>
          <w:szCs w:val="21"/>
        </w:rPr>
      </w:pPr>
      <w:r>
        <w:rPr>
          <w:rFonts w:hint="eastAsia" w:ascii="宋体" w:hAnsi="宋体"/>
          <w:szCs w:val="21"/>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14:paraId="0F34D745">
      <w:pPr>
        <w:spacing w:line="420" w:lineRule="exact"/>
        <w:ind w:firstLine="420" w:firstLineChars="200"/>
        <w:rPr>
          <w:rFonts w:ascii="宋体" w:hAnsi="宋体"/>
          <w:szCs w:val="21"/>
        </w:rPr>
      </w:pPr>
      <w:r>
        <w:rPr>
          <w:rFonts w:hint="eastAsia" w:ascii="宋体" w:hAnsi="宋体"/>
          <w:szCs w:val="21"/>
        </w:rPr>
        <w:t>2．施工组织设计除采用文字表述外可附下列图表，图表及格式要求附后。下述表格应按照章节内容，严格按给定的格式附在相应的章节中。</w:t>
      </w:r>
    </w:p>
    <w:p w14:paraId="5FAD7AAC">
      <w:pPr>
        <w:spacing w:line="420" w:lineRule="exact"/>
        <w:ind w:firstLine="420" w:firstLineChars="200"/>
        <w:rPr>
          <w:rFonts w:hint="eastAsia" w:ascii="宋体" w:hAnsi="宋体"/>
          <w:szCs w:val="21"/>
        </w:rPr>
      </w:pPr>
      <w:r>
        <w:rPr>
          <w:rFonts w:hint="eastAsia" w:ascii="宋体" w:hAnsi="宋体"/>
          <w:szCs w:val="21"/>
        </w:rPr>
        <w:t>附表一  拟投入本工程的主要施工设备表</w:t>
      </w:r>
    </w:p>
    <w:p w14:paraId="524C9302">
      <w:pPr>
        <w:spacing w:line="420" w:lineRule="exact"/>
        <w:ind w:firstLine="420" w:firstLineChars="200"/>
        <w:rPr>
          <w:rFonts w:hint="eastAsia" w:ascii="宋体" w:hAnsi="宋体"/>
          <w:szCs w:val="21"/>
        </w:rPr>
      </w:pPr>
      <w:r>
        <w:rPr>
          <w:rFonts w:hint="eastAsia" w:ascii="宋体" w:hAnsi="宋体"/>
          <w:szCs w:val="21"/>
        </w:rPr>
        <w:t>附表二  拟配备本工程的试验和检测仪器设备表</w:t>
      </w:r>
    </w:p>
    <w:p w14:paraId="69C3EB85">
      <w:pPr>
        <w:spacing w:line="420" w:lineRule="exact"/>
        <w:ind w:firstLine="420" w:firstLineChars="200"/>
        <w:rPr>
          <w:rFonts w:hint="eastAsia" w:ascii="宋体" w:hAnsi="宋体"/>
          <w:szCs w:val="21"/>
        </w:rPr>
      </w:pPr>
      <w:r>
        <w:rPr>
          <w:rFonts w:hint="eastAsia" w:ascii="宋体" w:hAnsi="宋体"/>
          <w:szCs w:val="21"/>
        </w:rPr>
        <w:t>附表三  劳动力计划表</w:t>
      </w:r>
    </w:p>
    <w:p w14:paraId="3C279E09">
      <w:pPr>
        <w:spacing w:line="420" w:lineRule="exact"/>
        <w:ind w:firstLine="420" w:firstLineChars="200"/>
        <w:rPr>
          <w:rFonts w:hint="eastAsia" w:ascii="宋体" w:hAnsi="宋体"/>
          <w:szCs w:val="21"/>
        </w:rPr>
      </w:pPr>
      <w:r>
        <w:rPr>
          <w:rFonts w:hint="eastAsia" w:ascii="宋体" w:hAnsi="宋体"/>
          <w:szCs w:val="21"/>
        </w:rPr>
        <w:t>附表四  计划开、竣工日期和施工进度网络图</w:t>
      </w:r>
    </w:p>
    <w:p w14:paraId="6C6A9494">
      <w:pPr>
        <w:spacing w:line="420" w:lineRule="exact"/>
        <w:ind w:firstLine="420" w:firstLineChars="200"/>
        <w:rPr>
          <w:rFonts w:hint="eastAsia" w:ascii="宋体" w:hAnsi="宋体"/>
          <w:szCs w:val="21"/>
        </w:rPr>
      </w:pPr>
      <w:r>
        <w:rPr>
          <w:rFonts w:hint="eastAsia" w:ascii="宋体" w:hAnsi="宋体"/>
          <w:szCs w:val="21"/>
        </w:rPr>
        <w:t>附表五  施工总平面图</w:t>
      </w:r>
    </w:p>
    <w:p w14:paraId="42680D38">
      <w:pPr>
        <w:spacing w:line="420" w:lineRule="exact"/>
        <w:ind w:firstLine="420" w:firstLineChars="200"/>
        <w:rPr>
          <w:rFonts w:hint="eastAsia" w:ascii="宋体" w:hAnsi="宋体"/>
          <w:szCs w:val="21"/>
        </w:rPr>
      </w:pPr>
      <w:r>
        <w:rPr>
          <w:rFonts w:hint="eastAsia" w:ascii="宋体" w:hAnsi="宋体"/>
          <w:szCs w:val="21"/>
        </w:rPr>
        <w:t>附表六  临时用地表</w:t>
      </w:r>
    </w:p>
    <w:p w14:paraId="05050CAB">
      <w:pPr>
        <w:spacing w:before="120" w:beforeLines="50" w:after="240" w:afterLines="100" w:line="420" w:lineRule="exact"/>
        <w:rPr>
          <w:rFonts w:hint="eastAsia" w:ascii="黑体" w:hAnsi="宋体" w:eastAsia="黑体"/>
          <w:sz w:val="24"/>
        </w:rPr>
      </w:pPr>
    </w:p>
    <w:p w14:paraId="5CAA3CFB">
      <w:pPr>
        <w:spacing w:before="120" w:beforeLines="50" w:after="240" w:afterLines="100" w:line="420" w:lineRule="exact"/>
        <w:rPr>
          <w:rFonts w:hint="eastAsia" w:ascii="黑体" w:hAnsi="宋体" w:eastAsia="黑体"/>
          <w:sz w:val="24"/>
        </w:rPr>
      </w:pPr>
    </w:p>
    <w:p w14:paraId="4A0E316F">
      <w:pPr>
        <w:spacing w:before="120" w:beforeLines="50" w:after="240" w:afterLines="100" w:line="420" w:lineRule="exact"/>
        <w:rPr>
          <w:rFonts w:hint="eastAsia" w:ascii="黑体" w:hAnsi="宋体" w:eastAsia="黑体"/>
          <w:sz w:val="24"/>
        </w:rPr>
      </w:pPr>
    </w:p>
    <w:p w14:paraId="0B69702D">
      <w:pPr>
        <w:spacing w:before="120" w:beforeLines="50" w:after="240" w:afterLines="100" w:line="420" w:lineRule="exact"/>
        <w:rPr>
          <w:rFonts w:hint="eastAsia" w:ascii="黑体" w:hAnsi="宋体" w:eastAsia="黑体"/>
          <w:sz w:val="24"/>
        </w:rPr>
      </w:pPr>
    </w:p>
    <w:p w14:paraId="39B9F169">
      <w:pPr>
        <w:spacing w:before="120" w:beforeLines="50" w:after="240" w:afterLines="100" w:line="420" w:lineRule="exact"/>
        <w:rPr>
          <w:rFonts w:hint="eastAsia" w:ascii="黑体" w:hAnsi="宋体" w:eastAsia="黑体"/>
          <w:sz w:val="24"/>
        </w:rPr>
      </w:pPr>
    </w:p>
    <w:p w14:paraId="6099EB4E">
      <w:pPr>
        <w:spacing w:before="120" w:beforeLines="50" w:after="240" w:afterLines="100" w:line="420" w:lineRule="exact"/>
        <w:rPr>
          <w:rFonts w:hint="eastAsia" w:ascii="黑体" w:hAnsi="宋体" w:eastAsia="黑体"/>
          <w:sz w:val="24"/>
        </w:rPr>
      </w:pPr>
    </w:p>
    <w:p w14:paraId="59C01202">
      <w:pPr>
        <w:spacing w:before="120" w:beforeLines="50" w:after="240" w:afterLines="100" w:line="420" w:lineRule="exact"/>
        <w:rPr>
          <w:rFonts w:hint="eastAsia" w:ascii="黑体" w:hAnsi="宋体" w:eastAsia="黑体"/>
          <w:sz w:val="24"/>
        </w:rPr>
      </w:pPr>
    </w:p>
    <w:p w14:paraId="23B0A016">
      <w:pPr>
        <w:spacing w:before="120" w:beforeLines="50" w:after="240" w:afterLines="100" w:line="420" w:lineRule="exact"/>
        <w:rPr>
          <w:rFonts w:hint="eastAsia" w:ascii="黑体" w:hAnsi="宋体" w:eastAsia="黑体"/>
          <w:sz w:val="24"/>
        </w:rPr>
      </w:pPr>
    </w:p>
    <w:p w14:paraId="60AFE501">
      <w:pPr>
        <w:spacing w:before="120" w:beforeLines="50" w:after="240" w:afterLines="100" w:line="420" w:lineRule="exact"/>
        <w:rPr>
          <w:rFonts w:hint="eastAsia" w:ascii="黑体" w:hAnsi="宋体" w:eastAsia="黑体"/>
          <w:sz w:val="24"/>
        </w:rPr>
      </w:pPr>
    </w:p>
    <w:p w14:paraId="038C8110">
      <w:pPr>
        <w:spacing w:before="120" w:beforeLines="50" w:after="240" w:afterLines="100" w:line="420" w:lineRule="exact"/>
        <w:rPr>
          <w:rFonts w:hint="eastAsia" w:ascii="黑体" w:hAnsi="宋体" w:eastAsia="黑体"/>
          <w:sz w:val="24"/>
        </w:rPr>
      </w:pPr>
    </w:p>
    <w:p w14:paraId="1D57498A">
      <w:pPr>
        <w:spacing w:before="120" w:beforeLines="50" w:after="240" w:afterLines="100" w:line="420" w:lineRule="exact"/>
        <w:rPr>
          <w:rFonts w:hint="eastAsia" w:ascii="黑体" w:hAnsi="宋体" w:eastAsia="黑体"/>
          <w:sz w:val="24"/>
        </w:rPr>
      </w:pPr>
    </w:p>
    <w:p w14:paraId="454CAA4B">
      <w:pPr>
        <w:spacing w:before="120" w:beforeLines="50" w:after="240" w:afterLines="100" w:line="420" w:lineRule="exact"/>
        <w:rPr>
          <w:rFonts w:hint="eastAsia" w:ascii="黑体" w:hAnsi="宋体" w:eastAsia="黑体"/>
          <w:sz w:val="24"/>
        </w:rPr>
      </w:pPr>
    </w:p>
    <w:p w14:paraId="24A76708">
      <w:pPr>
        <w:spacing w:before="120" w:beforeLines="50" w:after="240" w:afterLines="100" w:line="420" w:lineRule="exact"/>
        <w:rPr>
          <w:rFonts w:hint="eastAsia" w:ascii="黑体" w:hAnsi="宋体" w:eastAsia="黑体"/>
          <w:sz w:val="24"/>
        </w:rPr>
      </w:pPr>
    </w:p>
    <w:p w14:paraId="01B5AF69">
      <w:pPr>
        <w:spacing w:before="120" w:beforeLines="50" w:after="240" w:afterLines="100" w:line="420" w:lineRule="exact"/>
        <w:rPr>
          <w:rFonts w:hint="eastAsia" w:ascii="黑体" w:hAnsi="宋体" w:eastAsia="黑体"/>
          <w:sz w:val="24"/>
        </w:rPr>
      </w:pPr>
    </w:p>
    <w:p w14:paraId="4BCA2FEE">
      <w:pPr>
        <w:spacing w:before="120" w:beforeLines="50" w:after="240" w:afterLines="100" w:line="420" w:lineRule="exact"/>
        <w:rPr>
          <w:rFonts w:hint="eastAsia" w:ascii="黑体" w:hAnsi="宋体" w:eastAsia="黑体"/>
          <w:sz w:val="24"/>
        </w:rPr>
      </w:pPr>
    </w:p>
    <w:p w14:paraId="7F26C1F4">
      <w:pPr>
        <w:pStyle w:val="20"/>
        <w:rPr>
          <w:rFonts w:hint="eastAsia"/>
          <w:szCs w:val="24"/>
        </w:rPr>
      </w:pPr>
      <w:bookmarkStart w:id="2682" w:name="_Toc108514264"/>
      <w:r>
        <w:rPr>
          <w:rFonts w:hint="eastAsia"/>
          <w:szCs w:val="24"/>
        </w:rPr>
        <w:t>附表一：拟投入本工程的主要施工设备表</w:t>
      </w:r>
      <w:bookmarkEnd w:id="2682"/>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6784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274C4DAE">
            <w:pPr>
              <w:jc w:val="center"/>
              <w:rPr>
                <w:rFonts w:hint="eastAsia" w:ascii="宋体" w:hAnsi="宋体"/>
                <w:szCs w:val="21"/>
              </w:rPr>
            </w:pPr>
            <w:r>
              <w:rPr>
                <w:rFonts w:hint="eastAsia" w:ascii="宋体" w:hAnsi="宋体"/>
                <w:szCs w:val="21"/>
              </w:rPr>
              <w:t>序号</w:t>
            </w:r>
          </w:p>
        </w:tc>
        <w:tc>
          <w:tcPr>
            <w:tcW w:w="1064" w:type="dxa"/>
            <w:noWrap w:val="0"/>
            <w:vAlign w:val="center"/>
          </w:tcPr>
          <w:p w14:paraId="6BDA46F1">
            <w:pPr>
              <w:jc w:val="center"/>
              <w:rPr>
                <w:rFonts w:hint="eastAsia" w:ascii="宋体" w:hAnsi="宋体"/>
                <w:szCs w:val="21"/>
              </w:rPr>
            </w:pPr>
            <w:r>
              <w:rPr>
                <w:rFonts w:hint="eastAsia" w:ascii="宋体" w:hAnsi="宋体"/>
                <w:szCs w:val="21"/>
              </w:rPr>
              <w:t>设备名称</w:t>
            </w:r>
          </w:p>
        </w:tc>
        <w:tc>
          <w:tcPr>
            <w:tcW w:w="672" w:type="dxa"/>
            <w:noWrap w:val="0"/>
            <w:vAlign w:val="center"/>
          </w:tcPr>
          <w:p w14:paraId="5CBEDC06">
            <w:pPr>
              <w:jc w:val="center"/>
              <w:rPr>
                <w:rFonts w:hint="eastAsia" w:ascii="宋体" w:hAnsi="宋体"/>
                <w:szCs w:val="21"/>
              </w:rPr>
            </w:pPr>
            <w:r>
              <w:rPr>
                <w:rFonts w:hint="eastAsia" w:ascii="宋体" w:hAnsi="宋体"/>
                <w:szCs w:val="21"/>
              </w:rPr>
              <w:t>型号</w:t>
            </w:r>
          </w:p>
          <w:p w14:paraId="0E2B0A50">
            <w:pPr>
              <w:jc w:val="center"/>
              <w:rPr>
                <w:rFonts w:hint="eastAsia" w:ascii="宋体" w:hAnsi="宋体"/>
                <w:szCs w:val="21"/>
              </w:rPr>
            </w:pPr>
            <w:r>
              <w:rPr>
                <w:rFonts w:hint="eastAsia" w:ascii="宋体" w:hAnsi="宋体"/>
                <w:szCs w:val="21"/>
              </w:rPr>
              <w:t>规格</w:t>
            </w:r>
          </w:p>
        </w:tc>
        <w:tc>
          <w:tcPr>
            <w:tcW w:w="1022" w:type="dxa"/>
            <w:noWrap w:val="0"/>
            <w:vAlign w:val="center"/>
          </w:tcPr>
          <w:p w14:paraId="2940FAFC">
            <w:pPr>
              <w:jc w:val="center"/>
              <w:rPr>
                <w:rFonts w:hint="eastAsia" w:ascii="宋体" w:hAnsi="宋体"/>
                <w:szCs w:val="21"/>
              </w:rPr>
            </w:pPr>
            <w:r>
              <w:rPr>
                <w:rFonts w:hint="eastAsia" w:ascii="宋体" w:hAnsi="宋体"/>
                <w:szCs w:val="21"/>
              </w:rPr>
              <w:t>数  量</w:t>
            </w:r>
          </w:p>
        </w:tc>
        <w:tc>
          <w:tcPr>
            <w:tcW w:w="709" w:type="dxa"/>
            <w:noWrap w:val="0"/>
            <w:vAlign w:val="center"/>
          </w:tcPr>
          <w:p w14:paraId="163419F4">
            <w:pPr>
              <w:jc w:val="center"/>
              <w:rPr>
                <w:rFonts w:hint="eastAsia" w:ascii="宋体" w:hAnsi="宋体"/>
                <w:szCs w:val="21"/>
              </w:rPr>
            </w:pPr>
            <w:r>
              <w:rPr>
                <w:rFonts w:hint="eastAsia" w:ascii="宋体" w:hAnsi="宋体"/>
                <w:szCs w:val="21"/>
              </w:rPr>
              <w:t>国别</w:t>
            </w:r>
          </w:p>
          <w:p w14:paraId="1DECA2DD">
            <w:pPr>
              <w:jc w:val="center"/>
              <w:rPr>
                <w:rFonts w:hint="eastAsia" w:ascii="宋体" w:hAnsi="宋体"/>
                <w:szCs w:val="21"/>
              </w:rPr>
            </w:pPr>
            <w:r>
              <w:rPr>
                <w:rFonts w:hint="eastAsia" w:ascii="宋体" w:hAnsi="宋体"/>
                <w:szCs w:val="21"/>
              </w:rPr>
              <w:t>产地</w:t>
            </w:r>
          </w:p>
        </w:tc>
        <w:tc>
          <w:tcPr>
            <w:tcW w:w="709" w:type="dxa"/>
            <w:noWrap w:val="0"/>
            <w:vAlign w:val="center"/>
          </w:tcPr>
          <w:p w14:paraId="319F94E2">
            <w:pPr>
              <w:jc w:val="center"/>
              <w:rPr>
                <w:rFonts w:hint="eastAsia" w:ascii="宋体" w:hAnsi="宋体"/>
                <w:szCs w:val="21"/>
              </w:rPr>
            </w:pPr>
            <w:r>
              <w:rPr>
                <w:rFonts w:hint="eastAsia" w:ascii="宋体" w:hAnsi="宋体"/>
                <w:szCs w:val="21"/>
              </w:rPr>
              <w:t>制造</w:t>
            </w:r>
          </w:p>
          <w:p w14:paraId="7C90C45F">
            <w:pPr>
              <w:jc w:val="center"/>
              <w:rPr>
                <w:rFonts w:hint="eastAsia" w:ascii="宋体" w:hAnsi="宋体"/>
                <w:szCs w:val="21"/>
              </w:rPr>
            </w:pPr>
            <w:r>
              <w:rPr>
                <w:rFonts w:hint="eastAsia" w:ascii="宋体" w:hAnsi="宋体"/>
                <w:szCs w:val="21"/>
              </w:rPr>
              <w:t>年份</w:t>
            </w:r>
          </w:p>
        </w:tc>
        <w:tc>
          <w:tcPr>
            <w:tcW w:w="1176" w:type="dxa"/>
            <w:noWrap w:val="0"/>
            <w:vAlign w:val="center"/>
          </w:tcPr>
          <w:p w14:paraId="7D64CF5B">
            <w:pPr>
              <w:jc w:val="center"/>
              <w:rPr>
                <w:rFonts w:hint="eastAsia" w:ascii="宋体" w:hAnsi="宋体"/>
                <w:szCs w:val="21"/>
              </w:rPr>
            </w:pPr>
            <w:r>
              <w:rPr>
                <w:rFonts w:hint="eastAsia" w:ascii="宋体" w:hAnsi="宋体"/>
                <w:szCs w:val="21"/>
              </w:rPr>
              <w:t>额定功率</w:t>
            </w:r>
          </w:p>
          <w:p w14:paraId="29CA2784">
            <w:pPr>
              <w:jc w:val="center"/>
              <w:rPr>
                <w:rFonts w:hint="eastAsia" w:ascii="宋体" w:hAnsi="宋体"/>
                <w:szCs w:val="21"/>
              </w:rPr>
            </w:pPr>
            <w:r>
              <w:rPr>
                <w:rFonts w:hint="eastAsia" w:ascii="宋体" w:hAnsi="宋体"/>
                <w:szCs w:val="21"/>
              </w:rPr>
              <w:t>（KW）</w:t>
            </w:r>
          </w:p>
        </w:tc>
        <w:tc>
          <w:tcPr>
            <w:tcW w:w="872" w:type="dxa"/>
            <w:noWrap w:val="0"/>
            <w:vAlign w:val="center"/>
          </w:tcPr>
          <w:p w14:paraId="5B1E6A2E">
            <w:pPr>
              <w:jc w:val="center"/>
              <w:rPr>
                <w:rFonts w:hint="eastAsia" w:ascii="宋体" w:hAnsi="宋体"/>
                <w:szCs w:val="21"/>
              </w:rPr>
            </w:pPr>
            <w:r>
              <w:rPr>
                <w:rFonts w:hint="eastAsia" w:ascii="宋体" w:hAnsi="宋体"/>
                <w:szCs w:val="21"/>
              </w:rPr>
              <w:t>生产</w:t>
            </w:r>
          </w:p>
          <w:p w14:paraId="4759C52C">
            <w:pPr>
              <w:jc w:val="center"/>
              <w:rPr>
                <w:rFonts w:hint="eastAsia" w:ascii="宋体" w:hAnsi="宋体"/>
                <w:szCs w:val="21"/>
              </w:rPr>
            </w:pPr>
            <w:r>
              <w:rPr>
                <w:rFonts w:hint="eastAsia" w:ascii="宋体" w:hAnsi="宋体"/>
                <w:szCs w:val="21"/>
              </w:rPr>
              <w:t>能力</w:t>
            </w:r>
          </w:p>
        </w:tc>
        <w:tc>
          <w:tcPr>
            <w:tcW w:w="872" w:type="dxa"/>
            <w:noWrap w:val="0"/>
            <w:vAlign w:val="center"/>
          </w:tcPr>
          <w:p w14:paraId="04C2ACF7">
            <w:pPr>
              <w:jc w:val="center"/>
              <w:rPr>
                <w:rFonts w:hint="eastAsia" w:ascii="宋体" w:hAnsi="宋体"/>
                <w:szCs w:val="21"/>
              </w:rPr>
            </w:pPr>
            <w:r>
              <w:rPr>
                <w:rFonts w:hint="eastAsia" w:ascii="宋体" w:hAnsi="宋体"/>
                <w:szCs w:val="21"/>
              </w:rPr>
              <w:t>用于施</w:t>
            </w:r>
          </w:p>
          <w:p w14:paraId="5AC6DFDD">
            <w:pPr>
              <w:jc w:val="center"/>
              <w:rPr>
                <w:rFonts w:hint="eastAsia" w:ascii="宋体" w:hAnsi="宋体"/>
                <w:szCs w:val="21"/>
              </w:rPr>
            </w:pPr>
            <w:r>
              <w:rPr>
                <w:rFonts w:hint="eastAsia" w:ascii="宋体" w:hAnsi="宋体"/>
                <w:szCs w:val="21"/>
              </w:rPr>
              <w:t>工部位</w:t>
            </w:r>
          </w:p>
        </w:tc>
        <w:tc>
          <w:tcPr>
            <w:tcW w:w="765" w:type="dxa"/>
            <w:noWrap w:val="0"/>
            <w:vAlign w:val="center"/>
          </w:tcPr>
          <w:p w14:paraId="4074C4D6">
            <w:pPr>
              <w:jc w:val="center"/>
              <w:rPr>
                <w:rFonts w:hint="eastAsia" w:ascii="宋体" w:hAnsi="宋体"/>
                <w:szCs w:val="21"/>
              </w:rPr>
            </w:pPr>
            <w:r>
              <w:rPr>
                <w:rFonts w:hint="eastAsia" w:ascii="宋体" w:hAnsi="宋体"/>
                <w:szCs w:val="21"/>
              </w:rPr>
              <w:t>备注</w:t>
            </w:r>
          </w:p>
        </w:tc>
      </w:tr>
      <w:tr w14:paraId="39EB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D06FEFF">
            <w:pPr>
              <w:jc w:val="center"/>
              <w:rPr>
                <w:rFonts w:hint="eastAsia" w:ascii="宋体" w:hAnsi="宋体"/>
                <w:szCs w:val="21"/>
              </w:rPr>
            </w:pPr>
          </w:p>
        </w:tc>
        <w:tc>
          <w:tcPr>
            <w:tcW w:w="1064" w:type="dxa"/>
            <w:noWrap w:val="0"/>
            <w:vAlign w:val="center"/>
          </w:tcPr>
          <w:p w14:paraId="24788DFB">
            <w:pPr>
              <w:jc w:val="center"/>
              <w:rPr>
                <w:rFonts w:hint="eastAsia" w:ascii="宋体" w:hAnsi="宋体"/>
                <w:szCs w:val="21"/>
              </w:rPr>
            </w:pPr>
          </w:p>
        </w:tc>
        <w:tc>
          <w:tcPr>
            <w:tcW w:w="672" w:type="dxa"/>
            <w:noWrap w:val="0"/>
            <w:vAlign w:val="center"/>
          </w:tcPr>
          <w:p w14:paraId="18225B9C">
            <w:pPr>
              <w:jc w:val="center"/>
              <w:rPr>
                <w:rFonts w:hint="eastAsia" w:ascii="宋体" w:hAnsi="宋体"/>
                <w:szCs w:val="21"/>
              </w:rPr>
            </w:pPr>
          </w:p>
        </w:tc>
        <w:tc>
          <w:tcPr>
            <w:tcW w:w="1022" w:type="dxa"/>
            <w:noWrap w:val="0"/>
            <w:vAlign w:val="center"/>
          </w:tcPr>
          <w:p w14:paraId="0EB17BE5">
            <w:pPr>
              <w:jc w:val="center"/>
              <w:rPr>
                <w:rFonts w:hint="eastAsia" w:ascii="宋体" w:hAnsi="宋体"/>
                <w:szCs w:val="21"/>
              </w:rPr>
            </w:pPr>
          </w:p>
        </w:tc>
        <w:tc>
          <w:tcPr>
            <w:tcW w:w="709" w:type="dxa"/>
            <w:noWrap w:val="0"/>
            <w:vAlign w:val="center"/>
          </w:tcPr>
          <w:p w14:paraId="324774CC">
            <w:pPr>
              <w:jc w:val="center"/>
              <w:rPr>
                <w:rFonts w:hint="eastAsia" w:ascii="宋体" w:hAnsi="宋体"/>
                <w:szCs w:val="21"/>
              </w:rPr>
            </w:pPr>
          </w:p>
        </w:tc>
        <w:tc>
          <w:tcPr>
            <w:tcW w:w="709" w:type="dxa"/>
            <w:noWrap w:val="0"/>
            <w:vAlign w:val="center"/>
          </w:tcPr>
          <w:p w14:paraId="63C6D39B">
            <w:pPr>
              <w:jc w:val="center"/>
              <w:rPr>
                <w:rFonts w:hint="eastAsia" w:ascii="宋体" w:hAnsi="宋体"/>
                <w:szCs w:val="21"/>
              </w:rPr>
            </w:pPr>
          </w:p>
        </w:tc>
        <w:tc>
          <w:tcPr>
            <w:tcW w:w="1176" w:type="dxa"/>
            <w:noWrap w:val="0"/>
            <w:vAlign w:val="center"/>
          </w:tcPr>
          <w:p w14:paraId="497AA7C5">
            <w:pPr>
              <w:jc w:val="center"/>
              <w:rPr>
                <w:rFonts w:hint="eastAsia" w:ascii="宋体" w:hAnsi="宋体"/>
                <w:szCs w:val="21"/>
              </w:rPr>
            </w:pPr>
          </w:p>
        </w:tc>
        <w:tc>
          <w:tcPr>
            <w:tcW w:w="872" w:type="dxa"/>
            <w:noWrap w:val="0"/>
            <w:vAlign w:val="center"/>
          </w:tcPr>
          <w:p w14:paraId="41A7E28F">
            <w:pPr>
              <w:jc w:val="center"/>
              <w:rPr>
                <w:rFonts w:hint="eastAsia" w:ascii="宋体" w:hAnsi="宋体"/>
                <w:szCs w:val="21"/>
              </w:rPr>
            </w:pPr>
          </w:p>
        </w:tc>
        <w:tc>
          <w:tcPr>
            <w:tcW w:w="872" w:type="dxa"/>
            <w:noWrap w:val="0"/>
            <w:vAlign w:val="center"/>
          </w:tcPr>
          <w:p w14:paraId="6560254D">
            <w:pPr>
              <w:jc w:val="center"/>
              <w:rPr>
                <w:rFonts w:hint="eastAsia" w:ascii="宋体" w:hAnsi="宋体"/>
                <w:szCs w:val="21"/>
              </w:rPr>
            </w:pPr>
          </w:p>
        </w:tc>
        <w:tc>
          <w:tcPr>
            <w:tcW w:w="765" w:type="dxa"/>
            <w:noWrap w:val="0"/>
            <w:vAlign w:val="center"/>
          </w:tcPr>
          <w:p w14:paraId="0B3410E5">
            <w:pPr>
              <w:jc w:val="center"/>
              <w:rPr>
                <w:rFonts w:hint="eastAsia" w:ascii="宋体" w:hAnsi="宋体"/>
                <w:szCs w:val="21"/>
              </w:rPr>
            </w:pPr>
          </w:p>
        </w:tc>
      </w:tr>
      <w:tr w14:paraId="58DC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E6F0805">
            <w:pPr>
              <w:jc w:val="center"/>
              <w:rPr>
                <w:rFonts w:hint="eastAsia" w:ascii="宋体" w:hAnsi="宋体"/>
                <w:szCs w:val="21"/>
              </w:rPr>
            </w:pPr>
          </w:p>
        </w:tc>
        <w:tc>
          <w:tcPr>
            <w:tcW w:w="1064" w:type="dxa"/>
            <w:noWrap w:val="0"/>
            <w:vAlign w:val="center"/>
          </w:tcPr>
          <w:p w14:paraId="26AE0B84">
            <w:pPr>
              <w:jc w:val="center"/>
              <w:rPr>
                <w:rFonts w:hint="eastAsia" w:ascii="宋体" w:hAnsi="宋体"/>
                <w:szCs w:val="21"/>
              </w:rPr>
            </w:pPr>
          </w:p>
        </w:tc>
        <w:tc>
          <w:tcPr>
            <w:tcW w:w="672" w:type="dxa"/>
            <w:noWrap w:val="0"/>
            <w:vAlign w:val="center"/>
          </w:tcPr>
          <w:p w14:paraId="5904E95D">
            <w:pPr>
              <w:jc w:val="center"/>
              <w:rPr>
                <w:rFonts w:hint="eastAsia" w:ascii="宋体" w:hAnsi="宋体"/>
                <w:szCs w:val="21"/>
              </w:rPr>
            </w:pPr>
          </w:p>
        </w:tc>
        <w:tc>
          <w:tcPr>
            <w:tcW w:w="1022" w:type="dxa"/>
            <w:noWrap w:val="0"/>
            <w:vAlign w:val="center"/>
          </w:tcPr>
          <w:p w14:paraId="71FE86B7">
            <w:pPr>
              <w:jc w:val="center"/>
              <w:rPr>
                <w:rFonts w:hint="eastAsia" w:ascii="宋体" w:hAnsi="宋体"/>
                <w:szCs w:val="21"/>
              </w:rPr>
            </w:pPr>
          </w:p>
        </w:tc>
        <w:tc>
          <w:tcPr>
            <w:tcW w:w="709" w:type="dxa"/>
            <w:noWrap w:val="0"/>
            <w:vAlign w:val="center"/>
          </w:tcPr>
          <w:p w14:paraId="689520A4">
            <w:pPr>
              <w:jc w:val="center"/>
              <w:rPr>
                <w:rFonts w:hint="eastAsia" w:ascii="宋体" w:hAnsi="宋体"/>
                <w:szCs w:val="21"/>
              </w:rPr>
            </w:pPr>
          </w:p>
        </w:tc>
        <w:tc>
          <w:tcPr>
            <w:tcW w:w="709" w:type="dxa"/>
            <w:noWrap w:val="0"/>
            <w:vAlign w:val="center"/>
          </w:tcPr>
          <w:p w14:paraId="6DC08E0D">
            <w:pPr>
              <w:jc w:val="center"/>
              <w:rPr>
                <w:rFonts w:hint="eastAsia" w:ascii="宋体" w:hAnsi="宋体"/>
                <w:szCs w:val="21"/>
              </w:rPr>
            </w:pPr>
          </w:p>
        </w:tc>
        <w:tc>
          <w:tcPr>
            <w:tcW w:w="1176" w:type="dxa"/>
            <w:noWrap w:val="0"/>
            <w:vAlign w:val="center"/>
          </w:tcPr>
          <w:p w14:paraId="6FDD4972">
            <w:pPr>
              <w:jc w:val="center"/>
              <w:rPr>
                <w:rFonts w:hint="eastAsia" w:ascii="宋体" w:hAnsi="宋体"/>
                <w:szCs w:val="21"/>
              </w:rPr>
            </w:pPr>
          </w:p>
        </w:tc>
        <w:tc>
          <w:tcPr>
            <w:tcW w:w="872" w:type="dxa"/>
            <w:noWrap w:val="0"/>
            <w:vAlign w:val="center"/>
          </w:tcPr>
          <w:p w14:paraId="19E13EF0">
            <w:pPr>
              <w:jc w:val="center"/>
              <w:rPr>
                <w:rFonts w:hint="eastAsia" w:ascii="宋体" w:hAnsi="宋体"/>
                <w:szCs w:val="21"/>
              </w:rPr>
            </w:pPr>
          </w:p>
        </w:tc>
        <w:tc>
          <w:tcPr>
            <w:tcW w:w="872" w:type="dxa"/>
            <w:noWrap w:val="0"/>
            <w:vAlign w:val="center"/>
          </w:tcPr>
          <w:p w14:paraId="02193583">
            <w:pPr>
              <w:jc w:val="center"/>
              <w:rPr>
                <w:rFonts w:hint="eastAsia" w:ascii="宋体" w:hAnsi="宋体"/>
                <w:szCs w:val="21"/>
              </w:rPr>
            </w:pPr>
          </w:p>
        </w:tc>
        <w:tc>
          <w:tcPr>
            <w:tcW w:w="765" w:type="dxa"/>
            <w:noWrap w:val="0"/>
            <w:vAlign w:val="center"/>
          </w:tcPr>
          <w:p w14:paraId="3AE34DFB">
            <w:pPr>
              <w:jc w:val="center"/>
              <w:rPr>
                <w:rFonts w:hint="eastAsia" w:ascii="宋体" w:hAnsi="宋体"/>
                <w:szCs w:val="21"/>
              </w:rPr>
            </w:pPr>
          </w:p>
        </w:tc>
      </w:tr>
      <w:tr w14:paraId="62675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F07511D">
            <w:pPr>
              <w:jc w:val="center"/>
              <w:rPr>
                <w:rFonts w:hint="eastAsia" w:ascii="宋体" w:hAnsi="宋体"/>
                <w:szCs w:val="21"/>
              </w:rPr>
            </w:pPr>
          </w:p>
        </w:tc>
        <w:tc>
          <w:tcPr>
            <w:tcW w:w="1064" w:type="dxa"/>
            <w:noWrap w:val="0"/>
            <w:vAlign w:val="center"/>
          </w:tcPr>
          <w:p w14:paraId="73BC59E9">
            <w:pPr>
              <w:jc w:val="center"/>
              <w:rPr>
                <w:rFonts w:hint="eastAsia" w:ascii="宋体" w:hAnsi="宋体"/>
                <w:szCs w:val="21"/>
              </w:rPr>
            </w:pPr>
          </w:p>
        </w:tc>
        <w:tc>
          <w:tcPr>
            <w:tcW w:w="672" w:type="dxa"/>
            <w:noWrap w:val="0"/>
            <w:vAlign w:val="center"/>
          </w:tcPr>
          <w:p w14:paraId="18C41E8D">
            <w:pPr>
              <w:jc w:val="center"/>
              <w:rPr>
                <w:rFonts w:hint="eastAsia" w:ascii="宋体" w:hAnsi="宋体"/>
                <w:szCs w:val="21"/>
              </w:rPr>
            </w:pPr>
          </w:p>
        </w:tc>
        <w:tc>
          <w:tcPr>
            <w:tcW w:w="1022" w:type="dxa"/>
            <w:noWrap w:val="0"/>
            <w:vAlign w:val="center"/>
          </w:tcPr>
          <w:p w14:paraId="1C03E8A8">
            <w:pPr>
              <w:jc w:val="center"/>
              <w:rPr>
                <w:rFonts w:hint="eastAsia" w:ascii="宋体" w:hAnsi="宋体"/>
                <w:szCs w:val="21"/>
              </w:rPr>
            </w:pPr>
          </w:p>
        </w:tc>
        <w:tc>
          <w:tcPr>
            <w:tcW w:w="709" w:type="dxa"/>
            <w:noWrap w:val="0"/>
            <w:vAlign w:val="center"/>
          </w:tcPr>
          <w:p w14:paraId="52D7E709">
            <w:pPr>
              <w:jc w:val="center"/>
              <w:rPr>
                <w:rFonts w:hint="eastAsia" w:ascii="宋体" w:hAnsi="宋体"/>
                <w:szCs w:val="21"/>
              </w:rPr>
            </w:pPr>
          </w:p>
        </w:tc>
        <w:tc>
          <w:tcPr>
            <w:tcW w:w="709" w:type="dxa"/>
            <w:noWrap w:val="0"/>
            <w:vAlign w:val="center"/>
          </w:tcPr>
          <w:p w14:paraId="53301AFA">
            <w:pPr>
              <w:jc w:val="center"/>
              <w:rPr>
                <w:rFonts w:hint="eastAsia" w:ascii="宋体" w:hAnsi="宋体"/>
                <w:szCs w:val="21"/>
              </w:rPr>
            </w:pPr>
          </w:p>
        </w:tc>
        <w:tc>
          <w:tcPr>
            <w:tcW w:w="1176" w:type="dxa"/>
            <w:noWrap w:val="0"/>
            <w:vAlign w:val="center"/>
          </w:tcPr>
          <w:p w14:paraId="4600D00F">
            <w:pPr>
              <w:jc w:val="center"/>
              <w:rPr>
                <w:rFonts w:hint="eastAsia" w:ascii="宋体" w:hAnsi="宋体"/>
                <w:szCs w:val="21"/>
              </w:rPr>
            </w:pPr>
          </w:p>
        </w:tc>
        <w:tc>
          <w:tcPr>
            <w:tcW w:w="872" w:type="dxa"/>
            <w:noWrap w:val="0"/>
            <w:vAlign w:val="center"/>
          </w:tcPr>
          <w:p w14:paraId="1E72171B">
            <w:pPr>
              <w:jc w:val="center"/>
              <w:rPr>
                <w:rFonts w:hint="eastAsia" w:ascii="宋体" w:hAnsi="宋体"/>
                <w:szCs w:val="21"/>
              </w:rPr>
            </w:pPr>
          </w:p>
        </w:tc>
        <w:tc>
          <w:tcPr>
            <w:tcW w:w="872" w:type="dxa"/>
            <w:noWrap w:val="0"/>
            <w:vAlign w:val="center"/>
          </w:tcPr>
          <w:p w14:paraId="103EB22B">
            <w:pPr>
              <w:jc w:val="center"/>
              <w:rPr>
                <w:rFonts w:hint="eastAsia" w:ascii="宋体" w:hAnsi="宋体"/>
                <w:szCs w:val="21"/>
              </w:rPr>
            </w:pPr>
          </w:p>
        </w:tc>
        <w:tc>
          <w:tcPr>
            <w:tcW w:w="765" w:type="dxa"/>
            <w:noWrap w:val="0"/>
            <w:vAlign w:val="center"/>
          </w:tcPr>
          <w:p w14:paraId="3E0A8406">
            <w:pPr>
              <w:jc w:val="center"/>
              <w:rPr>
                <w:rFonts w:hint="eastAsia" w:ascii="宋体" w:hAnsi="宋体"/>
                <w:szCs w:val="21"/>
              </w:rPr>
            </w:pPr>
          </w:p>
        </w:tc>
      </w:tr>
      <w:tr w14:paraId="7195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EA0C779">
            <w:pPr>
              <w:jc w:val="center"/>
              <w:rPr>
                <w:rFonts w:hint="eastAsia" w:ascii="宋体" w:hAnsi="宋体"/>
                <w:szCs w:val="21"/>
              </w:rPr>
            </w:pPr>
          </w:p>
        </w:tc>
        <w:tc>
          <w:tcPr>
            <w:tcW w:w="1064" w:type="dxa"/>
            <w:noWrap w:val="0"/>
            <w:vAlign w:val="center"/>
          </w:tcPr>
          <w:p w14:paraId="1F2CD717">
            <w:pPr>
              <w:jc w:val="center"/>
              <w:rPr>
                <w:rFonts w:hint="eastAsia" w:ascii="宋体" w:hAnsi="宋体"/>
                <w:szCs w:val="21"/>
              </w:rPr>
            </w:pPr>
          </w:p>
        </w:tc>
        <w:tc>
          <w:tcPr>
            <w:tcW w:w="672" w:type="dxa"/>
            <w:noWrap w:val="0"/>
            <w:vAlign w:val="center"/>
          </w:tcPr>
          <w:p w14:paraId="3459D7A1">
            <w:pPr>
              <w:jc w:val="center"/>
              <w:rPr>
                <w:rFonts w:hint="eastAsia" w:ascii="宋体" w:hAnsi="宋体"/>
                <w:szCs w:val="21"/>
              </w:rPr>
            </w:pPr>
          </w:p>
        </w:tc>
        <w:tc>
          <w:tcPr>
            <w:tcW w:w="1022" w:type="dxa"/>
            <w:noWrap w:val="0"/>
            <w:vAlign w:val="center"/>
          </w:tcPr>
          <w:p w14:paraId="7CE0E4A8">
            <w:pPr>
              <w:jc w:val="center"/>
              <w:rPr>
                <w:rFonts w:hint="eastAsia" w:ascii="宋体" w:hAnsi="宋体"/>
                <w:szCs w:val="21"/>
              </w:rPr>
            </w:pPr>
          </w:p>
        </w:tc>
        <w:tc>
          <w:tcPr>
            <w:tcW w:w="709" w:type="dxa"/>
            <w:noWrap w:val="0"/>
            <w:vAlign w:val="center"/>
          </w:tcPr>
          <w:p w14:paraId="4B50272B">
            <w:pPr>
              <w:jc w:val="center"/>
              <w:rPr>
                <w:rFonts w:hint="eastAsia" w:ascii="宋体" w:hAnsi="宋体"/>
                <w:szCs w:val="21"/>
              </w:rPr>
            </w:pPr>
          </w:p>
        </w:tc>
        <w:tc>
          <w:tcPr>
            <w:tcW w:w="709" w:type="dxa"/>
            <w:noWrap w:val="0"/>
            <w:vAlign w:val="center"/>
          </w:tcPr>
          <w:p w14:paraId="0EF3157E">
            <w:pPr>
              <w:jc w:val="center"/>
              <w:rPr>
                <w:rFonts w:hint="eastAsia" w:ascii="宋体" w:hAnsi="宋体"/>
                <w:szCs w:val="21"/>
              </w:rPr>
            </w:pPr>
          </w:p>
        </w:tc>
        <w:tc>
          <w:tcPr>
            <w:tcW w:w="1176" w:type="dxa"/>
            <w:noWrap w:val="0"/>
            <w:vAlign w:val="center"/>
          </w:tcPr>
          <w:p w14:paraId="436633EE">
            <w:pPr>
              <w:jc w:val="center"/>
              <w:rPr>
                <w:rFonts w:hint="eastAsia" w:ascii="宋体" w:hAnsi="宋体"/>
                <w:szCs w:val="21"/>
              </w:rPr>
            </w:pPr>
          </w:p>
        </w:tc>
        <w:tc>
          <w:tcPr>
            <w:tcW w:w="872" w:type="dxa"/>
            <w:noWrap w:val="0"/>
            <w:vAlign w:val="center"/>
          </w:tcPr>
          <w:p w14:paraId="51220667">
            <w:pPr>
              <w:jc w:val="center"/>
              <w:rPr>
                <w:rFonts w:hint="eastAsia" w:ascii="宋体" w:hAnsi="宋体"/>
                <w:szCs w:val="21"/>
              </w:rPr>
            </w:pPr>
          </w:p>
        </w:tc>
        <w:tc>
          <w:tcPr>
            <w:tcW w:w="872" w:type="dxa"/>
            <w:noWrap w:val="0"/>
            <w:vAlign w:val="center"/>
          </w:tcPr>
          <w:p w14:paraId="069D768C">
            <w:pPr>
              <w:jc w:val="center"/>
              <w:rPr>
                <w:rFonts w:hint="eastAsia" w:ascii="宋体" w:hAnsi="宋体"/>
                <w:szCs w:val="21"/>
              </w:rPr>
            </w:pPr>
          </w:p>
        </w:tc>
        <w:tc>
          <w:tcPr>
            <w:tcW w:w="765" w:type="dxa"/>
            <w:noWrap w:val="0"/>
            <w:vAlign w:val="center"/>
          </w:tcPr>
          <w:p w14:paraId="2D5D8987">
            <w:pPr>
              <w:jc w:val="center"/>
              <w:rPr>
                <w:rFonts w:hint="eastAsia" w:ascii="宋体" w:hAnsi="宋体"/>
                <w:szCs w:val="21"/>
              </w:rPr>
            </w:pPr>
          </w:p>
        </w:tc>
      </w:tr>
      <w:tr w14:paraId="3052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3DF0643">
            <w:pPr>
              <w:jc w:val="center"/>
              <w:rPr>
                <w:rFonts w:hint="eastAsia" w:ascii="宋体" w:hAnsi="宋体"/>
                <w:szCs w:val="21"/>
              </w:rPr>
            </w:pPr>
          </w:p>
        </w:tc>
        <w:tc>
          <w:tcPr>
            <w:tcW w:w="1064" w:type="dxa"/>
            <w:noWrap w:val="0"/>
            <w:vAlign w:val="center"/>
          </w:tcPr>
          <w:p w14:paraId="46933D24">
            <w:pPr>
              <w:jc w:val="center"/>
              <w:rPr>
                <w:rFonts w:hint="eastAsia" w:ascii="宋体" w:hAnsi="宋体"/>
                <w:szCs w:val="21"/>
              </w:rPr>
            </w:pPr>
          </w:p>
        </w:tc>
        <w:tc>
          <w:tcPr>
            <w:tcW w:w="672" w:type="dxa"/>
            <w:noWrap w:val="0"/>
            <w:vAlign w:val="center"/>
          </w:tcPr>
          <w:p w14:paraId="3912029F">
            <w:pPr>
              <w:jc w:val="center"/>
              <w:rPr>
                <w:rFonts w:hint="eastAsia" w:ascii="宋体" w:hAnsi="宋体"/>
                <w:szCs w:val="21"/>
              </w:rPr>
            </w:pPr>
          </w:p>
        </w:tc>
        <w:tc>
          <w:tcPr>
            <w:tcW w:w="1022" w:type="dxa"/>
            <w:noWrap w:val="0"/>
            <w:vAlign w:val="center"/>
          </w:tcPr>
          <w:p w14:paraId="232BF106">
            <w:pPr>
              <w:jc w:val="center"/>
              <w:rPr>
                <w:rFonts w:hint="eastAsia" w:ascii="宋体" w:hAnsi="宋体"/>
                <w:szCs w:val="21"/>
              </w:rPr>
            </w:pPr>
          </w:p>
        </w:tc>
        <w:tc>
          <w:tcPr>
            <w:tcW w:w="709" w:type="dxa"/>
            <w:noWrap w:val="0"/>
            <w:vAlign w:val="center"/>
          </w:tcPr>
          <w:p w14:paraId="360938A8">
            <w:pPr>
              <w:jc w:val="center"/>
              <w:rPr>
                <w:rFonts w:hint="eastAsia" w:ascii="宋体" w:hAnsi="宋体"/>
                <w:szCs w:val="21"/>
              </w:rPr>
            </w:pPr>
          </w:p>
        </w:tc>
        <w:tc>
          <w:tcPr>
            <w:tcW w:w="709" w:type="dxa"/>
            <w:noWrap w:val="0"/>
            <w:vAlign w:val="center"/>
          </w:tcPr>
          <w:p w14:paraId="067D3D00">
            <w:pPr>
              <w:jc w:val="center"/>
              <w:rPr>
                <w:rFonts w:hint="eastAsia" w:ascii="宋体" w:hAnsi="宋体"/>
                <w:szCs w:val="21"/>
              </w:rPr>
            </w:pPr>
          </w:p>
        </w:tc>
        <w:tc>
          <w:tcPr>
            <w:tcW w:w="1176" w:type="dxa"/>
            <w:noWrap w:val="0"/>
            <w:vAlign w:val="center"/>
          </w:tcPr>
          <w:p w14:paraId="620FB48F">
            <w:pPr>
              <w:jc w:val="center"/>
              <w:rPr>
                <w:rFonts w:hint="eastAsia" w:ascii="宋体" w:hAnsi="宋体"/>
                <w:szCs w:val="21"/>
              </w:rPr>
            </w:pPr>
          </w:p>
        </w:tc>
        <w:tc>
          <w:tcPr>
            <w:tcW w:w="872" w:type="dxa"/>
            <w:noWrap w:val="0"/>
            <w:vAlign w:val="center"/>
          </w:tcPr>
          <w:p w14:paraId="1B68773B">
            <w:pPr>
              <w:jc w:val="center"/>
              <w:rPr>
                <w:rFonts w:hint="eastAsia" w:ascii="宋体" w:hAnsi="宋体"/>
                <w:szCs w:val="21"/>
              </w:rPr>
            </w:pPr>
          </w:p>
        </w:tc>
        <w:tc>
          <w:tcPr>
            <w:tcW w:w="872" w:type="dxa"/>
            <w:noWrap w:val="0"/>
            <w:vAlign w:val="center"/>
          </w:tcPr>
          <w:p w14:paraId="0773FA97">
            <w:pPr>
              <w:jc w:val="center"/>
              <w:rPr>
                <w:rFonts w:hint="eastAsia" w:ascii="宋体" w:hAnsi="宋体"/>
                <w:szCs w:val="21"/>
              </w:rPr>
            </w:pPr>
          </w:p>
        </w:tc>
        <w:tc>
          <w:tcPr>
            <w:tcW w:w="765" w:type="dxa"/>
            <w:noWrap w:val="0"/>
            <w:vAlign w:val="center"/>
          </w:tcPr>
          <w:p w14:paraId="486C2265">
            <w:pPr>
              <w:jc w:val="center"/>
              <w:rPr>
                <w:rFonts w:hint="eastAsia" w:ascii="宋体" w:hAnsi="宋体"/>
                <w:szCs w:val="21"/>
              </w:rPr>
            </w:pPr>
          </w:p>
        </w:tc>
      </w:tr>
      <w:tr w14:paraId="16524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94DA634">
            <w:pPr>
              <w:jc w:val="center"/>
              <w:rPr>
                <w:rFonts w:hint="eastAsia" w:ascii="宋体" w:hAnsi="宋体"/>
                <w:szCs w:val="21"/>
              </w:rPr>
            </w:pPr>
          </w:p>
        </w:tc>
        <w:tc>
          <w:tcPr>
            <w:tcW w:w="1064" w:type="dxa"/>
            <w:noWrap w:val="0"/>
            <w:vAlign w:val="center"/>
          </w:tcPr>
          <w:p w14:paraId="6AD76C3A">
            <w:pPr>
              <w:jc w:val="center"/>
              <w:rPr>
                <w:rFonts w:hint="eastAsia" w:ascii="宋体" w:hAnsi="宋体"/>
                <w:szCs w:val="21"/>
              </w:rPr>
            </w:pPr>
          </w:p>
        </w:tc>
        <w:tc>
          <w:tcPr>
            <w:tcW w:w="672" w:type="dxa"/>
            <w:noWrap w:val="0"/>
            <w:vAlign w:val="center"/>
          </w:tcPr>
          <w:p w14:paraId="27FA2D38">
            <w:pPr>
              <w:jc w:val="center"/>
              <w:rPr>
                <w:rFonts w:hint="eastAsia" w:ascii="宋体" w:hAnsi="宋体"/>
                <w:szCs w:val="21"/>
              </w:rPr>
            </w:pPr>
          </w:p>
        </w:tc>
        <w:tc>
          <w:tcPr>
            <w:tcW w:w="1022" w:type="dxa"/>
            <w:noWrap w:val="0"/>
            <w:vAlign w:val="center"/>
          </w:tcPr>
          <w:p w14:paraId="41FF823C">
            <w:pPr>
              <w:jc w:val="center"/>
              <w:rPr>
                <w:rFonts w:hint="eastAsia" w:ascii="宋体" w:hAnsi="宋体"/>
                <w:szCs w:val="21"/>
              </w:rPr>
            </w:pPr>
          </w:p>
        </w:tc>
        <w:tc>
          <w:tcPr>
            <w:tcW w:w="709" w:type="dxa"/>
            <w:noWrap w:val="0"/>
            <w:vAlign w:val="center"/>
          </w:tcPr>
          <w:p w14:paraId="0F341C8F">
            <w:pPr>
              <w:jc w:val="center"/>
              <w:rPr>
                <w:rFonts w:hint="eastAsia" w:ascii="宋体" w:hAnsi="宋体"/>
                <w:szCs w:val="21"/>
              </w:rPr>
            </w:pPr>
          </w:p>
        </w:tc>
        <w:tc>
          <w:tcPr>
            <w:tcW w:w="709" w:type="dxa"/>
            <w:noWrap w:val="0"/>
            <w:vAlign w:val="center"/>
          </w:tcPr>
          <w:p w14:paraId="343301C0">
            <w:pPr>
              <w:jc w:val="center"/>
              <w:rPr>
                <w:rFonts w:hint="eastAsia" w:ascii="宋体" w:hAnsi="宋体"/>
                <w:szCs w:val="21"/>
              </w:rPr>
            </w:pPr>
          </w:p>
        </w:tc>
        <w:tc>
          <w:tcPr>
            <w:tcW w:w="1176" w:type="dxa"/>
            <w:noWrap w:val="0"/>
            <w:vAlign w:val="center"/>
          </w:tcPr>
          <w:p w14:paraId="1D71D0A2">
            <w:pPr>
              <w:jc w:val="center"/>
              <w:rPr>
                <w:rFonts w:hint="eastAsia" w:ascii="宋体" w:hAnsi="宋体"/>
                <w:szCs w:val="21"/>
              </w:rPr>
            </w:pPr>
          </w:p>
        </w:tc>
        <w:tc>
          <w:tcPr>
            <w:tcW w:w="872" w:type="dxa"/>
            <w:noWrap w:val="0"/>
            <w:vAlign w:val="center"/>
          </w:tcPr>
          <w:p w14:paraId="0DAC9DE1">
            <w:pPr>
              <w:jc w:val="center"/>
              <w:rPr>
                <w:rFonts w:hint="eastAsia" w:ascii="宋体" w:hAnsi="宋体"/>
                <w:szCs w:val="21"/>
              </w:rPr>
            </w:pPr>
          </w:p>
        </w:tc>
        <w:tc>
          <w:tcPr>
            <w:tcW w:w="872" w:type="dxa"/>
            <w:noWrap w:val="0"/>
            <w:vAlign w:val="center"/>
          </w:tcPr>
          <w:p w14:paraId="3E0E7FD2">
            <w:pPr>
              <w:jc w:val="center"/>
              <w:rPr>
                <w:rFonts w:hint="eastAsia" w:ascii="宋体" w:hAnsi="宋体"/>
                <w:szCs w:val="21"/>
              </w:rPr>
            </w:pPr>
          </w:p>
        </w:tc>
        <w:tc>
          <w:tcPr>
            <w:tcW w:w="765" w:type="dxa"/>
            <w:noWrap w:val="0"/>
            <w:vAlign w:val="center"/>
          </w:tcPr>
          <w:p w14:paraId="01148C38">
            <w:pPr>
              <w:jc w:val="center"/>
              <w:rPr>
                <w:rFonts w:hint="eastAsia" w:ascii="宋体" w:hAnsi="宋体"/>
                <w:szCs w:val="21"/>
              </w:rPr>
            </w:pPr>
          </w:p>
        </w:tc>
      </w:tr>
      <w:tr w14:paraId="1919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602A32A">
            <w:pPr>
              <w:jc w:val="center"/>
              <w:rPr>
                <w:rFonts w:hint="eastAsia" w:ascii="宋体" w:hAnsi="宋体"/>
                <w:szCs w:val="21"/>
              </w:rPr>
            </w:pPr>
          </w:p>
        </w:tc>
        <w:tc>
          <w:tcPr>
            <w:tcW w:w="1064" w:type="dxa"/>
            <w:noWrap w:val="0"/>
            <w:vAlign w:val="center"/>
          </w:tcPr>
          <w:p w14:paraId="321E57A3">
            <w:pPr>
              <w:jc w:val="center"/>
              <w:rPr>
                <w:rFonts w:hint="eastAsia" w:ascii="宋体" w:hAnsi="宋体"/>
                <w:szCs w:val="21"/>
              </w:rPr>
            </w:pPr>
          </w:p>
        </w:tc>
        <w:tc>
          <w:tcPr>
            <w:tcW w:w="672" w:type="dxa"/>
            <w:noWrap w:val="0"/>
            <w:vAlign w:val="center"/>
          </w:tcPr>
          <w:p w14:paraId="050B1B3C">
            <w:pPr>
              <w:jc w:val="center"/>
              <w:rPr>
                <w:rFonts w:hint="eastAsia" w:ascii="宋体" w:hAnsi="宋体"/>
                <w:szCs w:val="21"/>
              </w:rPr>
            </w:pPr>
          </w:p>
        </w:tc>
        <w:tc>
          <w:tcPr>
            <w:tcW w:w="1022" w:type="dxa"/>
            <w:noWrap w:val="0"/>
            <w:vAlign w:val="center"/>
          </w:tcPr>
          <w:p w14:paraId="7B7E8664">
            <w:pPr>
              <w:jc w:val="center"/>
              <w:rPr>
                <w:rFonts w:hint="eastAsia" w:ascii="宋体" w:hAnsi="宋体"/>
                <w:szCs w:val="21"/>
              </w:rPr>
            </w:pPr>
          </w:p>
        </w:tc>
        <w:tc>
          <w:tcPr>
            <w:tcW w:w="709" w:type="dxa"/>
            <w:noWrap w:val="0"/>
            <w:vAlign w:val="center"/>
          </w:tcPr>
          <w:p w14:paraId="1571E468">
            <w:pPr>
              <w:jc w:val="center"/>
              <w:rPr>
                <w:rFonts w:hint="eastAsia" w:ascii="宋体" w:hAnsi="宋体"/>
                <w:szCs w:val="21"/>
              </w:rPr>
            </w:pPr>
          </w:p>
        </w:tc>
        <w:tc>
          <w:tcPr>
            <w:tcW w:w="709" w:type="dxa"/>
            <w:noWrap w:val="0"/>
            <w:vAlign w:val="center"/>
          </w:tcPr>
          <w:p w14:paraId="15D28ECE">
            <w:pPr>
              <w:jc w:val="center"/>
              <w:rPr>
                <w:rFonts w:hint="eastAsia" w:ascii="宋体" w:hAnsi="宋体"/>
                <w:szCs w:val="21"/>
              </w:rPr>
            </w:pPr>
          </w:p>
        </w:tc>
        <w:tc>
          <w:tcPr>
            <w:tcW w:w="1176" w:type="dxa"/>
            <w:noWrap w:val="0"/>
            <w:vAlign w:val="center"/>
          </w:tcPr>
          <w:p w14:paraId="1E1E347B">
            <w:pPr>
              <w:jc w:val="center"/>
              <w:rPr>
                <w:rFonts w:hint="eastAsia" w:ascii="宋体" w:hAnsi="宋体"/>
                <w:szCs w:val="21"/>
              </w:rPr>
            </w:pPr>
          </w:p>
        </w:tc>
        <w:tc>
          <w:tcPr>
            <w:tcW w:w="872" w:type="dxa"/>
            <w:noWrap w:val="0"/>
            <w:vAlign w:val="center"/>
          </w:tcPr>
          <w:p w14:paraId="7CA08AA0">
            <w:pPr>
              <w:jc w:val="center"/>
              <w:rPr>
                <w:rFonts w:hint="eastAsia" w:ascii="宋体" w:hAnsi="宋体"/>
                <w:szCs w:val="21"/>
              </w:rPr>
            </w:pPr>
          </w:p>
        </w:tc>
        <w:tc>
          <w:tcPr>
            <w:tcW w:w="872" w:type="dxa"/>
            <w:noWrap w:val="0"/>
            <w:vAlign w:val="center"/>
          </w:tcPr>
          <w:p w14:paraId="3F9B0A11">
            <w:pPr>
              <w:jc w:val="center"/>
              <w:rPr>
                <w:rFonts w:hint="eastAsia" w:ascii="宋体" w:hAnsi="宋体"/>
                <w:szCs w:val="21"/>
              </w:rPr>
            </w:pPr>
          </w:p>
        </w:tc>
        <w:tc>
          <w:tcPr>
            <w:tcW w:w="765" w:type="dxa"/>
            <w:noWrap w:val="0"/>
            <w:vAlign w:val="center"/>
          </w:tcPr>
          <w:p w14:paraId="68B648D7">
            <w:pPr>
              <w:jc w:val="center"/>
              <w:rPr>
                <w:rFonts w:hint="eastAsia" w:ascii="宋体" w:hAnsi="宋体"/>
                <w:szCs w:val="21"/>
              </w:rPr>
            </w:pPr>
          </w:p>
        </w:tc>
      </w:tr>
      <w:tr w14:paraId="0AB00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1B58EA7">
            <w:pPr>
              <w:jc w:val="center"/>
              <w:rPr>
                <w:rFonts w:hint="eastAsia" w:ascii="宋体" w:hAnsi="宋体"/>
                <w:szCs w:val="21"/>
              </w:rPr>
            </w:pPr>
          </w:p>
        </w:tc>
        <w:tc>
          <w:tcPr>
            <w:tcW w:w="1064" w:type="dxa"/>
            <w:noWrap w:val="0"/>
            <w:vAlign w:val="center"/>
          </w:tcPr>
          <w:p w14:paraId="44CE5E7B">
            <w:pPr>
              <w:jc w:val="center"/>
              <w:rPr>
                <w:rFonts w:hint="eastAsia" w:ascii="宋体" w:hAnsi="宋体"/>
                <w:szCs w:val="21"/>
              </w:rPr>
            </w:pPr>
          </w:p>
        </w:tc>
        <w:tc>
          <w:tcPr>
            <w:tcW w:w="672" w:type="dxa"/>
            <w:noWrap w:val="0"/>
            <w:vAlign w:val="center"/>
          </w:tcPr>
          <w:p w14:paraId="3E520FDC">
            <w:pPr>
              <w:jc w:val="center"/>
              <w:rPr>
                <w:rFonts w:hint="eastAsia" w:ascii="宋体" w:hAnsi="宋体"/>
                <w:szCs w:val="21"/>
              </w:rPr>
            </w:pPr>
          </w:p>
        </w:tc>
        <w:tc>
          <w:tcPr>
            <w:tcW w:w="1022" w:type="dxa"/>
            <w:noWrap w:val="0"/>
            <w:vAlign w:val="center"/>
          </w:tcPr>
          <w:p w14:paraId="10C21715">
            <w:pPr>
              <w:jc w:val="center"/>
              <w:rPr>
                <w:rFonts w:hint="eastAsia" w:ascii="宋体" w:hAnsi="宋体"/>
                <w:szCs w:val="21"/>
              </w:rPr>
            </w:pPr>
          </w:p>
        </w:tc>
        <w:tc>
          <w:tcPr>
            <w:tcW w:w="709" w:type="dxa"/>
            <w:noWrap w:val="0"/>
            <w:vAlign w:val="center"/>
          </w:tcPr>
          <w:p w14:paraId="3821985F">
            <w:pPr>
              <w:jc w:val="center"/>
              <w:rPr>
                <w:rFonts w:hint="eastAsia" w:ascii="宋体" w:hAnsi="宋体"/>
                <w:szCs w:val="21"/>
              </w:rPr>
            </w:pPr>
          </w:p>
        </w:tc>
        <w:tc>
          <w:tcPr>
            <w:tcW w:w="709" w:type="dxa"/>
            <w:noWrap w:val="0"/>
            <w:vAlign w:val="center"/>
          </w:tcPr>
          <w:p w14:paraId="23693BBC">
            <w:pPr>
              <w:jc w:val="center"/>
              <w:rPr>
                <w:rFonts w:hint="eastAsia" w:ascii="宋体" w:hAnsi="宋体"/>
                <w:szCs w:val="21"/>
              </w:rPr>
            </w:pPr>
          </w:p>
        </w:tc>
        <w:tc>
          <w:tcPr>
            <w:tcW w:w="1176" w:type="dxa"/>
            <w:noWrap w:val="0"/>
            <w:vAlign w:val="center"/>
          </w:tcPr>
          <w:p w14:paraId="51C6DEBE">
            <w:pPr>
              <w:jc w:val="center"/>
              <w:rPr>
                <w:rFonts w:hint="eastAsia" w:ascii="宋体" w:hAnsi="宋体"/>
                <w:szCs w:val="21"/>
              </w:rPr>
            </w:pPr>
          </w:p>
        </w:tc>
        <w:tc>
          <w:tcPr>
            <w:tcW w:w="872" w:type="dxa"/>
            <w:noWrap w:val="0"/>
            <w:vAlign w:val="center"/>
          </w:tcPr>
          <w:p w14:paraId="2304CD2D">
            <w:pPr>
              <w:jc w:val="center"/>
              <w:rPr>
                <w:rFonts w:hint="eastAsia" w:ascii="宋体" w:hAnsi="宋体"/>
                <w:szCs w:val="21"/>
              </w:rPr>
            </w:pPr>
          </w:p>
        </w:tc>
        <w:tc>
          <w:tcPr>
            <w:tcW w:w="872" w:type="dxa"/>
            <w:noWrap w:val="0"/>
            <w:vAlign w:val="center"/>
          </w:tcPr>
          <w:p w14:paraId="22FB8940">
            <w:pPr>
              <w:jc w:val="center"/>
              <w:rPr>
                <w:rFonts w:hint="eastAsia" w:ascii="宋体" w:hAnsi="宋体"/>
                <w:szCs w:val="21"/>
              </w:rPr>
            </w:pPr>
          </w:p>
        </w:tc>
        <w:tc>
          <w:tcPr>
            <w:tcW w:w="765" w:type="dxa"/>
            <w:noWrap w:val="0"/>
            <w:vAlign w:val="center"/>
          </w:tcPr>
          <w:p w14:paraId="19D2CFB6">
            <w:pPr>
              <w:jc w:val="center"/>
              <w:rPr>
                <w:rFonts w:hint="eastAsia" w:ascii="宋体" w:hAnsi="宋体"/>
                <w:szCs w:val="21"/>
              </w:rPr>
            </w:pPr>
          </w:p>
        </w:tc>
      </w:tr>
      <w:tr w14:paraId="5D4E2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DD718E5">
            <w:pPr>
              <w:jc w:val="center"/>
              <w:rPr>
                <w:rFonts w:hint="eastAsia" w:ascii="宋体" w:hAnsi="宋体"/>
                <w:szCs w:val="21"/>
              </w:rPr>
            </w:pPr>
          </w:p>
        </w:tc>
        <w:tc>
          <w:tcPr>
            <w:tcW w:w="1064" w:type="dxa"/>
            <w:noWrap w:val="0"/>
            <w:vAlign w:val="center"/>
          </w:tcPr>
          <w:p w14:paraId="5697DE78">
            <w:pPr>
              <w:jc w:val="center"/>
              <w:rPr>
                <w:rFonts w:hint="eastAsia" w:ascii="宋体" w:hAnsi="宋体"/>
                <w:szCs w:val="21"/>
              </w:rPr>
            </w:pPr>
          </w:p>
        </w:tc>
        <w:tc>
          <w:tcPr>
            <w:tcW w:w="672" w:type="dxa"/>
            <w:noWrap w:val="0"/>
            <w:vAlign w:val="center"/>
          </w:tcPr>
          <w:p w14:paraId="23B33665">
            <w:pPr>
              <w:jc w:val="center"/>
              <w:rPr>
                <w:rFonts w:hint="eastAsia" w:ascii="宋体" w:hAnsi="宋体"/>
                <w:szCs w:val="21"/>
              </w:rPr>
            </w:pPr>
          </w:p>
        </w:tc>
        <w:tc>
          <w:tcPr>
            <w:tcW w:w="1022" w:type="dxa"/>
            <w:noWrap w:val="0"/>
            <w:vAlign w:val="center"/>
          </w:tcPr>
          <w:p w14:paraId="0E696E76">
            <w:pPr>
              <w:jc w:val="center"/>
              <w:rPr>
                <w:rFonts w:hint="eastAsia" w:ascii="宋体" w:hAnsi="宋体"/>
                <w:szCs w:val="21"/>
              </w:rPr>
            </w:pPr>
          </w:p>
        </w:tc>
        <w:tc>
          <w:tcPr>
            <w:tcW w:w="709" w:type="dxa"/>
            <w:noWrap w:val="0"/>
            <w:vAlign w:val="center"/>
          </w:tcPr>
          <w:p w14:paraId="5EE5A726">
            <w:pPr>
              <w:jc w:val="center"/>
              <w:rPr>
                <w:rFonts w:hint="eastAsia" w:ascii="宋体" w:hAnsi="宋体"/>
                <w:szCs w:val="21"/>
              </w:rPr>
            </w:pPr>
          </w:p>
        </w:tc>
        <w:tc>
          <w:tcPr>
            <w:tcW w:w="709" w:type="dxa"/>
            <w:noWrap w:val="0"/>
            <w:vAlign w:val="center"/>
          </w:tcPr>
          <w:p w14:paraId="6F7E94C3">
            <w:pPr>
              <w:jc w:val="center"/>
              <w:rPr>
                <w:rFonts w:hint="eastAsia" w:ascii="宋体" w:hAnsi="宋体"/>
                <w:szCs w:val="21"/>
              </w:rPr>
            </w:pPr>
          </w:p>
        </w:tc>
        <w:tc>
          <w:tcPr>
            <w:tcW w:w="1176" w:type="dxa"/>
            <w:noWrap w:val="0"/>
            <w:vAlign w:val="center"/>
          </w:tcPr>
          <w:p w14:paraId="482FC3C2">
            <w:pPr>
              <w:jc w:val="center"/>
              <w:rPr>
                <w:rFonts w:hint="eastAsia" w:ascii="宋体" w:hAnsi="宋体"/>
                <w:szCs w:val="21"/>
              </w:rPr>
            </w:pPr>
          </w:p>
        </w:tc>
        <w:tc>
          <w:tcPr>
            <w:tcW w:w="872" w:type="dxa"/>
            <w:noWrap w:val="0"/>
            <w:vAlign w:val="center"/>
          </w:tcPr>
          <w:p w14:paraId="00E32908">
            <w:pPr>
              <w:jc w:val="center"/>
              <w:rPr>
                <w:rFonts w:hint="eastAsia" w:ascii="宋体" w:hAnsi="宋体"/>
                <w:szCs w:val="21"/>
              </w:rPr>
            </w:pPr>
          </w:p>
        </w:tc>
        <w:tc>
          <w:tcPr>
            <w:tcW w:w="872" w:type="dxa"/>
            <w:noWrap w:val="0"/>
            <w:vAlign w:val="center"/>
          </w:tcPr>
          <w:p w14:paraId="4BFC511F">
            <w:pPr>
              <w:jc w:val="center"/>
              <w:rPr>
                <w:rFonts w:hint="eastAsia" w:ascii="宋体" w:hAnsi="宋体"/>
                <w:szCs w:val="21"/>
              </w:rPr>
            </w:pPr>
          </w:p>
        </w:tc>
        <w:tc>
          <w:tcPr>
            <w:tcW w:w="765" w:type="dxa"/>
            <w:noWrap w:val="0"/>
            <w:vAlign w:val="center"/>
          </w:tcPr>
          <w:p w14:paraId="29484CB8">
            <w:pPr>
              <w:jc w:val="center"/>
              <w:rPr>
                <w:rFonts w:hint="eastAsia" w:ascii="宋体" w:hAnsi="宋体"/>
                <w:szCs w:val="21"/>
              </w:rPr>
            </w:pPr>
          </w:p>
        </w:tc>
      </w:tr>
      <w:tr w14:paraId="780B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3E3A8A2">
            <w:pPr>
              <w:jc w:val="center"/>
              <w:rPr>
                <w:rFonts w:hint="eastAsia" w:ascii="宋体" w:hAnsi="宋体"/>
                <w:szCs w:val="21"/>
              </w:rPr>
            </w:pPr>
          </w:p>
        </w:tc>
        <w:tc>
          <w:tcPr>
            <w:tcW w:w="1064" w:type="dxa"/>
            <w:noWrap w:val="0"/>
            <w:vAlign w:val="center"/>
          </w:tcPr>
          <w:p w14:paraId="5FEC9E7B">
            <w:pPr>
              <w:jc w:val="center"/>
              <w:rPr>
                <w:rFonts w:hint="eastAsia" w:ascii="宋体" w:hAnsi="宋体"/>
                <w:szCs w:val="21"/>
              </w:rPr>
            </w:pPr>
          </w:p>
        </w:tc>
        <w:tc>
          <w:tcPr>
            <w:tcW w:w="672" w:type="dxa"/>
            <w:noWrap w:val="0"/>
            <w:vAlign w:val="center"/>
          </w:tcPr>
          <w:p w14:paraId="6F132C57">
            <w:pPr>
              <w:jc w:val="center"/>
              <w:rPr>
                <w:rFonts w:hint="eastAsia" w:ascii="宋体" w:hAnsi="宋体"/>
                <w:szCs w:val="21"/>
              </w:rPr>
            </w:pPr>
          </w:p>
        </w:tc>
        <w:tc>
          <w:tcPr>
            <w:tcW w:w="1022" w:type="dxa"/>
            <w:noWrap w:val="0"/>
            <w:vAlign w:val="center"/>
          </w:tcPr>
          <w:p w14:paraId="5DED0969">
            <w:pPr>
              <w:jc w:val="center"/>
              <w:rPr>
                <w:rFonts w:hint="eastAsia" w:ascii="宋体" w:hAnsi="宋体"/>
                <w:szCs w:val="21"/>
              </w:rPr>
            </w:pPr>
          </w:p>
        </w:tc>
        <w:tc>
          <w:tcPr>
            <w:tcW w:w="709" w:type="dxa"/>
            <w:noWrap w:val="0"/>
            <w:vAlign w:val="center"/>
          </w:tcPr>
          <w:p w14:paraId="73DA9895">
            <w:pPr>
              <w:jc w:val="center"/>
              <w:rPr>
                <w:rFonts w:hint="eastAsia" w:ascii="宋体" w:hAnsi="宋体"/>
                <w:szCs w:val="21"/>
              </w:rPr>
            </w:pPr>
          </w:p>
        </w:tc>
        <w:tc>
          <w:tcPr>
            <w:tcW w:w="709" w:type="dxa"/>
            <w:noWrap w:val="0"/>
            <w:vAlign w:val="center"/>
          </w:tcPr>
          <w:p w14:paraId="1ECC7E56">
            <w:pPr>
              <w:jc w:val="center"/>
              <w:rPr>
                <w:rFonts w:hint="eastAsia" w:ascii="宋体" w:hAnsi="宋体"/>
                <w:szCs w:val="21"/>
              </w:rPr>
            </w:pPr>
          </w:p>
        </w:tc>
        <w:tc>
          <w:tcPr>
            <w:tcW w:w="1176" w:type="dxa"/>
            <w:noWrap w:val="0"/>
            <w:vAlign w:val="center"/>
          </w:tcPr>
          <w:p w14:paraId="00E5B759">
            <w:pPr>
              <w:jc w:val="center"/>
              <w:rPr>
                <w:rFonts w:hint="eastAsia" w:ascii="宋体" w:hAnsi="宋体"/>
                <w:szCs w:val="21"/>
              </w:rPr>
            </w:pPr>
          </w:p>
        </w:tc>
        <w:tc>
          <w:tcPr>
            <w:tcW w:w="872" w:type="dxa"/>
            <w:noWrap w:val="0"/>
            <w:vAlign w:val="center"/>
          </w:tcPr>
          <w:p w14:paraId="685B2DB2">
            <w:pPr>
              <w:jc w:val="center"/>
              <w:rPr>
                <w:rFonts w:hint="eastAsia" w:ascii="宋体" w:hAnsi="宋体"/>
                <w:szCs w:val="21"/>
              </w:rPr>
            </w:pPr>
          </w:p>
        </w:tc>
        <w:tc>
          <w:tcPr>
            <w:tcW w:w="872" w:type="dxa"/>
            <w:noWrap w:val="0"/>
            <w:vAlign w:val="center"/>
          </w:tcPr>
          <w:p w14:paraId="0DA8683D">
            <w:pPr>
              <w:jc w:val="center"/>
              <w:rPr>
                <w:rFonts w:hint="eastAsia" w:ascii="宋体" w:hAnsi="宋体"/>
                <w:szCs w:val="21"/>
              </w:rPr>
            </w:pPr>
          </w:p>
        </w:tc>
        <w:tc>
          <w:tcPr>
            <w:tcW w:w="765" w:type="dxa"/>
            <w:noWrap w:val="0"/>
            <w:vAlign w:val="center"/>
          </w:tcPr>
          <w:p w14:paraId="77E523AB">
            <w:pPr>
              <w:jc w:val="center"/>
              <w:rPr>
                <w:rFonts w:hint="eastAsia" w:ascii="宋体" w:hAnsi="宋体"/>
                <w:szCs w:val="21"/>
              </w:rPr>
            </w:pPr>
          </w:p>
        </w:tc>
      </w:tr>
      <w:tr w14:paraId="32556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A9F6119">
            <w:pPr>
              <w:jc w:val="center"/>
              <w:rPr>
                <w:rFonts w:hint="eastAsia" w:ascii="宋体" w:hAnsi="宋体"/>
                <w:szCs w:val="21"/>
              </w:rPr>
            </w:pPr>
          </w:p>
        </w:tc>
        <w:tc>
          <w:tcPr>
            <w:tcW w:w="1064" w:type="dxa"/>
            <w:noWrap w:val="0"/>
            <w:vAlign w:val="center"/>
          </w:tcPr>
          <w:p w14:paraId="510452EA">
            <w:pPr>
              <w:jc w:val="center"/>
              <w:rPr>
                <w:rFonts w:hint="eastAsia" w:ascii="宋体" w:hAnsi="宋体"/>
                <w:szCs w:val="21"/>
              </w:rPr>
            </w:pPr>
          </w:p>
        </w:tc>
        <w:tc>
          <w:tcPr>
            <w:tcW w:w="672" w:type="dxa"/>
            <w:noWrap w:val="0"/>
            <w:vAlign w:val="center"/>
          </w:tcPr>
          <w:p w14:paraId="5BBCC3E0">
            <w:pPr>
              <w:jc w:val="center"/>
              <w:rPr>
                <w:rFonts w:hint="eastAsia" w:ascii="宋体" w:hAnsi="宋体"/>
                <w:szCs w:val="21"/>
              </w:rPr>
            </w:pPr>
          </w:p>
        </w:tc>
        <w:tc>
          <w:tcPr>
            <w:tcW w:w="1022" w:type="dxa"/>
            <w:noWrap w:val="0"/>
            <w:vAlign w:val="center"/>
          </w:tcPr>
          <w:p w14:paraId="2428B87D">
            <w:pPr>
              <w:jc w:val="center"/>
              <w:rPr>
                <w:rFonts w:hint="eastAsia" w:ascii="宋体" w:hAnsi="宋体"/>
                <w:szCs w:val="21"/>
              </w:rPr>
            </w:pPr>
          </w:p>
        </w:tc>
        <w:tc>
          <w:tcPr>
            <w:tcW w:w="709" w:type="dxa"/>
            <w:noWrap w:val="0"/>
            <w:vAlign w:val="center"/>
          </w:tcPr>
          <w:p w14:paraId="76E373FF">
            <w:pPr>
              <w:jc w:val="center"/>
              <w:rPr>
                <w:rFonts w:hint="eastAsia" w:ascii="宋体" w:hAnsi="宋体"/>
                <w:szCs w:val="21"/>
              </w:rPr>
            </w:pPr>
          </w:p>
        </w:tc>
        <w:tc>
          <w:tcPr>
            <w:tcW w:w="709" w:type="dxa"/>
            <w:noWrap w:val="0"/>
            <w:vAlign w:val="center"/>
          </w:tcPr>
          <w:p w14:paraId="05D57143">
            <w:pPr>
              <w:jc w:val="center"/>
              <w:rPr>
                <w:rFonts w:hint="eastAsia" w:ascii="宋体" w:hAnsi="宋体"/>
                <w:szCs w:val="21"/>
              </w:rPr>
            </w:pPr>
          </w:p>
        </w:tc>
        <w:tc>
          <w:tcPr>
            <w:tcW w:w="1176" w:type="dxa"/>
            <w:noWrap w:val="0"/>
            <w:vAlign w:val="center"/>
          </w:tcPr>
          <w:p w14:paraId="66D6A703">
            <w:pPr>
              <w:jc w:val="center"/>
              <w:rPr>
                <w:rFonts w:hint="eastAsia" w:ascii="宋体" w:hAnsi="宋体"/>
                <w:szCs w:val="21"/>
              </w:rPr>
            </w:pPr>
          </w:p>
        </w:tc>
        <w:tc>
          <w:tcPr>
            <w:tcW w:w="872" w:type="dxa"/>
            <w:noWrap w:val="0"/>
            <w:vAlign w:val="center"/>
          </w:tcPr>
          <w:p w14:paraId="5C7B225D">
            <w:pPr>
              <w:jc w:val="center"/>
              <w:rPr>
                <w:rFonts w:hint="eastAsia" w:ascii="宋体" w:hAnsi="宋体"/>
                <w:szCs w:val="21"/>
              </w:rPr>
            </w:pPr>
          </w:p>
        </w:tc>
        <w:tc>
          <w:tcPr>
            <w:tcW w:w="872" w:type="dxa"/>
            <w:noWrap w:val="0"/>
            <w:vAlign w:val="center"/>
          </w:tcPr>
          <w:p w14:paraId="1BF13034">
            <w:pPr>
              <w:jc w:val="center"/>
              <w:rPr>
                <w:rFonts w:hint="eastAsia" w:ascii="宋体" w:hAnsi="宋体"/>
                <w:szCs w:val="21"/>
              </w:rPr>
            </w:pPr>
          </w:p>
        </w:tc>
        <w:tc>
          <w:tcPr>
            <w:tcW w:w="765" w:type="dxa"/>
            <w:noWrap w:val="0"/>
            <w:vAlign w:val="center"/>
          </w:tcPr>
          <w:p w14:paraId="7C6EDA68">
            <w:pPr>
              <w:jc w:val="center"/>
              <w:rPr>
                <w:rFonts w:hint="eastAsia" w:ascii="宋体" w:hAnsi="宋体"/>
                <w:szCs w:val="21"/>
              </w:rPr>
            </w:pPr>
          </w:p>
        </w:tc>
      </w:tr>
      <w:tr w14:paraId="091E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0569BE1">
            <w:pPr>
              <w:jc w:val="center"/>
              <w:rPr>
                <w:rFonts w:hint="eastAsia" w:ascii="宋体" w:hAnsi="宋体"/>
                <w:szCs w:val="21"/>
              </w:rPr>
            </w:pPr>
          </w:p>
        </w:tc>
        <w:tc>
          <w:tcPr>
            <w:tcW w:w="1064" w:type="dxa"/>
            <w:noWrap w:val="0"/>
            <w:vAlign w:val="center"/>
          </w:tcPr>
          <w:p w14:paraId="2DEF15E8">
            <w:pPr>
              <w:jc w:val="center"/>
              <w:rPr>
                <w:rFonts w:hint="eastAsia" w:ascii="宋体" w:hAnsi="宋体"/>
                <w:szCs w:val="21"/>
              </w:rPr>
            </w:pPr>
          </w:p>
        </w:tc>
        <w:tc>
          <w:tcPr>
            <w:tcW w:w="672" w:type="dxa"/>
            <w:noWrap w:val="0"/>
            <w:vAlign w:val="center"/>
          </w:tcPr>
          <w:p w14:paraId="1C64AC96">
            <w:pPr>
              <w:jc w:val="center"/>
              <w:rPr>
                <w:rFonts w:hint="eastAsia" w:ascii="宋体" w:hAnsi="宋体"/>
                <w:szCs w:val="21"/>
              </w:rPr>
            </w:pPr>
          </w:p>
        </w:tc>
        <w:tc>
          <w:tcPr>
            <w:tcW w:w="1022" w:type="dxa"/>
            <w:noWrap w:val="0"/>
            <w:vAlign w:val="center"/>
          </w:tcPr>
          <w:p w14:paraId="06FAC87A">
            <w:pPr>
              <w:jc w:val="center"/>
              <w:rPr>
                <w:rFonts w:hint="eastAsia" w:ascii="宋体" w:hAnsi="宋体"/>
                <w:szCs w:val="21"/>
              </w:rPr>
            </w:pPr>
          </w:p>
        </w:tc>
        <w:tc>
          <w:tcPr>
            <w:tcW w:w="709" w:type="dxa"/>
            <w:noWrap w:val="0"/>
            <w:vAlign w:val="center"/>
          </w:tcPr>
          <w:p w14:paraId="2B5B9B43">
            <w:pPr>
              <w:jc w:val="center"/>
              <w:rPr>
                <w:rFonts w:hint="eastAsia" w:ascii="宋体" w:hAnsi="宋体"/>
                <w:szCs w:val="21"/>
              </w:rPr>
            </w:pPr>
          </w:p>
        </w:tc>
        <w:tc>
          <w:tcPr>
            <w:tcW w:w="709" w:type="dxa"/>
            <w:noWrap w:val="0"/>
            <w:vAlign w:val="center"/>
          </w:tcPr>
          <w:p w14:paraId="49721B4E">
            <w:pPr>
              <w:jc w:val="center"/>
              <w:rPr>
                <w:rFonts w:hint="eastAsia" w:ascii="宋体" w:hAnsi="宋体"/>
                <w:szCs w:val="21"/>
              </w:rPr>
            </w:pPr>
          </w:p>
        </w:tc>
        <w:tc>
          <w:tcPr>
            <w:tcW w:w="1176" w:type="dxa"/>
            <w:noWrap w:val="0"/>
            <w:vAlign w:val="center"/>
          </w:tcPr>
          <w:p w14:paraId="6D1A93E6">
            <w:pPr>
              <w:jc w:val="center"/>
              <w:rPr>
                <w:rFonts w:hint="eastAsia" w:ascii="宋体" w:hAnsi="宋体"/>
                <w:szCs w:val="21"/>
              </w:rPr>
            </w:pPr>
          </w:p>
        </w:tc>
        <w:tc>
          <w:tcPr>
            <w:tcW w:w="872" w:type="dxa"/>
            <w:noWrap w:val="0"/>
            <w:vAlign w:val="center"/>
          </w:tcPr>
          <w:p w14:paraId="793321D7">
            <w:pPr>
              <w:jc w:val="center"/>
              <w:rPr>
                <w:rFonts w:hint="eastAsia" w:ascii="宋体" w:hAnsi="宋体"/>
                <w:szCs w:val="21"/>
              </w:rPr>
            </w:pPr>
          </w:p>
        </w:tc>
        <w:tc>
          <w:tcPr>
            <w:tcW w:w="872" w:type="dxa"/>
            <w:noWrap w:val="0"/>
            <w:vAlign w:val="center"/>
          </w:tcPr>
          <w:p w14:paraId="20D40CA2">
            <w:pPr>
              <w:jc w:val="center"/>
              <w:rPr>
                <w:rFonts w:hint="eastAsia" w:ascii="宋体" w:hAnsi="宋体"/>
                <w:szCs w:val="21"/>
              </w:rPr>
            </w:pPr>
          </w:p>
        </w:tc>
        <w:tc>
          <w:tcPr>
            <w:tcW w:w="765" w:type="dxa"/>
            <w:noWrap w:val="0"/>
            <w:vAlign w:val="center"/>
          </w:tcPr>
          <w:p w14:paraId="183135CD">
            <w:pPr>
              <w:jc w:val="center"/>
              <w:rPr>
                <w:rFonts w:hint="eastAsia" w:ascii="宋体" w:hAnsi="宋体"/>
                <w:szCs w:val="21"/>
              </w:rPr>
            </w:pPr>
          </w:p>
        </w:tc>
      </w:tr>
      <w:tr w14:paraId="4CC9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FF0E2CA">
            <w:pPr>
              <w:jc w:val="center"/>
              <w:rPr>
                <w:rFonts w:hint="eastAsia" w:ascii="宋体" w:hAnsi="宋体"/>
                <w:szCs w:val="21"/>
              </w:rPr>
            </w:pPr>
          </w:p>
        </w:tc>
        <w:tc>
          <w:tcPr>
            <w:tcW w:w="1064" w:type="dxa"/>
            <w:noWrap w:val="0"/>
            <w:vAlign w:val="center"/>
          </w:tcPr>
          <w:p w14:paraId="08075619">
            <w:pPr>
              <w:jc w:val="center"/>
              <w:rPr>
                <w:rFonts w:hint="eastAsia" w:ascii="宋体" w:hAnsi="宋体"/>
                <w:szCs w:val="21"/>
              </w:rPr>
            </w:pPr>
          </w:p>
        </w:tc>
        <w:tc>
          <w:tcPr>
            <w:tcW w:w="672" w:type="dxa"/>
            <w:noWrap w:val="0"/>
            <w:vAlign w:val="center"/>
          </w:tcPr>
          <w:p w14:paraId="6CF2206A">
            <w:pPr>
              <w:jc w:val="center"/>
              <w:rPr>
                <w:rFonts w:hint="eastAsia" w:ascii="宋体" w:hAnsi="宋体"/>
                <w:szCs w:val="21"/>
              </w:rPr>
            </w:pPr>
          </w:p>
        </w:tc>
        <w:tc>
          <w:tcPr>
            <w:tcW w:w="1022" w:type="dxa"/>
            <w:noWrap w:val="0"/>
            <w:vAlign w:val="center"/>
          </w:tcPr>
          <w:p w14:paraId="4447EBBE">
            <w:pPr>
              <w:jc w:val="center"/>
              <w:rPr>
                <w:rFonts w:hint="eastAsia" w:ascii="宋体" w:hAnsi="宋体"/>
                <w:szCs w:val="21"/>
              </w:rPr>
            </w:pPr>
          </w:p>
        </w:tc>
        <w:tc>
          <w:tcPr>
            <w:tcW w:w="709" w:type="dxa"/>
            <w:noWrap w:val="0"/>
            <w:vAlign w:val="center"/>
          </w:tcPr>
          <w:p w14:paraId="456373F3">
            <w:pPr>
              <w:jc w:val="center"/>
              <w:rPr>
                <w:rFonts w:hint="eastAsia" w:ascii="宋体" w:hAnsi="宋体"/>
                <w:szCs w:val="21"/>
              </w:rPr>
            </w:pPr>
          </w:p>
        </w:tc>
        <w:tc>
          <w:tcPr>
            <w:tcW w:w="709" w:type="dxa"/>
            <w:noWrap w:val="0"/>
            <w:vAlign w:val="center"/>
          </w:tcPr>
          <w:p w14:paraId="093D37CC">
            <w:pPr>
              <w:jc w:val="center"/>
              <w:rPr>
                <w:rFonts w:hint="eastAsia" w:ascii="宋体" w:hAnsi="宋体"/>
                <w:szCs w:val="21"/>
              </w:rPr>
            </w:pPr>
          </w:p>
        </w:tc>
        <w:tc>
          <w:tcPr>
            <w:tcW w:w="1176" w:type="dxa"/>
            <w:noWrap w:val="0"/>
            <w:vAlign w:val="center"/>
          </w:tcPr>
          <w:p w14:paraId="5E8C7C8D">
            <w:pPr>
              <w:jc w:val="center"/>
              <w:rPr>
                <w:rFonts w:hint="eastAsia" w:ascii="宋体" w:hAnsi="宋体"/>
                <w:szCs w:val="21"/>
              </w:rPr>
            </w:pPr>
          </w:p>
        </w:tc>
        <w:tc>
          <w:tcPr>
            <w:tcW w:w="872" w:type="dxa"/>
            <w:noWrap w:val="0"/>
            <w:vAlign w:val="center"/>
          </w:tcPr>
          <w:p w14:paraId="2A811B8B">
            <w:pPr>
              <w:jc w:val="center"/>
              <w:rPr>
                <w:rFonts w:hint="eastAsia" w:ascii="宋体" w:hAnsi="宋体"/>
                <w:szCs w:val="21"/>
              </w:rPr>
            </w:pPr>
          </w:p>
        </w:tc>
        <w:tc>
          <w:tcPr>
            <w:tcW w:w="872" w:type="dxa"/>
            <w:noWrap w:val="0"/>
            <w:vAlign w:val="center"/>
          </w:tcPr>
          <w:p w14:paraId="2BB503F8">
            <w:pPr>
              <w:jc w:val="center"/>
              <w:rPr>
                <w:rFonts w:hint="eastAsia" w:ascii="宋体" w:hAnsi="宋体"/>
                <w:szCs w:val="21"/>
              </w:rPr>
            </w:pPr>
          </w:p>
        </w:tc>
        <w:tc>
          <w:tcPr>
            <w:tcW w:w="765" w:type="dxa"/>
            <w:noWrap w:val="0"/>
            <w:vAlign w:val="center"/>
          </w:tcPr>
          <w:p w14:paraId="509016B4">
            <w:pPr>
              <w:jc w:val="center"/>
              <w:rPr>
                <w:rFonts w:hint="eastAsia" w:ascii="宋体" w:hAnsi="宋体"/>
                <w:szCs w:val="21"/>
              </w:rPr>
            </w:pPr>
          </w:p>
        </w:tc>
      </w:tr>
      <w:tr w14:paraId="5145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A42EFD6">
            <w:pPr>
              <w:jc w:val="center"/>
              <w:rPr>
                <w:rFonts w:hint="eastAsia" w:ascii="宋体" w:hAnsi="宋体"/>
                <w:szCs w:val="21"/>
              </w:rPr>
            </w:pPr>
          </w:p>
        </w:tc>
        <w:tc>
          <w:tcPr>
            <w:tcW w:w="1064" w:type="dxa"/>
            <w:noWrap w:val="0"/>
            <w:vAlign w:val="center"/>
          </w:tcPr>
          <w:p w14:paraId="2040AAE8">
            <w:pPr>
              <w:jc w:val="center"/>
              <w:rPr>
                <w:rFonts w:hint="eastAsia" w:ascii="宋体" w:hAnsi="宋体"/>
                <w:szCs w:val="21"/>
              </w:rPr>
            </w:pPr>
          </w:p>
        </w:tc>
        <w:tc>
          <w:tcPr>
            <w:tcW w:w="672" w:type="dxa"/>
            <w:noWrap w:val="0"/>
            <w:vAlign w:val="center"/>
          </w:tcPr>
          <w:p w14:paraId="1E128376">
            <w:pPr>
              <w:jc w:val="center"/>
              <w:rPr>
                <w:rFonts w:hint="eastAsia" w:ascii="宋体" w:hAnsi="宋体"/>
                <w:szCs w:val="21"/>
              </w:rPr>
            </w:pPr>
          </w:p>
        </w:tc>
        <w:tc>
          <w:tcPr>
            <w:tcW w:w="1022" w:type="dxa"/>
            <w:noWrap w:val="0"/>
            <w:vAlign w:val="center"/>
          </w:tcPr>
          <w:p w14:paraId="04CA824B">
            <w:pPr>
              <w:jc w:val="center"/>
              <w:rPr>
                <w:rFonts w:hint="eastAsia" w:ascii="宋体" w:hAnsi="宋体"/>
                <w:szCs w:val="21"/>
              </w:rPr>
            </w:pPr>
          </w:p>
        </w:tc>
        <w:tc>
          <w:tcPr>
            <w:tcW w:w="709" w:type="dxa"/>
            <w:noWrap w:val="0"/>
            <w:vAlign w:val="center"/>
          </w:tcPr>
          <w:p w14:paraId="221ED4E8">
            <w:pPr>
              <w:jc w:val="center"/>
              <w:rPr>
                <w:rFonts w:hint="eastAsia" w:ascii="宋体" w:hAnsi="宋体"/>
                <w:szCs w:val="21"/>
              </w:rPr>
            </w:pPr>
          </w:p>
        </w:tc>
        <w:tc>
          <w:tcPr>
            <w:tcW w:w="709" w:type="dxa"/>
            <w:noWrap w:val="0"/>
            <w:vAlign w:val="center"/>
          </w:tcPr>
          <w:p w14:paraId="0DF02393">
            <w:pPr>
              <w:jc w:val="center"/>
              <w:rPr>
                <w:rFonts w:hint="eastAsia" w:ascii="宋体" w:hAnsi="宋体"/>
                <w:szCs w:val="21"/>
              </w:rPr>
            </w:pPr>
          </w:p>
        </w:tc>
        <w:tc>
          <w:tcPr>
            <w:tcW w:w="1176" w:type="dxa"/>
            <w:noWrap w:val="0"/>
            <w:vAlign w:val="center"/>
          </w:tcPr>
          <w:p w14:paraId="247D7E28">
            <w:pPr>
              <w:jc w:val="center"/>
              <w:rPr>
                <w:rFonts w:hint="eastAsia" w:ascii="宋体" w:hAnsi="宋体"/>
                <w:szCs w:val="21"/>
              </w:rPr>
            </w:pPr>
          </w:p>
        </w:tc>
        <w:tc>
          <w:tcPr>
            <w:tcW w:w="872" w:type="dxa"/>
            <w:noWrap w:val="0"/>
            <w:vAlign w:val="center"/>
          </w:tcPr>
          <w:p w14:paraId="45734819">
            <w:pPr>
              <w:jc w:val="center"/>
              <w:rPr>
                <w:rFonts w:hint="eastAsia" w:ascii="宋体" w:hAnsi="宋体"/>
                <w:szCs w:val="21"/>
              </w:rPr>
            </w:pPr>
          </w:p>
        </w:tc>
        <w:tc>
          <w:tcPr>
            <w:tcW w:w="872" w:type="dxa"/>
            <w:noWrap w:val="0"/>
            <w:vAlign w:val="center"/>
          </w:tcPr>
          <w:p w14:paraId="4015601C">
            <w:pPr>
              <w:jc w:val="center"/>
              <w:rPr>
                <w:rFonts w:hint="eastAsia" w:ascii="宋体" w:hAnsi="宋体"/>
                <w:szCs w:val="21"/>
              </w:rPr>
            </w:pPr>
          </w:p>
        </w:tc>
        <w:tc>
          <w:tcPr>
            <w:tcW w:w="765" w:type="dxa"/>
            <w:noWrap w:val="0"/>
            <w:vAlign w:val="center"/>
          </w:tcPr>
          <w:p w14:paraId="7A75522D">
            <w:pPr>
              <w:jc w:val="center"/>
              <w:rPr>
                <w:rFonts w:hint="eastAsia" w:ascii="宋体" w:hAnsi="宋体"/>
                <w:szCs w:val="21"/>
              </w:rPr>
            </w:pPr>
          </w:p>
        </w:tc>
      </w:tr>
      <w:tr w14:paraId="3ADE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D19283B">
            <w:pPr>
              <w:jc w:val="center"/>
              <w:rPr>
                <w:rFonts w:hint="eastAsia" w:ascii="宋体" w:hAnsi="宋体"/>
                <w:szCs w:val="21"/>
              </w:rPr>
            </w:pPr>
          </w:p>
        </w:tc>
        <w:tc>
          <w:tcPr>
            <w:tcW w:w="1064" w:type="dxa"/>
            <w:noWrap w:val="0"/>
            <w:vAlign w:val="center"/>
          </w:tcPr>
          <w:p w14:paraId="12551074">
            <w:pPr>
              <w:jc w:val="center"/>
              <w:rPr>
                <w:rFonts w:hint="eastAsia" w:ascii="宋体" w:hAnsi="宋体"/>
                <w:szCs w:val="21"/>
              </w:rPr>
            </w:pPr>
          </w:p>
        </w:tc>
        <w:tc>
          <w:tcPr>
            <w:tcW w:w="672" w:type="dxa"/>
            <w:noWrap w:val="0"/>
            <w:vAlign w:val="center"/>
          </w:tcPr>
          <w:p w14:paraId="2F878ADB">
            <w:pPr>
              <w:jc w:val="center"/>
              <w:rPr>
                <w:rFonts w:hint="eastAsia" w:ascii="宋体" w:hAnsi="宋体"/>
                <w:szCs w:val="21"/>
              </w:rPr>
            </w:pPr>
          </w:p>
        </w:tc>
        <w:tc>
          <w:tcPr>
            <w:tcW w:w="1022" w:type="dxa"/>
            <w:noWrap w:val="0"/>
            <w:vAlign w:val="center"/>
          </w:tcPr>
          <w:p w14:paraId="2E208B96">
            <w:pPr>
              <w:jc w:val="center"/>
              <w:rPr>
                <w:rFonts w:hint="eastAsia" w:ascii="宋体" w:hAnsi="宋体"/>
                <w:szCs w:val="21"/>
              </w:rPr>
            </w:pPr>
          </w:p>
        </w:tc>
        <w:tc>
          <w:tcPr>
            <w:tcW w:w="709" w:type="dxa"/>
            <w:noWrap w:val="0"/>
            <w:vAlign w:val="center"/>
          </w:tcPr>
          <w:p w14:paraId="67092156">
            <w:pPr>
              <w:jc w:val="center"/>
              <w:rPr>
                <w:rFonts w:hint="eastAsia" w:ascii="宋体" w:hAnsi="宋体"/>
                <w:szCs w:val="21"/>
              </w:rPr>
            </w:pPr>
          </w:p>
        </w:tc>
        <w:tc>
          <w:tcPr>
            <w:tcW w:w="709" w:type="dxa"/>
            <w:noWrap w:val="0"/>
            <w:vAlign w:val="center"/>
          </w:tcPr>
          <w:p w14:paraId="1CE78656">
            <w:pPr>
              <w:jc w:val="center"/>
              <w:rPr>
                <w:rFonts w:hint="eastAsia" w:ascii="宋体" w:hAnsi="宋体"/>
                <w:szCs w:val="21"/>
              </w:rPr>
            </w:pPr>
          </w:p>
        </w:tc>
        <w:tc>
          <w:tcPr>
            <w:tcW w:w="1176" w:type="dxa"/>
            <w:noWrap w:val="0"/>
            <w:vAlign w:val="center"/>
          </w:tcPr>
          <w:p w14:paraId="1D1B3788">
            <w:pPr>
              <w:jc w:val="center"/>
              <w:rPr>
                <w:rFonts w:hint="eastAsia" w:ascii="宋体" w:hAnsi="宋体"/>
                <w:szCs w:val="21"/>
              </w:rPr>
            </w:pPr>
          </w:p>
        </w:tc>
        <w:tc>
          <w:tcPr>
            <w:tcW w:w="872" w:type="dxa"/>
            <w:noWrap w:val="0"/>
            <w:vAlign w:val="center"/>
          </w:tcPr>
          <w:p w14:paraId="052373DF">
            <w:pPr>
              <w:jc w:val="center"/>
              <w:rPr>
                <w:rFonts w:hint="eastAsia" w:ascii="宋体" w:hAnsi="宋体"/>
                <w:szCs w:val="21"/>
              </w:rPr>
            </w:pPr>
          </w:p>
        </w:tc>
        <w:tc>
          <w:tcPr>
            <w:tcW w:w="872" w:type="dxa"/>
            <w:noWrap w:val="0"/>
            <w:vAlign w:val="center"/>
          </w:tcPr>
          <w:p w14:paraId="6AEEE831">
            <w:pPr>
              <w:jc w:val="center"/>
              <w:rPr>
                <w:rFonts w:hint="eastAsia" w:ascii="宋体" w:hAnsi="宋体"/>
                <w:szCs w:val="21"/>
              </w:rPr>
            </w:pPr>
          </w:p>
        </w:tc>
        <w:tc>
          <w:tcPr>
            <w:tcW w:w="765" w:type="dxa"/>
            <w:noWrap w:val="0"/>
            <w:vAlign w:val="center"/>
          </w:tcPr>
          <w:p w14:paraId="68A4F01F">
            <w:pPr>
              <w:jc w:val="center"/>
              <w:rPr>
                <w:rFonts w:hint="eastAsia" w:ascii="宋体" w:hAnsi="宋体"/>
                <w:szCs w:val="21"/>
              </w:rPr>
            </w:pPr>
          </w:p>
        </w:tc>
      </w:tr>
      <w:tr w14:paraId="7C0E9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780998E">
            <w:pPr>
              <w:jc w:val="center"/>
              <w:rPr>
                <w:rFonts w:hint="eastAsia" w:ascii="宋体" w:hAnsi="宋体"/>
                <w:szCs w:val="21"/>
              </w:rPr>
            </w:pPr>
          </w:p>
        </w:tc>
        <w:tc>
          <w:tcPr>
            <w:tcW w:w="1064" w:type="dxa"/>
            <w:noWrap w:val="0"/>
            <w:vAlign w:val="center"/>
          </w:tcPr>
          <w:p w14:paraId="133D6EE6">
            <w:pPr>
              <w:jc w:val="center"/>
              <w:rPr>
                <w:rFonts w:hint="eastAsia" w:ascii="宋体" w:hAnsi="宋体"/>
                <w:szCs w:val="21"/>
              </w:rPr>
            </w:pPr>
          </w:p>
        </w:tc>
        <w:tc>
          <w:tcPr>
            <w:tcW w:w="672" w:type="dxa"/>
            <w:noWrap w:val="0"/>
            <w:vAlign w:val="center"/>
          </w:tcPr>
          <w:p w14:paraId="6F2A1C36">
            <w:pPr>
              <w:jc w:val="center"/>
              <w:rPr>
                <w:rFonts w:hint="eastAsia" w:ascii="宋体" w:hAnsi="宋体"/>
                <w:szCs w:val="21"/>
              </w:rPr>
            </w:pPr>
          </w:p>
        </w:tc>
        <w:tc>
          <w:tcPr>
            <w:tcW w:w="1022" w:type="dxa"/>
            <w:noWrap w:val="0"/>
            <w:vAlign w:val="center"/>
          </w:tcPr>
          <w:p w14:paraId="308EDCF8">
            <w:pPr>
              <w:jc w:val="center"/>
              <w:rPr>
                <w:rFonts w:hint="eastAsia" w:ascii="宋体" w:hAnsi="宋体"/>
                <w:szCs w:val="21"/>
              </w:rPr>
            </w:pPr>
          </w:p>
        </w:tc>
        <w:tc>
          <w:tcPr>
            <w:tcW w:w="709" w:type="dxa"/>
            <w:noWrap w:val="0"/>
            <w:vAlign w:val="center"/>
          </w:tcPr>
          <w:p w14:paraId="6180D2E5">
            <w:pPr>
              <w:jc w:val="center"/>
              <w:rPr>
                <w:rFonts w:hint="eastAsia" w:ascii="宋体" w:hAnsi="宋体"/>
                <w:szCs w:val="21"/>
              </w:rPr>
            </w:pPr>
          </w:p>
        </w:tc>
        <w:tc>
          <w:tcPr>
            <w:tcW w:w="709" w:type="dxa"/>
            <w:noWrap w:val="0"/>
            <w:vAlign w:val="center"/>
          </w:tcPr>
          <w:p w14:paraId="1731A8B9">
            <w:pPr>
              <w:jc w:val="center"/>
              <w:rPr>
                <w:rFonts w:hint="eastAsia" w:ascii="宋体" w:hAnsi="宋体"/>
                <w:szCs w:val="21"/>
              </w:rPr>
            </w:pPr>
          </w:p>
        </w:tc>
        <w:tc>
          <w:tcPr>
            <w:tcW w:w="1176" w:type="dxa"/>
            <w:noWrap w:val="0"/>
            <w:vAlign w:val="center"/>
          </w:tcPr>
          <w:p w14:paraId="5FD55546">
            <w:pPr>
              <w:jc w:val="center"/>
              <w:rPr>
                <w:rFonts w:hint="eastAsia" w:ascii="宋体" w:hAnsi="宋体"/>
                <w:szCs w:val="21"/>
              </w:rPr>
            </w:pPr>
          </w:p>
        </w:tc>
        <w:tc>
          <w:tcPr>
            <w:tcW w:w="872" w:type="dxa"/>
            <w:noWrap w:val="0"/>
            <w:vAlign w:val="center"/>
          </w:tcPr>
          <w:p w14:paraId="44916B2B">
            <w:pPr>
              <w:jc w:val="center"/>
              <w:rPr>
                <w:rFonts w:hint="eastAsia" w:ascii="宋体" w:hAnsi="宋体"/>
                <w:szCs w:val="21"/>
              </w:rPr>
            </w:pPr>
          </w:p>
        </w:tc>
        <w:tc>
          <w:tcPr>
            <w:tcW w:w="872" w:type="dxa"/>
            <w:noWrap w:val="0"/>
            <w:vAlign w:val="center"/>
          </w:tcPr>
          <w:p w14:paraId="36530230">
            <w:pPr>
              <w:jc w:val="center"/>
              <w:rPr>
                <w:rFonts w:hint="eastAsia" w:ascii="宋体" w:hAnsi="宋体"/>
                <w:szCs w:val="21"/>
              </w:rPr>
            </w:pPr>
          </w:p>
        </w:tc>
        <w:tc>
          <w:tcPr>
            <w:tcW w:w="765" w:type="dxa"/>
            <w:noWrap w:val="0"/>
            <w:vAlign w:val="center"/>
          </w:tcPr>
          <w:p w14:paraId="09C99CCE">
            <w:pPr>
              <w:jc w:val="center"/>
              <w:rPr>
                <w:rFonts w:hint="eastAsia" w:ascii="宋体" w:hAnsi="宋体"/>
                <w:szCs w:val="21"/>
              </w:rPr>
            </w:pPr>
          </w:p>
        </w:tc>
      </w:tr>
      <w:tr w14:paraId="2D27E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3160001">
            <w:pPr>
              <w:jc w:val="center"/>
              <w:rPr>
                <w:rFonts w:hint="eastAsia" w:ascii="宋体" w:hAnsi="宋体"/>
                <w:szCs w:val="21"/>
              </w:rPr>
            </w:pPr>
          </w:p>
        </w:tc>
        <w:tc>
          <w:tcPr>
            <w:tcW w:w="1064" w:type="dxa"/>
            <w:noWrap w:val="0"/>
            <w:vAlign w:val="center"/>
          </w:tcPr>
          <w:p w14:paraId="155546E3">
            <w:pPr>
              <w:jc w:val="center"/>
              <w:rPr>
                <w:rFonts w:hint="eastAsia" w:ascii="宋体" w:hAnsi="宋体"/>
                <w:szCs w:val="21"/>
              </w:rPr>
            </w:pPr>
          </w:p>
        </w:tc>
        <w:tc>
          <w:tcPr>
            <w:tcW w:w="672" w:type="dxa"/>
            <w:noWrap w:val="0"/>
            <w:vAlign w:val="center"/>
          </w:tcPr>
          <w:p w14:paraId="2EF6C8C5">
            <w:pPr>
              <w:jc w:val="center"/>
              <w:rPr>
                <w:rFonts w:hint="eastAsia" w:ascii="宋体" w:hAnsi="宋体"/>
                <w:szCs w:val="21"/>
              </w:rPr>
            </w:pPr>
          </w:p>
        </w:tc>
        <w:tc>
          <w:tcPr>
            <w:tcW w:w="1022" w:type="dxa"/>
            <w:noWrap w:val="0"/>
            <w:vAlign w:val="center"/>
          </w:tcPr>
          <w:p w14:paraId="68A59155">
            <w:pPr>
              <w:jc w:val="center"/>
              <w:rPr>
                <w:rFonts w:hint="eastAsia" w:ascii="宋体" w:hAnsi="宋体"/>
                <w:szCs w:val="21"/>
              </w:rPr>
            </w:pPr>
          </w:p>
        </w:tc>
        <w:tc>
          <w:tcPr>
            <w:tcW w:w="709" w:type="dxa"/>
            <w:noWrap w:val="0"/>
            <w:vAlign w:val="center"/>
          </w:tcPr>
          <w:p w14:paraId="573506E7">
            <w:pPr>
              <w:jc w:val="center"/>
              <w:rPr>
                <w:rFonts w:hint="eastAsia" w:ascii="宋体" w:hAnsi="宋体"/>
                <w:szCs w:val="21"/>
              </w:rPr>
            </w:pPr>
          </w:p>
        </w:tc>
        <w:tc>
          <w:tcPr>
            <w:tcW w:w="709" w:type="dxa"/>
            <w:noWrap w:val="0"/>
            <w:vAlign w:val="center"/>
          </w:tcPr>
          <w:p w14:paraId="428988B5">
            <w:pPr>
              <w:jc w:val="center"/>
              <w:rPr>
                <w:rFonts w:hint="eastAsia" w:ascii="宋体" w:hAnsi="宋体"/>
                <w:szCs w:val="21"/>
              </w:rPr>
            </w:pPr>
          </w:p>
        </w:tc>
        <w:tc>
          <w:tcPr>
            <w:tcW w:w="1176" w:type="dxa"/>
            <w:noWrap w:val="0"/>
            <w:vAlign w:val="center"/>
          </w:tcPr>
          <w:p w14:paraId="4DAFEE19">
            <w:pPr>
              <w:jc w:val="center"/>
              <w:rPr>
                <w:rFonts w:hint="eastAsia" w:ascii="宋体" w:hAnsi="宋体"/>
                <w:szCs w:val="21"/>
              </w:rPr>
            </w:pPr>
          </w:p>
        </w:tc>
        <w:tc>
          <w:tcPr>
            <w:tcW w:w="872" w:type="dxa"/>
            <w:noWrap w:val="0"/>
            <w:vAlign w:val="center"/>
          </w:tcPr>
          <w:p w14:paraId="11F48A2E">
            <w:pPr>
              <w:jc w:val="center"/>
              <w:rPr>
                <w:rFonts w:hint="eastAsia" w:ascii="宋体" w:hAnsi="宋体"/>
                <w:szCs w:val="21"/>
              </w:rPr>
            </w:pPr>
          </w:p>
        </w:tc>
        <w:tc>
          <w:tcPr>
            <w:tcW w:w="872" w:type="dxa"/>
            <w:noWrap w:val="0"/>
            <w:vAlign w:val="center"/>
          </w:tcPr>
          <w:p w14:paraId="57B3EB8F">
            <w:pPr>
              <w:jc w:val="center"/>
              <w:rPr>
                <w:rFonts w:hint="eastAsia" w:ascii="宋体" w:hAnsi="宋体"/>
                <w:szCs w:val="21"/>
              </w:rPr>
            </w:pPr>
          </w:p>
        </w:tc>
        <w:tc>
          <w:tcPr>
            <w:tcW w:w="765" w:type="dxa"/>
            <w:noWrap w:val="0"/>
            <w:vAlign w:val="center"/>
          </w:tcPr>
          <w:p w14:paraId="23580949">
            <w:pPr>
              <w:jc w:val="center"/>
              <w:rPr>
                <w:rFonts w:hint="eastAsia" w:ascii="宋体" w:hAnsi="宋体"/>
                <w:szCs w:val="21"/>
              </w:rPr>
            </w:pPr>
          </w:p>
        </w:tc>
      </w:tr>
      <w:tr w14:paraId="36C65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8FE1D41">
            <w:pPr>
              <w:jc w:val="center"/>
              <w:rPr>
                <w:rFonts w:hint="eastAsia" w:ascii="宋体" w:hAnsi="宋体"/>
                <w:szCs w:val="21"/>
              </w:rPr>
            </w:pPr>
          </w:p>
        </w:tc>
        <w:tc>
          <w:tcPr>
            <w:tcW w:w="1064" w:type="dxa"/>
            <w:noWrap w:val="0"/>
            <w:vAlign w:val="center"/>
          </w:tcPr>
          <w:p w14:paraId="486815F2">
            <w:pPr>
              <w:jc w:val="center"/>
              <w:rPr>
                <w:rFonts w:hint="eastAsia" w:ascii="宋体" w:hAnsi="宋体"/>
                <w:szCs w:val="21"/>
              </w:rPr>
            </w:pPr>
          </w:p>
        </w:tc>
        <w:tc>
          <w:tcPr>
            <w:tcW w:w="672" w:type="dxa"/>
            <w:noWrap w:val="0"/>
            <w:vAlign w:val="center"/>
          </w:tcPr>
          <w:p w14:paraId="53831C16">
            <w:pPr>
              <w:jc w:val="center"/>
              <w:rPr>
                <w:rFonts w:hint="eastAsia" w:ascii="宋体" w:hAnsi="宋体"/>
                <w:szCs w:val="21"/>
              </w:rPr>
            </w:pPr>
          </w:p>
        </w:tc>
        <w:tc>
          <w:tcPr>
            <w:tcW w:w="1022" w:type="dxa"/>
            <w:noWrap w:val="0"/>
            <w:vAlign w:val="center"/>
          </w:tcPr>
          <w:p w14:paraId="48B48D8B">
            <w:pPr>
              <w:jc w:val="center"/>
              <w:rPr>
                <w:rFonts w:hint="eastAsia" w:ascii="宋体" w:hAnsi="宋体"/>
                <w:szCs w:val="21"/>
              </w:rPr>
            </w:pPr>
          </w:p>
        </w:tc>
        <w:tc>
          <w:tcPr>
            <w:tcW w:w="709" w:type="dxa"/>
            <w:noWrap w:val="0"/>
            <w:vAlign w:val="center"/>
          </w:tcPr>
          <w:p w14:paraId="01D7908F">
            <w:pPr>
              <w:jc w:val="center"/>
              <w:rPr>
                <w:rFonts w:hint="eastAsia" w:ascii="宋体" w:hAnsi="宋体"/>
                <w:szCs w:val="21"/>
              </w:rPr>
            </w:pPr>
          </w:p>
        </w:tc>
        <w:tc>
          <w:tcPr>
            <w:tcW w:w="709" w:type="dxa"/>
            <w:noWrap w:val="0"/>
            <w:vAlign w:val="center"/>
          </w:tcPr>
          <w:p w14:paraId="66E57B6A">
            <w:pPr>
              <w:jc w:val="center"/>
              <w:rPr>
                <w:rFonts w:hint="eastAsia" w:ascii="宋体" w:hAnsi="宋体"/>
                <w:szCs w:val="21"/>
              </w:rPr>
            </w:pPr>
          </w:p>
        </w:tc>
        <w:tc>
          <w:tcPr>
            <w:tcW w:w="1176" w:type="dxa"/>
            <w:noWrap w:val="0"/>
            <w:vAlign w:val="center"/>
          </w:tcPr>
          <w:p w14:paraId="0D1FFA7F">
            <w:pPr>
              <w:jc w:val="center"/>
              <w:rPr>
                <w:rFonts w:hint="eastAsia" w:ascii="宋体" w:hAnsi="宋体"/>
                <w:szCs w:val="21"/>
              </w:rPr>
            </w:pPr>
          </w:p>
        </w:tc>
        <w:tc>
          <w:tcPr>
            <w:tcW w:w="872" w:type="dxa"/>
            <w:noWrap w:val="0"/>
            <w:vAlign w:val="center"/>
          </w:tcPr>
          <w:p w14:paraId="698559E6">
            <w:pPr>
              <w:jc w:val="center"/>
              <w:rPr>
                <w:rFonts w:hint="eastAsia" w:ascii="宋体" w:hAnsi="宋体"/>
                <w:szCs w:val="21"/>
              </w:rPr>
            </w:pPr>
          </w:p>
        </w:tc>
        <w:tc>
          <w:tcPr>
            <w:tcW w:w="872" w:type="dxa"/>
            <w:noWrap w:val="0"/>
            <w:vAlign w:val="center"/>
          </w:tcPr>
          <w:p w14:paraId="43B678AC">
            <w:pPr>
              <w:jc w:val="center"/>
              <w:rPr>
                <w:rFonts w:hint="eastAsia" w:ascii="宋体" w:hAnsi="宋体"/>
                <w:szCs w:val="21"/>
              </w:rPr>
            </w:pPr>
          </w:p>
        </w:tc>
        <w:tc>
          <w:tcPr>
            <w:tcW w:w="765" w:type="dxa"/>
            <w:noWrap w:val="0"/>
            <w:vAlign w:val="center"/>
          </w:tcPr>
          <w:p w14:paraId="04A2ECF7">
            <w:pPr>
              <w:jc w:val="center"/>
              <w:rPr>
                <w:rFonts w:hint="eastAsia" w:ascii="宋体" w:hAnsi="宋体"/>
                <w:szCs w:val="21"/>
              </w:rPr>
            </w:pPr>
          </w:p>
        </w:tc>
      </w:tr>
      <w:tr w14:paraId="3362E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5E8103F">
            <w:pPr>
              <w:jc w:val="center"/>
              <w:rPr>
                <w:rFonts w:hint="eastAsia" w:ascii="宋体" w:hAnsi="宋体"/>
                <w:szCs w:val="21"/>
              </w:rPr>
            </w:pPr>
          </w:p>
        </w:tc>
        <w:tc>
          <w:tcPr>
            <w:tcW w:w="1064" w:type="dxa"/>
            <w:noWrap w:val="0"/>
            <w:vAlign w:val="center"/>
          </w:tcPr>
          <w:p w14:paraId="2C19DCF8">
            <w:pPr>
              <w:jc w:val="center"/>
              <w:rPr>
                <w:rFonts w:hint="eastAsia" w:ascii="宋体" w:hAnsi="宋体"/>
                <w:szCs w:val="21"/>
              </w:rPr>
            </w:pPr>
          </w:p>
        </w:tc>
        <w:tc>
          <w:tcPr>
            <w:tcW w:w="672" w:type="dxa"/>
            <w:noWrap w:val="0"/>
            <w:vAlign w:val="center"/>
          </w:tcPr>
          <w:p w14:paraId="5B2BC80A">
            <w:pPr>
              <w:jc w:val="center"/>
              <w:rPr>
                <w:rFonts w:hint="eastAsia" w:ascii="宋体" w:hAnsi="宋体"/>
                <w:szCs w:val="21"/>
              </w:rPr>
            </w:pPr>
          </w:p>
        </w:tc>
        <w:tc>
          <w:tcPr>
            <w:tcW w:w="1022" w:type="dxa"/>
            <w:noWrap w:val="0"/>
            <w:vAlign w:val="center"/>
          </w:tcPr>
          <w:p w14:paraId="33517B7A">
            <w:pPr>
              <w:jc w:val="center"/>
              <w:rPr>
                <w:rFonts w:hint="eastAsia" w:ascii="宋体" w:hAnsi="宋体"/>
                <w:szCs w:val="21"/>
              </w:rPr>
            </w:pPr>
          </w:p>
        </w:tc>
        <w:tc>
          <w:tcPr>
            <w:tcW w:w="709" w:type="dxa"/>
            <w:noWrap w:val="0"/>
            <w:vAlign w:val="center"/>
          </w:tcPr>
          <w:p w14:paraId="473BF525">
            <w:pPr>
              <w:jc w:val="center"/>
              <w:rPr>
                <w:rFonts w:hint="eastAsia" w:ascii="宋体" w:hAnsi="宋体"/>
                <w:szCs w:val="21"/>
              </w:rPr>
            </w:pPr>
          </w:p>
        </w:tc>
        <w:tc>
          <w:tcPr>
            <w:tcW w:w="709" w:type="dxa"/>
            <w:noWrap w:val="0"/>
            <w:vAlign w:val="center"/>
          </w:tcPr>
          <w:p w14:paraId="25EAA1FF">
            <w:pPr>
              <w:jc w:val="center"/>
              <w:rPr>
                <w:rFonts w:hint="eastAsia" w:ascii="宋体" w:hAnsi="宋体"/>
                <w:szCs w:val="21"/>
              </w:rPr>
            </w:pPr>
          </w:p>
        </w:tc>
        <w:tc>
          <w:tcPr>
            <w:tcW w:w="1176" w:type="dxa"/>
            <w:noWrap w:val="0"/>
            <w:vAlign w:val="center"/>
          </w:tcPr>
          <w:p w14:paraId="5CA27BC3">
            <w:pPr>
              <w:jc w:val="center"/>
              <w:rPr>
                <w:rFonts w:hint="eastAsia" w:ascii="宋体" w:hAnsi="宋体"/>
                <w:szCs w:val="21"/>
              </w:rPr>
            </w:pPr>
          </w:p>
        </w:tc>
        <w:tc>
          <w:tcPr>
            <w:tcW w:w="872" w:type="dxa"/>
            <w:noWrap w:val="0"/>
            <w:vAlign w:val="center"/>
          </w:tcPr>
          <w:p w14:paraId="2D6CB335">
            <w:pPr>
              <w:jc w:val="center"/>
              <w:rPr>
                <w:rFonts w:hint="eastAsia" w:ascii="宋体" w:hAnsi="宋体"/>
                <w:szCs w:val="21"/>
              </w:rPr>
            </w:pPr>
          </w:p>
        </w:tc>
        <w:tc>
          <w:tcPr>
            <w:tcW w:w="872" w:type="dxa"/>
            <w:noWrap w:val="0"/>
            <w:vAlign w:val="center"/>
          </w:tcPr>
          <w:p w14:paraId="0FDCE262">
            <w:pPr>
              <w:jc w:val="center"/>
              <w:rPr>
                <w:rFonts w:hint="eastAsia" w:ascii="宋体" w:hAnsi="宋体"/>
                <w:szCs w:val="21"/>
              </w:rPr>
            </w:pPr>
          </w:p>
        </w:tc>
        <w:tc>
          <w:tcPr>
            <w:tcW w:w="765" w:type="dxa"/>
            <w:noWrap w:val="0"/>
            <w:vAlign w:val="center"/>
          </w:tcPr>
          <w:p w14:paraId="2E0F244E">
            <w:pPr>
              <w:jc w:val="center"/>
              <w:rPr>
                <w:rFonts w:hint="eastAsia" w:ascii="宋体" w:hAnsi="宋体"/>
                <w:szCs w:val="21"/>
              </w:rPr>
            </w:pPr>
          </w:p>
        </w:tc>
      </w:tr>
      <w:tr w14:paraId="52C4A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778725C">
            <w:pPr>
              <w:jc w:val="center"/>
              <w:rPr>
                <w:rFonts w:hint="eastAsia" w:ascii="宋体" w:hAnsi="宋体"/>
                <w:szCs w:val="21"/>
              </w:rPr>
            </w:pPr>
          </w:p>
        </w:tc>
        <w:tc>
          <w:tcPr>
            <w:tcW w:w="1064" w:type="dxa"/>
            <w:noWrap w:val="0"/>
            <w:vAlign w:val="center"/>
          </w:tcPr>
          <w:p w14:paraId="21C57F57">
            <w:pPr>
              <w:jc w:val="center"/>
              <w:rPr>
                <w:rFonts w:hint="eastAsia" w:ascii="宋体" w:hAnsi="宋体"/>
                <w:szCs w:val="21"/>
              </w:rPr>
            </w:pPr>
          </w:p>
        </w:tc>
        <w:tc>
          <w:tcPr>
            <w:tcW w:w="672" w:type="dxa"/>
            <w:noWrap w:val="0"/>
            <w:vAlign w:val="center"/>
          </w:tcPr>
          <w:p w14:paraId="09F9A1CF">
            <w:pPr>
              <w:jc w:val="center"/>
              <w:rPr>
                <w:rFonts w:hint="eastAsia" w:ascii="宋体" w:hAnsi="宋体"/>
                <w:szCs w:val="21"/>
              </w:rPr>
            </w:pPr>
          </w:p>
        </w:tc>
        <w:tc>
          <w:tcPr>
            <w:tcW w:w="1022" w:type="dxa"/>
            <w:noWrap w:val="0"/>
            <w:vAlign w:val="center"/>
          </w:tcPr>
          <w:p w14:paraId="57EB69EC">
            <w:pPr>
              <w:jc w:val="center"/>
              <w:rPr>
                <w:rFonts w:hint="eastAsia" w:ascii="宋体" w:hAnsi="宋体"/>
                <w:szCs w:val="21"/>
              </w:rPr>
            </w:pPr>
          </w:p>
        </w:tc>
        <w:tc>
          <w:tcPr>
            <w:tcW w:w="709" w:type="dxa"/>
            <w:noWrap w:val="0"/>
            <w:vAlign w:val="center"/>
          </w:tcPr>
          <w:p w14:paraId="2490AA53">
            <w:pPr>
              <w:jc w:val="center"/>
              <w:rPr>
                <w:rFonts w:hint="eastAsia" w:ascii="宋体" w:hAnsi="宋体"/>
                <w:szCs w:val="21"/>
              </w:rPr>
            </w:pPr>
          </w:p>
        </w:tc>
        <w:tc>
          <w:tcPr>
            <w:tcW w:w="709" w:type="dxa"/>
            <w:noWrap w:val="0"/>
            <w:vAlign w:val="center"/>
          </w:tcPr>
          <w:p w14:paraId="1C247BB4">
            <w:pPr>
              <w:jc w:val="center"/>
              <w:rPr>
                <w:rFonts w:hint="eastAsia" w:ascii="宋体" w:hAnsi="宋体"/>
                <w:szCs w:val="21"/>
              </w:rPr>
            </w:pPr>
          </w:p>
        </w:tc>
        <w:tc>
          <w:tcPr>
            <w:tcW w:w="1176" w:type="dxa"/>
            <w:noWrap w:val="0"/>
            <w:vAlign w:val="center"/>
          </w:tcPr>
          <w:p w14:paraId="598A7A63">
            <w:pPr>
              <w:jc w:val="center"/>
              <w:rPr>
                <w:rFonts w:hint="eastAsia" w:ascii="宋体" w:hAnsi="宋体"/>
                <w:szCs w:val="21"/>
              </w:rPr>
            </w:pPr>
          </w:p>
        </w:tc>
        <w:tc>
          <w:tcPr>
            <w:tcW w:w="872" w:type="dxa"/>
            <w:noWrap w:val="0"/>
            <w:vAlign w:val="center"/>
          </w:tcPr>
          <w:p w14:paraId="7140FF64">
            <w:pPr>
              <w:jc w:val="center"/>
              <w:rPr>
                <w:rFonts w:hint="eastAsia" w:ascii="宋体" w:hAnsi="宋体"/>
                <w:szCs w:val="21"/>
              </w:rPr>
            </w:pPr>
          </w:p>
        </w:tc>
        <w:tc>
          <w:tcPr>
            <w:tcW w:w="872" w:type="dxa"/>
            <w:noWrap w:val="0"/>
            <w:vAlign w:val="center"/>
          </w:tcPr>
          <w:p w14:paraId="603DA27A">
            <w:pPr>
              <w:jc w:val="center"/>
              <w:rPr>
                <w:rFonts w:hint="eastAsia" w:ascii="宋体" w:hAnsi="宋体"/>
                <w:szCs w:val="21"/>
              </w:rPr>
            </w:pPr>
          </w:p>
        </w:tc>
        <w:tc>
          <w:tcPr>
            <w:tcW w:w="765" w:type="dxa"/>
            <w:noWrap w:val="0"/>
            <w:vAlign w:val="center"/>
          </w:tcPr>
          <w:p w14:paraId="607CF01E">
            <w:pPr>
              <w:jc w:val="center"/>
              <w:rPr>
                <w:rFonts w:hint="eastAsia" w:ascii="宋体" w:hAnsi="宋体"/>
                <w:szCs w:val="21"/>
              </w:rPr>
            </w:pPr>
          </w:p>
        </w:tc>
      </w:tr>
      <w:tr w14:paraId="1A6F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E509A08">
            <w:pPr>
              <w:jc w:val="center"/>
              <w:rPr>
                <w:rFonts w:hint="eastAsia" w:ascii="宋体" w:hAnsi="宋体"/>
                <w:szCs w:val="21"/>
              </w:rPr>
            </w:pPr>
          </w:p>
        </w:tc>
        <w:tc>
          <w:tcPr>
            <w:tcW w:w="1064" w:type="dxa"/>
            <w:noWrap w:val="0"/>
            <w:vAlign w:val="center"/>
          </w:tcPr>
          <w:p w14:paraId="60AC3200">
            <w:pPr>
              <w:jc w:val="center"/>
              <w:rPr>
                <w:rFonts w:hint="eastAsia" w:ascii="宋体" w:hAnsi="宋体"/>
                <w:szCs w:val="21"/>
              </w:rPr>
            </w:pPr>
          </w:p>
        </w:tc>
        <w:tc>
          <w:tcPr>
            <w:tcW w:w="672" w:type="dxa"/>
            <w:noWrap w:val="0"/>
            <w:vAlign w:val="center"/>
          </w:tcPr>
          <w:p w14:paraId="36CC76BE">
            <w:pPr>
              <w:jc w:val="center"/>
              <w:rPr>
                <w:rFonts w:hint="eastAsia" w:ascii="宋体" w:hAnsi="宋体"/>
                <w:szCs w:val="21"/>
              </w:rPr>
            </w:pPr>
          </w:p>
        </w:tc>
        <w:tc>
          <w:tcPr>
            <w:tcW w:w="1022" w:type="dxa"/>
            <w:noWrap w:val="0"/>
            <w:vAlign w:val="center"/>
          </w:tcPr>
          <w:p w14:paraId="14F6CE27">
            <w:pPr>
              <w:jc w:val="center"/>
              <w:rPr>
                <w:rFonts w:hint="eastAsia" w:ascii="宋体" w:hAnsi="宋体"/>
                <w:szCs w:val="21"/>
              </w:rPr>
            </w:pPr>
          </w:p>
        </w:tc>
        <w:tc>
          <w:tcPr>
            <w:tcW w:w="709" w:type="dxa"/>
            <w:noWrap w:val="0"/>
            <w:vAlign w:val="center"/>
          </w:tcPr>
          <w:p w14:paraId="459E1219">
            <w:pPr>
              <w:jc w:val="center"/>
              <w:rPr>
                <w:rFonts w:hint="eastAsia" w:ascii="宋体" w:hAnsi="宋体"/>
                <w:szCs w:val="21"/>
              </w:rPr>
            </w:pPr>
          </w:p>
        </w:tc>
        <w:tc>
          <w:tcPr>
            <w:tcW w:w="709" w:type="dxa"/>
            <w:noWrap w:val="0"/>
            <w:vAlign w:val="center"/>
          </w:tcPr>
          <w:p w14:paraId="2C0AF26C">
            <w:pPr>
              <w:jc w:val="center"/>
              <w:rPr>
                <w:rFonts w:hint="eastAsia" w:ascii="宋体" w:hAnsi="宋体"/>
                <w:szCs w:val="21"/>
              </w:rPr>
            </w:pPr>
          </w:p>
        </w:tc>
        <w:tc>
          <w:tcPr>
            <w:tcW w:w="1176" w:type="dxa"/>
            <w:noWrap w:val="0"/>
            <w:vAlign w:val="center"/>
          </w:tcPr>
          <w:p w14:paraId="12498D9C">
            <w:pPr>
              <w:jc w:val="center"/>
              <w:rPr>
                <w:rFonts w:hint="eastAsia" w:ascii="宋体" w:hAnsi="宋体"/>
                <w:szCs w:val="21"/>
              </w:rPr>
            </w:pPr>
          </w:p>
        </w:tc>
        <w:tc>
          <w:tcPr>
            <w:tcW w:w="872" w:type="dxa"/>
            <w:noWrap w:val="0"/>
            <w:vAlign w:val="center"/>
          </w:tcPr>
          <w:p w14:paraId="4A530CFC">
            <w:pPr>
              <w:jc w:val="center"/>
              <w:rPr>
                <w:rFonts w:hint="eastAsia" w:ascii="宋体" w:hAnsi="宋体"/>
                <w:szCs w:val="21"/>
              </w:rPr>
            </w:pPr>
          </w:p>
        </w:tc>
        <w:tc>
          <w:tcPr>
            <w:tcW w:w="872" w:type="dxa"/>
            <w:noWrap w:val="0"/>
            <w:vAlign w:val="center"/>
          </w:tcPr>
          <w:p w14:paraId="397494DD">
            <w:pPr>
              <w:jc w:val="center"/>
              <w:rPr>
                <w:rFonts w:hint="eastAsia" w:ascii="宋体" w:hAnsi="宋体"/>
                <w:szCs w:val="21"/>
              </w:rPr>
            </w:pPr>
          </w:p>
        </w:tc>
        <w:tc>
          <w:tcPr>
            <w:tcW w:w="765" w:type="dxa"/>
            <w:noWrap w:val="0"/>
            <w:vAlign w:val="center"/>
          </w:tcPr>
          <w:p w14:paraId="6EA43C47">
            <w:pPr>
              <w:jc w:val="center"/>
              <w:rPr>
                <w:rFonts w:hint="eastAsia" w:ascii="宋体" w:hAnsi="宋体"/>
                <w:szCs w:val="21"/>
              </w:rPr>
            </w:pPr>
          </w:p>
        </w:tc>
      </w:tr>
      <w:tr w14:paraId="1944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EAE331">
            <w:pPr>
              <w:jc w:val="center"/>
              <w:rPr>
                <w:rFonts w:hint="eastAsia" w:ascii="宋体" w:hAnsi="宋体"/>
                <w:szCs w:val="21"/>
              </w:rPr>
            </w:pPr>
          </w:p>
        </w:tc>
        <w:tc>
          <w:tcPr>
            <w:tcW w:w="1064" w:type="dxa"/>
            <w:noWrap w:val="0"/>
            <w:vAlign w:val="center"/>
          </w:tcPr>
          <w:p w14:paraId="13775350">
            <w:pPr>
              <w:jc w:val="center"/>
              <w:rPr>
                <w:rFonts w:hint="eastAsia" w:ascii="宋体" w:hAnsi="宋体"/>
                <w:szCs w:val="21"/>
              </w:rPr>
            </w:pPr>
          </w:p>
        </w:tc>
        <w:tc>
          <w:tcPr>
            <w:tcW w:w="672" w:type="dxa"/>
            <w:noWrap w:val="0"/>
            <w:vAlign w:val="center"/>
          </w:tcPr>
          <w:p w14:paraId="05B46E3B">
            <w:pPr>
              <w:jc w:val="center"/>
              <w:rPr>
                <w:rFonts w:hint="eastAsia" w:ascii="宋体" w:hAnsi="宋体"/>
                <w:szCs w:val="21"/>
              </w:rPr>
            </w:pPr>
          </w:p>
        </w:tc>
        <w:tc>
          <w:tcPr>
            <w:tcW w:w="1022" w:type="dxa"/>
            <w:noWrap w:val="0"/>
            <w:vAlign w:val="center"/>
          </w:tcPr>
          <w:p w14:paraId="3DEFF5A7">
            <w:pPr>
              <w:jc w:val="center"/>
              <w:rPr>
                <w:rFonts w:hint="eastAsia" w:ascii="宋体" w:hAnsi="宋体"/>
                <w:szCs w:val="21"/>
              </w:rPr>
            </w:pPr>
          </w:p>
        </w:tc>
        <w:tc>
          <w:tcPr>
            <w:tcW w:w="709" w:type="dxa"/>
            <w:noWrap w:val="0"/>
            <w:vAlign w:val="center"/>
          </w:tcPr>
          <w:p w14:paraId="1CCA7251">
            <w:pPr>
              <w:jc w:val="center"/>
              <w:rPr>
                <w:rFonts w:hint="eastAsia" w:ascii="宋体" w:hAnsi="宋体"/>
                <w:szCs w:val="21"/>
              </w:rPr>
            </w:pPr>
          </w:p>
        </w:tc>
        <w:tc>
          <w:tcPr>
            <w:tcW w:w="709" w:type="dxa"/>
            <w:noWrap w:val="0"/>
            <w:vAlign w:val="center"/>
          </w:tcPr>
          <w:p w14:paraId="56523DB2">
            <w:pPr>
              <w:jc w:val="center"/>
              <w:rPr>
                <w:rFonts w:hint="eastAsia" w:ascii="宋体" w:hAnsi="宋体"/>
                <w:szCs w:val="21"/>
              </w:rPr>
            </w:pPr>
          </w:p>
        </w:tc>
        <w:tc>
          <w:tcPr>
            <w:tcW w:w="1176" w:type="dxa"/>
            <w:noWrap w:val="0"/>
            <w:vAlign w:val="center"/>
          </w:tcPr>
          <w:p w14:paraId="1BD6EB4B">
            <w:pPr>
              <w:jc w:val="center"/>
              <w:rPr>
                <w:rFonts w:hint="eastAsia" w:ascii="宋体" w:hAnsi="宋体"/>
                <w:szCs w:val="21"/>
              </w:rPr>
            </w:pPr>
          </w:p>
        </w:tc>
        <w:tc>
          <w:tcPr>
            <w:tcW w:w="872" w:type="dxa"/>
            <w:noWrap w:val="0"/>
            <w:vAlign w:val="center"/>
          </w:tcPr>
          <w:p w14:paraId="21D921A4">
            <w:pPr>
              <w:jc w:val="center"/>
              <w:rPr>
                <w:rFonts w:hint="eastAsia" w:ascii="宋体" w:hAnsi="宋体"/>
                <w:szCs w:val="21"/>
              </w:rPr>
            </w:pPr>
          </w:p>
        </w:tc>
        <w:tc>
          <w:tcPr>
            <w:tcW w:w="872" w:type="dxa"/>
            <w:noWrap w:val="0"/>
            <w:vAlign w:val="center"/>
          </w:tcPr>
          <w:p w14:paraId="3E910910">
            <w:pPr>
              <w:jc w:val="center"/>
              <w:rPr>
                <w:rFonts w:hint="eastAsia" w:ascii="宋体" w:hAnsi="宋体"/>
                <w:szCs w:val="21"/>
              </w:rPr>
            </w:pPr>
          </w:p>
        </w:tc>
        <w:tc>
          <w:tcPr>
            <w:tcW w:w="765" w:type="dxa"/>
            <w:noWrap w:val="0"/>
            <w:vAlign w:val="center"/>
          </w:tcPr>
          <w:p w14:paraId="7BE8FC72">
            <w:pPr>
              <w:jc w:val="center"/>
              <w:rPr>
                <w:rFonts w:hint="eastAsia" w:ascii="宋体" w:hAnsi="宋体"/>
                <w:szCs w:val="21"/>
              </w:rPr>
            </w:pPr>
          </w:p>
        </w:tc>
      </w:tr>
      <w:tr w14:paraId="0FD08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CA28EFD">
            <w:pPr>
              <w:jc w:val="center"/>
              <w:rPr>
                <w:rFonts w:hint="eastAsia" w:ascii="宋体" w:hAnsi="宋体"/>
                <w:szCs w:val="21"/>
              </w:rPr>
            </w:pPr>
          </w:p>
        </w:tc>
        <w:tc>
          <w:tcPr>
            <w:tcW w:w="1064" w:type="dxa"/>
            <w:noWrap w:val="0"/>
            <w:vAlign w:val="center"/>
          </w:tcPr>
          <w:p w14:paraId="4B9B1E2F">
            <w:pPr>
              <w:jc w:val="center"/>
              <w:rPr>
                <w:rFonts w:hint="eastAsia" w:ascii="宋体" w:hAnsi="宋体"/>
                <w:szCs w:val="21"/>
              </w:rPr>
            </w:pPr>
          </w:p>
        </w:tc>
        <w:tc>
          <w:tcPr>
            <w:tcW w:w="672" w:type="dxa"/>
            <w:noWrap w:val="0"/>
            <w:vAlign w:val="center"/>
          </w:tcPr>
          <w:p w14:paraId="28CE14FC">
            <w:pPr>
              <w:jc w:val="center"/>
              <w:rPr>
                <w:rFonts w:hint="eastAsia" w:ascii="宋体" w:hAnsi="宋体"/>
                <w:szCs w:val="21"/>
              </w:rPr>
            </w:pPr>
          </w:p>
        </w:tc>
        <w:tc>
          <w:tcPr>
            <w:tcW w:w="1022" w:type="dxa"/>
            <w:noWrap w:val="0"/>
            <w:vAlign w:val="center"/>
          </w:tcPr>
          <w:p w14:paraId="7B978BC6">
            <w:pPr>
              <w:jc w:val="center"/>
              <w:rPr>
                <w:rFonts w:hint="eastAsia" w:ascii="宋体" w:hAnsi="宋体"/>
                <w:szCs w:val="21"/>
              </w:rPr>
            </w:pPr>
          </w:p>
        </w:tc>
        <w:tc>
          <w:tcPr>
            <w:tcW w:w="709" w:type="dxa"/>
            <w:noWrap w:val="0"/>
            <w:vAlign w:val="center"/>
          </w:tcPr>
          <w:p w14:paraId="6D08731F">
            <w:pPr>
              <w:jc w:val="center"/>
              <w:rPr>
                <w:rFonts w:hint="eastAsia" w:ascii="宋体" w:hAnsi="宋体"/>
                <w:szCs w:val="21"/>
              </w:rPr>
            </w:pPr>
          </w:p>
        </w:tc>
        <w:tc>
          <w:tcPr>
            <w:tcW w:w="709" w:type="dxa"/>
            <w:noWrap w:val="0"/>
            <w:vAlign w:val="center"/>
          </w:tcPr>
          <w:p w14:paraId="10A41BEC">
            <w:pPr>
              <w:jc w:val="center"/>
              <w:rPr>
                <w:rFonts w:hint="eastAsia" w:ascii="宋体" w:hAnsi="宋体"/>
                <w:szCs w:val="21"/>
              </w:rPr>
            </w:pPr>
          </w:p>
        </w:tc>
        <w:tc>
          <w:tcPr>
            <w:tcW w:w="1176" w:type="dxa"/>
            <w:noWrap w:val="0"/>
            <w:vAlign w:val="center"/>
          </w:tcPr>
          <w:p w14:paraId="4B068431">
            <w:pPr>
              <w:jc w:val="center"/>
              <w:rPr>
                <w:rFonts w:hint="eastAsia" w:ascii="宋体" w:hAnsi="宋体"/>
                <w:szCs w:val="21"/>
              </w:rPr>
            </w:pPr>
          </w:p>
        </w:tc>
        <w:tc>
          <w:tcPr>
            <w:tcW w:w="872" w:type="dxa"/>
            <w:noWrap w:val="0"/>
            <w:vAlign w:val="center"/>
          </w:tcPr>
          <w:p w14:paraId="56F3A99A">
            <w:pPr>
              <w:jc w:val="center"/>
              <w:rPr>
                <w:rFonts w:hint="eastAsia" w:ascii="宋体" w:hAnsi="宋体"/>
                <w:szCs w:val="21"/>
              </w:rPr>
            </w:pPr>
          </w:p>
        </w:tc>
        <w:tc>
          <w:tcPr>
            <w:tcW w:w="872" w:type="dxa"/>
            <w:noWrap w:val="0"/>
            <w:vAlign w:val="center"/>
          </w:tcPr>
          <w:p w14:paraId="36FDA663">
            <w:pPr>
              <w:jc w:val="center"/>
              <w:rPr>
                <w:rFonts w:hint="eastAsia" w:ascii="宋体" w:hAnsi="宋体"/>
                <w:szCs w:val="21"/>
              </w:rPr>
            </w:pPr>
          </w:p>
        </w:tc>
        <w:tc>
          <w:tcPr>
            <w:tcW w:w="765" w:type="dxa"/>
            <w:noWrap w:val="0"/>
            <w:vAlign w:val="center"/>
          </w:tcPr>
          <w:p w14:paraId="1AC315D6">
            <w:pPr>
              <w:jc w:val="center"/>
              <w:rPr>
                <w:rFonts w:hint="eastAsia" w:ascii="宋体" w:hAnsi="宋体"/>
                <w:szCs w:val="21"/>
              </w:rPr>
            </w:pPr>
          </w:p>
        </w:tc>
      </w:tr>
    </w:tbl>
    <w:p w14:paraId="47A467D0">
      <w:pPr>
        <w:spacing w:line="420" w:lineRule="exact"/>
        <w:rPr>
          <w:rFonts w:hint="eastAsia" w:ascii="宋体" w:hAnsi="宋体"/>
          <w:szCs w:val="21"/>
        </w:rPr>
      </w:pPr>
    </w:p>
    <w:p w14:paraId="3DCCA564">
      <w:pPr>
        <w:spacing w:line="420" w:lineRule="exact"/>
        <w:rPr>
          <w:rFonts w:hint="eastAsia" w:ascii="宋体" w:hAnsi="宋体"/>
          <w:szCs w:val="21"/>
        </w:rPr>
      </w:pPr>
    </w:p>
    <w:p w14:paraId="5A350AD4">
      <w:pPr>
        <w:spacing w:line="420" w:lineRule="exact"/>
        <w:rPr>
          <w:rFonts w:hint="eastAsia" w:ascii="宋体" w:hAnsi="宋体"/>
          <w:szCs w:val="21"/>
        </w:rPr>
      </w:pPr>
    </w:p>
    <w:p w14:paraId="736E9FDA">
      <w:pPr>
        <w:spacing w:line="420" w:lineRule="exact"/>
        <w:rPr>
          <w:rFonts w:hint="eastAsia" w:ascii="宋体" w:hAnsi="宋体"/>
          <w:szCs w:val="21"/>
        </w:rPr>
      </w:pPr>
    </w:p>
    <w:p w14:paraId="09126FBF">
      <w:pPr>
        <w:spacing w:line="420" w:lineRule="exact"/>
        <w:rPr>
          <w:rFonts w:hint="eastAsia" w:ascii="宋体" w:hAnsi="宋体"/>
          <w:szCs w:val="21"/>
        </w:rPr>
      </w:pPr>
    </w:p>
    <w:p w14:paraId="13E5E2F1">
      <w:pPr>
        <w:pStyle w:val="20"/>
        <w:rPr>
          <w:rFonts w:hint="eastAsia" w:ascii="黑体" w:hAnsi="宋体"/>
          <w:szCs w:val="24"/>
        </w:rPr>
      </w:pPr>
      <w:bookmarkStart w:id="2683" w:name="_Toc108514265"/>
      <w:r>
        <w:rPr>
          <w:rFonts w:hint="eastAsia"/>
          <w:szCs w:val="24"/>
        </w:rPr>
        <w:t>附表二：拟配备本工程的试验和检测仪器设备表</w:t>
      </w:r>
      <w:bookmarkEnd w:id="2683"/>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7CCE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644" w:type="dxa"/>
            <w:noWrap w:val="0"/>
            <w:vAlign w:val="center"/>
          </w:tcPr>
          <w:p w14:paraId="6E7A3EA1">
            <w:pPr>
              <w:jc w:val="center"/>
              <w:rPr>
                <w:rFonts w:hint="eastAsia" w:ascii="宋体" w:hAnsi="宋体"/>
                <w:szCs w:val="21"/>
              </w:rPr>
            </w:pPr>
            <w:r>
              <w:rPr>
                <w:rFonts w:hint="eastAsia" w:ascii="宋体" w:hAnsi="宋体"/>
                <w:szCs w:val="21"/>
              </w:rPr>
              <w:t>序号</w:t>
            </w:r>
          </w:p>
        </w:tc>
        <w:tc>
          <w:tcPr>
            <w:tcW w:w="1064" w:type="dxa"/>
            <w:noWrap w:val="0"/>
            <w:vAlign w:val="center"/>
          </w:tcPr>
          <w:p w14:paraId="3BC2E6D9">
            <w:pPr>
              <w:jc w:val="center"/>
              <w:rPr>
                <w:rFonts w:hint="eastAsia" w:ascii="宋体" w:hAnsi="宋体"/>
                <w:szCs w:val="21"/>
              </w:rPr>
            </w:pPr>
            <w:r>
              <w:rPr>
                <w:rFonts w:hint="eastAsia" w:ascii="宋体" w:hAnsi="宋体"/>
                <w:szCs w:val="21"/>
              </w:rPr>
              <w:t>仪器设备</w:t>
            </w:r>
          </w:p>
          <w:p w14:paraId="197DBBD7">
            <w:pPr>
              <w:jc w:val="center"/>
              <w:rPr>
                <w:rFonts w:hint="eastAsia" w:ascii="宋体" w:hAnsi="宋体"/>
                <w:szCs w:val="21"/>
              </w:rPr>
            </w:pPr>
            <w:r>
              <w:rPr>
                <w:rFonts w:hint="eastAsia" w:ascii="宋体" w:hAnsi="宋体"/>
                <w:szCs w:val="21"/>
              </w:rPr>
              <w:t>名    称</w:t>
            </w:r>
          </w:p>
        </w:tc>
        <w:tc>
          <w:tcPr>
            <w:tcW w:w="672" w:type="dxa"/>
            <w:noWrap w:val="0"/>
            <w:vAlign w:val="center"/>
          </w:tcPr>
          <w:p w14:paraId="3F0CC206">
            <w:pPr>
              <w:jc w:val="center"/>
              <w:rPr>
                <w:rFonts w:hint="eastAsia" w:ascii="宋体" w:hAnsi="宋体"/>
                <w:szCs w:val="21"/>
              </w:rPr>
            </w:pPr>
            <w:r>
              <w:rPr>
                <w:rFonts w:hint="eastAsia" w:ascii="宋体" w:hAnsi="宋体"/>
                <w:szCs w:val="21"/>
              </w:rPr>
              <w:t>型号</w:t>
            </w:r>
          </w:p>
          <w:p w14:paraId="505D0846">
            <w:pPr>
              <w:jc w:val="center"/>
              <w:rPr>
                <w:rFonts w:hint="eastAsia" w:ascii="宋体" w:hAnsi="宋体"/>
                <w:szCs w:val="21"/>
              </w:rPr>
            </w:pPr>
            <w:r>
              <w:rPr>
                <w:rFonts w:hint="eastAsia" w:ascii="宋体" w:hAnsi="宋体"/>
                <w:szCs w:val="21"/>
              </w:rPr>
              <w:t>规格</w:t>
            </w:r>
          </w:p>
        </w:tc>
        <w:tc>
          <w:tcPr>
            <w:tcW w:w="1022" w:type="dxa"/>
            <w:noWrap w:val="0"/>
            <w:vAlign w:val="center"/>
          </w:tcPr>
          <w:p w14:paraId="200D661D">
            <w:pPr>
              <w:jc w:val="center"/>
              <w:rPr>
                <w:rFonts w:hint="eastAsia" w:ascii="宋体" w:hAnsi="宋体"/>
                <w:szCs w:val="21"/>
              </w:rPr>
            </w:pPr>
            <w:r>
              <w:rPr>
                <w:rFonts w:hint="eastAsia" w:ascii="宋体" w:hAnsi="宋体"/>
                <w:szCs w:val="21"/>
              </w:rPr>
              <w:t>数  量</w:t>
            </w:r>
          </w:p>
        </w:tc>
        <w:tc>
          <w:tcPr>
            <w:tcW w:w="709" w:type="dxa"/>
            <w:noWrap w:val="0"/>
            <w:vAlign w:val="center"/>
          </w:tcPr>
          <w:p w14:paraId="4D80AFBD">
            <w:pPr>
              <w:jc w:val="center"/>
              <w:rPr>
                <w:rFonts w:hint="eastAsia" w:ascii="宋体" w:hAnsi="宋体"/>
                <w:szCs w:val="21"/>
              </w:rPr>
            </w:pPr>
            <w:r>
              <w:rPr>
                <w:rFonts w:hint="eastAsia" w:ascii="宋体" w:hAnsi="宋体"/>
                <w:szCs w:val="21"/>
              </w:rPr>
              <w:t>国别</w:t>
            </w:r>
          </w:p>
          <w:p w14:paraId="4AFA5014">
            <w:pPr>
              <w:jc w:val="center"/>
              <w:rPr>
                <w:rFonts w:hint="eastAsia" w:ascii="宋体" w:hAnsi="宋体"/>
                <w:szCs w:val="21"/>
              </w:rPr>
            </w:pPr>
            <w:r>
              <w:rPr>
                <w:rFonts w:hint="eastAsia" w:ascii="宋体" w:hAnsi="宋体"/>
                <w:szCs w:val="21"/>
              </w:rPr>
              <w:t>产地</w:t>
            </w:r>
          </w:p>
        </w:tc>
        <w:tc>
          <w:tcPr>
            <w:tcW w:w="709" w:type="dxa"/>
            <w:noWrap w:val="0"/>
            <w:vAlign w:val="center"/>
          </w:tcPr>
          <w:p w14:paraId="1BBD04F5">
            <w:pPr>
              <w:jc w:val="center"/>
              <w:rPr>
                <w:rFonts w:hint="eastAsia" w:ascii="宋体" w:hAnsi="宋体"/>
                <w:szCs w:val="21"/>
              </w:rPr>
            </w:pPr>
            <w:r>
              <w:rPr>
                <w:rFonts w:hint="eastAsia" w:ascii="宋体" w:hAnsi="宋体"/>
                <w:szCs w:val="21"/>
              </w:rPr>
              <w:t>制造</w:t>
            </w:r>
          </w:p>
          <w:p w14:paraId="25B8B3A5">
            <w:pPr>
              <w:jc w:val="center"/>
              <w:rPr>
                <w:rFonts w:hint="eastAsia" w:ascii="宋体" w:hAnsi="宋体"/>
                <w:szCs w:val="21"/>
              </w:rPr>
            </w:pPr>
            <w:r>
              <w:rPr>
                <w:rFonts w:hint="eastAsia" w:ascii="宋体" w:hAnsi="宋体"/>
                <w:szCs w:val="21"/>
              </w:rPr>
              <w:t>年份</w:t>
            </w:r>
          </w:p>
        </w:tc>
        <w:tc>
          <w:tcPr>
            <w:tcW w:w="1176" w:type="dxa"/>
            <w:noWrap w:val="0"/>
            <w:vAlign w:val="center"/>
          </w:tcPr>
          <w:p w14:paraId="799ABB9D">
            <w:pPr>
              <w:jc w:val="center"/>
              <w:rPr>
                <w:rFonts w:hint="eastAsia" w:ascii="宋体" w:hAnsi="宋体"/>
                <w:szCs w:val="21"/>
              </w:rPr>
            </w:pPr>
            <w:r>
              <w:rPr>
                <w:rFonts w:hint="eastAsia" w:ascii="宋体" w:hAnsi="宋体"/>
                <w:szCs w:val="21"/>
              </w:rPr>
              <w:t>已使用台</w:t>
            </w:r>
          </w:p>
          <w:p w14:paraId="7AC99041">
            <w:pPr>
              <w:jc w:val="center"/>
              <w:rPr>
                <w:rFonts w:hint="eastAsia" w:ascii="宋体" w:hAnsi="宋体"/>
                <w:szCs w:val="21"/>
              </w:rPr>
            </w:pPr>
            <w:r>
              <w:rPr>
                <w:rFonts w:hint="eastAsia" w:ascii="宋体" w:hAnsi="宋体"/>
                <w:szCs w:val="21"/>
              </w:rPr>
              <w:t>时    数</w:t>
            </w:r>
          </w:p>
        </w:tc>
        <w:tc>
          <w:tcPr>
            <w:tcW w:w="1659" w:type="dxa"/>
            <w:noWrap w:val="0"/>
            <w:vAlign w:val="center"/>
          </w:tcPr>
          <w:p w14:paraId="5B3DEB71">
            <w:pPr>
              <w:jc w:val="center"/>
              <w:rPr>
                <w:rFonts w:hint="eastAsia" w:ascii="宋体" w:hAnsi="宋体"/>
                <w:szCs w:val="21"/>
              </w:rPr>
            </w:pPr>
            <w:r>
              <w:rPr>
                <w:rFonts w:hint="eastAsia" w:ascii="宋体" w:hAnsi="宋体"/>
                <w:szCs w:val="21"/>
              </w:rPr>
              <w:t>用  途</w:t>
            </w:r>
          </w:p>
        </w:tc>
        <w:tc>
          <w:tcPr>
            <w:tcW w:w="850" w:type="dxa"/>
            <w:noWrap w:val="0"/>
            <w:vAlign w:val="center"/>
          </w:tcPr>
          <w:p w14:paraId="62D38F63">
            <w:pPr>
              <w:jc w:val="center"/>
              <w:rPr>
                <w:rFonts w:hint="eastAsia" w:ascii="宋体" w:hAnsi="宋体"/>
                <w:szCs w:val="21"/>
              </w:rPr>
            </w:pPr>
            <w:r>
              <w:rPr>
                <w:rFonts w:hint="eastAsia" w:ascii="宋体" w:hAnsi="宋体"/>
                <w:szCs w:val="21"/>
              </w:rPr>
              <w:t>备注</w:t>
            </w:r>
          </w:p>
        </w:tc>
      </w:tr>
      <w:tr w14:paraId="484E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41C3227">
            <w:pPr>
              <w:jc w:val="center"/>
              <w:rPr>
                <w:rFonts w:hint="eastAsia" w:ascii="宋体" w:hAnsi="宋体"/>
                <w:szCs w:val="21"/>
              </w:rPr>
            </w:pPr>
          </w:p>
        </w:tc>
        <w:tc>
          <w:tcPr>
            <w:tcW w:w="1064" w:type="dxa"/>
            <w:noWrap w:val="0"/>
            <w:vAlign w:val="center"/>
          </w:tcPr>
          <w:p w14:paraId="4A200F57">
            <w:pPr>
              <w:jc w:val="center"/>
              <w:rPr>
                <w:rFonts w:hint="eastAsia" w:ascii="宋体" w:hAnsi="宋体"/>
                <w:szCs w:val="21"/>
              </w:rPr>
            </w:pPr>
          </w:p>
        </w:tc>
        <w:tc>
          <w:tcPr>
            <w:tcW w:w="672" w:type="dxa"/>
            <w:noWrap w:val="0"/>
            <w:vAlign w:val="center"/>
          </w:tcPr>
          <w:p w14:paraId="6AC4BFBF">
            <w:pPr>
              <w:jc w:val="center"/>
              <w:rPr>
                <w:rFonts w:hint="eastAsia" w:ascii="宋体" w:hAnsi="宋体"/>
                <w:szCs w:val="21"/>
              </w:rPr>
            </w:pPr>
          </w:p>
        </w:tc>
        <w:tc>
          <w:tcPr>
            <w:tcW w:w="1022" w:type="dxa"/>
            <w:noWrap w:val="0"/>
            <w:vAlign w:val="center"/>
          </w:tcPr>
          <w:p w14:paraId="1E2C4466">
            <w:pPr>
              <w:jc w:val="center"/>
              <w:rPr>
                <w:rFonts w:hint="eastAsia" w:ascii="宋体" w:hAnsi="宋体"/>
                <w:szCs w:val="21"/>
              </w:rPr>
            </w:pPr>
          </w:p>
        </w:tc>
        <w:tc>
          <w:tcPr>
            <w:tcW w:w="709" w:type="dxa"/>
            <w:noWrap w:val="0"/>
            <w:vAlign w:val="center"/>
          </w:tcPr>
          <w:p w14:paraId="70798FDA">
            <w:pPr>
              <w:jc w:val="center"/>
              <w:rPr>
                <w:rFonts w:hint="eastAsia" w:ascii="宋体" w:hAnsi="宋体"/>
                <w:szCs w:val="21"/>
              </w:rPr>
            </w:pPr>
          </w:p>
        </w:tc>
        <w:tc>
          <w:tcPr>
            <w:tcW w:w="709" w:type="dxa"/>
            <w:noWrap w:val="0"/>
            <w:vAlign w:val="center"/>
          </w:tcPr>
          <w:p w14:paraId="64B9FC5A">
            <w:pPr>
              <w:jc w:val="center"/>
              <w:rPr>
                <w:rFonts w:hint="eastAsia" w:ascii="宋体" w:hAnsi="宋体"/>
                <w:szCs w:val="21"/>
              </w:rPr>
            </w:pPr>
          </w:p>
        </w:tc>
        <w:tc>
          <w:tcPr>
            <w:tcW w:w="1176" w:type="dxa"/>
            <w:noWrap w:val="0"/>
            <w:vAlign w:val="center"/>
          </w:tcPr>
          <w:p w14:paraId="18530F10">
            <w:pPr>
              <w:jc w:val="center"/>
              <w:rPr>
                <w:rFonts w:hint="eastAsia" w:ascii="宋体" w:hAnsi="宋体"/>
                <w:szCs w:val="21"/>
              </w:rPr>
            </w:pPr>
          </w:p>
        </w:tc>
        <w:tc>
          <w:tcPr>
            <w:tcW w:w="1659" w:type="dxa"/>
            <w:noWrap w:val="0"/>
            <w:vAlign w:val="center"/>
          </w:tcPr>
          <w:p w14:paraId="5DA43271">
            <w:pPr>
              <w:jc w:val="center"/>
              <w:rPr>
                <w:rFonts w:hint="eastAsia" w:ascii="宋体" w:hAnsi="宋体"/>
                <w:szCs w:val="21"/>
              </w:rPr>
            </w:pPr>
          </w:p>
        </w:tc>
        <w:tc>
          <w:tcPr>
            <w:tcW w:w="850" w:type="dxa"/>
            <w:noWrap w:val="0"/>
            <w:vAlign w:val="center"/>
          </w:tcPr>
          <w:p w14:paraId="0927CCB0">
            <w:pPr>
              <w:jc w:val="center"/>
              <w:rPr>
                <w:rFonts w:hint="eastAsia" w:ascii="宋体" w:hAnsi="宋体"/>
                <w:szCs w:val="21"/>
              </w:rPr>
            </w:pPr>
          </w:p>
        </w:tc>
      </w:tr>
      <w:tr w14:paraId="1B58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2F3CDDD">
            <w:pPr>
              <w:jc w:val="center"/>
              <w:rPr>
                <w:rFonts w:hint="eastAsia" w:ascii="宋体" w:hAnsi="宋体"/>
                <w:szCs w:val="21"/>
              </w:rPr>
            </w:pPr>
          </w:p>
        </w:tc>
        <w:tc>
          <w:tcPr>
            <w:tcW w:w="1064" w:type="dxa"/>
            <w:noWrap w:val="0"/>
            <w:vAlign w:val="center"/>
          </w:tcPr>
          <w:p w14:paraId="07D816F9">
            <w:pPr>
              <w:jc w:val="center"/>
              <w:rPr>
                <w:rFonts w:hint="eastAsia" w:ascii="宋体" w:hAnsi="宋体"/>
                <w:szCs w:val="21"/>
              </w:rPr>
            </w:pPr>
          </w:p>
        </w:tc>
        <w:tc>
          <w:tcPr>
            <w:tcW w:w="672" w:type="dxa"/>
            <w:noWrap w:val="0"/>
            <w:vAlign w:val="center"/>
          </w:tcPr>
          <w:p w14:paraId="2D4A2F55">
            <w:pPr>
              <w:jc w:val="center"/>
              <w:rPr>
                <w:rFonts w:hint="eastAsia" w:ascii="宋体" w:hAnsi="宋体"/>
                <w:szCs w:val="21"/>
              </w:rPr>
            </w:pPr>
          </w:p>
        </w:tc>
        <w:tc>
          <w:tcPr>
            <w:tcW w:w="1022" w:type="dxa"/>
            <w:noWrap w:val="0"/>
            <w:vAlign w:val="center"/>
          </w:tcPr>
          <w:p w14:paraId="2AE1757A">
            <w:pPr>
              <w:jc w:val="center"/>
              <w:rPr>
                <w:rFonts w:hint="eastAsia" w:ascii="宋体" w:hAnsi="宋体"/>
                <w:szCs w:val="21"/>
              </w:rPr>
            </w:pPr>
          </w:p>
        </w:tc>
        <w:tc>
          <w:tcPr>
            <w:tcW w:w="709" w:type="dxa"/>
            <w:noWrap w:val="0"/>
            <w:vAlign w:val="center"/>
          </w:tcPr>
          <w:p w14:paraId="507D65F8">
            <w:pPr>
              <w:jc w:val="center"/>
              <w:rPr>
                <w:rFonts w:hint="eastAsia" w:ascii="宋体" w:hAnsi="宋体"/>
                <w:szCs w:val="21"/>
              </w:rPr>
            </w:pPr>
          </w:p>
        </w:tc>
        <w:tc>
          <w:tcPr>
            <w:tcW w:w="709" w:type="dxa"/>
            <w:noWrap w:val="0"/>
            <w:vAlign w:val="center"/>
          </w:tcPr>
          <w:p w14:paraId="2B9F1A4F">
            <w:pPr>
              <w:jc w:val="center"/>
              <w:rPr>
                <w:rFonts w:hint="eastAsia" w:ascii="宋体" w:hAnsi="宋体"/>
                <w:szCs w:val="21"/>
              </w:rPr>
            </w:pPr>
          </w:p>
        </w:tc>
        <w:tc>
          <w:tcPr>
            <w:tcW w:w="1176" w:type="dxa"/>
            <w:noWrap w:val="0"/>
            <w:vAlign w:val="center"/>
          </w:tcPr>
          <w:p w14:paraId="56B5CF36">
            <w:pPr>
              <w:jc w:val="center"/>
              <w:rPr>
                <w:rFonts w:hint="eastAsia" w:ascii="宋体" w:hAnsi="宋体"/>
                <w:szCs w:val="21"/>
              </w:rPr>
            </w:pPr>
          </w:p>
        </w:tc>
        <w:tc>
          <w:tcPr>
            <w:tcW w:w="1659" w:type="dxa"/>
            <w:noWrap w:val="0"/>
            <w:vAlign w:val="center"/>
          </w:tcPr>
          <w:p w14:paraId="211B2F7B">
            <w:pPr>
              <w:jc w:val="center"/>
              <w:rPr>
                <w:rFonts w:hint="eastAsia" w:ascii="宋体" w:hAnsi="宋体"/>
                <w:szCs w:val="21"/>
              </w:rPr>
            </w:pPr>
          </w:p>
        </w:tc>
        <w:tc>
          <w:tcPr>
            <w:tcW w:w="850" w:type="dxa"/>
            <w:noWrap w:val="0"/>
            <w:vAlign w:val="center"/>
          </w:tcPr>
          <w:p w14:paraId="72A97572">
            <w:pPr>
              <w:jc w:val="center"/>
              <w:rPr>
                <w:rFonts w:hint="eastAsia" w:ascii="宋体" w:hAnsi="宋体"/>
                <w:szCs w:val="21"/>
              </w:rPr>
            </w:pPr>
          </w:p>
        </w:tc>
      </w:tr>
      <w:tr w14:paraId="5EDF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05D2C40">
            <w:pPr>
              <w:jc w:val="center"/>
              <w:rPr>
                <w:rFonts w:hint="eastAsia" w:ascii="宋体" w:hAnsi="宋体"/>
                <w:szCs w:val="21"/>
              </w:rPr>
            </w:pPr>
          </w:p>
        </w:tc>
        <w:tc>
          <w:tcPr>
            <w:tcW w:w="1064" w:type="dxa"/>
            <w:noWrap w:val="0"/>
            <w:vAlign w:val="center"/>
          </w:tcPr>
          <w:p w14:paraId="4A302A52">
            <w:pPr>
              <w:jc w:val="center"/>
              <w:rPr>
                <w:rFonts w:hint="eastAsia" w:ascii="宋体" w:hAnsi="宋体"/>
                <w:szCs w:val="21"/>
              </w:rPr>
            </w:pPr>
          </w:p>
        </w:tc>
        <w:tc>
          <w:tcPr>
            <w:tcW w:w="672" w:type="dxa"/>
            <w:noWrap w:val="0"/>
            <w:vAlign w:val="center"/>
          </w:tcPr>
          <w:p w14:paraId="4B8DDDD9">
            <w:pPr>
              <w:jc w:val="center"/>
              <w:rPr>
                <w:rFonts w:hint="eastAsia" w:ascii="宋体" w:hAnsi="宋体"/>
                <w:szCs w:val="21"/>
              </w:rPr>
            </w:pPr>
          </w:p>
        </w:tc>
        <w:tc>
          <w:tcPr>
            <w:tcW w:w="1022" w:type="dxa"/>
            <w:noWrap w:val="0"/>
            <w:vAlign w:val="center"/>
          </w:tcPr>
          <w:p w14:paraId="10C426C0">
            <w:pPr>
              <w:jc w:val="center"/>
              <w:rPr>
                <w:rFonts w:hint="eastAsia" w:ascii="宋体" w:hAnsi="宋体"/>
                <w:szCs w:val="21"/>
              </w:rPr>
            </w:pPr>
          </w:p>
        </w:tc>
        <w:tc>
          <w:tcPr>
            <w:tcW w:w="709" w:type="dxa"/>
            <w:noWrap w:val="0"/>
            <w:vAlign w:val="center"/>
          </w:tcPr>
          <w:p w14:paraId="7B5D7915">
            <w:pPr>
              <w:jc w:val="center"/>
              <w:rPr>
                <w:rFonts w:hint="eastAsia" w:ascii="宋体" w:hAnsi="宋体"/>
                <w:szCs w:val="21"/>
              </w:rPr>
            </w:pPr>
          </w:p>
        </w:tc>
        <w:tc>
          <w:tcPr>
            <w:tcW w:w="709" w:type="dxa"/>
            <w:noWrap w:val="0"/>
            <w:vAlign w:val="center"/>
          </w:tcPr>
          <w:p w14:paraId="3627C564">
            <w:pPr>
              <w:jc w:val="center"/>
              <w:rPr>
                <w:rFonts w:hint="eastAsia" w:ascii="宋体" w:hAnsi="宋体"/>
                <w:szCs w:val="21"/>
              </w:rPr>
            </w:pPr>
          </w:p>
        </w:tc>
        <w:tc>
          <w:tcPr>
            <w:tcW w:w="1176" w:type="dxa"/>
            <w:noWrap w:val="0"/>
            <w:vAlign w:val="center"/>
          </w:tcPr>
          <w:p w14:paraId="1F4A3BCD">
            <w:pPr>
              <w:jc w:val="center"/>
              <w:rPr>
                <w:rFonts w:hint="eastAsia" w:ascii="宋体" w:hAnsi="宋体"/>
                <w:szCs w:val="21"/>
              </w:rPr>
            </w:pPr>
          </w:p>
        </w:tc>
        <w:tc>
          <w:tcPr>
            <w:tcW w:w="1659" w:type="dxa"/>
            <w:noWrap w:val="0"/>
            <w:vAlign w:val="center"/>
          </w:tcPr>
          <w:p w14:paraId="363E5CFA">
            <w:pPr>
              <w:jc w:val="center"/>
              <w:rPr>
                <w:rFonts w:hint="eastAsia" w:ascii="宋体" w:hAnsi="宋体"/>
                <w:szCs w:val="21"/>
              </w:rPr>
            </w:pPr>
          </w:p>
        </w:tc>
        <w:tc>
          <w:tcPr>
            <w:tcW w:w="850" w:type="dxa"/>
            <w:noWrap w:val="0"/>
            <w:vAlign w:val="center"/>
          </w:tcPr>
          <w:p w14:paraId="0BBC3348">
            <w:pPr>
              <w:jc w:val="center"/>
              <w:rPr>
                <w:rFonts w:hint="eastAsia" w:ascii="宋体" w:hAnsi="宋体"/>
                <w:szCs w:val="21"/>
              </w:rPr>
            </w:pPr>
          </w:p>
        </w:tc>
      </w:tr>
      <w:tr w14:paraId="3B51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D3A7AC5">
            <w:pPr>
              <w:jc w:val="center"/>
              <w:rPr>
                <w:rFonts w:hint="eastAsia" w:ascii="宋体" w:hAnsi="宋体"/>
                <w:szCs w:val="21"/>
              </w:rPr>
            </w:pPr>
          </w:p>
        </w:tc>
        <w:tc>
          <w:tcPr>
            <w:tcW w:w="1064" w:type="dxa"/>
            <w:noWrap w:val="0"/>
            <w:vAlign w:val="center"/>
          </w:tcPr>
          <w:p w14:paraId="6EAB3485">
            <w:pPr>
              <w:jc w:val="center"/>
              <w:rPr>
                <w:rFonts w:hint="eastAsia" w:ascii="宋体" w:hAnsi="宋体"/>
                <w:szCs w:val="21"/>
              </w:rPr>
            </w:pPr>
          </w:p>
        </w:tc>
        <w:tc>
          <w:tcPr>
            <w:tcW w:w="672" w:type="dxa"/>
            <w:noWrap w:val="0"/>
            <w:vAlign w:val="center"/>
          </w:tcPr>
          <w:p w14:paraId="388A08BC">
            <w:pPr>
              <w:jc w:val="center"/>
              <w:rPr>
                <w:rFonts w:hint="eastAsia" w:ascii="宋体" w:hAnsi="宋体"/>
                <w:szCs w:val="21"/>
              </w:rPr>
            </w:pPr>
          </w:p>
        </w:tc>
        <w:tc>
          <w:tcPr>
            <w:tcW w:w="1022" w:type="dxa"/>
            <w:noWrap w:val="0"/>
            <w:vAlign w:val="center"/>
          </w:tcPr>
          <w:p w14:paraId="1546A9B2">
            <w:pPr>
              <w:jc w:val="center"/>
              <w:rPr>
                <w:rFonts w:hint="eastAsia" w:ascii="宋体" w:hAnsi="宋体"/>
                <w:szCs w:val="21"/>
              </w:rPr>
            </w:pPr>
          </w:p>
        </w:tc>
        <w:tc>
          <w:tcPr>
            <w:tcW w:w="709" w:type="dxa"/>
            <w:noWrap w:val="0"/>
            <w:vAlign w:val="center"/>
          </w:tcPr>
          <w:p w14:paraId="49A779E2">
            <w:pPr>
              <w:jc w:val="center"/>
              <w:rPr>
                <w:rFonts w:hint="eastAsia" w:ascii="宋体" w:hAnsi="宋体"/>
                <w:szCs w:val="21"/>
              </w:rPr>
            </w:pPr>
          </w:p>
        </w:tc>
        <w:tc>
          <w:tcPr>
            <w:tcW w:w="709" w:type="dxa"/>
            <w:noWrap w:val="0"/>
            <w:vAlign w:val="center"/>
          </w:tcPr>
          <w:p w14:paraId="0C1884A0">
            <w:pPr>
              <w:jc w:val="center"/>
              <w:rPr>
                <w:rFonts w:hint="eastAsia" w:ascii="宋体" w:hAnsi="宋体"/>
                <w:szCs w:val="21"/>
              </w:rPr>
            </w:pPr>
          </w:p>
        </w:tc>
        <w:tc>
          <w:tcPr>
            <w:tcW w:w="1176" w:type="dxa"/>
            <w:noWrap w:val="0"/>
            <w:vAlign w:val="center"/>
          </w:tcPr>
          <w:p w14:paraId="1D5A9BF6">
            <w:pPr>
              <w:jc w:val="center"/>
              <w:rPr>
                <w:rFonts w:hint="eastAsia" w:ascii="宋体" w:hAnsi="宋体"/>
                <w:szCs w:val="21"/>
              </w:rPr>
            </w:pPr>
          </w:p>
        </w:tc>
        <w:tc>
          <w:tcPr>
            <w:tcW w:w="1659" w:type="dxa"/>
            <w:noWrap w:val="0"/>
            <w:vAlign w:val="center"/>
          </w:tcPr>
          <w:p w14:paraId="76F076B7">
            <w:pPr>
              <w:jc w:val="center"/>
              <w:rPr>
                <w:rFonts w:hint="eastAsia" w:ascii="宋体" w:hAnsi="宋体"/>
                <w:szCs w:val="21"/>
              </w:rPr>
            </w:pPr>
          </w:p>
        </w:tc>
        <w:tc>
          <w:tcPr>
            <w:tcW w:w="850" w:type="dxa"/>
            <w:noWrap w:val="0"/>
            <w:vAlign w:val="center"/>
          </w:tcPr>
          <w:p w14:paraId="1F099BE7">
            <w:pPr>
              <w:jc w:val="center"/>
              <w:rPr>
                <w:rFonts w:hint="eastAsia" w:ascii="宋体" w:hAnsi="宋体"/>
                <w:szCs w:val="21"/>
              </w:rPr>
            </w:pPr>
          </w:p>
        </w:tc>
      </w:tr>
      <w:tr w14:paraId="644F9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3D3C5E2">
            <w:pPr>
              <w:jc w:val="center"/>
              <w:rPr>
                <w:rFonts w:hint="eastAsia" w:ascii="宋体" w:hAnsi="宋体"/>
                <w:szCs w:val="21"/>
              </w:rPr>
            </w:pPr>
          </w:p>
        </w:tc>
        <w:tc>
          <w:tcPr>
            <w:tcW w:w="1064" w:type="dxa"/>
            <w:noWrap w:val="0"/>
            <w:vAlign w:val="center"/>
          </w:tcPr>
          <w:p w14:paraId="2EA6FCB0">
            <w:pPr>
              <w:jc w:val="center"/>
              <w:rPr>
                <w:rFonts w:hint="eastAsia" w:ascii="宋体" w:hAnsi="宋体"/>
                <w:szCs w:val="21"/>
              </w:rPr>
            </w:pPr>
          </w:p>
        </w:tc>
        <w:tc>
          <w:tcPr>
            <w:tcW w:w="672" w:type="dxa"/>
            <w:noWrap w:val="0"/>
            <w:vAlign w:val="center"/>
          </w:tcPr>
          <w:p w14:paraId="5CA5D8B0">
            <w:pPr>
              <w:jc w:val="center"/>
              <w:rPr>
                <w:rFonts w:hint="eastAsia" w:ascii="宋体" w:hAnsi="宋体"/>
                <w:szCs w:val="21"/>
              </w:rPr>
            </w:pPr>
          </w:p>
        </w:tc>
        <w:tc>
          <w:tcPr>
            <w:tcW w:w="1022" w:type="dxa"/>
            <w:noWrap w:val="0"/>
            <w:vAlign w:val="center"/>
          </w:tcPr>
          <w:p w14:paraId="2CDC2DAF">
            <w:pPr>
              <w:jc w:val="center"/>
              <w:rPr>
                <w:rFonts w:hint="eastAsia" w:ascii="宋体" w:hAnsi="宋体"/>
                <w:szCs w:val="21"/>
              </w:rPr>
            </w:pPr>
          </w:p>
        </w:tc>
        <w:tc>
          <w:tcPr>
            <w:tcW w:w="709" w:type="dxa"/>
            <w:noWrap w:val="0"/>
            <w:vAlign w:val="center"/>
          </w:tcPr>
          <w:p w14:paraId="2AE4C104">
            <w:pPr>
              <w:jc w:val="center"/>
              <w:rPr>
                <w:rFonts w:hint="eastAsia" w:ascii="宋体" w:hAnsi="宋体"/>
                <w:szCs w:val="21"/>
              </w:rPr>
            </w:pPr>
          </w:p>
        </w:tc>
        <w:tc>
          <w:tcPr>
            <w:tcW w:w="709" w:type="dxa"/>
            <w:noWrap w:val="0"/>
            <w:vAlign w:val="center"/>
          </w:tcPr>
          <w:p w14:paraId="2AC19635">
            <w:pPr>
              <w:jc w:val="center"/>
              <w:rPr>
                <w:rFonts w:hint="eastAsia" w:ascii="宋体" w:hAnsi="宋体"/>
                <w:szCs w:val="21"/>
              </w:rPr>
            </w:pPr>
          </w:p>
        </w:tc>
        <w:tc>
          <w:tcPr>
            <w:tcW w:w="1176" w:type="dxa"/>
            <w:noWrap w:val="0"/>
            <w:vAlign w:val="center"/>
          </w:tcPr>
          <w:p w14:paraId="67CC5246">
            <w:pPr>
              <w:jc w:val="center"/>
              <w:rPr>
                <w:rFonts w:hint="eastAsia" w:ascii="宋体" w:hAnsi="宋体"/>
                <w:szCs w:val="21"/>
              </w:rPr>
            </w:pPr>
          </w:p>
        </w:tc>
        <w:tc>
          <w:tcPr>
            <w:tcW w:w="1659" w:type="dxa"/>
            <w:noWrap w:val="0"/>
            <w:vAlign w:val="center"/>
          </w:tcPr>
          <w:p w14:paraId="52E743E7">
            <w:pPr>
              <w:jc w:val="center"/>
              <w:rPr>
                <w:rFonts w:hint="eastAsia" w:ascii="宋体" w:hAnsi="宋体"/>
                <w:szCs w:val="21"/>
              </w:rPr>
            </w:pPr>
          </w:p>
        </w:tc>
        <w:tc>
          <w:tcPr>
            <w:tcW w:w="850" w:type="dxa"/>
            <w:noWrap w:val="0"/>
            <w:vAlign w:val="center"/>
          </w:tcPr>
          <w:p w14:paraId="3589A51D">
            <w:pPr>
              <w:jc w:val="center"/>
              <w:rPr>
                <w:rFonts w:hint="eastAsia" w:ascii="宋体" w:hAnsi="宋体"/>
                <w:szCs w:val="21"/>
              </w:rPr>
            </w:pPr>
          </w:p>
        </w:tc>
      </w:tr>
      <w:tr w14:paraId="1DA7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3FE780">
            <w:pPr>
              <w:jc w:val="center"/>
              <w:rPr>
                <w:rFonts w:hint="eastAsia" w:ascii="宋体" w:hAnsi="宋体"/>
                <w:szCs w:val="21"/>
              </w:rPr>
            </w:pPr>
          </w:p>
        </w:tc>
        <w:tc>
          <w:tcPr>
            <w:tcW w:w="1064" w:type="dxa"/>
            <w:noWrap w:val="0"/>
            <w:vAlign w:val="center"/>
          </w:tcPr>
          <w:p w14:paraId="35C97F8A">
            <w:pPr>
              <w:jc w:val="center"/>
              <w:rPr>
                <w:rFonts w:hint="eastAsia" w:ascii="宋体" w:hAnsi="宋体"/>
                <w:szCs w:val="21"/>
              </w:rPr>
            </w:pPr>
          </w:p>
        </w:tc>
        <w:tc>
          <w:tcPr>
            <w:tcW w:w="672" w:type="dxa"/>
            <w:noWrap w:val="0"/>
            <w:vAlign w:val="center"/>
          </w:tcPr>
          <w:p w14:paraId="41FF26D4">
            <w:pPr>
              <w:jc w:val="center"/>
              <w:rPr>
                <w:rFonts w:hint="eastAsia" w:ascii="宋体" w:hAnsi="宋体"/>
                <w:szCs w:val="21"/>
              </w:rPr>
            </w:pPr>
          </w:p>
        </w:tc>
        <w:tc>
          <w:tcPr>
            <w:tcW w:w="1022" w:type="dxa"/>
            <w:noWrap w:val="0"/>
            <w:vAlign w:val="center"/>
          </w:tcPr>
          <w:p w14:paraId="0675D8BE">
            <w:pPr>
              <w:jc w:val="center"/>
              <w:rPr>
                <w:rFonts w:hint="eastAsia" w:ascii="宋体" w:hAnsi="宋体"/>
                <w:szCs w:val="21"/>
              </w:rPr>
            </w:pPr>
          </w:p>
        </w:tc>
        <w:tc>
          <w:tcPr>
            <w:tcW w:w="709" w:type="dxa"/>
            <w:noWrap w:val="0"/>
            <w:vAlign w:val="center"/>
          </w:tcPr>
          <w:p w14:paraId="686F97BB">
            <w:pPr>
              <w:jc w:val="center"/>
              <w:rPr>
                <w:rFonts w:hint="eastAsia" w:ascii="宋体" w:hAnsi="宋体"/>
                <w:szCs w:val="21"/>
              </w:rPr>
            </w:pPr>
          </w:p>
        </w:tc>
        <w:tc>
          <w:tcPr>
            <w:tcW w:w="709" w:type="dxa"/>
            <w:noWrap w:val="0"/>
            <w:vAlign w:val="center"/>
          </w:tcPr>
          <w:p w14:paraId="14B5F3D9">
            <w:pPr>
              <w:jc w:val="center"/>
              <w:rPr>
                <w:rFonts w:hint="eastAsia" w:ascii="宋体" w:hAnsi="宋体"/>
                <w:szCs w:val="21"/>
              </w:rPr>
            </w:pPr>
          </w:p>
        </w:tc>
        <w:tc>
          <w:tcPr>
            <w:tcW w:w="1176" w:type="dxa"/>
            <w:noWrap w:val="0"/>
            <w:vAlign w:val="center"/>
          </w:tcPr>
          <w:p w14:paraId="08C48741">
            <w:pPr>
              <w:jc w:val="center"/>
              <w:rPr>
                <w:rFonts w:hint="eastAsia" w:ascii="宋体" w:hAnsi="宋体"/>
                <w:szCs w:val="21"/>
              </w:rPr>
            </w:pPr>
          </w:p>
        </w:tc>
        <w:tc>
          <w:tcPr>
            <w:tcW w:w="1659" w:type="dxa"/>
            <w:noWrap w:val="0"/>
            <w:vAlign w:val="center"/>
          </w:tcPr>
          <w:p w14:paraId="56EFD8F2">
            <w:pPr>
              <w:jc w:val="center"/>
              <w:rPr>
                <w:rFonts w:hint="eastAsia" w:ascii="宋体" w:hAnsi="宋体"/>
                <w:szCs w:val="21"/>
              </w:rPr>
            </w:pPr>
          </w:p>
        </w:tc>
        <w:tc>
          <w:tcPr>
            <w:tcW w:w="850" w:type="dxa"/>
            <w:noWrap w:val="0"/>
            <w:vAlign w:val="center"/>
          </w:tcPr>
          <w:p w14:paraId="7A414F07">
            <w:pPr>
              <w:jc w:val="center"/>
              <w:rPr>
                <w:rFonts w:hint="eastAsia" w:ascii="宋体" w:hAnsi="宋体"/>
                <w:szCs w:val="21"/>
              </w:rPr>
            </w:pPr>
          </w:p>
        </w:tc>
      </w:tr>
      <w:tr w14:paraId="7AFE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trPr>
        <w:tc>
          <w:tcPr>
            <w:tcW w:w="644" w:type="dxa"/>
            <w:noWrap w:val="0"/>
            <w:vAlign w:val="center"/>
          </w:tcPr>
          <w:p w14:paraId="6893F131">
            <w:pPr>
              <w:jc w:val="center"/>
              <w:rPr>
                <w:rFonts w:hint="eastAsia" w:ascii="宋体" w:hAnsi="宋体"/>
                <w:szCs w:val="21"/>
              </w:rPr>
            </w:pPr>
          </w:p>
        </w:tc>
        <w:tc>
          <w:tcPr>
            <w:tcW w:w="1064" w:type="dxa"/>
            <w:noWrap w:val="0"/>
            <w:vAlign w:val="center"/>
          </w:tcPr>
          <w:p w14:paraId="7CB62E28">
            <w:pPr>
              <w:jc w:val="center"/>
              <w:rPr>
                <w:rFonts w:hint="eastAsia" w:ascii="宋体" w:hAnsi="宋体"/>
                <w:szCs w:val="21"/>
              </w:rPr>
            </w:pPr>
          </w:p>
        </w:tc>
        <w:tc>
          <w:tcPr>
            <w:tcW w:w="672" w:type="dxa"/>
            <w:noWrap w:val="0"/>
            <w:vAlign w:val="center"/>
          </w:tcPr>
          <w:p w14:paraId="7E50A8C8">
            <w:pPr>
              <w:jc w:val="center"/>
              <w:rPr>
                <w:rFonts w:hint="eastAsia" w:ascii="宋体" w:hAnsi="宋体"/>
                <w:szCs w:val="21"/>
              </w:rPr>
            </w:pPr>
          </w:p>
        </w:tc>
        <w:tc>
          <w:tcPr>
            <w:tcW w:w="1022" w:type="dxa"/>
            <w:noWrap w:val="0"/>
            <w:vAlign w:val="center"/>
          </w:tcPr>
          <w:p w14:paraId="0FD38B6F">
            <w:pPr>
              <w:jc w:val="center"/>
              <w:rPr>
                <w:rFonts w:hint="eastAsia" w:ascii="宋体" w:hAnsi="宋体"/>
                <w:szCs w:val="21"/>
              </w:rPr>
            </w:pPr>
          </w:p>
        </w:tc>
        <w:tc>
          <w:tcPr>
            <w:tcW w:w="709" w:type="dxa"/>
            <w:noWrap w:val="0"/>
            <w:vAlign w:val="center"/>
          </w:tcPr>
          <w:p w14:paraId="1DEF7C61">
            <w:pPr>
              <w:jc w:val="center"/>
              <w:rPr>
                <w:rFonts w:hint="eastAsia" w:ascii="宋体" w:hAnsi="宋体"/>
                <w:szCs w:val="21"/>
              </w:rPr>
            </w:pPr>
          </w:p>
        </w:tc>
        <w:tc>
          <w:tcPr>
            <w:tcW w:w="709" w:type="dxa"/>
            <w:noWrap w:val="0"/>
            <w:vAlign w:val="center"/>
          </w:tcPr>
          <w:p w14:paraId="28D01074">
            <w:pPr>
              <w:jc w:val="center"/>
              <w:rPr>
                <w:rFonts w:hint="eastAsia" w:ascii="宋体" w:hAnsi="宋体"/>
                <w:szCs w:val="21"/>
              </w:rPr>
            </w:pPr>
          </w:p>
        </w:tc>
        <w:tc>
          <w:tcPr>
            <w:tcW w:w="1176" w:type="dxa"/>
            <w:noWrap w:val="0"/>
            <w:vAlign w:val="center"/>
          </w:tcPr>
          <w:p w14:paraId="28D5FCD5">
            <w:pPr>
              <w:jc w:val="center"/>
              <w:rPr>
                <w:rFonts w:hint="eastAsia" w:ascii="宋体" w:hAnsi="宋体"/>
                <w:szCs w:val="21"/>
              </w:rPr>
            </w:pPr>
          </w:p>
        </w:tc>
        <w:tc>
          <w:tcPr>
            <w:tcW w:w="1659" w:type="dxa"/>
            <w:noWrap w:val="0"/>
            <w:vAlign w:val="center"/>
          </w:tcPr>
          <w:p w14:paraId="6723C3BB">
            <w:pPr>
              <w:jc w:val="center"/>
              <w:rPr>
                <w:rFonts w:hint="eastAsia" w:ascii="宋体" w:hAnsi="宋体"/>
                <w:szCs w:val="21"/>
              </w:rPr>
            </w:pPr>
          </w:p>
        </w:tc>
        <w:tc>
          <w:tcPr>
            <w:tcW w:w="850" w:type="dxa"/>
            <w:noWrap w:val="0"/>
            <w:vAlign w:val="center"/>
          </w:tcPr>
          <w:p w14:paraId="5075A206">
            <w:pPr>
              <w:jc w:val="center"/>
              <w:rPr>
                <w:rFonts w:hint="eastAsia" w:ascii="宋体" w:hAnsi="宋体"/>
                <w:szCs w:val="21"/>
              </w:rPr>
            </w:pPr>
          </w:p>
        </w:tc>
      </w:tr>
      <w:tr w14:paraId="3835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A0684B4">
            <w:pPr>
              <w:jc w:val="center"/>
              <w:rPr>
                <w:rFonts w:hint="eastAsia" w:ascii="宋体" w:hAnsi="宋体"/>
                <w:szCs w:val="21"/>
              </w:rPr>
            </w:pPr>
          </w:p>
        </w:tc>
        <w:tc>
          <w:tcPr>
            <w:tcW w:w="1064" w:type="dxa"/>
            <w:noWrap w:val="0"/>
            <w:vAlign w:val="center"/>
          </w:tcPr>
          <w:p w14:paraId="4669CE25">
            <w:pPr>
              <w:jc w:val="center"/>
              <w:rPr>
                <w:rFonts w:hint="eastAsia" w:ascii="宋体" w:hAnsi="宋体"/>
                <w:szCs w:val="21"/>
              </w:rPr>
            </w:pPr>
          </w:p>
        </w:tc>
        <w:tc>
          <w:tcPr>
            <w:tcW w:w="672" w:type="dxa"/>
            <w:noWrap w:val="0"/>
            <w:vAlign w:val="center"/>
          </w:tcPr>
          <w:p w14:paraId="16704973">
            <w:pPr>
              <w:jc w:val="center"/>
              <w:rPr>
                <w:rFonts w:hint="eastAsia" w:ascii="宋体" w:hAnsi="宋体"/>
                <w:szCs w:val="21"/>
              </w:rPr>
            </w:pPr>
          </w:p>
        </w:tc>
        <w:tc>
          <w:tcPr>
            <w:tcW w:w="1022" w:type="dxa"/>
            <w:noWrap w:val="0"/>
            <w:vAlign w:val="center"/>
          </w:tcPr>
          <w:p w14:paraId="31E97733">
            <w:pPr>
              <w:jc w:val="center"/>
              <w:rPr>
                <w:rFonts w:hint="eastAsia" w:ascii="宋体" w:hAnsi="宋体"/>
                <w:szCs w:val="21"/>
              </w:rPr>
            </w:pPr>
          </w:p>
        </w:tc>
        <w:tc>
          <w:tcPr>
            <w:tcW w:w="709" w:type="dxa"/>
            <w:noWrap w:val="0"/>
            <w:vAlign w:val="center"/>
          </w:tcPr>
          <w:p w14:paraId="2AE120CF">
            <w:pPr>
              <w:jc w:val="center"/>
              <w:rPr>
                <w:rFonts w:hint="eastAsia" w:ascii="宋体" w:hAnsi="宋体"/>
                <w:szCs w:val="21"/>
              </w:rPr>
            </w:pPr>
          </w:p>
        </w:tc>
        <w:tc>
          <w:tcPr>
            <w:tcW w:w="709" w:type="dxa"/>
            <w:noWrap w:val="0"/>
            <w:vAlign w:val="center"/>
          </w:tcPr>
          <w:p w14:paraId="437201D2">
            <w:pPr>
              <w:jc w:val="center"/>
              <w:rPr>
                <w:rFonts w:hint="eastAsia" w:ascii="宋体" w:hAnsi="宋体"/>
                <w:szCs w:val="21"/>
              </w:rPr>
            </w:pPr>
          </w:p>
        </w:tc>
        <w:tc>
          <w:tcPr>
            <w:tcW w:w="1176" w:type="dxa"/>
            <w:noWrap w:val="0"/>
            <w:vAlign w:val="center"/>
          </w:tcPr>
          <w:p w14:paraId="10706C5D">
            <w:pPr>
              <w:jc w:val="center"/>
              <w:rPr>
                <w:rFonts w:hint="eastAsia" w:ascii="宋体" w:hAnsi="宋体"/>
                <w:szCs w:val="21"/>
              </w:rPr>
            </w:pPr>
          </w:p>
        </w:tc>
        <w:tc>
          <w:tcPr>
            <w:tcW w:w="1659" w:type="dxa"/>
            <w:noWrap w:val="0"/>
            <w:vAlign w:val="center"/>
          </w:tcPr>
          <w:p w14:paraId="5D769D7F">
            <w:pPr>
              <w:jc w:val="center"/>
              <w:rPr>
                <w:rFonts w:hint="eastAsia" w:ascii="宋体" w:hAnsi="宋体"/>
                <w:szCs w:val="21"/>
              </w:rPr>
            </w:pPr>
          </w:p>
        </w:tc>
        <w:tc>
          <w:tcPr>
            <w:tcW w:w="850" w:type="dxa"/>
            <w:noWrap w:val="0"/>
            <w:vAlign w:val="center"/>
          </w:tcPr>
          <w:p w14:paraId="434DA494">
            <w:pPr>
              <w:jc w:val="center"/>
              <w:rPr>
                <w:rFonts w:hint="eastAsia" w:ascii="宋体" w:hAnsi="宋体"/>
                <w:szCs w:val="21"/>
              </w:rPr>
            </w:pPr>
          </w:p>
        </w:tc>
      </w:tr>
      <w:tr w14:paraId="285A7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C04C9F1">
            <w:pPr>
              <w:jc w:val="center"/>
              <w:rPr>
                <w:rFonts w:hint="eastAsia" w:ascii="宋体" w:hAnsi="宋体"/>
                <w:szCs w:val="21"/>
              </w:rPr>
            </w:pPr>
          </w:p>
        </w:tc>
        <w:tc>
          <w:tcPr>
            <w:tcW w:w="1064" w:type="dxa"/>
            <w:noWrap w:val="0"/>
            <w:vAlign w:val="center"/>
          </w:tcPr>
          <w:p w14:paraId="6ACF1EC0">
            <w:pPr>
              <w:jc w:val="center"/>
              <w:rPr>
                <w:rFonts w:hint="eastAsia" w:ascii="宋体" w:hAnsi="宋体"/>
                <w:szCs w:val="21"/>
              </w:rPr>
            </w:pPr>
          </w:p>
        </w:tc>
        <w:tc>
          <w:tcPr>
            <w:tcW w:w="672" w:type="dxa"/>
            <w:noWrap w:val="0"/>
            <w:vAlign w:val="center"/>
          </w:tcPr>
          <w:p w14:paraId="0B63A4A2">
            <w:pPr>
              <w:jc w:val="center"/>
              <w:rPr>
                <w:rFonts w:hint="eastAsia" w:ascii="宋体" w:hAnsi="宋体"/>
                <w:szCs w:val="21"/>
              </w:rPr>
            </w:pPr>
          </w:p>
        </w:tc>
        <w:tc>
          <w:tcPr>
            <w:tcW w:w="1022" w:type="dxa"/>
            <w:noWrap w:val="0"/>
            <w:vAlign w:val="center"/>
          </w:tcPr>
          <w:p w14:paraId="24164799">
            <w:pPr>
              <w:jc w:val="center"/>
              <w:rPr>
                <w:rFonts w:hint="eastAsia" w:ascii="宋体" w:hAnsi="宋体"/>
                <w:szCs w:val="21"/>
              </w:rPr>
            </w:pPr>
          </w:p>
        </w:tc>
        <w:tc>
          <w:tcPr>
            <w:tcW w:w="709" w:type="dxa"/>
            <w:noWrap w:val="0"/>
            <w:vAlign w:val="center"/>
          </w:tcPr>
          <w:p w14:paraId="093AA58D">
            <w:pPr>
              <w:jc w:val="center"/>
              <w:rPr>
                <w:rFonts w:hint="eastAsia" w:ascii="宋体" w:hAnsi="宋体"/>
                <w:szCs w:val="21"/>
              </w:rPr>
            </w:pPr>
          </w:p>
        </w:tc>
        <w:tc>
          <w:tcPr>
            <w:tcW w:w="709" w:type="dxa"/>
            <w:noWrap w:val="0"/>
            <w:vAlign w:val="center"/>
          </w:tcPr>
          <w:p w14:paraId="13DF02D4">
            <w:pPr>
              <w:jc w:val="center"/>
              <w:rPr>
                <w:rFonts w:hint="eastAsia" w:ascii="宋体" w:hAnsi="宋体"/>
                <w:szCs w:val="21"/>
              </w:rPr>
            </w:pPr>
          </w:p>
        </w:tc>
        <w:tc>
          <w:tcPr>
            <w:tcW w:w="1176" w:type="dxa"/>
            <w:noWrap w:val="0"/>
            <w:vAlign w:val="center"/>
          </w:tcPr>
          <w:p w14:paraId="768F09ED">
            <w:pPr>
              <w:jc w:val="center"/>
              <w:rPr>
                <w:rFonts w:hint="eastAsia" w:ascii="宋体" w:hAnsi="宋体"/>
                <w:szCs w:val="21"/>
              </w:rPr>
            </w:pPr>
          </w:p>
        </w:tc>
        <w:tc>
          <w:tcPr>
            <w:tcW w:w="1659" w:type="dxa"/>
            <w:noWrap w:val="0"/>
            <w:vAlign w:val="center"/>
          </w:tcPr>
          <w:p w14:paraId="55EAB2AF">
            <w:pPr>
              <w:jc w:val="center"/>
              <w:rPr>
                <w:rFonts w:hint="eastAsia" w:ascii="宋体" w:hAnsi="宋体"/>
                <w:szCs w:val="21"/>
              </w:rPr>
            </w:pPr>
          </w:p>
        </w:tc>
        <w:tc>
          <w:tcPr>
            <w:tcW w:w="850" w:type="dxa"/>
            <w:noWrap w:val="0"/>
            <w:vAlign w:val="center"/>
          </w:tcPr>
          <w:p w14:paraId="539449B0">
            <w:pPr>
              <w:jc w:val="center"/>
              <w:rPr>
                <w:rFonts w:hint="eastAsia" w:ascii="宋体" w:hAnsi="宋体"/>
                <w:szCs w:val="21"/>
              </w:rPr>
            </w:pPr>
          </w:p>
        </w:tc>
      </w:tr>
      <w:tr w14:paraId="3B2F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276E47C">
            <w:pPr>
              <w:jc w:val="center"/>
              <w:rPr>
                <w:rFonts w:hint="eastAsia" w:ascii="宋体" w:hAnsi="宋体"/>
                <w:szCs w:val="21"/>
              </w:rPr>
            </w:pPr>
          </w:p>
        </w:tc>
        <w:tc>
          <w:tcPr>
            <w:tcW w:w="1064" w:type="dxa"/>
            <w:noWrap w:val="0"/>
            <w:vAlign w:val="center"/>
          </w:tcPr>
          <w:p w14:paraId="3E528DE2">
            <w:pPr>
              <w:jc w:val="center"/>
              <w:rPr>
                <w:rFonts w:hint="eastAsia" w:ascii="宋体" w:hAnsi="宋体"/>
                <w:szCs w:val="21"/>
              </w:rPr>
            </w:pPr>
          </w:p>
        </w:tc>
        <w:tc>
          <w:tcPr>
            <w:tcW w:w="672" w:type="dxa"/>
            <w:noWrap w:val="0"/>
            <w:vAlign w:val="center"/>
          </w:tcPr>
          <w:p w14:paraId="23F693E0">
            <w:pPr>
              <w:jc w:val="center"/>
              <w:rPr>
                <w:rFonts w:hint="eastAsia" w:ascii="宋体" w:hAnsi="宋体"/>
                <w:szCs w:val="21"/>
              </w:rPr>
            </w:pPr>
          </w:p>
        </w:tc>
        <w:tc>
          <w:tcPr>
            <w:tcW w:w="1022" w:type="dxa"/>
            <w:noWrap w:val="0"/>
            <w:vAlign w:val="center"/>
          </w:tcPr>
          <w:p w14:paraId="2F8BB46E">
            <w:pPr>
              <w:jc w:val="center"/>
              <w:rPr>
                <w:rFonts w:hint="eastAsia" w:ascii="宋体" w:hAnsi="宋体"/>
                <w:szCs w:val="21"/>
              </w:rPr>
            </w:pPr>
          </w:p>
        </w:tc>
        <w:tc>
          <w:tcPr>
            <w:tcW w:w="709" w:type="dxa"/>
            <w:noWrap w:val="0"/>
            <w:vAlign w:val="center"/>
          </w:tcPr>
          <w:p w14:paraId="4BD51E68">
            <w:pPr>
              <w:jc w:val="center"/>
              <w:rPr>
                <w:rFonts w:hint="eastAsia" w:ascii="宋体" w:hAnsi="宋体"/>
                <w:szCs w:val="21"/>
              </w:rPr>
            </w:pPr>
          </w:p>
        </w:tc>
        <w:tc>
          <w:tcPr>
            <w:tcW w:w="709" w:type="dxa"/>
            <w:noWrap w:val="0"/>
            <w:vAlign w:val="center"/>
          </w:tcPr>
          <w:p w14:paraId="4DC360DD">
            <w:pPr>
              <w:jc w:val="center"/>
              <w:rPr>
                <w:rFonts w:hint="eastAsia" w:ascii="宋体" w:hAnsi="宋体"/>
                <w:szCs w:val="21"/>
              </w:rPr>
            </w:pPr>
          </w:p>
        </w:tc>
        <w:tc>
          <w:tcPr>
            <w:tcW w:w="1176" w:type="dxa"/>
            <w:noWrap w:val="0"/>
            <w:vAlign w:val="center"/>
          </w:tcPr>
          <w:p w14:paraId="20E1C880">
            <w:pPr>
              <w:jc w:val="center"/>
              <w:rPr>
                <w:rFonts w:hint="eastAsia" w:ascii="宋体" w:hAnsi="宋体"/>
                <w:szCs w:val="21"/>
              </w:rPr>
            </w:pPr>
          </w:p>
        </w:tc>
        <w:tc>
          <w:tcPr>
            <w:tcW w:w="1659" w:type="dxa"/>
            <w:noWrap w:val="0"/>
            <w:vAlign w:val="center"/>
          </w:tcPr>
          <w:p w14:paraId="79E078F5">
            <w:pPr>
              <w:jc w:val="center"/>
              <w:rPr>
                <w:rFonts w:hint="eastAsia" w:ascii="宋体" w:hAnsi="宋体"/>
                <w:szCs w:val="21"/>
              </w:rPr>
            </w:pPr>
          </w:p>
        </w:tc>
        <w:tc>
          <w:tcPr>
            <w:tcW w:w="850" w:type="dxa"/>
            <w:noWrap w:val="0"/>
            <w:vAlign w:val="center"/>
          </w:tcPr>
          <w:p w14:paraId="53ADE709">
            <w:pPr>
              <w:jc w:val="center"/>
              <w:rPr>
                <w:rFonts w:hint="eastAsia" w:ascii="宋体" w:hAnsi="宋体"/>
                <w:szCs w:val="21"/>
              </w:rPr>
            </w:pPr>
          </w:p>
        </w:tc>
      </w:tr>
      <w:tr w14:paraId="10F9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39D107F">
            <w:pPr>
              <w:jc w:val="center"/>
              <w:rPr>
                <w:rFonts w:hint="eastAsia" w:ascii="宋体" w:hAnsi="宋体"/>
                <w:szCs w:val="21"/>
              </w:rPr>
            </w:pPr>
          </w:p>
        </w:tc>
        <w:tc>
          <w:tcPr>
            <w:tcW w:w="1064" w:type="dxa"/>
            <w:noWrap w:val="0"/>
            <w:vAlign w:val="center"/>
          </w:tcPr>
          <w:p w14:paraId="7B823FD8">
            <w:pPr>
              <w:jc w:val="center"/>
              <w:rPr>
                <w:rFonts w:hint="eastAsia" w:ascii="宋体" w:hAnsi="宋体"/>
                <w:szCs w:val="21"/>
              </w:rPr>
            </w:pPr>
          </w:p>
        </w:tc>
        <w:tc>
          <w:tcPr>
            <w:tcW w:w="672" w:type="dxa"/>
            <w:noWrap w:val="0"/>
            <w:vAlign w:val="center"/>
          </w:tcPr>
          <w:p w14:paraId="6BC78F1F">
            <w:pPr>
              <w:jc w:val="center"/>
              <w:rPr>
                <w:rFonts w:hint="eastAsia" w:ascii="宋体" w:hAnsi="宋体"/>
                <w:szCs w:val="21"/>
              </w:rPr>
            </w:pPr>
          </w:p>
        </w:tc>
        <w:tc>
          <w:tcPr>
            <w:tcW w:w="1022" w:type="dxa"/>
            <w:noWrap w:val="0"/>
            <w:vAlign w:val="center"/>
          </w:tcPr>
          <w:p w14:paraId="1F9F2FE3">
            <w:pPr>
              <w:jc w:val="center"/>
              <w:rPr>
                <w:rFonts w:hint="eastAsia" w:ascii="宋体" w:hAnsi="宋体"/>
                <w:szCs w:val="21"/>
              </w:rPr>
            </w:pPr>
          </w:p>
        </w:tc>
        <w:tc>
          <w:tcPr>
            <w:tcW w:w="709" w:type="dxa"/>
            <w:noWrap w:val="0"/>
            <w:vAlign w:val="center"/>
          </w:tcPr>
          <w:p w14:paraId="0B52A5EE">
            <w:pPr>
              <w:jc w:val="center"/>
              <w:rPr>
                <w:rFonts w:hint="eastAsia" w:ascii="宋体" w:hAnsi="宋体"/>
                <w:szCs w:val="21"/>
              </w:rPr>
            </w:pPr>
          </w:p>
        </w:tc>
        <w:tc>
          <w:tcPr>
            <w:tcW w:w="709" w:type="dxa"/>
            <w:noWrap w:val="0"/>
            <w:vAlign w:val="center"/>
          </w:tcPr>
          <w:p w14:paraId="2DFB3E14">
            <w:pPr>
              <w:jc w:val="center"/>
              <w:rPr>
                <w:rFonts w:hint="eastAsia" w:ascii="宋体" w:hAnsi="宋体"/>
                <w:szCs w:val="21"/>
              </w:rPr>
            </w:pPr>
          </w:p>
        </w:tc>
        <w:tc>
          <w:tcPr>
            <w:tcW w:w="1176" w:type="dxa"/>
            <w:noWrap w:val="0"/>
            <w:vAlign w:val="center"/>
          </w:tcPr>
          <w:p w14:paraId="57B124AF">
            <w:pPr>
              <w:jc w:val="center"/>
              <w:rPr>
                <w:rFonts w:hint="eastAsia" w:ascii="宋体" w:hAnsi="宋体"/>
                <w:szCs w:val="21"/>
              </w:rPr>
            </w:pPr>
          </w:p>
        </w:tc>
        <w:tc>
          <w:tcPr>
            <w:tcW w:w="1659" w:type="dxa"/>
            <w:noWrap w:val="0"/>
            <w:vAlign w:val="center"/>
          </w:tcPr>
          <w:p w14:paraId="0F26CB30">
            <w:pPr>
              <w:jc w:val="center"/>
              <w:rPr>
                <w:rFonts w:hint="eastAsia" w:ascii="宋体" w:hAnsi="宋体"/>
                <w:szCs w:val="21"/>
              </w:rPr>
            </w:pPr>
          </w:p>
        </w:tc>
        <w:tc>
          <w:tcPr>
            <w:tcW w:w="850" w:type="dxa"/>
            <w:noWrap w:val="0"/>
            <w:vAlign w:val="center"/>
          </w:tcPr>
          <w:p w14:paraId="2AA9EC07">
            <w:pPr>
              <w:jc w:val="center"/>
              <w:rPr>
                <w:rFonts w:hint="eastAsia" w:ascii="宋体" w:hAnsi="宋体"/>
                <w:szCs w:val="21"/>
              </w:rPr>
            </w:pPr>
          </w:p>
        </w:tc>
      </w:tr>
      <w:tr w14:paraId="3D4A2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AE16E86">
            <w:pPr>
              <w:jc w:val="center"/>
              <w:rPr>
                <w:rFonts w:hint="eastAsia" w:ascii="宋体" w:hAnsi="宋体"/>
                <w:szCs w:val="21"/>
              </w:rPr>
            </w:pPr>
          </w:p>
        </w:tc>
        <w:tc>
          <w:tcPr>
            <w:tcW w:w="1064" w:type="dxa"/>
            <w:noWrap w:val="0"/>
            <w:vAlign w:val="center"/>
          </w:tcPr>
          <w:p w14:paraId="16A29BD9">
            <w:pPr>
              <w:jc w:val="center"/>
              <w:rPr>
                <w:rFonts w:hint="eastAsia" w:ascii="宋体" w:hAnsi="宋体"/>
                <w:szCs w:val="21"/>
              </w:rPr>
            </w:pPr>
          </w:p>
        </w:tc>
        <w:tc>
          <w:tcPr>
            <w:tcW w:w="672" w:type="dxa"/>
            <w:noWrap w:val="0"/>
            <w:vAlign w:val="center"/>
          </w:tcPr>
          <w:p w14:paraId="5C2EE30B">
            <w:pPr>
              <w:jc w:val="center"/>
              <w:rPr>
                <w:rFonts w:hint="eastAsia" w:ascii="宋体" w:hAnsi="宋体"/>
                <w:szCs w:val="21"/>
              </w:rPr>
            </w:pPr>
          </w:p>
        </w:tc>
        <w:tc>
          <w:tcPr>
            <w:tcW w:w="1022" w:type="dxa"/>
            <w:noWrap w:val="0"/>
            <w:vAlign w:val="center"/>
          </w:tcPr>
          <w:p w14:paraId="471BE5C1">
            <w:pPr>
              <w:jc w:val="center"/>
              <w:rPr>
                <w:rFonts w:hint="eastAsia" w:ascii="宋体" w:hAnsi="宋体"/>
                <w:szCs w:val="21"/>
              </w:rPr>
            </w:pPr>
          </w:p>
        </w:tc>
        <w:tc>
          <w:tcPr>
            <w:tcW w:w="709" w:type="dxa"/>
            <w:noWrap w:val="0"/>
            <w:vAlign w:val="center"/>
          </w:tcPr>
          <w:p w14:paraId="5F9D25B8">
            <w:pPr>
              <w:jc w:val="center"/>
              <w:rPr>
                <w:rFonts w:hint="eastAsia" w:ascii="宋体" w:hAnsi="宋体"/>
                <w:szCs w:val="21"/>
              </w:rPr>
            </w:pPr>
          </w:p>
        </w:tc>
        <w:tc>
          <w:tcPr>
            <w:tcW w:w="709" w:type="dxa"/>
            <w:noWrap w:val="0"/>
            <w:vAlign w:val="center"/>
          </w:tcPr>
          <w:p w14:paraId="3482382B">
            <w:pPr>
              <w:jc w:val="center"/>
              <w:rPr>
                <w:rFonts w:hint="eastAsia" w:ascii="宋体" w:hAnsi="宋体"/>
                <w:szCs w:val="21"/>
              </w:rPr>
            </w:pPr>
          </w:p>
        </w:tc>
        <w:tc>
          <w:tcPr>
            <w:tcW w:w="1176" w:type="dxa"/>
            <w:noWrap w:val="0"/>
            <w:vAlign w:val="center"/>
          </w:tcPr>
          <w:p w14:paraId="4008F2E0">
            <w:pPr>
              <w:jc w:val="center"/>
              <w:rPr>
                <w:rFonts w:hint="eastAsia" w:ascii="宋体" w:hAnsi="宋体"/>
                <w:szCs w:val="21"/>
              </w:rPr>
            </w:pPr>
          </w:p>
        </w:tc>
        <w:tc>
          <w:tcPr>
            <w:tcW w:w="1659" w:type="dxa"/>
            <w:noWrap w:val="0"/>
            <w:vAlign w:val="center"/>
          </w:tcPr>
          <w:p w14:paraId="031F2074">
            <w:pPr>
              <w:jc w:val="center"/>
              <w:rPr>
                <w:rFonts w:hint="eastAsia" w:ascii="宋体" w:hAnsi="宋体"/>
                <w:szCs w:val="21"/>
              </w:rPr>
            </w:pPr>
          </w:p>
        </w:tc>
        <w:tc>
          <w:tcPr>
            <w:tcW w:w="850" w:type="dxa"/>
            <w:noWrap w:val="0"/>
            <w:vAlign w:val="center"/>
          </w:tcPr>
          <w:p w14:paraId="18C00F50">
            <w:pPr>
              <w:jc w:val="center"/>
              <w:rPr>
                <w:rFonts w:hint="eastAsia" w:ascii="宋体" w:hAnsi="宋体"/>
                <w:szCs w:val="21"/>
              </w:rPr>
            </w:pPr>
          </w:p>
        </w:tc>
      </w:tr>
      <w:tr w14:paraId="6E37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5F36186">
            <w:pPr>
              <w:jc w:val="center"/>
              <w:rPr>
                <w:rFonts w:hint="eastAsia" w:ascii="宋体" w:hAnsi="宋体"/>
                <w:szCs w:val="21"/>
              </w:rPr>
            </w:pPr>
          </w:p>
        </w:tc>
        <w:tc>
          <w:tcPr>
            <w:tcW w:w="1064" w:type="dxa"/>
            <w:noWrap w:val="0"/>
            <w:vAlign w:val="center"/>
          </w:tcPr>
          <w:p w14:paraId="5D393AAC">
            <w:pPr>
              <w:jc w:val="center"/>
              <w:rPr>
                <w:rFonts w:hint="eastAsia" w:ascii="宋体" w:hAnsi="宋体"/>
                <w:szCs w:val="21"/>
              </w:rPr>
            </w:pPr>
          </w:p>
        </w:tc>
        <w:tc>
          <w:tcPr>
            <w:tcW w:w="672" w:type="dxa"/>
            <w:noWrap w:val="0"/>
            <w:vAlign w:val="center"/>
          </w:tcPr>
          <w:p w14:paraId="17224BEA">
            <w:pPr>
              <w:jc w:val="center"/>
              <w:rPr>
                <w:rFonts w:hint="eastAsia" w:ascii="宋体" w:hAnsi="宋体"/>
                <w:szCs w:val="21"/>
              </w:rPr>
            </w:pPr>
          </w:p>
        </w:tc>
        <w:tc>
          <w:tcPr>
            <w:tcW w:w="1022" w:type="dxa"/>
            <w:noWrap w:val="0"/>
            <w:vAlign w:val="center"/>
          </w:tcPr>
          <w:p w14:paraId="56CFDFF7">
            <w:pPr>
              <w:jc w:val="center"/>
              <w:rPr>
                <w:rFonts w:hint="eastAsia" w:ascii="宋体" w:hAnsi="宋体"/>
                <w:szCs w:val="21"/>
              </w:rPr>
            </w:pPr>
          </w:p>
        </w:tc>
        <w:tc>
          <w:tcPr>
            <w:tcW w:w="709" w:type="dxa"/>
            <w:noWrap w:val="0"/>
            <w:vAlign w:val="center"/>
          </w:tcPr>
          <w:p w14:paraId="7BE5CE3B">
            <w:pPr>
              <w:jc w:val="center"/>
              <w:rPr>
                <w:rFonts w:hint="eastAsia" w:ascii="宋体" w:hAnsi="宋体"/>
                <w:szCs w:val="21"/>
              </w:rPr>
            </w:pPr>
          </w:p>
        </w:tc>
        <w:tc>
          <w:tcPr>
            <w:tcW w:w="709" w:type="dxa"/>
            <w:noWrap w:val="0"/>
            <w:vAlign w:val="center"/>
          </w:tcPr>
          <w:p w14:paraId="369F5795">
            <w:pPr>
              <w:jc w:val="center"/>
              <w:rPr>
                <w:rFonts w:hint="eastAsia" w:ascii="宋体" w:hAnsi="宋体"/>
                <w:szCs w:val="21"/>
              </w:rPr>
            </w:pPr>
          </w:p>
        </w:tc>
        <w:tc>
          <w:tcPr>
            <w:tcW w:w="1176" w:type="dxa"/>
            <w:noWrap w:val="0"/>
            <w:vAlign w:val="center"/>
          </w:tcPr>
          <w:p w14:paraId="4D600D6D">
            <w:pPr>
              <w:jc w:val="center"/>
              <w:rPr>
                <w:rFonts w:hint="eastAsia" w:ascii="宋体" w:hAnsi="宋体"/>
                <w:szCs w:val="21"/>
              </w:rPr>
            </w:pPr>
          </w:p>
        </w:tc>
        <w:tc>
          <w:tcPr>
            <w:tcW w:w="1659" w:type="dxa"/>
            <w:noWrap w:val="0"/>
            <w:vAlign w:val="center"/>
          </w:tcPr>
          <w:p w14:paraId="2FB2F7B5">
            <w:pPr>
              <w:jc w:val="center"/>
              <w:rPr>
                <w:rFonts w:hint="eastAsia" w:ascii="宋体" w:hAnsi="宋体"/>
                <w:szCs w:val="21"/>
              </w:rPr>
            </w:pPr>
          </w:p>
        </w:tc>
        <w:tc>
          <w:tcPr>
            <w:tcW w:w="850" w:type="dxa"/>
            <w:noWrap w:val="0"/>
            <w:vAlign w:val="center"/>
          </w:tcPr>
          <w:p w14:paraId="41873661">
            <w:pPr>
              <w:jc w:val="center"/>
              <w:rPr>
                <w:rFonts w:hint="eastAsia" w:ascii="宋体" w:hAnsi="宋体"/>
                <w:szCs w:val="21"/>
              </w:rPr>
            </w:pPr>
          </w:p>
        </w:tc>
      </w:tr>
      <w:tr w14:paraId="2754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22B9951">
            <w:pPr>
              <w:jc w:val="center"/>
              <w:rPr>
                <w:rFonts w:hint="eastAsia" w:ascii="宋体" w:hAnsi="宋体"/>
                <w:szCs w:val="21"/>
              </w:rPr>
            </w:pPr>
          </w:p>
        </w:tc>
        <w:tc>
          <w:tcPr>
            <w:tcW w:w="1064" w:type="dxa"/>
            <w:noWrap w:val="0"/>
            <w:vAlign w:val="center"/>
          </w:tcPr>
          <w:p w14:paraId="6E7E5B90">
            <w:pPr>
              <w:jc w:val="center"/>
              <w:rPr>
                <w:rFonts w:hint="eastAsia" w:ascii="宋体" w:hAnsi="宋体"/>
                <w:szCs w:val="21"/>
              </w:rPr>
            </w:pPr>
          </w:p>
        </w:tc>
        <w:tc>
          <w:tcPr>
            <w:tcW w:w="672" w:type="dxa"/>
            <w:noWrap w:val="0"/>
            <w:vAlign w:val="center"/>
          </w:tcPr>
          <w:p w14:paraId="6D2A4CAF">
            <w:pPr>
              <w:jc w:val="center"/>
              <w:rPr>
                <w:rFonts w:hint="eastAsia" w:ascii="宋体" w:hAnsi="宋体"/>
                <w:szCs w:val="21"/>
              </w:rPr>
            </w:pPr>
          </w:p>
        </w:tc>
        <w:tc>
          <w:tcPr>
            <w:tcW w:w="1022" w:type="dxa"/>
            <w:noWrap w:val="0"/>
            <w:vAlign w:val="center"/>
          </w:tcPr>
          <w:p w14:paraId="5110CE0F">
            <w:pPr>
              <w:jc w:val="center"/>
              <w:rPr>
                <w:rFonts w:hint="eastAsia" w:ascii="宋体" w:hAnsi="宋体"/>
                <w:szCs w:val="21"/>
              </w:rPr>
            </w:pPr>
          </w:p>
        </w:tc>
        <w:tc>
          <w:tcPr>
            <w:tcW w:w="709" w:type="dxa"/>
            <w:noWrap w:val="0"/>
            <w:vAlign w:val="center"/>
          </w:tcPr>
          <w:p w14:paraId="60EF8564">
            <w:pPr>
              <w:jc w:val="center"/>
              <w:rPr>
                <w:rFonts w:hint="eastAsia" w:ascii="宋体" w:hAnsi="宋体"/>
                <w:szCs w:val="21"/>
              </w:rPr>
            </w:pPr>
          </w:p>
        </w:tc>
        <w:tc>
          <w:tcPr>
            <w:tcW w:w="709" w:type="dxa"/>
            <w:noWrap w:val="0"/>
            <w:vAlign w:val="center"/>
          </w:tcPr>
          <w:p w14:paraId="490AC9E5">
            <w:pPr>
              <w:jc w:val="center"/>
              <w:rPr>
                <w:rFonts w:hint="eastAsia" w:ascii="宋体" w:hAnsi="宋体"/>
                <w:szCs w:val="21"/>
              </w:rPr>
            </w:pPr>
          </w:p>
        </w:tc>
        <w:tc>
          <w:tcPr>
            <w:tcW w:w="1176" w:type="dxa"/>
            <w:noWrap w:val="0"/>
            <w:vAlign w:val="center"/>
          </w:tcPr>
          <w:p w14:paraId="50352EC5">
            <w:pPr>
              <w:jc w:val="center"/>
              <w:rPr>
                <w:rFonts w:hint="eastAsia" w:ascii="宋体" w:hAnsi="宋体"/>
                <w:szCs w:val="21"/>
              </w:rPr>
            </w:pPr>
          </w:p>
        </w:tc>
        <w:tc>
          <w:tcPr>
            <w:tcW w:w="1659" w:type="dxa"/>
            <w:noWrap w:val="0"/>
            <w:vAlign w:val="center"/>
          </w:tcPr>
          <w:p w14:paraId="11E3BDCC">
            <w:pPr>
              <w:jc w:val="center"/>
              <w:rPr>
                <w:rFonts w:hint="eastAsia" w:ascii="宋体" w:hAnsi="宋体"/>
                <w:szCs w:val="21"/>
              </w:rPr>
            </w:pPr>
          </w:p>
        </w:tc>
        <w:tc>
          <w:tcPr>
            <w:tcW w:w="850" w:type="dxa"/>
            <w:noWrap w:val="0"/>
            <w:vAlign w:val="center"/>
          </w:tcPr>
          <w:p w14:paraId="13551219">
            <w:pPr>
              <w:jc w:val="center"/>
              <w:rPr>
                <w:rFonts w:hint="eastAsia" w:ascii="宋体" w:hAnsi="宋体"/>
                <w:szCs w:val="21"/>
              </w:rPr>
            </w:pPr>
          </w:p>
        </w:tc>
      </w:tr>
      <w:tr w14:paraId="38BC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E52A6D6">
            <w:pPr>
              <w:jc w:val="center"/>
              <w:rPr>
                <w:rFonts w:hint="eastAsia" w:ascii="宋体" w:hAnsi="宋体"/>
                <w:szCs w:val="21"/>
              </w:rPr>
            </w:pPr>
          </w:p>
        </w:tc>
        <w:tc>
          <w:tcPr>
            <w:tcW w:w="1064" w:type="dxa"/>
            <w:noWrap w:val="0"/>
            <w:vAlign w:val="center"/>
          </w:tcPr>
          <w:p w14:paraId="76EE710D">
            <w:pPr>
              <w:jc w:val="center"/>
              <w:rPr>
                <w:rFonts w:hint="eastAsia" w:ascii="宋体" w:hAnsi="宋体"/>
                <w:szCs w:val="21"/>
              </w:rPr>
            </w:pPr>
          </w:p>
        </w:tc>
        <w:tc>
          <w:tcPr>
            <w:tcW w:w="672" w:type="dxa"/>
            <w:noWrap w:val="0"/>
            <w:vAlign w:val="center"/>
          </w:tcPr>
          <w:p w14:paraId="2E0F1535">
            <w:pPr>
              <w:jc w:val="center"/>
              <w:rPr>
                <w:rFonts w:hint="eastAsia" w:ascii="宋体" w:hAnsi="宋体"/>
                <w:szCs w:val="21"/>
              </w:rPr>
            </w:pPr>
          </w:p>
        </w:tc>
        <w:tc>
          <w:tcPr>
            <w:tcW w:w="1022" w:type="dxa"/>
            <w:noWrap w:val="0"/>
            <w:vAlign w:val="center"/>
          </w:tcPr>
          <w:p w14:paraId="4D7C8116">
            <w:pPr>
              <w:jc w:val="center"/>
              <w:rPr>
                <w:rFonts w:hint="eastAsia" w:ascii="宋体" w:hAnsi="宋体"/>
                <w:szCs w:val="21"/>
              </w:rPr>
            </w:pPr>
          </w:p>
        </w:tc>
        <w:tc>
          <w:tcPr>
            <w:tcW w:w="709" w:type="dxa"/>
            <w:noWrap w:val="0"/>
            <w:vAlign w:val="center"/>
          </w:tcPr>
          <w:p w14:paraId="20F020C5">
            <w:pPr>
              <w:jc w:val="center"/>
              <w:rPr>
                <w:rFonts w:hint="eastAsia" w:ascii="宋体" w:hAnsi="宋体"/>
                <w:szCs w:val="21"/>
              </w:rPr>
            </w:pPr>
          </w:p>
        </w:tc>
        <w:tc>
          <w:tcPr>
            <w:tcW w:w="709" w:type="dxa"/>
            <w:noWrap w:val="0"/>
            <w:vAlign w:val="center"/>
          </w:tcPr>
          <w:p w14:paraId="3D02A5AB">
            <w:pPr>
              <w:jc w:val="center"/>
              <w:rPr>
                <w:rFonts w:hint="eastAsia" w:ascii="宋体" w:hAnsi="宋体"/>
                <w:szCs w:val="21"/>
              </w:rPr>
            </w:pPr>
          </w:p>
        </w:tc>
        <w:tc>
          <w:tcPr>
            <w:tcW w:w="1176" w:type="dxa"/>
            <w:noWrap w:val="0"/>
            <w:vAlign w:val="center"/>
          </w:tcPr>
          <w:p w14:paraId="1A1ACDA1">
            <w:pPr>
              <w:jc w:val="center"/>
              <w:rPr>
                <w:rFonts w:hint="eastAsia" w:ascii="宋体" w:hAnsi="宋体"/>
                <w:szCs w:val="21"/>
              </w:rPr>
            </w:pPr>
          </w:p>
        </w:tc>
        <w:tc>
          <w:tcPr>
            <w:tcW w:w="1659" w:type="dxa"/>
            <w:noWrap w:val="0"/>
            <w:vAlign w:val="center"/>
          </w:tcPr>
          <w:p w14:paraId="54680222">
            <w:pPr>
              <w:jc w:val="center"/>
              <w:rPr>
                <w:rFonts w:hint="eastAsia" w:ascii="宋体" w:hAnsi="宋体"/>
                <w:szCs w:val="21"/>
              </w:rPr>
            </w:pPr>
          </w:p>
        </w:tc>
        <w:tc>
          <w:tcPr>
            <w:tcW w:w="850" w:type="dxa"/>
            <w:noWrap w:val="0"/>
            <w:vAlign w:val="center"/>
          </w:tcPr>
          <w:p w14:paraId="395D405E">
            <w:pPr>
              <w:jc w:val="center"/>
              <w:rPr>
                <w:rFonts w:hint="eastAsia" w:ascii="宋体" w:hAnsi="宋体"/>
                <w:szCs w:val="21"/>
              </w:rPr>
            </w:pPr>
          </w:p>
        </w:tc>
      </w:tr>
      <w:tr w14:paraId="2FF8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171AAE1">
            <w:pPr>
              <w:jc w:val="center"/>
              <w:rPr>
                <w:rFonts w:hint="eastAsia" w:ascii="宋体" w:hAnsi="宋体"/>
                <w:szCs w:val="21"/>
              </w:rPr>
            </w:pPr>
          </w:p>
        </w:tc>
        <w:tc>
          <w:tcPr>
            <w:tcW w:w="1064" w:type="dxa"/>
            <w:noWrap w:val="0"/>
            <w:vAlign w:val="center"/>
          </w:tcPr>
          <w:p w14:paraId="0FEBF1D8">
            <w:pPr>
              <w:jc w:val="center"/>
              <w:rPr>
                <w:rFonts w:hint="eastAsia" w:ascii="宋体" w:hAnsi="宋体"/>
                <w:szCs w:val="21"/>
              </w:rPr>
            </w:pPr>
          </w:p>
        </w:tc>
        <w:tc>
          <w:tcPr>
            <w:tcW w:w="672" w:type="dxa"/>
            <w:noWrap w:val="0"/>
            <w:vAlign w:val="center"/>
          </w:tcPr>
          <w:p w14:paraId="1E6FD6B4">
            <w:pPr>
              <w:jc w:val="center"/>
              <w:rPr>
                <w:rFonts w:hint="eastAsia" w:ascii="宋体" w:hAnsi="宋体"/>
                <w:szCs w:val="21"/>
              </w:rPr>
            </w:pPr>
          </w:p>
        </w:tc>
        <w:tc>
          <w:tcPr>
            <w:tcW w:w="1022" w:type="dxa"/>
            <w:noWrap w:val="0"/>
            <w:vAlign w:val="center"/>
          </w:tcPr>
          <w:p w14:paraId="4EC9ABD3">
            <w:pPr>
              <w:jc w:val="center"/>
              <w:rPr>
                <w:rFonts w:hint="eastAsia" w:ascii="宋体" w:hAnsi="宋体"/>
                <w:szCs w:val="21"/>
              </w:rPr>
            </w:pPr>
          </w:p>
        </w:tc>
        <w:tc>
          <w:tcPr>
            <w:tcW w:w="709" w:type="dxa"/>
            <w:noWrap w:val="0"/>
            <w:vAlign w:val="center"/>
          </w:tcPr>
          <w:p w14:paraId="2C75E2C1">
            <w:pPr>
              <w:jc w:val="center"/>
              <w:rPr>
                <w:rFonts w:hint="eastAsia" w:ascii="宋体" w:hAnsi="宋体"/>
                <w:szCs w:val="21"/>
              </w:rPr>
            </w:pPr>
          </w:p>
        </w:tc>
        <w:tc>
          <w:tcPr>
            <w:tcW w:w="709" w:type="dxa"/>
            <w:noWrap w:val="0"/>
            <w:vAlign w:val="center"/>
          </w:tcPr>
          <w:p w14:paraId="2920FF34">
            <w:pPr>
              <w:jc w:val="center"/>
              <w:rPr>
                <w:rFonts w:hint="eastAsia" w:ascii="宋体" w:hAnsi="宋体"/>
                <w:szCs w:val="21"/>
              </w:rPr>
            </w:pPr>
          </w:p>
        </w:tc>
        <w:tc>
          <w:tcPr>
            <w:tcW w:w="1176" w:type="dxa"/>
            <w:noWrap w:val="0"/>
            <w:vAlign w:val="center"/>
          </w:tcPr>
          <w:p w14:paraId="1C9E3A36">
            <w:pPr>
              <w:jc w:val="center"/>
              <w:rPr>
                <w:rFonts w:hint="eastAsia" w:ascii="宋体" w:hAnsi="宋体"/>
                <w:szCs w:val="21"/>
              </w:rPr>
            </w:pPr>
          </w:p>
        </w:tc>
        <w:tc>
          <w:tcPr>
            <w:tcW w:w="1659" w:type="dxa"/>
            <w:noWrap w:val="0"/>
            <w:vAlign w:val="center"/>
          </w:tcPr>
          <w:p w14:paraId="2DCEC32A">
            <w:pPr>
              <w:jc w:val="center"/>
              <w:rPr>
                <w:rFonts w:hint="eastAsia" w:ascii="宋体" w:hAnsi="宋体"/>
                <w:szCs w:val="21"/>
              </w:rPr>
            </w:pPr>
          </w:p>
        </w:tc>
        <w:tc>
          <w:tcPr>
            <w:tcW w:w="850" w:type="dxa"/>
            <w:noWrap w:val="0"/>
            <w:vAlign w:val="center"/>
          </w:tcPr>
          <w:p w14:paraId="65760A02">
            <w:pPr>
              <w:jc w:val="center"/>
              <w:rPr>
                <w:rFonts w:hint="eastAsia" w:ascii="宋体" w:hAnsi="宋体"/>
                <w:szCs w:val="21"/>
              </w:rPr>
            </w:pPr>
          </w:p>
        </w:tc>
      </w:tr>
      <w:tr w14:paraId="65B4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EB8B0BF">
            <w:pPr>
              <w:jc w:val="center"/>
              <w:rPr>
                <w:rFonts w:hint="eastAsia" w:ascii="宋体" w:hAnsi="宋体"/>
                <w:szCs w:val="21"/>
              </w:rPr>
            </w:pPr>
          </w:p>
        </w:tc>
        <w:tc>
          <w:tcPr>
            <w:tcW w:w="1064" w:type="dxa"/>
            <w:noWrap w:val="0"/>
            <w:vAlign w:val="center"/>
          </w:tcPr>
          <w:p w14:paraId="0DA1E654">
            <w:pPr>
              <w:jc w:val="center"/>
              <w:rPr>
                <w:rFonts w:hint="eastAsia" w:ascii="宋体" w:hAnsi="宋体"/>
                <w:szCs w:val="21"/>
              </w:rPr>
            </w:pPr>
          </w:p>
        </w:tc>
        <w:tc>
          <w:tcPr>
            <w:tcW w:w="672" w:type="dxa"/>
            <w:noWrap w:val="0"/>
            <w:vAlign w:val="center"/>
          </w:tcPr>
          <w:p w14:paraId="5EE14692">
            <w:pPr>
              <w:jc w:val="center"/>
              <w:rPr>
                <w:rFonts w:hint="eastAsia" w:ascii="宋体" w:hAnsi="宋体"/>
                <w:szCs w:val="21"/>
              </w:rPr>
            </w:pPr>
          </w:p>
        </w:tc>
        <w:tc>
          <w:tcPr>
            <w:tcW w:w="1022" w:type="dxa"/>
            <w:noWrap w:val="0"/>
            <w:vAlign w:val="center"/>
          </w:tcPr>
          <w:p w14:paraId="7876222E">
            <w:pPr>
              <w:jc w:val="center"/>
              <w:rPr>
                <w:rFonts w:hint="eastAsia" w:ascii="宋体" w:hAnsi="宋体"/>
                <w:szCs w:val="21"/>
              </w:rPr>
            </w:pPr>
          </w:p>
        </w:tc>
        <w:tc>
          <w:tcPr>
            <w:tcW w:w="709" w:type="dxa"/>
            <w:noWrap w:val="0"/>
            <w:vAlign w:val="center"/>
          </w:tcPr>
          <w:p w14:paraId="074B6A5B">
            <w:pPr>
              <w:jc w:val="center"/>
              <w:rPr>
                <w:rFonts w:hint="eastAsia" w:ascii="宋体" w:hAnsi="宋体"/>
                <w:szCs w:val="21"/>
              </w:rPr>
            </w:pPr>
          </w:p>
        </w:tc>
        <w:tc>
          <w:tcPr>
            <w:tcW w:w="709" w:type="dxa"/>
            <w:noWrap w:val="0"/>
            <w:vAlign w:val="center"/>
          </w:tcPr>
          <w:p w14:paraId="092DDD22">
            <w:pPr>
              <w:jc w:val="center"/>
              <w:rPr>
                <w:rFonts w:hint="eastAsia" w:ascii="宋体" w:hAnsi="宋体"/>
                <w:szCs w:val="21"/>
              </w:rPr>
            </w:pPr>
          </w:p>
        </w:tc>
        <w:tc>
          <w:tcPr>
            <w:tcW w:w="1176" w:type="dxa"/>
            <w:noWrap w:val="0"/>
            <w:vAlign w:val="center"/>
          </w:tcPr>
          <w:p w14:paraId="6957DECB">
            <w:pPr>
              <w:jc w:val="center"/>
              <w:rPr>
                <w:rFonts w:hint="eastAsia" w:ascii="宋体" w:hAnsi="宋体"/>
                <w:szCs w:val="21"/>
              </w:rPr>
            </w:pPr>
          </w:p>
        </w:tc>
        <w:tc>
          <w:tcPr>
            <w:tcW w:w="1659" w:type="dxa"/>
            <w:noWrap w:val="0"/>
            <w:vAlign w:val="center"/>
          </w:tcPr>
          <w:p w14:paraId="32856C30">
            <w:pPr>
              <w:jc w:val="center"/>
              <w:rPr>
                <w:rFonts w:hint="eastAsia" w:ascii="宋体" w:hAnsi="宋体"/>
                <w:szCs w:val="21"/>
              </w:rPr>
            </w:pPr>
          </w:p>
        </w:tc>
        <w:tc>
          <w:tcPr>
            <w:tcW w:w="850" w:type="dxa"/>
            <w:noWrap w:val="0"/>
            <w:vAlign w:val="center"/>
          </w:tcPr>
          <w:p w14:paraId="51714A78">
            <w:pPr>
              <w:jc w:val="center"/>
              <w:rPr>
                <w:rFonts w:hint="eastAsia" w:ascii="宋体" w:hAnsi="宋体"/>
                <w:szCs w:val="21"/>
              </w:rPr>
            </w:pPr>
          </w:p>
        </w:tc>
      </w:tr>
      <w:tr w14:paraId="6929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65A10AC">
            <w:pPr>
              <w:jc w:val="center"/>
              <w:rPr>
                <w:rFonts w:hint="eastAsia" w:ascii="宋体" w:hAnsi="宋体"/>
                <w:szCs w:val="21"/>
              </w:rPr>
            </w:pPr>
          </w:p>
        </w:tc>
        <w:tc>
          <w:tcPr>
            <w:tcW w:w="1064" w:type="dxa"/>
            <w:noWrap w:val="0"/>
            <w:vAlign w:val="center"/>
          </w:tcPr>
          <w:p w14:paraId="6D6884C8">
            <w:pPr>
              <w:jc w:val="center"/>
              <w:rPr>
                <w:rFonts w:hint="eastAsia" w:ascii="宋体" w:hAnsi="宋体"/>
                <w:szCs w:val="21"/>
              </w:rPr>
            </w:pPr>
          </w:p>
        </w:tc>
        <w:tc>
          <w:tcPr>
            <w:tcW w:w="672" w:type="dxa"/>
            <w:noWrap w:val="0"/>
            <w:vAlign w:val="center"/>
          </w:tcPr>
          <w:p w14:paraId="0F88AAF4">
            <w:pPr>
              <w:jc w:val="center"/>
              <w:rPr>
                <w:rFonts w:hint="eastAsia" w:ascii="宋体" w:hAnsi="宋体"/>
                <w:szCs w:val="21"/>
              </w:rPr>
            </w:pPr>
          </w:p>
        </w:tc>
        <w:tc>
          <w:tcPr>
            <w:tcW w:w="1022" w:type="dxa"/>
            <w:noWrap w:val="0"/>
            <w:vAlign w:val="center"/>
          </w:tcPr>
          <w:p w14:paraId="3C928CB2">
            <w:pPr>
              <w:jc w:val="center"/>
              <w:rPr>
                <w:rFonts w:hint="eastAsia" w:ascii="宋体" w:hAnsi="宋体"/>
                <w:szCs w:val="21"/>
              </w:rPr>
            </w:pPr>
          </w:p>
        </w:tc>
        <w:tc>
          <w:tcPr>
            <w:tcW w:w="709" w:type="dxa"/>
            <w:noWrap w:val="0"/>
            <w:vAlign w:val="center"/>
          </w:tcPr>
          <w:p w14:paraId="04F6DD68">
            <w:pPr>
              <w:jc w:val="center"/>
              <w:rPr>
                <w:rFonts w:hint="eastAsia" w:ascii="宋体" w:hAnsi="宋体"/>
                <w:szCs w:val="21"/>
              </w:rPr>
            </w:pPr>
          </w:p>
        </w:tc>
        <w:tc>
          <w:tcPr>
            <w:tcW w:w="709" w:type="dxa"/>
            <w:noWrap w:val="0"/>
            <w:vAlign w:val="center"/>
          </w:tcPr>
          <w:p w14:paraId="3754596B">
            <w:pPr>
              <w:jc w:val="center"/>
              <w:rPr>
                <w:rFonts w:hint="eastAsia" w:ascii="宋体" w:hAnsi="宋体"/>
                <w:szCs w:val="21"/>
              </w:rPr>
            </w:pPr>
          </w:p>
        </w:tc>
        <w:tc>
          <w:tcPr>
            <w:tcW w:w="1176" w:type="dxa"/>
            <w:noWrap w:val="0"/>
            <w:vAlign w:val="center"/>
          </w:tcPr>
          <w:p w14:paraId="221601FC">
            <w:pPr>
              <w:jc w:val="center"/>
              <w:rPr>
                <w:rFonts w:hint="eastAsia" w:ascii="宋体" w:hAnsi="宋体"/>
                <w:szCs w:val="21"/>
              </w:rPr>
            </w:pPr>
          </w:p>
        </w:tc>
        <w:tc>
          <w:tcPr>
            <w:tcW w:w="1659" w:type="dxa"/>
            <w:noWrap w:val="0"/>
            <w:vAlign w:val="center"/>
          </w:tcPr>
          <w:p w14:paraId="3F239787">
            <w:pPr>
              <w:jc w:val="center"/>
              <w:rPr>
                <w:rFonts w:hint="eastAsia" w:ascii="宋体" w:hAnsi="宋体"/>
                <w:szCs w:val="21"/>
              </w:rPr>
            </w:pPr>
          </w:p>
        </w:tc>
        <w:tc>
          <w:tcPr>
            <w:tcW w:w="850" w:type="dxa"/>
            <w:noWrap w:val="0"/>
            <w:vAlign w:val="center"/>
          </w:tcPr>
          <w:p w14:paraId="77CC3F1D">
            <w:pPr>
              <w:jc w:val="center"/>
              <w:rPr>
                <w:rFonts w:hint="eastAsia" w:ascii="宋体" w:hAnsi="宋体"/>
                <w:szCs w:val="21"/>
              </w:rPr>
            </w:pPr>
          </w:p>
        </w:tc>
      </w:tr>
      <w:tr w14:paraId="6DB6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85A8EED">
            <w:pPr>
              <w:jc w:val="center"/>
              <w:rPr>
                <w:rFonts w:hint="eastAsia" w:ascii="宋体" w:hAnsi="宋体"/>
                <w:szCs w:val="21"/>
              </w:rPr>
            </w:pPr>
          </w:p>
        </w:tc>
        <w:tc>
          <w:tcPr>
            <w:tcW w:w="1064" w:type="dxa"/>
            <w:noWrap w:val="0"/>
            <w:vAlign w:val="center"/>
          </w:tcPr>
          <w:p w14:paraId="48C7942A">
            <w:pPr>
              <w:jc w:val="center"/>
              <w:rPr>
                <w:rFonts w:hint="eastAsia" w:ascii="宋体" w:hAnsi="宋体"/>
                <w:szCs w:val="21"/>
              </w:rPr>
            </w:pPr>
          </w:p>
        </w:tc>
        <w:tc>
          <w:tcPr>
            <w:tcW w:w="672" w:type="dxa"/>
            <w:noWrap w:val="0"/>
            <w:vAlign w:val="center"/>
          </w:tcPr>
          <w:p w14:paraId="68608063">
            <w:pPr>
              <w:jc w:val="center"/>
              <w:rPr>
                <w:rFonts w:hint="eastAsia" w:ascii="宋体" w:hAnsi="宋体"/>
                <w:szCs w:val="21"/>
              </w:rPr>
            </w:pPr>
          </w:p>
        </w:tc>
        <w:tc>
          <w:tcPr>
            <w:tcW w:w="1022" w:type="dxa"/>
            <w:noWrap w:val="0"/>
            <w:vAlign w:val="center"/>
          </w:tcPr>
          <w:p w14:paraId="18D229EC">
            <w:pPr>
              <w:jc w:val="center"/>
              <w:rPr>
                <w:rFonts w:hint="eastAsia" w:ascii="宋体" w:hAnsi="宋体"/>
                <w:szCs w:val="21"/>
              </w:rPr>
            </w:pPr>
          </w:p>
        </w:tc>
        <w:tc>
          <w:tcPr>
            <w:tcW w:w="709" w:type="dxa"/>
            <w:noWrap w:val="0"/>
            <w:vAlign w:val="center"/>
          </w:tcPr>
          <w:p w14:paraId="498395EA">
            <w:pPr>
              <w:jc w:val="center"/>
              <w:rPr>
                <w:rFonts w:hint="eastAsia" w:ascii="宋体" w:hAnsi="宋体"/>
                <w:szCs w:val="21"/>
              </w:rPr>
            </w:pPr>
          </w:p>
        </w:tc>
        <w:tc>
          <w:tcPr>
            <w:tcW w:w="709" w:type="dxa"/>
            <w:noWrap w:val="0"/>
            <w:vAlign w:val="center"/>
          </w:tcPr>
          <w:p w14:paraId="445DE087">
            <w:pPr>
              <w:jc w:val="center"/>
              <w:rPr>
                <w:rFonts w:hint="eastAsia" w:ascii="宋体" w:hAnsi="宋体"/>
                <w:szCs w:val="21"/>
              </w:rPr>
            </w:pPr>
          </w:p>
        </w:tc>
        <w:tc>
          <w:tcPr>
            <w:tcW w:w="1176" w:type="dxa"/>
            <w:noWrap w:val="0"/>
            <w:vAlign w:val="center"/>
          </w:tcPr>
          <w:p w14:paraId="1B7BCEB6">
            <w:pPr>
              <w:jc w:val="center"/>
              <w:rPr>
                <w:rFonts w:hint="eastAsia" w:ascii="宋体" w:hAnsi="宋体"/>
                <w:szCs w:val="21"/>
              </w:rPr>
            </w:pPr>
          </w:p>
        </w:tc>
        <w:tc>
          <w:tcPr>
            <w:tcW w:w="1659" w:type="dxa"/>
            <w:noWrap w:val="0"/>
            <w:vAlign w:val="center"/>
          </w:tcPr>
          <w:p w14:paraId="483A3DB4">
            <w:pPr>
              <w:jc w:val="center"/>
              <w:rPr>
                <w:rFonts w:hint="eastAsia" w:ascii="宋体" w:hAnsi="宋体"/>
                <w:szCs w:val="21"/>
              </w:rPr>
            </w:pPr>
          </w:p>
        </w:tc>
        <w:tc>
          <w:tcPr>
            <w:tcW w:w="850" w:type="dxa"/>
            <w:noWrap w:val="0"/>
            <w:vAlign w:val="center"/>
          </w:tcPr>
          <w:p w14:paraId="77D280CA">
            <w:pPr>
              <w:jc w:val="center"/>
              <w:rPr>
                <w:rFonts w:hint="eastAsia" w:ascii="宋体" w:hAnsi="宋体"/>
                <w:szCs w:val="21"/>
              </w:rPr>
            </w:pPr>
          </w:p>
        </w:tc>
      </w:tr>
      <w:tr w14:paraId="222B8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29E7325">
            <w:pPr>
              <w:jc w:val="center"/>
              <w:rPr>
                <w:rFonts w:hint="eastAsia" w:ascii="宋体" w:hAnsi="宋体"/>
                <w:szCs w:val="21"/>
              </w:rPr>
            </w:pPr>
          </w:p>
        </w:tc>
        <w:tc>
          <w:tcPr>
            <w:tcW w:w="1064" w:type="dxa"/>
            <w:noWrap w:val="0"/>
            <w:vAlign w:val="center"/>
          </w:tcPr>
          <w:p w14:paraId="074ACA45">
            <w:pPr>
              <w:jc w:val="center"/>
              <w:rPr>
                <w:rFonts w:hint="eastAsia" w:ascii="宋体" w:hAnsi="宋体"/>
                <w:szCs w:val="21"/>
              </w:rPr>
            </w:pPr>
          </w:p>
        </w:tc>
        <w:tc>
          <w:tcPr>
            <w:tcW w:w="672" w:type="dxa"/>
            <w:noWrap w:val="0"/>
            <w:vAlign w:val="center"/>
          </w:tcPr>
          <w:p w14:paraId="6FDDE58B">
            <w:pPr>
              <w:jc w:val="center"/>
              <w:rPr>
                <w:rFonts w:hint="eastAsia" w:ascii="宋体" w:hAnsi="宋体"/>
                <w:szCs w:val="21"/>
              </w:rPr>
            </w:pPr>
          </w:p>
        </w:tc>
        <w:tc>
          <w:tcPr>
            <w:tcW w:w="1022" w:type="dxa"/>
            <w:noWrap w:val="0"/>
            <w:vAlign w:val="center"/>
          </w:tcPr>
          <w:p w14:paraId="52B114E0">
            <w:pPr>
              <w:jc w:val="center"/>
              <w:rPr>
                <w:rFonts w:hint="eastAsia" w:ascii="宋体" w:hAnsi="宋体"/>
                <w:szCs w:val="21"/>
              </w:rPr>
            </w:pPr>
          </w:p>
        </w:tc>
        <w:tc>
          <w:tcPr>
            <w:tcW w:w="709" w:type="dxa"/>
            <w:noWrap w:val="0"/>
            <w:vAlign w:val="center"/>
          </w:tcPr>
          <w:p w14:paraId="25F7EDA6">
            <w:pPr>
              <w:jc w:val="center"/>
              <w:rPr>
                <w:rFonts w:hint="eastAsia" w:ascii="宋体" w:hAnsi="宋体"/>
                <w:szCs w:val="21"/>
              </w:rPr>
            </w:pPr>
          </w:p>
        </w:tc>
        <w:tc>
          <w:tcPr>
            <w:tcW w:w="709" w:type="dxa"/>
            <w:noWrap w:val="0"/>
            <w:vAlign w:val="center"/>
          </w:tcPr>
          <w:p w14:paraId="196654B7">
            <w:pPr>
              <w:jc w:val="center"/>
              <w:rPr>
                <w:rFonts w:hint="eastAsia" w:ascii="宋体" w:hAnsi="宋体"/>
                <w:szCs w:val="21"/>
              </w:rPr>
            </w:pPr>
          </w:p>
        </w:tc>
        <w:tc>
          <w:tcPr>
            <w:tcW w:w="1176" w:type="dxa"/>
            <w:noWrap w:val="0"/>
            <w:vAlign w:val="center"/>
          </w:tcPr>
          <w:p w14:paraId="6F775D2B">
            <w:pPr>
              <w:jc w:val="center"/>
              <w:rPr>
                <w:rFonts w:hint="eastAsia" w:ascii="宋体" w:hAnsi="宋体"/>
                <w:szCs w:val="21"/>
              </w:rPr>
            </w:pPr>
          </w:p>
        </w:tc>
        <w:tc>
          <w:tcPr>
            <w:tcW w:w="1659" w:type="dxa"/>
            <w:noWrap w:val="0"/>
            <w:vAlign w:val="center"/>
          </w:tcPr>
          <w:p w14:paraId="774EB712">
            <w:pPr>
              <w:jc w:val="center"/>
              <w:rPr>
                <w:rFonts w:hint="eastAsia" w:ascii="宋体" w:hAnsi="宋体"/>
                <w:szCs w:val="21"/>
              </w:rPr>
            </w:pPr>
          </w:p>
        </w:tc>
        <w:tc>
          <w:tcPr>
            <w:tcW w:w="850" w:type="dxa"/>
            <w:noWrap w:val="0"/>
            <w:vAlign w:val="center"/>
          </w:tcPr>
          <w:p w14:paraId="75DA6611">
            <w:pPr>
              <w:jc w:val="center"/>
              <w:rPr>
                <w:rFonts w:hint="eastAsia" w:ascii="宋体" w:hAnsi="宋体"/>
                <w:szCs w:val="21"/>
              </w:rPr>
            </w:pPr>
          </w:p>
        </w:tc>
      </w:tr>
      <w:tr w14:paraId="22A9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BBA2297">
            <w:pPr>
              <w:jc w:val="center"/>
              <w:rPr>
                <w:rFonts w:hint="eastAsia" w:ascii="宋体" w:hAnsi="宋体"/>
                <w:szCs w:val="21"/>
              </w:rPr>
            </w:pPr>
          </w:p>
        </w:tc>
        <w:tc>
          <w:tcPr>
            <w:tcW w:w="1064" w:type="dxa"/>
            <w:noWrap w:val="0"/>
            <w:vAlign w:val="center"/>
          </w:tcPr>
          <w:p w14:paraId="186D71B9">
            <w:pPr>
              <w:jc w:val="center"/>
              <w:rPr>
                <w:rFonts w:hint="eastAsia" w:ascii="宋体" w:hAnsi="宋体"/>
                <w:szCs w:val="21"/>
              </w:rPr>
            </w:pPr>
          </w:p>
        </w:tc>
        <w:tc>
          <w:tcPr>
            <w:tcW w:w="672" w:type="dxa"/>
            <w:noWrap w:val="0"/>
            <w:vAlign w:val="center"/>
          </w:tcPr>
          <w:p w14:paraId="3A5555C1">
            <w:pPr>
              <w:jc w:val="center"/>
              <w:rPr>
                <w:rFonts w:hint="eastAsia" w:ascii="宋体" w:hAnsi="宋体"/>
                <w:szCs w:val="21"/>
              </w:rPr>
            </w:pPr>
          </w:p>
        </w:tc>
        <w:tc>
          <w:tcPr>
            <w:tcW w:w="1022" w:type="dxa"/>
            <w:noWrap w:val="0"/>
            <w:vAlign w:val="center"/>
          </w:tcPr>
          <w:p w14:paraId="19066773">
            <w:pPr>
              <w:jc w:val="center"/>
              <w:rPr>
                <w:rFonts w:hint="eastAsia" w:ascii="宋体" w:hAnsi="宋体"/>
                <w:szCs w:val="21"/>
              </w:rPr>
            </w:pPr>
          </w:p>
        </w:tc>
        <w:tc>
          <w:tcPr>
            <w:tcW w:w="709" w:type="dxa"/>
            <w:noWrap w:val="0"/>
            <w:vAlign w:val="center"/>
          </w:tcPr>
          <w:p w14:paraId="7D82126F">
            <w:pPr>
              <w:jc w:val="center"/>
              <w:rPr>
                <w:rFonts w:hint="eastAsia" w:ascii="宋体" w:hAnsi="宋体"/>
                <w:szCs w:val="21"/>
              </w:rPr>
            </w:pPr>
          </w:p>
        </w:tc>
        <w:tc>
          <w:tcPr>
            <w:tcW w:w="709" w:type="dxa"/>
            <w:noWrap w:val="0"/>
            <w:vAlign w:val="center"/>
          </w:tcPr>
          <w:p w14:paraId="386FB7C1">
            <w:pPr>
              <w:jc w:val="center"/>
              <w:rPr>
                <w:rFonts w:hint="eastAsia" w:ascii="宋体" w:hAnsi="宋体"/>
                <w:szCs w:val="21"/>
              </w:rPr>
            </w:pPr>
          </w:p>
        </w:tc>
        <w:tc>
          <w:tcPr>
            <w:tcW w:w="1176" w:type="dxa"/>
            <w:noWrap w:val="0"/>
            <w:vAlign w:val="center"/>
          </w:tcPr>
          <w:p w14:paraId="442289C1">
            <w:pPr>
              <w:jc w:val="center"/>
              <w:rPr>
                <w:rFonts w:hint="eastAsia" w:ascii="宋体" w:hAnsi="宋体"/>
                <w:szCs w:val="21"/>
              </w:rPr>
            </w:pPr>
          </w:p>
        </w:tc>
        <w:tc>
          <w:tcPr>
            <w:tcW w:w="1659" w:type="dxa"/>
            <w:noWrap w:val="0"/>
            <w:vAlign w:val="center"/>
          </w:tcPr>
          <w:p w14:paraId="20432232">
            <w:pPr>
              <w:jc w:val="center"/>
              <w:rPr>
                <w:rFonts w:hint="eastAsia" w:ascii="宋体" w:hAnsi="宋体"/>
                <w:szCs w:val="21"/>
              </w:rPr>
            </w:pPr>
          </w:p>
        </w:tc>
        <w:tc>
          <w:tcPr>
            <w:tcW w:w="850" w:type="dxa"/>
            <w:noWrap w:val="0"/>
            <w:vAlign w:val="center"/>
          </w:tcPr>
          <w:p w14:paraId="3E7CAC8F">
            <w:pPr>
              <w:jc w:val="center"/>
              <w:rPr>
                <w:rFonts w:hint="eastAsia" w:ascii="宋体" w:hAnsi="宋体"/>
                <w:szCs w:val="21"/>
              </w:rPr>
            </w:pPr>
          </w:p>
        </w:tc>
      </w:tr>
      <w:tr w14:paraId="3798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2DEED3C">
            <w:pPr>
              <w:jc w:val="center"/>
              <w:rPr>
                <w:rFonts w:hint="eastAsia" w:ascii="宋体" w:hAnsi="宋体"/>
                <w:szCs w:val="21"/>
              </w:rPr>
            </w:pPr>
          </w:p>
        </w:tc>
        <w:tc>
          <w:tcPr>
            <w:tcW w:w="1064" w:type="dxa"/>
            <w:noWrap w:val="0"/>
            <w:vAlign w:val="center"/>
          </w:tcPr>
          <w:p w14:paraId="67B3CEC1">
            <w:pPr>
              <w:jc w:val="center"/>
              <w:rPr>
                <w:rFonts w:hint="eastAsia" w:ascii="宋体" w:hAnsi="宋体"/>
                <w:szCs w:val="21"/>
              </w:rPr>
            </w:pPr>
          </w:p>
        </w:tc>
        <w:tc>
          <w:tcPr>
            <w:tcW w:w="672" w:type="dxa"/>
            <w:noWrap w:val="0"/>
            <w:vAlign w:val="center"/>
          </w:tcPr>
          <w:p w14:paraId="51E4289B">
            <w:pPr>
              <w:jc w:val="center"/>
              <w:rPr>
                <w:rFonts w:hint="eastAsia" w:ascii="宋体" w:hAnsi="宋体"/>
                <w:szCs w:val="21"/>
              </w:rPr>
            </w:pPr>
          </w:p>
        </w:tc>
        <w:tc>
          <w:tcPr>
            <w:tcW w:w="1022" w:type="dxa"/>
            <w:noWrap w:val="0"/>
            <w:vAlign w:val="center"/>
          </w:tcPr>
          <w:p w14:paraId="56949748">
            <w:pPr>
              <w:jc w:val="center"/>
              <w:rPr>
                <w:rFonts w:hint="eastAsia" w:ascii="宋体" w:hAnsi="宋体"/>
                <w:szCs w:val="21"/>
              </w:rPr>
            </w:pPr>
          </w:p>
        </w:tc>
        <w:tc>
          <w:tcPr>
            <w:tcW w:w="709" w:type="dxa"/>
            <w:noWrap w:val="0"/>
            <w:vAlign w:val="center"/>
          </w:tcPr>
          <w:p w14:paraId="7D56BA90">
            <w:pPr>
              <w:jc w:val="center"/>
              <w:rPr>
                <w:rFonts w:hint="eastAsia" w:ascii="宋体" w:hAnsi="宋体"/>
                <w:szCs w:val="21"/>
              </w:rPr>
            </w:pPr>
          </w:p>
        </w:tc>
        <w:tc>
          <w:tcPr>
            <w:tcW w:w="709" w:type="dxa"/>
            <w:noWrap w:val="0"/>
            <w:vAlign w:val="center"/>
          </w:tcPr>
          <w:p w14:paraId="4F14B755">
            <w:pPr>
              <w:jc w:val="center"/>
              <w:rPr>
                <w:rFonts w:hint="eastAsia" w:ascii="宋体" w:hAnsi="宋体"/>
                <w:szCs w:val="21"/>
              </w:rPr>
            </w:pPr>
          </w:p>
        </w:tc>
        <w:tc>
          <w:tcPr>
            <w:tcW w:w="1176" w:type="dxa"/>
            <w:noWrap w:val="0"/>
            <w:vAlign w:val="center"/>
          </w:tcPr>
          <w:p w14:paraId="1182383F">
            <w:pPr>
              <w:jc w:val="center"/>
              <w:rPr>
                <w:rFonts w:hint="eastAsia" w:ascii="宋体" w:hAnsi="宋体"/>
                <w:szCs w:val="21"/>
              </w:rPr>
            </w:pPr>
          </w:p>
        </w:tc>
        <w:tc>
          <w:tcPr>
            <w:tcW w:w="1659" w:type="dxa"/>
            <w:noWrap w:val="0"/>
            <w:vAlign w:val="center"/>
          </w:tcPr>
          <w:p w14:paraId="566F3753">
            <w:pPr>
              <w:jc w:val="center"/>
              <w:rPr>
                <w:rFonts w:hint="eastAsia" w:ascii="宋体" w:hAnsi="宋体"/>
                <w:szCs w:val="21"/>
              </w:rPr>
            </w:pPr>
          </w:p>
        </w:tc>
        <w:tc>
          <w:tcPr>
            <w:tcW w:w="850" w:type="dxa"/>
            <w:noWrap w:val="0"/>
            <w:vAlign w:val="center"/>
          </w:tcPr>
          <w:p w14:paraId="31A6F4A4">
            <w:pPr>
              <w:jc w:val="center"/>
              <w:rPr>
                <w:rFonts w:hint="eastAsia" w:ascii="宋体" w:hAnsi="宋体"/>
                <w:szCs w:val="21"/>
              </w:rPr>
            </w:pPr>
          </w:p>
        </w:tc>
      </w:tr>
      <w:tr w14:paraId="2184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F14EA78">
            <w:pPr>
              <w:jc w:val="center"/>
              <w:rPr>
                <w:rFonts w:hint="eastAsia" w:ascii="宋体" w:hAnsi="宋体"/>
                <w:szCs w:val="21"/>
              </w:rPr>
            </w:pPr>
          </w:p>
        </w:tc>
        <w:tc>
          <w:tcPr>
            <w:tcW w:w="1064" w:type="dxa"/>
            <w:noWrap w:val="0"/>
            <w:vAlign w:val="center"/>
          </w:tcPr>
          <w:p w14:paraId="28BFAB45">
            <w:pPr>
              <w:jc w:val="center"/>
              <w:rPr>
                <w:rFonts w:hint="eastAsia" w:ascii="宋体" w:hAnsi="宋体"/>
                <w:szCs w:val="21"/>
              </w:rPr>
            </w:pPr>
          </w:p>
        </w:tc>
        <w:tc>
          <w:tcPr>
            <w:tcW w:w="672" w:type="dxa"/>
            <w:noWrap w:val="0"/>
            <w:vAlign w:val="center"/>
          </w:tcPr>
          <w:p w14:paraId="4C38A733">
            <w:pPr>
              <w:jc w:val="center"/>
              <w:rPr>
                <w:rFonts w:hint="eastAsia" w:ascii="宋体" w:hAnsi="宋体"/>
                <w:szCs w:val="21"/>
              </w:rPr>
            </w:pPr>
          </w:p>
        </w:tc>
        <w:tc>
          <w:tcPr>
            <w:tcW w:w="1022" w:type="dxa"/>
            <w:noWrap w:val="0"/>
            <w:vAlign w:val="center"/>
          </w:tcPr>
          <w:p w14:paraId="44DC3BDD">
            <w:pPr>
              <w:jc w:val="center"/>
              <w:rPr>
                <w:rFonts w:hint="eastAsia" w:ascii="宋体" w:hAnsi="宋体"/>
                <w:szCs w:val="21"/>
              </w:rPr>
            </w:pPr>
          </w:p>
        </w:tc>
        <w:tc>
          <w:tcPr>
            <w:tcW w:w="709" w:type="dxa"/>
            <w:noWrap w:val="0"/>
            <w:vAlign w:val="center"/>
          </w:tcPr>
          <w:p w14:paraId="31D1D719">
            <w:pPr>
              <w:jc w:val="center"/>
              <w:rPr>
                <w:rFonts w:hint="eastAsia" w:ascii="宋体" w:hAnsi="宋体"/>
                <w:szCs w:val="21"/>
              </w:rPr>
            </w:pPr>
          </w:p>
        </w:tc>
        <w:tc>
          <w:tcPr>
            <w:tcW w:w="709" w:type="dxa"/>
            <w:noWrap w:val="0"/>
            <w:vAlign w:val="center"/>
          </w:tcPr>
          <w:p w14:paraId="1EE8B43D">
            <w:pPr>
              <w:jc w:val="center"/>
              <w:rPr>
                <w:rFonts w:hint="eastAsia" w:ascii="宋体" w:hAnsi="宋体"/>
                <w:szCs w:val="21"/>
              </w:rPr>
            </w:pPr>
          </w:p>
        </w:tc>
        <w:tc>
          <w:tcPr>
            <w:tcW w:w="1176" w:type="dxa"/>
            <w:noWrap w:val="0"/>
            <w:vAlign w:val="center"/>
          </w:tcPr>
          <w:p w14:paraId="119FF62A">
            <w:pPr>
              <w:jc w:val="center"/>
              <w:rPr>
                <w:rFonts w:hint="eastAsia" w:ascii="宋体" w:hAnsi="宋体"/>
                <w:szCs w:val="21"/>
              </w:rPr>
            </w:pPr>
          </w:p>
        </w:tc>
        <w:tc>
          <w:tcPr>
            <w:tcW w:w="1659" w:type="dxa"/>
            <w:noWrap w:val="0"/>
            <w:vAlign w:val="center"/>
          </w:tcPr>
          <w:p w14:paraId="41EEF462">
            <w:pPr>
              <w:jc w:val="center"/>
              <w:rPr>
                <w:rFonts w:hint="eastAsia" w:ascii="宋体" w:hAnsi="宋体"/>
                <w:szCs w:val="21"/>
              </w:rPr>
            </w:pPr>
          </w:p>
        </w:tc>
        <w:tc>
          <w:tcPr>
            <w:tcW w:w="850" w:type="dxa"/>
            <w:noWrap w:val="0"/>
            <w:vAlign w:val="center"/>
          </w:tcPr>
          <w:p w14:paraId="3343E4B8">
            <w:pPr>
              <w:jc w:val="center"/>
              <w:rPr>
                <w:rFonts w:hint="eastAsia" w:ascii="宋体" w:hAnsi="宋体"/>
                <w:szCs w:val="21"/>
              </w:rPr>
            </w:pPr>
          </w:p>
        </w:tc>
      </w:tr>
    </w:tbl>
    <w:p w14:paraId="69608D24">
      <w:pPr>
        <w:spacing w:line="420" w:lineRule="exact"/>
        <w:rPr>
          <w:rFonts w:hint="eastAsia" w:ascii="宋体" w:hAnsi="宋体"/>
          <w:szCs w:val="21"/>
        </w:rPr>
      </w:pPr>
    </w:p>
    <w:p w14:paraId="7864FE7C">
      <w:pPr>
        <w:spacing w:line="420" w:lineRule="exact"/>
        <w:rPr>
          <w:rFonts w:hint="eastAsia" w:ascii="宋体" w:hAnsi="宋体"/>
          <w:szCs w:val="21"/>
        </w:rPr>
      </w:pPr>
    </w:p>
    <w:p w14:paraId="2D5296DD">
      <w:pPr>
        <w:spacing w:line="420" w:lineRule="exact"/>
        <w:rPr>
          <w:rFonts w:hint="eastAsia" w:ascii="宋体" w:hAnsi="宋体"/>
          <w:szCs w:val="21"/>
        </w:rPr>
      </w:pPr>
    </w:p>
    <w:p w14:paraId="6A42050F">
      <w:pPr>
        <w:spacing w:line="420" w:lineRule="exact"/>
        <w:rPr>
          <w:rFonts w:hint="eastAsia" w:ascii="宋体" w:hAnsi="宋体"/>
          <w:szCs w:val="21"/>
        </w:rPr>
      </w:pPr>
    </w:p>
    <w:p w14:paraId="603EEED1">
      <w:pPr>
        <w:spacing w:line="420" w:lineRule="exact"/>
        <w:rPr>
          <w:rFonts w:hint="eastAsia" w:ascii="宋体" w:hAnsi="宋体"/>
          <w:szCs w:val="21"/>
        </w:rPr>
      </w:pPr>
    </w:p>
    <w:p w14:paraId="41DEBA9B">
      <w:pPr>
        <w:pStyle w:val="20"/>
        <w:rPr>
          <w:rFonts w:hint="eastAsia" w:ascii="黑体" w:hAnsi="宋体"/>
        </w:rPr>
      </w:pPr>
      <w:bookmarkStart w:id="2684" w:name="_Toc108514266"/>
      <w:r>
        <w:rPr>
          <w:rFonts w:hint="eastAsia"/>
          <w:szCs w:val="24"/>
        </w:rPr>
        <w:t>附表三：劳动力计划表</w:t>
      </w:r>
      <w:bookmarkEnd w:id="2684"/>
    </w:p>
    <w:p w14:paraId="16C77763">
      <w:pPr>
        <w:wordWrap w:val="0"/>
        <w:spacing w:line="420" w:lineRule="exact"/>
        <w:jc w:val="right"/>
        <w:rPr>
          <w:rFonts w:hint="eastAsia" w:ascii="黑体" w:hAnsi="宋体" w:eastAsia="黑体"/>
          <w:szCs w:val="21"/>
        </w:rPr>
      </w:pPr>
      <w:r>
        <w:rPr>
          <w:rFonts w:hint="eastAsia" w:ascii="黑体" w:hAnsi="宋体" w:eastAsia="黑体"/>
          <w:szCs w:val="21"/>
        </w:rPr>
        <w:t xml:space="preserve">单位：人   </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0782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2424ED23">
            <w:pPr>
              <w:jc w:val="center"/>
              <w:rPr>
                <w:rFonts w:hint="eastAsia" w:ascii="宋体" w:hAnsi="宋体"/>
                <w:szCs w:val="21"/>
              </w:rPr>
            </w:pPr>
            <w:r>
              <w:rPr>
                <w:rFonts w:hint="eastAsia" w:ascii="宋体" w:hAnsi="宋体"/>
                <w:szCs w:val="21"/>
              </w:rPr>
              <w:t>工种</w:t>
            </w:r>
          </w:p>
        </w:tc>
        <w:tc>
          <w:tcPr>
            <w:tcW w:w="7796" w:type="dxa"/>
            <w:gridSpan w:val="7"/>
            <w:noWrap w:val="0"/>
            <w:vAlign w:val="center"/>
          </w:tcPr>
          <w:p w14:paraId="39AD4668">
            <w:pPr>
              <w:jc w:val="center"/>
              <w:rPr>
                <w:rFonts w:hint="eastAsia" w:ascii="宋体" w:hAnsi="宋体"/>
                <w:szCs w:val="21"/>
              </w:rPr>
            </w:pPr>
            <w:r>
              <w:rPr>
                <w:rFonts w:hint="eastAsia" w:ascii="宋体" w:hAnsi="宋体"/>
                <w:szCs w:val="21"/>
              </w:rPr>
              <w:t>按工程施工阶段投入劳动力情况</w:t>
            </w:r>
          </w:p>
        </w:tc>
      </w:tr>
      <w:tr w14:paraId="39AB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B31977F">
            <w:pPr>
              <w:jc w:val="center"/>
              <w:rPr>
                <w:rFonts w:hint="eastAsia" w:ascii="宋体" w:hAnsi="宋体"/>
                <w:szCs w:val="21"/>
              </w:rPr>
            </w:pPr>
          </w:p>
        </w:tc>
        <w:tc>
          <w:tcPr>
            <w:tcW w:w="1418" w:type="dxa"/>
            <w:noWrap w:val="0"/>
            <w:vAlign w:val="center"/>
          </w:tcPr>
          <w:p w14:paraId="3BD16534">
            <w:pPr>
              <w:jc w:val="center"/>
              <w:rPr>
                <w:rFonts w:hint="eastAsia" w:ascii="宋体" w:hAnsi="宋体"/>
                <w:szCs w:val="21"/>
              </w:rPr>
            </w:pPr>
          </w:p>
        </w:tc>
        <w:tc>
          <w:tcPr>
            <w:tcW w:w="1063" w:type="dxa"/>
            <w:noWrap w:val="0"/>
            <w:vAlign w:val="center"/>
          </w:tcPr>
          <w:p w14:paraId="606FCB2F">
            <w:pPr>
              <w:jc w:val="center"/>
              <w:rPr>
                <w:rFonts w:hint="eastAsia" w:ascii="宋体" w:hAnsi="宋体"/>
                <w:szCs w:val="21"/>
              </w:rPr>
            </w:pPr>
          </w:p>
        </w:tc>
        <w:tc>
          <w:tcPr>
            <w:tcW w:w="1063" w:type="dxa"/>
            <w:noWrap w:val="0"/>
            <w:vAlign w:val="center"/>
          </w:tcPr>
          <w:p w14:paraId="75A9B0A3">
            <w:pPr>
              <w:jc w:val="center"/>
              <w:rPr>
                <w:rFonts w:hint="eastAsia" w:ascii="宋体" w:hAnsi="宋体"/>
                <w:szCs w:val="21"/>
              </w:rPr>
            </w:pPr>
          </w:p>
        </w:tc>
        <w:tc>
          <w:tcPr>
            <w:tcW w:w="1063" w:type="dxa"/>
            <w:noWrap w:val="0"/>
            <w:vAlign w:val="center"/>
          </w:tcPr>
          <w:p w14:paraId="53C0EF80">
            <w:pPr>
              <w:jc w:val="center"/>
              <w:rPr>
                <w:rFonts w:hint="eastAsia" w:ascii="宋体" w:hAnsi="宋体"/>
                <w:szCs w:val="21"/>
              </w:rPr>
            </w:pPr>
          </w:p>
        </w:tc>
        <w:tc>
          <w:tcPr>
            <w:tcW w:w="1063" w:type="dxa"/>
            <w:noWrap w:val="0"/>
            <w:vAlign w:val="center"/>
          </w:tcPr>
          <w:p w14:paraId="3DF7F769">
            <w:pPr>
              <w:jc w:val="center"/>
              <w:rPr>
                <w:rFonts w:hint="eastAsia" w:ascii="宋体" w:hAnsi="宋体"/>
                <w:szCs w:val="21"/>
              </w:rPr>
            </w:pPr>
          </w:p>
        </w:tc>
        <w:tc>
          <w:tcPr>
            <w:tcW w:w="1063" w:type="dxa"/>
            <w:noWrap w:val="0"/>
            <w:vAlign w:val="center"/>
          </w:tcPr>
          <w:p w14:paraId="522046CC">
            <w:pPr>
              <w:jc w:val="center"/>
              <w:rPr>
                <w:rFonts w:hint="eastAsia" w:ascii="宋体" w:hAnsi="宋体"/>
                <w:szCs w:val="21"/>
              </w:rPr>
            </w:pPr>
          </w:p>
        </w:tc>
        <w:tc>
          <w:tcPr>
            <w:tcW w:w="1063" w:type="dxa"/>
            <w:noWrap w:val="0"/>
            <w:vAlign w:val="center"/>
          </w:tcPr>
          <w:p w14:paraId="14DABB63">
            <w:pPr>
              <w:jc w:val="center"/>
              <w:rPr>
                <w:rFonts w:hint="eastAsia" w:ascii="宋体" w:hAnsi="宋体"/>
                <w:szCs w:val="21"/>
              </w:rPr>
            </w:pPr>
          </w:p>
        </w:tc>
      </w:tr>
      <w:tr w14:paraId="2FB6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ADAF4DC">
            <w:pPr>
              <w:jc w:val="center"/>
              <w:rPr>
                <w:rFonts w:hint="eastAsia" w:ascii="宋体" w:hAnsi="宋体"/>
                <w:szCs w:val="21"/>
              </w:rPr>
            </w:pPr>
          </w:p>
        </w:tc>
        <w:tc>
          <w:tcPr>
            <w:tcW w:w="1418" w:type="dxa"/>
            <w:noWrap w:val="0"/>
            <w:vAlign w:val="center"/>
          </w:tcPr>
          <w:p w14:paraId="72B76240">
            <w:pPr>
              <w:jc w:val="center"/>
              <w:rPr>
                <w:rFonts w:hint="eastAsia" w:ascii="宋体" w:hAnsi="宋体"/>
                <w:szCs w:val="21"/>
              </w:rPr>
            </w:pPr>
          </w:p>
        </w:tc>
        <w:tc>
          <w:tcPr>
            <w:tcW w:w="1063" w:type="dxa"/>
            <w:noWrap w:val="0"/>
            <w:vAlign w:val="center"/>
          </w:tcPr>
          <w:p w14:paraId="33E8575E">
            <w:pPr>
              <w:jc w:val="center"/>
              <w:rPr>
                <w:rFonts w:hint="eastAsia" w:ascii="宋体" w:hAnsi="宋体"/>
                <w:szCs w:val="21"/>
              </w:rPr>
            </w:pPr>
          </w:p>
        </w:tc>
        <w:tc>
          <w:tcPr>
            <w:tcW w:w="1063" w:type="dxa"/>
            <w:noWrap w:val="0"/>
            <w:vAlign w:val="center"/>
          </w:tcPr>
          <w:p w14:paraId="4DD55EBB">
            <w:pPr>
              <w:jc w:val="center"/>
              <w:rPr>
                <w:rFonts w:hint="eastAsia" w:ascii="宋体" w:hAnsi="宋体"/>
                <w:szCs w:val="21"/>
              </w:rPr>
            </w:pPr>
          </w:p>
        </w:tc>
        <w:tc>
          <w:tcPr>
            <w:tcW w:w="1063" w:type="dxa"/>
            <w:noWrap w:val="0"/>
            <w:vAlign w:val="center"/>
          </w:tcPr>
          <w:p w14:paraId="5189BDBA">
            <w:pPr>
              <w:jc w:val="center"/>
              <w:rPr>
                <w:rFonts w:hint="eastAsia" w:ascii="宋体" w:hAnsi="宋体"/>
                <w:szCs w:val="21"/>
              </w:rPr>
            </w:pPr>
          </w:p>
        </w:tc>
        <w:tc>
          <w:tcPr>
            <w:tcW w:w="1063" w:type="dxa"/>
            <w:noWrap w:val="0"/>
            <w:vAlign w:val="center"/>
          </w:tcPr>
          <w:p w14:paraId="7514761F">
            <w:pPr>
              <w:jc w:val="center"/>
              <w:rPr>
                <w:rFonts w:hint="eastAsia" w:ascii="宋体" w:hAnsi="宋体"/>
                <w:szCs w:val="21"/>
              </w:rPr>
            </w:pPr>
          </w:p>
        </w:tc>
        <w:tc>
          <w:tcPr>
            <w:tcW w:w="1063" w:type="dxa"/>
            <w:noWrap w:val="0"/>
            <w:vAlign w:val="center"/>
          </w:tcPr>
          <w:p w14:paraId="69E7FD1A">
            <w:pPr>
              <w:jc w:val="center"/>
              <w:rPr>
                <w:rFonts w:hint="eastAsia" w:ascii="宋体" w:hAnsi="宋体"/>
                <w:szCs w:val="21"/>
              </w:rPr>
            </w:pPr>
          </w:p>
        </w:tc>
        <w:tc>
          <w:tcPr>
            <w:tcW w:w="1063" w:type="dxa"/>
            <w:noWrap w:val="0"/>
            <w:vAlign w:val="center"/>
          </w:tcPr>
          <w:p w14:paraId="6CF5CF20">
            <w:pPr>
              <w:jc w:val="center"/>
              <w:rPr>
                <w:rFonts w:hint="eastAsia" w:ascii="宋体" w:hAnsi="宋体"/>
                <w:szCs w:val="21"/>
              </w:rPr>
            </w:pPr>
          </w:p>
        </w:tc>
      </w:tr>
      <w:tr w14:paraId="11E1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8DFE045">
            <w:pPr>
              <w:jc w:val="center"/>
              <w:rPr>
                <w:rFonts w:hint="eastAsia" w:ascii="宋体" w:hAnsi="宋体"/>
                <w:szCs w:val="21"/>
              </w:rPr>
            </w:pPr>
          </w:p>
        </w:tc>
        <w:tc>
          <w:tcPr>
            <w:tcW w:w="1418" w:type="dxa"/>
            <w:noWrap w:val="0"/>
            <w:vAlign w:val="center"/>
          </w:tcPr>
          <w:p w14:paraId="3C112197">
            <w:pPr>
              <w:jc w:val="center"/>
              <w:rPr>
                <w:rFonts w:hint="eastAsia" w:ascii="宋体" w:hAnsi="宋体"/>
                <w:szCs w:val="21"/>
              </w:rPr>
            </w:pPr>
          </w:p>
        </w:tc>
        <w:tc>
          <w:tcPr>
            <w:tcW w:w="1063" w:type="dxa"/>
            <w:noWrap w:val="0"/>
            <w:vAlign w:val="center"/>
          </w:tcPr>
          <w:p w14:paraId="391D988D">
            <w:pPr>
              <w:jc w:val="center"/>
              <w:rPr>
                <w:rFonts w:hint="eastAsia" w:ascii="宋体" w:hAnsi="宋体"/>
                <w:szCs w:val="21"/>
              </w:rPr>
            </w:pPr>
          </w:p>
        </w:tc>
        <w:tc>
          <w:tcPr>
            <w:tcW w:w="1063" w:type="dxa"/>
            <w:noWrap w:val="0"/>
            <w:vAlign w:val="center"/>
          </w:tcPr>
          <w:p w14:paraId="2C94C102">
            <w:pPr>
              <w:jc w:val="center"/>
              <w:rPr>
                <w:rFonts w:hint="eastAsia" w:ascii="宋体" w:hAnsi="宋体"/>
                <w:szCs w:val="21"/>
              </w:rPr>
            </w:pPr>
          </w:p>
        </w:tc>
        <w:tc>
          <w:tcPr>
            <w:tcW w:w="1063" w:type="dxa"/>
            <w:noWrap w:val="0"/>
            <w:vAlign w:val="center"/>
          </w:tcPr>
          <w:p w14:paraId="2106AFCE">
            <w:pPr>
              <w:jc w:val="center"/>
              <w:rPr>
                <w:rFonts w:hint="eastAsia" w:ascii="宋体" w:hAnsi="宋体"/>
                <w:szCs w:val="21"/>
              </w:rPr>
            </w:pPr>
          </w:p>
        </w:tc>
        <w:tc>
          <w:tcPr>
            <w:tcW w:w="1063" w:type="dxa"/>
            <w:noWrap w:val="0"/>
            <w:vAlign w:val="center"/>
          </w:tcPr>
          <w:p w14:paraId="66DA1BAC">
            <w:pPr>
              <w:jc w:val="center"/>
              <w:rPr>
                <w:rFonts w:hint="eastAsia" w:ascii="宋体" w:hAnsi="宋体"/>
                <w:szCs w:val="21"/>
              </w:rPr>
            </w:pPr>
          </w:p>
        </w:tc>
        <w:tc>
          <w:tcPr>
            <w:tcW w:w="1063" w:type="dxa"/>
            <w:noWrap w:val="0"/>
            <w:vAlign w:val="center"/>
          </w:tcPr>
          <w:p w14:paraId="4770DE3E">
            <w:pPr>
              <w:jc w:val="center"/>
              <w:rPr>
                <w:rFonts w:hint="eastAsia" w:ascii="宋体" w:hAnsi="宋体"/>
                <w:szCs w:val="21"/>
              </w:rPr>
            </w:pPr>
          </w:p>
        </w:tc>
        <w:tc>
          <w:tcPr>
            <w:tcW w:w="1063" w:type="dxa"/>
            <w:noWrap w:val="0"/>
            <w:vAlign w:val="center"/>
          </w:tcPr>
          <w:p w14:paraId="0AF99A81">
            <w:pPr>
              <w:jc w:val="center"/>
              <w:rPr>
                <w:rFonts w:hint="eastAsia" w:ascii="宋体" w:hAnsi="宋体"/>
                <w:szCs w:val="21"/>
              </w:rPr>
            </w:pPr>
          </w:p>
        </w:tc>
      </w:tr>
      <w:tr w14:paraId="4AFB3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C110D1E">
            <w:pPr>
              <w:jc w:val="center"/>
              <w:rPr>
                <w:rFonts w:hint="eastAsia" w:ascii="宋体" w:hAnsi="宋体"/>
                <w:szCs w:val="21"/>
              </w:rPr>
            </w:pPr>
          </w:p>
        </w:tc>
        <w:tc>
          <w:tcPr>
            <w:tcW w:w="1418" w:type="dxa"/>
            <w:noWrap w:val="0"/>
            <w:vAlign w:val="center"/>
          </w:tcPr>
          <w:p w14:paraId="69DD575F">
            <w:pPr>
              <w:jc w:val="center"/>
              <w:rPr>
                <w:rFonts w:hint="eastAsia" w:ascii="宋体" w:hAnsi="宋体"/>
                <w:szCs w:val="21"/>
              </w:rPr>
            </w:pPr>
          </w:p>
        </w:tc>
        <w:tc>
          <w:tcPr>
            <w:tcW w:w="1063" w:type="dxa"/>
            <w:noWrap w:val="0"/>
            <w:vAlign w:val="center"/>
          </w:tcPr>
          <w:p w14:paraId="18E5BDAA">
            <w:pPr>
              <w:jc w:val="center"/>
              <w:rPr>
                <w:rFonts w:hint="eastAsia" w:ascii="宋体" w:hAnsi="宋体"/>
                <w:szCs w:val="21"/>
              </w:rPr>
            </w:pPr>
          </w:p>
        </w:tc>
        <w:tc>
          <w:tcPr>
            <w:tcW w:w="1063" w:type="dxa"/>
            <w:noWrap w:val="0"/>
            <w:vAlign w:val="center"/>
          </w:tcPr>
          <w:p w14:paraId="2A4520CE">
            <w:pPr>
              <w:jc w:val="center"/>
              <w:rPr>
                <w:rFonts w:hint="eastAsia" w:ascii="宋体" w:hAnsi="宋体"/>
                <w:szCs w:val="21"/>
              </w:rPr>
            </w:pPr>
          </w:p>
        </w:tc>
        <w:tc>
          <w:tcPr>
            <w:tcW w:w="1063" w:type="dxa"/>
            <w:noWrap w:val="0"/>
            <w:vAlign w:val="center"/>
          </w:tcPr>
          <w:p w14:paraId="37139DE3">
            <w:pPr>
              <w:jc w:val="center"/>
              <w:rPr>
                <w:rFonts w:hint="eastAsia" w:ascii="宋体" w:hAnsi="宋体"/>
                <w:szCs w:val="21"/>
              </w:rPr>
            </w:pPr>
          </w:p>
        </w:tc>
        <w:tc>
          <w:tcPr>
            <w:tcW w:w="1063" w:type="dxa"/>
            <w:noWrap w:val="0"/>
            <w:vAlign w:val="center"/>
          </w:tcPr>
          <w:p w14:paraId="1D044B6E">
            <w:pPr>
              <w:jc w:val="center"/>
              <w:rPr>
                <w:rFonts w:hint="eastAsia" w:ascii="宋体" w:hAnsi="宋体"/>
                <w:szCs w:val="21"/>
              </w:rPr>
            </w:pPr>
          </w:p>
        </w:tc>
        <w:tc>
          <w:tcPr>
            <w:tcW w:w="1063" w:type="dxa"/>
            <w:noWrap w:val="0"/>
            <w:vAlign w:val="center"/>
          </w:tcPr>
          <w:p w14:paraId="5587DB15">
            <w:pPr>
              <w:jc w:val="center"/>
              <w:rPr>
                <w:rFonts w:hint="eastAsia" w:ascii="宋体" w:hAnsi="宋体"/>
                <w:szCs w:val="21"/>
              </w:rPr>
            </w:pPr>
          </w:p>
        </w:tc>
        <w:tc>
          <w:tcPr>
            <w:tcW w:w="1063" w:type="dxa"/>
            <w:noWrap w:val="0"/>
            <w:vAlign w:val="center"/>
          </w:tcPr>
          <w:p w14:paraId="6DA71A0F">
            <w:pPr>
              <w:jc w:val="center"/>
              <w:rPr>
                <w:rFonts w:hint="eastAsia" w:ascii="宋体" w:hAnsi="宋体"/>
                <w:szCs w:val="21"/>
              </w:rPr>
            </w:pPr>
          </w:p>
        </w:tc>
      </w:tr>
      <w:tr w14:paraId="61CB7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0BA0783">
            <w:pPr>
              <w:jc w:val="center"/>
              <w:rPr>
                <w:rFonts w:hint="eastAsia" w:ascii="宋体" w:hAnsi="宋体"/>
                <w:szCs w:val="21"/>
              </w:rPr>
            </w:pPr>
          </w:p>
        </w:tc>
        <w:tc>
          <w:tcPr>
            <w:tcW w:w="1418" w:type="dxa"/>
            <w:noWrap w:val="0"/>
            <w:vAlign w:val="center"/>
          </w:tcPr>
          <w:p w14:paraId="73C0C4CB">
            <w:pPr>
              <w:jc w:val="center"/>
              <w:rPr>
                <w:rFonts w:hint="eastAsia" w:ascii="宋体" w:hAnsi="宋体"/>
                <w:szCs w:val="21"/>
              </w:rPr>
            </w:pPr>
          </w:p>
        </w:tc>
        <w:tc>
          <w:tcPr>
            <w:tcW w:w="1063" w:type="dxa"/>
            <w:noWrap w:val="0"/>
            <w:vAlign w:val="center"/>
          </w:tcPr>
          <w:p w14:paraId="47B14E95">
            <w:pPr>
              <w:jc w:val="center"/>
              <w:rPr>
                <w:rFonts w:hint="eastAsia" w:ascii="宋体" w:hAnsi="宋体"/>
                <w:szCs w:val="21"/>
              </w:rPr>
            </w:pPr>
          </w:p>
        </w:tc>
        <w:tc>
          <w:tcPr>
            <w:tcW w:w="1063" w:type="dxa"/>
            <w:noWrap w:val="0"/>
            <w:vAlign w:val="center"/>
          </w:tcPr>
          <w:p w14:paraId="36E9A1B1">
            <w:pPr>
              <w:jc w:val="center"/>
              <w:rPr>
                <w:rFonts w:hint="eastAsia" w:ascii="宋体" w:hAnsi="宋体"/>
                <w:szCs w:val="21"/>
              </w:rPr>
            </w:pPr>
          </w:p>
        </w:tc>
        <w:tc>
          <w:tcPr>
            <w:tcW w:w="1063" w:type="dxa"/>
            <w:noWrap w:val="0"/>
            <w:vAlign w:val="center"/>
          </w:tcPr>
          <w:p w14:paraId="071161D5">
            <w:pPr>
              <w:jc w:val="center"/>
              <w:rPr>
                <w:rFonts w:hint="eastAsia" w:ascii="宋体" w:hAnsi="宋体"/>
                <w:szCs w:val="21"/>
              </w:rPr>
            </w:pPr>
          </w:p>
        </w:tc>
        <w:tc>
          <w:tcPr>
            <w:tcW w:w="1063" w:type="dxa"/>
            <w:noWrap w:val="0"/>
            <w:vAlign w:val="center"/>
          </w:tcPr>
          <w:p w14:paraId="15446CA2">
            <w:pPr>
              <w:jc w:val="center"/>
              <w:rPr>
                <w:rFonts w:hint="eastAsia" w:ascii="宋体" w:hAnsi="宋体"/>
                <w:szCs w:val="21"/>
              </w:rPr>
            </w:pPr>
          </w:p>
        </w:tc>
        <w:tc>
          <w:tcPr>
            <w:tcW w:w="1063" w:type="dxa"/>
            <w:noWrap w:val="0"/>
            <w:vAlign w:val="center"/>
          </w:tcPr>
          <w:p w14:paraId="2938B063">
            <w:pPr>
              <w:jc w:val="center"/>
              <w:rPr>
                <w:rFonts w:hint="eastAsia" w:ascii="宋体" w:hAnsi="宋体"/>
                <w:szCs w:val="21"/>
              </w:rPr>
            </w:pPr>
          </w:p>
        </w:tc>
        <w:tc>
          <w:tcPr>
            <w:tcW w:w="1063" w:type="dxa"/>
            <w:noWrap w:val="0"/>
            <w:vAlign w:val="center"/>
          </w:tcPr>
          <w:p w14:paraId="1B017D40">
            <w:pPr>
              <w:jc w:val="center"/>
              <w:rPr>
                <w:rFonts w:hint="eastAsia" w:ascii="宋体" w:hAnsi="宋体"/>
                <w:szCs w:val="21"/>
              </w:rPr>
            </w:pPr>
          </w:p>
        </w:tc>
      </w:tr>
      <w:tr w14:paraId="2B31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11B7820">
            <w:pPr>
              <w:jc w:val="center"/>
              <w:rPr>
                <w:rFonts w:hint="eastAsia" w:ascii="宋体" w:hAnsi="宋体"/>
                <w:szCs w:val="21"/>
              </w:rPr>
            </w:pPr>
          </w:p>
        </w:tc>
        <w:tc>
          <w:tcPr>
            <w:tcW w:w="1418" w:type="dxa"/>
            <w:noWrap w:val="0"/>
            <w:vAlign w:val="center"/>
          </w:tcPr>
          <w:p w14:paraId="01077FE9">
            <w:pPr>
              <w:jc w:val="center"/>
              <w:rPr>
                <w:rFonts w:hint="eastAsia" w:ascii="宋体" w:hAnsi="宋体"/>
                <w:szCs w:val="21"/>
              </w:rPr>
            </w:pPr>
          </w:p>
        </w:tc>
        <w:tc>
          <w:tcPr>
            <w:tcW w:w="1063" w:type="dxa"/>
            <w:noWrap w:val="0"/>
            <w:vAlign w:val="center"/>
          </w:tcPr>
          <w:p w14:paraId="5D46218D">
            <w:pPr>
              <w:jc w:val="center"/>
              <w:rPr>
                <w:rFonts w:hint="eastAsia" w:ascii="宋体" w:hAnsi="宋体"/>
                <w:szCs w:val="21"/>
              </w:rPr>
            </w:pPr>
          </w:p>
        </w:tc>
        <w:tc>
          <w:tcPr>
            <w:tcW w:w="1063" w:type="dxa"/>
            <w:noWrap w:val="0"/>
            <w:vAlign w:val="center"/>
          </w:tcPr>
          <w:p w14:paraId="58399424">
            <w:pPr>
              <w:jc w:val="center"/>
              <w:rPr>
                <w:rFonts w:hint="eastAsia" w:ascii="宋体" w:hAnsi="宋体"/>
                <w:szCs w:val="21"/>
              </w:rPr>
            </w:pPr>
          </w:p>
        </w:tc>
        <w:tc>
          <w:tcPr>
            <w:tcW w:w="1063" w:type="dxa"/>
            <w:noWrap w:val="0"/>
            <w:vAlign w:val="center"/>
          </w:tcPr>
          <w:p w14:paraId="0178376E">
            <w:pPr>
              <w:jc w:val="center"/>
              <w:rPr>
                <w:rFonts w:hint="eastAsia" w:ascii="宋体" w:hAnsi="宋体"/>
                <w:szCs w:val="21"/>
              </w:rPr>
            </w:pPr>
          </w:p>
        </w:tc>
        <w:tc>
          <w:tcPr>
            <w:tcW w:w="1063" w:type="dxa"/>
            <w:noWrap w:val="0"/>
            <w:vAlign w:val="center"/>
          </w:tcPr>
          <w:p w14:paraId="26B2798C">
            <w:pPr>
              <w:jc w:val="center"/>
              <w:rPr>
                <w:rFonts w:hint="eastAsia" w:ascii="宋体" w:hAnsi="宋体"/>
                <w:szCs w:val="21"/>
              </w:rPr>
            </w:pPr>
          </w:p>
        </w:tc>
        <w:tc>
          <w:tcPr>
            <w:tcW w:w="1063" w:type="dxa"/>
            <w:noWrap w:val="0"/>
            <w:vAlign w:val="center"/>
          </w:tcPr>
          <w:p w14:paraId="5CEC912F">
            <w:pPr>
              <w:jc w:val="center"/>
              <w:rPr>
                <w:rFonts w:hint="eastAsia" w:ascii="宋体" w:hAnsi="宋体"/>
                <w:szCs w:val="21"/>
              </w:rPr>
            </w:pPr>
          </w:p>
        </w:tc>
        <w:tc>
          <w:tcPr>
            <w:tcW w:w="1063" w:type="dxa"/>
            <w:noWrap w:val="0"/>
            <w:vAlign w:val="center"/>
          </w:tcPr>
          <w:p w14:paraId="03CDBF48">
            <w:pPr>
              <w:jc w:val="center"/>
              <w:rPr>
                <w:rFonts w:hint="eastAsia" w:ascii="宋体" w:hAnsi="宋体"/>
                <w:szCs w:val="21"/>
              </w:rPr>
            </w:pPr>
          </w:p>
        </w:tc>
      </w:tr>
      <w:tr w14:paraId="0FCF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0B446C3">
            <w:pPr>
              <w:jc w:val="center"/>
              <w:rPr>
                <w:rFonts w:hint="eastAsia" w:ascii="宋体" w:hAnsi="宋体"/>
                <w:szCs w:val="21"/>
              </w:rPr>
            </w:pPr>
          </w:p>
        </w:tc>
        <w:tc>
          <w:tcPr>
            <w:tcW w:w="1418" w:type="dxa"/>
            <w:noWrap w:val="0"/>
            <w:vAlign w:val="center"/>
          </w:tcPr>
          <w:p w14:paraId="39C139ED">
            <w:pPr>
              <w:jc w:val="center"/>
              <w:rPr>
                <w:rFonts w:hint="eastAsia" w:ascii="宋体" w:hAnsi="宋体"/>
                <w:szCs w:val="21"/>
              </w:rPr>
            </w:pPr>
          </w:p>
        </w:tc>
        <w:tc>
          <w:tcPr>
            <w:tcW w:w="1063" w:type="dxa"/>
            <w:noWrap w:val="0"/>
            <w:vAlign w:val="center"/>
          </w:tcPr>
          <w:p w14:paraId="6394F847">
            <w:pPr>
              <w:jc w:val="center"/>
              <w:rPr>
                <w:rFonts w:hint="eastAsia" w:ascii="宋体" w:hAnsi="宋体"/>
                <w:szCs w:val="21"/>
              </w:rPr>
            </w:pPr>
          </w:p>
        </w:tc>
        <w:tc>
          <w:tcPr>
            <w:tcW w:w="1063" w:type="dxa"/>
            <w:noWrap w:val="0"/>
            <w:vAlign w:val="center"/>
          </w:tcPr>
          <w:p w14:paraId="48BF0AAD">
            <w:pPr>
              <w:jc w:val="center"/>
              <w:rPr>
                <w:rFonts w:hint="eastAsia" w:ascii="宋体" w:hAnsi="宋体"/>
                <w:szCs w:val="21"/>
              </w:rPr>
            </w:pPr>
          </w:p>
        </w:tc>
        <w:tc>
          <w:tcPr>
            <w:tcW w:w="1063" w:type="dxa"/>
            <w:noWrap w:val="0"/>
            <w:vAlign w:val="center"/>
          </w:tcPr>
          <w:p w14:paraId="03EC65D2">
            <w:pPr>
              <w:jc w:val="center"/>
              <w:rPr>
                <w:rFonts w:hint="eastAsia" w:ascii="宋体" w:hAnsi="宋体"/>
                <w:szCs w:val="21"/>
              </w:rPr>
            </w:pPr>
          </w:p>
        </w:tc>
        <w:tc>
          <w:tcPr>
            <w:tcW w:w="1063" w:type="dxa"/>
            <w:noWrap w:val="0"/>
            <w:vAlign w:val="center"/>
          </w:tcPr>
          <w:p w14:paraId="191806C1">
            <w:pPr>
              <w:jc w:val="center"/>
              <w:rPr>
                <w:rFonts w:hint="eastAsia" w:ascii="宋体" w:hAnsi="宋体"/>
                <w:szCs w:val="21"/>
              </w:rPr>
            </w:pPr>
          </w:p>
        </w:tc>
        <w:tc>
          <w:tcPr>
            <w:tcW w:w="1063" w:type="dxa"/>
            <w:noWrap w:val="0"/>
            <w:vAlign w:val="center"/>
          </w:tcPr>
          <w:p w14:paraId="47A9FFD9">
            <w:pPr>
              <w:jc w:val="center"/>
              <w:rPr>
                <w:rFonts w:hint="eastAsia" w:ascii="宋体" w:hAnsi="宋体"/>
                <w:szCs w:val="21"/>
              </w:rPr>
            </w:pPr>
          </w:p>
        </w:tc>
        <w:tc>
          <w:tcPr>
            <w:tcW w:w="1063" w:type="dxa"/>
            <w:noWrap w:val="0"/>
            <w:vAlign w:val="center"/>
          </w:tcPr>
          <w:p w14:paraId="12863B3D">
            <w:pPr>
              <w:jc w:val="center"/>
              <w:rPr>
                <w:rFonts w:hint="eastAsia" w:ascii="宋体" w:hAnsi="宋体"/>
                <w:szCs w:val="21"/>
              </w:rPr>
            </w:pPr>
          </w:p>
        </w:tc>
      </w:tr>
      <w:tr w14:paraId="3D06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272A19B">
            <w:pPr>
              <w:jc w:val="center"/>
              <w:rPr>
                <w:rFonts w:hint="eastAsia" w:ascii="宋体" w:hAnsi="宋体"/>
                <w:szCs w:val="21"/>
              </w:rPr>
            </w:pPr>
          </w:p>
        </w:tc>
        <w:tc>
          <w:tcPr>
            <w:tcW w:w="1418" w:type="dxa"/>
            <w:noWrap w:val="0"/>
            <w:vAlign w:val="center"/>
          </w:tcPr>
          <w:p w14:paraId="7BDDCA86">
            <w:pPr>
              <w:jc w:val="center"/>
              <w:rPr>
                <w:rFonts w:hint="eastAsia" w:ascii="宋体" w:hAnsi="宋体"/>
                <w:szCs w:val="21"/>
              </w:rPr>
            </w:pPr>
          </w:p>
        </w:tc>
        <w:tc>
          <w:tcPr>
            <w:tcW w:w="1063" w:type="dxa"/>
            <w:noWrap w:val="0"/>
            <w:vAlign w:val="center"/>
          </w:tcPr>
          <w:p w14:paraId="533F1A84">
            <w:pPr>
              <w:jc w:val="center"/>
              <w:rPr>
                <w:rFonts w:hint="eastAsia" w:ascii="宋体" w:hAnsi="宋体"/>
                <w:szCs w:val="21"/>
              </w:rPr>
            </w:pPr>
          </w:p>
        </w:tc>
        <w:tc>
          <w:tcPr>
            <w:tcW w:w="1063" w:type="dxa"/>
            <w:noWrap w:val="0"/>
            <w:vAlign w:val="center"/>
          </w:tcPr>
          <w:p w14:paraId="322EEA3E">
            <w:pPr>
              <w:jc w:val="center"/>
              <w:rPr>
                <w:rFonts w:hint="eastAsia" w:ascii="宋体" w:hAnsi="宋体"/>
                <w:szCs w:val="21"/>
              </w:rPr>
            </w:pPr>
          </w:p>
        </w:tc>
        <w:tc>
          <w:tcPr>
            <w:tcW w:w="1063" w:type="dxa"/>
            <w:noWrap w:val="0"/>
            <w:vAlign w:val="center"/>
          </w:tcPr>
          <w:p w14:paraId="547AC8F7">
            <w:pPr>
              <w:jc w:val="center"/>
              <w:rPr>
                <w:rFonts w:hint="eastAsia" w:ascii="宋体" w:hAnsi="宋体"/>
                <w:szCs w:val="21"/>
              </w:rPr>
            </w:pPr>
          </w:p>
        </w:tc>
        <w:tc>
          <w:tcPr>
            <w:tcW w:w="1063" w:type="dxa"/>
            <w:noWrap w:val="0"/>
            <w:vAlign w:val="center"/>
          </w:tcPr>
          <w:p w14:paraId="2E677052">
            <w:pPr>
              <w:jc w:val="center"/>
              <w:rPr>
                <w:rFonts w:hint="eastAsia" w:ascii="宋体" w:hAnsi="宋体"/>
                <w:szCs w:val="21"/>
              </w:rPr>
            </w:pPr>
          </w:p>
        </w:tc>
        <w:tc>
          <w:tcPr>
            <w:tcW w:w="1063" w:type="dxa"/>
            <w:noWrap w:val="0"/>
            <w:vAlign w:val="center"/>
          </w:tcPr>
          <w:p w14:paraId="0F84F7B9">
            <w:pPr>
              <w:jc w:val="center"/>
              <w:rPr>
                <w:rFonts w:hint="eastAsia" w:ascii="宋体" w:hAnsi="宋体"/>
                <w:szCs w:val="21"/>
              </w:rPr>
            </w:pPr>
          </w:p>
        </w:tc>
        <w:tc>
          <w:tcPr>
            <w:tcW w:w="1063" w:type="dxa"/>
            <w:noWrap w:val="0"/>
            <w:vAlign w:val="center"/>
          </w:tcPr>
          <w:p w14:paraId="702BF5AF">
            <w:pPr>
              <w:jc w:val="center"/>
              <w:rPr>
                <w:rFonts w:hint="eastAsia" w:ascii="宋体" w:hAnsi="宋体"/>
                <w:szCs w:val="21"/>
              </w:rPr>
            </w:pPr>
          </w:p>
        </w:tc>
      </w:tr>
      <w:tr w14:paraId="34F0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1C2C035">
            <w:pPr>
              <w:jc w:val="center"/>
              <w:rPr>
                <w:rFonts w:hint="eastAsia" w:ascii="宋体" w:hAnsi="宋体"/>
                <w:szCs w:val="21"/>
              </w:rPr>
            </w:pPr>
          </w:p>
        </w:tc>
        <w:tc>
          <w:tcPr>
            <w:tcW w:w="1418" w:type="dxa"/>
            <w:noWrap w:val="0"/>
            <w:vAlign w:val="center"/>
          </w:tcPr>
          <w:p w14:paraId="749F72F8">
            <w:pPr>
              <w:jc w:val="center"/>
              <w:rPr>
                <w:rFonts w:hint="eastAsia" w:ascii="宋体" w:hAnsi="宋体"/>
                <w:szCs w:val="21"/>
              </w:rPr>
            </w:pPr>
          </w:p>
        </w:tc>
        <w:tc>
          <w:tcPr>
            <w:tcW w:w="1063" w:type="dxa"/>
            <w:noWrap w:val="0"/>
            <w:vAlign w:val="center"/>
          </w:tcPr>
          <w:p w14:paraId="11EAC547">
            <w:pPr>
              <w:jc w:val="center"/>
              <w:rPr>
                <w:rFonts w:hint="eastAsia" w:ascii="宋体" w:hAnsi="宋体"/>
                <w:szCs w:val="21"/>
              </w:rPr>
            </w:pPr>
          </w:p>
        </w:tc>
        <w:tc>
          <w:tcPr>
            <w:tcW w:w="1063" w:type="dxa"/>
            <w:noWrap w:val="0"/>
            <w:vAlign w:val="center"/>
          </w:tcPr>
          <w:p w14:paraId="024DC2C0">
            <w:pPr>
              <w:jc w:val="center"/>
              <w:rPr>
                <w:rFonts w:hint="eastAsia" w:ascii="宋体" w:hAnsi="宋体"/>
                <w:szCs w:val="21"/>
              </w:rPr>
            </w:pPr>
          </w:p>
        </w:tc>
        <w:tc>
          <w:tcPr>
            <w:tcW w:w="1063" w:type="dxa"/>
            <w:noWrap w:val="0"/>
            <w:vAlign w:val="center"/>
          </w:tcPr>
          <w:p w14:paraId="1D34B1D8">
            <w:pPr>
              <w:jc w:val="center"/>
              <w:rPr>
                <w:rFonts w:hint="eastAsia" w:ascii="宋体" w:hAnsi="宋体"/>
                <w:szCs w:val="21"/>
              </w:rPr>
            </w:pPr>
          </w:p>
        </w:tc>
        <w:tc>
          <w:tcPr>
            <w:tcW w:w="1063" w:type="dxa"/>
            <w:noWrap w:val="0"/>
            <w:vAlign w:val="center"/>
          </w:tcPr>
          <w:p w14:paraId="41EA2B23">
            <w:pPr>
              <w:jc w:val="center"/>
              <w:rPr>
                <w:rFonts w:hint="eastAsia" w:ascii="宋体" w:hAnsi="宋体"/>
                <w:szCs w:val="21"/>
              </w:rPr>
            </w:pPr>
          </w:p>
        </w:tc>
        <w:tc>
          <w:tcPr>
            <w:tcW w:w="1063" w:type="dxa"/>
            <w:noWrap w:val="0"/>
            <w:vAlign w:val="center"/>
          </w:tcPr>
          <w:p w14:paraId="43122D45">
            <w:pPr>
              <w:jc w:val="center"/>
              <w:rPr>
                <w:rFonts w:hint="eastAsia" w:ascii="宋体" w:hAnsi="宋体"/>
                <w:szCs w:val="21"/>
              </w:rPr>
            </w:pPr>
          </w:p>
        </w:tc>
        <w:tc>
          <w:tcPr>
            <w:tcW w:w="1063" w:type="dxa"/>
            <w:noWrap w:val="0"/>
            <w:vAlign w:val="center"/>
          </w:tcPr>
          <w:p w14:paraId="258FE683">
            <w:pPr>
              <w:jc w:val="center"/>
              <w:rPr>
                <w:rFonts w:hint="eastAsia" w:ascii="宋体" w:hAnsi="宋体"/>
                <w:szCs w:val="21"/>
              </w:rPr>
            </w:pPr>
          </w:p>
        </w:tc>
      </w:tr>
      <w:tr w14:paraId="5368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15DF39">
            <w:pPr>
              <w:jc w:val="center"/>
              <w:rPr>
                <w:rFonts w:hint="eastAsia" w:ascii="宋体" w:hAnsi="宋体"/>
                <w:szCs w:val="21"/>
              </w:rPr>
            </w:pPr>
          </w:p>
        </w:tc>
        <w:tc>
          <w:tcPr>
            <w:tcW w:w="1418" w:type="dxa"/>
            <w:noWrap w:val="0"/>
            <w:vAlign w:val="center"/>
          </w:tcPr>
          <w:p w14:paraId="40586DE4">
            <w:pPr>
              <w:jc w:val="center"/>
              <w:rPr>
                <w:rFonts w:hint="eastAsia" w:ascii="宋体" w:hAnsi="宋体"/>
                <w:szCs w:val="21"/>
              </w:rPr>
            </w:pPr>
          </w:p>
        </w:tc>
        <w:tc>
          <w:tcPr>
            <w:tcW w:w="1063" w:type="dxa"/>
            <w:noWrap w:val="0"/>
            <w:vAlign w:val="center"/>
          </w:tcPr>
          <w:p w14:paraId="4CCE3836">
            <w:pPr>
              <w:jc w:val="center"/>
              <w:rPr>
                <w:rFonts w:hint="eastAsia" w:ascii="宋体" w:hAnsi="宋体"/>
                <w:szCs w:val="21"/>
              </w:rPr>
            </w:pPr>
          </w:p>
        </w:tc>
        <w:tc>
          <w:tcPr>
            <w:tcW w:w="1063" w:type="dxa"/>
            <w:noWrap w:val="0"/>
            <w:vAlign w:val="center"/>
          </w:tcPr>
          <w:p w14:paraId="1F646DC0">
            <w:pPr>
              <w:jc w:val="center"/>
              <w:rPr>
                <w:rFonts w:hint="eastAsia" w:ascii="宋体" w:hAnsi="宋体"/>
                <w:szCs w:val="21"/>
              </w:rPr>
            </w:pPr>
          </w:p>
        </w:tc>
        <w:tc>
          <w:tcPr>
            <w:tcW w:w="1063" w:type="dxa"/>
            <w:noWrap w:val="0"/>
            <w:vAlign w:val="center"/>
          </w:tcPr>
          <w:p w14:paraId="55865EE1">
            <w:pPr>
              <w:jc w:val="center"/>
              <w:rPr>
                <w:rFonts w:hint="eastAsia" w:ascii="宋体" w:hAnsi="宋体"/>
                <w:szCs w:val="21"/>
              </w:rPr>
            </w:pPr>
          </w:p>
        </w:tc>
        <w:tc>
          <w:tcPr>
            <w:tcW w:w="1063" w:type="dxa"/>
            <w:noWrap w:val="0"/>
            <w:vAlign w:val="center"/>
          </w:tcPr>
          <w:p w14:paraId="2B62DC90">
            <w:pPr>
              <w:jc w:val="center"/>
              <w:rPr>
                <w:rFonts w:hint="eastAsia" w:ascii="宋体" w:hAnsi="宋体"/>
                <w:szCs w:val="21"/>
              </w:rPr>
            </w:pPr>
          </w:p>
        </w:tc>
        <w:tc>
          <w:tcPr>
            <w:tcW w:w="1063" w:type="dxa"/>
            <w:noWrap w:val="0"/>
            <w:vAlign w:val="center"/>
          </w:tcPr>
          <w:p w14:paraId="11D12273">
            <w:pPr>
              <w:jc w:val="center"/>
              <w:rPr>
                <w:rFonts w:hint="eastAsia" w:ascii="宋体" w:hAnsi="宋体"/>
                <w:szCs w:val="21"/>
              </w:rPr>
            </w:pPr>
          </w:p>
        </w:tc>
        <w:tc>
          <w:tcPr>
            <w:tcW w:w="1063" w:type="dxa"/>
            <w:noWrap w:val="0"/>
            <w:vAlign w:val="center"/>
          </w:tcPr>
          <w:p w14:paraId="0126A5F9">
            <w:pPr>
              <w:jc w:val="center"/>
              <w:rPr>
                <w:rFonts w:hint="eastAsia" w:ascii="宋体" w:hAnsi="宋体"/>
                <w:szCs w:val="21"/>
              </w:rPr>
            </w:pPr>
          </w:p>
        </w:tc>
      </w:tr>
      <w:tr w14:paraId="016F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FC60922">
            <w:pPr>
              <w:jc w:val="center"/>
              <w:rPr>
                <w:rFonts w:hint="eastAsia" w:ascii="宋体" w:hAnsi="宋体"/>
                <w:szCs w:val="21"/>
              </w:rPr>
            </w:pPr>
          </w:p>
        </w:tc>
        <w:tc>
          <w:tcPr>
            <w:tcW w:w="1418" w:type="dxa"/>
            <w:noWrap w:val="0"/>
            <w:vAlign w:val="center"/>
          </w:tcPr>
          <w:p w14:paraId="1673CB4C">
            <w:pPr>
              <w:jc w:val="center"/>
              <w:rPr>
                <w:rFonts w:hint="eastAsia" w:ascii="宋体" w:hAnsi="宋体"/>
                <w:szCs w:val="21"/>
              </w:rPr>
            </w:pPr>
          </w:p>
        </w:tc>
        <w:tc>
          <w:tcPr>
            <w:tcW w:w="1063" w:type="dxa"/>
            <w:noWrap w:val="0"/>
            <w:vAlign w:val="center"/>
          </w:tcPr>
          <w:p w14:paraId="6575CA56">
            <w:pPr>
              <w:jc w:val="center"/>
              <w:rPr>
                <w:rFonts w:hint="eastAsia" w:ascii="宋体" w:hAnsi="宋体"/>
                <w:szCs w:val="21"/>
              </w:rPr>
            </w:pPr>
          </w:p>
        </w:tc>
        <w:tc>
          <w:tcPr>
            <w:tcW w:w="1063" w:type="dxa"/>
            <w:noWrap w:val="0"/>
            <w:vAlign w:val="center"/>
          </w:tcPr>
          <w:p w14:paraId="09434982">
            <w:pPr>
              <w:jc w:val="center"/>
              <w:rPr>
                <w:rFonts w:hint="eastAsia" w:ascii="宋体" w:hAnsi="宋体"/>
                <w:szCs w:val="21"/>
              </w:rPr>
            </w:pPr>
          </w:p>
        </w:tc>
        <w:tc>
          <w:tcPr>
            <w:tcW w:w="1063" w:type="dxa"/>
            <w:noWrap w:val="0"/>
            <w:vAlign w:val="center"/>
          </w:tcPr>
          <w:p w14:paraId="735EF5DD">
            <w:pPr>
              <w:jc w:val="center"/>
              <w:rPr>
                <w:rFonts w:hint="eastAsia" w:ascii="宋体" w:hAnsi="宋体"/>
                <w:szCs w:val="21"/>
              </w:rPr>
            </w:pPr>
          </w:p>
        </w:tc>
        <w:tc>
          <w:tcPr>
            <w:tcW w:w="1063" w:type="dxa"/>
            <w:noWrap w:val="0"/>
            <w:vAlign w:val="center"/>
          </w:tcPr>
          <w:p w14:paraId="464E1E88">
            <w:pPr>
              <w:jc w:val="center"/>
              <w:rPr>
                <w:rFonts w:hint="eastAsia" w:ascii="宋体" w:hAnsi="宋体"/>
                <w:szCs w:val="21"/>
              </w:rPr>
            </w:pPr>
          </w:p>
        </w:tc>
        <w:tc>
          <w:tcPr>
            <w:tcW w:w="1063" w:type="dxa"/>
            <w:noWrap w:val="0"/>
            <w:vAlign w:val="center"/>
          </w:tcPr>
          <w:p w14:paraId="16ED939E">
            <w:pPr>
              <w:jc w:val="center"/>
              <w:rPr>
                <w:rFonts w:hint="eastAsia" w:ascii="宋体" w:hAnsi="宋体"/>
                <w:szCs w:val="21"/>
              </w:rPr>
            </w:pPr>
          </w:p>
        </w:tc>
        <w:tc>
          <w:tcPr>
            <w:tcW w:w="1063" w:type="dxa"/>
            <w:noWrap w:val="0"/>
            <w:vAlign w:val="center"/>
          </w:tcPr>
          <w:p w14:paraId="3D91C1D4">
            <w:pPr>
              <w:jc w:val="center"/>
              <w:rPr>
                <w:rFonts w:hint="eastAsia" w:ascii="宋体" w:hAnsi="宋体"/>
                <w:szCs w:val="21"/>
              </w:rPr>
            </w:pPr>
          </w:p>
        </w:tc>
      </w:tr>
      <w:tr w14:paraId="3A14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58C21CA">
            <w:pPr>
              <w:jc w:val="center"/>
              <w:rPr>
                <w:rFonts w:hint="eastAsia" w:ascii="宋体" w:hAnsi="宋体"/>
                <w:szCs w:val="21"/>
              </w:rPr>
            </w:pPr>
          </w:p>
        </w:tc>
        <w:tc>
          <w:tcPr>
            <w:tcW w:w="1418" w:type="dxa"/>
            <w:noWrap w:val="0"/>
            <w:vAlign w:val="center"/>
          </w:tcPr>
          <w:p w14:paraId="1DC73B56">
            <w:pPr>
              <w:jc w:val="center"/>
              <w:rPr>
                <w:rFonts w:hint="eastAsia" w:ascii="宋体" w:hAnsi="宋体"/>
                <w:szCs w:val="21"/>
              </w:rPr>
            </w:pPr>
          </w:p>
        </w:tc>
        <w:tc>
          <w:tcPr>
            <w:tcW w:w="1063" w:type="dxa"/>
            <w:noWrap w:val="0"/>
            <w:vAlign w:val="center"/>
          </w:tcPr>
          <w:p w14:paraId="3BFE0368">
            <w:pPr>
              <w:jc w:val="center"/>
              <w:rPr>
                <w:rFonts w:hint="eastAsia" w:ascii="宋体" w:hAnsi="宋体"/>
                <w:szCs w:val="21"/>
              </w:rPr>
            </w:pPr>
          </w:p>
        </w:tc>
        <w:tc>
          <w:tcPr>
            <w:tcW w:w="1063" w:type="dxa"/>
            <w:noWrap w:val="0"/>
            <w:vAlign w:val="center"/>
          </w:tcPr>
          <w:p w14:paraId="5B494D66">
            <w:pPr>
              <w:jc w:val="center"/>
              <w:rPr>
                <w:rFonts w:hint="eastAsia" w:ascii="宋体" w:hAnsi="宋体"/>
                <w:szCs w:val="21"/>
              </w:rPr>
            </w:pPr>
          </w:p>
        </w:tc>
        <w:tc>
          <w:tcPr>
            <w:tcW w:w="1063" w:type="dxa"/>
            <w:noWrap w:val="0"/>
            <w:vAlign w:val="center"/>
          </w:tcPr>
          <w:p w14:paraId="656A3F60">
            <w:pPr>
              <w:jc w:val="center"/>
              <w:rPr>
                <w:rFonts w:hint="eastAsia" w:ascii="宋体" w:hAnsi="宋体"/>
                <w:szCs w:val="21"/>
              </w:rPr>
            </w:pPr>
          </w:p>
        </w:tc>
        <w:tc>
          <w:tcPr>
            <w:tcW w:w="1063" w:type="dxa"/>
            <w:noWrap w:val="0"/>
            <w:vAlign w:val="center"/>
          </w:tcPr>
          <w:p w14:paraId="5FB1129A">
            <w:pPr>
              <w:jc w:val="center"/>
              <w:rPr>
                <w:rFonts w:hint="eastAsia" w:ascii="宋体" w:hAnsi="宋体"/>
                <w:szCs w:val="21"/>
              </w:rPr>
            </w:pPr>
          </w:p>
        </w:tc>
        <w:tc>
          <w:tcPr>
            <w:tcW w:w="1063" w:type="dxa"/>
            <w:noWrap w:val="0"/>
            <w:vAlign w:val="center"/>
          </w:tcPr>
          <w:p w14:paraId="2026CB48">
            <w:pPr>
              <w:jc w:val="center"/>
              <w:rPr>
                <w:rFonts w:hint="eastAsia" w:ascii="宋体" w:hAnsi="宋体"/>
                <w:szCs w:val="21"/>
              </w:rPr>
            </w:pPr>
          </w:p>
        </w:tc>
        <w:tc>
          <w:tcPr>
            <w:tcW w:w="1063" w:type="dxa"/>
            <w:noWrap w:val="0"/>
            <w:vAlign w:val="center"/>
          </w:tcPr>
          <w:p w14:paraId="07A418DB">
            <w:pPr>
              <w:jc w:val="center"/>
              <w:rPr>
                <w:rFonts w:hint="eastAsia" w:ascii="宋体" w:hAnsi="宋体"/>
                <w:szCs w:val="21"/>
              </w:rPr>
            </w:pPr>
          </w:p>
        </w:tc>
      </w:tr>
      <w:tr w14:paraId="4610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C908DAC">
            <w:pPr>
              <w:jc w:val="center"/>
              <w:rPr>
                <w:rFonts w:hint="eastAsia" w:ascii="宋体" w:hAnsi="宋体"/>
                <w:szCs w:val="21"/>
              </w:rPr>
            </w:pPr>
          </w:p>
        </w:tc>
        <w:tc>
          <w:tcPr>
            <w:tcW w:w="1418" w:type="dxa"/>
            <w:noWrap w:val="0"/>
            <w:vAlign w:val="center"/>
          </w:tcPr>
          <w:p w14:paraId="4B6CFF67">
            <w:pPr>
              <w:jc w:val="center"/>
              <w:rPr>
                <w:rFonts w:hint="eastAsia" w:ascii="宋体" w:hAnsi="宋体"/>
                <w:szCs w:val="21"/>
              </w:rPr>
            </w:pPr>
          </w:p>
        </w:tc>
        <w:tc>
          <w:tcPr>
            <w:tcW w:w="1063" w:type="dxa"/>
            <w:noWrap w:val="0"/>
            <w:vAlign w:val="center"/>
          </w:tcPr>
          <w:p w14:paraId="4038D367">
            <w:pPr>
              <w:jc w:val="center"/>
              <w:rPr>
                <w:rFonts w:hint="eastAsia" w:ascii="宋体" w:hAnsi="宋体"/>
                <w:szCs w:val="21"/>
              </w:rPr>
            </w:pPr>
          </w:p>
        </w:tc>
        <w:tc>
          <w:tcPr>
            <w:tcW w:w="1063" w:type="dxa"/>
            <w:noWrap w:val="0"/>
            <w:vAlign w:val="center"/>
          </w:tcPr>
          <w:p w14:paraId="57B7C371">
            <w:pPr>
              <w:jc w:val="center"/>
              <w:rPr>
                <w:rFonts w:hint="eastAsia" w:ascii="宋体" w:hAnsi="宋体"/>
                <w:szCs w:val="21"/>
              </w:rPr>
            </w:pPr>
          </w:p>
        </w:tc>
        <w:tc>
          <w:tcPr>
            <w:tcW w:w="1063" w:type="dxa"/>
            <w:noWrap w:val="0"/>
            <w:vAlign w:val="center"/>
          </w:tcPr>
          <w:p w14:paraId="594EA9D1">
            <w:pPr>
              <w:jc w:val="center"/>
              <w:rPr>
                <w:rFonts w:hint="eastAsia" w:ascii="宋体" w:hAnsi="宋体"/>
                <w:szCs w:val="21"/>
              </w:rPr>
            </w:pPr>
          </w:p>
        </w:tc>
        <w:tc>
          <w:tcPr>
            <w:tcW w:w="1063" w:type="dxa"/>
            <w:noWrap w:val="0"/>
            <w:vAlign w:val="center"/>
          </w:tcPr>
          <w:p w14:paraId="526E9947">
            <w:pPr>
              <w:jc w:val="center"/>
              <w:rPr>
                <w:rFonts w:hint="eastAsia" w:ascii="宋体" w:hAnsi="宋体"/>
                <w:szCs w:val="21"/>
              </w:rPr>
            </w:pPr>
          </w:p>
        </w:tc>
        <w:tc>
          <w:tcPr>
            <w:tcW w:w="1063" w:type="dxa"/>
            <w:noWrap w:val="0"/>
            <w:vAlign w:val="center"/>
          </w:tcPr>
          <w:p w14:paraId="7362BCC9">
            <w:pPr>
              <w:jc w:val="center"/>
              <w:rPr>
                <w:rFonts w:hint="eastAsia" w:ascii="宋体" w:hAnsi="宋体"/>
                <w:szCs w:val="21"/>
              </w:rPr>
            </w:pPr>
          </w:p>
        </w:tc>
        <w:tc>
          <w:tcPr>
            <w:tcW w:w="1063" w:type="dxa"/>
            <w:noWrap w:val="0"/>
            <w:vAlign w:val="center"/>
          </w:tcPr>
          <w:p w14:paraId="7451AA2F">
            <w:pPr>
              <w:jc w:val="center"/>
              <w:rPr>
                <w:rFonts w:hint="eastAsia" w:ascii="宋体" w:hAnsi="宋体"/>
                <w:szCs w:val="21"/>
              </w:rPr>
            </w:pPr>
          </w:p>
        </w:tc>
      </w:tr>
      <w:tr w14:paraId="1125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0BBD0B4">
            <w:pPr>
              <w:jc w:val="center"/>
              <w:rPr>
                <w:rFonts w:hint="eastAsia" w:ascii="宋体" w:hAnsi="宋体"/>
                <w:szCs w:val="21"/>
              </w:rPr>
            </w:pPr>
          </w:p>
        </w:tc>
        <w:tc>
          <w:tcPr>
            <w:tcW w:w="1418" w:type="dxa"/>
            <w:noWrap w:val="0"/>
            <w:vAlign w:val="center"/>
          </w:tcPr>
          <w:p w14:paraId="37EB47C6">
            <w:pPr>
              <w:jc w:val="center"/>
              <w:rPr>
                <w:rFonts w:hint="eastAsia" w:ascii="宋体" w:hAnsi="宋体"/>
                <w:szCs w:val="21"/>
              </w:rPr>
            </w:pPr>
          </w:p>
        </w:tc>
        <w:tc>
          <w:tcPr>
            <w:tcW w:w="1063" w:type="dxa"/>
            <w:noWrap w:val="0"/>
            <w:vAlign w:val="center"/>
          </w:tcPr>
          <w:p w14:paraId="625EF71D">
            <w:pPr>
              <w:jc w:val="center"/>
              <w:rPr>
                <w:rFonts w:hint="eastAsia" w:ascii="宋体" w:hAnsi="宋体"/>
                <w:szCs w:val="21"/>
              </w:rPr>
            </w:pPr>
          </w:p>
        </w:tc>
        <w:tc>
          <w:tcPr>
            <w:tcW w:w="1063" w:type="dxa"/>
            <w:noWrap w:val="0"/>
            <w:vAlign w:val="center"/>
          </w:tcPr>
          <w:p w14:paraId="462CF321">
            <w:pPr>
              <w:jc w:val="center"/>
              <w:rPr>
                <w:rFonts w:hint="eastAsia" w:ascii="宋体" w:hAnsi="宋体"/>
                <w:szCs w:val="21"/>
              </w:rPr>
            </w:pPr>
          </w:p>
        </w:tc>
        <w:tc>
          <w:tcPr>
            <w:tcW w:w="1063" w:type="dxa"/>
            <w:noWrap w:val="0"/>
            <w:vAlign w:val="center"/>
          </w:tcPr>
          <w:p w14:paraId="2015B1AC">
            <w:pPr>
              <w:jc w:val="center"/>
              <w:rPr>
                <w:rFonts w:hint="eastAsia" w:ascii="宋体" w:hAnsi="宋体"/>
                <w:szCs w:val="21"/>
              </w:rPr>
            </w:pPr>
          </w:p>
        </w:tc>
        <w:tc>
          <w:tcPr>
            <w:tcW w:w="1063" w:type="dxa"/>
            <w:noWrap w:val="0"/>
            <w:vAlign w:val="center"/>
          </w:tcPr>
          <w:p w14:paraId="2A13582D">
            <w:pPr>
              <w:jc w:val="center"/>
              <w:rPr>
                <w:rFonts w:hint="eastAsia" w:ascii="宋体" w:hAnsi="宋体"/>
                <w:szCs w:val="21"/>
              </w:rPr>
            </w:pPr>
          </w:p>
        </w:tc>
        <w:tc>
          <w:tcPr>
            <w:tcW w:w="1063" w:type="dxa"/>
            <w:noWrap w:val="0"/>
            <w:vAlign w:val="center"/>
          </w:tcPr>
          <w:p w14:paraId="0A9531E7">
            <w:pPr>
              <w:jc w:val="center"/>
              <w:rPr>
                <w:rFonts w:hint="eastAsia" w:ascii="宋体" w:hAnsi="宋体"/>
                <w:szCs w:val="21"/>
              </w:rPr>
            </w:pPr>
          </w:p>
        </w:tc>
        <w:tc>
          <w:tcPr>
            <w:tcW w:w="1063" w:type="dxa"/>
            <w:noWrap w:val="0"/>
            <w:vAlign w:val="center"/>
          </w:tcPr>
          <w:p w14:paraId="69AD23EB">
            <w:pPr>
              <w:jc w:val="center"/>
              <w:rPr>
                <w:rFonts w:hint="eastAsia" w:ascii="宋体" w:hAnsi="宋体"/>
                <w:szCs w:val="21"/>
              </w:rPr>
            </w:pPr>
          </w:p>
        </w:tc>
      </w:tr>
      <w:tr w14:paraId="6F12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BE261E4">
            <w:pPr>
              <w:jc w:val="center"/>
              <w:rPr>
                <w:rFonts w:hint="eastAsia" w:ascii="宋体" w:hAnsi="宋体"/>
                <w:szCs w:val="21"/>
              </w:rPr>
            </w:pPr>
          </w:p>
        </w:tc>
        <w:tc>
          <w:tcPr>
            <w:tcW w:w="1418" w:type="dxa"/>
            <w:noWrap w:val="0"/>
            <w:vAlign w:val="center"/>
          </w:tcPr>
          <w:p w14:paraId="09F8303E">
            <w:pPr>
              <w:jc w:val="center"/>
              <w:rPr>
                <w:rFonts w:hint="eastAsia" w:ascii="宋体" w:hAnsi="宋体"/>
                <w:szCs w:val="21"/>
              </w:rPr>
            </w:pPr>
          </w:p>
        </w:tc>
        <w:tc>
          <w:tcPr>
            <w:tcW w:w="1063" w:type="dxa"/>
            <w:noWrap w:val="0"/>
            <w:vAlign w:val="center"/>
          </w:tcPr>
          <w:p w14:paraId="6C63763B">
            <w:pPr>
              <w:jc w:val="center"/>
              <w:rPr>
                <w:rFonts w:hint="eastAsia" w:ascii="宋体" w:hAnsi="宋体"/>
                <w:szCs w:val="21"/>
              </w:rPr>
            </w:pPr>
          </w:p>
        </w:tc>
        <w:tc>
          <w:tcPr>
            <w:tcW w:w="1063" w:type="dxa"/>
            <w:noWrap w:val="0"/>
            <w:vAlign w:val="center"/>
          </w:tcPr>
          <w:p w14:paraId="08547BAB">
            <w:pPr>
              <w:jc w:val="center"/>
              <w:rPr>
                <w:rFonts w:hint="eastAsia" w:ascii="宋体" w:hAnsi="宋体"/>
                <w:szCs w:val="21"/>
              </w:rPr>
            </w:pPr>
          </w:p>
        </w:tc>
        <w:tc>
          <w:tcPr>
            <w:tcW w:w="1063" w:type="dxa"/>
            <w:noWrap w:val="0"/>
            <w:vAlign w:val="center"/>
          </w:tcPr>
          <w:p w14:paraId="6ACA55FF">
            <w:pPr>
              <w:jc w:val="center"/>
              <w:rPr>
                <w:rFonts w:hint="eastAsia" w:ascii="宋体" w:hAnsi="宋体"/>
                <w:szCs w:val="21"/>
              </w:rPr>
            </w:pPr>
          </w:p>
        </w:tc>
        <w:tc>
          <w:tcPr>
            <w:tcW w:w="1063" w:type="dxa"/>
            <w:noWrap w:val="0"/>
            <w:vAlign w:val="center"/>
          </w:tcPr>
          <w:p w14:paraId="74A1EEE8">
            <w:pPr>
              <w:jc w:val="center"/>
              <w:rPr>
                <w:rFonts w:hint="eastAsia" w:ascii="宋体" w:hAnsi="宋体"/>
                <w:szCs w:val="21"/>
              </w:rPr>
            </w:pPr>
          </w:p>
        </w:tc>
        <w:tc>
          <w:tcPr>
            <w:tcW w:w="1063" w:type="dxa"/>
            <w:noWrap w:val="0"/>
            <w:vAlign w:val="center"/>
          </w:tcPr>
          <w:p w14:paraId="167AB344">
            <w:pPr>
              <w:jc w:val="center"/>
              <w:rPr>
                <w:rFonts w:hint="eastAsia" w:ascii="宋体" w:hAnsi="宋体"/>
                <w:szCs w:val="21"/>
              </w:rPr>
            </w:pPr>
          </w:p>
        </w:tc>
        <w:tc>
          <w:tcPr>
            <w:tcW w:w="1063" w:type="dxa"/>
            <w:noWrap w:val="0"/>
            <w:vAlign w:val="center"/>
          </w:tcPr>
          <w:p w14:paraId="24C2EE84">
            <w:pPr>
              <w:jc w:val="center"/>
              <w:rPr>
                <w:rFonts w:hint="eastAsia" w:ascii="宋体" w:hAnsi="宋体"/>
                <w:szCs w:val="21"/>
              </w:rPr>
            </w:pPr>
          </w:p>
        </w:tc>
      </w:tr>
      <w:tr w14:paraId="111A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9594C3D">
            <w:pPr>
              <w:jc w:val="center"/>
              <w:rPr>
                <w:rFonts w:hint="eastAsia" w:ascii="宋体" w:hAnsi="宋体"/>
                <w:szCs w:val="21"/>
              </w:rPr>
            </w:pPr>
          </w:p>
        </w:tc>
        <w:tc>
          <w:tcPr>
            <w:tcW w:w="1418" w:type="dxa"/>
            <w:noWrap w:val="0"/>
            <w:vAlign w:val="center"/>
          </w:tcPr>
          <w:p w14:paraId="345B3807">
            <w:pPr>
              <w:jc w:val="center"/>
              <w:rPr>
                <w:rFonts w:hint="eastAsia" w:ascii="宋体" w:hAnsi="宋体"/>
                <w:szCs w:val="21"/>
              </w:rPr>
            </w:pPr>
          </w:p>
        </w:tc>
        <w:tc>
          <w:tcPr>
            <w:tcW w:w="1063" w:type="dxa"/>
            <w:noWrap w:val="0"/>
            <w:vAlign w:val="center"/>
          </w:tcPr>
          <w:p w14:paraId="69956410">
            <w:pPr>
              <w:jc w:val="center"/>
              <w:rPr>
                <w:rFonts w:hint="eastAsia" w:ascii="宋体" w:hAnsi="宋体"/>
                <w:szCs w:val="21"/>
              </w:rPr>
            </w:pPr>
          </w:p>
        </w:tc>
        <w:tc>
          <w:tcPr>
            <w:tcW w:w="1063" w:type="dxa"/>
            <w:noWrap w:val="0"/>
            <w:vAlign w:val="center"/>
          </w:tcPr>
          <w:p w14:paraId="5EDB6ECC">
            <w:pPr>
              <w:jc w:val="center"/>
              <w:rPr>
                <w:rFonts w:hint="eastAsia" w:ascii="宋体" w:hAnsi="宋体"/>
                <w:szCs w:val="21"/>
              </w:rPr>
            </w:pPr>
          </w:p>
        </w:tc>
        <w:tc>
          <w:tcPr>
            <w:tcW w:w="1063" w:type="dxa"/>
            <w:noWrap w:val="0"/>
            <w:vAlign w:val="center"/>
          </w:tcPr>
          <w:p w14:paraId="32C65854">
            <w:pPr>
              <w:jc w:val="center"/>
              <w:rPr>
                <w:rFonts w:hint="eastAsia" w:ascii="宋体" w:hAnsi="宋体"/>
                <w:szCs w:val="21"/>
              </w:rPr>
            </w:pPr>
          </w:p>
        </w:tc>
        <w:tc>
          <w:tcPr>
            <w:tcW w:w="1063" w:type="dxa"/>
            <w:noWrap w:val="0"/>
            <w:vAlign w:val="center"/>
          </w:tcPr>
          <w:p w14:paraId="46AE609D">
            <w:pPr>
              <w:jc w:val="center"/>
              <w:rPr>
                <w:rFonts w:hint="eastAsia" w:ascii="宋体" w:hAnsi="宋体"/>
                <w:szCs w:val="21"/>
              </w:rPr>
            </w:pPr>
          </w:p>
        </w:tc>
        <w:tc>
          <w:tcPr>
            <w:tcW w:w="1063" w:type="dxa"/>
            <w:noWrap w:val="0"/>
            <w:vAlign w:val="center"/>
          </w:tcPr>
          <w:p w14:paraId="02F18ACC">
            <w:pPr>
              <w:jc w:val="center"/>
              <w:rPr>
                <w:rFonts w:hint="eastAsia" w:ascii="宋体" w:hAnsi="宋体"/>
                <w:szCs w:val="21"/>
              </w:rPr>
            </w:pPr>
          </w:p>
        </w:tc>
        <w:tc>
          <w:tcPr>
            <w:tcW w:w="1063" w:type="dxa"/>
            <w:noWrap w:val="0"/>
            <w:vAlign w:val="center"/>
          </w:tcPr>
          <w:p w14:paraId="4784F533">
            <w:pPr>
              <w:jc w:val="center"/>
              <w:rPr>
                <w:rFonts w:hint="eastAsia" w:ascii="宋体" w:hAnsi="宋体"/>
                <w:szCs w:val="21"/>
              </w:rPr>
            </w:pPr>
          </w:p>
        </w:tc>
      </w:tr>
      <w:tr w14:paraId="5FAB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5198A04">
            <w:pPr>
              <w:jc w:val="center"/>
              <w:rPr>
                <w:rFonts w:hint="eastAsia" w:ascii="宋体" w:hAnsi="宋体"/>
                <w:szCs w:val="21"/>
              </w:rPr>
            </w:pPr>
          </w:p>
        </w:tc>
        <w:tc>
          <w:tcPr>
            <w:tcW w:w="1418" w:type="dxa"/>
            <w:noWrap w:val="0"/>
            <w:vAlign w:val="center"/>
          </w:tcPr>
          <w:p w14:paraId="1BCCD50E">
            <w:pPr>
              <w:jc w:val="center"/>
              <w:rPr>
                <w:rFonts w:hint="eastAsia" w:ascii="宋体" w:hAnsi="宋体"/>
                <w:szCs w:val="21"/>
              </w:rPr>
            </w:pPr>
          </w:p>
        </w:tc>
        <w:tc>
          <w:tcPr>
            <w:tcW w:w="1063" w:type="dxa"/>
            <w:noWrap w:val="0"/>
            <w:vAlign w:val="center"/>
          </w:tcPr>
          <w:p w14:paraId="77CDDA3A">
            <w:pPr>
              <w:jc w:val="center"/>
              <w:rPr>
                <w:rFonts w:hint="eastAsia" w:ascii="宋体" w:hAnsi="宋体"/>
                <w:szCs w:val="21"/>
              </w:rPr>
            </w:pPr>
          </w:p>
        </w:tc>
        <w:tc>
          <w:tcPr>
            <w:tcW w:w="1063" w:type="dxa"/>
            <w:noWrap w:val="0"/>
            <w:vAlign w:val="center"/>
          </w:tcPr>
          <w:p w14:paraId="48710EB9">
            <w:pPr>
              <w:jc w:val="center"/>
              <w:rPr>
                <w:rFonts w:hint="eastAsia" w:ascii="宋体" w:hAnsi="宋体"/>
                <w:szCs w:val="21"/>
              </w:rPr>
            </w:pPr>
          </w:p>
        </w:tc>
        <w:tc>
          <w:tcPr>
            <w:tcW w:w="1063" w:type="dxa"/>
            <w:noWrap w:val="0"/>
            <w:vAlign w:val="center"/>
          </w:tcPr>
          <w:p w14:paraId="0F5AE2FE">
            <w:pPr>
              <w:jc w:val="center"/>
              <w:rPr>
                <w:rFonts w:hint="eastAsia" w:ascii="宋体" w:hAnsi="宋体"/>
                <w:szCs w:val="21"/>
              </w:rPr>
            </w:pPr>
          </w:p>
        </w:tc>
        <w:tc>
          <w:tcPr>
            <w:tcW w:w="1063" w:type="dxa"/>
            <w:noWrap w:val="0"/>
            <w:vAlign w:val="center"/>
          </w:tcPr>
          <w:p w14:paraId="3A07D4FB">
            <w:pPr>
              <w:jc w:val="center"/>
              <w:rPr>
                <w:rFonts w:hint="eastAsia" w:ascii="宋体" w:hAnsi="宋体"/>
                <w:szCs w:val="21"/>
              </w:rPr>
            </w:pPr>
          </w:p>
        </w:tc>
        <w:tc>
          <w:tcPr>
            <w:tcW w:w="1063" w:type="dxa"/>
            <w:noWrap w:val="0"/>
            <w:vAlign w:val="center"/>
          </w:tcPr>
          <w:p w14:paraId="0D6571D4">
            <w:pPr>
              <w:jc w:val="center"/>
              <w:rPr>
                <w:rFonts w:hint="eastAsia" w:ascii="宋体" w:hAnsi="宋体"/>
                <w:szCs w:val="21"/>
              </w:rPr>
            </w:pPr>
          </w:p>
        </w:tc>
        <w:tc>
          <w:tcPr>
            <w:tcW w:w="1063" w:type="dxa"/>
            <w:noWrap w:val="0"/>
            <w:vAlign w:val="center"/>
          </w:tcPr>
          <w:p w14:paraId="1EE68A70">
            <w:pPr>
              <w:jc w:val="center"/>
              <w:rPr>
                <w:rFonts w:hint="eastAsia" w:ascii="宋体" w:hAnsi="宋体"/>
                <w:szCs w:val="21"/>
              </w:rPr>
            </w:pPr>
          </w:p>
        </w:tc>
      </w:tr>
      <w:tr w14:paraId="2D1B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F982FDB">
            <w:pPr>
              <w:jc w:val="center"/>
              <w:rPr>
                <w:rFonts w:hint="eastAsia" w:ascii="宋体" w:hAnsi="宋体"/>
                <w:szCs w:val="21"/>
              </w:rPr>
            </w:pPr>
          </w:p>
        </w:tc>
        <w:tc>
          <w:tcPr>
            <w:tcW w:w="1418" w:type="dxa"/>
            <w:noWrap w:val="0"/>
            <w:vAlign w:val="center"/>
          </w:tcPr>
          <w:p w14:paraId="3F33EF4D">
            <w:pPr>
              <w:jc w:val="center"/>
              <w:rPr>
                <w:rFonts w:hint="eastAsia" w:ascii="宋体" w:hAnsi="宋体"/>
                <w:szCs w:val="21"/>
              </w:rPr>
            </w:pPr>
          </w:p>
        </w:tc>
        <w:tc>
          <w:tcPr>
            <w:tcW w:w="1063" w:type="dxa"/>
            <w:noWrap w:val="0"/>
            <w:vAlign w:val="center"/>
          </w:tcPr>
          <w:p w14:paraId="253AEFD4">
            <w:pPr>
              <w:jc w:val="center"/>
              <w:rPr>
                <w:rFonts w:hint="eastAsia" w:ascii="宋体" w:hAnsi="宋体"/>
                <w:szCs w:val="21"/>
              </w:rPr>
            </w:pPr>
          </w:p>
        </w:tc>
        <w:tc>
          <w:tcPr>
            <w:tcW w:w="1063" w:type="dxa"/>
            <w:noWrap w:val="0"/>
            <w:vAlign w:val="center"/>
          </w:tcPr>
          <w:p w14:paraId="04D7A3B0">
            <w:pPr>
              <w:jc w:val="center"/>
              <w:rPr>
                <w:rFonts w:hint="eastAsia" w:ascii="宋体" w:hAnsi="宋体"/>
                <w:szCs w:val="21"/>
              </w:rPr>
            </w:pPr>
          </w:p>
        </w:tc>
        <w:tc>
          <w:tcPr>
            <w:tcW w:w="1063" w:type="dxa"/>
            <w:noWrap w:val="0"/>
            <w:vAlign w:val="center"/>
          </w:tcPr>
          <w:p w14:paraId="02EAC446">
            <w:pPr>
              <w:jc w:val="center"/>
              <w:rPr>
                <w:rFonts w:hint="eastAsia" w:ascii="宋体" w:hAnsi="宋体"/>
                <w:szCs w:val="21"/>
              </w:rPr>
            </w:pPr>
          </w:p>
        </w:tc>
        <w:tc>
          <w:tcPr>
            <w:tcW w:w="1063" w:type="dxa"/>
            <w:noWrap w:val="0"/>
            <w:vAlign w:val="center"/>
          </w:tcPr>
          <w:p w14:paraId="3C7E2B31">
            <w:pPr>
              <w:jc w:val="center"/>
              <w:rPr>
                <w:rFonts w:hint="eastAsia" w:ascii="宋体" w:hAnsi="宋体"/>
                <w:szCs w:val="21"/>
              </w:rPr>
            </w:pPr>
          </w:p>
        </w:tc>
        <w:tc>
          <w:tcPr>
            <w:tcW w:w="1063" w:type="dxa"/>
            <w:noWrap w:val="0"/>
            <w:vAlign w:val="center"/>
          </w:tcPr>
          <w:p w14:paraId="238F940D">
            <w:pPr>
              <w:jc w:val="center"/>
              <w:rPr>
                <w:rFonts w:hint="eastAsia" w:ascii="宋体" w:hAnsi="宋体"/>
                <w:szCs w:val="21"/>
              </w:rPr>
            </w:pPr>
          </w:p>
        </w:tc>
        <w:tc>
          <w:tcPr>
            <w:tcW w:w="1063" w:type="dxa"/>
            <w:noWrap w:val="0"/>
            <w:vAlign w:val="center"/>
          </w:tcPr>
          <w:p w14:paraId="378D02ED">
            <w:pPr>
              <w:jc w:val="center"/>
              <w:rPr>
                <w:rFonts w:hint="eastAsia" w:ascii="宋体" w:hAnsi="宋体"/>
                <w:szCs w:val="21"/>
              </w:rPr>
            </w:pPr>
          </w:p>
        </w:tc>
      </w:tr>
      <w:tr w14:paraId="516D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07C2AB3">
            <w:pPr>
              <w:jc w:val="center"/>
              <w:rPr>
                <w:rFonts w:hint="eastAsia" w:ascii="宋体" w:hAnsi="宋体"/>
                <w:szCs w:val="21"/>
              </w:rPr>
            </w:pPr>
          </w:p>
        </w:tc>
        <w:tc>
          <w:tcPr>
            <w:tcW w:w="1418" w:type="dxa"/>
            <w:noWrap w:val="0"/>
            <w:vAlign w:val="center"/>
          </w:tcPr>
          <w:p w14:paraId="59B13990">
            <w:pPr>
              <w:jc w:val="center"/>
              <w:rPr>
                <w:rFonts w:hint="eastAsia" w:ascii="宋体" w:hAnsi="宋体"/>
                <w:szCs w:val="21"/>
              </w:rPr>
            </w:pPr>
          </w:p>
        </w:tc>
        <w:tc>
          <w:tcPr>
            <w:tcW w:w="1063" w:type="dxa"/>
            <w:noWrap w:val="0"/>
            <w:vAlign w:val="center"/>
          </w:tcPr>
          <w:p w14:paraId="03284F6B">
            <w:pPr>
              <w:jc w:val="center"/>
              <w:rPr>
                <w:rFonts w:hint="eastAsia" w:ascii="宋体" w:hAnsi="宋体"/>
                <w:szCs w:val="21"/>
              </w:rPr>
            </w:pPr>
          </w:p>
        </w:tc>
        <w:tc>
          <w:tcPr>
            <w:tcW w:w="1063" w:type="dxa"/>
            <w:noWrap w:val="0"/>
            <w:vAlign w:val="center"/>
          </w:tcPr>
          <w:p w14:paraId="778A1F62">
            <w:pPr>
              <w:jc w:val="center"/>
              <w:rPr>
                <w:rFonts w:hint="eastAsia" w:ascii="宋体" w:hAnsi="宋体"/>
                <w:szCs w:val="21"/>
              </w:rPr>
            </w:pPr>
          </w:p>
        </w:tc>
        <w:tc>
          <w:tcPr>
            <w:tcW w:w="1063" w:type="dxa"/>
            <w:noWrap w:val="0"/>
            <w:vAlign w:val="center"/>
          </w:tcPr>
          <w:p w14:paraId="10554763">
            <w:pPr>
              <w:jc w:val="center"/>
              <w:rPr>
                <w:rFonts w:hint="eastAsia" w:ascii="宋体" w:hAnsi="宋体"/>
                <w:szCs w:val="21"/>
              </w:rPr>
            </w:pPr>
          </w:p>
        </w:tc>
        <w:tc>
          <w:tcPr>
            <w:tcW w:w="1063" w:type="dxa"/>
            <w:noWrap w:val="0"/>
            <w:vAlign w:val="center"/>
          </w:tcPr>
          <w:p w14:paraId="4CC0C640">
            <w:pPr>
              <w:jc w:val="center"/>
              <w:rPr>
                <w:rFonts w:hint="eastAsia" w:ascii="宋体" w:hAnsi="宋体"/>
                <w:szCs w:val="21"/>
              </w:rPr>
            </w:pPr>
          </w:p>
        </w:tc>
        <w:tc>
          <w:tcPr>
            <w:tcW w:w="1063" w:type="dxa"/>
            <w:noWrap w:val="0"/>
            <w:vAlign w:val="center"/>
          </w:tcPr>
          <w:p w14:paraId="11FCA618">
            <w:pPr>
              <w:jc w:val="center"/>
              <w:rPr>
                <w:rFonts w:hint="eastAsia" w:ascii="宋体" w:hAnsi="宋体"/>
                <w:szCs w:val="21"/>
              </w:rPr>
            </w:pPr>
          </w:p>
        </w:tc>
        <w:tc>
          <w:tcPr>
            <w:tcW w:w="1063" w:type="dxa"/>
            <w:noWrap w:val="0"/>
            <w:vAlign w:val="center"/>
          </w:tcPr>
          <w:p w14:paraId="74D145FE">
            <w:pPr>
              <w:jc w:val="center"/>
              <w:rPr>
                <w:rFonts w:hint="eastAsia" w:ascii="宋体" w:hAnsi="宋体"/>
                <w:szCs w:val="21"/>
              </w:rPr>
            </w:pPr>
          </w:p>
        </w:tc>
      </w:tr>
      <w:tr w14:paraId="536B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4433B57">
            <w:pPr>
              <w:jc w:val="center"/>
              <w:rPr>
                <w:rFonts w:hint="eastAsia" w:ascii="宋体" w:hAnsi="宋体"/>
                <w:szCs w:val="21"/>
              </w:rPr>
            </w:pPr>
          </w:p>
        </w:tc>
        <w:tc>
          <w:tcPr>
            <w:tcW w:w="1418" w:type="dxa"/>
            <w:noWrap w:val="0"/>
            <w:vAlign w:val="center"/>
          </w:tcPr>
          <w:p w14:paraId="22B53D25">
            <w:pPr>
              <w:jc w:val="center"/>
              <w:rPr>
                <w:rFonts w:hint="eastAsia" w:ascii="宋体" w:hAnsi="宋体"/>
                <w:szCs w:val="21"/>
              </w:rPr>
            </w:pPr>
          </w:p>
        </w:tc>
        <w:tc>
          <w:tcPr>
            <w:tcW w:w="1063" w:type="dxa"/>
            <w:noWrap w:val="0"/>
            <w:vAlign w:val="center"/>
          </w:tcPr>
          <w:p w14:paraId="2395171C">
            <w:pPr>
              <w:jc w:val="center"/>
              <w:rPr>
                <w:rFonts w:hint="eastAsia" w:ascii="宋体" w:hAnsi="宋体"/>
                <w:szCs w:val="21"/>
              </w:rPr>
            </w:pPr>
          </w:p>
        </w:tc>
        <w:tc>
          <w:tcPr>
            <w:tcW w:w="1063" w:type="dxa"/>
            <w:noWrap w:val="0"/>
            <w:vAlign w:val="center"/>
          </w:tcPr>
          <w:p w14:paraId="7B0A6A69">
            <w:pPr>
              <w:jc w:val="center"/>
              <w:rPr>
                <w:rFonts w:hint="eastAsia" w:ascii="宋体" w:hAnsi="宋体"/>
                <w:szCs w:val="21"/>
              </w:rPr>
            </w:pPr>
          </w:p>
        </w:tc>
        <w:tc>
          <w:tcPr>
            <w:tcW w:w="1063" w:type="dxa"/>
            <w:noWrap w:val="0"/>
            <w:vAlign w:val="center"/>
          </w:tcPr>
          <w:p w14:paraId="47F6FA91">
            <w:pPr>
              <w:jc w:val="center"/>
              <w:rPr>
                <w:rFonts w:hint="eastAsia" w:ascii="宋体" w:hAnsi="宋体"/>
                <w:szCs w:val="21"/>
              </w:rPr>
            </w:pPr>
          </w:p>
        </w:tc>
        <w:tc>
          <w:tcPr>
            <w:tcW w:w="1063" w:type="dxa"/>
            <w:noWrap w:val="0"/>
            <w:vAlign w:val="center"/>
          </w:tcPr>
          <w:p w14:paraId="52EBEDE8">
            <w:pPr>
              <w:jc w:val="center"/>
              <w:rPr>
                <w:rFonts w:hint="eastAsia" w:ascii="宋体" w:hAnsi="宋体"/>
                <w:szCs w:val="21"/>
              </w:rPr>
            </w:pPr>
          </w:p>
        </w:tc>
        <w:tc>
          <w:tcPr>
            <w:tcW w:w="1063" w:type="dxa"/>
            <w:noWrap w:val="0"/>
            <w:vAlign w:val="center"/>
          </w:tcPr>
          <w:p w14:paraId="0D649DC1">
            <w:pPr>
              <w:jc w:val="center"/>
              <w:rPr>
                <w:rFonts w:hint="eastAsia" w:ascii="宋体" w:hAnsi="宋体"/>
                <w:szCs w:val="21"/>
              </w:rPr>
            </w:pPr>
          </w:p>
        </w:tc>
        <w:tc>
          <w:tcPr>
            <w:tcW w:w="1063" w:type="dxa"/>
            <w:noWrap w:val="0"/>
            <w:vAlign w:val="center"/>
          </w:tcPr>
          <w:p w14:paraId="4FE757A2">
            <w:pPr>
              <w:jc w:val="center"/>
              <w:rPr>
                <w:rFonts w:hint="eastAsia" w:ascii="宋体" w:hAnsi="宋体"/>
                <w:szCs w:val="21"/>
              </w:rPr>
            </w:pPr>
          </w:p>
        </w:tc>
      </w:tr>
      <w:tr w14:paraId="60A6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D0C7A49">
            <w:pPr>
              <w:jc w:val="center"/>
              <w:rPr>
                <w:rFonts w:hint="eastAsia" w:ascii="宋体" w:hAnsi="宋体"/>
                <w:szCs w:val="21"/>
              </w:rPr>
            </w:pPr>
          </w:p>
        </w:tc>
        <w:tc>
          <w:tcPr>
            <w:tcW w:w="1418" w:type="dxa"/>
            <w:noWrap w:val="0"/>
            <w:vAlign w:val="center"/>
          </w:tcPr>
          <w:p w14:paraId="3DDA5A78">
            <w:pPr>
              <w:jc w:val="center"/>
              <w:rPr>
                <w:rFonts w:hint="eastAsia" w:ascii="宋体" w:hAnsi="宋体"/>
                <w:szCs w:val="21"/>
              </w:rPr>
            </w:pPr>
          </w:p>
        </w:tc>
        <w:tc>
          <w:tcPr>
            <w:tcW w:w="1063" w:type="dxa"/>
            <w:noWrap w:val="0"/>
            <w:vAlign w:val="center"/>
          </w:tcPr>
          <w:p w14:paraId="31629C63">
            <w:pPr>
              <w:jc w:val="center"/>
              <w:rPr>
                <w:rFonts w:hint="eastAsia" w:ascii="宋体" w:hAnsi="宋体"/>
                <w:szCs w:val="21"/>
              </w:rPr>
            </w:pPr>
          </w:p>
        </w:tc>
        <w:tc>
          <w:tcPr>
            <w:tcW w:w="1063" w:type="dxa"/>
            <w:noWrap w:val="0"/>
            <w:vAlign w:val="center"/>
          </w:tcPr>
          <w:p w14:paraId="2ECBA500">
            <w:pPr>
              <w:jc w:val="center"/>
              <w:rPr>
                <w:rFonts w:hint="eastAsia" w:ascii="宋体" w:hAnsi="宋体"/>
                <w:szCs w:val="21"/>
              </w:rPr>
            </w:pPr>
          </w:p>
        </w:tc>
        <w:tc>
          <w:tcPr>
            <w:tcW w:w="1063" w:type="dxa"/>
            <w:noWrap w:val="0"/>
            <w:vAlign w:val="center"/>
          </w:tcPr>
          <w:p w14:paraId="525DC0A8">
            <w:pPr>
              <w:jc w:val="center"/>
              <w:rPr>
                <w:rFonts w:hint="eastAsia" w:ascii="宋体" w:hAnsi="宋体"/>
                <w:szCs w:val="21"/>
              </w:rPr>
            </w:pPr>
          </w:p>
        </w:tc>
        <w:tc>
          <w:tcPr>
            <w:tcW w:w="1063" w:type="dxa"/>
            <w:noWrap w:val="0"/>
            <w:vAlign w:val="center"/>
          </w:tcPr>
          <w:p w14:paraId="171C5CBF">
            <w:pPr>
              <w:jc w:val="center"/>
              <w:rPr>
                <w:rFonts w:hint="eastAsia" w:ascii="宋体" w:hAnsi="宋体"/>
                <w:szCs w:val="21"/>
              </w:rPr>
            </w:pPr>
          </w:p>
        </w:tc>
        <w:tc>
          <w:tcPr>
            <w:tcW w:w="1063" w:type="dxa"/>
            <w:noWrap w:val="0"/>
            <w:vAlign w:val="center"/>
          </w:tcPr>
          <w:p w14:paraId="3027F31C">
            <w:pPr>
              <w:jc w:val="center"/>
              <w:rPr>
                <w:rFonts w:hint="eastAsia" w:ascii="宋体" w:hAnsi="宋体"/>
                <w:szCs w:val="21"/>
              </w:rPr>
            </w:pPr>
          </w:p>
        </w:tc>
        <w:tc>
          <w:tcPr>
            <w:tcW w:w="1063" w:type="dxa"/>
            <w:noWrap w:val="0"/>
            <w:vAlign w:val="center"/>
          </w:tcPr>
          <w:p w14:paraId="67E1ED29">
            <w:pPr>
              <w:jc w:val="center"/>
              <w:rPr>
                <w:rFonts w:hint="eastAsia" w:ascii="宋体" w:hAnsi="宋体"/>
                <w:szCs w:val="21"/>
              </w:rPr>
            </w:pPr>
          </w:p>
        </w:tc>
      </w:tr>
      <w:tr w14:paraId="3E0FA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8C46C30">
            <w:pPr>
              <w:jc w:val="center"/>
              <w:rPr>
                <w:rFonts w:hint="eastAsia" w:ascii="宋体" w:hAnsi="宋体"/>
                <w:szCs w:val="21"/>
              </w:rPr>
            </w:pPr>
          </w:p>
        </w:tc>
        <w:tc>
          <w:tcPr>
            <w:tcW w:w="1418" w:type="dxa"/>
            <w:noWrap w:val="0"/>
            <w:vAlign w:val="center"/>
          </w:tcPr>
          <w:p w14:paraId="06515878">
            <w:pPr>
              <w:jc w:val="center"/>
              <w:rPr>
                <w:rFonts w:hint="eastAsia" w:ascii="宋体" w:hAnsi="宋体"/>
                <w:szCs w:val="21"/>
              </w:rPr>
            </w:pPr>
          </w:p>
        </w:tc>
        <w:tc>
          <w:tcPr>
            <w:tcW w:w="1063" w:type="dxa"/>
            <w:noWrap w:val="0"/>
            <w:vAlign w:val="center"/>
          </w:tcPr>
          <w:p w14:paraId="3925B7AC">
            <w:pPr>
              <w:jc w:val="center"/>
              <w:rPr>
                <w:rFonts w:hint="eastAsia" w:ascii="宋体" w:hAnsi="宋体"/>
                <w:szCs w:val="21"/>
              </w:rPr>
            </w:pPr>
          </w:p>
        </w:tc>
        <w:tc>
          <w:tcPr>
            <w:tcW w:w="1063" w:type="dxa"/>
            <w:noWrap w:val="0"/>
            <w:vAlign w:val="center"/>
          </w:tcPr>
          <w:p w14:paraId="24DBCEE3">
            <w:pPr>
              <w:jc w:val="center"/>
              <w:rPr>
                <w:rFonts w:hint="eastAsia" w:ascii="宋体" w:hAnsi="宋体"/>
                <w:szCs w:val="21"/>
              </w:rPr>
            </w:pPr>
          </w:p>
        </w:tc>
        <w:tc>
          <w:tcPr>
            <w:tcW w:w="1063" w:type="dxa"/>
            <w:noWrap w:val="0"/>
            <w:vAlign w:val="center"/>
          </w:tcPr>
          <w:p w14:paraId="0ABE44CE">
            <w:pPr>
              <w:jc w:val="center"/>
              <w:rPr>
                <w:rFonts w:hint="eastAsia" w:ascii="宋体" w:hAnsi="宋体"/>
                <w:szCs w:val="21"/>
              </w:rPr>
            </w:pPr>
          </w:p>
        </w:tc>
        <w:tc>
          <w:tcPr>
            <w:tcW w:w="1063" w:type="dxa"/>
            <w:noWrap w:val="0"/>
            <w:vAlign w:val="center"/>
          </w:tcPr>
          <w:p w14:paraId="1A1B0946">
            <w:pPr>
              <w:jc w:val="center"/>
              <w:rPr>
                <w:rFonts w:hint="eastAsia" w:ascii="宋体" w:hAnsi="宋体"/>
                <w:szCs w:val="21"/>
              </w:rPr>
            </w:pPr>
          </w:p>
        </w:tc>
        <w:tc>
          <w:tcPr>
            <w:tcW w:w="1063" w:type="dxa"/>
            <w:noWrap w:val="0"/>
            <w:vAlign w:val="center"/>
          </w:tcPr>
          <w:p w14:paraId="74B86548">
            <w:pPr>
              <w:jc w:val="center"/>
              <w:rPr>
                <w:rFonts w:hint="eastAsia" w:ascii="宋体" w:hAnsi="宋体"/>
                <w:szCs w:val="21"/>
              </w:rPr>
            </w:pPr>
          </w:p>
        </w:tc>
        <w:tc>
          <w:tcPr>
            <w:tcW w:w="1063" w:type="dxa"/>
            <w:noWrap w:val="0"/>
            <w:vAlign w:val="center"/>
          </w:tcPr>
          <w:p w14:paraId="30D263C5">
            <w:pPr>
              <w:jc w:val="center"/>
              <w:rPr>
                <w:rFonts w:hint="eastAsia" w:ascii="宋体" w:hAnsi="宋体"/>
                <w:szCs w:val="21"/>
              </w:rPr>
            </w:pPr>
          </w:p>
        </w:tc>
      </w:tr>
      <w:tr w14:paraId="6AEA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02FA9A9">
            <w:pPr>
              <w:jc w:val="center"/>
              <w:rPr>
                <w:rFonts w:hint="eastAsia" w:ascii="宋体" w:hAnsi="宋体"/>
                <w:szCs w:val="21"/>
              </w:rPr>
            </w:pPr>
          </w:p>
        </w:tc>
        <w:tc>
          <w:tcPr>
            <w:tcW w:w="1418" w:type="dxa"/>
            <w:noWrap w:val="0"/>
            <w:vAlign w:val="center"/>
          </w:tcPr>
          <w:p w14:paraId="7CE71E3F">
            <w:pPr>
              <w:jc w:val="center"/>
              <w:rPr>
                <w:rFonts w:hint="eastAsia" w:ascii="宋体" w:hAnsi="宋体"/>
                <w:szCs w:val="21"/>
              </w:rPr>
            </w:pPr>
          </w:p>
        </w:tc>
        <w:tc>
          <w:tcPr>
            <w:tcW w:w="1063" w:type="dxa"/>
            <w:noWrap w:val="0"/>
            <w:vAlign w:val="center"/>
          </w:tcPr>
          <w:p w14:paraId="4C0B4805">
            <w:pPr>
              <w:jc w:val="center"/>
              <w:rPr>
                <w:rFonts w:hint="eastAsia" w:ascii="宋体" w:hAnsi="宋体"/>
                <w:szCs w:val="21"/>
              </w:rPr>
            </w:pPr>
          </w:p>
        </w:tc>
        <w:tc>
          <w:tcPr>
            <w:tcW w:w="1063" w:type="dxa"/>
            <w:noWrap w:val="0"/>
            <w:vAlign w:val="center"/>
          </w:tcPr>
          <w:p w14:paraId="023ABA7C">
            <w:pPr>
              <w:jc w:val="center"/>
              <w:rPr>
                <w:rFonts w:hint="eastAsia" w:ascii="宋体" w:hAnsi="宋体"/>
                <w:szCs w:val="21"/>
              </w:rPr>
            </w:pPr>
          </w:p>
        </w:tc>
        <w:tc>
          <w:tcPr>
            <w:tcW w:w="1063" w:type="dxa"/>
            <w:noWrap w:val="0"/>
            <w:vAlign w:val="center"/>
          </w:tcPr>
          <w:p w14:paraId="76039954">
            <w:pPr>
              <w:jc w:val="center"/>
              <w:rPr>
                <w:rFonts w:hint="eastAsia" w:ascii="宋体" w:hAnsi="宋体"/>
                <w:szCs w:val="21"/>
              </w:rPr>
            </w:pPr>
          </w:p>
        </w:tc>
        <w:tc>
          <w:tcPr>
            <w:tcW w:w="1063" w:type="dxa"/>
            <w:noWrap w:val="0"/>
            <w:vAlign w:val="center"/>
          </w:tcPr>
          <w:p w14:paraId="4938B253">
            <w:pPr>
              <w:jc w:val="center"/>
              <w:rPr>
                <w:rFonts w:hint="eastAsia" w:ascii="宋体" w:hAnsi="宋体"/>
                <w:szCs w:val="21"/>
              </w:rPr>
            </w:pPr>
          </w:p>
        </w:tc>
        <w:tc>
          <w:tcPr>
            <w:tcW w:w="1063" w:type="dxa"/>
            <w:noWrap w:val="0"/>
            <w:vAlign w:val="center"/>
          </w:tcPr>
          <w:p w14:paraId="3FF5C125">
            <w:pPr>
              <w:jc w:val="center"/>
              <w:rPr>
                <w:rFonts w:hint="eastAsia" w:ascii="宋体" w:hAnsi="宋体"/>
                <w:szCs w:val="21"/>
              </w:rPr>
            </w:pPr>
          </w:p>
        </w:tc>
        <w:tc>
          <w:tcPr>
            <w:tcW w:w="1063" w:type="dxa"/>
            <w:noWrap w:val="0"/>
            <w:vAlign w:val="center"/>
          </w:tcPr>
          <w:p w14:paraId="1A9B3C1A">
            <w:pPr>
              <w:jc w:val="center"/>
              <w:rPr>
                <w:rFonts w:hint="eastAsia" w:ascii="宋体" w:hAnsi="宋体"/>
                <w:szCs w:val="21"/>
              </w:rPr>
            </w:pPr>
          </w:p>
        </w:tc>
      </w:tr>
      <w:tr w14:paraId="5987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ABA053E">
            <w:pPr>
              <w:jc w:val="center"/>
              <w:rPr>
                <w:rFonts w:hint="eastAsia" w:ascii="宋体" w:hAnsi="宋体"/>
                <w:szCs w:val="21"/>
              </w:rPr>
            </w:pPr>
          </w:p>
        </w:tc>
        <w:tc>
          <w:tcPr>
            <w:tcW w:w="1418" w:type="dxa"/>
            <w:noWrap w:val="0"/>
            <w:vAlign w:val="center"/>
          </w:tcPr>
          <w:p w14:paraId="61AA2283">
            <w:pPr>
              <w:jc w:val="center"/>
              <w:rPr>
                <w:rFonts w:hint="eastAsia" w:ascii="宋体" w:hAnsi="宋体"/>
                <w:szCs w:val="21"/>
              </w:rPr>
            </w:pPr>
          </w:p>
        </w:tc>
        <w:tc>
          <w:tcPr>
            <w:tcW w:w="1063" w:type="dxa"/>
            <w:noWrap w:val="0"/>
            <w:vAlign w:val="center"/>
          </w:tcPr>
          <w:p w14:paraId="3EFF408D">
            <w:pPr>
              <w:jc w:val="center"/>
              <w:rPr>
                <w:rFonts w:hint="eastAsia" w:ascii="宋体" w:hAnsi="宋体"/>
                <w:szCs w:val="21"/>
              </w:rPr>
            </w:pPr>
          </w:p>
        </w:tc>
        <w:tc>
          <w:tcPr>
            <w:tcW w:w="1063" w:type="dxa"/>
            <w:noWrap w:val="0"/>
            <w:vAlign w:val="center"/>
          </w:tcPr>
          <w:p w14:paraId="5F568BE3">
            <w:pPr>
              <w:jc w:val="center"/>
              <w:rPr>
                <w:rFonts w:hint="eastAsia" w:ascii="宋体" w:hAnsi="宋体"/>
                <w:szCs w:val="21"/>
              </w:rPr>
            </w:pPr>
          </w:p>
        </w:tc>
        <w:tc>
          <w:tcPr>
            <w:tcW w:w="1063" w:type="dxa"/>
            <w:noWrap w:val="0"/>
            <w:vAlign w:val="center"/>
          </w:tcPr>
          <w:p w14:paraId="1ABBE161">
            <w:pPr>
              <w:jc w:val="center"/>
              <w:rPr>
                <w:rFonts w:hint="eastAsia" w:ascii="宋体" w:hAnsi="宋体"/>
                <w:szCs w:val="21"/>
              </w:rPr>
            </w:pPr>
          </w:p>
        </w:tc>
        <w:tc>
          <w:tcPr>
            <w:tcW w:w="1063" w:type="dxa"/>
            <w:noWrap w:val="0"/>
            <w:vAlign w:val="center"/>
          </w:tcPr>
          <w:p w14:paraId="6CA2F880">
            <w:pPr>
              <w:jc w:val="center"/>
              <w:rPr>
                <w:rFonts w:hint="eastAsia" w:ascii="宋体" w:hAnsi="宋体"/>
                <w:szCs w:val="21"/>
              </w:rPr>
            </w:pPr>
          </w:p>
        </w:tc>
        <w:tc>
          <w:tcPr>
            <w:tcW w:w="1063" w:type="dxa"/>
            <w:noWrap w:val="0"/>
            <w:vAlign w:val="center"/>
          </w:tcPr>
          <w:p w14:paraId="140040FC">
            <w:pPr>
              <w:jc w:val="center"/>
              <w:rPr>
                <w:rFonts w:hint="eastAsia" w:ascii="宋体" w:hAnsi="宋体"/>
                <w:szCs w:val="21"/>
              </w:rPr>
            </w:pPr>
          </w:p>
        </w:tc>
        <w:tc>
          <w:tcPr>
            <w:tcW w:w="1063" w:type="dxa"/>
            <w:noWrap w:val="0"/>
            <w:vAlign w:val="center"/>
          </w:tcPr>
          <w:p w14:paraId="59B0119A">
            <w:pPr>
              <w:jc w:val="center"/>
              <w:rPr>
                <w:rFonts w:hint="eastAsia" w:ascii="宋体" w:hAnsi="宋体"/>
                <w:szCs w:val="21"/>
              </w:rPr>
            </w:pPr>
          </w:p>
        </w:tc>
      </w:tr>
      <w:tr w14:paraId="0F5B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0730984">
            <w:pPr>
              <w:jc w:val="center"/>
              <w:rPr>
                <w:rFonts w:hint="eastAsia" w:ascii="宋体" w:hAnsi="宋体"/>
                <w:szCs w:val="21"/>
              </w:rPr>
            </w:pPr>
          </w:p>
        </w:tc>
        <w:tc>
          <w:tcPr>
            <w:tcW w:w="1418" w:type="dxa"/>
            <w:noWrap w:val="0"/>
            <w:vAlign w:val="center"/>
          </w:tcPr>
          <w:p w14:paraId="6B7D6C73">
            <w:pPr>
              <w:jc w:val="center"/>
              <w:rPr>
                <w:rFonts w:hint="eastAsia" w:ascii="宋体" w:hAnsi="宋体"/>
                <w:szCs w:val="21"/>
              </w:rPr>
            </w:pPr>
          </w:p>
        </w:tc>
        <w:tc>
          <w:tcPr>
            <w:tcW w:w="1063" w:type="dxa"/>
            <w:noWrap w:val="0"/>
            <w:vAlign w:val="center"/>
          </w:tcPr>
          <w:p w14:paraId="60E6C5CF">
            <w:pPr>
              <w:jc w:val="center"/>
              <w:rPr>
                <w:rFonts w:hint="eastAsia" w:ascii="宋体" w:hAnsi="宋体"/>
                <w:szCs w:val="21"/>
              </w:rPr>
            </w:pPr>
          </w:p>
        </w:tc>
        <w:tc>
          <w:tcPr>
            <w:tcW w:w="1063" w:type="dxa"/>
            <w:noWrap w:val="0"/>
            <w:vAlign w:val="center"/>
          </w:tcPr>
          <w:p w14:paraId="13FEA5DD">
            <w:pPr>
              <w:jc w:val="center"/>
              <w:rPr>
                <w:rFonts w:hint="eastAsia" w:ascii="宋体" w:hAnsi="宋体"/>
                <w:szCs w:val="21"/>
              </w:rPr>
            </w:pPr>
          </w:p>
        </w:tc>
        <w:tc>
          <w:tcPr>
            <w:tcW w:w="1063" w:type="dxa"/>
            <w:noWrap w:val="0"/>
            <w:vAlign w:val="center"/>
          </w:tcPr>
          <w:p w14:paraId="1B6307CA">
            <w:pPr>
              <w:jc w:val="center"/>
              <w:rPr>
                <w:rFonts w:hint="eastAsia" w:ascii="宋体" w:hAnsi="宋体"/>
                <w:szCs w:val="21"/>
              </w:rPr>
            </w:pPr>
          </w:p>
        </w:tc>
        <w:tc>
          <w:tcPr>
            <w:tcW w:w="1063" w:type="dxa"/>
            <w:noWrap w:val="0"/>
            <w:vAlign w:val="center"/>
          </w:tcPr>
          <w:p w14:paraId="5179E08D">
            <w:pPr>
              <w:jc w:val="center"/>
              <w:rPr>
                <w:rFonts w:hint="eastAsia" w:ascii="宋体" w:hAnsi="宋体"/>
                <w:szCs w:val="21"/>
              </w:rPr>
            </w:pPr>
          </w:p>
        </w:tc>
        <w:tc>
          <w:tcPr>
            <w:tcW w:w="1063" w:type="dxa"/>
            <w:noWrap w:val="0"/>
            <w:vAlign w:val="center"/>
          </w:tcPr>
          <w:p w14:paraId="376A879B">
            <w:pPr>
              <w:jc w:val="center"/>
              <w:rPr>
                <w:rFonts w:hint="eastAsia" w:ascii="宋体" w:hAnsi="宋体"/>
                <w:szCs w:val="21"/>
              </w:rPr>
            </w:pPr>
          </w:p>
        </w:tc>
        <w:tc>
          <w:tcPr>
            <w:tcW w:w="1063" w:type="dxa"/>
            <w:noWrap w:val="0"/>
            <w:vAlign w:val="center"/>
          </w:tcPr>
          <w:p w14:paraId="2823D07E">
            <w:pPr>
              <w:jc w:val="center"/>
              <w:rPr>
                <w:rFonts w:hint="eastAsia" w:ascii="宋体" w:hAnsi="宋体"/>
                <w:szCs w:val="21"/>
              </w:rPr>
            </w:pPr>
          </w:p>
        </w:tc>
      </w:tr>
    </w:tbl>
    <w:p w14:paraId="0E7A1B1B">
      <w:pPr>
        <w:spacing w:line="420" w:lineRule="exact"/>
        <w:rPr>
          <w:rFonts w:hint="eastAsia" w:ascii="宋体" w:hAnsi="宋体"/>
          <w:szCs w:val="21"/>
        </w:rPr>
      </w:pPr>
    </w:p>
    <w:p w14:paraId="00155136">
      <w:pPr>
        <w:spacing w:line="420" w:lineRule="exact"/>
        <w:rPr>
          <w:rFonts w:hint="eastAsia" w:ascii="宋体" w:hAnsi="宋体"/>
          <w:szCs w:val="21"/>
        </w:rPr>
      </w:pPr>
    </w:p>
    <w:p w14:paraId="2B21DB8F">
      <w:pPr>
        <w:pStyle w:val="20"/>
        <w:rPr>
          <w:rFonts w:hint="eastAsia" w:ascii="黑体" w:hAnsi="宋体"/>
        </w:rPr>
      </w:pPr>
      <w:bookmarkStart w:id="2685" w:name="_Toc108514267"/>
      <w:r>
        <w:rPr>
          <w:rFonts w:hint="eastAsia"/>
          <w:szCs w:val="24"/>
        </w:rPr>
        <w:t>附表四：计划开、竣工日期和施工进度网络图</w:t>
      </w:r>
      <w:bookmarkEnd w:id="2685"/>
    </w:p>
    <w:p w14:paraId="2D3D4111">
      <w:pPr>
        <w:spacing w:line="420" w:lineRule="exact"/>
        <w:ind w:firstLine="420" w:firstLineChars="200"/>
        <w:rPr>
          <w:rFonts w:hint="eastAsia" w:ascii="宋体" w:hAnsi="宋体"/>
          <w:szCs w:val="21"/>
        </w:rPr>
      </w:pPr>
      <w:r>
        <w:rPr>
          <w:rFonts w:hint="eastAsia" w:ascii="宋体" w:hAnsi="宋体"/>
          <w:szCs w:val="21"/>
        </w:rPr>
        <w:t>1．投标人应递交施工进度网络图或施工进度表，说明按招标文件要求的计划工期进行施工的各个关键日期。</w:t>
      </w:r>
    </w:p>
    <w:p w14:paraId="6F8BDE55">
      <w:pPr>
        <w:spacing w:line="420" w:lineRule="exact"/>
        <w:ind w:firstLine="420" w:firstLineChars="200"/>
        <w:rPr>
          <w:rFonts w:hint="eastAsia" w:ascii="宋体" w:hAnsi="宋体"/>
          <w:szCs w:val="21"/>
        </w:rPr>
      </w:pPr>
      <w:r>
        <w:rPr>
          <w:rFonts w:hint="eastAsia" w:ascii="宋体" w:hAnsi="宋体"/>
          <w:szCs w:val="21"/>
        </w:rPr>
        <w:t>2．施工进度表可采用网络图和（或）横道图表示。</w:t>
      </w:r>
    </w:p>
    <w:p w14:paraId="1D555BA3">
      <w:pPr>
        <w:spacing w:line="420" w:lineRule="exact"/>
        <w:ind w:firstLine="420" w:firstLineChars="200"/>
        <w:rPr>
          <w:rFonts w:hint="eastAsia" w:ascii="宋体" w:hAnsi="宋体"/>
          <w:szCs w:val="21"/>
        </w:rPr>
      </w:pPr>
    </w:p>
    <w:p w14:paraId="07136DBB">
      <w:pPr>
        <w:spacing w:line="420" w:lineRule="exact"/>
        <w:ind w:firstLine="420" w:firstLineChars="200"/>
        <w:rPr>
          <w:rFonts w:hint="eastAsia" w:ascii="宋体" w:hAnsi="宋体"/>
          <w:szCs w:val="21"/>
        </w:rPr>
      </w:pPr>
    </w:p>
    <w:p w14:paraId="47D1DE11">
      <w:pPr>
        <w:spacing w:line="420" w:lineRule="exact"/>
        <w:ind w:firstLine="420" w:firstLineChars="200"/>
        <w:rPr>
          <w:rFonts w:hint="eastAsia" w:ascii="宋体" w:hAnsi="宋体"/>
          <w:szCs w:val="21"/>
        </w:rPr>
      </w:pPr>
    </w:p>
    <w:p w14:paraId="6851F622">
      <w:pPr>
        <w:spacing w:line="420" w:lineRule="exact"/>
        <w:ind w:firstLine="420" w:firstLineChars="200"/>
        <w:rPr>
          <w:rFonts w:hint="eastAsia" w:ascii="宋体" w:hAnsi="宋体"/>
          <w:szCs w:val="21"/>
        </w:rPr>
      </w:pPr>
    </w:p>
    <w:p w14:paraId="78F8CC7C">
      <w:pPr>
        <w:spacing w:line="420" w:lineRule="exact"/>
        <w:ind w:firstLine="420" w:firstLineChars="200"/>
        <w:rPr>
          <w:rFonts w:hint="eastAsia" w:ascii="宋体" w:hAnsi="宋体"/>
          <w:szCs w:val="21"/>
        </w:rPr>
      </w:pPr>
    </w:p>
    <w:p w14:paraId="525ABBA6">
      <w:pPr>
        <w:spacing w:line="420" w:lineRule="exact"/>
        <w:ind w:firstLine="420" w:firstLineChars="200"/>
        <w:rPr>
          <w:rFonts w:hint="eastAsia" w:ascii="宋体" w:hAnsi="宋体"/>
          <w:szCs w:val="21"/>
        </w:rPr>
      </w:pPr>
    </w:p>
    <w:p w14:paraId="6E50FD15">
      <w:pPr>
        <w:spacing w:line="420" w:lineRule="exact"/>
        <w:ind w:firstLine="420" w:firstLineChars="200"/>
        <w:rPr>
          <w:rFonts w:hint="eastAsia" w:ascii="宋体" w:hAnsi="宋体"/>
          <w:szCs w:val="21"/>
        </w:rPr>
      </w:pPr>
    </w:p>
    <w:p w14:paraId="49D71580">
      <w:pPr>
        <w:spacing w:line="420" w:lineRule="exact"/>
        <w:ind w:firstLine="420" w:firstLineChars="200"/>
        <w:rPr>
          <w:rFonts w:hint="eastAsia" w:ascii="宋体" w:hAnsi="宋体"/>
          <w:szCs w:val="21"/>
        </w:rPr>
      </w:pPr>
    </w:p>
    <w:p w14:paraId="146BA2E6">
      <w:pPr>
        <w:spacing w:line="420" w:lineRule="exact"/>
        <w:ind w:firstLine="420" w:firstLineChars="200"/>
        <w:rPr>
          <w:rFonts w:hint="eastAsia" w:ascii="宋体" w:hAnsi="宋体"/>
          <w:szCs w:val="21"/>
        </w:rPr>
      </w:pPr>
    </w:p>
    <w:p w14:paraId="5F93E780">
      <w:pPr>
        <w:spacing w:line="420" w:lineRule="exact"/>
        <w:ind w:firstLine="420" w:firstLineChars="200"/>
        <w:rPr>
          <w:rFonts w:hint="eastAsia" w:ascii="宋体" w:hAnsi="宋体"/>
          <w:szCs w:val="21"/>
        </w:rPr>
      </w:pPr>
    </w:p>
    <w:p w14:paraId="5F42436A">
      <w:pPr>
        <w:spacing w:line="420" w:lineRule="exact"/>
        <w:ind w:firstLine="420" w:firstLineChars="200"/>
        <w:rPr>
          <w:rFonts w:hint="eastAsia" w:ascii="宋体" w:hAnsi="宋体"/>
          <w:szCs w:val="21"/>
        </w:rPr>
      </w:pPr>
    </w:p>
    <w:p w14:paraId="4185D74B">
      <w:pPr>
        <w:spacing w:line="420" w:lineRule="exact"/>
        <w:ind w:firstLine="420" w:firstLineChars="200"/>
        <w:rPr>
          <w:rFonts w:hint="eastAsia" w:ascii="宋体" w:hAnsi="宋体"/>
          <w:szCs w:val="21"/>
        </w:rPr>
      </w:pPr>
    </w:p>
    <w:p w14:paraId="7A1773FB">
      <w:pPr>
        <w:spacing w:line="420" w:lineRule="exact"/>
        <w:ind w:firstLine="420" w:firstLineChars="200"/>
        <w:rPr>
          <w:rFonts w:hint="eastAsia" w:ascii="宋体" w:hAnsi="宋体"/>
          <w:szCs w:val="21"/>
        </w:rPr>
      </w:pPr>
    </w:p>
    <w:p w14:paraId="625611FD">
      <w:pPr>
        <w:spacing w:line="420" w:lineRule="exact"/>
        <w:ind w:firstLine="420" w:firstLineChars="200"/>
        <w:rPr>
          <w:rFonts w:hint="eastAsia" w:ascii="宋体" w:hAnsi="宋体"/>
          <w:szCs w:val="21"/>
        </w:rPr>
      </w:pPr>
    </w:p>
    <w:p w14:paraId="2E2C3559">
      <w:pPr>
        <w:spacing w:line="420" w:lineRule="exact"/>
        <w:ind w:firstLine="420" w:firstLineChars="200"/>
        <w:rPr>
          <w:rFonts w:hint="eastAsia" w:ascii="宋体" w:hAnsi="宋体"/>
          <w:szCs w:val="21"/>
        </w:rPr>
      </w:pPr>
    </w:p>
    <w:p w14:paraId="3737FD14">
      <w:pPr>
        <w:spacing w:line="420" w:lineRule="exact"/>
        <w:ind w:firstLine="420" w:firstLineChars="200"/>
        <w:rPr>
          <w:rFonts w:hint="eastAsia" w:ascii="宋体" w:hAnsi="宋体"/>
          <w:szCs w:val="21"/>
        </w:rPr>
      </w:pPr>
    </w:p>
    <w:p w14:paraId="2AFB1D81">
      <w:pPr>
        <w:spacing w:line="420" w:lineRule="exact"/>
        <w:ind w:firstLine="420" w:firstLineChars="200"/>
        <w:rPr>
          <w:rFonts w:hint="eastAsia" w:ascii="宋体" w:hAnsi="宋体"/>
          <w:szCs w:val="21"/>
        </w:rPr>
      </w:pPr>
    </w:p>
    <w:p w14:paraId="10842392">
      <w:pPr>
        <w:spacing w:line="420" w:lineRule="exact"/>
        <w:ind w:firstLine="420" w:firstLineChars="200"/>
        <w:rPr>
          <w:rFonts w:hint="eastAsia" w:ascii="宋体" w:hAnsi="宋体"/>
          <w:szCs w:val="21"/>
        </w:rPr>
      </w:pPr>
    </w:p>
    <w:p w14:paraId="3BE702C8">
      <w:pPr>
        <w:spacing w:line="420" w:lineRule="exact"/>
        <w:ind w:firstLine="420" w:firstLineChars="200"/>
        <w:rPr>
          <w:rFonts w:hint="eastAsia" w:ascii="宋体" w:hAnsi="宋体"/>
          <w:szCs w:val="21"/>
        </w:rPr>
      </w:pPr>
    </w:p>
    <w:p w14:paraId="3DC65A34">
      <w:pPr>
        <w:spacing w:line="420" w:lineRule="exact"/>
        <w:ind w:firstLine="420" w:firstLineChars="200"/>
        <w:rPr>
          <w:rFonts w:hint="eastAsia" w:ascii="宋体" w:hAnsi="宋体"/>
          <w:szCs w:val="21"/>
        </w:rPr>
      </w:pPr>
    </w:p>
    <w:p w14:paraId="51F8C0A5">
      <w:pPr>
        <w:spacing w:line="420" w:lineRule="exact"/>
        <w:ind w:firstLine="420" w:firstLineChars="200"/>
        <w:rPr>
          <w:rFonts w:hint="eastAsia" w:ascii="宋体" w:hAnsi="宋体"/>
          <w:szCs w:val="21"/>
        </w:rPr>
      </w:pPr>
    </w:p>
    <w:p w14:paraId="5091CCB8">
      <w:pPr>
        <w:spacing w:line="420" w:lineRule="exact"/>
        <w:ind w:firstLine="420" w:firstLineChars="200"/>
        <w:rPr>
          <w:rFonts w:hint="eastAsia" w:ascii="宋体" w:hAnsi="宋体"/>
          <w:szCs w:val="21"/>
        </w:rPr>
      </w:pPr>
    </w:p>
    <w:p w14:paraId="1A99F964">
      <w:pPr>
        <w:spacing w:line="420" w:lineRule="exact"/>
        <w:ind w:firstLine="420" w:firstLineChars="200"/>
        <w:rPr>
          <w:rFonts w:hint="eastAsia" w:ascii="宋体" w:hAnsi="宋体"/>
          <w:szCs w:val="21"/>
        </w:rPr>
      </w:pPr>
    </w:p>
    <w:p w14:paraId="6A13B0F2">
      <w:pPr>
        <w:spacing w:line="420" w:lineRule="exact"/>
        <w:ind w:firstLine="420" w:firstLineChars="200"/>
        <w:rPr>
          <w:rFonts w:hint="eastAsia" w:ascii="宋体" w:hAnsi="宋体"/>
          <w:szCs w:val="21"/>
        </w:rPr>
      </w:pPr>
    </w:p>
    <w:p w14:paraId="5AC442AA">
      <w:pPr>
        <w:spacing w:line="420" w:lineRule="exact"/>
        <w:ind w:firstLine="420" w:firstLineChars="200"/>
        <w:rPr>
          <w:rFonts w:hint="eastAsia" w:ascii="宋体" w:hAnsi="宋体"/>
          <w:szCs w:val="21"/>
        </w:rPr>
      </w:pPr>
    </w:p>
    <w:p w14:paraId="77B55B64">
      <w:pPr>
        <w:spacing w:line="420" w:lineRule="exact"/>
        <w:ind w:firstLine="420" w:firstLineChars="200"/>
        <w:rPr>
          <w:rFonts w:hint="eastAsia" w:ascii="宋体" w:hAnsi="宋体"/>
          <w:szCs w:val="21"/>
        </w:rPr>
      </w:pPr>
    </w:p>
    <w:p w14:paraId="4B0AA988">
      <w:pPr>
        <w:spacing w:line="420" w:lineRule="exact"/>
        <w:ind w:firstLine="420" w:firstLineChars="200"/>
        <w:rPr>
          <w:rFonts w:hint="eastAsia" w:ascii="宋体" w:hAnsi="宋体"/>
          <w:szCs w:val="21"/>
        </w:rPr>
      </w:pPr>
    </w:p>
    <w:p w14:paraId="4BD98836">
      <w:pPr>
        <w:spacing w:line="420" w:lineRule="exact"/>
        <w:ind w:firstLine="420" w:firstLineChars="200"/>
        <w:rPr>
          <w:rFonts w:hint="eastAsia" w:ascii="宋体" w:hAnsi="宋体"/>
          <w:szCs w:val="21"/>
        </w:rPr>
      </w:pPr>
    </w:p>
    <w:p w14:paraId="4806FC53">
      <w:pPr>
        <w:pStyle w:val="20"/>
        <w:rPr>
          <w:rFonts w:hint="eastAsia" w:ascii="宋体" w:hAnsi="宋体"/>
          <w:szCs w:val="21"/>
        </w:rPr>
      </w:pPr>
      <w:bookmarkStart w:id="2686" w:name="_Toc108514268"/>
      <w:r>
        <w:rPr>
          <w:rFonts w:hint="eastAsia"/>
          <w:szCs w:val="24"/>
        </w:rPr>
        <w:t>附表五：施工总平面图</w:t>
      </w:r>
      <w:bookmarkEnd w:id="2686"/>
    </w:p>
    <w:p w14:paraId="569FAE88">
      <w:pPr>
        <w:spacing w:line="420" w:lineRule="exact"/>
        <w:ind w:firstLine="420" w:firstLineChars="200"/>
        <w:rPr>
          <w:rFonts w:hint="eastAsia" w:ascii="宋体" w:hAnsi="宋体"/>
          <w:szCs w:val="21"/>
        </w:rPr>
      </w:pPr>
      <w:r>
        <w:rPr>
          <w:rFonts w:hint="eastAsia" w:ascii="宋体" w:hAnsi="宋体"/>
          <w:szCs w:val="21"/>
        </w:rPr>
        <w:t>投标人应递交一份施工总平面图，绘出现场临时设施布置图表并附文字说明，说明临时设施、加工车间、现场办公、设备及仓储、供电、供水、卫生、生活、道路、消防等设施的情况和布置。</w:t>
      </w:r>
    </w:p>
    <w:p w14:paraId="4AF5256E">
      <w:pPr>
        <w:spacing w:line="420" w:lineRule="exact"/>
        <w:ind w:firstLine="420" w:firstLineChars="200"/>
        <w:rPr>
          <w:rFonts w:hint="eastAsia" w:ascii="宋体" w:hAnsi="宋体"/>
          <w:szCs w:val="21"/>
        </w:rPr>
      </w:pPr>
    </w:p>
    <w:p w14:paraId="6C49ABA8">
      <w:pPr>
        <w:spacing w:line="420" w:lineRule="exact"/>
        <w:ind w:firstLine="420" w:firstLineChars="200"/>
        <w:rPr>
          <w:rFonts w:hint="eastAsia" w:ascii="宋体" w:hAnsi="宋体"/>
          <w:szCs w:val="21"/>
        </w:rPr>
      </w:pPr>
    </w:p>
    <w:p w14:paraId="3E60B9FA">
      <w:pPr>
        <w:spacing w:line="420" w:lineRule="exact"/>
        <w:ind w:firstLine="420" w:firstLineChars="200"/>
        <w:rPr>
          <w:rFonts w:hint="eastAsia" w:ascii="宋体" w:hAnsi="宋体"/>
          <w:szCs w:val="21"/>
        </w:rPr>
      </w:pPr>
    </w:p>
    <w:p w14:paraId="1C5DFE2C">
      <w:pPr>
        <w:spacing w:line="420" w:lineRule="exact"/>
        <w:ind w:firstLine="420" w:firstLineChars="200"/>
        <w:rPr>
          <w:rFonts w:hint="eastAsia" w:ascii="宋体" w:hAnsi="宋体"/>
          <w:szCs w:val="21"/>
        </w:rPr>
      </w:pPr>
    </w:p>
    <w:p w14:paraId="515269CD">
      <w:pPr>
        <w:spacing w:line="420" w:lineRule="exact"/>
        <w:ind w:firstLine="420" w:firstLineChars="200"/>
        <w:rPr>
          <w:rFonts w:hint="eastAsia" w:ascii="宋体" w:hAnsi="宋体"/>
          <w:szCs w:val="21"/>
        </w:rPr>
      </w:pPr>
    </w:p>
    <w:p w14:paraId="69A8FA77">
      <w:pPr>
        <w:spacing w:line="420" w:lineRule="exact"/>
        <w:ind w:firstLine="420" w:firstLineChars="200"/>
        <w:rPr>
          <w:rFonts w:hint="eastAsia" w:ascii="宋体" w:hAnsi="宋体"/>
          <w:szCs w:val="21"/>
        </w:rPr>
      </w:pPr>
    </w:p>
    <w:p w14:paraId="59050FAD">
      <w:pPr>
        <w:spacing w:line="420" w:lineRule="exact"/>
        <w:ind w:firstLine="420" w:firstLineChars="200"/>
        <w:rPr>
          <w:rFonts w:hint="eastAsia" w:ascii="宋体" w:hAnsi="宋体"/>
          <w:szCs w:val="21"/>
        </w:rPr>
      </w:pPr>
    </w:p>
    <w:p w14:paraId="4746E7C8">
      <w:pPr>
        <w:spacing w:line="420" w:lineRule="exact"/>
        <w:ind w:firstLine="420" w:firstLineChars="200"/>
        <w:rPr>
          <w:rFonts w:hint="eastAsia" w:ascii="宋体" w:hAnsi="宋体"/>
          <w:szCs w:val="21"/>
        </w:rPr>
      </w:pPr>
    </w:p>
    <w:p w14:paraId="43573013">
      <w:pPr>
        <w:spacing w:line="420" w:lineRule="exact"/>
        <w:ind w:firstLine="420" w:firstLineChars="200"/>
        <w:rPr>
          <w:rFonts w:hint="eastAsia" w:ascii="宋体" w:hAnsi="宋体"/>
          <w:szCs w:val="21"/>
        </w:rPr>
      </w:pPr>
    </w:p>
    <w:p w14:paraId="6CA6F578">
      <w:pPr>
        <w:spacing w:line="420" w:lineRule="exact"/>
        <w:ind w:firstLine="420" w:firstLineChars="200"/>
        <w:rPr>
          <w:rFonts w:hint="eastAsia" w:ascii="宋体" w:hAnsi="宋体"/>
          <w:szCs w:val="21"/>
        </w:rPr>
      </w:pPr>
    </w:p>
    <w:p w14:paraId="32A40673">
      <w:pPr>
        <w:spacing w:line="420" w:lineRule="exact"/>
        <w:ind w:firstLine="420" w:firstLineChars="200"/>
        <w:rPr>
          <w:rFonts w:hint="eastAsia" w:ascii="宋体" w:hAnsi="宋体"/>
          <w:szCs w:val="21"/>
        </w:rPr>
      </w:pPr>
    </w:p>
    <w:p w14:paraId="62DD06EB">
      <w:pPr>
        <w:spacing w:line="420" w:lineRule="exact"/>
        <w:ind w:firstLine="420" w:firstLineChars="200"/>
        <w:rPr>
          <w:rFonts w:hint="eastAsia" w:ascii="宋体" w:hAnsi="宋体"/>
          <w:szCs w:val="21"/>
        </w:rPr>
      </w:pPr>
    </w:p>
    <w:p w14:paraId="6FD73A2B">
      <w:pPr>
        <w:spacing w:line="420" w:lineRule="exact"/>
        <w:ind w:firstLine="420" w:firstLineChars="200"/>
        <w:rPr>
          <w:rFonts w:hint="eastAsia" w:ascii="宋体" w:hAnsi="宋体"/>
          <w:szCs w:val="21"/>
        </w:rPr>
      </w:pPr>
    </w:p>
    <w:p w14:paraId="324DAC3F">
      <w:pPr>
        <w:spacing w:line="420" w:lineRule="exact"/>
        <w:ind w:firstLine="420" w:firstLineChars="200"/>
        <w:rPr>
          <w:rFonts w:hint="eastAsia" w:ascii="宋体" w:hAnsi="宋体"/>
          <w:szCs w:val="21"/>
        </w:rPr>
      </w:pPr>
    </w:p>
    <w:p w14:paraId="0E360DC2">
      <w:pPr>
        <w:spacing w:line="420" w:lineRule="exact"/>
        <w:ind w:firstLine="420" w:firstLineChars="200"/>
        <w:rPr>
          <w:rFonts w:hint="eastAsia" w:ascii="宋体" w:hAnsi="宋体"/>
          <w:szCs w:val="21"/>
        </w:rPr>
      </w:pPr>
    </w:p>
    <w:p w14:paraId="75433D87">
      <w:pPr>
        <w:spacing w:line="420" w:lineRule="exact"/>
        <w:ind w:firstLine="420" w:firstLineChars="200"/>
        <w:rPr>
          <w:rFonts w:hint="eastAsia" w:ascii="宋体" w:hAnsi="宋体"/>
          <w:szCs w:val="21"/>
        </w:rPr>
      </w:pPr>
    </w:p>
    <w:p w14:paraId="4C5A70AF">
      <w:pPr>
        <w:spacing w:line="420" w:lineRule="exact"/>
        <w:ind w:firstLine="420" w:firstLineChars="200"/>
        <w:rPr>
          <w:rFonts w:hint="eastAsia" w:ascii="宋体" w:hAnsi="宋体"/>
          <w:szCs w:val="21"/>
        </w:rPr>
      </w:pPr>
    </w:p>
    <w:p w14:paraId="5BEF429D">
      <w:pPr>
        <w:spacing w:line="420" w:lineRule="exact"/>
        <w:ind w:firstLine="420" w:firstLineChars="200"/>
        <w:rPr>
          <w:rFonts w:hint="eastAsia" w:ascii="宋体" w:hAnsi="宋体"/>
          <w:szCs w:val="21"/>
        </w:rPr>
      </w:pPr>
    </w:p>
    <w:p w14:paraId="7C9AAB30">
      <w:pPr>
        <w:spacing w:line="420" w:lineRule="exact"/>
        <w:ind w:firstLine="420" w:firstLineChars="200"/>
        <w:rPr>
          <w:rFonts w:hint="eastAsia" w:ascii="宋体" w:hAnsi="宋体"/>
          <w:szCs w:val="21"/>
        </w:rPr>
      </w:pPr>
    </w:p>
    <w:p w14:paraId="32917B92">
      <w:pPr>
        <w:spacing w:line="420" w:lineRule="exact"/>
        <w:ind w:firstLine="420" w:firstLineChars="200"/>
        <w:rPr>
          <w:rFonts w:hint="eastAsia" w:ascii="宋体" w:hAnsi="宋体"/>
          <w:szCs w:val="21"/>
        </w:rPr>
      </w:pPr>
    </w:p>
    <w:p w14:paraId="7B1DF9F0">
      <w:pPr>
        <w:spacing w:line="420" w:lineRule="exact"/>
        <w:ind w:firstLine="420" w:firstLineChars="200"/>
        <w:rPr>
          <w:rFonts w:hint="eastAsia" w:ascii="宋体" w:hAnsi="宋体"/>
          <w:szCs w:val="21"/>
        </w:rPr>
      </w:pPr>
    </w:p>
    <w:p w14:paraId="7742672B">
      <w:pPr>
        <w:spacing w:line="420" w:lineRule="exact"/>
        <w:ind w:firstLine="420" w:firstLineChars="200"/>
        <w:rPr>
          <w:rFonts w:hint="eastAsia" w:ascii="宋体" w:hAnsi="宋体"/>
          <w:szCs w:val="21"/>
        </w:rPr>
      </w:pPr>
    </w:p>
    <w:p w14:paraId="4582E5F2">
      <w:pPr>
        <w:spacing w:line="420" w:lineRule="exact"/>
        <w:ind w:firstLine="420" w:firstLineChars="200"/>
        <w:rPr>
          <w:rFonts w:hint="eastAsia" w:ascii="宋体" w:hAnsi="宋体"/>
          <w:szCs w:val="21"/>
        </w:rPr>
      </w:pPr>
    </w:p>
    <w:p w14:paraId="441991D7">
      <w:pPr>
        <w:spacing w:line="420" w:lineRule="exact"/>
        <w:ind w:firstLine="420" w:firstLineChars="200"/>
        <w:rPr>
          <w:rFonts w:hint="eastAsia" w:ascii="宋体" w:hAnsi="宋体"/>
          <w:szCs w:val="21"/>
        </w:rPr>
      </w:pPr>
    </w:p>
    <w:p w14:paraId="5522DEFC">
      <w:pPr>
        <w:spacing w:line="420" w:lineRule="exact"/>
        <w:ind w:firstLine="420" w:firstLineChars="200"/>
        <w:rPr>
          <w:rFonts w:hint="eastAsia" w:ascii="宋体" w:hAnsi="宋体"/>
          <w:szCs w:val="21"/>
        </w:rPr>
      </w:pPr>
    </w:p>
    <w:p w14:paraId="35D1580F">
      <w:pPr>
        <w:spacing w:line="420" w:lineRule="exact"/>
        <w:ind w:firstLine="420" w:firstLineChars="200"/>
        <w:rPr>
          <w:rFonts w:hint="eastAsia" w:ascii="宋体" w:hAnsi="宋体"/>
          <w:szCs w:val="21"/>
        </w:rPr>
      </w:pPr>
    </w:p>
    <w:p w14:paraId="05AE1B67">
      <w:pPr>
        <w:spacing w:line="420" w:lineRule="exact"/>
        <w:ind w:firstLine="420" w:firstLineChars="200"/>
        <w:rPr>
          <w:rFonts w:hint="eastAsia" w:ascii="宋体" w:hAnsi="宋体"/>
          <w:szCs w:val="21"/>
        </w:rPr>
      </w:pPr>
    </w:p>
    <w:p w14:paraId="02125610">
      <w:pPr>
        <w:spacing w:line="420" w:lineRule="exact"/>
        <w:ind w:firstLine="420" w:firstLineChars="200"/>
        <w:rPr>
          <w:rFonts w:hint="eastAsia" w:ascii="宋体" w:hAnsi="宋体"/>
          <w:szCs w:val="21"/>
        </w:rPr>
      </w:pPr>
    </w:p>
    <w:p w14:paraId="3605F74D">
      <w:pPr>
        <w:spacing w:line="420" w:lineRule="exact"/>
        <w:ind w:firstLine="420" w:firstLineChars="200"/>
        <w:rPr>
          <w:rFonts w:hint="eastAsia" w:ascii="宋体" w:hAnsi="宋体"/>
          <w:szCs w:val="21"/>
        </w:rPr>
      </w:pPr>
    </w:p>
    <w:p w14:paraId="67F411BC">
      <w:pPr>
        <w:pStyle w:val="20"/>
        <w:rPr>
          <w:rFonts w:hint="eastAsia" w:ascii="黑体" w:hAnsi="宋体"/>
        </w:rPr>
      </w:pPr>
      <w:bookmarkStart w:id="2687" w:name="_Toc108514269"/>
      <w:r>
        <w:rPr>
          <w:rFonts w:hint="eastAsia"/>
          <w:szCs w:val="24"/>
        </w:rPr>
        <w:t>附表六：临时用地表</w:t>
      </w:r>
      <w:bookmarkEnd w:id="2687"/>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2079"/>
        <w:gridCol w:w="2079"/>
        <w:gridCol w:w="2079"/>
      </w:tblGrid>
      <w:tr w14:paraId="2150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center"/>
          </w:tcPr>
          <w:p w14:paraId="0A7551B2">
            <w:pPr>
              <w:jc w:val="center"/>
              <w:rPr>
                <w:rFonts w:hint="eastAsia" w:ascii="宋体" w:hAnsi="宋体"/>
                <w:szCs w:val="21"/>
              </w:rPr>
            </w:pPr>
            <w:r>
              <w:rPr>
                <w:rFonts w:hint="eastAsia" w:ascii="宋体" w:hAnsi="宋体"/>
                <w:szCs w:val="21"/>
              </w:rPr>
              <w:t>用  途</w:t>
            </w:r>
          </w:p>
        </w:tc>
        <w:tc>
          <w:tcPr>
            <w:tcW w:w="2079" w:type="dxa"/>
            <w:noWrap w:val="0"/>
            <w:vAlign w:val="center"/>
          </w:tcPr>
          <w:p w14:paraId="7AFB3982">
            <w:pPr>
              <w:jc w:val="center"/>
              <w:rPr>
                <w:rFonts w:hint="eastAsia" w:ascii="宋体" w:hAnsi="宋体"/>
                <w:szCs w:val="21"/>
              </w:rPr>
            </w:pPr>
            <w:r>
              <w:rPr>
                <w:rFonts w:hint="eastAsia" w:ascii="宋体" w:hAnsi="宋体"/>
                <w:szCs w:val="21"/>
              </w:rPr>
              <w:t>面 积（平方米）</w:t>
            </w:r>
          </w:p>
        </w:tc>
        <w:tc>
          <w:tcPr>
            <w:tcW w:w="2079" w:type="dxa"/>
            <w:noWrap w:val="0"/>
            <w:vAlign w:val="center"/>
          </w:tcPr>
          <w:p w14:paraId="64F209E8">
            <w:pPr>
              <w:jc w:val="center"/>
              <w:rPr>
                <w:rFonts w:hint="eastAsia" w:ascii="宋体" w:hAnsi="宋体"/>
                <w:szCs w:val="21"/>
              </w:rPr>
            </w:pPr>
            <w:r>
              <w:rPr>
                <w:rFonts w:hint="eastAsia" w:ascii="宋体" w:hAnsi="宋体"/>
                <w:szCs w:val="21"/>
              </w:rPr>
              <w:t>位  置</w:t>
            </w:r>
          </w:p>
        </w:tc>
        <w:tc>
          <w:tcPr>
            <w:tcW w:w="2079" w:type="dxa"/>
            <w:noWrap w:val="0"/>
            <w:vAlign w:val="center"/>
          </w:tcPr>
          <w:p w14:paraId="39D77697">
            <w:pPr>
              <w:jc w:val="center"/>
              <w:rPr>
                <w:rFonts w:hint="eastAsia" w:ascii="宋体" w:hAnsi="宋体"/>
                <w:szCs w:val="21"/>
              </w:rPr>
            </w:pPr>
            <w:r>
              <w:rPr>
                <w:rFonts w:hint="eastAsia" w:ascii="宋体" w:hAnsi="宋体"/>
                <w:szCs w:val="21"/>
              </w:rPr>
              <w:t>需用时间</w:t>
            </w:r>
          </w:p>
        </w:tc>
      </w:tr>
      <w:tr w14:paraId="1AF0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9FDBE81">
            <w:pPr>
              <w:rPr>
                <w:rFonts w:hint="eastAsia" w:ascii="宋体" w:hAnsi="宋体"/>
                <w:szCs w:val="21"/>
              </w:rPr>
            </w:pPr>
          </w:p>
        </w:tc>
        <w:tc>
          <w:tcPr>
            <w:tcW w:w="2079" w:type="dxa"/>
            <w:noWrap w:val="0"/>
            <w:vAlign w:val="top"/>
          </w:tcPr>
          <w:p w14:paraId="41B4B90C">
            <w:pPr>
              <w:rPr>
                <w:rFonts w:hint="eastAsia" w:ascii="宋体" w:hAnsi="宋体"/>
                <w:szCs w:val="21"/>
              </w:rPr>
            </w:pPr>
          </w:p>
        </w:tc>
        <w:tc>
          <w:tcPr>
            <w:tcW w:w="2079" w:type="dxa"/>
            <w:noWrap w:val="0"/>
            <w:vAlign w:val="top"/>
          </w:tcPr>
          <w:p w14:paraId="0CB03872">
            <w:pPr>
              <w:rPr>
                <w:rFonts w:hint="eastAsia" w:ascii="宋体" w:hAnsi="宋体"/>
                <w:szCs w:val="21"/>
              </w:rPr>
            </w:pPr>
          </w:p>
        </w:tc>
        <w:tc>
          <w:tcPr>
            <w:tcW w:w="2079" w:type="dxa"/>
            <w:noWrap w:val="0"/>
            <w:vAlign w:val="top"/>
          </w:tcPr>
          <w:p w14:paraId="60E76920">
            <w:pPr>
              <w:rPr>
                <w:rFonts w:hint="eastAsia" w:ascii="宋体" w:hAnsi="宋体"/>
                <w:szCs w:val="21"/>
              </w:rPr>
            </w:pPr>
          </w:p>
        </w:tc>
      </w:tr>
      <w:tr w14:paraId="561AC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23218CF">
            <w:pPr>
              <w:rPr>
                <w:rFonts w:hint="eastAsia" w:ascii="宋体" w:hAnsi="宋体"/>
                <w:szCs w:val="21"/>
              </w:rPr>
            </w:pPr>
          </w:p>
        </w:tc>
        <w:tc>
          <w:tcPr>
            <w:tcW w:w="2079" w:type="dxa"/>
            <w:noWrap w:val="0"/>
            <w:vAlign w:val="top"/>
          </w:tcPr>
          <w:p w14:paraId="692B4233">
            <w:pPr>
              <w:rPr>
                <w:rFonts w:hint="eastAsia" w:ascii="宋体" w:hAnsi="宋体"/>
                <w:szCs w:val="21"/>
              </w:rPr>
            </w:pPr>
          </w:p>
        </w:tc>
        <w:tc>
          <w:tcPr>
            <w:tcW w:w="2079" w:type="dxa"/>
            <w:noWrap w:val="0"/>
            <w:vAlign w:val="top"/>
          </w:tcPr>
          <w:p w14:paraId="1AD67AE2">
            <w:pPr>
              <w:rPr>
                <w:rFonts w:hint="eastAsia" w:ascii="宋体" w:hAnsi="宋体"/>
                <w:szCs w:val="21"/>
              </w:rPr>
            </w:pPr>
          </w:p>
        </w:tc>
        <w:tc>
          <w:tcPr>
            <w:tcW w:w="2079" w:type="dxa"/>
            <w:noWrap w:val="0"/>
            <w:vAlign w:val="top"/>
          </w:tcPr>
          <w:p w14:paraId="6B32F7CF">
            <w:pPr>
              <w:rPr>
                <w:rFonts w:hint="eastAsia" w:ascii="宋体" w:hAnsi="宋体"/>
                <w:szCs w:val="21"/>
              </w:rPr>
            </w:pPr>
          </w:p>
        </w:tc>
      </w:tr>
      <w:tr w14:paraId="348EE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7C3FC72">
            <w:pPr>
              <w:rPr>
                <w:rFonts w:hint="eastAsia" w:ascii="宋体" w:hAnsi="宋体"/>
                <w:szCs w:val="21"/>
              </w:rPr>
            </w:pPr>
          </w:p>
        </w:tc>
        <w:tc>
          <w:tcPr>
            <w:tcW w:w="2079" w:type="dxa"/>
            <w:noWrap w:val="0"/>
            <w:vAlign w:val="top"/>
          </w:tcPr>
          <w:p w14:paraId="793D877E">
            <w:pPr>
              <w:rPr>
                <w:rFonts w:hint="eastAsia" w:ascii="宋体" w:hAnsi="宋体"/>
                <w:szCs w:val="21"/>
              </w:rPr>
            </w:pPr>
          </w:p>
        </w:tc>
        <w:tc>
          <w:tcPr>
            <w:tcW w:w="2079" w:type="dxa"/>
            <w:noWrap w:val="0"/>
            <w:vAlign w:val="top"/>
          </w:tcPr>
          <w:p w14:paraId="0D1562FF">
            <w:pPr>
              <w:rPr>
                <w:rFonts w:hint="eastAsia" w:ascii="宋体" w:hAnsi="宋体"/>
                <w:szCs w:val="21"/>
              </w:rPr>
            </w:pPr>
          </w:p>
        </w:tc>
        <w:tc>
          <w:tcPr>
            <w:tcW w:w="2079" w:type="dxa"/>
            <w:noWrap w:val="0"/>
            <w:vAlign w:val="top"/>
          </w:tcPr>
          <w:p w14:paraId="2CE84FF3">
            <w:pPr>
              <w:rPr>
                <w:rFonts w:hint="eastAsia" w:ascii="宋体" w:hAnsi="宋体"/>
                <w:szCs w:val="21"/>
              </w:rPr>
            </w:pPr>
          </w:p>
        </w:tc>
      </w:tr>
      <w:tr w14:paraId="2851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E06F374">
            <w:pPr>
              <w:rPr>
                <w:rFonts w:hint="eastAsia" w:ascii="宋体" w:hAnsi="宋体"/>
                <w:szCs w:val="21"/>
              </w:rPr>
            </w:pPr>
          </w:p>
        </w:tc>
        <w:tc>
          <w:tcPr>
            <w:tcW w:w="2079" w:type="dxa"/>
            <w:noWrap w:val="0"/>
            <w:vAlign w:val="top"/>
          </w:tcPr>
          <w:p w14:paraId="2B141E88">
            <w:pPr>
              <w:rPr>
                <w:rFonts w:hint="eastAsia" w:ascii="宋体" w:hAnsi="宋体"/>
                <w:szCs w:val="21"/>
              </w:rPr>
            </w:pPr>
          </w:p>
        </w:tc>
        <w:tc>
          <w:tcPr>
            <w:tcW w:w="2079" w:type="dxa"/>
            <w:noWrap w:val="0"/>
            <w:vAlign w:val="top"/>
          </w:tcPr>
          <w:p w14:paraId="59AAD808">
            <w:pPr>
              <w:rPr>
                <w:rFonts w:hint="eastAsia" w:ascii="宋体" w:hAnsi="宋体"/>
                <w:szCs w:val="21"/>
              </w:rPr>
            </w:pPr>
          </w:p>
        </w:tc>
        <w:tc>
          <w:tcPr>
            <w:tcW w:w="2079" w:type="dxa"/>
            <w:noWrap w:val="0"/>
            <w:vAlign w:val="top"/>
          </w:tcPr>
          <w:p w14:paraId="39BD8A39">
            <w:pPr>
              <w:rPr>
                <w:rFonts w:hint="eastAsia" w:ascii="宋体" w:hAnsi="宋体"/>
                <w:szCs w:val="21"/>
              </w:rPr>
            </w:pPr>
          </w:p>
        </w:tc>
      </w:tr>
      <w:tr w14:paraId="5186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4046F26">
            <w:pPr>
              <w:rPr>
                <w:rFonts w:hint="eastAsia" w:ascii="宋体" w:hAnsi="宋体"/>
                <w:szCs w:val="21"/>
              </w:rPr>
            </w:pPr>
          </w:p>
        </w:tc>
        <w:tc>
          <w:tcPr>
            <w:tcW w:w="2079" w:type="dxa"/>
            <w:noWrap w:val="0"/>
            <w:vAlign w:val="top"/>
          </w:tcPr>
          <w:p w14:paraId="3F89F0B9">
            <w:pPr>
              <w:rPr>
                <w:rFonts w:hint="eastAsia" w:ascii="宋体" w:hAnsi="宋体"/>
                <w:szCs w:val="21"/>
              </w:rPr>
            </w:pPr>
          </w:p>
        </w:tc>
        <w:tc>
          <w:tcPr>
            <w:tcW w:w="2079" w:type="dxa"/>
            <w:noWrap w:val="0"/>
            <w:vAlign w:val="top"/>
          </w:tcPr>
          <w:p w14:paraId="4F232B06">
            <w:pPr>
              <w:rPr>
                <w:rFonts w:hint="eastAsia" w:ascii="宋体" w:hAnsi="宋体"/>
                <w:szCs w:val="21"/>
              </w:rPr>
            </w:pPr>
          </w:p>
        </w:tc>
        <w:tc>
          <w:tcPr>
            <w:tcW w:w="2079" w:type="dxa"/>
            <w:noWrap w:val="0"/>
            <w:vAlign w:val="top"/>
          </w:tcPr>
          <w:p w14:paraId="3ECE4E59">
            <w:pPr>
              <w:rPr>
                <w:rFonts w:hint="eastAsia" w:ascii="宋体" w:hAnsi="宋体"/>
                <w:szCs w:val="21"/>
              </w:rPr>
            </w:pPr>
          </w:p>
        </w:tc>
      </w:tr>
      <w:tr w14:paraId="4F47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96B41F0">
            <w:pPr>
              <w:rPr>
                <w:rFonts w:hint="eastAsia" w:ascii="宋体" w:hAnsi="宋体"/>
                <w:szCs w:val="21"/>
              </w:rPr>
            </w:pPr>
          </w:p>
        </w:tc>
        <w:tc>
          <w:tcPr>
            <w:tcW w:w="2079" w:type="dxa"/>
            <w:noWrap w:val="0"/>
            <w:vAlign w:val="top"/>
          </w:tcPr>
          <w:p w14:paraId="7B4F5180">
            <w:pPr>
              <w:rPr>
                <w:rFonts w:hint="eastAsia" w:ascii="宋体" w:hAnsi="宋体"/>
                <w:szCs w:val="21"/>
              </w:rPr>
            </w:pPr>
          </w:p>
        </w:tc>
        <w:tc>
          <w:tcPr>
            <w:tcW w:w="2079" w:type="dxa"/>
            <w:noWrap w:val="0"/>
            <w:vAlign w:val="top"/>
          </w:tcPr>
          <w:p w14:paraId="20B16AFB">
            <w:pPr>
              <w:rPr>
                <w:rFonts w:hint="eastAsia" w:ascii="宋体" w:hAnsi="宋体"/>
                <w:szCs w:val="21"/>
              </w:rPr>
            </w:pPr>
          </w:p>
        </w:tc>
        <w:tc>
          <w:tcPr>
            <w:tcW w:w="2079" w:type="dxa"/>
            <w:noWrap w:val="0"/>
            <w:vAlign w:val="top"/>
          </w:tcPr>
          <w:p w14:paraId="2C6AE21C">
            <w:pPr>
              <w:rPr>
                <w:rFonts w:hint="eastAsia" w:ascii="宋体" w:hAnsi="宋体"/>
                <w:szCs w:val="21"/>
              </w:rPr>
            </w:pPr>
          </w:p>
        </w:tc>
      </w:tr>
      <w:tr w14:paraId="5174A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23240C3">
            <w:pPr>
              <w:rPr>
                <w:rFonts w:hint="eastAsia" w:ascii="宋体" w:hAnsi="宋体"/>
                <w:szCs w:val="21"/>
              </w:rPr>
            </w:pPr>
          </w:p>
        </w:tc>
        <w:tc>
          <w:tcPr>
            <w:tcW w:w="2079" w:type="dxa"/>
            <w:noWrap w:val="0"/>
            <w:vAlign w:val="top"/>
          </w:tcPr>
          <w:p w14:paraId="60949A38">
            <w:pPr>
              <w:rPr>
                <w:rFonts w:hint="eastAsia" w:ascii="宋体" w:hAnsi="宋体"/>
                <w:szCs w:val="21"/>
              </w:rPr>
            </w:pPr>
          </w:p>
        </w:tc>
        <w:tc>
          <w:tcPr>
            <w:tcW w:w="2079" w:type="dxa"/>
            <w:noWrap w:val="0"/>
            <w:vAlign w:val="top"/>
          </w:tcPr>
          <w:p w14:paraId="084B6E2A">
            <w:pPr>
              <w:rPr>
                <w:rFonts w:hint="eastAsia" w:ascii="宋体" w:hAnsi="宋体"/>
                <w:szCs w:val="21"/>
              </w:rPr>
            </w:pPr>
          </w:p>
        </w:tc>
        <w:tc>
          <w:tcPr>
            <w:tcW w:w="2079" w:type="dxa"/>
            <w:noWrap w:val="0"/>
            <w:vAlign w:val="top"/>
          </w:tcPr>
          <w:p w14:paraId="0CA728E2">
            <w:pPr>
              <w:rPr>
                <w:rFonts w:hint="eastAsia" w:ascii="宋体" w:hAnsi="宋体"/>
                <w:szCs w:val="21"/>
              </w:rPr>
            </w:pPr>
          </w:p>
        </w:tc>
      </w:tr>
      <w:tr w14:paraId="3429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4B0EED7">
            <w:pPr>
              <w:rPr>
                <w:rFonts w:hint="eastAsia" w:ascii="宋体" w:hAnsi="宋体"/>
                <w:szCs w:val="21"/>
              </w:rPr>
            </w:pPr>
          </w:p>
        </w:tc>
        <w:tc>
          <w:tcPr>
            <w:tcW w:w="2079" w:type="dxa"/>
            <w:noWrap w:val="0"/>
            <w:vAlign w:val="top"/>
          </w:tcPr>
          <w:p w14:paraId="41456B44">
            <w:pPr>
              <w:rPr>
                <w:rFonts w:hint="eastAsia" w:ascii="宋体" w:hAnsi="宋体"/>
                <w:szCs w:val="21"/>
              </w:rPr>
            </w:pPr>
          </w:p>
        </w:tc>
        <w:tc>
          <w:tcPr>
            <w:tcW w:w="2079" w:type="dxa"/>
            <w:noWrap w:val="0"/>
            <w:vAlign w:val="top"/>
          </w:tcPr>
          <w:p w14:paraId="6275A8D5">
            <w:pPr>
              <w:rPr>
                <w:rFonts w:hint="eastAsia" w:ascii="宋体" w:hAnsi="宋体"/>
                <w:szCs w:val="21"/>
              </w:rPr>
            </w:pPr>
          </w:p>
        </w:tc>
        <w:tc>
          <w:tcPr>
            <w:tcW w:w="2079" w:type="dxa"/>
            <w:noWrap w:val="0"/>
            <w:vAlign w:val="top"/>
          </w:tcPr>
          <w:p w14:paraId="3BFB0B09">
            <w:pPr>
              <w:rPr>
                <w:rFonts w:hint="eastAsia" w:ascii="宋体" w:hAnsi="宋体"/>
                <w:szCs w:val="21"/>
              </w:rPr>
            </w:pPr>
          </w:p>
        </w:tc>
      </w:tr>
      <w:tr w14:paraId="4533A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C42538C">
            <w:pPr>
              <w:rPr>
                <w:rFonts w:hint="eastAsia" w:ascii="宋体" w:hAnsi="宋体"/>
                <w:szCs w:val="21"/>
              </w:rPr>
            </w:pPr>
          </w:p>
        </w:tc>
        <w:tc>
          <w:tcPr>
            <w:tcW w:w="2079" w:type="dxa"/>
            <w:noWrap w:val="0"/>
            <w:vAlign w:val="top"/>
          </w:tcPr>
          <w:p w14:paraId="2F3E3F3D">
            <w:pPr>
              <w:rPr>
                <w:rFonts w:hint="eastAsia" w:ascii="宋体" w:hAnsi="宋体"/>
                <w:szCs w:val="21"/>
              </w:rPr>
            </w:pPr>
          </w:p>
        </w:tc>
        <w:tc>
          <w:tcPr>
            <w:tcW w:w="2079" w:type="dxa"/>
            <w:noWrap w:val="0"/>
            <w:vAlign w:val="top"/>
          </w:tcPr>
          <w:p w14:paraId="15C908DF">
            <w:pPr>
              <w:rPr>
                <w:rFonts w:hint="eastAsia" w:ascii="宋体" w:hAnsi="宋体"/>
                <w:szCs w:val="21"/>
              </w:rPr>
            </w:pPr>
          </w:p>
        </w:tc>
        <w:tc>
          <w:tcPr>
            <w:tcW w:w="2079" w:type="dxa"/>
            <w:noWrap w:val="0"/>
            <w:vAlign w:val="top"/>
          </w:tcPr>
          <w:p w14:paraId="7B1BDE4A">
            <w:pPr>
              <w:rPr>
                <w:rFonts w:hint="eastAsia" w:ascii="宋体" w:hAnsi="宋体"/>
                <w:szCs w:val="21"/>
              </w:rPr>
            </w:pPr>
          </w:p>
        </w:tc>
      </w:tr>
      <w:tr w14:paraId="3803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66D99B3">
            <w:pPr>
              <w:rPr>
                <w:rFonts w:hint="eastAsia" w:ascii="宋体" w:hAnsi="宋体"/>
                <w:szCs w:val="21"/>
              </w:rPr>
            </w:pPr>
          </w:p>
        </w:tc>
        <w:tc>
          <w:tcPr>
            <w:tcW w:w="2079" w:type="dxa"/>
            <w:noWrap w:val="0"/>
            <w:vAlign w:val="top"/>
          </w:tcPr>
          <w:p w14:paraId="467A54CA">
            <w:pPr>
              <w:rPr>
                <w:rFonts w:hint="eastAsia" w:ascii="宋体" w:hAnsi="宋体"/>
                <w:szCs w:val="21"/>
              </w:rPr>
            </w:pPr>
          </w:p>
        </w:tc>
        <w:tc>
          <w:tcPr>
            <w:tcW w:w="2079" w:type="dxa"/>
            <w:noWrap w:val="0"/>
            <w:vAlign w:val="top"/>
          </w:tcPr>
          <w:p w14:paraId="11E67325">
            <w:pPr>
              <w:rPr>
                <w:rFonts w:hint="eastAsia" w:ascii="宋体" w:hAnsi="宋体"/>
                <w:szCs w:val="21"/>
              </w:rPr>
            </w:pPr>
          </w:p>
        </w:tc>
        <w:tc>
          <w:tcPr>
            <w:tcW w:w="2079" w:type="dxa"/>
            <w:noWrap w:val="0"/>
            <w:vAlign w:val="top"/>
          </w:tcPr>
          <w:p w14:paraId="59F8E17D">
            <w:pPr>
              <w:rPr>
                <w:rFonts w:hint="eastAsia" w:ascii="宋体" w:hAnsi="宋体"/>
                <w:szCs w:val="21"/>
              </w:rPr>
            </w:pPr>
          </w:p>
        </w:tc>
      </w:tr>
      <w:tr w14:paraId="0821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6F20980">
            <w:pPr>
              <w:rPr>
                <w:rFonts w:hint="eastAsia" w:ascii="宋体" w:hAnsi="宋体"/>
                <w:szCs w:val="21"/>
              </w:rPr>
            </w:pPr>
          </w:p>
        </w:tc>
        <w:tc>
          <w:tcPr>
            <w:tcW w:w="2079" w:type="dxa"/>
            <w:noWrap w:val="0"/>
            <w:vAlign w:val="top"/>
          </w:tcPr>
          <w:p w14:paraId="42018E91">
            <w:pPr>
              <w:rPr>
                <w:rFonts w:hint="eastAsia" w:ascii="宋体" w:hAnsi="宋体"/>
                <w:szCs w:val="21"/>
              </w:rPr>
            </w:pPr>
          </w:p>
        </w:tc>
        <w:tc>
          <w:tcPr>
            <w:tcW w:w="2079" w:type="dxa"/>
            <w:noWrap w:val="0"/>
            <w:vAlign w:val="top"/>
          </w:tcPr>
          <w:p w14:paraId="53F004E0">
            <w:pPr>
              <w:rPr>
                <w:rFonts w:hint="eastAsia" w:ascii="宋体" w:hAnsi="宋体"/>
                <w:szCs w:val="21"/>
              </w:rPr>
            </w:pPr>
          </w:p>
        </w:tc>
        <w:tc>
          <w:tcPr>
            <w:tcW w:w="2079" w:type="dxa"/>
            <w:noWrap w:val="0"/>
            <w:vAlign w:val="top"/>
          </w:tcPr>
          <w:p w14:paraId="5EE132C8">
            <w:pPr>
              <w:rPr>
                <w:rFonts w:hint="eastAsia" w:ascii="宋体" w:hAnsi="宋体"/>
                <w:szCs w:val="21"/>
              </w:rPr>
            </w:pPr>
          </w:p>
        </w:tc>
      </w:tr>
      <w:tr w14:paraId="26B5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A7A7D32">
            <w:pPr>
              <w:rPr>
                <w:rFonts w:hint="eastAsia" w:ascii="宋体" w:hAnsi="宋体"/>
                <w:szCs w:val="21"/>
              </w:rPr>
            </w:pPr>
          </w:p>
        </w:tc>
        <w:tc>
          <w:tcPr>
            <w:tcW w:w="2079" w:type="dxa"/>
            <w:noWrap w:val="0"/>
            <w:vAlign w:val="top"/>
          </w:tcPr>
          <w:p w14:paraId="3F896172">
            <w:pPr>
              <w:rPr>
                <w:rFonts w:hint="eastAsia" w:ascii="宋体" w:hAnsi="宋体"/>
                <w:szCs w:val="21"/>
              </w:rPr>
            </w:pPr>
          </w:p>
        </w:tc>
        <w:tc>
          <w:tcPr>
            <w:tcW w:w="2079" w:type="dxa"/>
            <w:noWrap w:val="0"/>
            <w:vAlign w:val="top"/>
          </w:tcPr>
          <w:p w14:paraId="76EDE5E6">
            <w:pPr>
              <w:rPr>
                <w:rFonts w:hint="eastAsia" w:ascii="宋体" w:hAnsi="宋体"/>
                <w:szCs w:val="21"/>
              </w:rPr>
            </w:pPr>
          </w:p>
        </w:tc>
        <w:tc>
          <w:tcPr>
            <w:tcW w:w="2079" w:type="dxa"/>
            <w:noWrap w:val="0"/>
            <w:vAlign w:val="top"/>
          </w:tcPr>
          <w:p w14:paraId="372383E1">
            <w:pPr>
              <w:rPr>
                <w:rFonts w:hint="eastAsia" w:ascii="宋体" w:hAnsi="宋体"/>
                <w:szCs w:val="21"/>
              </w:rPr>
            </w:pPr>
          </w:p>
        </w:tc>
      </w:tr>
      <w:tr w14:paraId="2DB2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13C7AF6">
            <w:pPr>
              <w:rPr>
                <w:rFonts w:hint="eastAsia" w:ascii="宋体" w:hAnsi="宋体"/>
                <w:szCs w:val="21"/>
              </w:rPr>
            </w:pPr>
          </w:p>
        </w:tc>
        <w:tc>
          <w:tcPr>
            <w:tcW w:w="2079" w:type="dxa"/>
            <w:noWrap w:val="0"/>
            <w:vAlign w:val="top"/>
          </w:tcPr>
          <w:p w14:paraId="1F8892E8">
            <w:pPr>
              <w:rPr>
                <w:rFonts w:hint="eastAsia" w:ascii="宋体" w:hAnsi="宋体"/>
                <w:szCs w:val="21"/>
              </w:rPr>
            </w:pPr>
          </w:p>
        </w:tc>
        <w:tc>
          <w:tcPr>
            <w:tcW w:w="2079" w:type="dxa"/>
            <w:noWrap w:val="0"/>
            <w:vAlign w:val="top"/>
          </w:tcPr>
          <w:p w14:paraId="73557F43">
            <w:pPr>
              <w:rPr>
                <w:rFonts w:hint="eastAsia" w:ascii="宋体" w:hAnsi="宋体"/>
                <w:szCs w:val="21"/>
              </w:rPr>
            </w:pPr>
          </w:p>
        </w:tc>
        <w:tc>
          <w:tcPr>
            <w:tcW w:w="2079" w:type="dxa"/>
            <w:noWrap w:val="0"/>
            <w:vAlign w:val="top"/>
          </w:tcPr>
          <w:p w14:paraId="0E62DBE3">
            <w:pPr>
              <w:rPr>
                <w:rFonts w:hint="eastAsia" w:ascii="宋体" w:hAnsi="宋体"/>
                <w:szCs w:val="21"/>
              </w:rPr>
            </w:pPr>
          </w:p>
        </w:tc>
      </w:tr>
      <w:tr w14:paraId="2F9B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699706B">
            <w:pPr>
              <w:rPr>
                <w:rFonts w:hint="eastAsia" w:ascii="宋体" w:hAnsi="宋体"/>
                <w:szCs w:val="21"/>
              </w:rPr>
            </w:pPr>
          </w:p>
        </w:tc>
        <w:tc>
          <w:tcPr>
            <w:tcW w:w="2079" w:type="dxa"/>
            <w:noWrap w:val="0"/>
            <w:vAlign w:val="top"/>
          </w:tcPr>
          <w:p w14:paraId="3D050E84">
            <w:pPr>
              <w:rPr>
                <w:rFonts w:hint="eastAsia" w:ascii="宋体" w:hAnsi="宋体"/>
                <w:szCs w:val="21"/>
              </w:rPr>
            </w:pPr>
          </w:p>
        </w:tc>
        <w:tc>
          <w:tcPr>
            <w:tcW w:w="2079" w:type="dxa"/>
            <w:noWrap w:val="0"/>
            <w:vAlign w:val="top"/>
          </w:tcPr>
          <w:p w14:paraId="57E3E43A">
            <w:pPr>
              <w:rPr>
                <w:rFonts w:hint="eastAsia" w:ascii="宋体" w:hAnsi="宋体"/>
                <w:szCs w:val="21"/>
              </w:rPr>
            </w:pPr>
          </w:p>
        </w:tc>
        <w:tc>
          <w:tcPr>
            <w:tcW w:w="2079" w:type="dxa"/>
            <w:noWrap w:val="0"/>
            <w:vAlign w:val="top"/>
          </w:tcPr>
          <w:p w14:paraId="2C4CE541">
            <w:pPr>
              <w:rPr>
                <w:rFonts w:hint="eastAsia" w:ascii="宋体" w:hAnsi="宋体"/>
                <w:szCs w:val="21"/>
              </w:rPr>
            </w:pPr>
          </w:p>
        </w:tc>
      </w:tr>
      <w:tr w14:paraId="25FA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3482351">
            <w:pPr>
              <w:rPr>
                <w:rFonts w:hint="eastAsia" w:ascii="宋体" w:hAnsi="宋体"/>
                <w:szCs w:val="21"/>
              </w:rPr>
            </w:pPr>
          </w:p>
        </w:tc>
        <w:tc>
          <w:tcPr>
            <w:tcW w:w="2079" w:type="dxa"/>
            <w:noWrap w:val="0"/>
            <w:vAlign w:val="top"/>
          </w:tcPr>
          <w:p w14:paraId="7DBB6CDF">
            <w:pPr>
              <w:rPr>
                <w:rFonts w:hint="eastAsia" w:ascii="宋体" w:hAnsi="宋体"/>
                <w:szCs w:val="21"/>
              </w:rPr>
            </w:pPr>
          </w:p>
        </w:tc>
        <w:tc>
          <w:tcPr>
            <w:tcW w:w="2079" w:type="dxa"/>
            <w:noWrap w:val="0"/>
            <w:vAlign w:val="top"/>
          </w:tcPr>
          <w:p w14:paraId="761D2006">
            <w:pPr>
              <w:rPr>
                <w:rFonts w:hint="eastAsia" w:ascii="宋体" w:hAnsi="宋体"/>
                <w:szCs w:val="21"/>
              </w:rPr>
            </w:pPr>
          </w:p>
        </w:tc>
        <w:tc>
          <w:tcPr>
            <w:tcW w:w="2079" w:type="dxa"/>
            <w:noWrap w:val="0"/>
            <w:vAlign w:val="top"/>
          </w:tcPr>
          <w:p w14:paraId="4E39D1B1">
            <w:pPr>
              <w:rPr>
                <w:rFonts w:hint="eastAsia" w:ascii="宋体" w:hAnsi="宋体"/>
                <w:szCs w:val="21"/>
              </w:rPr>
            </w:pPr>
          </w:p>
        </w:tc>
      </w:tr>
      <w:tr w14:paraId="46E6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823EED7">
            <w:pPr>
              <w:rPr>
                <w:rFonts w:hint="eastAsia" w:ascii="宋体" w:hAnsi="宋体"/>
                <w:szCs w:val="21"/>
              </w:rPr>
            </w:pPr>
          </w:p>
        </w:tc>
        <w:tc>
          <w:tcPr>
            <w:tcW w:w="2079" w:type="dxa"/>
            <w:noWrap w:val="0"/>
            <w:vAlign w:val="top"/>
          </w:tcPr>
          <w:p w14:paraId="23E8CCDE">
            <w:pPr>
              <w:rPr>
                <w:rFonts w:hint="eastAsia" w:ascii="宋体" w:hAnsi="宋体"/>
                <w:szCs w:val="21"/>
              </w:rPr>
            </w:pPr>
          </w:p>
        </w:tc>
        <w:tc>
          <w:tcPr>
            <w:tcW w:w="2079" w:type="dxa"/>
            <w:noWrap w:val="0"/>
            <w:vAlign w:val="top"/>
          </w:tcPr>
          <w:p w14:paraId="434828F4">
            <w:pPr>
              <w:rPr>
                <w:rFonts w:hint="eastAsia" w:ascii="宋体" w:hAnsi="宋体"/>
                <w:szCs w:val="21"/>
              </w:rPr>
            </w:pPr>
          </w:p>
        </w:tc>
        <w:tc>
          <w:tcPr>
            <w:tcW w:w="2079" w:type="dxa"/>
            <w:noWrap w:val="0"/>
            <w:vAlign w:val="top"/>
          </w:tcPr>
          <w:p w14:paraId="417D60DB">
            <w:pPr>
              <w:rPr>
                <w:rFonts w:hint="eastAsia" w:ascii="宋体" w:hAnsi="宋体"/>
                <w:szCs w:val="21"/>
              </w:rPr>
            </w:pPr>
          </w:p>
        </w:tc>
      </w:tr>
      <w:tr w14:paraId="6E8DC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6CCFAA3">
            <w:pPr>
              <w:rPr>
                <w:rFonts w:hint="eastAsia" w:ascii="宋体" w:hAnsi="宋体"/>
                <w:szCs w:val="21"/>
              </w:rPr>
            </w:pPr>
          </w:p>
        </w:tc>
        <w:tc>
          <w:tcPr>
            <w:tcW w:w="2079" w:type="dxa"/>
            <w:noWrap w:val="0"/>
            <w:vAlign w:val="top"/>
          </w:tcPr>
          <w:p w14:paraId="6B32A51B">
            <w:pPr>
              <w:rPr>
                <w:rFonts w:hint="eastAsia" w:ascii="宋体" w:hAnsi="宋体"/>
                <w:szCs w:val="21"/>
              </w:rPr>
            </w:pPr>
          </w:p>
        </w:tc>
        <w:tc>
          <w:tcPr>
            <w:tcW w:w="2079" w:type="dxa"/>
            <w:noWrap w:val="0"/>
            <w:vAlign w:val="top"/>
          </w:tcPr>
          <w:p w14:paraId="520F3501">
            <w:pPr>
              <w:rPr>
                <w:rFonts w:hint="eastAsia" w:ascii="宋体" w:hAnsi="宋体"/>
                <w:szCs w:val="21"/>
              </w:rPr>
            </w:pPr>
          </w:p>
        </w:tc>
        <w:tc>
          <w:tcPr>
            <w:tcW w:w="2079" w:type="dxa"/>
            <w:noWrap w:val="0"/>
            <w:vAlign w:val="top"/>
          </w:tcPr>
          <w:p w14:paraId="75EAB479">
            <w:pPr>
              <w:rPr>
                <w:rFonts w:hint="eastAsia" w:ascii="宋体" w:hAnsi="宋体"/>
                <w:szCs w:val="21"/>
              </w:rPr>
            </w:pPr>
          </w:p>
        </w:tc>
      </w:tr>
      <w:tr w14:paraId="4115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3FB8282">
            <w:pPr>
              <w:rPr>
                <w:rFonts w:hint="eastAsia" w:ascii="宋体" w:hAnsi="宋体"/>
                <w:szCs w:val="21"/>
              </w:rPr>
            </w:pPr>
          </w:p>
        </w:tc>
        <w:tc>
          <w:tcPr>
            <w:tcW w:w="2079" w:type="dxa"/>
            <w:noWrap w:val="0"/>
            <w:vAlign w:val="top"/>
          </w:tcPr>
          <w:p w14:paraId="56FFCADE">
            <w:pPr>
              <w:rPr>
                <w:rFonts w:hint="eastAsia" w:ascii="宋体" w:hAnsi="宋体"/>
                <w:szCs w:val="21"/>
              </w:rPr>
            </w:pPr>
          </w:p>
        </w:tc>
        <w:tc>
          <w:tcPr>
            <w:tcW w:w="2079" w:type="dxa"/>
            <w:noWrap w:val="0"/>
            <w:vAlign w:val="top"/>
          </w:tcPr>
          <w:p w14:paraId="30483159">
            <w:pPr>
              <w:rPr>
                <w:rFonts w:hint="eastAsia" w:ascii="宋体" w:hAnsi="宋体"/>
                <w:szCs w:val="21"/>
              </w:rPr>
            </w:pPr>
          </w:p>
        </w:tc>
        <w:tc>
          <w:tcPr>
            <w:tcW w:w="2079" w:type="dxa"/>
            <w:noWrap w:val="0"/>
            <w:vAlign w:val="top"/>
          </w:tcPr>
          <w:p w14:paraId="791DD0F0">
            <w:pPr>
              <w:rPr>
                <w:rFonts w:hint="eastAsia" w:ascii="宋体" w:hAnsi="宋体"/>
                <w:szCs w:val="21"/>
              </w:rPr>
            </w:pPr>
          </w:p>
        </w:tc>
      </w:tr>
      <w:tr w14:paraId="6337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D2122AE">
            <w:pPr>
              <w:rPr>
                <w:rFonts w:hint="eastAsia" w:ascii="宋体" w:hAnsi="宋体"/>
                <w:szCs w:val="21"/>
              </w:rPr>
            </w:pPr>
          </w:p>
        </w:tc>
        <w:tc>
          <w:tcPr>
            <w:tcW w:w="2079" w:type="dxa"/>
            <w:noWrap w:val="0"/>
            <w:vAlign w:val="top"/>
          </w:tcPr>
          <w:p w14:paraId="263FAB01">
            <w:pPr>
              <w:rPr>
                <w:rFonts w:hint="eastAsia" w:ascii="宋体" w:hAnsi="宋体"/>
                <w:szCs w:val="21"/>
              </w:rPr>
            </w:pPr>
          </w:p>
        </w:tc>
        <w:tc>
          <w:tcPr>
            <w:tcW w:w="2079" w:type="dxa"/>
            <w:noWrap w:val="0"/>
            <w:vAlign w:val="top"/>
          </w:tcPr>
          <w:p w14:paraId="3E1593E8">
            <w:pPr>
              <w:rPr>
                <w:rFonts w:hint="eastAsia" w:ascii="宋体" w:hAnsi="宋体"/>
                <w:szCs w:val="21"/>
              </w:rPr>
            </w:pPr>
          </w:p>
        </w:tc>
        <w:tc>
          <w:tcPr>
            <w:tcW w:w="2079" w:type="dxa"/>
            <w:noWrap w:val="0"/>
            <w:vAlign w:val="top"/>
          </w:tcPr>
          <w:p w14:paraId="579585F9">
            <w:pPr>
              <w:rPr>
                <w:rFonts w:hint="eastAsia" w:ascii="宋体" w:hAnsi="宋体"/>
                <w:szCs w:val="21"/>
              </w:rPr>
            </w:pPr>
          </w:p>
        </w:tc>
      </w:tr>
      <w:tr w14:paraId="7722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2D80AA5">
            <w:pPr>
              <w:rPr>
                <w:rFonts w:hint="eastAsia" w:ascii="宋体" w:hAnsi="宋体"/>
                <w:szCs w:val="21"/>
              </w:rPr>
            </w:pPr>
          </w:p>
        </w:tc>
        <w:tc>
          <w:tcPr>
            <w:tcW w:w="2079" w:type="dxa"/>
            <w:noWrap w:val="0"/>
            <w:vAlign w:val="top"/>
          </w:tcPr>
          <w:p w14:paraId="4F7B10FE">
            <w:pPr>
              <w:rPr>
                <w:rFonts w:hint="eastAsia" w:ascii="宋体" w:hAnsi="宋体"/>
                <w:szCs w:val="21"/>
              </w:rPr>
            </w:pPr>
          </w:p>
        </w:tc>
        <w:tc>
          <w:tcPr>
            <w:tcW w:w="2079" w:type="dxa"/>
            <w:noWrap w:val="0"/>
            <w:vAlign w:val="top"/>
          </w:tcPr>
          <w:p w14:paraId="58EA0B9C">
            <w:pPr>
              <w:rPr>
                <w:rFonts w:hint="eastAsia" w:ascii="宋体" w:hAnsi="宋体"/>
                <w:szCs w:val="21"/>
              </w:rPr>
            </w:pPr>
          </w:p>
        </w:tc>
        <w:tc>
          <w:tcPr>
            <w:tcW w:w="2079" w:type="dxa"/>
            <w:noWrap w:val="0"/>
            <w:vAlign w:val="top"/>
          </w:tcPr>
          <w:p w14:paraId="33E98E63">
            <w:pPr>
              <w:rPr>
                <w:rFonts w:hint="eastAsia" w:ascii="宋体" w:hAnsi="宋体"/>
                <w:szCs w:val="21"/>
              </w:rPr>
            </w:pPr>
          </w:p>
        </w:tc>
      </w:tr>
      <w:tr w14:paraId="7407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C8DED43">
            <w:pPr>
              <w:rPr>
                <w:rFonts w:hint="eastAsia" w:ascii="宋体" w:hAnsi="宋体"/>
                <w:szCs w:val="21"/>
              </w:rPr>
            </w:pPr>
          </w:p>
        </w:tc>
        <w:tc>
          <w:tcPr>
            <w:tcW w:w="2079" w:type="dxa"/>
            <w:noWrap w:val="0"/>
            <w:vAlign w:val="top"/>
          </w:tcPr>
          <w:p w14:paraId="7F3D0A75">
            <w:pPr>
              <w:rPr>
                <w:rFonts w:hint="eastAsia" w:ascii="宋体" w:hAnsi="宋体"/>
                <w:szCs w:val="21"/>
              </w:rPr>
            </w:pPr>
          </w:p>
        </w:tc>
        <w:tc>
          <w:tcPr>
            <w:tcW w:w="2079" w:type="dxa"/>
            <w:noWrap w:val="0"/>
            <w:vAlign w:val="top"/>
          </w:tcPr>
          <w:p w14:paraId="08CA3470">
            <w:pPr>
              <w:rPr>
                <w:rFonts w:hint="eastAsia" w:ascii="宋体" w:hAnsi="宋体"/>
                <w:szCs w:val="21"/>
              </w:rPr>
            </w:pPr>
          </w:p>
        </w:tc>
        <w:tc>
          <w:tcPr>
            <w:tcW w:w="2079" w:type="dxa"/>
            <w:noWrap w:val="0"/>
            <w:vAlign w:val="top"/>
          </w:tcPr>
          <w:p w14:paraId="31E87291">
            <w:pPr>
              <w:rPr>
                <w:rFonts w:hint="eastAsia" w:ascii="宋体" w:hAnsi="宋体"/>
                <w:szCs w:val="21"/>
              </w:rPr>
            </w:pPr>
          </w:p>
        </w:tc>
      </w:tr>
      <w:tr w14:paraId="4C47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17DC20E">
            <w:pPr>
              <w:rPr>
                <w:rFonts w:hint="eastAsia" w:ascii="宋体" w:hAnsi="宋体"/>
                <w:szCs w:val="21"/>
              </w:rPr>
            </w:pPr>
          </w:p>
        </w:tc>
        <w:tc>
          <w:tcPr>
            <w:tcW w:w="2079" w:type="dxa"/>
            <w:noWrap w:val="0"/>
            <w:vAlign w:val="top"/>
          </w:tcPr>
          <w:p w14:paraId="171855C5">
            <w:pPr>
              <w:rPr>
                <w:rFonts w:hint="eastAsia" w:ascii="宋体" w:hAnsi="宋体"/>
                <w:szCs w:val="21"/>
              </w:rPr>
            </w:pPr>
          </w:p>
        </w:tc>
        <w:tc>
          <w:tcPr>
            <w:tcW w:w="2079" w:type="dxa"/>
            <w:noWrap w:val="0"/>
            <w:vAlign w:val="top"/>
          </w:tcPr>
          <w:p w14:paraId="5984AA2D">
            <w:pPr>
              <w:rPr>
                <w:rFonts w:hint="eastAsia" w:ascii="宋体" w:hAnsi="宋体"/>
                <w:szCs w:val="21"/>
              </w:rPr>
            </w:pPr>
          </w:p>
        </w:tc>
        <w:tc>
          <w:tcPr>
            <w:tcW w:w="2079" w:type="dxa"/>
            <w:noWrap w:val="0"/>
            <w:vAlign w:val="top"/>
          </w:tcPr>
          <w:p w14:paraId="451DAEFA">
            <w:pPr>
              <w:rPr>
                <w:rFonts w:hint="eastAsia" w:ascii="宋体" w:hAnsi="宋体"/>
                <w:szCs w:val="21"/>
              </w:rPr>
            </w:pPr>
          </w:p>
        </w:tc>
      </w:tr>
      <w:tr w14:paraId="4F2D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66165AA">
            <w:pPr>
              <w:rPr>
                <w:rFonts w:hint="eastAsia" w:ascii="宋体" w:hAnsi="宋体"/>
                <w:szCs w:val="21"/>
              </w:rPr>
            </w:pPr>
          </w:p>
        </w:tc>
        <w:tc>
          <w:tcPr>
            <w:tcW w:w="2079" w:type="dxa"/>
            <w:noWrap w:val="0"/>
            <w:vAlign w:val="top"/>
          </w:tcPr>
          <w:p w14:paraId="6CB646D2">
            <w:pPr>
              <w:rPr>
                <w:rFonts w:hint="eastAsia" w:ascii="宋体" w:hAnsi="宋体"/>
                <w:szCs w:val="21"/>
              </w:rPr>
            </w:pPr>
          </w:p>
        </w:tc>
        <w:tc>
          <w:tcPr>
            <w:tcW w:w="2079" w:type="dxa"/>
            <w:noWrap w:val="0"/>
            <w:vAlign w:val="top"/>
          </w:tcPr>
          <w:p w14:paraId="674CA527">
            <w:pPr>
              <w:rPr>
                <w:rFonts w:hint="eastAsia" w:ascii="宋体" w:hAnsi="宋体"/>
                <w:szCs w:val="21"/>
              </w:rPr>
            </w:pPr>
          </w:p>
        </w:tc>
        <w:tc>
          <w:tcPr>
            <w:tcW w:w="2079" w:type="dxa"/>
            <w:noWrap w:val="0"/>
            <w:vAlign w:val="top"/>
          </w:tcPr>
          <w:p w14:paraId="6542621D">
            <w:pPr>
              <w:rPr>
                <w:rFonts w:hint="eastAsia" w:ascii="宋体" w:hAnsi="宋体"/>
                <w:szCs w:val="21"/>
              </w:rPr>
            </w:pPr>
          </w:p>
        </w:tc>
      </w:tr>
      <w:tr w14:paraId="1C26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2EFB4E6">
            <w:pPr>
              <w:rPr>
                <w:rFonts w:hint="eastAsia" w:ascii="宋体" w:hAnsi="宋体"/>
                <w:szCs w:val="21"/>
              </w:rPr>
            </w:pPr>
          </w:p>
        </w:tc>
        <w:tc>
          <w:tcPr>
            <w:tcW w:w="2079" w:type="dxa"/>
            <w:noWrap w:val="0"/>
            <w:vAlign w:val="top"/>
          </w:tcPr>
          <w:p w14:paraId="4EFCF181">
            <w:pPr>
              <w:rPr>
                <w:rFonts w:hint="eastAsia" w:ascii="宋体" w:hAnsi="宋体"/>
                <w:szCs w:val="21"/>
              </w:rPr>
            </w:pPr>
          </w:p>
        </w:tc>
        <w:tc>
          <w:tcPr>
            <w:tcW w:w="2079" w:type="dxa"/>
            <w:noWrap w:val="0"/>
            <w:vAlign w:val="top"/>
          </w:tcPr>
          <w:p w14:paraId="0E2212AF">
            <w:pPr>
              <w:rPr>
                <w:rFonts w:hint="eastAsia" w:ascii="宋体" w:hAnsi="宋体"/>
                <w:szCs w:val="21"/>
              </w:rPr>
            </w:pPr>
          </w:p>
        </w:tc>
        <w:tc>
          <w:tcPr>
            <w:tcW w:w="2079" w:type="dxa"/>
            <w:noWrap w:val="0"/>
            <w:vAlign w:val="top"/>
          </w:tcPr>
          <w:p w14:paraId="25BB94D5">
            <w:pPr>
              <w:rPr>
                <w:rFonts w:hint="eastAsia" w:ascii="宋体" w:hAnsi="宋体"/>
                <w:szCs w:val="21"/>
              </w:rPr>
            </w:pPr>
          </w:p>
        </w:tc>
      </w:tr>
      <w:tr w14:paraId="6E2D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8469C52">
            <w:pPr>
              <w:rPr>
                <w:rFonts w:hint="eastAsia" w:ascii="宋体" w:hAnsi="宋体"/>
                <w:szCs w:val="21"/>
              </w:rPr>
            </w:pPr>
          </w:p>
        </w:tc>
        <w:tc>
          <w:tcPr>
            <w:tcW w:w="2079" w:type="dxa"/>
            <w:noWrap w:val="0"/>
            <w:vAlign w:val="top"/>
          </w:tcPr>
          <w:p w14:paraId="379B4153">
            <w:pPr>
              <w:rPr>
                <w:rFonts w:hint="eastAsia" w:ascii="宋体" w:hAnsi="宋体"/>
                <w:szCs w:val="21"/>
              </w:rPr>
            </w:pPr>
          </w:p>
        </w:tc>
        <w:tc>
          <w:tcPr>
            <w:tcW w:w="2079" w:type="dxa"/>
            <w:noWrap w:val="0"/>
            <w:vAlign w:val="top"/>
          </w:tcPr>
          <w:p w14:paraId="664E276F">
            <w:pPr>
              <w:rPr>
                <w:rFonts w:hint="eastAsia" w:ascii="宋体" w:hAnsi="宋体"/>
                <w:szCs w:val="21"/>
              </w:rPr>
            </w:pPr>
          </w:p>
        </w:tc>
        <w:tc>
          <w:tcPr>
            <w:tcW w:w="2079" w:type="dxa"/>
            <w:noWrap w:val="0"/>
            <w:vAlign w:val="top"/>
          </w:tcPr>
          <w:p w14:paraId="68AD9890">
            <w:pPr>
              <w:rPr>
                <w:rFonts w:hint="eastAsia" w:ascii="宋体" w:hAnsi="宋体"/>
                <w:szCs w:val="21"/>
              </w:rPr>
            </w:pPr>
          </w:p>
        </w:tc>
      </w:tr>
      <w:tr w14:paraId="3F626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C79279F">
            <w:pPr>
              <w:rPr>
                <w:rFonts w:hint="eastAsia" w:ascii="宋体" w:hAnsi="宋体"/>
                <w:szCs w:val="21"/>
              </w:rPr>
            </w:pPr>
          </w:p>
        </w:tc>
        <w:tc>
          <w:tcPr>
            <w:tcW w:w="2079" w:type="dxa"/>
            <w:noWrap w:val="0"/>
            <w:vAlign w:val="top"/>
          </w:tcPr>
          <w:p w14:paraId="1A1BD335">
            <w:pPr>
              <w:rPr>
                <w:rFonts w:hint="eastAsia" w:ascii="宋体" w:hAnsi="宋体"/>
                <w:szCs w:val="21"/>
              </w:rPr>
            </w:pPr>
          </w:p>
        </w:tc>
        <w:tc>
          <w:tcPr>
            <w:tcW w:w="2079" w:type="dxa"/>
            <w:noWrap w:val="0"/>
            <w:vAlign w:val="top"/>
          </w:tcPr>
          <w:p w14:paraId="25514591">
            <w:pPr>
              <w:rPr>
                <w:rFonts w:hint="eastAsia" w:ascii="宋体" w:hAnsi="宋体"/>
                <w:szCs w:val="21"/>
              </w:rPr>
            </w:pPr>
          </w:p>
        </w:tc>
        <w:tc>
          <w:tcPr>
            <w:tcW w:w="2079" w:type="dxa"/>
            <w:noWrap w:val="0"/>
            <w:vAlign w:val="top"/>
          </w:tcPr>
          <w:p w14:paraId="31923B1E">
            <w:pPr>
              <w:rPr>
                <w:rFonts w:hint="eastAsia" w:ascii="宋体" w:hAnsi="宋体"/>
                <w:szCs w:val="21"/>
              </w:rPr>
            </w:pPr>
          </w:p>
        </w:tc>
      </w:tr>
      <w:tr w14:paraId="76F0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59E76D2">
            <w:pPr>
              <w:rPr>
                <w:rFonts w:hint="eastAsia" w:ascii="宋体" w:hAnsi="宋体"/>
                <w:szCs w:val="21"/>
              </w:rPr>
            </w:pPr>
          </w:p>
        </w:tc>
        <w:tc>
          <w:tcPr>
            <w:tcW w:w="2079" w:type="dxa"/>
            <w:noWrap w:val="0"/>
            <w:vAlign w:val="top"/>
          </w:tcPr>
          <w:p w14:paraId="43090052">
            <w:pPr>
              <w:rPr>
                <w:rFonts w:hint="eastAsia" w:ascii="宋体" w:hAnsi="宋体"/>
                <w:szCs w:val="21"/>
              </w:rPr>
            </w:pPr>
          </w:p>
        </w:tc>
        <w:tc>
          <w:tcPr>
            <w:tcW w:w="2079" w:type="dxa"/>
            <w:noWrap w:val="0"/>
            <w:vAlign w:val="top"/>
          </w:tcPr>
          <w:p w14:paraId="39A0D278">
            <w:pPr>
              <w:rPr>
                <w:rFonts w:hint="eastAsia" w:ascii="宋体" w:hAnsi="宋体"/>
                <w:szCs w:val="21"/>
              </w:rPr>
            </w:pPr>
          </w:p>
        </w:tc>
        <w:tc>
          <w:tcPr>
            <w:tcW w:w="2079" w:type="dxa"/>
            <w:noWrap w:val="0"/>
            <w:vAlign w:val="top"/>
          </w:tcPr>
          <w:p w14:paraId="438CC445">
            <w:pPr>
              <w:rPr>
                <w:rFonts w:hint="eastAsia" w:ascii="宋体" w:hAnsi="宋体"/>
                <w:szCs w:val="21"/>
              </w:rPr>
            </w:pPr>
          </w:p>
        </w:tc>
      </w:tr>
      <w:tr w14:paraId="3E0F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546200D">
            <w:pPr>
              <w:rPr>
                <w:rFonts w:hint="eastAsia" w:ascii="宋体" w:hAnsi="宋体"/>
                <w:szCs w:val="21"/>
              </w:rPr>
            </w:pPr>
          </w:p>
        </w:tc>
        <w:tc>
          <w:tcPr>
            <w:tcW w:w="2079" w:type="dxa"/>
            <w:noWrap w:val="0"/>
            <w:vAlign w:val="top"/>
          </w:tcPr>
          <w:p w14:paraId="1AD51B09">
            <w:pPr>
              <w:rPr>
                <w:rFonts w:hint="eastAsia" w:ascii="宋体" w:hAnsi="宋体"/>
                <w:szCs w:val="21"/>
              </w:rPr>
            </w:pPr>
          </w:p>
        </w:tc>
        <w:tc>
          <w:tcPr>
            <w:tcW w:w="2079" w:type="dxa"/>
            <w:noWrap w:val="0"/>
            <w:vAlign w:val="top"/>
          </w:tcPr>
          <w:p w14:paraId="6AA3DBF6">
            <w:pPr>
              <w:rPr>
                <w:rFonts w:hint="eastAsia" w:ascii="宋体" w:hAnsi="宋体"/>
                <w:szCs w:val="21"/>
              </w:rPr>
            </w:pPr>
          </w:p>
        </w:tc>
        <w:tc>
          <w:tcPr>
            <w:tcW w:w="2079" w:type="dxa"/>
            <w:noWrap w:val="0"/>
            <w:vAlign w:val="top"/>
          </w:tcPr>
          <w:p w14:paraId="267ABC29">
            <w:pPr>
              <w:rPr>
                <w:rFonts w:hint="eastAsia" w:ascii="宋体" w:hAnsi="宋体"/>
                <w:szCs w:val="21"/>
              </w:rPr>
            </w:pPr>
          </w:p>
        </w:tc>
      </w:tr>
    </w:tbl>
    <w:p w14:paraId="464893A1">
      <w:pPr>
        <w:spacing w:line="420" w:lineRule="exact"/>
        <w:rPr>
          <w:rFonts w:hint="eastAsia" w:ascii="宋体" w:hAnsi="宋体"/>
          <w:szCs w:val="21"/>
        </w:rPr>
      </w:pPr>
    </w:p>
    <w:p w14:paraId="4DA010BC">
      <w:pPr>
        <w:spacing w:line="420" w:lineRule="exact"/>
        <w:rPr>
          <w:rFonts w:hint="eastAsia" w:ascii="宋体" w:hAnsi="宋体"/>
          <w:szCs w:val="21"/>
        </w:rPr>
      </w:pPr>
    </w:p>
    <w:p w14:paraId="6819A765">
      <w:pPr>
        <w:spacing w:line="440" w:lineRule="exact"/>
        <w:rPr>
          <w:rFonts w:hint="eastAsia" w:ascii="宋体" w:hAnsi="宋体"/>
          <w:szCs w:val="21"/>
        </w:rPr>
      </w:pPr>
    </w:p>
    <w:p w14:paraId="270B90CB">
      <w:pPr>
        <w:pStyle w:val="18"/>
        <w:jc w:val="center"/>
        <w:rPr>
          <w:rFonts w:hint="eastAsia" w:ascii="黑体" w:hAnsi="宋体"/>
          <w:szCs w:val="28"/>
        </w:rPr>
      </w:pPr>
      <w:bookmarkStart w:id="2688" w:name="_Toc108514270"/>
      <w:r>
        <w:rPr>
          <w:rFonts w:hint="eastAsia"/>
        </w:rPr>
        <w:t>十一、其他材料</w:t>
      </w:r>
      <w:bookmarkEnd w:id="2688"/>
    </w:p>
    <w:p w14:paraId="636E0BAB">
      <w:pPr>
        <w:spacing w:line="500" w:lineRule="exact"/>
        <w:jc w:val="left"/>
        <w:rPr>
          <w:rFonts w:ascii="宋体" w:hAnsi="宋体"/>
          <w:szCs w:val="21"/>
        </w:rPr>
      </w:pPr>
    </w:p>
    <w:p w14:paraId="41B540EF">
      <w:pPr>
        <w:rPr>
          <w:rFonts w:hint="eastAsia" w:ascii="黑体" w:eastAsia="黑体"/>
          <w:sz w:val="24"/>
        </w:rPr>
      </w:pPr>
    </w:p>
    <w:p w14:paraId="6315EE0C">
      <w:pPr>
        <w:rPr>
          <w:rFonts w:hint="eastAsia"/>
        </w:rPr>
      </w:pPr>
    </w:p>
    <w:p w14:paraId="06B4639B"/>
    <w:sectPr>
      <w:pgSz w:w="11907" w:h="16840"/>
      <w:pgMar w:top="1701" w:right="1531" w:bottom="1588" w:left="147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瀹嬩綋">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1D992">
    <w:pPr>
      <w:pStyle w:val="10"/>
      <w:jc w:val="center"/>
      <w:rPr>
        <w:rFonts w:hint="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0A0E4">
    <w:pPr>
      <w:pStyle w:val="10"/>
      <w:jc w:val="center"/>
      <w:rPr>
        <w:rFonts w:hint="eastAsia"/>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38</w:t>
    </w:r>
    <w:r>
      <w:rPr>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C0CC5">
    <w:pPr>
      <w:pStyle w:val="10"/>
      <w:framePr w:wrap="around" w:vAnchor="text" w:hAnchor="margin" w:xAlign="center" w:y="1"/>
      <w:rPr>
        <w:rStyle w:val="17"/>
        <w:rFonts w:hint="eastAsia" w:ascii="仿宋_GB2312" w:eastAsia="仿宋_GB2312"/>
        <w:sz w:val="21"/>
        <w:szCs w:val="21"/>
      </w:rPr>
    </w:pPr>
    <w:r>
      <w:rPr>
        <w:rStyle w:val="17"/>
        <w:rFonts w:hint="eastAsia" w:ascii="仿宋_GB2312" w:eastAsia="仿宋_GB2312"/>
        <w:sz w:val="21"/>
        <w:szCs w:val="21"/>
      </w:rPr>
      <w:fldChar w:fldCharType="begin"/>
    </w:r>
    <w:r>
      <w:rPr>
        <w:rStyle w:val="17"/>
        <w:rFonts w:hint="eastAsia" w:ascii="仿宋_GB2312" w:eastAsia="仿宋_GB2312"/>
        <w:sz w:val="21"/>
        <w:szCs w:val="21"/>
      </w:rPr>
      <w:instrText xml:space="preserve">PAGE  </w:instrText>
    </w:r>
    <w:r>
      <w:rPr>
        <w:rStyle w:val="17"/>
        <w:rFonts w:hint="eastAsia" w:ascii="仿宋_GB2312" w:eastAsia="仿宋_GB2312"/>
        <w:sz w:val="21"/>
        <w:szCs w:val="21"/>
      </w:rPr>
      <w:fldChar w:fldCharType="separate"/>
    </w:r>
    <w:r>
      <w:rPr>
        <w:rStyle w:val="17"/>
        <w:rFonts w:ascii="仿宋_GB2312" w:eastAsia="仿宋_GB2312"/>
        <w:sz w:val="21"/>
        <w:szCs w:val="21"/>
      </w:rPr>
      <w:t>107</w:t>
    </w:r>
    <w:r>
      <w:rPr>
        <w:rStyle w:val="17"/>
        <w:rFonts w:hint="eastAsia" w:ascii="仿宋_GB2312" w:eastAsia="仿宋_GB2312"/>
        <w:sz w:val="21"/>
        <w:szCs w:val="21"/>
      </w:rPr>
      <w:fldChar w:fldCharType="end"/>
    </w:r>
  </w:p>
  <w:p w14:paraId="7114C192">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F42F2">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1</w:t>
    </w:r>
    <w:r>
      <w:rPr>
        <w:rStyle w:val="17"/>
      </w:rPr>
      <w:fldChar w:fldCharType="end"/>
    </w:r>
  </w:p>
  <w:p w14:paraId="5EEE2848">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FEA39">
    <w:pPr>
      <w:pStyle w:val="10"/>
      <w:framePr w:wrap="around" w:vAnchor="text" w:hAnchor="margin" w:xAlign="center" w:y="1"/>
      <w:rPr>
        <w:rStyle w:val="17"/>
        <w:rFonts w:hint="eastAsia" w:ascii="仿宋_GB2312" w:eastAsia="仿宋_GB2312"/>
        <w:sz w:val="21"/>
        <w:szCs w:val="21"/>
      </w:rPr>
    </w:pPr>
    <w:r>
      <w:rPr>
        <w:rStyle w:val="17"/>
        <w:rFonts w:hint="eastAsia" w:ascii="仿宋_GB2312" w:eastAsia="仿宋_GB2312"/>
        <w:sz w:val="21"/>
        <w:szCs w:val="21"/>
      </w:rPr>
      <w:fldChar w:fldCharType="begin"/>
    </w:r>
    <w:r>
      <w:rPr>
        <w:rStyle w:val="17"/>
        <w:rFonts w:hint="eastAsia" w:ascii="仿宋_GB2312" w:eastAsia="仿宋_GB2312"/>
        <w:sz w:val="21"/>
        <w:szCs w:val="21"/>
      </w:rPr>
      <w:instrText xml:space="preserve">PAGE  </w:instrText>
    </w:r>
    <w:r>
      <w:rPr>
        <w:rStyle w:val="17"/>
        <w:rFonts w:hint="eastAsia" w:ascii="仿宋_GB2312" w:eastAsia="仿宋_GB2312"/>
        <w:sz w:val="21"/>
        <w:szCs w:val="21"/>
      </w:rPr>
      <w:fldChar w:fldCharType="separate"/>
    </w:r>
    <w:r>
      <w:rPr>
        <w:rStyle w:val="17"/>
        <w:rFonts w:ascii="仿宋_GB2312" w:eastAsia="仿宋_GB2312"/>
        <w:sz w:val="21"/>
        <w:szCs w:val="21"/>
      </w:rPr>
      <w:t>130</w:t>
    </w:r>
    <w:r>
      <w:rPr>
        <w:rStyle w:val="17"/>
        <w:rFonts w:hint="eastAsia" w:ascii="仿宋_GB2312" w:eastAsia="仿宋_GB2312"/>
        <w:sz w:val="21"/>
        <w:szCs w:val="21"/>
      </w:rPr>
      <w:fldChar w:fldCharType="end"/>
    </w:r>
  </w:p>
  <w:p w14:paraId="208325F5">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80809">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end"/>
    </w:r>
  </w:p>
  <w:p w14:paraId="7AB5495C">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835DD">
    <w:pPr>
      <w:pStyle w:val="10"/>
      <w:framePr w:wrap="around" w:vAnchor="text" w:hAnchor="margin" w:xAlign="center" w:y="1"/>
      <w:rPr>
        <w:rStyle w:val="17"/>
        <w:rFonts w:hint="eastAsia" w:ascii="仿宋_GB2312" w:eastAsia="仿宋_GB2312"/>
      </w:rPr>
    </w:pPr>
    <w:r>
      <w:rPr>
        <w:rStyle w:val="17"/>
        <w:rFonts w:hint="eastAsia" w:ascii="仿宋_GB2312" w:eastAsia="仿宋_GB2312"/>
      </w:rPr>
      <w:fldChar w:fldCharType="begin"/>
    </w:r>
    <w:r>
      <w:rPr>
        <w:rStyle w:val="17"/>
        <w:rFonts w:hint="eastAsia" w:ascii="仿宋_GB2312" w:eastAsia="仿宋_GB2312"/>
      </w:rPr>
      <w:instrText xml:space="preserve">PAGE  </w:instrText>
    </w:r>
    <w:r>
      <w:rPr>
        <w:rStyle w:val="17"/>
        <w:rFonts w:hint="eastAsia" w:ascii="仿宋_GB2312" w:eastAsia="仿宋_GB2312"/>
      </w:rPr>
      <w:fldChar w:fldCharType="separate"/>
    </w:r>
    <w:r>
      <w:rPr>
        <w:rStyle w:val="17"/>
        <w:rFonts w:ascii="仿宋_GB2312" w:eastAsia="仿宋_GB2312"/>
      </w:rPr>
      <w:t>244</w:t>
    </w:r>
    <w:r>
      <w:rPr>
        <w:rStyle w:val="17"/>
        <w:rFonts w:hint="eastAsia" w:ascii="仿宋_GB2312" w:eastAsia="仿宋_GB2312"/>
      </w:rPr>
      <w:fldChar w:fldCharType="end"/>
    </w:r>
  </w:p>
  <w:p w14:paraId="668C6A67">
    <w:pPr>
      <w:pStyle w:val="10"/>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72C09">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end"/>
    </w:r>
  </w:p>
  <w:p w14:paraId="5ADEBA04">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2CC0A">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263EEA"/>
    <w:multiLevelType w:val="multilevel"/>
    <w:tmpl w:val="35263EEA"/>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330768A"/>
    <w:multiLevelType w:val="multilevel"/>
    <w:tmpl w:val="6330768A"/>
    <w:lvl w:ilvl="0" w:tentative="0">
      <w:start w:val="1"/>
      <w:numFmt w:val="decimal"/>
      <w:lvlText w:val="%1."/>
      <w:lvlJc w:val="left"/>
      <w:pPr>
        <w:ind w:left="360" w:hanging="360"/>
      </w:pPr>
      <w:rPr>
        <w:rFonts w:hint="default"/>
      </w:rPr>
    </w:lvl>
    <w:lvl w:ilvl="1" w:tentative="0">
      <w:start w:val="8"/>
      <w:numFmt w:val="decimal"/>
      <w:isLgl/>
      <w:lvlText w:val="%1.%2"/>
      <w:lvlJc w:val="left"/>
      <w:pPr>
        <w:ind w:left="362" w:hanging="360"/>
      </w:pPr>
      <w:rPr>
        <w:rFonts w:hint="default" w:ascii="黑体" w:hAnsi="宋体" w:eastAsia="黑体"/>
      </w:rPr>
    </w:lvl>
    <w:lvl w:ilvl="2" w:tentative="0">
      <w:start w:val="4"/>
      <w:numFmt w:val="decimal"/>
      <w:isLgl/>
      <w:lvlText w:val="%1.%2.%3"/>
      <w:lvlJc w:val="left"/>
      <w:pPr>
        <w:ind w:left="724" w:hanging="720"/>
      </w:pPr>
      <w:rPr>
        <w:rFonts w:hint="default" w:ascii="黑体" w:hAnsi="宋体" w:eastAsia="黑体"/>
      </w:rPr>
    </w:lvl>
    <w:lvl w:ilvl="3" w:tentative="0">
      <w:start w:val="1"/>
      <w:numFmt w:val="decimal"/>
      <w:isLgl/>
      <w:lvlText w:val="%1.%2.%3.%4"/>
      <w:lvlJc w:val="left"/>
      <w:pPr>
        <w:ind w:left="726" w:hanging="720"/>
      </w:pPr>
      <w:rPr>
        <w:rFonts w:hint="default" w:ascii="黑体" w:hAnsi="宋体" w:eastAsia="黑体"/>
      </w:rPr>
    </w:lvl>
    <w:lvl w:ilvl="4" w:tentative="0">
      <w:start w:val="1"/>
      <w:numFmt w:val="decimal"/>
      <w:isLgl/>
      <w:lvlText w:val="%1.%2.%3.%4.%5"/>
      <w:lvlJc w:val="left"/>
      <w:pPr>
        <w:ind w:left="1088" w:hanging="1080"/>
      </w:pPr>
      <w:rPr>
        <w:rFonts w:hint="default" w:ascii="黑体" w:hAnsi="宋体" w:eastAsia="黑体"/>
      </w:rPr>
    </w:lvl>
    <w:lvl w:ilvl="5" w:tentative="0">
      <w:start w:val="1"/>
      <w:numFmt w:val="decimal"/>
      <w:isLgl/>
      <w:lvlText w:val="%1.%2.%3.%4.%5.%6"/>
      <w:lvlJc w:val="left"/>
      <w:pPr>
        <w:ind w:left="1090" w:hanging="1080"/>
      </w:pPr>
      <w:rPr>
        <w:rFonts w:hint="default" w:ascii="黑体" w:hAnsi="宋体" w:eastAsia="黑体"/>
      </w:rPr>
    </w:lvl>
    <w:lvl w:ilvl="6" w:tentative="0">
      <w:start w:val="1"/>
      <w:numFmt w:val="decimal"/>
      <w:isLgl/>
      <w:lvlText w:val="%1.%2.%3.%4.%5.%6.%7"/>
      <w:lvlJc w:val="left"/>
      <w:pPr>
        <w:ind w:left="1092" w:hanging="1080"/>
      </w:pPr>
      <w:rPr>
        <w:rFonts w:hint="default" w:ascii="黑体" w:hAnsi="宋体" w:eastAsia="黑体"/>
      </w:rPr>
    </w:lvl>
    <w:lvl w:ilvl="7" w:tentative="0">
      <w:start w:val="1"/>
      <w:numFmt w:val="decimal"/>
      <w:isLgl/>
      <w:lvlText w:val="%1.%2.%3.%4.%5.%6.%7.%8"/>
      <w:lvlJc w:val="left"/>
      <w:pPr>
        <w:ind w:left="1454" w:hanging="1440"/>
      </w:pPr>
      <w:rPr>
        <w:rFonts w:hint="default" w:ascii="黑体" w:hAnsi="宋体" w:eastAsia="黑体"/>
      </w:rPr>
    </w:lvl>
    <w:lvl w:ilvl="8" w:tentative="0">
      <w:start w:val="1"/>
      <w:numFmt w:val="decimal"/>
      <w:isLgl/>
      <w:lvlText w:val="%1.%2.%3.%4.%5.%6.%7.%8.%9"/>
      <w:lvlJc w:val="left"/>
      <w:pPr>
        <w:ind w:left="1456" w:hanging="1440"/>
      </w:pPr>
      <w:rPr>
        <w:rFonts w:hint="default" w:ascii="黑体" w:hAnsi="宋体" w:eastAsia="黑体"/>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6D1DCA"/>
    <w:rsid w:val="060424FE"/>
    <w:rsid w:val="086D1DCA"/>
    <w:rsid w:val="1513085F"/>
    <w:rsid w:val="1A077498"/>
    <w:rsid w:val="1F787E4E"/>
    <w:rsid w:val="1F890B18"/>
    <w:rsid w:val="258A68F1"/>
    <w:rsid w:val="25D56865"/>
    <w:rsid w:val="326A6A0A"/>
    <w:rsid w:val="4AE8744C"/>
    <w:rsid w:val="4B0A6D29"/>
    <w:rsid w:val="50982348"/>
    <w:rsid w:val="7A485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pPr>
      <w:spacing w:after="120"/>
    </w:pPr>
  </w:style>
  <w:style w:type="paragraph" w:styleId="7">
    <w:name w:val="Body Text Indent"/>
    <w:basedOn w:val="1"/>
    <w:qFormat/>
    <w:uiPriority w:val="0"/>
    <w:pPr>
      <w:spacing w:after="120"/>
      <w:ind w:left="420" w:leftChars="200"/>
    </w:pPr>
  </w:style>
  <w:style w:type="paragraph" w:styleId="8">
    <w:name w:val="toc 3"/>
    <w:basedOn w:val="1"/>
    <w:next w:val="1"/>
    <w:qFormat/>
    <w:uiPriority w:val="39"/>
    <w:pPr>
      <w:ind w:left="840" w:leftChars="400"/>
    </w:pPr>
  </w:style>
  <w:style w:type="paragraph" w:styleId="9">
    <w:name w:val="Plain Text"/>
    <w:basedOn w:val="1"/>
    <w:qFormat/>
    <w:uiPriority w:val="0"/>
    <w:pPr>
      <w:spacing w:line="305" w:lineRule="auto"/>
      <w:ind w:firstLine="420"/>
    </w:pPr>
    <w:rPr>
      <w:rFonts w:ascii="宋体" w:hAnsi="Courier New" w:cs="Courier New"/>
      <w:szCs w:val="21"/>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pPr>
      <w:tabs>
        <w:tab w:val="right" w:leader="dot" w:pos="8296"/>
      </w:tabs>
      <w:outlineLvl w:val="0"/>
    </w:pPr>
    <w:rPr>
      <w:rFonts w:eastAsia="仿宋_GB2312"/>
      <w:b/>
      <w:sz w:val="24"/>
      <w:szCs w:val="20"/>
    </w:rPr>
  </w:style>
  <w:style w:type="paragraph" w:styleId="13">
    <w:name w:val="toc 2"/>
    <w:basedOn w:val="1"/>
    <w:next w:val="1"/>
    <w:qFormat/>
    <w:uiPriority w:val="39"/>
    <w:pPr>
      <w:ind w:left="420" w:leftChars="200"/>
    </w:pPr>
    <w:rPr>
      <w:rFonts w:eastAsia="仿宋_GB2312"/>
      <w:sz w:val="24"/>
    </w:rPr>
  </w:style>
  <w:style w:type="paragraph" w:styleId="14">
    <w:name w:val="Normal (Web)"/>
    <w:basedOn w:val="1"/>
    <w:qFormat/>
    <w:uiPriority w:val="99"/>
    <w:pPr>
      <w:widowControl/>
      <w:spacing w:before="100" w:beforeAutospacing="1" w:after="100" w:afterAutospacing="1"/>
      <w:jc w:val="left"/>
    </w:pPr>
    <w:rPr>
      <w:rFonts w:ascii="宋体" w:hAnsi="宋体"/>
      <w:color w:val="000000"/>
      <w:kern w:val="0"/>
      <w:sz w:val="24"/>
    </w:rPr>
  </w:style>
  <w:style w:type="character" w:styleId="17">
    <w:name w:val="page number"/>
    <w:qFormat/>
    <w:uiPriority w:val="0"/>
  </w:style>
  <w:style w:type="paragraph" w:customStyle="1" w:styleId="1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9">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20">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2.wmf"/><Relationship Id="rId15" Type="http://schemas.openxmlformats.org/officeDocument/2006/relationships/oleObject" Target="embeddings/oleObject2.bin"/><Relationship Id="rId14" Type="http://schemas.openxmlformats.org/officeDocument/2006/relationships/image" Target="media/image1.w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398</Pages>
  <Words>7486</Words>
  <Characters>10489</Characters>
  <Lines>0</Lines>
  <Paragraphs>0</Paragraphs>
  <TotalTime>11</TotalTime>
  <ScaleCrop>false</ScaleCrop>
  <LinksUpToDate>false</LinksUpToDate>
  <CharactersWithSpaces>11906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2026-07-28T02:49:00Z</dcterms:created>
  <dc:creator>依念</dc:creator>
  <cp:lastModifiedBy>依念</cp:lastModifiedBy>
  <dcterms:modified xsi:type="dcterms:W3CDTF">2026-09-08T07:26:41Z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8E2627375F2749F0818ACE5A00BF3D7D_13</vt:lpwstr>
  </property>
  <property fmtid="{D5CDD505-2E9C-101B-9397-08002B2CF9AE}" pid="4" name="KSOTemplateDocerSaveRecord">
    <vt:lpwstr>eyJoZGlkIjoiYzU5YWUwNTRhY2Y3MTVjZDM2YTRhYWViZDFjMjg3YjIiLCJ1c2VySWQiOiI2NDE3MTAyMTEifQ==</vt:lpwstr>
  </property>
</Properties>
</file>